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22352" w:rsidRPr="00792A6C" w:rsidP="005D2D59" w14:paraId="1B5D9726" w14:textId="77777777">
      <w:pPr>
        <w:pStyle w:val="List"/>
        <w:ind w:left="0" w:firstLine="0"/>
        <w:jc w:val="center"/>
        <w:rPr>
          <w:b/>
          <w:szCs w:val="24"/>
        </w:rPr>
      </w:pPr>
      <w:r w:rsidRPr="00792A6C">
        <w:rPr>
          <w:b/>
          <w:szCs w:val="24"/>
        </w:rPr>
        <w:t>BEFORE</w:t>
      </w:r>
    </w:p>
    <w:p w:rsidR="00322352" w:rsidRPr="00792A6C" w:rsidP="005D2D59" w14:paraId="707C539C" w14:textId="77777777">
      <w:pPr>
        <w:pStyle w:val="List"/>
        <w:ind w:left="0" w:firstLine="0"/>
        <w:jc w:val="center"/>
        <w:rPr>
          <w:b/>
          <w:szCs w:val="24"/>
        </w:rPr>
      </w:pPr>
      <w:r w:rsidRPr="00792A6C">
        <w:rPr>
          <w:b/>
          <w:szCs w:val="24"/>
        </w:rPr>
        <w:t>THE PUBLIC UTILITIES COMMISSION OF OHIO</w:t>
      </w:r>
    </w:p>
    <w:p w:rsidR="00414C8B" w:rsidRPr="00792A6C" w:rsidP="005D2D59" w14:paraId="6CA07A76" w14:textId="77777777">
      <w:pPr>
        <w:pStyle w:val="List"/>
        <w:ind w:left="0" w:firstLine="0"/>
        <w:jc w:val="center"/>
        <w:rPr>
          <w:b/>
          <w:szCs w:val="24"/>
        </w:rPr>
      </w:pPr>
    </w:p>
    <w:tbl>
      <w:tblPr>
        <w:tblW w:w="9360" w:type="dxa"/>
        <w:tblLook w:val="01E0"/>
      </w:tblPr>
      <w:tblGrid>
        <w:gridCol w:w="4230"/>
        <w:gridCol w:w="630"/>
        <w:gridCol w:w="4500"/>
      </w:tblGrid>
      <w:tr w14:paraId="60DF6F0D" w14:textId="77777777" w:rsidTr="00722290">
        <w:tblPrEx>
          <w:tblW w:w="9360" w:type="dxa"/>
          <w:tblLook w:val="01E0"/>
        </w:tblPrEx>
        <w:trPr>
          <w:trHeight w:val="807"/>
        </w:trPr>
        <w:tc>
          <w:tcPr>
            <w:tcW w:w="4230" w:type="dxa"/>
            <w:shd w:val="clear" w:color="auto" w:fill="auto"/>
          </w:tcPr>
          <w:p w:rsidR="00B97B72" w:rsidRPr="00792A6C" w:rsidP="005D2D59" w14:paraId="6386E532" w14:textId="77777777">
            <w:pPr>
              <w:pStyle w:val="HTMLPreformatted"/>
              <w:rPr>
                <w:rFonts w:ascii="Times New Roman" w:hAnsi="Times New Roman" w:cs="Times New Roman"/>
                <w:sz w:val="24"/>
                <w:szCs w:val="24"/>
              </w:rPr>
            </w:pPr>
            <w:r w:rsidRPr="00792A6C">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B97B72" w:rsidRPr="00792A6C" w:rsidP="005D2D59" w14:paraId="49139165" w14:textId="77777777">
            <w:pPr>
              <w:pStyle w:val="HTMLPreformatted"/>
              <w:rPr>
                <w:rFonts w:ascii="Times New Roman" w:hAnsi="Times New Roman" w:cs="Times New Roman"/>
                <w:sz w:val="24"/>
                <w:szCs w:val="24"/>
              </w:rPr>
            </w:pPr>
            <w:r w:rsidRPr="00792A6C">
              <w:rPr>
                <w:rFonts w:ascii="Times New Roman" w:hAnsi="Times New Roman" w:cs="Times New Roman"/>
                <w:sz w:val="24"/>
                <w:szCs w:val="24"/>
              </w:rPr>
              <w:t>)</w:t>
            </w:r>
          </w:p>
          <w:p w:rsidR="00B97B72" w:rsidRPr="00792A6C" w:rsidP="005D2D59" w14:paraId="0EBDAE8E" w14:textId="77777777">
            <w:pPr>
              <w:pStyle w:val="HTMLPreformatted"/>
              <w:rPr>
                <w:rFonts w:ascii="Times New Roman" w:hAnsi="Times New Roman" w:cs="Times New Roman"/>
                <w:sz w:val="24"/>
                <w:szCs w:val="24"/>
              </w:rPr>
            </w:pPr>
            <w:r w:rsidRPr="00792A6C">
              <w:rPr>
                <w:rFonts w:ascii="Times New Roman" w:hAnsi="Times New Roman" w:cs="Times New Roman"/>
                <w:sz w:val="24"/>
                <w:szCs w:val="24"/>
              </w:rPr>
              <w:t>)</w:t>
            </w:r>
          </w:p>
          <w:p w:rsidR="00B97B72" w:rsidRPr="00792A6C" w:rsidP="005D2D59" w14:paraId="1DDE2F6A" w14:textId="77777777">
            <w:pPr>
              <w:pStyle w:val="HTMLPreformatted"/>
              <w:rPr>
                <w:rFonts w:ascii="Times New Roman" w:hAnsi="Times New Roman" w:cs="Times New Roman"/>
                <w:sz w:val="24"/>
                <w:szCs w:val="24"/>
              </w:rPr>
            </w:pPr>
            <w:r w:rsidRPr="00792A6C">
              <w:rPr>
                <w:rFonts w:ascii="Times New Roman" w:hAnsi="Times New Roman" w:cs="Times New Roman"/>
                <w:sz w:val="24"/>
                <w:szCs w:val="24"/>
              </w:rPr>
              <w:t>)</w:t>
            </w:r>
          </w:p>
          <w:p w:rsidR="00B97B72" w:rsidRPr="00792A6C" w:rsidP="005D2D59" w14:paraId="6FCDC754" w14:textId="77777777">
            <w:pPr>
              <w:pStyle w:val="HTMLPreformatted"/>
              <w:rPr>
                <w:rFonts w:ascii="Times New Roman" w:hAnsi="Times New Roman" w:cs="Times New Roman"/>
                <w:sz w:val="24"/>
                <w:szCs w:val="24"/>
              </w:rPr>
            </w:pPr>
            <w:r w:rsidRPr="00792A6C">
              <w:rPr>
                <w:rFonts w:ascii="Times New Roman" w:hAnsi="Times New Roman" w:cs="Times New Roman"/>
                <w:sz w:val="24"/>
                <w:szCs w:val="24"/>
              </w:rPr>
              <w:t>)</w:t>
            </w:r>
          </w:p>
          <w:p w:rsidR="00B97B72" w:rsidRPr="00792A6C" w:rsidP="005D2D59" w14:paraId="4464C8D8" w14:textId="77777777">
            <w:pPr>
              <w:pStyle w:val="HTMLPreformatted"/>
              <w:rPr>
                <w:rFonts w:ascii="Times New Roman" w:hAnsi="Times New Roman" w:cs="Times New Roman"/>
                <w:sz w:val="24"/>
                <w:szCs w:val="24"/>
              </w:rPr>
            </w:pPr>
            <w:r w:rsidRPr="00792A6C">
              <w:rPr>
                <w:rFonts w:ascii="Times New Roman" w:hAnsi="Times New Roman" w:cs="Times New Roman"/>
                <w:sz w:val="24"/>
                <w:szCs w:val="24"/>
              </w:rPr>
              <w:t>)</w:t>
            </w:r>
          </w:p>
          <w:p w:rsidR="00B97B72" w:rsidRPr="00792A6C" w:rsidP="005D2D59" w14:paraId="6979CC86" w14:textId="77777777">
            <w:pPr>
              <w:pStyle w:val="HTMLPreformatted"/>
              <w:rPr>
                <w:rFonts w:ascii="Times New Roman" w:hAnsi="Times New Roman" w:cs="Times New Roman"/>
                <w:sz w:val="24"/>
                <w:szCs w:val="24"/>
              </w:rPr>
            </w:pPr>
            <w:r w:rsidRPr="00792A6C">
              <w:rPr>
                <w:rFonts w:ascii="Times New Roman" w:hAnsi="Times New Roman" w:cs="Times New Roman"/>
                <w:sz w:val="24"/>
                <w:szCs w:val="24"/>
              </w:rPr>
              <w:t>)</w:t>
            </w:r>
          </w:p>
        </w:tc>
        <w:tc>
          <w:tcPr>
            <w:tcW w:w="4500" w:type="dxa"/>
            <w:shd w:val="clear" w:color="auto" w:fill="auto"/>
          </w:tcPr>
          <w:p w:rsidR="00B97B72" w:rsidRPr="00792A6C" w:rsidP="005D2D59" w14:paraId="00A82A84" w14:textId="77777777">
            <w:pPr>
              <w:pStyle w:val="HTMLPreformatted"/>
              <w:rPr>
                <w:rFonts w:ascii="Times New Roman" w:hAnsi="Times New Roman" w:cs="Times New Roman"/>
                <w:sz w:val="24"/>
                <w:szCs w:val="24"/>
              </w:rPr>
            </w:pPr>
          </w:p>
          <w:p w:rsidR="00B97B72" w:rsidRPr="00792A6C" w:rsidP="005D2D59" w14:paraId="4E73CAC4" w14:textId="77777777">
            <w:pPr>
              <w:pStyle w:val="HTMLPreformatted"/>
              <w:rPr>
                <w:rFonts w:ascii="Times New Roman" w:hAnsi="Times New Roman" w:cs="Times New Roman"/>
                <w:sz w:val="24"/>
                <w:szCs w:val="24"/>
              </w:rPr>
            </w:pPr>
          </w:p>
          <w:p w:rsidR="00B97B72" w:rsidRPr="00792A6C" w:rsidP="005D2D59" w14:paraId="4B369F9D" w14:textId="77777777">
            <w:pPr>
              <w:pStyle w:val="HTMLPreformatted"/>
              <w:rPr>
                <w:rFonts w:ascii="Times New Roman" w:hAnsi="Times New Roman" w:cs="Times New Roman"/>
                <w:sz w:val="24"/>
                <w:szCs w:val="24"/>
              </w:rPr>
            </w:pPr>
            <w:r w:rsidRPr="00792A6C">
              <w:rPr>
                <w:rFonts w:ascii="Times New Roman" w:hAnsi="Times New Roman" w:cs="Times New Roman"/>
                <w:sz w:val="24"/>
                <w:szCs w:val="24"/>
              </w:rPr>
              <w:t>Case No. 17-974-EL-UNC</w:t>
            </w:r>
          </w:p>
          <w:p w:rsidR="00B97B72" w:rsidRPr="00792A6C" w:rsidP="005D2D59" w14:paraId="09962A3F" w14:textId="77777777">
            <w:pPr>
              <w:pStyle w:val="HTMLPreformatted"/>
              <w:rPr>
                <w:rFonts w:ascii="Times New Roman" w:hAnsi="Times New Roman" w:cs="Times New Roman"/>
                <w:sz w:val="24"/>
                <w:szCs w:val="24"/>
              </w:rPr>
            </w:pPr>
          </w:p>
        </w:tc>
      </w:tr>
    </w:tbl>
    <w:p w:rsidR="003932EA" w:rsidRPr="00792A6C" w:rsidP="005D2D59" w14:paraId="76B44074" w14:textId="77777777">
      <w:pPr>
        <w:pBdr>
          <w:bottom w:val="single" w:sz="12" w:space="1" w:color="auto"/>
        </w:pBdr>
        <w:rPr>
          <w:szCs w:val="24"/>
        </w:rPr>
      </w:pPr>
    </w:p>
    <w:p w:rsidR="003932EA" w:rsidRPr="00792A6C" w:rsidP="005D2D59" w14:paraId="7C199035" w14:textId="77777777">
      <w:pPr>
        <w:rPr>
          <w:b/>
          <w:bCs/>
          <w:szCs w:val="24"/>
        </w:rPr>
      </w:pPr>
    </w:p>
    <w:p w:rsidR="000E141B" w:rsidRPr="00792A6C" w:rsidP="000E141B" w14:paraId="61A6A928" w14:textId="438AD34C">
      <w:pPr>
        <w:jc w:val="center"/>
        <w:rPr>
          <w:b/>
          <w:bCs/>
          <w:szCs w:val="24"/>
        </w:rPr>
      </w:pPr>
      <w:r w:rsidRPr="00792A6C">
        <w:rPr>
          <w:b/>
          <w:bCs/>
          <w:szCs w:val="24"/>
        </w:rPr>
        <w:t>MEMORANDUM CONTRA</w:t>
      </w:r>
      <w:r w:rsidRPr="00792A6C">
        <w:rPr>
          <w:b/>
          <w:bCs/>
          <w:szCs w:val="24"/>
        </w:rPr>
        <w:t xml:space="preserve"> TO</w:t>
      </w:r>
      <w:r w:rsidRPr="00792A6C">
        <w:rPr>
          <w:b/>
          <w:szCs w:val="24"/>
        </w:rPr>
        <w:t xml:space="preserve"> </w:t>
      </w:r>
      <w:r w:rsidRPr="00792A6C">
        <w:rPr>
          <w:b/>
          <w:bCs/>
          <w:szCs w:val="24"/>
        </w:rPr>
        <w:t xml:space="preserve">FIRSTENERGY CORP.’S </w:t>
      </w:r>
      <w:r w:rsidRPr="00792A6C">
        <w:rPr>
          <w:b/>
          <w:szCs w:val="24"/>
        </w:rPr>
        <w:t xml:space="preserve">MOTION </w:t>
      </w:r>
      <w:r w:rsidRPr="00792A6C">
        <w:rPr>
          <w:b/>
          <w:bCs/>
          <w:szCs w:val="24"/>
        </w:rPr>
        <w:t>FOR A PROTECTIVE ORDER</w:t>
      </w:r>
      <w:r w:rsidRPr="00792A6C">
        <w:rPr>
          <w:b/>
          <w:szCs w:val="24"/>
        </w:rPr>
        <w:t xml:space="preserve"> </w:t>
      </w:r>
    </w:p>
    <w:p w:rsidR="000E141B" w:rsidRPr="00792A6C" w:rsidP="000E141B" w14:paraId="51B43B1F" w14:textId="77777777">
      <w:pPr>
        <w:jc w:val="center"/>
        <w:rPr>
          <w:b/>
          <w:bCs/>
          <w:szCs w:val="24"/>
        </w:rPr>
      </w:pPr>
      <w:r w:rsidRPr="00792A6C">
        <w:rPr>
          <w:b/>
          <w:szCs w:val="24"/>
        </w:rPr>
        <w:t>BY</w:t>
      </w:r>
    </w:p>
    <w:p w:rsidR="000E141B" w:rsidRPr="00792A6C" w:rsidP="000E141B" w14:paraId="0A4CFB11" w14:textId="77777777">
      <w:pPr>
        <w:pBdr>
          <w:bottom w:val="single" w:sz="12" w:space="1" w:color="auto"/>
        </w:pBdr>
        <w:jc w:val="center"/>
        <w:rPr>
          <w:b/>
          <w:bCs/>
          <w:szCs w:val="24"/>
        </w:rPr>
      </w:pPr>
      <w:r w:rsidRPr="00792A6C">
        <w:rPr>
          <w:b/>
          <w:szCs w:val="24"/>
        </w:rPr>
        <w:t>OFFICE OF THE OHIO CONSUMERS’ COUNSEL</w:t>
      </w:r>
    </w:p>
    <w:p w:rsidR="00AD6D16" w:rsidRPr="00792A6C" w:rsidP="005D2D59" w14:paraId="0EA927F1" w14:textId="77777777">
      <w:pPr>
        <w:pBdr>
          <w:bottom w:val="single" w:sz="12" w:space="1" w:color="auto"/>
        </w:pBdr>
        <w:jc w:val="center"/>
        <w:rPr>
          <w:b/>
          <w:bCs/>
          <w:szCs w:val="24"/>
        </w:rPr>
      </w:pPr>
    </w:p>
    <w:p w:rsidR="000E141B" w:rsidRPr="00792A6C" w:rsidP="009E593D" w14:paraId="3FC8FCE3" w14:textId="3DF28855">
      <w:pPr>
        <w:pStyle w:val="ListParagraph"/>
        <w:ind w:left="4320"/>
        <w:rPr>
          <w:szCs w:val="24"/>
        </w:rPr>
      </w:pPr>
    </w:p>
    <w:p w:rsidR="009E593D" w:rsidRPr="00792A6C" w:rsidP="00A87CE4" w14:paraId="61532736" w14:textId="16E8CEAC">
      <w:pPr>
        <w:pStyle w:val="Heading1"/>
        <w:rPr>
          <w:rFonts w:ascii="Times New Roman" w:hAnsi="Times New Roman" w:cs="Times New Roman"/>
          <w:szCs w:val="24"/>
        </w:rPr>
      </w:pPr>
      <w:r w:rsidRPr="00792A6C">
        <w:rPr>
          <w:rFonts w:ascii="Times New Roman" w:hAnsi="Times New Roman" w:cs="Times New Roman"/>
          <w:szCs w:val="24"/>
        </w:rPr>
        <w:t>I.</w:t>
      </w:r>
      <w:r w:rsidRPr="00792A6C">
        <w:rPr>
          <w:rFonts w:ascii="Times New Roman" w:hAnsi="Times New Roman" w:cs="Times New Roman"/>
          <w:szCs w:val="24"/>
        </w:rPr>
        <w:tab/>
        <w:t>Introduction</w:t>
      </w:r>
    </w:p>
    <w:p w:rsidR="008C27F6" w:rsidRPr="00792A6C" w:rsidP="00B10F5E" w14:paraId="1F85E829" w14:textId="52C7A56E">
      <w:pPr>
        <w:spacing w:line="480" w:lineRule="auto"/>
        <w:ind w:firstLine="720"/>
        <w:rPr>
          <w:szCs w:val="24"/>
        </w:rPr>
      </w:pPr>
      <w:r w:rsidRPr="00792A6C">
        <w:rPr>
          <w:szCs w:val="24"/>
        </w:rPr>
        <w:t>“</w:t>
      </w:r>
      <w:r w:rsidRPr="00792A6C" w:rsidR="009E593D">
        <w:rPr>
          <w:szCs w:val="24"/>
        </w:rPr>
        <w:t xml:space="preserve">Sunlight is </w:t>
      </w:r>
      <w:r w:rsidRPr="00792A6C">
        <w:rPr>
          <w:szCs w:val="24"/>
        </w:rPr>
        <w:t>said to be the best of disinfectants</w:t>
      </w:r>
      <w:r w:rsidRPr="00792A6C" w:rsidR="009E593D">
        <w:rPr>
          <w:szCs w:val="24"/>
        </w:rPr>
        <w:t>.</w:t>
      </w:r>
      <w:r w:rsidRPr="00792A6C">
        <w:rPr>
          <w:szCs w:val="24"/>
        </w:rPr>
        <w:t>”</w:t>
      </w:r>
      <w:r>
        <w:rPr>
          <w:rStyle w:val="FootnoteReference"/>
          <w:szCs w:val="24"/>
        </w:rPr>
        <w:footnoteReference w:id="3"/>
      </w:r>
      <w:r w:rsidRPr="00792A6C" w:rsidR="009E593D">
        <w:rPr>
          <w:szCs w:val="24"/>
        </w:rPr>
        <w:t xml:space="preserve"> </w:t>
      </w:r>
      <w:r w:rsidRPr="00792A6C">
        <w:rPr>
          <w:szCs w:val="24"/>
        </w:rPr>
        <w:t>The words of Louis Brandeis</w:t>
      </w:r>
      <w:r w:rsidRPr="00792A6C" w:rsidR="0043128A">
        <w:rPr>
          <w:szCs w:val="24"/>
        </w:rPr>
        <w:t>, later to become U.S. Supreme Court Justice Brandeis,</w:t>
      </w:r>
      <w:r w:rsidRPr="00792A6C">
        <w:rPr>
          <w:szCs w:val="24"/>
        </w:rPr>
        <w:t xml:space="preserve"> ring true today</w:t>
      </w:r>
      <w:r w:rsidRPr="00792A6C" w:rsidR="0043128A">
        <w:rPr>
          <w:szCs w:val="24"/>
        </w:rPr>
        <w:t xml:space="preserve"> as they did in 1913</w:t>
      </w:r>
      <w:r w:rsidRPr="00792A6C">
        <w:rPr>
          <w:szCs w:val="24"/>
        </w:rPr>
        <w:t>.</w:t>
      </w:r>
      <w:r w:rsidRPr="00792A6C" w:rsidR="00BE3400">
        <w:rPr>
          <w:szCs w:val="24"/>
        </w:rPr>
        <w:t xml:space="preserve"> </w:t>
      </w:r>
      <w:r w:rsidRPr="00792A6C" w:rsidR="009E593D">
        <w:rPr>
          <w:szCs w:val="24"/>
        </w:rPr>
        <w:t xml:space="preserve">FirstEnergy Corp. </w:t>
      </w:r>
      <w:r w:rsidRPr="00792A6C" w:rsidR="0025070D">
        <w:rPr>
          <w:szCs w:val="24"/>
        </w:rPr>
        <w:t xml:space="preserve">has avoided the light and </w:t>
      </w:r>
      <w:r w:rsidRPr="00792A6C" w:rsidR="009E593D">
        <w:rPr>
          <w:szCs w:val="24"/>
        </w:rPr>
        <w:t>wants</w:t>
      </w:r>
      <w:r w:rsidRPr="00792A6C" w:rsidR="0025070D">
        <w:rPr>
          <w:szCs w:val="24"/>
        </w:rPr>
        <w:t xml:space="preserve"> the PUCO </w:t>
      </w:r>
      <w:r w:rsidRPr="00792A6C" w:rsidR="008F49DD">
        <w:rPr>
          <w:szCs w:val="24"/>
        </w:rPr>
        <w:t>to do</w:t>
      </w:r>
      <w:r w:rsidRPr="00792A6C" w:rsidR="0025070D">
        <w:rPr>
          <w:szCs w:val="24"/>
        </w:rPr>
        <w:t xml:space="preserve"> the same.</w:t>
      </w:r>
      <w:r w:rsidRPr="00792A6C" w:rsidR="00BE3400">
        <w:rPr>
          <w:szCs w:val="24"/>
        </w:rPr>
        <w:t xml:space="preserve"> </w:t>
      </w:r>
      <w:r w:rsidRPr="00792A6C" w:rsidR="0025070D">
        <w:rPr>
          <w:szCs w:val="24"/>
        </w:rPr>
        <w:t>The PUCO should not follow the lead of FirstEnergy</w:t>
      </w:r>
      <w:r w:rsidRPr="00792A6C" w:rsidR="00DB329E">
        <w:rPr>
          <w:szCs w:val="24"/>
        </w:rPr>
        <w:t xml:space="preserve"> Corp. </w:t>
      </w:r>
      <w:r w:rsidRPr="00792A6C" w:rsidR="009B7954">
        <w:rPr>
          <w:szCs w:val="24"/>
        </w:rPr>
        <w:t>It</w:t>
      </w:r>
      <w:r w:rsidRPr="00792A6C" w:rsidR="00DB329E">
        <w:rPr>
          <w:szCs w:val="24"/>
        </w:rPr>
        <w:t xml:space="preserve">’s </w:t>
      </w:r>
      <w:r w:rsidRPr="00792A6C" w:rsidR="009B7954">
        <w:rPr>
          <w:szCs w:val="24"/>
        </w:rPr>
        <w:t>a</w:t>
      </w:r>
      <w:r w:rsidRPr="00792A6C" w:rsidR="00DB329E">
        <w:rPr>
          <w:szCs w:val="24"/>
        </w:rPr>
        <w:t xml:space="preserve"> </w:t>
      </w:r>
      <w:r w:rsidRPr="00792A6C" w:rsidR="0025070D">
        <w:rPr>
          <w:szCs w:val="24"/>
        </w:rPr>
        <w:t xml:space="preserve">company </w:t>
      </w:r>
      <w:r w:rsidRPr="00792A6C" w:rsidR="00DB329E">
        <w:rPr>
          <w:szCs w:val="24"/>
        </w:rPr>
        <w:t xml:space="preserve">that is </w:t>
      </w:r>
      <w:r w:rsidRPr="00792A6C" w:rsidR="0025070D">
        <w:rPr>
          <w:szCs w:val="24"/>
        </w:rPr>
        <w:t xml:space="preserve">charged with a </w:t>
      </w:r>
      <w:r w:rsidRPr="00792A6C" w:rsidR="009B7954">
        <w:rPr>
          <w:szCs w:val="24"/>
        </w:rPr>
        <w:t xml:space="preserve">corruption-related federal </w:t>
      </w:r>
      <w:r w:rsidRPr="00792A6C" w:rsidR="0025070D">
        <w:rPr>
          <w:szCs w:val="24"/>
        </w:rPr>
        <w:t>crime</w:t>
      </w:r>
      <w:r w:rsidRPr="00792A6C" w:rsidR="00DB329E">
        <w:rPr>
          <w:szCs w:val="24"/>
        </w:rPr>
        <w:t xml:space="preserve"> and that </w:t>
      </w:r>
      <w:r w:rsidRPr="00792A6C" w:rsidR="009B7954">
        <w:rPr>
          <w:szCs w:val="24"/>
        </w:rPr>
        <w:t>agreed</w:t>
      </w:r>
      <w:r w:rsidRPr="00792A6C" w:rsidR="00DB329E">
        <w:rPr>
          <w:szCs w:val="24"/>
        </w:rPr>
        <w:t xml:space="preserve"> </w:t>
      </w:r>
      <w:r w:rsidRPr="00792A6C">
        <w:rPr>
          <w:rFonts w:eastAsia="Times New Roman"/>
          <w:color w:val="auto"/>
          <w:szCs w:val="24"/>
        </w:rPr>
        <w:t>“the United States would prove the facts set forth below beyond a reasonable doubt</w:t>
      </w:r>
      <w:r w:rsidRPr="00792A6C" w:rsidR="00DB329E">
        <w:rPr>
          <w:rFonts w:eastAsia="Times New Roman"/>
          <w:color w:val="auto"/>
          <w:szCs w:val="24"/>
        </w:rPr>
        <w:t>…</w:t>
      </w:r>
      <w:r w:rsidRPr="00792A6C">
        <w:rPr>
          <w:rFonts w:eastAsia="Times New Roman"/>
          <w:color w:val="auto"/>
          <w:szCs w:val="24"/>
        </w:rPr>
        <w:t>if this case had proceeded to trial.”</w:t>
      </w:r>
      <w:r w:rsidRPr="00792A6C" w:rsidR="00F34CF6">
        <w:rPr>
          <w:rStyle w:val="FootnoteReference"/>
          <w:rFonts w:eastAsia="Times New Roman"/>
          <w:color w:val="auto"/>
          <w:szCs w:val="24"/>
        </w:rPr>
        <w:t xml:space="preserve"> </w:t>
      </w:r>
      <w:r>
        <w:rPr>
          <w:rStyle w:val="FootnoteReference"/>
          <w:rFonts w:eastAsia="Times New Roman"/>
          <w:color w:val="auto"/>
          <w:szCs w:val="24"/>
        </w:rPr>
        <w:footnoteReference w:id="4"/>
      </w:r>
      <w:r w:rsidRPr="00792A6C" w:rsidR="00F34CF6">
        <w:rPr>
          <w:rFonts w:eastAsia="Times New Roman"/>
          <w:color w:val="auto"/>
          <w:position w:val="10"/>
          <w:szCs w:val="24"/>
        </w:rPr>
        <w:t xml:space="preserve"> </w:t>
      </w:r>
    </w:p>
    <w:p w:rsidR="00F82D6D" w:rsidRPr="00792A6C" w:rsidP="00575A23" w14:paraId="53E1E653" w14:textId="77777777">
      <w:pPr>
        <w:spacing w:line="480" w:lineRule="auto"/>
        <w:ind w:firstLine="720"/>
        <w:rPr>
          <w:szCs w:val="24"/>
        </w:rPr>
        <w:sectPr w:rsidSect="00F33EC6">
          <w:footerReference w:type="default" r:id="rId6"/>
          <w:pgSz w:w="12240" w:h="15840"/>
          <w:pgMar w:top="1440" w:right="1800" w:bottom="1440" w:left="1800" w:header="720" w:footer="720" w:gutter="0"/>
          <w:pgNumType w:start="2"/>
          <w:cols w:space="720"/>
          <w:docGrid w:linePitch="360"/>
        </w:sectPr>
      </w:pPr>
      <w:r w:rsidRPr="00792A6C">
        <w:rPr>
          <w:szCs w:val="24"/>
        </w:rPr>
        <w:t>A</w:t>
      </w:r>
      <w:r w:rsidRPr="00792A6C" w:rsidR="004C0E8B">
        <w:rPr>
          <w:szCs w:val="24"/>
        </w:rPr>
        <w:t xml:space="preserve">s noted by </w:t>
      </w:r>
      <w:r w:rsidRPr="00792A6C" w:rsidR="00EA706B">
        <w:rPr>
          <w:szCs w:val="24"/>
        </w:rPr>
        <w:t xml:space="preserve">U.S. District </w:t>
      </w:r>
      <w:r w:rsidRPr="00792A6C" w:rsidR="008041E3">
        <w:rPr>
          <w:szCs w:val="24"/>
        </w:rPr>
        <w:t>J</w:t>
      </w:r>
      <w:r w:rsidRPr="00792A6C" w:rsidR="004C0E8B">
        <w:rPr>
          <w:szCs w:val="24"/>
        </w:rPr>
        <w:t>udge</w:t>
      </w:r>
      <w:r w:rsidRPr="00792A6C" w:rsidR="00BE3400">
        <w:rPr>
          <w:szCs w:val="24"/>
        </w:rPr>
        <w:t xml:space="preserve"> </w:t>
      </w:r>
      <w:r w:rsidRPr="00792A6C" w:rsidR="008041E3">
        <w:rPr>
          <w:szCs w:val="24"/>
        </w:rPr>
        <w:t xml:space="preserve">John </w:t>
      </w:r>
      <w:r w:rsidRPr="00792A6C" w:rsidR="004C0E8B">
        <w:rPr>
          <w:szCs w:val="24"/>
        </w:rPr>
        <w:t xml:space="preserve">Adams, presiding over </w:t>
      </w:r>
      <w:r w:rsidRPr="00792A6C" w:rsidR="00CA11F1">
        <w:rPr>
          <w:szCs w:val="24"/>
        </w:rPr>
        <w:t xml:space="preserve">a </w:t>
      </w:r>
      <w:r w:rsidRPr="00792A6C" w:rsidR="004C0E8B">
        <w:rPr>
          <w:szCs w:val="24"/>
        </w:rPr>
        <w:t xml:space="preserve">shareholder </w:t>
      </w:r>
      <w:r w:rsidRPr="00792A6C" w:rsidR="00EA706B">
        <w:rPr>
          <w:szCs w:val="24"/>
        </w:rPr>
        <w:t xml:space="preserve">suit </w:t>
      </w:r>
      <w:r w:rsidRPr="00792A6C" w:rsidR="004C0E8B">
        <w:rPr>
          <w:szCs w:val="24"/>
        </w:rPr>
        <w:t>against FirstEnergy,</w:t>
      </w:r>
      <w:r>
        <w:rPr>
          <w:rStyle w:val="FootnoteReference"/>
          <w:szCs w:val="24"/>
        </w:rPr>
        <w:footnoteReference w:id="5"/>
      </w:r>
      <w:r w:rsidRPr="00792A6C" w:rsidR="004C0E8B">
        <w:rPr>
          <w:szCs w:val="24"/>
        </w:rPr>
        <w:t xml:space="preserve"> the H.B. 6 bribery has “</w:t>
      </w:r>
      <w:bookmarkStart w:id="0" w:name="_Hlk99005745"/>
      <w:r w:rsidRPr="00792A6C" w:rsidR="004C0E8B">
        <w:rPr>
          <w:szCs w:val="24"/>
        </w:rPr>
        <w:t>undoubtedly shaken whatever trust that Ohioans may have had in the political process used by their elected officials.</w:t>
      </w:r>
      <w:bookmarkEnd w:id="0"/>
      <w:r w:rsidRPr="00792A6C" w:rsidR="00EA706B">
        <w:rPr>
          <w:szCs w:val="24"/>
        </w:rPr>
        <w:t>”</w:t>
      </w:r>
      <w:r>
        <w:rPr>
          <w:rStyle w:val="FootnoteReference"/>
          <w:szCs w:val="24"/>
        </w:rPr>
        <w:footnoteReference w:id="6"/>
      </w:r>
      <w:r w:rsidRPr="00792A6C" w:rsidR="00BE3400">
        <w:rPr>
          <w:szCs w:val="24"/>
        </w:rPr>
        <w:t xml:space="preserve"> </w:t>
      </w:r>
      <w:r w:rsidRPr="00792A6C" w:rsidR="00D1757C">
        <w:rPr>
          <w:szCs w:val="24"/>
        </w:rPr>
        <w:t>Transparency is needed</w:t>
      </w:r>
      <w:r w:rsidRPr="00792A6C" w:rsidR="0090329F">
        <w:rPr>
          <w:szCs w:val="24"/>
        </w:rPr>
        <w:t xml:space="preserve"> to restore public trust.</w:t>
      </w:r>
    </w:p>
    <w:p w:rsidR="00D218B5" w:rsidRPr="00792A6C" w:rsidP="00F95DE5" w14:paraId="5803F88A" w14:textId="101312AC">
      <w:pPr>
        <w:spacing w:line="480" w:lineRule="auto"/>
        <w:ind w:firstLine="720"/>
        <w:rPr>
          <w:szCs w:val="24"/>
        </w:rPr>
      </w:pPr>
      <w:r w:rsidRPr="00792A6C">
        <w:rPr>
          <w:szCs w:val="24"/>
        </w:rPr>
        <w:t xml:space="preserve">FirstEnergy Corp. has </w:t>
      </w:r>
      <w:r w:rsidRPr="00792A6C" w:rsidR="005B051A">
        <w:rPr>
          <w:szCs w:val="24"/>
        </w:rPr>
        <w:t>moved the PUCO</w:t>
      </w:r>
      <w:r w:rsidRPr="00792A6C">
        <w:rPr>
          <w:szCs w:val="24"/>
        </w:rPr>
        <w:t xml:space="preserve"> for a protective order</w:t>
      </w:r>
      <w:r w:rsidRPr="00792A6C" w:rsidR="005B051A">
        <w:rPr>
          <w:szCs w:val="24"/>
        </w:rPr>
        <w:t>.</w:t>
      </w:r>
      <w:r>
        <w:rPr>
          <w:rStyle w:val="FootnoteReference"/>
          <w:szCs w:val="24"/>
        </w:rPr>
        <w:footnoteReference w:id="7"/>
      </w:r>
      <w:r w:rsidRPr="00792A6C">
        <w:rPr>
          <w:szCs w:val="24"/>
        </w:rPr>
        <w:t xml:space="preserve"> </w:t>
      </w:r>
      <w:r w:rsidRPr="00792A6C" w:rsidR="005B051A">
        <w:rPr>
          <w:szCs w:val="24"/>
        </w:rPr>
        <w:t xml:space="preserve">It </w:t>
      </w:r>
      <w:r w:rsidRPr="00792A6C" w:rsidR="00774AEF">
        <w:rPr>
          <w:szCs w:val="24"/>
        </w:rPr>
        <w:t xml:space="preserve">broadly </w:t>
      </w:r>
      <w:r w:rsidRPr="00792A6C" w:rsidR="00DA7CFC">
        <w:rPr>
          <w:szCs w:val="24"/>
        </w:rPr>
        <w:t>alleg</w:t>
      </w:r>
      <w:r w:rsidRPr="00792A6C" w:rsidR="005B051A">
        <w:rPr>
          <w:szCs w:val="24"/>
        </w:rPr>
        <w:t>es</w:t>
      </w:r>
      <w:r w:rsidRPr="00792A6C" w:rsidR="00DA7CFC">
        <w:rPr>
          <w:szCs w:val="24"/>
        </w:rPr>
        <w:t xml:space="preserve"> that </w:t>
      </w:r>
      <w:r w:rsidRPr="00792A6C" w:rsidR="00774AEF">
        <w:rPr>
          <w:szCs w:val="24"/>
        </w:rPr>
        <w:t>it</w:t>
      </w:r>
      <w:r w:rsidRPr="00792A6C">
        <w:rPr>
          <w:szCs w:val="24"/>
        </w:rPr>
        <w:t>s documents are trade secrets,</w:t>
      </w:r>
      <w:r>
        <w:rPr>
          <w:rStyle w:val="FootnoteReference"/>
          <w:szCs w:val="24"/>
        </w:rPr>
        <w:footnoteReference w:id="8"/>
      </w:r>
      <w:r w:rsidRPr="00792A6C">
        <w:rPr>
          <w:szCs w:val="24"/>
        </w:rPr>
        <w:t xml:space="preserve"> </w:t>
      </w:r>
      <w:r w:rsidRPr="00792A6C" w:rsidR="00DA7CFC">
        <w:rPr>
          <w:szCs w:val="24"/>
        </w:rPr>
        <w:t xml:space="preserve">and </w:t>
      </w:r>
      <w:r w:rsidRPr="00792A6C">
        <w:rPr>
          <w:szCs w:val="24"/>
        </w:rPr>
        <w:t>were produced in the ongoing federal investigations</w:t>
      </w:r>
      <w:r w:rsidRPr="00792A6C" w:rsidR="00774AEF">
        <w:rPr>
          <w:szCs w:val="24"/>
        </w:rPr>
        <w:t>, and thus must be kept secret</w:t>
      </w:r>
      <w:r w:rsidRPr="00792A6C" w:rsidR="00D40A51">
        <w:rPr>
          <w:szCs w:val="24"/>
        </w:rPr>
        <w:t xml:space="preserve"> to avoid “compromising or interfering with ongoing federal investigations</w:t>
      </w:r>
      <w:r w:rsidRPr="00792A6C" w:rsidR="006B2A39">
        <w:rPr>
          <w:szCs w:val="24"/>
        </w:rPr>
        <w:t>[.]</w:t>
      </w:r>
      <w:r w:rsidRPr="00792A6C" w:rsidR="00D40A51">
        <w:rPr>
          <w:szCs w:val="24"/>
        </w:rPr>
        <w:t>”</w:t>
      </w:r>
      <w:r>
        <w:rPr>
          <w:rStyle w:val="FootnoteReference"/>
          <w:szCs w:val="24"/>
        </w:rPr>
        <w:footnoteReference w:id="9"/>
      </w:r>
      <w:r w:rsidRPr="00792A6C" w:rsidR="00BE3400">
        <w:rPr>
          <w:szCs w:val="24"/>
        </w:rPr>
        <w:t xml:space="preserve"> </w:t>
      </w:r>
      <w:r w:rsidRPr="00792A6C" w:rsidR="00D40A51">
        <w:rPr>
          <w:szCs w:val="24"/>
        </w:rPr>
        <w:t xml:space="preserve">But Ohio Attorney General Yost noted, in </w:t>
      </w:r>
      <w:r w:rsidRPr="00792A6C" w:rsidR="00F95DE5">
        <w:rPr>
          <w:szCs w:val="24"/>
        </w:rPr>
        <w:t xml:space="preserve">a recent </w:t>
      </w:r>
      <w:r w:rsidRPr="00792A6C" w:rsidR="005B051A">
        <w:rPr>
          <w:szCs w:val="24"/>
        </w:rPr>
        <w:t xml:space="preserve">civil court </w:t>
      </w:r>
      <w:r w:rsidRPr="00792A6C" w:rsidR="00F95DE5">
        <w:rPr>
          <w:szCs w:val="24"/>
        </w:rPr>
        <w:t>pleading seeking to reengage in discovery</w:t>
      </w:r>
      <w:r w:rsidRPr="00792A6C" w:rsidR="008C27F6">
        <w:rPr>
          <w:szCs w:val="24"/>
        </w:rPr>
        <w:t xml:space="preserve"> regarding FirstEnergy</w:t>
      </w:r>
      <w:r w:rsidRPr="00792A6C" w:rsidR="00F95DE5">
        <w:rPr>
          <w:szCs w:val="24"/>
        </w:rPr>
        <w:t>, “</w:t>
      </w:r>
      <w:r w:rsidRPr="00792A6C" w:rsidR="00D40A51">
        <w:rPr>
          <w:szCs w:val="24"/>
        </w:rPr>
        <w:t>[t]he cows have left the barn. It is time to stop manning the only closed barn door.</w:t>
      </w:r>
      <w:r w:rsidRPr="00792A6C" w:rsidR="00F95DE5">
        <w:rPr>
          <w:szCs w:val="24"/>
        </w:rPr>
        <w:t>”</w:t>
      </w:r>
      <w:r>
        <w:rPr>
          <w:rStyle w:val="FootnoteReference"/>
          <w:szCs w:val="24"/>
        </w:rPr>
        <w:footnoteReference w:id="10"/>
      </w:r>
      <w:r w:rsidRPr="00792A6C" w:rsidR="00BE3400">
        <w:rPr>
          <w:szCs w:val="24"/>
        </w:rPr>
        <w:t xml:space="preserve"> </w:t>
      </w:r>
    </w:p>
    <w:p w:rsidR="00AC3781" w:rsidRPr="00792A6C" w:rsidP="000C3048" w14:paraId="0CCF3454" w14:textId="6A1B8530">
      <w:pPr>
        <w:spacing w:line="480" w:lineRule="auto"/>
        <w:ind w:firstLine="720"/>
        <w:rPr>
          <w:szCs w:val="24"/>
        </w:rPr>
      </w:pPr>
      <w:r w:rsidRPr="00792A6C">
        <w:rPr>
          <w:szCs w:val="24"/>
        </w:rPr>
        <w:t xml:space="preserve">FirstEnergy </w:t>
      </w:r>
      <w:r w:rsidRPr="00792A6C" w:rsidR="008041E3">
        <w:rPr>
          <w:szCs w:val="24"/>
        </w:rPr>
        <w:t xml:space="preserve">Corp. </w:t>
      </w:r>
      <w:r w:rsidRPr="00792A6C">
        <w:rPr>
          <w:szCs w:val="24"/>
        </w:rPr>
        <w:t xml:space="preserve">has not followed the </w:t>
      </w:r>
      <w:r w:rsidRPr="00792A6C" w:rsidR="00845710">
        <w:rPr>
          <w:szCs w:val="24"/>
        </w:rPr>
        <w:t xml:space="preserve">proper </w:t>
      </w:r>
      <w:r w:rsidRPr="00792A6C">
        <w:rPr>
          <w:szCs w:val="24"/>
        </w:rPr>
        <w:t>process in its protective agreement with OCC.</w:t>
      </w:r>
      <w:r w:rsidRPr="00792A6C" w:rsidR="00BE3400">
        <w:rPr>
          <w:szCs w:val="24"/>
        </w:rPr>
        <w:t xml:space="preserve"> </w:t>
      </w:r>
      <w:r w:rsidRPr="00792A6C" w:rsidR="008041E3">
        <w:rPr>
          <w:szCs w:val="24"/>
        </w:rPr>
        <w:t xml:space="preserve">That process that FirstEnergy Corp. agreed to was an </w:t>
      </w:r>
      <w:r w:rsidRPr="00792A6C" w:rsidR="008041E3">
        <w:rPr>
          <w:i/>
          <w:iCs/>
          <w:szCs w:val="24"/>
        </w:rPr>
        <w:t>in camera</w:t>
      </w:r>
      <w:r w:rsidRPr="00792A6C" w:rsidR="008041E3">
        <w:rPr>
          <w:szCs w:val="24"/>
        </w:rPr>
        <w:t xml:space="preserve"> review of documents </w:t>
      </w:r>
      <w:r w:rsidRPr="00792A6C" w:rsidR="00F15144">
        <w:rPr>
          <w:szCs w:val="24"/>
        </w:rPr>
        <w:t xml:space="preserve">to resolve arguments on </w:t>
      </w:r>
      <w:r w:rsidRPr="00792A6C" w:rsidR="00BE5FF3">
        <w:rPr>
          <w:szCs w:val="24"/>
        </w:rPr>
        <w:t>the confidentiality of discovery documents</w:t>
      </w:r>
      <w:r w:rsidRPr="00792A6C" w:rsidR="00F15144">
        <w:rPr>
          <w:szCs w:val="24"/>
        </w:rPr>
        <w:t>.</w:t>
      </w:r>
      <w:r w:rsidRPr="00792A6C" w:rsidR="008041E3">
        <w:rPr>
          <w:szCs w:val="24"/>
        </w:rPr>
        <w:t xml:space="preserve"> </w:t>
      </w:r>
      <w:r w:rsidRPr="00792A6C" w:rsidR="000C3048">
        <w:rPr>
          <w:szCs w:val="24"/>
        </w:rPr>
        <w:t>Nor has it met its burden to show that the documents should be kept secret.</w:t>
      </w:r>
      <w:r w:rsidRPr="00792A6C" w:rsidR="00BE3400">
        <w:rPr>
          <w:szCs w:val="24"/>
        </w:rPr>
        <w:t xml:space="preserve"> </w:t>
      </w:r>
      <w:r w:rsidRPr="00792A6C" w:rsidR="00D218B5">
        <w:rPr>
          <w:szCs w:val="24"/>
        </w:rPr>
        <w:t>Accordingly, t</w:t>
      </w:r>
      <w:r w:rsidRPr="00792A6C" w:rsidR="00477A19">
        <w:rPr>
          <w:szCs w:val="24"/>
        </w:rPr>
        <w:t>he PUCO should deny FirstEnergy</w:t>
      </w:r>
      <w:r w:rsidRPr="00792A6C">
        <w:rPr>
          <w:szCs w:val="24"/>
        </w:rPr>
        <w:t xml:space="preserve"> Corp.</w:t>
      </w:r>
      <w:r w:rsidRPr="00792A6C" w:rsidR="00477A19">
        <w:rPr>
          <w:szCs w:val="24"/>
        </w:rPr>
        <w:t xml:space="preserve">’s </w:t>
      </w:r>
      <w:r w:rsidRPr="00792A6C" w:rsidR="00E551E8">
        <w:rPr>
          <w:szCs w:val="24"/>
        </w:rPr>
        <w:t>M</w:t>
      </w:r>
      <w:r w:rsidRPr="00792A6C" w:rsidR="00477A19">
        <w:rPr>
          <w:szCs w:val="24"/>
        </w:rPr>
        <w:t>otion that would keep discovery documents secret.</w:t>
      </w:r>
      <w:r w:rsidRPr="00792A6C" w:rsidR="00BE3400">
        <w:rPr>
          <w:szCs w:val="24"/>
        </w:rPr>
        <w:t xml:space="preserve"> </w:t>
      </w:r>
    </w:p>
    <w:p w:rsidR="00F82D6D" w:rsidRPr="00792A6C" w:rsidP="00F82D6D" w14:paraId="078A7C3D" w14:textId="1AE29ECE">
      <w:pPr>
        <w:spacing w:line="480" w:lineRule="auto"/>
        <w:ind w:firstLine="720"/>
        <w:rPr>
          <w:rFonts w:eastAsiaTheme="majorEastAsia"/>
          <w:b/>
          <w:caps/>
          <w:color w:val="auto"/>
          <w:szCs w:val="24"/>
        </w:rPr>
      </w:pPr>
      <w:r w:rsidRPr="00792A6C">
        <w:rPr>
          <w:szCs w:val="24"/>
        </w:rPr>
        <w:t xml:space="preserve">If the PUCO does not </w:t>
      </w:r>
      <w:r w:rsidRPr="00792A6C" w:rsidR="008F06B9">
        <w:rPr>
          <w:szCs w:val="24"/>
        </w:rPr>
        <w:t xml:space="preserve">outright </w:t>
      </w:r>
      <w:r w:rsidRPr="00792A6C">
        <w:rPr>
          <w:szCs w:val="24"/>
        </w:rPr>
        <w:t>deny FirstEnergy</w:t>
      </w:r>
      <w:r w:rsidRPr="00792A6C" w:rsidR="006B2A39">
        <w:rPr>
          <w:szCs w:val="24"/>
        </w:rPr>
        <w:t xml:space="preserve"> Corp.</w:t>
      </w:r>
      <w:r w:rsidRPr="00792A6C">
        <w:rPr>
          <w:szCs w:val="24"/>
        </w:rPr>
        <w:t xml:space="preserve">’s </w:t>
      </w:r>
      <w:r w:rsidRPr="00792A6C" w:rsidR="00E551E8">
        <w:rPr>
          <w:szCs w:val="24"/>
        </w:rPr>
        <w:t>M</w:t>
      </w:r>
      <w:r w:rsidRPr="00792A6C">
        <w:rPr>
          <w:szCs w:val="24"/>
        </w:rPr>
        <w:t xml:space="preserve">otion, it should </w:t>
      </w:r>
      <w:r w:rsidRPr="00792A6C" w:rsidR="002178F3">
        <w:rPr>
          <w:szCs w:val="24"/>
        </w:rPr>
        <w:t>proceed to examine each of the documents</w:t>
      </w:r>
      <w:r w:rsidRPr="00792A6C" w:rsidR="008F06B9">
        <w:rPr>
          <w:szCs w:val="24"/>
        </w:rPr>
        <w:t xml:space="preserve">, through an </w:t>
      </w:r>
      <w:r w:rsidRPr="00792A6C" w:rsidR="008F06B9">
        <w:rPr>
          <w:i/>
          <w:iCs/>
          <w:szCs w:val="24"/>
        </w:rPr>
        <w:t>in camera</w:t>
      </w:r>
      <w:r w:rsidRPr="00792A6C" w:rsidR="008F06B9">
        <w:rPr>
          <w:szCs w:val="24"/>
        </w:rPr>
        <w:t xml:space="preserve"> review, where parties will be heard on the merits of FirstEnergy Corp.’s claims. </w:t>
      </w:r>
      <w:r w:rsidRPr="00792A6C" w:rsidR="002178F3">
        <w:rPr>
          <w:szCs w:val="24"/>
        </w:rPr>
        <w:t xml:space="preserve">Such an </w:t>
      </w:r>
      <w:r w:rsidRPr="00792A6C" w:rsidR="002178F3">
        <w:rPr>
          <w:i/>
          <w:iCs/>
          <w:szCs w:val="24"/>
        </w:rPr>
        <w:t>in camera</w:t>
      </w:r>
      <w:r w:rsidRPr="00792A6C" w:rsidR="002178F3">
        <w:rPr>
          <w:szCs w:val="24"/>
        </w:rPr>
        <w:t xml:space="preserve"> inspection is consistent with </w:t>
      </w:r>
      <w:r w:rsidRPr="00792A6C" w:rsidR="008F06B9">
        <w:rPr>
          <w:szCs w:val="24"/>
        </w:rPr>
        <w:t>the FirstEnergy Corp./OCC protective agreement</w:t>
      </w:r>
      <w:r w:rsidRPr="00792A6C" w:rsidR="006F2811">
        <w:rPr>
          <w:szCs w:val="24"/>
        </w:rPr>
        <w:t>.</w:t>
      </w:r>
      <w:r w:rsidRPr="00792A6C" w:rsidR="00BE3400">
        <w:rPr>
          <w:szCs w:val="24"/>
        </w:rPr>
        <w:t xml:space="preserve"> </w:t>
      </w:r>
      <w:r w:rsidRPr="00792A6C" w:rsidR="006F2811">
        <w:rPr>
          <w:szCs w:val="24"/>
        </w:rPr>
        <w:t xml:space="preserve">And it is necessary to determine whether </w:t>
      </w:r>
      <w:r w:rsidRPr="00792A6C" w:rsidR="00393A0A">
        <w:rPr>
          <w:szCs w:val="24"/>
        </w:rPr>
        <w:t>all the</w:t>
      </w:r>
      <w:r w:rsidRPr="00792A6C" w:rsidR="006F2811">
        <w:rPr>
          <w:szCs w:val="24"/>
        </w:rPr>
        <w:t xml:space="preserve"> materials </w:t>
      </w:r>
      <w:r w:rsidRPr="00792A6C" w:rsidR="00845710">
        <w:rPr>
          <w:szCs w:val="24"/>
        </w:rPr>
        <w:t xml:space="preserve">claimed by FirstEnergy </w:t>
      </w:r>
      <w:r w:rsidRPr="00792A6C" w:rsidR="006F2811">
        <w:rPr>
          <w:szCs w:val="24"/>
        </w:rPr>
        <w:t>are entitled to protection fr</w:t>
      </w:r>
      <w:r w:rsidRPr="00792A6C" w:rsidR="00AC3781">
        <w:rPr>
          <w:szCs w:val="24"/>
        </w:rPr>
        <w:t>o</w:t>
      </w:r>
      <w:r w:rsidRPr="00792A6C" w:rsidR="006F2811">
        <w:rPr>
          <w:szCs w:val="24"/>
        </w:rPr>
        <w:t>m disclosure.</w:t>
      </w:r>
      <w:r w:rsidRPr="00792A6C" w:rsidR="00BE3400">
        <w:rPr>
          <w:szCs w:val="24"/>
        </w:rPr>
        <w:t xml:space="preserve"> </w:t>
      </w:r>
      <w:r w:rsidRPr="00792A6C" w:rsidR="006F2811">
        <w:rPr>
          <w:i/>
          <w:iCs/>
          <w:szCs w:val="24"/>
        </w:rPr>
        <w:t>State ex rel Allright Parking of Cleveland Inc. v. Cleveland</w:t>
      </w:r>
      <w:r w:rsidRPr="00792A6C" w:rsidR="006F2811">
        <w:rPr>
          <w:szCs w:val="24"/>
        </w:rPr>
        <w:t xml:space="preserve"> (1992), 63 Ohio St.3d 772.</w:t>
      </w:r>
      <w:r w:rsidRPr="00792A6C">
        <w:rPr>
          <w:szCs w:val="24"/>
        </w:rPr>
        <w:br w:type="page"/>
      </w:r>
    </w:p>
    <w:p w:rsidR="009E593D" w:rsidRPr="00792A6C" w:rsidP="00575A23" w14:paraId="693FC938" w14:textId="74193EC8">
      <w:pPr>
        <w:pStyle w:val="Heading1"/>
        <w:rPr>
          <w:rFonts w:ascii="Times New Roman" w:hAnsi="Times New Roman" w:cs="Times New Roman"/>
          <w:szCs w:val="24"/>
        </w:rPr>
      </w:pPr>
      <w:r w:rsidRPr="00792A6C">
        <w:rPr>
          <w:rFonts w:ascii="Times New Roman" w:hAnsi="Times New Roman" w:cs="Times New Roman"/>
          <w:szCs w:val="24"/>
        </w:rPr>
        <w:t>II.</w:t>
      </w:r>
      <w:r w:rsidRPr="00792A6C">
        <w:rPr>
          <w:rFonts w:ascii="Times New Roman" w:hAnsi="Times New Roman" w:cs="Times New Roman"/>
          <w:szCs w:val="24"/>
        </w:rPr>
        <w:tab/>
      </w:r>
      <w:r w:rsidRPr="00792A6C">
        <w:rPr>
          <w:rFonts w:ascii="Times New Roman" w:hAnsi="Times New Roman" w:cs="Times New Roman"/>
          <w:szCs w:val="24"/>
        </w:rPr>
        <w:t>Argument</w:t>
      </w:r>
    </w:p>
    <w:p w:rsidR="00703BE2" w:rsidRPr="00792A6C" w:rsidP="00E341D2" w14:paraId="4FFDD221" w14:textId="7755D0C4">
      <w:pPr>
        <w:pStyle w:val="Heading2"/>
        <w:rPr>
          <w:rFonts w:ascii="Times New Roman" w:hAnsi="Times New Roman" w:cs="Times New Roman"/>
        </w:rPr>
      </w:pPr>
      <w:r w:rsidRPr="00792A6C">
        <w:rPr>
          <w:rFonts w:ascii="Times New Roman" w:hAnsi="Times New Roman" w:cs="Times New Roman"/>
        </w:rPr>
        <w:t>A.</w:t>
      </w:r>
      <w:r w:rsidRPr="00792A6C">
        <w:rPr>
          <w:rFonts w:ascii="Times New Roman" w:hAnsi="Times New Roman" w:cs="Times New Roman"/>
        </w:rPr>
        <w:tab/>
      </w:r>
      <w:r w:rsidRPr="00792A6C">
        <w:rPr>
          <w:rFonts w:ascii="Times New Roman" w:hAnsi="Times New Roman" w:cs="Times New Roman"/>
        </w:rPr>
        <w:t>FirstEnergy Corp.’s motion to keep documents secret</w:t>
      </w:r>
      <w:r w:rsidRPr="00792A6C" w:rsidR="009F5668">
        <w:rPr>
          <w:rFonts w:ascii="Times New Roman" w:hAnsi="Times New Roman" w:cs="Times New Roman"/>
        </w:rPr>
        <w:t xml:space="preserve"> from the public is improper and</w:t>
      </w:r>
      <w:r w:rsidRPr="00792A6C">
        <w:rPr>
          <w:rFonts w:ascii="Times New Roman" w:hAnsi="Times New Roman" w:cs="Times New Roman"/>
        </w:rPr>
        <w:t xml:space="preserve"> should be denied</w:t>
      </w:r>
      <w:r w:rsidRPr="00792A6C" w:rsidR="009A1AA7">
        <w:rPr>
          <w:rFonts w:ascii="Times New Roman" w:hAnsi="Times New Roman" w:cs="Times New Roman"/>
        </w:rPr>
        <w:t xml:space="preserve"> because FirstEnergy did not follow the process of the </w:t>
      </w:r>
      <w:r w:rsidRPr="00792A6C" w:rsidR="00146BD1">
        <w:rPr>
          <w:rFonts w:ascii="Times New Roman" w:hAnsi="Times New Roman" w:cs="Times New Roman"/>
        </w:rPr>
        <w:t>p</w:t>
      </w:r>
      <w:r w:rsidRPr="00792A6C" w:rsidR="009A1AA7">
        <w:rPr>
          <w:rFonts w:ascii="Times New Roman" w:hAnsi="Times New Roman" w:cs="Times New Roman"/>
        </w:rPr>
        <w:t xml:space="preserve">rotective </w:t>
      </w:r>
      <w:r w:rsidRPr="00792A6C" w:rsidR="00146BD1">
        <w:rPr>
          <w:rFonts w:ascii="Times New Roman" w:hAnsi="Times New Roman" w:cs="Times New Roman"/>
        </w:rPr>
        <w:t>a</w:t>
      </w:r>
      <w:r w:rsidRPr="00792A6C" w:rsidR="009A1AA7">
        <w:rPr>
          <w:rFonts w:ascii="Times New Roman" w:hAnsi="Times New Roman" w:cs="Times New Roman"/>
        </w:rPr>
        <w:t>greement</w:t>
      </w:r>
      <w:r w:rsidRPr="00792A6C" w:rsidR="006B2A39">
        <w:rPr>
          <w:rFonts w:ascii="Times New Roman" w:hAnsi="Times New Roman" w:cs="Times New Roman"/>
        </w:rPr>
        <w:t>.</w:t>
      </w:r>
    </w:p>
    <w:p w:rsidR="006B2A39" w:rsidRPr="00792A6C" w:rsidP="00E551E8" w14:paraId="77B9F967" w14:textId="79006A5C">
      <w:pPr>
        <w:spacing w:line="480" w:lineRule="auto"/>
        <w:ind w:firstLine="720"/>
        <w:rPr>
          <w:szCs w:val="24"/>
        </w:rPr>
      </w:pPr>
      <w:r w:rsidRPr="00792A6C">
        <w:rPr>
          <w:szCs w:val="24"/>
        </w:rPr>
        <w:t xml:space="preserve">As FirstEnergy Corp. explains, FirstEnergy Corp. and OCC </w:t>
      </w:r>
      <w:r w:rsidRPr="00792A6C" w:rsidR="005B051A">
        <w:rPr>
          <w:szCs w:val="24"/>
        </w:rPr>
        <w:t xml:space="preserve">entered </w:t>
      </w:r>
      <w:r w:rsidRPr="00792A6C">
        <w:rPr>
          <w:szCs w:val="24"/>
        </w:rPr>
        <w:t xml:space="preserve">a </w:t>
      </w:r>
      <w:r w:rsidRPr="00792A6C" w:rsidR="00E551E8">
        <w:rPr>
          <w:szCs w:val="24"/>
        </w:rPr>
        <w:t>protective</w:t>
      </w:r>
      <w:r w:rsidRPr="00792A6C">
        <w:rPr>
          <w:szCs w:val="24"/>
        </w:rPr>
        <w:t xml:space="preserve"> agreement</w:t>
      </w:r>
      <w:r w:rsidRPr="00792A6C" w:rsidR="005B051A">
        <w:rPr>
          <w:szCs w:val="24"/>
        </w:rPr>
        <w:t xml:space="preserve"> that is typical for PUCO cases.</w:t>
      </w:r>
      <w:r w:rsidRPr="00792A6C">
        <w:rPr>
          <w:szCs w:val="24"/>
        </w:rPr>
        <w:t xml:space="preserve"> </w:t>
      </w:r>
      <w:r w:rsidRPr="00792A6C" w:rsidR="005B051A">
        <w:rPr>
          <w:szCs w:val="24"/>
        </w:rPr>
        <w:t>The agreement enables OCC to have sooner access to FirstEnergy information on a confidential basis</w:t>
      </w:r>
      <w:r w:rsidRPr="00792A6C" w:rsidR="0078661A">
        <w:rPr>
          <w:szCs w:val="24"/>
        </w:rPr>
        <w:t xml:space="preserve"> through discovery</w:t>
      </w:r>
      <w:r w:rsidRPr="00792A6C" w:rsidR="005B051A">
        <w:rPr>
          <w:szCs w:val="24"/>
        </w:rPr>
        <w:t xml:space="preserve"> when FirstEnergy claims the information is confidential. The agreement provides a process for OCC to demand that FirstEnergy prove to the PUCO that any particular information is truly confidential or for FirstEnergy to concede that such information is not confidential</w:t>
      </w:r>
      <w:r w:rsidRPr="00792A6C">
        <w:rPr>
          <w:szCs w:val="24"/>
        </w:rPr>
        <w:t>.</w:t>
      </w:r>
      <w:r>
        <w:rPr>
          <w:rStyle w:val="FootnoteReference"/>
          <w:szCs w:val="24"/>
        </w:rPr>
        <w:footnoteReference w:id="11"/>
      </w:r>
      <w:r w:rsidRPr="00792A6C" w:rsidR="00BE3400">
        <w:rPr>
          <w:szCs w:val="24"/>
        </w:rPr>
        <w:t xml:space="preserve"> </w:t>
      </w:r>
      <w:r w:rsidRPr="00792A6C" w:rsidR="00E551E8">
        <w:rPr>
          <w:szCs w:val="24"/>
        </w:rPr>
        <w:t xml:space="preserve">Although FirstEnergy Corp. </w:t>
      </w:r>
      <w:r w:rsidRPr="00792A6C" w:rsidR="0078661A">
        <w:rPr>
          <w:szCs w:val="24"/>
        </w:rPr>
        <w:t xml:space="preserve">asserts that </w:t>
      </w:r>
      <w:r w:rsidRPr="00792A6C" w:rsidR="00E551E8">
        <w:rPr>
          <w:szCs w:val="24"/>
        </w:rPr>
        <w:t xml:space="preserve">the PUCO </w:t>
      </w:r>
      <w:r w:rsidRPr="00792A6C" w:rsidR="0078661A">
        <w:rPr>
          <w:szCs w:val="24"/>
        </w:rPr>
        <w:t>should</w:t>
      </w:r>
      <w:r w:rsidRPr="00792A6C" w:rsidR="00E551E8">
        <w:rPr>
          <w:szCs w:val="24"/>
        </w:rPr>
        <w:t xml:space="preserve"> </w:t>
      </w:r>
      <w:r w:rsidRPr="00792A6C" w:rsidR="00BE5FF3">
        <w:rPr>
          <w:szCs w:val="24"/>
        </w:rPr>
        <w:t xml:space="preserve">enforce the </w:t>
      </w:r>
      <w:r w:rsidRPr="00792A6C" w:rsidR="00E551E8">
        <w:rPr>
          <w:szCs w:val="24"/>
        </w:rPr>
        <w:t>protective agreement</w:t>
      </w:r>
      <w:r w:rsidRPr="00792A6C" w:rsidR="00BE5FF3">
        <w:rPr>
          <w:szCs w:val="24"/>
        </w:rPr>
        <w:t xml:space="preserve"> by protecting the sensitive information</w:t>
      </w:r>
      <w:r w:rsidRPr="00792A6C" w:rsidR="00E551E8">
        <w:rPr>
          <w:szCs w:val="24"/>
        </w:rPr>
        <w:t>,</w:t>
      </w:r>
      <w:r>
        <w:rPr>
          <w:rStyle w:val="FootnoteReference"/>
          <w:szCs w:val="24"/>
        </w:rPr>
        <w:footnoteReference w:id="12"/>
      </w:r>
      <w:r w:rsidRPr="00792A6C" w:rsidR="00E551E8">
        <w:rPr>
          <w:szCs w:val="24"/>
        </w:rPr>
        <w:t xml:space="preserve"> it has </w:t>
      </w:r>
      <w:r w:rsidRPr="00792A6C" w:rsidR="00E551E8">
        <w:rPr>
          <w:i/>
          <w:iCs/>
          <w:szCs w:val="24"/>
        </w:rPr>
        <w:t xml:space="preserve">not </w:t>
      </w:r>
      <w:r w:rsidRPr="00792A6C" w:rsidR="00E551E8">
        <w:rPr>
          <w:szCs w:val="24"/>
        </w:rPr>
        <w:t xml:space="preserve">followed </w:t>
      </w:r>
      <w:r w:rsidRPr="00792A6C" w:rsidR="00BE5FF3">
        <w:rPr>
          <w:szCs w:val="24"/>
        </w:rPr>
        <w:t>the protective agreement itself.</w:t>
      </w:r>
      <w:r w:rsidRPr="00792A6C" w:rsidR="00E551E8">
        <w:rPr>
          <w:szCs w:val="24"/>
        </w:rPr>
        <w:t xml:space="preserve"> Accordingly, its motion for protective order should be denied.</w:t>
      </w:r>
    </w:p>
    <w:p w:rsidR="00E551E8" w:rsidRPr="00792A6C" w:rsidP="00E551E8" w14:paraId="51FB095D" w14:textId="63013E7F">
      <w:pPr>
        <w:spacing w:line="480" w:lineRule="auto"/>
        <w:ind w:firstLine="720"/>
        <w:rPr>
          <w:szCs w:val="24"/>
        </w:rPr>
      </w:pPr>
      <w:r w:rsidRPr="00792A6C">
        <w:rPr>
          <w:szCs w:val="24"/>
        </w:rPr>
        <w:t xml:space="preserve">Under the protective agreement, </w:t>
      </w:r>
      <w:r w:rsidRPr="00792A6C">
        <w:rPr>
          <w:szCs w:val="24"/>
        </w:rPr>
        <w:t xml:space="preserve">OCC </w:t>
      </w:r>
      <w:r w:rsidRPr="00792A6C">
        <w:rPr>
          <w:szCs w:val="24"/>
        </w:rPr>
        <w:t>exercised its right to give</w:t>
      </w:r>
      <w:r w:rsidRPr="00792A6C">
        <w:rPr>
          <w:szCs w:val="24"/>
        </w:rPr>
        <w:t xml:space="preserve"> notice to FirstEnergy Corp. </w:t>
      </w:r>
      <w:r w:rsidRPr="00792A6C">
        <w:rPr>
          <w:szCs w:val="24"/>
        </w:rPr>
        <w:t xml:space="preserve">that certain documents it claims to be confidential are not in fact confidential. </w:t>
      </w:r>
      <w:r w:rsidRPr="00792A6C">
        <w:rPr>
          <w:szCs w:val="24"/>
        </w:rPr>
        <w:t xml:space="preserve">FirstEnergy Corp. </w:t>
      </w:r>
      <w:r w:rsidRPr="00792A6C">
        <w:rPr>
          <w:szCs w:val="24"/>
        </w:rPr>
        <w:t>then</w:t>
      </w:r>
      <w:r w:rsidRPr="00792A6C">
        <w:rPr>
          <w:szCs w:val="24"/>
        </w:rPr>
        <w:t xml:space="preserve"> filed its Motion to keep the documents secret</w:t>
      </w:r>
      <w:r w:rsidRPr="00792A6C">
        <w:rPr>
          <w:szCs w:val="24"/>
        </w:rPr>
        <w:t>.</w:t>
      </w:r>
      <w:r w:rsidRPr="00792A6C">
        <w:rPr>
          <w:szCs w:val="24"/>
        </w:rPr>
        <w:t xml:space="preserve"> </w:t>
      </w:r>
      <w:r w:rsidRPr="00792A6C">
        <w:rPr>
          <w:szCs w:val="24"/>
        </w:rPr>
        <w:t>P</w:t>
      </w:r>
      <w:r w:rsidRPr="00792A6C">
        <w:rPr>
          <w:szCs w:val="24"/>
        </w:rPr>
        <w:t>aragraph 10 of the protective agreement comes into play. It provides:</w:t>
      </w:r>
    </w:p>
    <w:p w:rsidR="00E551E8" w:rsidRPr="00792A6C" w:rsidP="00E551E8" w14:paraId="26A312D2" w14:textId="77777777">
      <w:pPr>
        <w:ind w:left="1440" w:right="1440"/>
        <w:rPr>
          <w:szCs w:val="24"/>
        </w:rPr>
      </w:pPr>
      <w:r w:rsidRPr="00792A6C">
        <w:rPr>
          <w:szCs w:val="24"/>
        </w:rPr>
        <w:t xml:space="preserve">The Parties agree to seek </w:t>
      </w:r>
      <w:r w:rsidRPr="00792A6C">
        <w:rPr>
          <w:i/>
          <w:iCs/>
          <w:szCs w:val="24"/>
        </w:rPr>
        <w:t>in camera</w:t>
      </w:r>
      <w:r w:rsidRPr="00792A6C">
        <w:rPr>
          <w:szCs w:val="24"/>
        </w:rPr>
        <w:t xml:space="preserve"> proceedings by the administrative agency of competent jurisdiction or court of competent jurisdiction for arguments or for the examination of a witness that would disclose Protected Materials. Such </w:t>
      </w:r>
      <w:r w:rsidRPr="00792A6C">
        <w:rPr>
          <w:i/>
          <w:iCs/>
          <w:szCs w:val="24"/>
        </w:rPr>
        <w:t>in camera</w:t>
      </w:r>
      <w:r w:rsidRPr="00792A6C">
        <w:rPr>
          <w:szCs w:val="24"/>
        </w:rPr>
        <w:t xml:space="preserve"> proceedings will be open only to the Parties, their counsel, other OCC Authorized Representatives, and others authorized by the administrative agency or court to be present; however, characterizations of the Protected Materials that do not disclose the Protected Materials may be used in public.</w:t>
      </w:r>
      <w:r>
        <w:rPr>
          <w:rStyle w:val="FootnoteReference"/>
          <w:szCs w:val="24"/>
        </w:rPr>
        <w:footnoteReference w:id="13"/>
      </w:r>
      <w:r w:rsidRPr="00792A6C">
        <w:rPr>
          <w:szCs w:val="24"/>
        </w:rPr>
        <w:t xml:space="preserve"> </w:t>
      </w:r>
    </w:p>
    <w:p w:rsidR="00E551E8" w:rsidRPr="00792A6C" w:rsidP="00E551E8" w14:paraId="2AEE294C" w14:textId="6CF2B7AE">
      <w:pPr>
        <w:spacing w:line="480" w:lineRule="auto"/>
        <w:rPr>
          <w:szCs w:val="24"/>
        </w:rPr>
      </w:pPr>
      <w:r w:rsidRPr="00792A6C">
        <w:rPr>
          <w:szCs w:val="24"/>
        </w:rPr>
        <w:t xml:space="preserve">Accordingly, FirstEnergy Corp. is required to seek </w:t>
      </w:r>
      <w:r w:rsidRPr="00792A6C">
        <w:rPr>
          <w:i/>
          <w:iCs/>
          <w:szCs w:val="24"/>
        </w:rPr>
        <w:t xml:space="preserve">in camera </w:t>
      </w:r>
      <w:r w:rsidRPr="00792A6C">
        <w:rPr>
          <w:szCs w:val="24"/>
        </w:rPr>
        <w:t>proceedings and argument on its claims that certain discovery documents should be kept secret.</w:t>
      </w:r>
      <w:r w:rsidRPr="00792A6C" w:rsidR="00BE3400">
        <w:rPr>
          <w:szCs w:val="24"/>
        </w:rPr>
        <w:t xml:space="preserve"> </w:t>
      </w:r>
      <w:r w:rsidRPr="00792A6C">
        <w:rPr>
          <w:szCs w:val="24"/>
        </w:rPr>
        <w:t>It has not done so.</w:t>
      </w:r>
      <w:r w:rsidRPr="00792A6C" w:rsidR="00BE3400">
        <w:rPr>
          <w:szCs w:val="24"/>
        </w:rPr>
        <w:t xml:space="preserve"> </w:t>
      </w:r>
      <w:r w:rsidRPr="00792A6C">
        <w:rPr>
          <w:szCs w:val="24"/>
        </w:rPr>
        <w:t>Its Motion should therefore be denied.</w:t>
      </w:r>
    </w:p>
    <w:p w:rsidR="006F2811" w:rsidRPr="00792A6C" w:rsidP="007555FD" w14:paraId="092CA9F1" w14:textId="06CDCCB7">
      <w:pPr>
        <w:spacing w:line="480" w:lineRule="auto"/>
        <w:rPr>
          <w:szCs w:val="24"/>
        </w:rPr>
      </w:pPr>
      <w:r w:rsidRPr="00792A6C">
        <w:rPr>
          <w:szCs w:val="24"/>
        </w:rPr>
        <w:tab/>
        <w:t>Further, FirstEnergy Corp. bears the burden of showing that the discovery documents should be kept secret.</w:t>
      </w:r>
      <w:r>
        <w:rPr>
          <w:rStyle w:val="FootnoteReference"/>
          <w:szCs w:val="24"/>
        </w:rPr>
        <w:footnoteReference w:id="14"/>
      </w:r>
      <w:r w:rsidRPr="00792A6C" w:rsidR="00BE3400">
        <w:rPr>
          <w:szCs w:val="24"/>
        </w:rPr>
        <w:t xml:space="preserve"> </w:t>
      </w:r>
      <w:r w:rsidRPr="00792A6C">
        <w:rPr>
          <w:szCs w:val="24"/>
        </w:rPr>
        <w:t>It has not met that burden.</w:t>
      </w:r>
      <w:r w:rsidRPr="00792A6C" w:rsidR="007555FD">
        <w:rPr>
          <w:szCs w:val="24"/>
        </w:rPr>
        <w:t xml:space="preserve"> </w:t>
      </w:r>
    </w:p>
    <w:p w:rsidR="007555FD" w:rsidRPr="00792A6C" w:rsidP="006F2811" w14:paraId="4AD0D688" w14:textId="3792DD1E">
      <w:pPr>
        <w:spacing w:line="480" w:lineRule="auto"/>
        <w:ind w:firstLine="720"/>
        <w:rPr>
          <w:szCs w:val="24"/>
        </w:rPr>
      </w:pPr>
      <w:r w:rsidRPr="00792A6C">
        <w:rPr>
          <w:szCs w:val="24"/>
        </w:rPr>
        <w:t xml:space="preserve">R.C. 4905.07 provides that “[e]xcept as provided in section 149.43 of the Revised Code and as consistent with the purposes of Title XLIX of the Revised Code, all facts and information in the possession of the public utilities commission shall be public </w:t>
      </w:r>
      <w:r w:rsidRPr="00792A6C" w:rsidR="00300E16">
        <w:rPr>
          <w:szCs w:val="24"/>
        </w:rPr>
        <w:t xml:space="preserve">***.” </w:t>
      </w:r>
      <w:r w:rsidRPr="00792A6C">
        <w:rPr>
          <w:szCs w:val="24"/>
        </w:rPr>
        <w:t>R. C 4901.12 requires that “all proceedings of the public utilities commission and all documents and records in its possession are public records, except as provided in the exceptions under R.C. 149.43.”</w:t>
      </w:r>
      <w:r w:rsidRPr="00792A6C" w:rsidR="00BE3400">
        <w:rPr>
          <w:szCs w:val="24"/>
        </w:rPr>
        <w:t xml:space="preserve"> </w:t>
      </w:r>
      <w:r w:rsidRPr="00792A6C">
        <w:rPr>
          <w:szCs w:val="24"/>
        </w:rPr>
        <w:t>The PUCO has noted that R.C.</w:t>
      </w:r>
      <w:r w:rsidRPr="00792A6C" w:rsidR="00BE3400">
        <w:rPr>
          <w:szCs w:val="24"/>
        </w:rPr>
        <w:t xml:space="preserve"> </w:t>
      </w:r>
      <w:r w:rsidRPr="00792A6C">
        <w:rPr>
          <w:szCs w:val="24"/>
        </w:rPr>
        <w:t>4901.12 and R.C. 4905.07 “provide a strong presumption in favor of disclosure, which the party claiming protective status must overcome.”</w:t>
      </w:r>
      <w:r>
        <w:rPr>
          <w:rStyle w:val="FootnoteReference"/>
          <w:szCs w:val="24"/>
        </w:rPr>
        <w:footnoteReference w:id="15"/>
      </w:r>
      <w:r w:rsidRPr="00792A6C">
        <w:rPr>
          <w:szCs w:val="24"/>
        </w:rPr>
        <w:t xml:space="preserve"> </w:t>
      </w:r>
    </w:p>
    <w:p w:rsidR="007555FD" w:rsidRPr="00792A6C" w:rsidP="00B52DE5" w14:paraId="44509BCD" w14:textId="1B317DC6">
      <w:pPr>
        <w:spacing w:line="480" w:lineRule="auto"/>
        <w:ind w:firstLine="720"/>
        <w:rPr>
          <w:szCs w:val="24"/>
        </w:rPr>
      </w:pPr>
      <w:r w:rsidRPr="00792A6C">
        <w:rPr>
          <w:szCs w:val="24"/>
        </w:rPr>
        <w:t xml:space="preserve">When determining whether to issue a protective order, </w:t>
      </w:r>
      <w:r w:rsidRPr="00792A6C" w:rsidR="00682DE1">
        <w:rPr>
          <w:szCs w:val="24"/>
        </w:rPr>
        <w:t xml:space="preserve">the PUCO has found it </w:t>
      </w:r>
      <w:r w:rsidRPr="00792A6C">
        <w:rPr>
          <w:szCs w:val="24"/>
        </w:rPr>
        <w:t>necessary to review the materials in question; to assess whether the information constitutes a trade secret under Ohio law; to decide whether nondisclosure of the materials will be consistent with the purposes of Title 49 Revis</w:t>
      </w:r>
      <w:r w:rsidRPr="00792A6C" w:rsidR="00300E16">
        <w:rPr>
          <w:szCs w:val="24"/>
        </w:rPr>
        <w:t>ed</w:t>
      </w:r>
      <w:r w:rsidRPr="00792A6C">
        <w:rPr>
          <w:szCs w:val="24"/>
        </w:rPr>
        <w:t xml:space="preserve"> Code; and to evaluate whether the confidential material can reasonably be redacted.</w:t>
      </w:r>
      <w:r>
        <w:rPr>
          <w:rStyle w:val="FootnoteReference"/>
          <w:szCs w:val="24"/>
        </w:rPr>
        <w:footnoteReference w:id="16"/>
      </w:r>
      <w:r w:rsidRPr="00792A6C" w:rsidR="00BE3400">
        <w:rPr>
          <w:szCs w:val="24"/>
        </w:rPr>
        <w:t xml:space="preserve"> </w:t>
      </w:r>
      <w:r w:rsidRPr="00792A6C">
        <w:rPr>
          <w:szCs w:val="24"/>
        </w:rPr>
        <w:t xml:space="preserve">The PUCO has </w:t>
      </w:r>
      <w:r w:rsidRPr="00792A6C" w:rsidR="00682DE1">
        <w:rPr>
          <w:szCs w:val="24"/>
        </w:rPr>
        <w:t xml:space="preserve">also </w:t>
      </w:r>
      <w:r w:rsidRPr="00792A6C">
        <w:rPr>
          <w:szCs w:val="24"/>
        </w:rPr>
        <w:t>noted</w:t>
      </w:r>
      <w:r w:rsidRPr="00792A6C" w:rsidR="00B52DE5">
        <w:rPr>
          <w:szCs w:val="24"/>
        </w:rPr>
        <w:t xml:space="preserve"> that</w:t>
      </w:r>
      <w:r w:rsidRPr="00792A6C">
        <w:rPr>
          <w:szCs w:val="24"/>
        </w:rPr>
        <w:t xml:space="preserve"> “it is necessary to strike a balance between competing interests.</w:t>
      </w:r>
      <w:r w:rsidRPr="00792A6C" w:rsidR="00BE3400">
        <w:rPr>
          <w:szCs w:val="24"/>
        </w:rPr>
        <w:t xml:space="preserve"> </w:t>
      </w:r>
      <w:r w:rsidRPr="00792A6C">
        <w:rPr>
          <w:szCs w:val="24"/>
        </w:rPr>
        <w:t xml:space="preserve">On the one hand, </w:t>
      </w:r>
      <w:r w:rsidRPr="00792A6C">
        <w:rPr>
          <w:szCs w:val="24"/>
        </w:rPr>
        <w:t>there is the applicant’s interest in keeping certain business information from the eyes and ears of its competitors.</w:t>
      </w:r>
      <w:r w:rsidRPr="00792A6C" w:rsidR="00BE3400">
        <w:rPr>
          <w:szCs w:val="24"/>
        </w:rPr>
        <w:t xml:space="preserve"> </w:t>
      </w:r>
      <w:r w:rsidRPr="00792A6C">
        <w:rPr>
          <w:szCs w:val="24"/>
        </w:rPr>
        <w:t>On the other hand, there is the Commission’s own interest in deciding this case through a fair and open process, being careful to establish a record which allows for public scrutiny of the basis for the Commission’s decision.”</w:t>
      </w:r>
      <w:r>
        <w:rPr>
          <w:rStyle w:val="FootnoteReference"/>
          <w:szCs w:val="24"/>
        </w:rPr>
        <w:footnoteReference w:id="17"/>
      </w:r>
      <w:r w:rsidRPr="00792A6C" w:rsidR="00BE3400">
        <w:rPr>
          <w:szCs w:val="24"/>
        </w:rPr>
        <w:t xml:space="preserve"> </w:t>
      </w:r>
      <w:r w:rsidRPr="00792A6C" w:rsidR="002845B8">
        <w:rPr>
          <w:szCs w:val="24"/>
        </w:rPr>
        <w:t>Public scrutiny in this case is</w:t>
      </w:r>
      <w:r w:rsidRPr="00792A6C" w:rsidR="00BE3400">
        <w:rPr>
          <w:szCs w:val="24"/>
        </w:rPr>
        <w:t xml:space="preserve"> </w:t>
      </w:r>
      <w:r w:rsidRPr="00792A6C" w:rsidR="0078556A">
        <w:rPr>
          <w:szCs w:val="24"/>
        </w:rPr>
        <w:t>especially needed, as noted by U.S. District Judge John Adams, where “[t]his bribery scheme has undoubtedly shaken whatever trust that Ohioans may have had in the political process used by their elected officials.</w:t>
      </w:r>
      <w:r w:rsidRPr="00792A6C" w:rsidR="00BE3400">
        <w:rPr>
          <w:szCs w:val="24"/>
        </w:rPr>
        <w:t xml:space="preserve"> </w:t>
      </w:r>
      <w:r w:rsidRPr="00792A6C" w:rsidR="0078556A">
        <w:rPr>
          <w:szCs w:val="24"/>
        </w:rPr>
        <w:t>The public has a right to know how it is that the political process was so easily corrupted.”</w:t>
      </w:r>
      <w:r>
        <w:rPr>
          <w:rStyle w:val="FootnoteReference"/>
          <w:szCs w:val="24"/>
        </w:rPr>
        <w:footnoteReference w:id="18"/>
      </w:r>
      <w:r w:rsidRPr="00792A6C" w:rsidR="0078556A">
        <w:rPr>
          <w:szCs w:val="24"/>
        </w:rPr>
        <w:t xml:space="preserve"> </w:t>
      </w:r>
    </w:p>
    <w:p w:rsidR="002845B8" w:rsidRPr="00792A6C" w:rsidP="007555FD" w14:paraId="3A37969E" w14:textId="6C17D46C">
      <w:pPr>
        <w:spacing w:line="480" w:lineRule="auto"/>
        <w:ind w:firstLine="720"/>
        <w:rPr>
          <w:szCs w:val="24"/>
        </w:rPr>
      </w:pPr>
      <w:r w:rsidRPr="00792A6C">
        <w:rPr>
          <w:szCs w:val="24"/>
        </w:rPr>
        <w:t>But FirstEnergy Corp. wants to short-circuit the process and avoid the deliberate review that must occur before the PUCO</w:t>
      </w:r>
      <w:r w:rsidRPr="00792A6C" w:rsidR="002B49BE">
        <w:rPr>
          <w:szCs w:val="24"/>
        </w:rPr>
        <w:t xml:space="preserve"> makes a</w:t>
      </w:r>
      <w:r w:rsidRPr="00792A6C">
        <w:rPr>
          <w:szCs w:val="24"/>
        </w:rPr>
        <w:t xml:space="preserve"> rul</w:t>
      </w:r>
      <w:r w:rsidRPr="00792A6C" w:rsidR="002B49BE">
        <w:rPr>
          <w:szCs w:val="24"/>
        </w:rPr>
        <w:t>ing</w:t>
      </w:r>
      <w:r w:rsidRPr="00792A6C">
        <w:rPr>
          <w:szCs w:val="24"/>
        </w:rPr>
        <w:t xml:space="preserve"> on FirstEnergy Corp.’s motion for secrecy. </w:t>
      </w:r>
      <w:r w:rsidRPr="00792A6C" w:rsidR="00E551E8">
        <w:rPr>
          <w:szCs w:val="24"/>
        </w:rPr>
        <w:t xml:space="preserve">All that </w:t>
      </w:r>
      <w:r w:rsidRPr="00792A6C" w:rsidR="00174FD5">
        <w:rPr>
          <w:szCs w:val="24"/>
        </w:rPr>
        <w:t xml:space="preserve">FirstEnergy Corp. has provided to the </w:t>
      </w:r>
      <w:r w:rsidRPr="00792A6C" w:rsidR="00E551E8">
        <w:rPr>
          <w:szCs w:val="24"/>
        </w:rPr>
        <w:t xml:space="preserve">PUCO </w:t>
      </w:r>
      <w:r w:rsidRPr="00792A6C" w:rsidR="00174FD5">
        <w:rPr>
          <w:szCs w:val="24"/>
        </w:rPr>
        <w:t>are its untested</w:t>
      </w:r>
      <w:r w:rsidRPr="00792A6C" w:rsidR="00E551E8">
        <w:rPr>
          <w:szCs w:val="24"/>
        </w:rPr>
        <w:t xml:space="preserve"> assertions.</w:t>
      </w:r>
      <w:r w:rsidRPr="00792A6C" w:rsidR="00BE3400">
        <w:rPr>
          <w:szCs w:val="24"/>
        </w:rPr>
        <w:t xml:space="preserve"> </w:t>
      </w:r>
      <w:r w:rsidRPr="00792A6C">
        <w:rPr>
          <w:szCs w:val="24"/>
        </w:rPr>
        <w:t xml:space="preserve">FirstEnergy Corp.’s assertions in its Motion have not been subject to questioning, either by the PUCO or OCC (as required under the protective agreement). </w:t>
      </w:r>
    </w:p>
    <w:p w:rsidR="001D5323" w:rsidRPr="00792A6C" w:rsidP="00FF399D" w14:paraId="68EDA9EB" w14:textId="41794C8A">
      <w:pPr>
        <w:spacing w:line="480" w:lineRule="auto"/>
        <w:rPr>
          <w:szCs w:val="24"/>
        </w:rPr>
      </w:pPr>
      <w:r w:rsidRPr="00792A6C">
        <w:rPr>
          <w:szCs w:val="24"/>
        </w:rPr>
        <w:tab/>
        <w:t>FirstEnergy Corp.’s Motion should be denied.</w:t>
      </w:r>
      <w:r w:rsidRPr="00792A6C" w:rsidR="00BE3400">
        <w:rPr>
          <w:szCs w:val="24"/>
        </w:rPr>
        <w:t xml:space="preserve"> </w:t>
      </w:r>
    </w:p>
    <w:p w:rsidR="009E593D" w:rsidRPr="00792A6C" w:rsidP="00E341D2" w14:paraId="4F17668C" w14:textId="1A79711C">
      <w:pPr>
        <w:pStyle w:val="Heading2"/>
        <w:rPr>
          <w:rFonts w:ascii="Times New Roman" w:hAnsi="Times New Roman" w:cs="Times New Roman"/>
        </w:rPr>
      </w:pPr>
      <w:r w:rsidRPr="00792A6C">
        <w:rPr>
          <w:rFonts w:ascii="Times New Roman" w:hAnsi="Times New Roman" w:cs="Times New Roman"/>
        </w:rPr>
        <w:t>B.</w:t>
      </w:r>
      <w:r w:rsidRPr="00792A6C">
        <w:rPr>
          <w:rFonts w:ascii="Times New Roman" w:hAnsi="Times New Roman" w:cs="Times New Roman"/>
        </w:rPr>
        <w:tab/>
      </w:r>
      <w:r w:rsidRPr="00792A6C" w:rsidR="00E12946">
        <w:rPr>
          <w:rFonts w:ascii="Times New Roman" w:hAnsi="Times New Roman" w:cs="Times New Roman"/>
        </w:rPr>
        <w:t>If the PUCO does not deny FirstEnergy Corp.’s motion</w:t>
      </w:r>
      <w:r w:rsidRPr="00792A6C" w:rsidR="00A37804">
        <w:rPr>
          <w:rFonts w:ascii="Times New Roman" w:hAnsi="Times New Roman" w:cs="Times New Roman"/>
        </w:rPr>
        <w:t xml:space="preserve"> as being in noncompliance with the protective agreement</w:t>
      </w:r>
      <w:r w:rsidRPr="00792A6C" w:rsidR="00E12946">
        <w:rPr>
          <w:rFonts w:ascii="Times New Roman" w:hAnsi="Times New Roman" w:cs="Times New Roman"/>
        </w:rPr>
        <w:t>, t</w:t>
      </w:r>
      <w:r w:rsidRPr="00792A6C">
        <w:rPr>
          <w:rFonts w:ascii="Times New Roman" w:hAnsi="Times New Roman" w:cs="Times New Roman"/>
        </w:rPr>
        <w:t xml:space="preserve">he PUCO </w:t>
      </w:r>
      <w:r w:rsidRPr="00792A6C" w:rsidR="00146BD1">
        <w:rPr>
          <w:rFonts w:ascii="Times New Roman" w:hAnsi="Times New Roman" w:cs="Times New Roman"/>
        </w:rPr>
        <w:t>s</w:t>
      </w:r>
      <w:r w:rsidRPr="00792A6C">
        <w:rPr>
          <w:rFonts w:ascii="Times New Roman" w:hAnsi="Times New Roman" w:cs="Times New Roman"/>
        </w:rPr>
        <w:t xml:space="preserve">hould </w:t>
      </w:r>
      <w:r w:rsidRPr="00792A6C" w:rsidR="00146BD1">
        <w:rPr>
          <w:rFonts w:ascii="Times New Roman" w:hAnsi="Times New Roman" w:cs="Times New Roman"/>
        </w:rPr>
        <w:t>c</w:t>
      </w:r>
      <w:r w:rsidRPr="00792A6C">
        <w:rPr>
          <w:rFonts w:ascii="Times New Roman" w:hAnsi="Times New Roman" w:cs="Times New Roman"/>
        </w:rPr>
        <w:t xml:space="preserve">onduct an </w:t>
      </w:r>
      <w:r w:rsidRPr="00792A6C" w:rsidR="00146BD1">
        <w:rPr>
          <w:rFonts w:ascii="Times New Roman" w:hAnsi="Times New Roman" w:cs="Times New Roman"/>
          <w:i/>
          <w:iCs/>
        </w:rPr>
        <w:t>i</w:t>
      </w:r>
      <w:r w:rsidRPr="00792A6C">
        <w:rPr>
          <w:rFonts w:ascii="Times New Roman" w:hAnsi="Times New Roman" w:cs="Times New Roman"/>
          <w:i/>
          <w:iCs/>
        </w:rPr>
        <w:t xml:space="preserve">n </w:t>
      </w:r>
      <w:r w:rsidRPr="00792A6C" w:rsidR="00146BD1">
        <w:rPr>
          <w:rFonts w:ascii="Times New Roman" w:hAnsi="Times New Roman" w:cs="Times New Roman"/>
          <w:i/>
          <w:iCs/>
        </w:rPr>
        <w:t>c</w:t>
      </w:r>
      <w:r w:rsidRPr="00792A6C">
        <w:rPr>
          <w:rFonts w:ascii="Times New Roman" w:hAnsi="Times New Roman" w:cs="Times New Roman"/>
          <w:i/>
          <w:iCs/>
        </w:rPr>
        <w:t>amera</w:t>
      </w:r>
      <w:r w:rsidRPr="00792A6C">
        <w:rPr>
          <w:rFonts w:ascii="Times New Roman" w:hAnsi="Times New Roman" w:cs="Times New Roman"/>
        </w:rPr>
        <w:t xml:space="preserve"> </w:t>
      </w:r>
      <w:r w:rsidRPr="00792A6C" w:rsidR="00146BD1">
        <w:rPr>
          <w:rFonts w:ascii="Times New Roman" w:hAnsi="Times New Roman" w:cs="Times New Roman"/>
        </w:rPr>
        <w:t>r</w:t>
      </w:r>
      <w:r w:rsidRPr="00792A6C">
        <w:rPr>
          <w:rFonts w:ascii="Times New Roman" w:hAnsi="Times New Roman" w:cs="Times New Roman"/>
        </w:rPr>
        <w:t xml:space="preserve">eview of, and </w:t>
      </w:r>
      <w:r w:rsidRPr="00792A6C" w:rsidR="00146BD1">
        <w:rPr>
          <w:rFonts w:ascii="Times New Roman" w:hAnsi="Times New Roman" w:cs="Times New Roman"/>
        </w:rPr>
        <w:t>h</w:t>
      </w:r>
      <w:r w:rsidRPr="00792A6C">
        <w:rPr>
          <w:rFonts w:ascii="Times New Roman" w:hAnsi="Times New Roman" w:cs="Times New Roman"/>
        </w:rPr>
        <w:t xml:space="preserve">ear </w:t>
      </w:r>
      <w:r w:rsidRPr="00792A6C" w:rsidR="00146BD1">
        <w:rPr>
          <w:rFonts w:ascii="Times New Roman" w:hAnsi="Times New Roman" w:cs="Times New Roman"/>
        </w:rPr>
        <w:t>a</w:t>
      </w:r>
      <w:r w:rsidRPr="00792A6C">
        <w:rPr>
          <w:rFonts w:ascii="Times New Roman" w:hAnsi="Times New Roman" w:cs="Times New Roman"/>
        </w:rPr>
        <w:t xml:space="preserve">rguments </w:t>
      </w:r>
      <w:r w:rsidRPr="00792A6C" w:rsidR="00146BD1">
        <w:rPr>
          <w:rFonts w:ascii="Times New Roman" w:hAnsi="Times New Roman" w:cs="Times New Roman"/>
        </w:rPr>
        <w:t>o</w:t>
      </w:r>
      <w:r w:rsidRPr="00792A6C">
        <w:rPr>
          <w:rFonts w:ascii="Times New Roman" w:hAnsi="Times New Roman" w:cs="Times New Roman"/>
        </w:rPr>
        <w:t>n, the</w:t>
      </w:r>
      <w:r w:rsidRPr="00792A6C" w:rsidR="00146BD1">
        <w:rPr>
          <w:rFonts w:ascii="Times New Roman" w:hAnsi="Times New Roman" w:cs="Times New Roman"/>
        </w:rPr>
        <w:t xml:space="preserve"> d</w:t>
      </w:r>
      <w:r w:rsidRPr="00792A6C">
        <w:rPr>
          <w:rFonts w:ascii="Times New Roman" w:hAnsi="Times New Roman" w:cs="Times New Roman"/>
        </w:rPr>
        <w:t xml:space="preserve">ocuments </w:t>
      </w:r>
      <w:r w:rsidRPr="00792A6C" w:rsidR="00146BD1">
        <w:rPr>
          <w:rFonts w:ascii="Times New Roman" w:hAnsi="Times New Roman" w:cs="Times New Roman"/>
        </w:rPr>
        <w:t>t</w:t>
      </w:r>
      <w:r w:rsidRPr="00792A6C">
        <w:rPr>
          <w:rFonts w:ascii="Times New Roman" w:hAnsi="Times New Roman" w:cs="Times New Roman"/>
        </w:rPr>
        <w:t xml:space="preserve">hat FirstEnergy Corp. </w:t>
      </w:r>
      <w:r w:rsidRPr="00792A6C" w:rsidR="00146BD1">
        <w:rPr>
          <w:rFonts w:ascii="Times New Roman" w:hAnsi="Times New Roman" w:cs="Times New Roman"/>
        </w:rPr>
        <w:t>w</w:t>
      </w:r>
      <w:r w:rsidRPr="00792A6C">
        <w:rPr>
          <w:rFonts w:ascii="Times New Roman" w:hAnsi="Times New Roman" w:cs="Times New Roman"/>
        </w:rPr>
        <w:t xml:space="preserve">ants </w:t>
      </w:r>
      <w:r w:rsidRPr="00792A6C" w:rsidR="00146BD1">
        <w:rPr>
          <w:rFonts w:ascii="Times New Roman" w:hAnsi="Times New Roman" w:cs="Times New Roman"/>
        </w:rPr>
        <w:t>k</w:t>
      </w:r>
      <w:r w:rsidRPr="00792A6C">
        <w:rPr>
          <w:rFonts w:ascii="Times New Roman" w:hAnsi="Times New Roman" w:cs="Times New Roman"/>
        </w:rPr>
        <w:t xml:space="preserve">ept </w:t>
      </w:r>
      <w:r w:rsidRPr="00792A6C" w:rsidR="00146BD1">
        <w:rPr>
          <w:rFonts w:ascii="Times New Roman" w:hAnsi="Times New Roman" w:cs="Times New Roman"/>
        </w:rPr>
        <w:t>s</w:t>
      </w:r>
      <w:r w:rsidRPr="00792A6C">
        <w:rPr>
          <w:rFonts w:ascii="Times New Roman" w:hAnsi="Times New Roman" w:cs="Times New Roman"/>
        </w:rPr>
        <w:t>ecret</w:t>
      </w:r>
      <w:r w:rsidRPr="00792A6C" w:rsidR="00575A23">
        <w:rPr>
          <w:rFonts w:ascii="Times New Roman" w:hAnsi="Times New Roman" w:cs="Times New Roman"/>
        </w:rPr>
        <w:t>.</w:t>
      </w:r>
    </w:p>
    <w:p w:rsidR="009E593D" w:rsidRPr="00792A6C" w:rsidP="00B744B9" w14:paraId="4FC5F6B4" w14:textId="7A2915C6">
      <w:pPr>
        <w:spacing w:line="480" w:lineRule="auto"/>
        <w:ind w:firstLine="720"/>
        <w:rPr>
          <w:szCs w:val="24"/>
        </w:rPr>
      </w:pPr>
      <w:r w:rsidRPr="00792A6C">
        <w:rPr>
          <w:szCs w:val="24"/>
        </w:rPr>
        <w:t>FirstEnergy Corp.’s description of the protective agreement is incomplete.</w:t>
      </w:r>
      <w:r>
        <w:rPr>
          <w:rStyle w:val="FootnoteReference"/>
          <w:szCs w:val="24"/>
        </w:rPr>
        <w:footnoteReference w:id="19"/>
      </w:r>
      <w:r w:rsidRPr="00792A6C" w:rsidR="00D53906">
        <w:rPr>
          <w:szCs w:val="24"/>
        </w:rPr>
        <w:t xml:space="preserve"> </w:t>
      </w:r>
      <w:r w:rsidRPr="00792A6C">
        <w:rPr>
          <w:szCs w:val="24"/>
        </w:rPr>
        <w:t xml:space="preserve">Now that OCC has given notice to FirstEnergy Corp. about its intent to be transparent and </w:t>
      </w:r>
      <w:r w:rsidRPr="00792A6C">
        <w:rPr>
          <w:szCs w:val="24"/>
        </w:rPr>
        <w:t xml:space="preserve">disclose certain documents, and FirstEnergy Corp. has filed its Motion to keep the documents secret, paragraph 10 of the protective agreement </w:t>
      </w:r>
      <w:r w:rsidRPr="00792A6C" w:rsidR="00E74797">
        <w:rPr>
          <w:szCs w:val="24"/>
        </w:rPr>
        <w:t>controls</w:t>
      </w:r>
      <w:r w:rsidRPr="00792A6C">
        <w:rPr>
          <w:szCs w:val="24"/>
        </w:rPr>
        <w:t>.</w:t>
      </w:r>
      <w:r w:rsidRPr="00792A6C" w:rsidR="00D53906">
        <w:rPr>
          <w:szCs w:val="24"/>
        </w:rPr>
        <w:t xml:space="preserve"> </w:t>
      </w:r>
      <w:r w:rsidRPr="00792A6C">
        <w:rPr>
          <w:szCs w:val="24"/>
        </w:rPr>
        <w:t>It provides:</w:t>
      </w:r>
    </w:p>
    <w:p w:rsidR="009E593D" w:rsidRPr="00792A6C" w:rsidP="00D53906" w14:paraId="78963C2B" w14:textId="1A24297E">
      <w:pPr>
        <w:ind w:left="1440" w:right="1440"/>
        <w:rPr>
          <w:szCs w:val="24"/>
        </w:rPr>
      </w:pPr>
      <w:r w:rsidRPr="00792A6C">
        <w:rPr>
          <w:szCs w:val="24"/>
        </w:rPr>
        <w:t xml:space="preserve">The Parties agree to seek </w:t>
      </w:r>
      <w:r w:rsidRPr="00792A6C">
        <w:rPr>
          <w:i/>
          <w:iCs/>
          <w:szCs w:val="24"/>
        </w:rPr>
        <w:t>in camera</w:t>
      </w:r>
      <w:r w:rsidRPr="00792A6C">
        <w:rPr>
          <w:szCs w:val="24"/>
        </w:rPr>
        <w:t xml:space="preserve"> proceedings by the administrative agency of competent jurisdiction or court of competent jurisdiction for arguments or for the examination of a witness that would disclose Protected Materials. Such </w:t>
      </w:r>
      <w:r w:rsidRPr="00792A6C">
        <w:rPr>
          <w:i/>
          <w:iCs/>
          <w:szCs w:val="24"/>
        </w:rPr>
        <w:t>in camera</w:t>
      </w:r>
      <w:r w:rsidRPr="00792A6C">
        <w:rPr>
          <w:szCs w:val="24"/>
        </w:rPr>
        <w:t xml:space="preserve"> proceedings will be open only to the Parties, their counsel, other OCC Authorized Representatives, and others authorized by the administrative agency or court to be present; however, characterizations of the Protected Materials that do not disclose the Protected Materials may be used in public.</w:t>
      </w:r>
      <w:r>
        <w:rPr>
          <w:rStyle w:val="FootnoteReference"/>
          <w:szCs w:val="24"/>
        </w:rPr>
        <w:footnoteReference w:id="20"/>
      </w:r>
      <w:r w:rsidRPr="00792A6C">
        <w:rPr>
          <w:szCs w:val="24"/>
        </w:rPr>
        <w:t xml:space="preserve"> </w:t>
      </w:r>
    </w:p>
    <w:p w:rsidR="00D53906" w:rsidRPr="00792A6C" w:rsidP="00D53906" w14:paraId="78588FFA" w14:textId="77777777">
      <w:pPr>
        <w:ind w:left="1440" w:right="1440"/>
        <w:rPr>
          <w:szCs w:val="24"/>
        </w:rPr>
      </w:pPr>
    </w:p>
    <w:p w:rsidR="009E593D" w:rsidRPr="00792A6C" w:rsidP="00B744B9" w14:paraId="368F233A" w14:textId="63F45A80">
      <w:pPr>
        <w:spacing w:line="480" w:lineRule="auto"/>
        <w:ind w:firstLine="720"/>
        <w:rPr>
          <w:szCs w:val="24"/>
        </w:rPr>
      </w:pPr>
      <w:r w:rsidRPr="00792A6C">
        <w:rPr>
          <w:szCs w:val="24"/>
        </w:rPr>
        <w:t>It could not be otherwise.</w:t>
      </w:r>
      <w:r w:rsidRPr="00792A6C" w:rsidR="00D53906">
        <w:rPr>
          <w:szCs w:val="24"/>
        </w:rPr>
        <w:t xml:space="preserve"> </w:t>
      </w:r>
      <w:r w:rsidRPr="00792A6C">
        <w:rPr>
          <w:szCs w:val="24"/>
        </w:rPr>
        <w:t>FirstEnergy Corp. has not attached the documents it seeks to keep secret to the Motion.</w:t>
      </w:r>
      <w:r w:rsidRPr="00792A6C" w:rsidR="00D53906">
        <w:rPr>
          <w:szCs w:val="24"/>
        </w:rPr>
        <w:t xml:space="preserve"> </w:t>
      </w:r>
      <w:r w:rsidRPr="00792A6C">
        <w:rPr>
          <w:szCs w:val="24"/>
        </w:rPr>
        <w:t>The PUCO has no way of evaluating FirstEnergy Corp.’s purported justifications to keep the documents secret.</w:t>
      </w:r>
      <w:r w:rsidRPr="00792A6C" w:rsidR="00D53906">
        <w:rPr>
          <w:szCs w:val="24"/>
        </w:rPr>
        <w:t xml:space="preserve"> </w:t>
      </w:r>
      <w:r w:rsidRPr="00792A6C">
        <w:rPr>
          <w:szCs w:val="24"/>
        </w:rPr>
        <w:t>Under the protective agreement, the PUCO must</w:t>
      </w:r>
      <w:r>
        <w:rPr>
          <w:rStyle w:val="FootnoteReference"/>
          <w:szCs w:val="24"/>
        </w:rPr>
        <w:footnoteReference w:id="21"/>
      </w:r>
      <w:r w:rsidRPr="00792A6C">
        <w:rPr>
          <w:szCs w:val="24"/>
        </w:rPr>
        <w:t xml:space="preserve"> hold </w:t>
      </w:r>
      <w:r w:rsidRPr="00792A6C">
        <w:rPr>
          <w:i/>
          <w:iCs/>
          <w:szCs w:val="24"/>
        </w:rPr>
        <w:t xml:space="preserve">in camera </w:t>
      </w:r>
      <w:r w:rsidRPr="00792A6C">
        <w:rPr>
          <w:szCs w:val="24"/>
        </w:rPr>
        <w:t>proceedings to review the documents and for argument.</w:t>
      </w:r>
      <w:r>
        <w:rPr>
          <w:rStyle w:val="FootnoteReference"/>
          <w:szCs w:val="24"/>
        </w:rPr>
        <w:footnoteReference w:id="22"/>
      </w:r>
    </w:p>
    <w:p w:rsidR="00D45D2A" w:rsidRPr="00792A6C" w:rsidP="009E593D" w14:paraId="387E0534" w14:textId="3040D9E3">
      <w:pPr>
        <w:spacing w:line="480" w:lineRule="auto"/>
        <w:rPr>
          <w:szCs w:val="24"/>
        </w:rPr>
      </w:pPr>
      <w:r w:rsidRPr="00792A6C">
        <w:rPr>
          <w:szCs w:val="24"/>
        </w:rPr>
        <w:tab/>
      </w:r>
      <w:r w:rsidRPr="00792A6C" w:rsidR="002B49BE">
        <w:rPr>
          <w:szCs w:val="24"/>
        </w:rPr>
        <w:t>T</w:t>
      </w:r>
      <w:r w:rsidRPr="00792A6C">
        <w:rPr>
          <w:szCs w:val="24"/>
        </w:rPr>
        <w:t xml:space="preserve">he PUCO </w:t>
      </w:r>
      <w:r w:rsidRPr="00792A6C" w:rsidR="002B49BE">
        <w:rPr>
          <w:szCs w:val="24"/>
        </w:rPr>
        <w:t xml:space="preserve">should </w:t>
      </w:r>
      <w:r w:rsidRPr="00792A6C">
        <w:rPr>
          <w:szCs w:val="24"/>
        </w:rPr>
        <w:t xml:space="preserve">require that the affiants supporting FirstEnergy Corp.’s Motion appear at the </w:t>
      </w:r>
      <w:r w:rsidRPr="00792A6C">
        <w:rPr>
          <w:i/>
          <w:iCs/>
          <w:szCs w:val="24"/>
        </w:rPr>
        <w:t xml:space="preserve">in camera </w:t>
      </w:r>
      <w:r w:rsidRPr="00792A6C">
        <w:rPr>
          <w:szCs w:val="24"/>
        </w:rPr>
        <w:t>proceeding and be subject to questioning under oath.</w:t>
      </w:r>
      <w:r w:rsidRPr="00792A6C" w:rsidR="002B49BE">
        <w:rPr>
          <w:szCs w:val="24"/>
        </w:rPr>
        <w:t xml:space="preserve"> </w:t>
      </w:r>
      <w:r w:rsidRPr="00792A6C" w:rsidR="002B49BE">
        <w:rPr>
          <w:i/>
          <w:iCs/>
          <w:szCs w:val="24"/>
        </w:rPr>
        <w:t>If the PUCO does not provide this opportunity, then OCC should be provided with the time to depose the FirstEnergy affiants before the PUCO makes a ruling.</w:t>
      </w:r>
      <w:r w:rsidRPr="00792A6C" w:rsidR="00D53906">
        <w:rPr>
          <w:szCs w:val="24"/>
        </w:rPr>
        <w:t xml:space="preserve"> </w:t>
      </w:r>
      <w:r w:rsidRPr="00792A6C">
        <w:rPr>
          <w:szCs w:val="24"/>
        </w:rPr>
        <w:t>Consistent with the protective agreement, FirstEnergy Corp. filed affidavits purportedly supporting the reasons for keeping the documents secret.</w:t>
      </w:r>
      <w:r>
        <w:rPr>
          <w:rStyle w:val="FootnoteReference"/>
          <w:szCs w:val="24"/>
        </w:rPr>
        <w:footnoteReference w:id="23"/>
      </w:r>
      <w:r w:rsidRPr="00792A6C" w:rsidR="00D53906">
        <w:rPr>
          <w:szCs w:val="24"/>
        </w:rPr>
        <w:t xml:space="preserve"> </w:t>
      </w:r>
      <w:r w:rsidRPr="00792A6C">
        <w:rPr>
          <w:szCs w:val="24"/>
        </w:rPr>
        <w:t>A number of assertions are made in those affidavits that necessitate questioning.</w:t>
      </w:r>
      <w:r w:rsidRPr="00792A6C" w:rsidR="00D53906">
        <w:rPr>
          <w:szCs w:val="24"/>
        </w:rPr>
        <w:t xml:space="preserve"> </w:t>
      </w:r>
    </w:p>
    <w:p w:rsidR="008E5617" w:rsidRPr="00792A6C" w:rsidP="00D45D2A" w14:paraId="03CF2612" w14:textId="77777777">
      <w:pPr>
        <w:spacing w:line="480" w:lineRule="auto"/>
        <w:ind w:firstLine="720"/>
        <w:rPr>
          <w:szCs w:val="24"/>
        </w:rPr>
      </w:pPr>
      <w:r w:rsidRPr="00792A6C">
        <w:rPr>
          <w:szCs w:val="24"/>
        </w:rPr>
        <w:t xml:space="preserve">For example, FirstEnergy Corp. asserts based on the Lee Affidavit that the documents “are currently afforded confidential treatment in </w:t>
      </w:r>
      <w:r w:rsidRPr="00792A6C">
        <w:rPr>
          <w:i/>
          <w:iCs/>
          <w:szCs w:val="24"/>
        </w:rPr>
        <w:t xml:space="preserve">all </w:t>
      </w:r>
      <w:r w:rsidRPr="00792A6C">
        <w:rPr>
          <w:szCs w:val="24"/>
        </w:rPr>
        <w:t>House Bill-6 related civil proceedings.”</w:t>
      </w:r>
      <w:r>
        <w:rPr>
          <w:rStyle w:val="FootnoteReference"/>
          <w:szCs w:val="24"/>
        </w:rPr>
        <w:footnoteReference w:id="24"/>
      </w:r>
      <w:r w:rsidRPr="00792A6C" w:rsidR="00D53906">
        <w:rPr>
          <w:szCs w:val="24"/>
        </w:rPr>
        <w:t xml:space="preserve"> </w:t>
      </w:r>
      <w:r w:rsidRPr="00792A6C">
        <w:rPr>
          <w:szCs w:val="24"/>
        </w:rPr>
        <w:t>That may or may not be germane to the PUCO’s consideration of the Motion.</w:t>
      </w:r>
      <w:r w:rsidRPr="00792A6C" w:rsidR="00D53906">
        <w:rPr>
          <w:szCs w:val="24"/>
        </w:rPr>
        <w:t xml:space="preserve"> </w:t>
      </w:r>
      <w:r w:rsidRPr="00792A6C">
        <w:rPr>
          <w:szCs w:val="24"/>
        </w:rPr>
        <w:t>Is there a process for making the documents public in the civil proceedings?</w:t>
      </w:r>
      <w:r w:rsidRPr="00792A6C" w:rsidR="00D53906">
        <w:rPr>
          <w:szCs w:val="24"/>
        </w:rPr>
        <w:t xml:space="preserve"> </w:t>
      </w:r>
      <w:r w:rsidRPr="00792A6C">
        <w:rPr>
          <w:szCs w:val="24"/>
        </w:rPr>
        <w:t>Has anyone sought to make the documents public in the civil proceedings?</w:t>
      </w:r>
      <w:r w:rsidRPr="00792A6C" w:rsidR="00D53906">
        <w:rPr>
          <w:szCs w:val="24"/>
        </w:rPr>
        <w:t xml:space="preserve"> </w:t>
      </w:r>
      <w:r w:rsidRPr="00792A6C">
        <w:rPr>
          <w:szCs w:val="24"/>
        </w:rPr>
        <w:t>If so, was there a ruling?</w:t>
      </w:r>
      <w:r w:rsidRPr="00792A6C" w:rsidR="00D53906">
        <w:rPr>
          <w:szCs w:val="24"/>
        </w:rPr>
        <w:t xml:space="preserve"> </w:t>
      </w:r>
      <w:r w:rsidRPr="00792A6C">
        <w:rPr>
          <w:szCs w:val="24"/>
        </w:rPr>
        <w:t xml:space="preserve">If there is no process for making the documents public in the civil proceedings, or if no one has sought to make the documents in the civil proceeding public, then FirstEnergy Corp.’s assertion </w:t>
      </w:r>
      <w:r w:rsidRPr="00792A6C" w:rsidR="00AA6330">
        <w:rPr>
          <w:szCs w:val="24"/>
        </w:rPr>
        <w:t>should have</w:t>
      </w:r>
      <w:r w:rsidRPr="00792A6C">
        <w:rPr>
          <w:szCs w:val="24"/>
        </w:rPr>
        <w:t xml:space="preserve"> little bearing on the PUCO’s evaluation of the Motion.</w:t>
      </w:r>
      <w:r w:rsidRPr="00792A6C" w:rsidR="00925738">
        <w:rPr>
          <w:szCs w:val="24"/>
        </w:rPr>
        <w:t xml:space="preserve"> </w:t>
      </w:r>
    </w:p>
    <w:p w:rsidR="009E593D" w:rsidRPr="00792A6C" w:rsidP="00D45D2A" w14:paraId="2C47273D" w14:textId="08386A35">
      <w:pPr>
        <w:spacing w:line="480" w:lineRule="auto"/>
        <w:ind w:firstLine="720"/>
        <w:rPr>
          <w:szCs w:val="24"/>
        </w:rPr>
      </w:pPr>
      <w:r w:rsidRPr="00792A6C">
        <w:rPr>
          <w:szCs w:val="24"/>
        </w:rPr>
        <w:t>And j</w:t>
      </w:r>
      <w:r w:rsidRPr="00792A6C" w:rsidR="008E5617">
        <w:rPr>
          <w:szCs w:val="24"/>
        </w:rPr>
        <w:t>ust this we</w:t>
      </w:r>
      <w:r w:rsidRPr="00792A6C">
        <w:rPr>
          <w:szCs w:val="24"/>
        </w:rPr>
        <w:t>ek</w:t>
      </w:r>
      <w:r w:rsidRPr="00792A6C" w:rsidR="008E5617">
        <w:rPr>
          <w:szCs w:val="24"/>
        </w:rPr>
        <w:t xml:space="preserve"> a U.S. District Judge, in a federal lawsuit by shareholders against </w:t>
      </w:r>
      <w:r w:rsidRPr="00792A6C" w:rsidR="00C26C16">
        <w:rPr>
          <w:szCs w:val="24"/>
        </w:rPr>
        <w:t>FirstEnergy officials</w:t>
      </w:r>
      <w:r w:rsidRPr="00792A6C" w:rsidR="008E5617">
        <w:rPr>
          <w:szCs w:val="24"/>
        </w:rPr>
        <w:t>, demanded to know information about FirstEnergy corruption that was being kept from the public in a settlement.</w:t>
      </w:r>
      <w:r>
        <w:rPr>
          <w:rStyle w:val="FootnoteReference"/>
          <w:szCs w:val="24"/>
        </w:rPr>
        <w:footnoteReference w:id="25"/>
      </w:r>
      <w:r w:rsidRPr="00792A6C" w:rsidR="008E5617">
        <w:rPr>
          <w:szCs w:val="24"/>
        </w:rPr>
        <w:t xml:space="preserve"> The Judge then got the information in 24 hours, in the public domain.</w:t>
      </w:r>
      <w:r>
        <w:rPr>
          <w:rStyle w:val="FootnoteReference"/>
          <w:szCs w:val="24"/>
        </w:rPr>
        <w:footnoteReference w:id="26"/>
      </w:r>
    </w:p>
    <w:p w:rsidR="009E593D" w:rsidRPr="00792A6C" w:rsidP="009E593D" w14:paraId="40B9075B" w14:textId="15354B56">
      <w:pPr>
        <w:spacing w:line="480" w:lineRule="auto"/>
        <w:rPr>
          <w:szCs w:val="24"/>
        </w:rPr>
      </w:pPr>
      <w:r w:rsidRPr="00792A6C">
        <w:rPr>
          <w:szCs w:val="24"/>
        </w:rPr>
        <w:tab/>
        <w:t xml:space="preserve">Questioning the affiants about what is </w:t>
      </w:r>
      <w:r w:rsidRPr="00792A6C">
        <w:rPr>
          <w:i/>
          <w:iCs/>
          <w:szCs w:val="24"/>
        </w:rPr>
        <w:t xml:space="preserve">not </w:t>
      </w:r>
      <w:r w:rsidRPr="00792A6C">
        <w:rPr>
          <w:szCs w:val="24"/>
        </w:rPr>
        <w:t>in their affidavits is equally important.</w:t>
      </w:r>
      <w:r w:rsidRPr="00792A6C" w:rsidR="00D53906">
        <w:rPr>
          <w:szCs w:val="24"/>
        </w:rPr>
        <w:t xml:space="preserve"> </w:t>
      </w:r>
      <w:r w:rsidRPr="00792A6C">
        <w:rPr>
          <w:szCs w:val="24"/>
        </w:rPr>
        <w:t>For example, FirstEnergy asserts that the documents should be kept secret so as not to interfere with the federal criminal investigation.</w:t>
      </w:r>
      <w:r>
        <w:rPr>
          <w:rStyle w:val="FootnoteReference"/>
          <w:szCs w:val="24"/>
        </w:rPr>
        <w:footnoteReference w:id="27"/>
      </w:r>
      <w:r w:rsidRPr="00792A6C" w:rsidR="00D53906">
        <w:rPr>
          <w:szCs w:val="24"/>
        </w:rPr>
        <w:t xml:space="preserve"> </w:t>
      </w:r>
      <w:r w:rsidRPr="00792A6C">
        <w:rPr>
          <w:szCs w:val="24"/>
        </w:rPr>
        <w:t>That neither affiant even remotely hints at any facts supporting a claim of “interference” needs exploring.</w:t>
      </w:r>
    </w:p>
    <w:p w:rsidR="004827DE" w:rsidRPr="00792A6C" w:rsidP="009E593D" w14:paraId="6AF96906" w14:textId="55885A9A">
      <w:pPr>
        <w:spacing w:line="480" w:lineRule="auto"/>
        <w:rPr>
          <w:szCs w:val="24"/>
        </w:rPr>
      </w:pPr>
      <w:r w:rsidRPr="00792A6C">
        <w:rPr>
          <w:szCs w:val="24"/>
        </w:rPr>
        <w:tab/>
      </w:r>
      <w:r w:rsidRPr="00792A6C" w:rsidR="0015486C">
        <w:rPr>
          <w:szCs w:val="24"/>
        </w:rPr>
        <w:t>FirstEnergy does not</w:t>
      </w:r>
      <w:r w:rsidRPr="00792A6C">
        <w:rPr>
          <w:szCs w:val="24"/>
        </w:rPr>
        <w:t xml:space="preserve"> includ</w:t>
      </w:r>
      <w:r w:rsidRPr="00792A6C" w:rsidR="0015486C">
        <w:rPr>
          <w:szCs w:val="24"/>
        </w:rPr>
        <w:t>e</w:t>
      </w:r>
      <w:r w:rsidRPr="00792A6C">
        <w:rPr>
          <w:szCs w:val="24"/>
        </w:rPr>
        <w:t xml:space="preserve"> any purported facts to support a claim of “interference</w:t>
      </w:r>
      <w:r w:rsidRPr="00792A6C" w:rsidR="0015486C">
        <w:rPr>
          <w:szCs w:val="24"/>
        </w:rPr>
        <w:t>.</w:t>
      </w:r>
      <w:r w:rsidRPr="00792A6C">
        <w:rPr>
          <w:szCs w:val="24"/>
        </w:rPr>
        <w:t>” FirstEnergy Corp. merely asserts that “counsel for FirstEnergy contacted the Assistant United States Attorneys prosecuting the criminal case to clarify the government’s position, if any, on the confidentiality of records produced during the investigation, and the government supports maintaining the confidential nature of those records to preserve the integrity of the ongoing investigation.”</w:t>
      </w:r>
      <w:r>
        <w:rPr>
          <w:rStyle w:val="FootnoteReference"/>
          <w:szCs w:val="24"/>
        </w:rPr>
        <w:footnoteReference w:id="28"/>
      </w:r>
      <w:r w:rsidRPr="00792A6C" w:rsidR="00D53906">
        <w:rPr>
          <w:szCs w:val="24"/>
        </w:rPr>
        <w:t xml:space="preserve"> </w:t>
      </w:r>
    </w:p>
    <w:p w:rsidR="003B6E16" w:rsidRPr="00792A6C" w:rsidP="004A5B55" w14:paraId="23F4A338" w14:textId="28C55084">
      <w:pPr>
        <w:spacing w:line="480" w:lineRule="auto"/>
        <w:ind w:firstLine="720"/>
        <w:rPr>
          <w:szCs w:val="24"/>
        </w:rPr>
      </w:pPr>
      <w:r w:rsidRPr="00792A6C">
        <w:rPr>
          <w:szCs w:val="24"/>
        </w:rPr>
        <w:t xml:space="preserve">FirstEnergy Corp. provides no </w:t>
      </w:r>
      <w:r w:rsidRPr="00792A6C" w:rsidR="0015486C">
        <w:rPr>
          <w:szCs w:val="24"/>
        </w:rPr>
        <w:t xml:space="preserve">statement under oath </w:t>
      </w:r>
      <w:r w:rsidRPr="00792A6C">
        <w:rPr>
          <w:szCs w:val="24"/>
        </w:rPr>
        <w:t>to support this assertion</w:t>
      </w:r>
      <w:r w:rsidRPr="00792A6C" w:rsidR="0015486C">
        <w:rPr>
          <w:szCs w:val="24"/>
        </w:rPr>
        <w:t xml:space="preserve"> about a call with the U.S. Attorney. The PUCO should require a sworn affidavit by the person making the call, with all the specifics of the call including the exact information discussed and shared with the U.S. Attorney. And then the PUCO should allow OCC to voir dire the FirstEnergy affiant.</w:t>
      </w:r>
      <w:r w:rsidRPr="00792A6C" w:rsidR="00BE3400">
        <w:rPr>
          <w:szCs w:val="24"/>
        </w:rPr>
        <w:t xml:space="preserve"> </w:t>
      </w:r>
      <w:r w:rsidRPr="00792A6C" w:rsidR="0015486C">
        <w:rPr>
          <w:szCs w:val="24"/>
        </w:rPr>
        <w:t>A</w:t>
      </w:r>
      <w:r w:rsidRPr="00792A6C">
        <w:rPr>
          <w:szCs w:val="24"/>
        </w:rPr>
        <w:t xml:space="preserve"> factual assertion without affiant support or context is no reason to keep the public in the dark by keeping documents secret.</w:t>
      </w:r>
      <w:r>
        <w:rPr>
          <w:rStyle w:val="FootnoteReference"/>
          <w:szCs w:val="24"/>
        </w:rPr>
        <w:footnoteReference w:id="29"/>
      </w:r>
      <w:r w:rsidRPr="00792A6C" w:rsidR="0015486C">
        <w:rPr>
          <w:szCs w:val="24"/>
        </w:rPr>
        <w:t xml:space="preserve"> There already </w:t>
      </w:r>
      <w:r w:rsidRPr="00792A6C" w:rsidR="00F73603">
        <w:rPr>
          <w:szCs w:val="24"/>
        </w:rPr>
        <w:t xml:space="preserve">has </w:t>
      </w:r>
      <w:r w:rsidRPr="00792A6C" w:rsidR="0015486C">
        <w:rPr>
          <w:szCs w:val="24"/>
        </w:rPr>
        <w:t>been too much darkness regarding the FirstEnergy scandals</w:t>
      </w:r>
      <w:r w:rsidRPr="00792A6C" w:rsidR="00F73603">
        <w:rPr>
          <w:szCs w:val="24"/>
        </w:rPr>
        <w:t xml:space="preserve"> – and that in part enabled the scandals</w:t>
      </w:r>
      <w:r w:rsidRPr="00792A6C" w:rsidR="0015486C">
        <w:rPr>
          <w:szCs w:val="24"/>
        </w:rPr>
        <w:t>.</w:t>
      </w:r>
      <w:r w:rsidRPr="00792A6C">
        <w:rPr>
          <w:szCs w:val="24"/>
        </w:rPr>
        <w:tab/>
      </w:r>
      <w:r w:rsidRPr="00792A6C" w:rsidR="00D53906">
        <w:rPr>
          <w:szCs w:val="24"/>
        </w:rPr>
        <w:t xml:space="preserve"> </w:t>
      </w:r>
    </w:p>
    <w:p w:rsidR="009E593D" w:rsidRPr="00792A6C" w:rsidP="003B6E16" w14:paraId="07FB04F8" w14:textId="5A6DA77F">
      <w:pPr>
        <w:spacing w:line="480" w:lineRule="auto"/>
        <w:ind w:firstLine="720"/>
        <w:rPr>
          <w:szCs w:val="24"/>
        </w:rPr>
      </w:pPr>
      <w:r w:rsidRPr="00792A6C">
        <w:rPr>
          <w:szCs w:val="24"/>
        </w:rPr>
        <w:t xml:space="preserve">If </w:t>
      </w:r>
      <w:r w:rsidRPr="00792A6C" w:rsidR="00E74797">
        <w:rPr>
          <w:szCs w:val="24"/>
        </w:rPr>
        <w:t>the PUCO does not outright deny FirstEnergy Corp.’s Motion</w:t>
      </w:r>
      <w:r w:rsidRPr="00792A6C">
        <w:rPr>
          <w:szCs w:val="24"/>
        </w:rPr>
        <w:t>, FirstEnergy Corp.’s assertion</w:t>
      </w:r>
      <w:r w:rsidRPr="00792A6C" w:rsidR="00E74797">
        <w:rPr>
          <w:szCs w:val="24"/>
        </w:rPr>
        <w:t>s regarding relevancy</w:t>
      </w:r>
      <w:r w:rsidRPr="00792A6C">
        <w:rPr>
          <w:szCs w:val="24"/>
        </w:rPr>
        <w:t xml:space="preserve"> need to be probed at an </w:t>
      </w:r>
      <w:r w:rsidRPr="00792A6C">
        <w:rPr>
          <w:i/>
          <w:iCs/>
          <w:szCs w:val="24"/>
        </w:rPr>
        <w:t xml:space="preserve">in camera </w:t>
      </w:r>
      <w:r w:rsidRPr="00792A6C">
        <w:rPr>
          <w:szCs w:val="24"/>
        </w:rPr>
        <w:t>proceeding with argument, per the protective agreement.</w:t>
      </w:r>
      <w:r w:rsidRPr="00792A6C" w:rsidR="00D53906">
        <w:rPr>
          <w:szCs w:val="24"/>
        </w:rPr>
        <w:t xml:space="preserve"> </w:t>
      </w:r>
      <w:r w:rsidRPr="00792A6C">
        <w:rPr>
          <w:szCs w:val="24"/>
        </w:rPr>
        <w:t>Because the PUCO has not seen the documents, it cannot possibly rule on FirstEnergy Corp.’s relevancy assertions</w:t>
      </w:r>
      <w:r w:rsidRPr="00792A6C" w:rsidR="00E74797">
        <w:rPr>
          <w:szCs w:val="24"/>
        </w:rPr>
        <w:t xml:space="preserve"> based only on the Motion</w:t>
      </w:r>
      <w:r w:rsidRPr="00792A6C">
        <w:rPr>
          <w:szCs w:val="24"/>
        </w:rPr>
        <w:t>.</w:t>
      </w:r>
      <w:r w:rsidRPr="00792A6C" w:rsidR="00D53906">
        <w:rPr>
          <w:szCs w:val="24"/>
        </w:rPr>
        <w:t xml:space="preserve"> </w:t>
      </w:r>
      <w:r w:rsidRPr="00792A6C">
        <w:rPr>
          <w:szCs w:val="24"/>
        </w:rPr>
        <w:t>FirstEnergy Corp. merely says the documents are irrelevant, cites them, but does not provide them.</w:t>
      </w:r>
      <w:r w:rsidRPr="00792A6C" w:rsidR="00D53906">
        <w:rPr>
          <w:szCs w:val="24"/>
        </w:rPr>
        <w:t xml:space="preserve"> </w:t>
      </w:r>
    </w:p>
    <w:p w:rsidR="007E2F58" w:rsidRPr="00792A6C" w:rsidP="007E2F58" w14:paraId="20D0350F" w14:textId="77777777">
      <w:pPr>
        <w:rPr>
          <w:szCs w:val="24"/>
        </w:rPr>
      </w:pPr>
    </w:p>
    <w:p w:rsidR="009E593D" w:rsidRPr="00792A6C" w:rsidP="007E2F58" w14:paraId="43FA5D8F" w14:textId="4319B989">
      <w:pPr>
        <w:pStyle w:val="Heading1"/>
        <w:rPr>
          <w:rFonts w:ascii="Times New Roman" w:hAnsi="Times New Roman" w:cs="Times New Roman"/>
          <w:szCs w:val="24"/>
        </w:rPr>
      </w:pPr>
      <w:r w:rsidRPr="00792A6C">
        <w:rPr>
          <w:rFonts w:ascii="Times New Roman" w:hAnsi="Times New Roman" w:cs="Times New Roman"/>
          <w:szCs w:val="24"/>
        </w:rPr>
        <w:t>III.</w:t>
      </w:r>
      <w:r w:rsidRPr="00792A6C">
        <w:rPr>
          <w:rFonts w:ascii="Times New Roman" w:hAnsi="Times New Roman" w:cs="Times New Roman"/>
          <w:szCs w:val="24"/>
        </w:rPr>
        <w:tab/>
      </w:r>
      <w:r w:rsidRPr="00792A6C">
        <w:rPr>
          <w:rFonts w:ascii="Times New Roman" w:hAnsi="Times New Roman" w:cs="Times New Roman"/>
          <w:szCs w:val="24"/>
        </w:rPr>
        <w:t>Conclusion</w:t>
      </w:r>
    </w:p>
    <w:p w:rsidR="008831F0" w:rsidRPr="00792A6C" w:rsidP="00EE5E11" w14:paraId="02B2721B" w14:textId="3292A4B0">
      <w:pPr>
        <w:spacing w:line="480" w:lineRule="auto"/>
        <w:ind w:firstLine="720"/>
        <w:rPr>
          <w:szCs w:val="24"/>
        </w:rPr>
      </w:pPr>
      <w:r w:rsidRPr="00792A6C">
        <w:rPr>
          <w:szCs w:val="24"/>
        </w:rPr>
        <w:t xml:space="preserve">As </w:t>
      </w:r>
      <w:r w:rsidRPr="00792A6C" w:rsidR="004A5B55">
        <w:rPr>
          <w:szCs w:val="24"/>
        </w:rPr>
        <w:t>Attorney General</w:t>
      </w:r>
      <w:r w:rsidRPr="00792A6C" w:rsidR="0092323C">
        <w:rPr>
          <w:szCs w:val="24"/>
        </w:rPr>
        <w:t xml:space="preserve"> </w:t>
      </w:r>
      <w:r w:rsidRPr="00792A6C">
        <w:rPr>
          <w:szCs w:val="24"/>
        </w:rPr>
        <w:t>Yost advised,</w:t>
      </w:r>
      <w:r w:rsidRPr="00792A6C" w:rsidR="00BE3400">
        <w:rPr>
          <w:szCs w:val="24"/>
        </w:rPr>
        <w:t xml:space="preserve"> </w:t>
      </w:r>
      <w:r w:rsidRPr="00792A6C">
        <w:rPr>
          <w:szCs w:val="24"/>
        </w:rPr>
        <w:t xml:space="preserve">‘[g]overnment of, by and for the people also must be </w:t>
      </w:r>
      <w:r w:rsidRPr="00792A6C">
        <w:rPr>
          <w:i/>
          <w:iCs/>
          <w:szCs w:val="24"/>
        </w:rPr>
        <w:t>open</w:t>
      </w:r>
      <w:r w:rsidRPr="00792A6C">
        <w:rPr>
          <w:szCs w:val="24"/>
        </w:rPr>
        <w:t xml:space="preserve"> to the people</w:t>
      </w:r>
      <w:r w:rsidRPr="00792A6C" w:rsidR="00DE0148">
        <w:rPr>
          <w:szCs w:val="24"/>
        </w:rPr>
        <w:t>.</w:t>
      </w:r>
      <w:r w:rsidRPr="00792A6C">
        <w:rPr>
          <w:szCs w:val="24"/>
        </w:rPr>
        <w:t>”</w:t>
      </w:r>
      <w:r>
        <w:rPr>
          <w:rStyle w:val="FootnoteReference"/>
          <w:szCs w:val="24"/>
        </w:rPr>
        <w:footnoteReference w:id="30"/>
      </w:r>
      <w:r w:rsidRPr="00792A6C" w:rsidR="00BE3400">
        <w:rPr>
          <w:szCs w:val="24"/>
        </w:rPr>
        <w:t xml:space="preserve"> </w:t>
      </w:r>
      <w:r w:rsidRPr="00792A6C" w:rsidR="00E74797">
        <w:rPr>
          <w:szCs w:val="24"/>
        </w:rPr>
        <w:t xml:space="preserve">FirstEnergy Corp. has not followed the process </w:t>
      </w:r>
      <w:r w:rsidRPr="00792A6C" w:rsidR="005E79F6">
        <w:rPr>
          <w:szCs w:val="24"/>
        </w:rPr>
        <w:t>that it agreed to in its</w:t>
      </w:r>
      <w:r w:rsidRPr="00792A6C" w:rsidR="00E74797">
        <w:rPr>
          <w:szCs w:val="24"/>
        </w:rPr>
        <w:t xml:space="preserve"> protective agreement</w:t>
      </w:r>
      <w:r w:rsidRPr="00792A6C" w:rsidR="005E79F6">
        <w:rPr>
          <w:szCs w:val="24"/>
        </w:rPr>
        <w:t xml:space="preserve"> with OCC</w:t>
      </w:r>
      <w:r w:rsidRPr="00792A6C" w:rsidR="00E74797">
        <w:rPr>
          <w:szCs w:val="24"/>
        </w:rPr>
        <w:t>.</w:t>
      </w:r>
      <w:r w:rsidRPr="00792A6C" w:rsidR="00BE3400">
        <w:rPr>
          <w:szCs w:val="24"/>
        </w:rPr>
        <w:t xml:space="preserve"> </w:t>
      </w:r>
      <w:r w:rsidRPr="00792A6C" w:rsidR="00E74797">
        <w:rPr>
          <w:szCs w:val="24"/>
        </w:rPr>
        <w:t>It has not met its burden to show that the discovery documents should be kept secret.</w:t>
      </w:r>
      <w:r w:rsidRPr="00792A6C" w:rsidR="00BE3400">
        <w:rPr>
          <w:szCs w:val="24"/>
        </w:rPr>
        <w:t xml:space="preserve"> </w:t>
      </w:r>
      <w:r w:rsidRPr="00792A6C">
        <w:rPr>
          <w:szCs w:val="24"/>
        </w:rPr>
        <w:t xml:space="preserve">Its Motion should be denied </w:t>
      </w:r>
      <w:r w:rsidRPr="00792A6C" w:rsidR="004F2730">
        <w:rPr>
          <w:szCs w:val="24"/>
        </w:rPr>
        <w:t>as in noncompliance with the protective agreement</w:t>
      </w:r>
      <w:r w:rsidRPr="00792A6C">
        <w:rPr>
          <w:szCs w:val="24"/>
        </w:rPr>
        <w:t>.</w:t>
      </w:r>
    </w:p>
    <w:p w:rsidR="000E141B" w:rsidRPr="00792A6C" w:rsidP="00EE5E11" w14:paraId="1C0719DB" w14:textId="206FF270">
      <w:pPr>
        <w:spacing w:line="480" w:lineRule="auto"/>
        <w:ind w:firstLine="720"/>
        <w:rPr>
          <w:szCs w:val="24"/>
        </w:rPr>
      </w:pPr>
      <w:r w:rsidRPr="00792A6C">
        <w:rPr>
          <w:szCs w:val="24"/>
        </w:rPr>
        <w:t xml:space="preserve">If the PUCO does not deny the Motion outright, it should </w:t>
      </w:r>
      <w:r w:rsidRPr="00792A6C" w:rsidR="00AC3781">
        <w:rPr>
          <w:szCs w:val="24"/>
        </w:rPr>
        <w:t xml:space="preserve">require an </w:t>
      </w:r>
      <w:r w:rsidRPr="00792A6C" w:rsidR="00AC3781">
        <w:rPr>
          <w:i/>
          <w:iCs/>
          <w:szCs w:val="24"/>
        </w:rPr>
        <w:t>in camera</w:t>
      </w:r>
      <w:r w:rsidRPr="00792A6C" w:rsidR="00AC3781">
        <w:rPr>
          <w:szCs w:val="24"/>
        </w:rPr>
        <w:t xml:space="preserve"> review of the </w:t>
      </w:r>
      <w:r w:rsidRPr="00792A6C" w:rsidR="000B6760">
        <w:rPr>
          <w:szCs w:val="24"/>
        </w:rPr>
        <w:t xml:space="preserve">claimed </w:t>
      </w:r>
      <w:r w:rsidRPr="00792A6C" w:rsidR="00AC3781">
        <w:rPr>
          <w:szCs w:val="24"/>
        </w:rPr>
        <w:t xml:space="preserve">secret documents, consistent with PUCO precedent, Ohio Supreme Court precedent and the OCC/FirstEnergy Corp. </w:t>
      </w:r>
      <w:r w:rsidRPr="00792A6C">
        <w:rPr>
          <w:szCs w:val="24"/>
        </w:rPr>
        <w:t>protective agreement.</w:t>
      </w:r>
      <w:r w:rsidRPr="00792A6C" w:rsidR="00BE3400">
        <w:rPr>
          <w:szCs w:val="24"/>
        </w:rPr>
        <w:t xml:space="preserve"> </w:t>
      </w:r>
      <w:r w:rsidRPr="00792A6C" w:rsidR="00AC3781">
        <w:rPr>
          <w:szCs w:val="24"/>
        </w:rPr>
        <w:t xml:space="preserve">During the </w:t>
      </w:r>
      <w:r w:rsidRPr="00792A6C" w:rsidR="00AC3781">
        <w:rPr>
          <w:i/>
          <w:iCs/>
          <w:szCs w:val="24"/>
        </w:rPr>
        <w:t>in camera</w:t>
      </w:r>
      <w:r w:rsidRPr="00792A6C" w:rsidR="00AC3781">
        <w:rPr>
          <w:szCs w:val="24"/>
        </w:rPr>
        <w:t xml:space="preserve"> review, the PUCO </w:t>
      </w:r>
      <w:r w:rsidRPr="00792A6C" w:rsidR="003B6E16">
        <w:rPr>
          <w:szCs w:val="24"/>
        </w:rPr>
        <w:t>should</w:t>
      </w:r>
      <w:r w:rsidRPr="00792A6C" w:rsidR="00AC3781">
        <w:rPr>
          <w:szCs w:val="24"/>
        </w:rPr>
        <w:t xml:space="preserve"> allow parties, including OCC, to be heard on these matters.</w:t>
      </w:r>
      <w:r w:rsidRPr="00792A6C" w:rsidR="00BE3400">
        <w:rPr>
          <w:szCs w:val="24"/>
        </w:rPr>
        <w:t xml:space="preserve"> </w:t>
      </w:r>
    </w:p>
    <w:p w:rsidR="000D18C7" w:rsidRPr="00792A6C" w:rsidP="001A7D6F" w14:paraId="25824F0C" w14:textId="4C2AABA1">
      <w:pPr>
        <w:pStyle w:val="ListParagraph"/>
        <w:spacing w:line="480" w:lineRule="auto"/>
        <w:ind w:left="4320"/>
        <w:rPr>
          <w:szCs w:val="24"/>
        </w:rPr>
      </w:pPr>
      <w:r w:rsidRPr="00792A6C">
        <w:rPr>
          <w:szCs w:val="24"/>
        </w:rPr>
        <w:t>Respectfully submitted,</w:t>
      </w:r>
    </w:p>
    <w:p w:rsidR="000D18C7" w:rsidRPr="00792A6C" w:rsidP="005D2D59" w14:paraId="131F541B" w14:textId="77777777">
      <w:pPr>
        <w:pStyle w:val="Footer"/>
        <w:tabs>
          <w:tab w:val="left" w:pos="4320"/>
        </w:tabs>
        <w:ind w:left="4320"/>
        <w:rPr>
          <w:szCs w:val="24"/>
        </w:rPr>
      </w:pPr>
      <w:r w:rsidRPr="00792A6C">
        <w:rPr>
          <w:szCs w:val="24"/>
        </w:rPr>
        <w:t>Bruce Weston (0016973)</w:t>
      </w:r>
    </w:p>
    <w:p w:rsidR="000D18C7" w:rsidRPr="00792A6C" w:rsidP="005D2D59" w14:paraId="33EA53FF" w14:textId="77777777">
      <w:pPr>
        <w:tabs>
          <w:tab w:val="left" w:pos="4320"/>
        </w:tabs>
        <w:ind w:left="4320"/>
        <w:rPr>
          <w:szCs w:val="24"/>
        </w:rPr>
      </w:pPr>
      <w:r w:rsidRPr="00792A6C">
        <w:rPr>
          <w:szCs w:val="24"/>
        </w:rPr>
        <w:t>Ohio Consumers’ Counsel</w:t>
      </w:r>
    </w:p>
    <w:p w:rsidR="000D18C7" w:rsidRPr="00792A6C" w:rsidP="005D2D59" w14:paraId="3FA51C5A" w14:textId="77777777">
      <w:pPr>
        <w:pStyle w:val="ListParagraph"/>
        <w:tabs>
          <w:tab w:val="left" w:pos="4320"/>
        </w:tabs>
        <w:ind w:left="3600"/>
        <w:rPr>
          <w:szCs w:val="24"/>
        </w:rPr>
      </w:pPr>
      <w:r w:rsidRPr="00792A6C">
        <w:rPr>
          <w:szCs w:val="24"/>
        </w:rPr>
        <w:tab/>
      </w:r>
    </w:p>
    <w:p w:rsidR="001930AB" w:rsidRPr="00792A6C" w:rsidP="005D2D59" w14:paraId="3C3D83CF" w14:textId="77777777">
      <w:pPr>
        <w:pStyle w:val="ListParagraph"/>
        <w:tabs>
          <w:tab w:val="left" w:pos="4320"/>
        </w:tabs>
        <w:ind w:left="3600"/>
        <w:rPr>
          <w:i/>
          <w:iCs/>
          <w:szCs w:val="24"/>
          <w:u w:val="single"/>
        </w:rPr>
      </w:pPr>
      <w:r w:rsidRPr="00792A6C">
        <w:rPr>
          <w:i/>
          <w:iCs/>
          <w:szCs w:val="24"/>
        </w:rPr>
        <w:tab/>
      </w:r>
      <w:r w:rsidRPr="00792A6C">
        <w:rPr>
          <w:i/>
          <w:iCs/>
          <w:szCs w:val="24"/>
          <w:u w:val="single"/>
        </w:rPr>
        <w:t xml:space="preserve">/s/ </w:t>
      </w:r>
      <w:r w:rsidRPr="00792A6C" w:rsidR="00304F7E">
        <w:rPr>
          <w:i/>
          <w:iCs/>
          <w:szCs w:val="24"/>
          <w:u w:val="single"/>
        </w:rPr>
        <w:t>Maureen R. Willis</w:t>
      </w:r>
      <w:r w:rsidRPr="00792A6C" w:rsidR="004E69A3">
        <w:rPr>
          <w:i/>
          <w:iCs/>
          <w:szCs w:val="24"/>
          <w:u w:val="single"/>
        </w:rPr>
        <w:tab/>
      </w:r>
      <w:r w:rsidRPr="00792A6C" w:rsidR="004E69A3">
        <w:rPr>
          <w:i/>
          <w:iCs/>
          <w:szCs w:val="24"/>
          <w:u w:val="single"/>
        </w:rPr>
        <w:tab/>
      </w:r>
    </w:p>
    <w:p w:rsidR="001930AB" w:rsidRPr="00792A6C" w:rsidP="005D2D59" w14:paraId="1EF6713F" w14:textId="77777777">
      <w:pPr>
        <w:pStyle w:val="ListParagraph"/>
        <w:tabs>
          <w:tab w:val="left" w:pos="4320"/>
        </w:tabs>
        <w:ind w:left="4320"/>
        <w:rPr>
          <w:szCs w:val="24"/>
        </w:rPr>
      </w:pPr>
      <w:r w:rsidRPr="00792A6C">
        <w:rPr>
          <w:szCs w:val="24"/>
        </w:rPr>
        <w:t>Maureen R. Willis (0020847)</w:t>
      </w:r>
    </w:p>
    <w:p w:rsidR="001930AB" w:rsidRPr="00792A6C" w:rsidP="005D2D59" w14:paraId="6F633794" w14:textId="77777777">
      <w:pPr>
        <w:pStyle w:val="ListParagraph"/>
        <w:tabs>
          <w:tab w:val="left" w:pos="4320"/>
        </w:tabs>
        <w:ind w:left="4320"/>
        <w:rPr>
          <w:szCs w:val="24"/>
        </w:rPr>
      </w:pPr>
      <w:r w:rsidRPr="00792A6C">
        <w:rPr>
          <w:szCs w:val="24"/>
        </w:rPr>
        <w:t>Counsel of Record</w:t>
      </w:r>
    </w:p>
    <w:p w:rsidR="001930AB" w:rsidRPr="00792A6C" w:rsidP="005D2D59" w14:paraId="4C5823B9" w14:textId="77777777">
      <w:pPr>
        <w:pStyle w:val="ListParagraph"/>
        <w:tabs>
          <w:tab w:val="left" w:pos="4320"/>
        </w:tabs>
        <w:ind w:left="4320"/>
        <w:rPr>
          <w:szCs w:val="24"/>
        </w:rPr>
      </w:pPr>
      <w:r w:rsidRPr="00792A6C">
        <w:rPr>
          <w:szCs w:val="24"/>
        </w:rPr>
        <w:t>John Finnigan (0018689)</w:t>
      </w:r>
      <w:r w:rsidRPr="00792A6C">
        <w:rPr>
          <w:szCs w:val="24"/>
        </w:rPr>
        <w:br/>
        <w:t>Assistant Consumers’ Counsel</w:t>
      </w:r>
    </w:p>
    <w:p w:rsidR="001930AB" w:rsidRPr="00792A6C" w:rsidP="005D2D59" w14:paraId="6C5F4CE4" w14:textId="77777777">
      <w:pPr>
        <w:pStyle w:val="ListParagraph"/>
        <w:tabs>
          <w:tab w:val="left" w:pos="4320"/>
        </w:tabs>
        <w:ind w:left="4320"/>
        <w:rPr>
          <w:szCs w:val="24"/>
        </w:rPr>
      </w:pPr>
    </w:p>
    <w:p w:rsidR="001930AB" w:rsidRPr="00792A6C" w:rsidP="005D2D59" w14:paraId="1F15BB1F" w14:textId="77777777">
      <w:pPr>
        <w:pStyle w:val="ListParagraph"/>
        <w:tabs>
          <w:tab w:val="left" w:pos="4320"/>
        </w:tabs>
        <w:ind w:left="4320"/>
        <w:rPr>
          <w:b/>
          <w:bCs/>
          <w:szCs w:val="24"/>
        </w:rPr>
      </w:pPr>
      <w:r w:rsidRPr="00792A6C">
        <w:rPr>
          <w:b/>
          <w:szCs w:val="24"/>
        </w:rPr>
        <w:t>Office of the Ohio Consumers’ Counsel</w:t>
      </w:r>
    </w:p>
    <w:p w:rsidR="001930AB" w:rsidRPr="00792A6C" w:rsidP="005D2D59" w14:paraId="1FB84425" w14:textId="77777777">
      <w:pPr>
        <w:ind w:left="4320"/>
        <w:rPr>
          <w:szCs w:val="24"/>
        </w:rPr>
      </w:pPr>
      <w:r w:rsidRPr="00792A6C">
        <w:rPr>
          <w:szCs w:val="24"/>
        </w:rPr>
        <w:t xml:space="preserve">65 East State Street, </w:t>
      </w:r>
      <w:r w:rsidRPr="00792A6C" w:rsidR="00FE0DA0">
        <w:rPr>
          <w:szCs w:val="24"/>
        </w:rPr>
        <w:t>Suite 700</w:t>
      </w:r>
    </w:p>
    <w:p w:rsidR="001930AB" w:rsidRPr="00792A6C" w:rsidP="005D2D59" w14:paraId="7B1AF589" w14:textId="77777777">
      <w:pPr>
        <w:ind w:left="4320"/>
        <w:rPr>
          <w:szCs w:val="24"/>
        </w:rPr>
      </w:pPr>
      <w:r w:rsidRPr="00792A6C">
        <w:rPr>
          <w:szCs w:val="24"/>
        </w:rPr>
        <w:t>Columbus, Ohio 43215</w:t>
      </w:r>
    </w:p>
    <w:p w:rsidR="001930AB" w:rsidRPr="00792A6C" w:rsidP="005D2D59" w14:paraId="544A8E84" w14:textId="77777777">
      <w:pPr>
        <w:autoSpaceDE w:val="0"/>
        <w:autoSpaceDN w:val="0"/>
        <w:adjustRightInd w:val="0"/>
        <w:ind w:left="3600" w:firstLine="720"/>
        <w:rPr>
          <w:szCs w:val="24"/>
        </w:rPr>
      </w:pPr>
      <w:r w:rsidRPr="00792A6C">
        <w:rPr>
          <w:szCs w:val="24"/>
        </w:rPr>
        <w:t>Telephone [Willis]: (614) 466-9567</w:t>
      </w:r>
    </w:p>
    <w:p w:rsidR="001930AB" w:rsidRPr="00792A6C" w:rsidP="005D2D59" w14:paraId="4B4A40A2" w14:textId="77777777">
      <w:pPr>
        <w:pStyle w:val="ListParagraph"/>
        <w:autoSpaceDE w:val="0"/>
        <w:autoSpaceDN w:val="0"/>
        <w:adjustRightInd w:val="0"/>
        <w:ind w:left="3600" w:firstLine="720"/>
        <w:rPr>
          <w:szCs w:val="24"/>
        </w:rPr>
      </w:pPr>
      <w:r w:rsidRPr="00792A6C">
        <w:rPr>
          <w:szCs w:val="24"/>
        </w:rPr>
        <w:t>Telephone [Finnigan]: (614) 466-9585</w:t>
      </w:r>
    </w:p>
    <w:p w:rsidR="001930AB" w:rsidRPr="00792A6C" w:rsidP="005D2D59" w14:paraId="7A9E6927" w14:textId="77777777">
      <w:pPr>
        <w:pStyle w:val="ListParagraph"/>
        <w:autoSpaceDE w:val="0"/>
        <w:autoSpaceDN w:val="0"/>
        <w:adjustRightInd w:val="0"/>
        <w:ind w:left="0"/>
        <w:rPr>
          <w:color w:val="0000FF"/>
          <w:szCs w:val="24"/>
        </w:rPr>
      </w:pPr>
      <w:r w:rsidRPr="00792A6C">
        <w:rPr>
          <w:szCs w:val="24"/>
        </w:rPr>
        <w:tab/>
      </w:r>
      <w:r w:rsidRPr="00792A6C">
        <w:rPr>
          <w:szCs w:val="24"/>
        </w:rPr>
        <w:tab/>
      </w:r>
      <w:r w:rsidRPr="00792A6C">
        <w:rPr>
          <w:szCs w:val="24"/>
        </w:rPr>
        <w:tab/>
      </w:r>
      <w:r w:rsidRPr="00792A6C">
        <w:rPr>
          <w:szCs w:val="24"/>
        </w:rPr>
        <w:tab/>
      </w:r>
      <w:r w:rsidRPr="00792A6C">
        <w:rPr>
          <w:szCs w:val="24"/>
        </w:rPr>
        <w:tab/>
      </w:r>
      <w:r w:rsidRPr="00792A6C">
        <w:rPr>
          <w:szCs w:val="24"/>
        </w:rPr>
        <w:tab/>
      </w:r>
      <w:hyperlink r:id="rId7" w:history="1">
        <w:r w:rsidRPr="00792A6C" w:rsidR="00FE0DA0">
          <w:rPr>
            <w:rStyle w:val="Hyperlink"/>
            <w:color w:val="0000FF"/>
            <w:szCs w:val="24"/>
          </w:rPr>
          <w:t>maureen.willis@occ.ohio.gov</w:t>
        </w:r>
      </w:hyperlink>
    </w:p>
    <w:p w:rsidR="001930AB" w:rsidRPr="00792A6C" w:rsidP="005D2D59" w14:paraId="2A35095C" w14:textId="77777777">
      <w:pPr>
        <w:pStyle w:val="ListParagraph"/>
        <w:autoSpaceDE w:val="0"/>
        <w:autoSpaceDN w:val="0"/>
        <w:adjustRightInd w:val="0"/>
        <w:ind w:left="3600" w:firstLine="720"/>
        <w:rPr>
          <w:rStyle w:val="Hyperlink"/>
          <w:color w:val="0000FF"/>
          <w:szCs w:val="24"/>
        </w:rPr>
      </w:pPr>
      <w:hyperlink r:id="rId8" w:history="1">
        <w:r w:rsidRPr="00792A6C" w:rsidR="00B91966">
          <w:rPr>
            <w:rStyle w:val="Hyperlink"/>
            <w:color w:val="0000FF"/>
            <w:szCs w:val="24"/>
          </w:rPr>
          <w:t>john.finnigan@occ.ohio.gov</w:t>
        </w:r>
      </w:hyperlink>
    </w:p>
    <w:p w:rsidR="001930AB" w:rsidRPr="00792A6C" w:rsidP="005D2D59" w14:paraId="4FB4E291" w14:textId="77777777">
      <w:pPr>
        <w:autoSpaceDE w:val="0"/>
        <w:autoSpaceDN w:val="0"/>
        <w:adjustRightInd w:val="0"/>
        <w:rPr>
          <w:rStyle w:val="Hyperlink"/>
          <w:color w:val="auto"/>
          <w:szCs w:val="24"/>
          <w:u w:val="none"/>
        </w:rPr>
      </w:pPr>
      <w:r w:rsidRPr="00792A6C">
        <w:rPr>
          <w:rStyle w:val="Hyperlink"/>
          <w:color w:val="auto"/>
          <w:szCs w:val="24"/>
          <w:u w:val="none"/>
        </w:rPr>
        <w:tab/>
      </w:r>
      <w:r w:rsidRPr="00792A6C">
        <w:rPr>
          <w:rStyle w:val="Hyperlink"/>
          <w:color w:val="auto"/>
          <w:szCs w:val="24"/>
          <w:u w:val="none"/>
        </w:rPr>
        <w:tab/>
      </w:r>
      <w:r w:rsidRPr="00792A6C">
        <w:rPr>
          <w:rStyle w:val="Hyperlink"/>
          <w:color w:val="auto"/>
          <w:szCs w:val="24"/>
          <w:u w:val="none"/>
        </w:rPr>
        <w:tab/>
      </w:r>
      <w:r w:rsidRPr="00792A6C">
        <w:rPr>
          <w:rStyle w:val="Hyperlink"/>
          <w:color w:val="auto"/>
          <w:szCs w:val="24"/>
          <w:u w:val="none"/>
        </w:rPr>
        <w:tab/>
      </w:r>
      <w:r w:rsidRPr="00792A6C">
        <w:rPr>
          <w:rStyle w:val="Hyperlink"/>
          <w:color w:val="auto"/>
          <w:szCs w:val="24"/>
          <w:u w:val="none"/>
        </w:rPr>
        <w:tab/>
      </w:r>
      <w:r w:rsidRPr="00792A6C">
        <w:rPr>
          <w:rStyle w:val="Hyperlink"/>
          <w:color w:val="auto"/>
          <w:szCs w:val="24"/>
          <w:u w:val="none"/>
        </w:rPr>
        <w:tab/>
        <w:t>(willing to accept service by e-mail)</w:t>
      </w:r>
    </w:p>
    <w:p w:rsidR="00322352" w:rsidRPr="00792A6C" w:rsidP="005D2D59" w14:paraId="19DB8932" w14:textId="77777777">
      <w:pPr>
        <w:pStyle w:val="NormalWeb"/>
        <w:shd w:val="clear" w:color="auto" w:fill="FFFFFF"/>
        <w:spacing w:before="0" w:beforeAutospacing="0" w:after="0" w:afterAutospacing="0" w:line="480" w:lineRule="auto"/>
        <w:textAlignment w:val="baseline"/>
        <w:rPr>
          <w:rFonts w:eastAsiaTheme="minorHAnsi"/>
        </w:rPr>
        <w:sectPr w:rsidSect="00F33EC6">
          <w:footerReference w:type="default" r:id="rId9"/>
          <w:pgSz w:w="12240" w:h="15840"/>
          <w:pgMar w:top="1440" w:right="1800" w:bottom="1440" w:left="1800" w:header="720" w:footer="720" w:gutter="0"/>
          <w:pgNumType w:start="2"/>
          <w:cols w:space="720"/>
          <w:docGrid w:linePitch="360"/>
        </w:sectPr>
      </w:pPr>
    </w:p>
    <w:p w:rsidR="009030AA" w:rsidRPr="00792A6C" w:rsidP="005D2D59" w14:paraId="162B0B53" w14:textId="77777777">
      <w:pPr>
        <w:jc w:val="center"/>
        <w:rPr>
          <w:b/>
          <w:bCs/>
          <w:szCs w:val="24"/>
          <w:u w:val="single"/>
        </w:rPr>
      </w:pPr>
      <w:r w:rsidRPr="00792A6C">
        <w:rPr>
          <w:b/>
          <w:szCs w:val="24"/>
          <w:u w:val="single"/>
        </w:rPr>
        <w:t>CERTIFICATE OF SERVICE</w:t>
      </w:r>
    </w:p>
    <w:p w:rsidR="009030AA" w:rsidRPr="00792A6C" w:rsidP="005D2D59" w14:paraId="0C5E1F8F" w14:textId="77777777">
      <w:pPr>
        <w:jc w:val="center"/>
        <w:rPr>
          <w:szCs w:val="24"/>
          <w:u w:val="single"/>
        </w:rPr>
      </w:pPr>
    </w:p>
    <w:p w:rsidR="009030AA" w:rsidRPr="00792A6C" w:rsidP="00621E34" w14:paraId="11ED7177" w14:textId="1E9C5AF6">
      <w:pPr>
        <w:spacing w:line="480" w:lineRule="auto"/>
        <w:rPr>
          <w:szCs w:val="24"/>
        </w:rPr>
      </w:pPr>
      <w:r w:rsidRPr="00792A6C">
        <w:rPr>
          <w:szCs w:val="24"/>
        </w:rPr>
        <w:tab/>
        <w:t>I hereby certify that a copy of th</w:t>
      </w:r>
      <w:r w:rsidRPr="00792A6C" w:rsidR="003379E1">
        <w:rPr>
          <w:szCs w:val="24"/>
        </w:rPr>
        <w:t>is</w:t>
      </w:r>
      <w:r w:rsidRPr="00792A6C">
        <w:rPr>
          <w:szCs w:val="24"/>
        </w:rPr>
        <w:t xml:space="preserve"> </w:t>
      </w:r>
      <w:r w:rsidRPr="00792A6C" w:rsidR="00621E34">
        <w:rPr>
          <w:szCs w:val="24"/>
        </w:rPr>
        <w:t xml:space="preserve">Memorandum Contra </w:t>
      </w:r>
      <w:r w:rsidR="00387C86">
        <w:rPr>
          <w:szCs w:val="24"/>
        </w:rPr>
        <w:t xml:space="preserve">to </w:t>
      </w:r>
      <w:r w:rsidRPr="00792A6C" w:rsidR="00450B06">
        <w:rPr>
          <w:szCs w:val="24"/>
        </w:rPr>
        <w:t>FirstEnergy Corp.’s Motion for a Protective Order</w:t>
      </w:r>
      <w:r w:rsidRPr="00792A6C">
        <w:rPr>
          <w:szCs w:val="24"/>
        </w:rPr>
        <w:t xml:space="preserve"> was served on the persons stated below via electric transmission this</w:t>
      </w:r>
      <w:r w:rsidRPr="00792A6C" w:rsidR="0094683F">
        <w:rPr>
          <w:szCs w:val="24"/>
        </w:rPr>
        <w:t xml:space="preserve"> </w:t>
      </w:r>
      <w:r w:rsidRPr="00792A6C" w:rsidR="002E4256">
        <w:rPr>
          <w:szCs w:val="24"/>
        </w:rPr>
        <w:t>2</w:t>
      </w:r>
      <w:r w:rsidRPr="00792A6C" w:rsidR="00D93552">
        <w:rPr>
          <w:szCs w:val="24"/>
        </w:rPr>
        <w:t>5</w:t>
      </w:r>
      <w:r w:rsidRPr="00792A6C" w:rsidR="00D93552">
        <w:rPr>
          <w:szCs w:val="24"/>
          <w:vertAlign w:val="superscript"/>
        </w:rPr>
        <w:t>th</w:t>
      </w:r>
      <w:r w:rsidRPr="00792A6C" w:rsidR="00D93552">
        <w:rPr>
          <w:szCs w:val="24"/>
        </w:rPr>
        <w:t xml:space="preserve"> </w:t>
      </w:r>
      <w:r w:rsidRPr="00792A6C">
        <w:rPr>
          <w:szCs w:val="24"/>
        </w:rPr>
        <w:t xml:space="preserve">day of </w:t>
      </w:r>
      <w:r w:rsidRPr="00792A6C" w:rsidR="001A7D6F">
        <w:rPr>
          <w:szCs w:val="24"/>
        </w:rPr>
        <w:t>March</w:t>
      </w:r>
      <w:r w:rsidRPr="00792A6C" w:rsidR="007004E3">
        <w:rPr>
          <w:szCs w:val="24"/>
        </w:rPr>
        <w:t xml:space="preserve"> </w:t>
      </w:r>
      <w:r w:rsidRPr="00792A6C">
        <w:rPr>
          <w:szCs w:val="24"/>
        </w:rPr>
        <w:t>202</w:t>
      </w:r>
      <w:r w:rsidRPr="00792A6C" w:rsidR="00FE0DA0">
        <w:rPr>
          <w:szCs w:val="24"/>
        </w:rPr>
        <w:t>2</w:t>
      </w:r>
      <w:r w:rsidRPr="00792A6C">
        <w:rPr>
          <w:szCs w:val="24"/>
        </w:rPr>
        <w:t>.</w:t>
      </w:r>
    </w:p>
    <w:p w:rsidR="009030AA" w:rsidRPr="00792A6C" w:rsidP="005D2D59" w14:paraId="5D26A4C4" w14:textId="77777777">
      <w:pPr>
        <w:rPr>
          <w:b/>
          <w:bCs/>
          <w:i/>
          <w:iCs/>
          <w:szCs w:val="24"/>
          <w:u w:val="single"/>
        </w:rPr>
      </w:pPr>
      <w:bookmarkStart w:id="1" w:name="_Hlk60904023"/>
      <w:r w:rsidRPr="00792A6C">
        <w:rPr>
          <w:szCs w:val="24"/>
        </w:rPr>
        <w:tab/>
      </w:r>
      <w:r w:rsidRPr="00792A6C">
        <w:rPr>
          <w:szCs w:val="24"/>
        </w:rPr>
        <w:tab/>
      </w:r>
      <w:r w:rsidRPr="00792A6C">
        <w:rPr>
          <w:szCs w:val="24"/>
        </w:rPr>
        <w:tab/>
      </w:r>
      <w:r w:rsidRPr="00792A6C">
        <w:rPr>
          <w:szCs w:val="24"/>
        </w:rPr>
        <w:tab/>
      </w:r>
      <w:r w:rsidRPr="00792A6C">
        <w:rPr>
          <w:szCs w:val="24"/>
        </w:rPr>
        <w:tab/>
      </w:r>
      <w:r w:rsidRPr="00792A6C">
        <w:rPr>
          <w:szCs w:val="24"/>
        </w:rPr>
        <w:tab/>
      </w:r>
      <w:r w:rsidRPr="00792A6C">
        <w:rPr>
          <w:i/>
          <w:iCs/>
          <w:szCs w:val="24"/>
          <w:u w:val="single"/>
        </w:rPr>
        <w:t xml:space="preserve">/s/ </w:t>
      </w:r>
      <w:r w:rsidRPr="00792A6C" w:rsidR="00304F7E">
        <w:rPr>
          <w:i/>
          <w:iCs/>
          <w:szCs w:val="24"/>
          <w:u w:val="single"/>
        </w:rPr>
        <w:t>Maureen R. Willis</w:t>
      </w:r>
      <w:r w:rsidRPr="00792A6C" w:rsidR="00DC167B">
        <w:rPr>
          <w:i/>
          <w:iCs/>
          <w:szCs w:val="24"/>
          <w:u w:val="single"/>
        </w:rPr>
        <w:tab/>
      </w:r>
      <w:r w:rsidRPr="00792A6C" w:rsidR="00DC167B">
        <w:rPr>
          <w:i/>
          <w:iCs/>
          <w:szCs w:val="24"/>
          <w:u w:val="single"/>
        </w:rPr>
        <w:tab/>
      </w:r>
      <w:r w:rsidRPr="00792A6C" w:rsidR="00304F7E">
        <w:rPr>
          <w:i/>
          <w:iCs/>
          <w:szCs w:val="24"/>
          <w:u w:val="single"/>
        </w:rPr>
        <w:t xml:space="preserve"> </w:t>
      </w:r>
    </w:p>
    <w:p w:rsidR="00304F7E" w:rsidRPr="00792A6C" w:rsidP="005D2D59" w14:paraId="2E8BD86F" w14:textId="77777777">
      <w:pPr>
        <w:rPr>
          <w:b/>
          <w:bCs/>
          <w:szCs w:val="24"/>
        </w:rPr>
      </w:pPr>
      <w:r w:rsidRPr="00792A6C">
        <w:rPr>
          <w:szCs w:val="24"/>
        </w:rPr>
        <w:tab/>
      </w:r>
      <w:r w:rsidRPr="00792A6C">
        <w:rPr>
          <w:szCs w:val="24"/>
        </w:rPr>
        <w:tab/>
      </w:r>
      <w:r w:rsidRPr="00792A6C">
        <w:rPr>
          <w:szCs w:val="24"/>
        </w:rPr>
        <w:tab/>
      </w:r>
      <w:r w:rsidRPr="00792A6C">
        <w:rPr>
          <w:szCs w:val="24"/>
        </w:rPr>
        <w:tab/>
      </w:r>
      <w:r w:rsidRPr="00792A6C">
        <w:rPr>
          <w:szCs w:val="24"/>
        </w:rPr>
        <w:tab/>
      </w:r>
      <w:r w:rsidRPr="00792A6C">
        <w:rPr>
          <w:szCs w:val="24"/>
        </w:rPr>
        <w:tab/>
        <w:t>Maureen R. Willis</w:t>
      </w:r>
      <w:r w:rsidRPr="00792A6C" w:rsidR="00C01BBA">
        <w:rPr>
          <w:szCs w:val="24"/>
        </w:rPr>
        <w:t xml:space="preserve"> </w:t>
      </w:r>
    </w:p>
    <w:p w:rsidR="009030AA" w:rsidRPr="00792A6C" w:rsidP="005D2D59" w14:paraId="45FADD03" w14:textId="77777777">
      <w:pPr>
        <w:ind w:left="3600" w:firstLine="720"/>
        <w:rPr>
          <w:b/>
          <w:bCs/>
          <w:szCs w:val="24"/>
        </w:rPr>
      </w:pPr>
      <w:r w:rsidRPr="00792A6C">
        <w:rPr>
          <w:szCs w:val="24"/>
        </w:rPr>
        <w:t>Assistant Consumers’ Counsel</w:t>
      </w:r>
    </w:p>
    <w:bookmarkEnd w:id="1"/>
    <w:p w:rsidR="009030AA" w:rsidRPr="00792A6C" w:rsidP="005D2D59" w14:paraId="43FD88E4" w14:textId="77777777">
      <w:pPr>
        <w:rPr>
          <w:b/>
          <w:bCs/>
          <w:szCs w:val="24"/>
        </w:rPr>
      </w:pPr>
    </w:p>
    <w:p w:rsidR="009030AA" w:rsidRPr="00792A6C" w:rsidP="005D2D59" w14:paraId="707973A2" w14:textId="77777777">
      <w:pPr>
        <w:rPr>
          <w:b/>
          <w:bCs/>
          <w:szCs w:val="24"/>
        </w:rPr>
      </w:pPr>
      <w:r w:rsidRPr="00792A6C">
        <w:rPr>
          <w:szCs w:val="24"/>
        </w:rPr>
        <w:t>The PUCO’s e-filing system will electronically serve notice of the filing of this document on the following parties:</w:t>
      </w:r>
    </w:p>
    <w:p w:rsidR="009030AA" w:rsidRPr="00792A6C" w:rsidP="005D2D59" w14:paraId="7E5601C3" w14:textId="77777777">
      <w:pPr>
        <w:rPr>
          <w:b/>
          <w:bCs/>
          <w:szCs w:val="24"/>
        </w:rPr>
      </w:pPr>
    </w:p>
    <w:p w:rsidR="00922AF8" w:rsidRPr="00792A6C" w:rsidP="005D2D59" w14:paraId="448E960B" w14:textId="77777777">
      <w:pPr>
        <w:pStyle w:val="CommentText"/>
        <w:jc w:val="center"/>
        <w:rPr>
          <w:b/>
          <w:sz w:val="24"/>
          <w:szCs w:val="24"/>
          <w:u w:val="single"/>
        </w:rPr>
      </w:pPr>
      <w:r w:rsidRPr="00792A6C">
        <w:rPr>
          <w:b/>
          <w:sz w:val="24"/>
          <w:szCs w:val="24"/>
          <w:u w:val="single"/>
        </w:rPr>
        <w:t>SERVICE LIST</w:t>
      </w:r>
    </w:p>
    <w:p w:rsidR="001930AB" w:rsidRPr="00792A6C" w:rsidP="005D2D59" w14:paraId="2D1EF5BF" w14:textId="77777777">
      <w:pPr>
        <w:pStyle w:val="CommentText"/>
        <w:jc w:val="center"/>
        <w:rPr>
          <w:b/>
          <w:sz w:val="24"/>
          <w:szCs w:val="24"/>
          <w:u w:val="single"/>
        </w:rPr>
      </w:pPr>
    </w:p>
    <w:tbl>
      <w:tblPr>
        <w:tblW w:w="0" w:type="auto"/>
        <w:tblLook w:val="04A0"/>
      </w:tblPr>
      <w:tblGrid>
        <w:gridCol w:w="4257"/>
        <w:gridCol w:w="4383"/>
      </w:tblGrid>
      <w:tr w14:paraId="7897843A" w14:textId="77777777" w:rsidTr="00FB5CDC">
        <w:tblPrEx>
          <w:tblW w:w="0" w:type="auto"/>
          <w:tblLook w:val="04A0"/>
        </w:tblPrEx>
        <w:trPr>
          <w:trHeight w:val="6912"/>
        </w:trPr>
        <w:tc>
          <w:tcPr>
            <w:tcW w:w="4428" w:type="dxa"/>
          </w:tcPr>
          <w:bookmarkStart w:id="2" w:name="_Hlk92973184"/>
          <w:p w:rsidR="00B90241" w:rsidRPr="00792A6C" w:rsidP="005D2D59" w14:paraId="17C65A62" w14:textId="77777777">
            <w:pPr>
              <w:widowControl w:val="0"/>
              <w:autoSpaceDE w:val="0"/>
              <w:autoSpaceDN w:val="0"/>
              <w:adjustRightInd w:val="0"/>
              <w:rPr>
                <w:rFonts w:eastAsia="Calibri"/>
                <w:bCs/>
                <w:color w:val="0000FF"/>
                <w:szCs w:val="24"/>
                <w:u w:val="single"/>
              </w:rPr>
            </w:pPr>
            <w:hyperlink r:id="rId10" w:history="1">
              <w:r w:rsidRPr="00792A6C">
                <w:rPr>
                  <w:rFonts w:eastAsia="Calibri"/>
                  <w:color w:val="0000FF"/>
                  <w:szCs w:val="24"/>
                  <w:u w:val="single"/>
                </w:rPr>
                <w:t>thomas.lindgren@ohioAGO.gov</w:t>
              </w:r>
            </w:hyperlink>
          </w:p>
          <w:p w:rsidR="00B90241" w:rsidRPr="00792A6C" w:rsidP="005D2D59" w14:paraId="2F862BB5" w14:textId="77777777">
            <w:pPr>
              <w:widowControl w:val="0"/>
              <w:autoSpaceDE w:val="0"/>
              <w:autoSpaceDN w:val="0"/>
              <w:adjustRightInd w:val="0"/>
              <w:rPr>
                <w:rFonts w:eastAsia="Calibri"/>
                <w:bCs/>
                <w:color w:val="0000FF"/>
                <w:szCs w:val="24"/>
                <w:u w:val="single"/>
              </w:rPr>
            </w:pPr>
            <w:hyperlink r:id="rId11" w:history="1">
              <w:r w:rsidRPr="00792A6C" w:rsidR="00945291">
                <w:rPr>
                  <w:rFonts w:eastAsia="Calibri"/>
                  <w:color w:val="0000FF"/>
                  <w:szCs w:val="24"/>
                  <w:u w:val="single"/>
                </w:rPr>
                <w:t>werner.margard@ohioAGO.gov</w:t>
              </w:r>
            </w:hyperlink>
          </w:p>
          <w:p w:rsidR="00B90241" w:rsidRPr="00792A6C" w:rsidP="005D2D59" w14:paraId="49478AE1" w14:textId="77777777">
            <w:pPr>
              <w:widowControl w:val="0"/>
              <w:autoSpaceDE w:val="0"/>
              <w:autoSpaceDN w:val="0"/>
              <w:adjustRightInd w:val="0"/>
              <w:rPr>
                <w:rFonts w:eastAsia="Calibri"/>
                <w:color w:val="0000FF"/>
                <w:szCs w:val="24"/>
              </w:rPr>
            </w:pPr>
            <w:hyperlink r:id="rId12" w:history="1">
              <w:r w:rsidRPr="00792A6C" w:rsidR="00945291">
                <w:rPr>
                  <w:rFonts w:eastAsia="Calibri"/>
                  <w:color w:val="0000FF"/>
                  <w:szCs w:val="24"/>
                  <w:u w:val="single"/>
                </w:rPr>
                <w:t>joliker@igsenergy.com</w:t>
              </w:r>
            </w:hyperlink>
          </w:p>
          <w:p w:rsidR="00B90241" w:rsidRPr="00792A6C" w:rsidP="005D2D59" w14:paraId="58A7C88E" w14:textId="77777777">
            <w:pPr>
              <w:widowControl w:val="0"/>
              <w:autoSpaceDE w:val="0"/>
              <w:autoSpaceDN w:val="0"/>
              <w:adjustRightInd w:val="0"/>
              <w:rPr>
                <w:rFonts w:eastAsia="Calibri"/>
                <w:color w:val="0000FF"/>
                <w:szCs w:val="24"/>
                <w:u w:val="single"/>
              </w:rPr>
            </w:pPr>
            <w:hyperlink r:id="rId13" w:history="1">
              <w:r w:rsidRPr="00792A6C" w:rsidR="00945291">
                <w:rPr>
                  <w:rFonts w:eastAsia="Calibri"/>
                  <w:color w:val="0000FF"/>
                  <w:szCs w:val="24"/>
                  <w:u w:val="single"/>
                </w:rPr>
                <w:t>Mnugent@igsenergy.com</w:t>
              </w:r>
            </w:hyperlink>
          </w:p>
          <w:p w:rsidR="00B90241" w:rsidRPr="00792A6C" w:rsidP="005D2D59" w14:paraId="37C5E23A" w14:textId="77777777">
            <w:pPr>
              <w:widowControl w:val="0"/>
              <w:autoSpaceDE w:val="0"/>
              <w:autoSpaceDN w:val="0"/>
              <w:adjustRightInd w:val="0"/>
              <w:rPr>
                <w:rFonts w:eastAsia="Calibri"/>
                <w:color w:val="0000FF"/>
                <w:szCs w:val="24"/>
                <w:u w:val="single"/>
              </w:rPr>
            </w:pPr>
            <w:hyperlink r:id="rId14" w:history="1">
              <w:r w:rsidRPr="00792A6C" w:rsidR="00945291">
                <w:rPr>
                  <w:rFonts w:eastAsia="Calibri"/>
                  <w:color w:val="0000FF"/>
                  <w:szCs w:val="24"/>
                  <w:u w:val="single"/>
                </w:rPr>
                <w:t>bethany.allen@igs.com</w:t>
              </w:r>
            </w:hyperlink>
          </w:p>
          <w:p w:rsidR="00B90241" w:rsidRPr="00792A6C" w:rsidP="005D2D59" w14:paraId="3D84A177" w14:textId="77777777">
            <w:pPr>
              <w:widowControl w:val="0"/>
              <w:autoSpaceDE w:val="0"/>
              <w:autoSpaceDN w:val="0"/>
              <w:adjustRightInd w:val="0"/>
              <w:rPr>
                <w:rFonts w:eastAsia="Calibri"/>
                <w:color w:val="0000FF"/>
                <w:szCs w:val="24"/>
              </w:rPr>
            </w:pPr>
            <w:hyperlink r:id="rId15" w:history="1">
              <w:r w:rsidRPr="00792A6C" w:rsidR="00945291">
                <w:rPr>
                  <w:rFonts w:eastAsia="Calibri"/>
                  <w:color w:val="0000FF"/>
                  <w:szCs w:val="24"/>
                  <w:u w:val="single"/>
                </w:rPr>
                <w:t>evan.betterton@igs.com</w:t>
              </w:r>
            </w:hyperlink>
          </w:p>
          <w:p w:rsidR="00B90241" w:rsidRPr="00792A6C" w:rsidP="005D2D59" w14:paraId="24331644" w14:textId="77777777">
            <w:pPr>
              <w:widowControl w:val="0"/>
              <w:autoSpaceDE w:val="0"/>
              <w:autoSpaceDN w:val="0"/>
              <w:adjustRightInd w:val="0"/>
              <w:rPr>
                <w:rFonts w:eastAsia="Calibri"/>
                <w:color w:val="0000FF"/>
                <w:szCs w:val="24"/>
              </w:rPr>
            </w:pPr>
            <w:hyperlink r:id="rId16" w:history="1">
              <w:r w:rsidRPr="00792A6C" w:rsidR="00945291">
                <w:rPr>
                  <w:rFonts w:eastAsia="Calibri"/>
                  <w:color w:val="0000FF"/>
                  <w:szCs w:val="24"/>
                  <w:u w:val="single"/>
                </w:rPr>
                <w:t>gkrassen@bricker.com</w:t>
              </w:r>
            </w:hyperlink>
          </w:p>
          <w:p w:rsidR="00B90241" w:rsidRPr="00792A6C" w:rsidP="005D2D59" w14:paraId="56EA05D8" w14:textId="77777777">
            <w:pPr>
              <w:widowControl w:val="0"/>
              <w:autoSpaceDE w:val="0"/>
              <w:autoSpaceDN w:val="0"/>
              <w:adjustRightInd w:val="0"/>
              <w:rPr>
                <w:rFonts w:eastAsia="Calibri"/>
                <w:color w:val="0000FF"/>
                <w:szCs w:val="24"/>
                <w:u w:val="single"/>
              </w:rPr>
            </w:pPr>
            <w:hyperlink r:id="rId17" w:history="1">
              <w:r w:rsidRPr="00792A6C" w:rsidR="00945291">
                <w:rPr>
                  <w:rFonts w:eastAsia="Calibri"/>
                  <w:color w:val="0000FF"/>
                  <w:szCs w:val="24"/>
                  <w:u w:val="single"/>
                </w:rPr>
                <w:t>dstinson@bricker.com</w:t>
              </w:r>
            </w:hyperlink>
          </w:p>
          <w:p w:rsidR="00B90241" w:rsidRPr="00792A6C" w:rsidP="005D2D59" w14:paraId="6AEF12D2" w14:textId="77777777">
            <w:pPr>
              <w:widowControl w:val="0"/>
              <w:autoSpaceDE w:val="0"/>
              <w:autoSpaceDN w:val="0"/>
              <w:adjustRightInd w:val="0"/>
              <w:rPr>
                <w:rFonts w:eastAsia="Calibri"/>
                <w:color w:val="0000FF"/>
                <w:szCs w:val="24"/>
                <w:u w:val="single"/>
              </w:rPr>
            </w:pPr>
            <w:hyperlink r:id="rId18" w:history="1">
              <w:r w:rsidRPr="00792A6C" w:rsidR="00945291">
                <w:rPr>
                  <w:rStyle w:val="Hyperlink"/>
                  <w:rFonts w:eastAsia="Calibri"/>
                  <w:color w:val="0000FF"/>
                  <w:szCs w:val="24"/>
                </w:rPr>
                <w:t>whitt@whitt-sturtevant.com</w:t>
              </w:r>
            </w:hyperlink>
          </w:p>
          <w:p w:rsidR="00B90241" w:rsidRPr="00792A6C" w:rsidP="005D2D59" w14:paraId="70B1FCF2" w14:textId="77777777">
            <w:pPr>
              <w:widowControl w:val="0"/>
              <w:autoSpaceDE w:val="0"/>
              <w:autoSpaceDN w:val="0"/>
              <w:adjustRightInd w:val="0"/>
              <w:rPr>
                <w:rFonts w:eastAsia="Calibri"/>
                <w:color w:val="0000FF"/>
                <w:szCs w:val="24"/>
                <w:u w:val="single"/>
              </w:rPr>
            </w:pPr>
            <w:hyperlink r:id="rId19" w:history="1">
              <w:r w:rsidRPr="00792A6C" w:rsidR="00945291">
                <w:rPr>
                  <w:rStyle w:val="Hyperlink"/>
                  <w:rFonts w:eastAsia="Calibri"/>
                  <w:color w:val="0000FF"/>
                  <w:szCs w:val="24"/>
                </w:rPr>
                <w:t>fykes@whitt-sturtevant.com</w:t>
              </w:r>
            </w:hyperlink>
          </w:p>
          <w:p w:rsidR="00B90241" w:rsidRPr="00792A6C" w:rsidP="005D2D59" w14:paraId="7741B716" w14:textId="77777777">
            <w:pPr>
              <w:pStyle w:val="CommentText"/>
              <w:rPr>
                <w:rStyle w:val="Hyperlink"/>
                <w:color w:val="0000FF"/>
                <w:sz w:val="24"/>
                <w:szCs w:val="24"/>
              </w:rPr>
            </w:pPr>
            <w:r w:rsidRPr="00792A6C">
              <w:rPr>
                <w:rStyle w:val="Hyperlink"/>
                <w:color w:val="0000FF"/>
                <w:sz w:val="24"/>
                <w:szCs w:val="24"/>
              </w:rPr>
              <w:t>trent@hubaydougherty.com</w:t>
            </w:r>
          </w:p>
          <w:p w:rsidR="00B90241" w:rsidRPr="00792A6C" w:rsidP="005D2D59" w14:paraId="2F19CBD7" w14:textId="77777777">
            <w:pPr>
              <w:widowControl w:val="0"/>
              <w:rPr>
                <w:color w:val="0000FF"/>
                <w:szCs w:val="24"/>
                <w:u w:val="single"/>
              </w:rPr>
            </w:pPr>
            <w:hyperlink r:id="rId20" w:history="1">
              <w:r w:rsidRPr="00792A6C" w:rsidR="00945291">
                <w:rPr>
                  <w:rStyle w:val="Hyperlink"/>
                  <w:color w:val="0000FF"/>
                  <w:szCs w:val="24"/>
                </w:rPr>
                <w:t>mwise@mcdonaldhopkins.com</w:t>
              </w:r>
            </w:hyperlink>
          </w:p>
          <w:p w:rsidR="00B90241" w:rsidRPr="00792A6C" w:rsidP="005D2D59" w14:paraId="0BADD2E5" w14:textId="77777777">
            <w:pPr>
              <w:pStyle w:val="CommentText"/>
              <w:rPr>
                <w:rStyle w:val="Hyperlink"/>
                <w:color w:val="0000FF"/>
                <w:sz w:val="24"/>
                <w:szCs w:val="24"/>
              </w:rPr>
            </w:pPr>
            <w:hyperlink r:id="rId21" w:history="1">
              <w:r w:rsidRPr="00792A6C" w:rsidR="00945291">
                <w:rPr>
                  <w:rStyle w:val="Hyperlink"/>
                  <w:color w:val="0000FF"/>
                  <w:sz w:val="24"/>
                  <w:szCs w:val="24"/>
                </w:rPr>
                <w:t>mkurtz@BKLlawfirm.com</w:t>
              </w:r>
            </w:hyperlink>
          </w:p>
          <w:p w:rsidR="00B90241" w:rsidRPr="00792A6C" w:rsidP="005D2D59" w14:paraId="2680623A" w14:textId="77777777">
            <w:pPr>
              <w:pStyle w:val="CommentText"/>
              <w:rPr>
                <w:rStyle w:val="Hyperlink"/>
                <w:color w:val="0000FF"/>
                <w:sz w:val="24"/>
                <w:szCs w:val="24"/>
              </w:rPr>
            </w:pPr>
            <w:hyperlink r:id="rId22" w:history="1">
              <w:r w:rsidRPr="00792A6C" w:rsidR="00945291">
                <w:rPr>
                  <w:rStyle w:val="Hyperlink"/>
                  <w:color w:val="0000FF"/>
                  <w:sz w:val="24"/>
                  <w:szCs w:val="24"/>
                </w:rPr>
                <w:t>kboehm@BKLlawfirm.com</w:t>
              </w:r>
            </w:hyperlink>
          </w:p>
          <w:p w:rsidR="00B90241" w:rsidRPr="00792A6C" w:rsidP="005D2D59" w14:paraId="2645060A" w14:textId="77777777">
            <w:pPr>
              <w:pStyle w:val="CommentText"/>
              <w:rPr>
                <w:rStyle w:val="Hyperlink"/>
                <w:color w:val="0000FF"/>
                <w:sz w:val="24"/>
                <w:szCs w:val="24"/>
              </w:rPr>
            </w:pPr>
            <w:hyperlink r:id="rId23" w:history="1">
              <w:r w:rsidRPr="00792A6C" w:rsidR="00945291">
                <w:rPr>
                  <w:rStyle w:val="Hyperlink"/>
                  <w:color w:val="0000FF"/>
                  <w:sz w:val="24"/>
                  <w:szCs w:val="24"/>
                </w:rPr>
                <w:t>jkylercohn@BKLlawfirm.com</w:t>
              </w:r>
            </w:hyperlink>
          </w:p>
          <w:p w:rsidR="00B90241" w:rsidRPr="00792A6C" w:rsidP="005D2D59" w14:paraId="41058599" w14:textId="77777777">
            <w:pPr>
              <w:pStyle w:val="CommentText"/>
              <w:rPr>
                <w:rStyle w:val="Hyperlink"/>
                <w:color w:val="0000FF"/>
                <w:sz w:val="24"/>
                <w:szCs w:val="24"/>
              </w:rPr>
            </w:pPr>
            <w:hyperlink r:id="rId24" w:history="1">
              <w:r w:rsidRPr="00792A6C" w:rsidR="00945291">
                <w:rPr>
                  <w:rStyle w:val="Hyperlink"/>
                  <w:color w:val="0000FF"/>
                  <w:sz w:val="24"/>
                  <w:szCs w:val="24"/>
                </w:rPr>
                <w:t>talexander@beneschlaw.com</w:t>
              </w:r>
            </w:hyperlink>
          </w:p>
          <w:p w:rsidR="00B90241" w:rsidRPr="00792A6C" w:rsidP="005D2D59" w14:paraId="0BE321DE" w14:textId="77777777">
            <w:pPr>
              <w:widowControl w:val="0"/>
              <w:rPr>
                <w:color w:val="0000FF"/>
                <w:szCs w:val="24"/>
                <w:u w:val="single"/>
              </w:rPr>
            </w:pPr>
            <w:r w:rsidRPr="00792A6C">
              <w:rPr>
                <w:rStyle w:val="Hyperlink"/>
                <w:color w:val="0000FF"/>
                <w:szCs w:val="24"/>
              </w:rPr>
              <w:t>khehmeyer@beneschlaw.com</w:t>
            </w:r>
          </w:p>
          <w:p w:rsidR="00B90241" w:rsidRPr="00792A6C" w:rsidP="005D2D59" w14:paraId="2396E89D" w14:textId="77777777">
            <w:pPr>
              <w:widowControl w:val="0"/>
              <w:autoSpaceDE w:val="0"/>
              <w:autoSpaceDN w:val="0"/>
              <w:adjustRightInd w:val="0"/>
              <w:rPr>
                <w:rFonts w:eastAsia="Calibri"/>
                <w:color w:val="0000FF"/>
                <w:szCs w:val="24"/>
              </w:rPr>
            </w:pPr>
          </w:p>
          <w:p w:rsidR="00B90241" w:rsidRPr="00792A6C" w:rsidP="005D2D59" w14:paraId="6F6693E4" w14:textId="77777777">
            <w:pPr>
              <w:widowControl w:val="0"/>
              <w:rPr>
                <w:color w:val="0000FF"/>
                <w:szCs w:val="24"/>
              </w:rPr>
            </w:pPr>
          </w:p>
          <w:p w:rsidR="00B90241" w:rsidRPr="00792A6C" w:rsidP="005D2D59" w14:paraId="4D448F42" w14:textId="77777777">
            <w:pPr>
              <w:widowControl w:val="0"/>
              <w:suppressLineNumbers/>
              <w:ind w:left="-19"/>
              <w:rPr>
                <w:szCs w:val="24"/>
              </w:rPr>
            </w:pPr>
            <w:r w:rsidRPr="00792A6C">
              <w:rPr>
                <w:szCs w:val="24"/>
              </w:rPr>
              <w:t>Attorney Examiners:</w:t>
            </w:r>
          </w:p>
          <w:p w:rsidR="00B90241" w:rsidRPr="00792A6C" w:rsidP="005D2D59" w14:paraId="5A38B383" w14:textId="77777777">
            <w:pPr>
              <w:widowControl w:val="0"/>
              <w:suppressLineNumbers/>
              <w:ind w:left="-19"/>
              <w:rPr>
                <w:color w:val="0000FF"/>
                <w:szCs w:val="24"/>
                <w:u w:val="single"/>
              </w:rPr>
            </w:pPr>
            <w:hyperlink r:id="rId25" w:history="1">
              <w:r w:rsidRPr="00792A6C" w:rsidR="00945291">
                <w:rPr>
                  <w:rStyle w:val="Hyperlink"/>
                  <w:color w:val="0000FF"/>
                  <w:szCs w:val="24"/>
                </w:rPr>
                <w:t>megan.addison@puco.ohio.gov</w:t>
              </w:r>
            </w:hyperlink>
          </w:p>
          <w:p w:rsidR="00B90241" w:rsidRPr="00792A6C" w:rsidP="005D2D59" w14:paraId="09B7920A" w14:textId="77777777">
            <w:pPr>
              <w:widowControl w:val="0"/>
              <w:suppressLineNumbers/>
              <w:ind w:left="-19"/>
              <w:rPr>
                <w:bCs/>
                <w:color w:val="0000FF"/>
                <w:szCs w:val="24"/>
              </w:rPr>
            </w:pPr>
            <w:r w:rsidRPr="00792A6C">
              <w:rPr>
                <w:color w:val="0000FF"/>
                <w:szCs w:val="24"/>
                <w:u w:val="single"/>
              </w:rPr>
              <w:t>jacqueline.st.john@puco.ohio.gov</w:t>
            </w:r>
          </w:p>
        </w:tc>
        <w:tc>
          <w:tcPr>
            <w:tcW w:w="4428" w:type="dxa"/>
          </w:tcPr>
          <w:p w:rsidR="00B90241" w:rsidRPr="00792A6C" w:rsidP="005D2D59" w14:paraId="626A3EFB" w14:textId="77777777">
            <w:pPr>
              <w:widowControl w:val="0"/>
              <w:ind w:left="804"/>
              <w:rPr>
                <w:color w:val="0000FF"/>
                <w:szCs w:val="24"/>
              </w:rPr>
            </w:pPr>
            <w:hyperlink r:id="rId26" w:history="1">
              <w:r w:rsidRPr="00792A6C" w:rsidR="00945291">
                <w:rPr>
                  <w:rStyle w:val="Hyperlink"/>
                  <w:color w:val="0000FF"/>
                  <w:szCs w:val="24"/>
                </w:rPr>
                <w:t>edanford@firstenergycorp.com</w:t>
              </w:r>
            </w:hyperlink>
          </w:p>
          <w:p w:rsidR="00B90241" w:rsidRPr="00792A6C" w:rsidP="005D2D59" w14:paraId="20FF099D" w14:textId="77777777">
            <w:pPr>
              <w:widowControl w:val="0"/>
              <w:ind w:left="804"/>
              <w:rPr>
                <w:color w:val="0000FF"/>
                <w:szCs w:val="24"/>
              </w:rPr>
            </w:pPr>
            <w:hyperlink r:id="rId27" w:history="1">
              <w:r w:rsidRPr="00792A6C" w:rsidR="00945291">
                <w:rPr>
                  <w:rStyle w:val="Hyperlink"/>
                  <w:color w:val="0000FF"/>
                  <w:szCs w:val="24"/>
                </w:rPr>
                <w:t>cwatchorn@firstenergycorp.com</w:t>
              </w:r>
            </w:hyperlink>
          </w:p>
          <w:p w:rsidR="00B90241" w:rsidRPr="00792A6C" w:rsidP="005D2D59" w14:paraId="73208B1F" w14:textId="77777777">
            <w:pPr>
              <w:widowControl w:val="0"/>
              <w:ind w:left="804"/>
              <w:rPr>
                <w:rFonts w:eastAsia="Calibri"/>
                <w:bCs/>
                <w:color w:val="0000FF"/>
                <w:szCs w:val="24"/>
              </w:rPr>
            </w:pPr>
            <w:hyperlink r:id="rId28" w:history="1">
              <w:r w:rsidRPr="00792A6C" w:rsidR="00945291">
                <w:rPr>
                  <w:rStyle w:val="Hyperlink"/>
                  <w:rFonts w:eastAsia="Calibri"/>
                  <w:color w:val="0000FF"/>
                  <w:szCs w:val="24"/>
                </w:rPr>
                <w:t>bknipe@firstenergycorp.com</w:t>
              </w:r>
            </w:hyperlink>
          </w:p>
          <w:p w:rsidR="00B90241" w:rsidRPr="00792A6C" w:rsidP="005D2D59" w14:paraId="42862237" w14:textId="77777777">
            <w:pPr>
              <w:widowControl w:val="0"/>
              <w:autoSpaceDE w:val="0"/>
              <w:autoSpaceDN w:val="0"/>
              <w:adjustRightInd w:val="0"/>
              <w:ind w:left="804"/>
              <w:rPr>
                <w:rFonts w:eastAsia="Calibri"/>
                <w:color w:val="0000FF"/>
                <w:szCs w:val="24"/>
              </w:rPr>
            </w:pPr>
            <w:hyperlink r:id="rId29" w:history="1">
              <w:r w:rsidRPr="00792A6C" w:rsidR="00945291">
                <w:rPr>
                  <w:rFonts w:eastAsia="Calibri"/>
                  <w:color w:val="0000FF"/>
                  <w:szCs w:val="24"/>
                  <w:u w:val="single"/>
                </w:rPr>
                <w:t>mrgladman@jonesday.com</w:t>
              </w:r>
            </w:hyperlink>
          </w:p>
          <w:p w:rsidR="00B90241" w:rsidRPr="00792A6C" w:rsidP="005D2D59" w14:paraId="2EDB7EDC" w14:textId="77777777">
            <w:pPr>
              <w:widowControl w:val="0"/>
              <w:autoSpaceDE w:val="0"/>
              <w:autoSpaceDN w:val="0"/>
              <w:adjustRightInd w:val="0"/>
              <w:ind w:left="804"/>
              <w:rPr>
                <w:rFonts w:eastAsia="Calibri"/>
                <w:color w:val="0000FF"/>
                <w:szCs w:val="24"/>
              </w:rPr>
            </w:pPr>
            <w:hyperlink r:id="rId30" w:history="1">
              <w:r w:rsidRPr="00792A6C" w:rsidR="00945291">
                <w:rPr>
                  <w:rFonts w:eastAsia="Calibri"/>
                  <w:color w:val="0000FF"/>
                  <w:szCs w:val="24"/>
                  <w:u w:val="single"/>
                </w:rPr>
                <w:t>mdengler@jonesday.com</w:t>
              </w:r>
            </w:hyperlink>
          </w:p>
          <w:p w:rsidR="00B90241" w:rsidRPr="00792A6C" w:rsidP="005D2D59" w14:paraId="359E8076" w14:textId="07D6E307">
            <w:pPr>
              <w:widowControl w:val="0"/>
              <w:ind w:left="804"/>
              <w:rPr>
                <w:rFonts w:eastAsia="Calibri"/>
                <w:color w:val="0000FF"/>
                <w:szCs w:val="24"/>
                <w:u w:val="single"/>
              </w:rPr>
            </w:pPr>
            <w:hyperlink r:id="rId31" w:history="1">
              <w:r w:rsidRPr="00792A6C" w:rsidR="00945291">
                <w:rPr>
                  <w:rFonts w:eastAsia="Calibri"/>
                  <w:color w:val="0000FF"/>
                  <w:szCs w:val="24"/>
                  <w:u w:val="single"/>
                </w:rPr>
                <w:t>radoringo@jonesday.com</w:t>
              </w:r>
            </w:hyperlink>
          </w:p>
          <w:p w:rsidR="00286088" w:rsidRPr="00792A6C" w:rsidP="005D2D59" w14:paraId="0B3C7701" w14:textId="20A448D2">
            <w:pPr>
              <w:widowControl w:val="0"/>
              <w:ind w:left="804"/>
              <w:rPr>
                <w:rFonts w:eastAsia="Calibri"/>
                <w:color w:val="0000FF"/>
                <w:szCs w:val="24"/>
              </w:rPr>
            </w:pPr>
            <w:hyperlink r:id="rId32" w:history="1">
              <w:r w:rsidRPr="00792A6C" w:rsidR="00B872A0">
                <w:rPr>
                  <w:rStyle w:val="Hyperlink"/>
                  <w:rFonts w:eastAsia="Calibri"/>
                  <w:color w:val="0000FF"/>
                  <w:szCs w:val="24"/>
                </w:rPr>
                <w:t>marcie.lape@skadden.com</w:t>
              </w:r>
            </w:hyperlink>
          </w:p>
          <w:p w:rsidR="00B90241" w:rsidRPr="00792A6C" w:rsidP="005D2D59" w14:paraId="1CB2EDBC" w14:textId="77777777">
            <w:pPr>
              <w:widowControl w:val="0"/>
              <w:autoSpaceDE w:val="0"/>
              <w:autoSpaceDN w:val="0"/>
              <w:adjustRightInd w:val="0"/>
              <w:ind w:left="804"/>
              <w:rPr>
                <w:rFonts w:eastAsia="Calibri"/>
                <w:color w:val="0000FF"/>
                <w:szCs w:val="24"/>
                <w:u w:val="single"/>
              </w:rPr>
            </w:pPr>
            <w:hyperlink r:id="rId33" w:history="1">
              <w:r w:rsidRPr="00792A6C" w:rsidR="00945291">
                <w:rPr>
                  <w:rFonts w:eastAsia="Calibri"/>
                  <w:color w:val="0000FF"/>
                  <w:szCs w:val="24"/>
                  <w:u w:val="single"/>
                </w:rPr>
                <w:t>iavalon@taftlaw.com</w:t>
              </w:r>
            </w:hyperlink>
          </w:p>
          <w:p w:rsidR="00B90241" w:rsidRPr="00792A6C" w:rsidP="005D2D59" w14:paraId="175707FC" w14:textId="77777777">
            <w:pPr>
              <w:widowControl w:val="0"/>
              <w:autoSpaceDE w:val="0"/>
              <w:autoSpaceDN w:val="0"/>
              <w:adjustRightInd w:val="0"/>
              <w:ind w:left="804"/>
              <w:rPr>
                <w:rFonts w:eastAsia="Calibri"/>
                <w:color w:val="0000FF"/>
                <w:szCs w:val="24"/>
                <w:u w:val="single"/>
              </w:rPr>
            </w:pPr>
            <w:r w:rsidRPr="00792A6C">
              <w:rPr>
                <w:rFonts w:eastAsia="Calibri"/>
                <w:color w:val="0000FF"/>
                <w:szCs w:val="24"/>
                <w:u w:val="single"/>
              </w:rPr>
              <w:t>kverhalen@taftlaw.com</w:t>
            </w:r>
          </w:p>
          <w:p w:rsidR="00B90241" w:rsidRPr="00792A6C" w:rsidP="005D2D59" w14:paraId="00DA1B5A" w14:textId="77777777">
            <w:pPr>
              <w:widowControl w:val="0"/>
              <w:autoSpaceDE w:val="0"/>
              <w:autoSpaceDN w:val="0"/>
              <w:adjustRightInd w:val="0"/>
              <w:ind w:left="804"/>
              <w:rPr>
                <w:rFonts w:eastAsia="Calibri"/>
                <w:color w:val="0000FF"/>
                <w:szCs w:val="24"/>
              </w:rPr>
            </w:pPr>
            <w:hyperlink r:id="rId34" w:history="1">
              <w:r w:rsidRPr="00792A6C" w:rsidR="00945291">
                <w:rPr>
                  <w:rFonts w:eastAsia="Calibri"/>
                  <w:color w:val="0000FF"/>
                  <w:szCs w:val="24"/>
                  <w:u w:val="single"/>
                </w:rPr>
                <w:t>mpritchard@mcneeslaw.com</w:t>
              </w:r>
            </w:hyperlink>
          </w:p>
          <w:p w:rsidR="00B90241" w:rsidRPr="00792A6C" w:rsidP="005D2D59" w14:paraId="4A580624" w14:textId="77777777">
            <w:pPr>
              <w:widowControl w:val="0"/>
              <w:autoSpaceDE w:val="0"/>
              <w:autoSpaceDN w:val="0"/>
              <w:adjustRightInd w:val="0"/>
              <w:ind w:left="804"/>
              <w:rPr>
                <w:rFonts w:eastAsia="Calibri"/>
                <w:color w:val="0000FF"/>
                <w:szCs w:val="24"/>
                <w:u w:val="single"/>
              </w:rPr>
            </w:pPr>
            <w:hyperlink r:id="rId35" w:history="1">
              <w:r w:rsidRPr="00792A6C" w:rsidR="00945291">
                <w:rPr>
                  <w:rFonts w:eastAsia="Calibri"/>
                  <w:color w:val="0000FF"/>
                  <w:szCs w:val="24"/>
                  <w:u w:val="single"/>
                </w:rPr>
                <w:t>rdove@keglerbrown.com</w:t>
              </w:r>
            </w:hyperlink>
          </w:p>
          <w:p w:rsidR="00B90241" w:rsidRPr="00792A6C" w:rsidP="005D2D59" w14:paraId="2DF060A2" w14:textId="77777777">
            <w:pPr>
              <w:widowControl w:val="0"/>
              <w:autoSpaceDE w:val="0"/>
              <w:autoSpaceDN w:val="0"/>
              <w:adjustRightInd w:val="0"/>
              <w:ind w:left="804"/>
              <w:rPr>
                <w:rFonts w:eastAsia="Calibri"/>
                <w:color w:val="0000FF"/>
                <w:szCs w:val="24"/>
                <w:u w:val="single"/>
              </w:rPr>
            </w:pPr>
            <w:hyperlink r:id="rId36" w:history="1">
              <w:r w:rsidRPr="00792A6C" w:rsidR="00945291">
                <w:rPr>
                  <w:rFonts w:eastAsia="Calibri"/>
                  <w:color w:val="0000FF"/>
                  <w:szCs w:val="24"/>
                  <w:u w:val="single"/>
                </w:rPr>
                <w:t>bojko@carpenterlipps.com</w:t>
              </w:r>
            </w:hyperlink>
          </w:p>
          <w:p w:rsidR="00B90241" w:rsidRPr="00792A6C" w:rsidP="005D2D59" w14:paraId="1EF48688" w14:textId="77777777">
            <w:pPr>
              <w:widowControl w:val="0"/>
              <w:autoSpaceDE w:val="0"/>
              <w:autoSpaceDN w:val="0"/>
              <w:adjustRightInd w:val="0"/>
              <w:ind w:left="804"/>
              <w:rPr>
                <w:rFonts w:eastAsia="Calibri"/>
                <w:color w:val="0000FF"/>
                <w:szCs w:val="24"/>
              </w:rPr>
            </w:pPr>
            <w:hyperlink r:id="rId37" w:history="1">
              <w:r w:rsidRPr="00792A6C" w:rsidR="00945291">
                <w:rPr>
                  <w:rFonts w:eastAsia="Calibri"/>
                  <w:color w:val="0000FF"/>
                  <w:szCs w:val="24"/>
                  <w:u w:val="single"/>
                </w:rPr>
                <w:t>tdougherty@theOEC.org</w:t>
              </w:r>
            </w:hyperlink>
          </w:p>
          <w:p w:rsidR="00B90241" w:rsidRPr="00792A6C" w:rsidP="005D2D59" w14:paraId="25D9DC5C" w14:textId="77777777">
            <w:pPr>
              <w:widowControl w:val="0"/>
              <w:autoSpaceDE w:val="0"/>
              <w:autoSpaceDN w:val="0"/>
              <w:adjustRightInd w:val="0"/>
              <w:ind w:left="804"/>
              <w:rPr>
                <w:rFonts w:eastAsia="Calibri"/>
                <w:color w:val="0000FF"/>
                <w:szCs w:val="24"/>
                <w:u w:val="single"/>
              </w:rPr>
            </w:pPr>
            <w:hyperlink r:id="rId38" w:history="1">
              <w:r w:rsidRPr="00792A6C" w:rsidR="00945291">
                <w:rPr>
                  <w:rFonts w:eastAsia="Calibri"/>
                  <w:color w:val="0000FF"/>
                  <w:szCs w:val="24"/>
                  <w:u w:val="single"/>
                </w:rPr>
                <w:t>ctavenor@theOEC.org</w:t>
              </w:r>
            </w:hyperlink>
          </w:p>
          <w:p w:rsidR="00B90241" w:rsidRPr="00792A6C" w:rsidP="005D2D59" w14:paraId="31E77DCE" w14:textId="77777777">
            <w:pPr>
              <w:widowControl w:val="0"/>
              <w:autoSpaceDE w:val="0"/>
              <w:autoSpaceDN w:val="0"/>
              <w:adjustRightInd w:val="0"/>
              <w:ind w:left="804"/>
              <w:rPr>
                <w:rStyle w:val="Hyperlink"/>
                <w:rFonts w:eastAsia="Calibri"/>
                <w:color w:val="0000FF"/>
                <w:szCs w:val="24"/>
              </w:rPr>
            </w:pPr>
            <w:hyperlink r:id="rId39" w:history="1">
              <w:r w:rsidRPr="00792A6C" w:rsidR="00945291">
                <w:rPr>
                  <w:rStyle w:val="Hyperlink"/>
                  <w:rFonts w:eastAsia="Calibri"/>
                  <w:color w:val="0000FF"/>
                  <w:szCs w:val="24"/>
                </w:rPr>
                <w:t>jweber@elpc.org</w:t>
              </w:r>
            </w:hyperlink>
          </w:p>
          <w:p w:rsidR="00B90241" w:rsidRPr="00792A6C" w:rsidP="005D2D59" w14:paraId="18D20D26" w14:textId="77777777">
            <w:pPr>
              <w:widowControl w:val="0"/>
              <w:ind w:left="804"/>
              <w:rPr>
                <w:color w:val="0000FF"/>
                <w:szCs w:val="24"/>
                <w:u w:val="single"/>
              </w:rPr>
            </w:pPr>
            <w:r w:rsidRPr="00792A6C">
              <w:rPr>
                <w:color w:val="0000FF"/>
                <w:szCs w:val="24"/>
                <w:u w:val="single"/>
              </w:rPr>
              <w:t>trhayslaw@gmail.com</w:t>
            </w:r>
          </w:p>
          <w:p w:rsidR="00B90241" w:rsidRPr="00792A6C" w:rsidP="005D2D59" w14:paraId="4D4F1EF4" w14:textId="77777777">
            <w:pPr>
              <w:widowControl w:val="0"/>
              <w:ind w:left="804"/>
              <w:rPr>
                <w:color w:val="0000FF"/>
                <w:szCs w:val="24"/>
                <w:u w:val="single"/>
              </w:rPr>
            </w:pPr>
            <w:r w:rsidRPr="00792A6C">
              <w:rPr>
                <w:color w:val="0000FF"/>
                <w:szCs w:val="24"/>
                <w:u w:val="single"/>
              </w:rPr>
              <w:t>leslie.kovacik@toledo.oh.gov</w:t>
            </w:r>
          </w:p>
          <w:p w:rsidR="00B90241" w:rsidRPr="00792A6C" w:rsidP="005D2D59" w14:paraId="6F6360A9" w14:textId="77777777">
            <w:pPr>
              <w:ind w:left="804"/>
              <w:rPr>
                <w:color w:val="0000FF"/>
                <w:szCs w:val="24"/>
              </w:rPr>
            </w:pPr>
            <w:hyperlink r:id="rId40" w:history="1">
              <w:r w:rsidRPr="00792A6C" w:rsidR="00945291">
                <w:rPr>
                  <w:rStyle w:val="Hyperlink"/>
                  <w:color w:val="0000FF"/>
                  <w:szCs w:val="24"/>
                </w:rPr>
                <w:t>sgoyal@jonesday.com</w:t>
              </w:r>
            </w:hyperlink>
          </w:p>
          <w:p w:rsidR="00B90241" w:rsidRPr="00792A6C" w:rsidP="005D2D59" w14:paraId="5280346C" w14:textId="77777777">
            <w:pPr>
              <w:pStyle w:val="CommentText"/>
              <w:ind w:left="804"/>
              <w:rPr>
                <w:color w:val="0000FF"/>
                <w:sz w:val="24"/>
                <w:szCs w:val="24"/>
              </w:rPr>
            </w:pPr>
            <w:hyperlink r:id="rId41" w:history="1">
              <w:r w:rsidRPr="00792A6C" w:rsidR="00945291">
                <w:rPr>
                  <w:rStyle w:val="Hyperlink"/>
                  <w:color w:val="0000FF"/>
                  <w:sz w:val="24"/>
                  <w:szCs w:val="24"/>
                </w:rPr>
                <w:t>calee@jonesday.com</w:t>
              </w:r>
            </w:hyperlink>
          </w:p>
          <w:p w:rsidR="00B90241" w:rsidRPr="00792A6C" w:rsidP="005D2D59" w14:paraId="1B67E4FC" w14:textId="77777777">
            <w:pPr>
              <w:widowControl w:val="0"/>
              <w:ind w:left="777"/>
              <w:rPr>
                <w:color w:val="0000FF"/>
                <w:szCs w:val="24"/>
                <w:u w:val="single"/>
              </w:rPr>
            </w:pPr>
            <w:r w:rsidRPr="00792A6C">
              <w:rPr>
                <w:color w:val="0000FF"/>
                <w:szCs w:val="24"/>
                <w:u w:val="single"/>
              </w:rPr>
              <w:t>glpetrucci@vorys.com</w:t>
            </w:r>
          </w:p>
          <w:p w:rsidR="00B90241" w:rsidRPr="00792A6C" w:rsidP="005D2D59" w14:paraId="7BC8518A" w14:textId="77777777">
            <w:pPr>
              <w:widowControl w:val="0"/>
              <w:ind w:left="777"/>
              <w:rPr>
                <w:color w:val="0000FF"/>
                <w:szCs w:val="24"/>
                <w:u w:val="single"/>
              </w:rPr>
            </w:pPr>
            <w:r w:rsidRPr="00792A6C">
              <w:rPr>
                <w:color w:val="0000FF"/>
                <w:szCs w:val="24"/>
                <w:u w:val="single"/>
              </w:rPr>
              <w:t>dparram@bricker.com</w:t>
            </w:r>
          </w:p>
          <w:p w:rsidR="00B90241" w:rsidRPr="00792A6C" w:rsidP="005D2D59" w14:paraId="4EED0B99" w14:textId="77777777">
            <w:pPr>
              <w:widowControl w:val="0"/>
              <w:ind w:left="777"/>
              <w:rPr>
                <w:color w:val="0000FF"/>
                <w:szCs w:val="24"/>
                <w:u w:val="single"/>
              </w:rPr>
            </w:pPr>
            <w:r w:rsidRPr="00792A6C">
              <w:rPr>
                <w:color w:val="0000FF"/>
                <w:szCs w:val="24"/>
                <w:u w:val="single"/>
              </w:rPr>
              <w:t>rmains@bricker.com</w:t>
            </w:r>
          </w:p>
          <w:p w:rsidR="00B90241" w:rsidRPr="00792A6C" w:rsidP="005D2D59" w14:paraId="76E2DF25" w14:textId="77777777">
            <w:pPr>
              <w:pStyle w:val="CommentText"/>
              <w:ind w:left="804"/>
              <w:rPr>
                <w:color w:val="0000FF"/>
                <w:sz w:val="24"/>
                <w:szCs w:val="24"/>
                <w:u w:val="single"/>
              </w:rPr>
            </w:pPr>
          </w:p>
        </w:tc>
      </w:tr>
      <w:bookmarkEnd w:id="2"/>
    </w:tbl>
    <w:p w:rsidR="009B34A2" w:rsidRPr="00792A6C" w:rsidP="005D2D59" w14:paraId="6F828E2C" w14:textId="77777777">
      <w:pPr>
        <w:pStyle w:val="CommentText"/>
        <w:rPr>
          <w:sz w:val="24"/>
          <w:szCs w:val="24"/>
          <w:u w:val="single"/>
        </w:rPr>
      </w:pPr>
    </w:p>
    <w:sectPr w:rsidSect="002E4256">
      <w:headerReference w:type="default" r:id="rId42"/>
      <w:footerReference w:type="even" r:id="rId43"/>
      <w:footerReference w:type="default" r:id="rId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EC6" w14:paraId="4F07B0EA" w14:textId="302316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8159813"/>
      <w:docPartObj>
        <w:docPartGallery w:val="Page Numbers (Bottom of Page)"/>
        <w:docPartUnique/>
      </w:docPartObj>
    </w:sdtPr>
    <w:sdtEndPr>
      <w:rPr>
        <w:noProof/>
      </w:rPr>
    </w:sdtEndPr>
    <w:sdtContent>
      <w:p w:rsidR="00F82D6D" w14:paraId="3E22157F" w14:textId="4AECCA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5095397"/>
      <w:docPartObj>
        <w:docPartGallery w:val="Page Numbers (Bottom of Page)"/>
        <w:docPartUnique/>
      </w:docPartObj>
    </w:sdtPr>
    <w:sdtEndPr>
      <w:rPr>
        <w:noProof/>
      </w:rPr>
    </w:sdtEndPr>
    <w:sdtContent>
      <w:p w:rsidR="0061608D" w14:paraId="10B037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608D" w14:paraId="534B10B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0449452"/>
      <w:docPartObj>
        <w:docPartGallery w:val="Page Numbers (Bottom of Page)"/>
        <w:docPartUnique/>
      </w:docPartObj>
    </w:sdtPr>
    <w:sdtEndPr>
      <w:rPr>
        <w:noProof/>
        <w:szCs w:val="24"/>
      </w:rPr>
    </w:sdtEndPr>
    <w:sdtContent>
      <w:p w:rsidR="00024882" w:rsidRPr="00024882" w14:paraId="5365AE50" w14:textId="77777777">
        <w:pPr>
          <w:pStyle w:val="Footer"/>
          <w:jc w:val="center"/>
          <w:rPr>
            <w:szCs w:val="24"/>
          </w:rPr>
        </w:pPr>
        <w:r w:rsidRPr="00024882">
          <w:rPr>
            <w:szCs w:val="24"/>
          </w:rPr>
          <w:fldChar w:fldCharType="begin"/>
        </w:r>
        <w:r w:rsidRPr="00024882">
          <w:rPr>
            <w:szCs w:val="24"/>
          </w:rPr>
          <w:instrText xml:space="preserve"> PAGE   \* MERGEFORMAT </w:instrText>
        </w:r>
        <w:r w:rsidRPr="00024882">
          <w:rPr>
            <w:szCs w:val="24"/>
          </w:rPr>
          <w:fldChar w:fldCharType="separate"/>
        </w:r>
        <w:r w:rsidRPr="00024882">
          <w:rPr>
            <w:noProof/>
            <w:szCs w:val="24"/>
          </w:rPr>
          <w:t>2</w:t>
        </w:r>
        <w:r w:rsidRPr="00024882">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7B4D" w:rsidP="00F219D1" w14:paraId="7DD6EC71" w14:textId="77777777">
      <w:r>
        <w:separator/>
      </w:r>
    </w:p>
  </w:footnote>
  <w:footnote w:type="continuationSeparator" w:id="1">
    <w:p w:rsidR="00547B4D" w:rsidP="00F219D1" w14:paraId="71695104" w14:textId="77777777">
      <w:r>
        <w:continuationSeparator/>
      </w:r>
    </w:p>
  </w:footnote>
  <w:footnote w:type="continuationNotice" w:id="2">
    <w:p w:rsidR="00547B4D" w14:paraId="2F0DCF92" w14:textId="77777777"/>
  </w:footnote>
  <w:footnote w:id="3">
    <w:p w:rsidR="00B10F5E" w:rsidRPr="0091537A" w:rsidP="00BE3400" w14:paraId="648BD479" w14:textId="0666182F">
      <w:pPr>
        <w:pStyle w:val="FootnoteText"/>
        <w:spacing w:after="120"/>
        <w:rPr>
          <w:b w:val="0"/>
          <w:bCs/>
        </w:rPr>
      </w:pPr>
      <w:r w:rsidRPr="0091537A">
        <w:rPr>
          <w:rStyle w:val="FootnoteReference"/>
          <w:b w:val="0"/>
          <w:bCs/>
        </w:rPr>
        <w:footnoteRef/>
      </w:r>
      <w:r w:rsidRPr="0091537A">
        <w:rPr>
          <w:b w:val="0"/>
          <w:bCs/>
        </w:rPr>
        <w:t xml:space="preserve"> </w:t>
      </w:r>
      <w:r w:rsidRPr="0091537A" w:rsidR="00F34CF6">
        <w:rPr>
          <w:b w:val="0"/>
          <w:bCs/>
        </w:rPr>
        <w:t>Louis</w:t>
      </w:r>
      <w:r w:rsidRPr="0091537A">
        <w:rPr>
          <w:b w:val="0"/>
          <w:bCs/>
        </w:rPr>
        <w:t xml:space="preserve"> D. Brandeis, </w:t>
      </w:r>
      <w:r w:rsidRPr="0091537A">
        <w:rPr>
          <w:b w:val="0"/>
          <w:bCs/>
          <w:i/>
          <w:iCs/>
        </w:rPr>
        <w:t>What Publicity Can Do</w:t>
      </w:r>
      <w:r w:rsidRPr="0091537A" w:rsidR="00F34CF6">
        <w:rPr>
          <w:b w:val="0"/>
          <w:bCs/>
        </w:rPr>
        <w:t xml:space="preserve">, Harpers Weekly, Vol. 58, No. 2974 (Dec. 20, 1913). </w:t>
      </w:r>
    </w:p>
  </w:footnote>
  <w:footnote w:id="4">
    <w:p w:rsidR="00F34CF6" w:rsidRPr="0091537A" w:rsidP="00BE3400" w14:paraId="6F8C5F4A" w14:textId="29451699">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United States of America v. FirstEnergy Corp</w:t>
      </w:r>
      <w:r w:rsidRPr="0091537A">
        <w:rPr>
          <w:b w:val="0"/>
          <w:bCs/>
        </w:rPr>
        <w:t>., Case No. 1:21-cr-86, Deferred Prosecution Agreement at 14 (Jul</w:t>
      </w:r>
      <w:r w:rsidRPr="0091537A" w:rsidR="00CE23BE">
        <w:rPr>
          <w:b w:val="0"/>
          <w:bCs/>
        </w:rPr>
        <w:t>.</w:t>
      </w:r>
      <w:r w:rsidRPr="0091537A">
        <w:rPr>
          <w:b w:val="0"/>
          <w:bCs/>
        </w:rPr>
        <w:t xml:space="preserve"> 22, 2021).</w:t>
      </w:r>
    </w:p>
  </w:footnote>
  <w:footnote w:id="5">
    <w:p w:rsidR="001A093E" w:rsidRPr="0091537A" w:rsidP="00BE3400" w14:paraId="793E4C53" w14:textId="563E5036">
      <w:pPr>
        <w:pStyle w:val="FootnoteText"/>
        <w:spacing w:after="120"/>
        <w:rPr>
          <w:b w:val="0"/>
          <w:bCs/>
        </w:rPr>
      </w:pPr>
      <w:r w:rsidRPr="0091537A">
        <w:rPr>
          <w:rStyle w:val="FootnoteReference"/>
          <w:b w:val="0"/>
          <w:bCs/>
        </w:rPr>
        <w:footnoteRef/>
      </w:r>
      <w:r w:rsidRPr="0091537A">
        <w:rPr>
          <w:b w:val="0"/>
          <w:bCs/>
        </w:rPr>
        <w:t xml:space="preserve"> </w:t>
      </w:r>
      <w:r w:rsidRPr="0091537A" w:rsidR="006B2A39">
        <w:rPr>
          <w:b w:val="0"/>
          <w:bCs/>
          <w:i/>
          <w:iCs/>
        </w:rPr>
        <w:t>Miller v. Anderson</w:t>
      </w:r>
      <w:r w:rsidRPr="0091537A" w:rsidR="006B2A39">
        <w:rPr>
          <w:b w:val="0"/>
          <w:bCs/>
        </w:rPr>
        <w:t>, Case No. 5:20CV1743 (N.D. Ohio</w:t>
      </w:r>
      <w:r w:rsidRPr="0091537A" w:rsidR="007407A1">
        <w:rPr>
          <w:b w:val="0"/>
          <w:bCs/>
        </w:rPr>
        <w:t>).</w:t>
      </w:r>
    </w:p>
  </w:footnote>
  <w:footnote w:id="6">
    <w:p w:rsidR="00EA706B" w:rsidRPr="0091537A" w:rsidP="00BE3400" w14:paraId="64C80DB9" w14:textId="7E47CC06">
      <w:pPr>
        <w:pStyle w:val="FootnoteText"/>
        <w:spacing w:after="120"/>
        <w:rPr>
          <w:b w:val="0"/>
          <w:bCs/>
        </w:rPr>
      </w:pPr>
      <w:r w:rsidRPr="0091537A">
        <w:rPr>
          <w:rStyle w:val="FootnoteReference"/>
          <w:b w:val="0"/>
          <w:bCs/>
        </w:rPr>
        <w:footnoteRef/>
      </w:r>
      <w:r w:rsidRPr="0091537A">
        <w:rPr>
          <w:b w:val="0"/>
          <w:bCs/>
        </w:rPr>
        <w:t xml:space="preserve"> </w:t>
      </w:r>
      <w:r w:rsidRPr="0091537A" w:rsidR="006B2A39">
        <w:rPr>
          <w:b w:val="0"/>
          <w:bCs/>
          <w:i/>
          <w:iCs/>
        </w:rPr>
        <w:t xml:space="preserve">Id. </w:t>
      </w:r>
      <w:r w:rsidRPr="0091537A" w:rsidR="006B2A39">
        <w:rPr>
          <w:b w:val="0"/>
          <w:bCs/>
        </w:rPr>
        <w:t>at</w:t>
      </w:r>
      <w:r w:rsidRPr="0091537A">
        <w:rPr>
          <w:b w:val="0"/>
          <w:bCs/>
        </w:rPr>
        <w:t xml:space="preserve"> </w:t>
      </w:r>
      <w:r w:rsidRPr="0091537A" w:rsidR="008041E3">
        <w:rPr>
          <w:b w:val="0"/>
          <w:bCs/>
        </w:rPr>
        <w:t xml:space="preserve">8. </w:t>
      </w:r>
    </w:p>
  </w:footnote>
  <w:footnote w:id="7">
    <w:p w:rsidR="009E593D" w:rsidRPr="0091537A" w:rsidP="00BE3400" w14:paraId="5CD303F8" w14:textId="77777777">
      <w:pPr>
        <w:pStyle w:val="FootnoteText"/>
        <w:spacing w:after="120"/>
        <w:rPr>
          <w:b w:val="0"/>
          <w:bCs/>
        </w:rPr>
      </w:pPr>
      <w:r w:rsidRPr="0091537A">
        <w:rPr>
          <w:rStyle w:val="FootnoteReference"/>
          <w:b w:val="0"/>
          <w:bCs/>
        </w:rPr>
        <w:footnoteRef/>
      </w:r>
      <w:r w:rsidRPr="0091537A">
        <w:rPr>
          <w:b w:val="0"/>
          <w:bCs/>
        </w:rPr>
        <w:t xml:space="preserve"> Motion for Protective Order (Mar. 10, 2022).</w:t>
      </w:r>
    </w:p>
  </w:footnote>
  <w:footnote w:id="8">
    <w:p w:rsidR="009E593D" w:rsidRPr="0091537A" w:rsidP="00BE3400" w14:paraId="264C1FCE" w14:textId="77777777">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 xml:space="preserve">Id. </w:t>
      </w:r>
      <w:r w:rsidRPr="0091537A">
        <w:rPr>
          <w:b w:val="0"/>
          <w:bCs/>
        </w:rPr>
        <w:t>at 4-7.</w:t>
      </w:r>
    </w:p>
  </w:footnote>
  <w:footnote w:id="9">
    <w:p w:rsidR="009E593D" w:rsidRPr="0091537A" w:rsidP="00BE3400" w14:paraId="516CEC17" w14:textId="77777777">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 xml:space="preserve">Id. </w:t>
      </w:r>
      <w:r w:rsidRPr="0091537A">
        <w:rPr>
          <w:b w:val="0"/>
          <w:bCs/>
        </w:rPr>
        <w:t>at 7-10.</w:t>
      </w:r>
    </w:p>
  </w:footnote>
  <w:footnote w:id="10">
    <w:p w:rsidR="00F95DE5" w:rsidRPr="0091537A" w:rsidP="00BE3400" w14:paraId="29E17C12" w14:textId="17B801C5">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State of Ohio v. FirstEnergy Corp., et al</w:t>
      </w:r>
      <w:r w:rsidRPr="0091537A">
        <w:rPr>
          <w:b w:val="0"/>
          <w:bCs/>
        </w:rPr>
        <w:t>., Case No. 20 CV 006281, Combined Reply of the State to Memos in Opposition to Request for a Status Conference &amp; Supplemental Memorandum in Support of Motion to Partially Lift the Stay of Proceedings at 1 (Feb</w:t>
      </w:r>
      <w:r w:rsidRPr="0091537A" w:rsidR="006B2A39">
        <w:rPr>
          <w:b w:val="0"/>
          <w:bCs/>
        </w:rPr>
        <w:t>.</w:t>
      </w:r>
      <w:r w:rsidRPr="0091537A">
        <w:rPr>
          <w:b w:val="0"/>
          <w:bCs/>
        </w:rPr>
        <w:t xml:space="preserve"> 22, 2022). </w:t>
      </w:r>
    </w:p>
  </w:footnote>
  <w:footnote w:id="11">
    <w:p w:rsidR="006B2A39" w:rsidRPr="0091537A" w:rsidP="00BE3400" w14:paraId="45A902A4" w14:textId="74BCA7A6">
      <w:pPr>
        <w:pStyle w:val="FootnoteText"/>
        <w:spacing w:after="120"/>
        <w:rPr>
          <w:b w:val="0"/>
          <w:bCs/>
        </w:rPr>
      </w:pPr>
      <w:r w:rsidRPr="0091537A">
        <w:rPr>
          <w:rStyle w:val="FootnoteReference"/>
          <w:b w:val="0"/>
          <w:bCs/>
        </w:rPr>
        <w:footnoteRef/>
      </w:r>
      <w:r w:rsidRPr="0091537A">
        <w:rPr>
          <w:b w:val="0"/>
          <w:bCs/>
        </w:rPr>
        <w:t xml:space="preserve"> Motion at 1.</w:t>
      </w:r>
      <w:r w:rsidRPr="0091537A" w:rsidR="00BE3400">
        <w:rPr>
          <w:b w:val="0"/>
          <w:bCs/>
        </w:rPr>
        <w:t xml:space="preserve"> </w:t>
      </w:r>
      <w:r w:rsidRPr="0091537A" w:rsidR="00E551E8">
        <w:rPr>
          <w:b w:val="0"/>
          <w:bCs/>
        </w:rPr>
        <w:t xml:space="preserve">The protective agreement was attached to FirstEnergy Corp.’s </w:t>
      </w:r>
      <w:r w:rsidRPr="0091537A" w:rsidR="00BE5FF3">
        <w:rPr>
          <w:b w:val="0"/>
          <w:bCs/>
        </w:rPr>
        <w:t>M</w:t>
      </w:r>
      <w:r w:rsidRPr="0091537A" w:rsidR="00E551E8">
        <w:rPr>
          <w:b w:val="0"/>
          <w:bCs/>
        </w:rPr>
        <w:t xml:space="preserve">otion as Exhibit 5. </w:t>
      </w:r>
    </w:p>
  </w:footnote>
  <w:footnote w:id="12">
    <w:p w:rsidR="00BE5FF3" w:rsidRPr="0091537A" w:rsidP="00BE3400" w14:paraId="4C1A9BCA" w14:textId="77DD5F51">
      <w:pPr>
        <w:pStyle w:val="FootnoteText"/>
        <w:spacing w:after="120"/>
        <w:rPr>
          <w:b w:val="0"/>
          <w:bCs/>
        </w:rPr>
      </w:pPr>
      <w:r w:rsidRPr="0091537A">
        <w:rPr>
          <w:rStyle w:val="FootnoteReference"/>
          <w:b w:val="0"/>
          <w:bCs/>
        </w:rPr>
        <w:footnoteRef/>
      </w:r>
      <w:r w:rsidRPr="0091537A" w:rsidR="00CE23BE">
        <w:rPr>
          <w:b w:val="0"/>
          <w:bCs/>
        </w:rPr>
        <w:t xml:space="preserve"> </w:t>
      </w:r>
      <w:r w:rsidRPr="0091537A">
        <w:rPr>
          <w:b w:val="0"/>
          <w:bCs/>
        </w:rPr>
        <w:t>Motion at 4.</w:t>
      </w:r>
      <w:r w:rsidRPr="0091537A" w:rsidR="00BE3400">
        <w:rPr>
          <w:b w:val="0"/>
          <w:bCs/>
        </w:rPr>
        <w:t xml:space="preserve"> </w:t>
      </w:r>
    </w:p>
  </w:footnote>
  <w:footnote w:id="13">
    <w:p w:rsidR="00E551E8" w:rsidRPr="0091537A" w:rsidP="00BE3400" w14:paraId="5915DA8E" w14:textId="77777777">
      <w:pPr>
        <w:pStyle w:val="FootnoteText"/>
        <w:spacing w:after="120"/>
        <w:rPr>
          <w:b w:val="0"/>
          <w:bCs/>
        </w:rPr>
      </w:pPr>
      <w:r w:rsidRPr="0091537A">
        <w:rPr>
          <w:rStyle w:val="FootnoteReference"/>
          <w:b w:val="0"/>
          <w:bCs/>
        </w:rPr>
        <w:footnoteRef/>
      </w:r>
      <w:r w:rsidRPr="0091537A">
        <w:rPr>
          <w:b w:val="0"/>
          <w:bCs/>
        </w:rPr>
        <w:t xml:space="preserve"> Protective Agreement at ¶ 10.</w:t>
      </w:r>
    </w:p>
  </w:footnote>
  <w:footnote w:id="14">
    <w:p w:rsidR="00E551E8" w:rsidRPr="0091537A" w:rsidP="00BE3400" w14:paraId="2E62F065" w14:textId="2F669D13">
      <w:pPr>
        <w:pStyle w:val="FootnoteText"/>
        <w:spacing w:after="120"/>
        <w:rPr>
          <w:b w:val="0"/>
          <w:bCs/>
        </w:rPr>
      </w:pPr>
      <w:r w:rsidRPr="0091537A">
        <w:rPr>
          <w:rStyle w:val="FootnoteReference"/>
          <w:b w:val="0"/>
          <w:bCs/>
        </w:rPr>
        <w:footnoteRef/>
      </w:r>
      <w:r w:rsidRPr="0091537A">
        <w:rPr>
          <w:b w:val="0"/>
          <w:bCs/>
        </w:rPr>
        <w:t xml:space="preserve"> Protective Agreement at ¶ 12.</w:t>
      </w:r>
    </w:p>
  </w:footnote>
  <w:footnote w:id="15">
    <w:p w:rsidR="007555FD" w:rsidRPr="0091537A" w:rsidP="00BE3400" w14:paraId="225A6F14" w14:textId="7B83A1D6">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In the Matter of the Joint Application of the Ohio Bell Telephone Company and Ameritech Mobile Services, Inc. for Approval of the Transfer of Certain Assets</w:t>
      </w:r>
      <w:r w:rsidRPr="0091537A">
        <w:rPr>
          <w:b w:val="0"/>
          <w:bCs/>
        </w:rPr>
        <w:t>, Case No. 89-365-RC-ATR, Opinion and Order at 5 (Oct. 18, 1990). </w:t>
      </w:r>
    </w:p>
  </w:footnote>
  <w:footnote w:id="16">
    <w:p w:rsidR="007555FD" w:rsidRPr="0091537A" w:rsidP="00BE3400" w14:paraId="46E99384" w14:textId="0F557F27">
      <w:pPr>
        <w:pStyle w:val="FootnoteText"/>
        <w:spacing w:after="120"/>
        <w:rPr>
          <w:b w:val="0"/>
          <w:bCs/>
        </w:rPr>
      </w:pPr>
      <w:r w:rsidRPr="0091537A">
        <w:rPr>
          <w:rStyle w:val="FootnoteReference"/>
          <w:b w:val="0"/>
          <w:bCs/>
        </w:rPr>
        <w:footnoteRef/>
      </w:r>
      <w:r w:rsidRPr="0091537A">
        <w:rPr>
          <w:b w:val="0"/>
          <w:bCs/>
        </w:rPr>
        <w:t xml:space="preserve"> </w:t>
      </w:r>
      <w:r w:rsidRPr="0091537A" w:rsidR="00B52DE5">
        <w:rPr>
          <w:b w:val="0"/>
          <w:bCs/>
          <w:i/>
          <w:iCs/>
        </w:rPr>
        <w:t>In the Matter of the Application of the Cincinnati Gas &amp; Electric Company to Modify its Nonresidential Generation Rates</w:t>
      </w:r>
      <w:r w:rsidRPr="0091537A" w:rsidR="00B52DE5">
        <w:rPr>
          <w:b w:val="0"/>
          <w:bCs/>
        </w:rPr>
        <w:t>, Case No. 03-93-EL-ATA, Order on Remand at 23 (Oct. 24, 2007). </w:t>
      </w:r>
    </w:p>
  </w:footnote>
  <w:footnote w:id="17">
    <w:p w:rsidR="00B52DE5" w:rsidRPr="0091537A" w:rsidP="00BE3400" w14:paraId="0FD729C3" w14:textId="6283D5C1">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In the Matter of the Application of Rapid Transmit Technology Inc. for Certificate of Public Convenience and Necessity</w:t>
      </w:r>
      <w:r w:rsidRPr="0091537A">
        <w:rPr>
          <w:b w:val="0"/>
          <w:bCs/>
        </w:rPr>
        <w:t>, Case No. 99-890-TP-ACE, Entry at 2-3 (Oct. 1, 1990</w:t>
      </w:r>
      <w:r w:rsidRPr="0091537A" w:rsidR="00FD2259">
        <w:rPr>
          <w:b w:val="0"/>
          <w:bCs/>
        </w:rPr>
        <w:t>);</w:t>
      </w:r>
      <w:r w:rsidRPr="0091537A">
        <w:rPr>
          <w:b w:val="0"/>
          <w:bCs/>
        </w:rPr>
        <w:t xml:space="preserve"> </w:t>
      </w:r>
      <w:r w:rsidRPr="0091537A">
        <w:rPr>
          <w:b w:val="0"/>
          <w:bCs/>
          <w:i/>
          <w:iCs/>
        </w:rPr>
        <w:t>see also</w:t>
      </w:r>
      <w:r w:rsidRPr="0091537A">
        <w:rPr>
          <w:b w:val="0"/>
          <w:bCs/>
        </w:rPr>
        <w:t xml:space="preserve"> </w:t>
      </w:r>
      <w:r w:rsidRPr="0091537A">
        <w:rPr>
          <w:b w:val="0"/>
          <w:bCs/>
          <w:i/>
          <w:iCs/>
        </w:rPr>
        <w:t>In the Matter of Joint Application of Ohio Bell Telephone Company and Ameritech Mobile Services, Inc</w:t>
      </w:r>
      <w:r w:rsidRPr="0091537A">
        <w:rPr>
          <w:b w:val="0"/>
          <w:bCs/>
        </w:rPr>
        <w:t>., Case No. 89-365-RC-ATR at 7 (Oct. 18, 1990) (holding that “any interest which the joint applicants might have in maintaining the confidentiality of this information [fair market value and net book value of assets proposed to be transferred] is outweighed by the public’s interest in disclosure.”).</w:t>
      </w:r>
      <w:r w:rsidRPr="0091537A" w:rsidR="00BE3400">
        <w:rPr>
          <w:b w:val="0"/>
          <w:bCs/>
        </w:rPr>
        <w:t xml:space="preserve"> </w:t>
      </w:r>
    </w:p>
  </w:footnote>
  <w:footnote w:id="18">
    <w:p w:rsidR="0078556A" w:rsidRPr="0091537A" w:rsidP="00BE3400" w14:paraId="4FFC46BF" w14:textId="029E9540">
      <w:pPr>
        <w:pStyle w:val="FootnoteText"/>
        <w:spacing w:after="120"/>
        <w:rPr>
          <w:b w:val="0"/>
          <w:bCs/>
        </w:rPr>
      </w:pPr>
      <w:r w:rsidRPr="0091537A">
        <w:rPr>
          <w:rStyle w:val="FootnoteReference"/>
          <w:b w:val="0"/>
          <w:bCs/>
        </w:rPr>
        <w:footnoteRef/>
      </w:r>
      <w:r w:rsidRPr="0091537A" w:rsidR="00CE23BE">
        <w:rPr>
          <w:b w:val="0"/>
          <w:bCs/>
          <w:i/>
          <w:iCs/>
        </w:rPr>
        <w:t xml:space="preserve"> </w:t>
      </w:r>
      <w:r w:rsidRPr="0091537A">
        <w:rPr>
          <w:b w:val="0"/>
          <w:bCs/>
          <w:i/>
          <w:iCs/>
        </w:rPr>
        <w:t>Miller v. Anderson</w:t>
      </w:r>
      <w:r w:rsidRPr="0091537A">
        <w:rPr>
          <w:b w:val="0"/>
          <w:bCs/>
        </w:rPr>
        <w:t>, Case No. 5:20CV1743, Order at 8 (Mar. 22, 2022).</w:t>
      </w:r>
      <w:r w:rsidRPr="0091537A" w:rsidR="00BE3400">
        <w:rPr>
          <w:b w:val="0"/>
          <w:bCs/>
        </w:rPr>
        <w:t xml:space="preserve"> </w:t>
      </w:r>
    </w:p>
  </w:footnote>
  <w:footnote w:id="19">
    <w:p w:rsidR="009E593D" w:rsidRPr="0091537A" w:rsidP="00BE3400" w14:paraId="6F8323CD" w14:textId="77777777">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 xml:space="preserve">See </w:t>
      </w:r>
      <w:r w:rsidRPr="0091537A">
        <w:rPr>
          <w:b w:val="0"/>
          <w:bCs/>
        </w:rPr>
        <w:t>Motion at 3.</w:t>
      </w:r>
    </w:p>
  </w:footnote>
  <w:footnote w:id="20">
    <w:p w:rsidR="009E593D" w:rsidRPr="0091537A" w:rsidP="00BE3400" w14:paraId="15016530" w14:textId="38ECB162">
      <w:pPr>
        <w:pStyle w:val="FootnoteText"/>
        <w:spacing w:after="120"/>
        <w:rPr>
          <w:b w:val="0"/>
          <w:bCs/>
        </w:rPr>
      </w:pPr>
      <w:r w:rsidRPr="0091537A">
        <w:rPr>
          <w:rStyle w:val="FootnoteReference"/>
          <w:b w:val="0"/>
          <w:bCs/>
        </w:rPr>
        <w:footnoteRef/>
      </w:r>
      <w:r w:rsidRPr="0091537A">
        <w:rPr>
          <w:b w:val="0"/>
          <w:bCs/>
        </w:rPr>
        <w:t xml:space="preserve"> Protective Agreement at </w:t>
      </w:r>
      <w:r w:rsidRPr="0091537A" w:rsidR="00043006">
        <w:rPr>
          <w:b w:val="0"/>
          <w:bCs/>
        </w:rPr>
        <w:t>¶</w:t>
      </w:r>
      <w:r w:rsidRPr="0091537A">
        <w:rPr>
          <w:b w:val="0"/>
          <w:bCs/>
        </w:rPr>
        <w:t xml:space="preserve"> 10.</w:t>
      </w:r>
    </w:p>
  </w:footnote>
  <w:footnote w:id="21">
    <w:p w:rsidR="007555FD" w:rsidRPr="0091537A" w:rsidP="00CE23BE" w14:paraId="5B03F1DC" w14:textId="4C2E7CF2">
      <w:pPr>
        <w:spacing w:after="120"/>
        <w:rPr>
          <w:bCs/>
          <w:sz w:val="20"/>
          <w:szCs w:val="20"/>
        </w:rPr>
      </w:pPr>
      <w:r w:rsidRPr="0091537A">
        <w:rPr>
          <w:rStyle w:val="FootnoteReference"/>
          <w:bCs/>
          <w:sz w:val="20"/>
          <w:szCs w:val="20"/>
        </w:rPr>
        <w:footnoteRef/>
      </w:r>
      <w:r w:rsidRPr="0091537A">
        <w:rPr>
          <w:bCs/>
          <w:sz w:val="20"/>
          <w:szCs w:val="20"/>
        </w:rPr>
        <w:t xml:space="preserve"> </w:t>
      </w:r>
      <w:r w:rsidRPr="0091537A">
        <w:rPr>
          <w:rStyle w:val="ssleftalign"/>
          <w:bCs/>
          <w:sz w:val="20"/>
          <w:szCs w:val="20"/>
        </w:rPr>
        <w:t xml:space="preserve">The Ohio Supreme Court has found that an </w:t>
      </w:r>
      <w:r w:rsidRPr="0091537A">
        <w:rPr>
          <w:rStyle w:val="ssit"/>
          <w:bCs/>
          <w:i/>
          <w:iCs/>
          <w:sz w:val="20"/>
          <w:szCs w:val="20"/>
        </w:rPr>
        <w:t>in camera</w:t>
      </w:r>
      <w:r w:rsidRPr="0091537A">
        <w:rPr>
          <w:rStyle w:val="ssleftalign"/>
          <w:bCs/>
          <w:sz w:val="20"/>
          <w:szCs w:val="20"/>
        </w:rPr>
        <w:t xml:space="preserve"> inspection is necessary to determine whether materials are entitled to protection from disclosure. </w:t>
      </w:r>
      <w:hyperlink r:id="rId1" w:history="1">
        <w:r w:rsidRPr="0091537A">
          <w:rPr>
            <w:rStyle w:val="Hyperlink"/>
            <w:bCs/>
            <w:i/>
            <w:iCs/>
            <w:color w:val="auto"/>
            <w:sz w:val="20"/>
            <w:szCs w:val="20"/>
            <w:u w:val="none"/>
          </w:rPr>
          <w:t>State ex rel. Allright Parking of Cleveland Inc. v. Cleveland</w:t>
        </w:r>
        <w:r w:rsidRPr="0091537A">
          <w:rPr>
            <w:rStyle w:val="Hyperlink"/>
            <w:bCs/>
            <w:color w:val="auto"/>
            <w:sz w:val="20"/>
            <w:szCs w:val="20"/>
            <w:u w:val="none"/>
          </w:rPr>
          <w:t>, 63 Ohio St.3d 772</w:t>
        </w:r>
      </w:hyperlink>
      <w:r w:rsidRPr="0091537A">
        <w:rPr>
          <w:bCs/>
          <w:color w:val="auto"/>
          <w:sz w:val="20"/>
          <w:szCs w:val="20"/>
        </w:rPr>
        <w:t xml:space="preserve"> (1992).</w:t>
      </w:r>
    </w:p>
  </w:footnote>
  <w:footnote w:id="22">
    <w:p w:rsidR="009E593D" w:rsidRPr="0091537A" w:rsidP="00BE3400" w14:paraId="7193A3B3" w14:textId="7A7C7F00">
      <w:pPr>
        <w:pStyle w:val="FootnoteText"/>
        <w:spacing w:after="120"/>
        <w:rPr>
          <w:b w:val="0"/>
          <w:bCs/>
          <w:i/>
          <w:iCs/>
        </w:rPr>
      </w:pPr>
      <w:r w:rsidRPr="0091537A">
        <w:rPr>
          <w:rStyle w:val="FootnoteReference"/>
          <w:b w:val="0"/>
          <w:bCs/>
        </w:rPr>
        <w:footnoteRef/>
      </w:r>
      <w:r w:rsidRPr="0091537A">
        <w:rPr>
          <w:b w:val="0"/>
          <w:bCs/>
        </w:rPr>
        <w:t xml:space="preserve"> </w:t>
      </w:r>
      <w:r w:rsidRPr="0091537A">
        <w:rPr>
          <w:b w:val="0"/>
          <w:bCs/>
          <w:i/>
          <w:iCs/>
        </w:rPr>
        <w:t xml:space="preserve">Id. </w:t>
      </w:r>
      <w:r w:rsidRPr="0091537A">
        <w:rPr>
          <w:b w:val="0"/>
          <w:bCs/>
        </w:rPr>
        <w:t>As FirstEnergy points out, “[p]rotective agreements or analogous protective orders are routinely upheld.”</w:t>
      </w:r>
      <w:r w:rsidRPr="0091537A" w:rsidR="00D53906">
        <w:rPr>
          <w:b w:val="0"/>
          <w:bCs/>
        </w:rPr>
        <w:t xml:space="preserve"> </w:t>
      </w:r>
      <w:r w:rsidRPr="0091537A">
        <w:rPr>
          <w:b w:val="0"/>
          <w:bCs/>
        </w:rPr>
        <w:t xml:space="preserve">Motion at 2. “And the Commission, under O.A.C. 4901-1-24, has the authority to fashion appropriate protective remedies, including enforcing protective </w:t>
      </w:r>
      <w:r w:rsidRPr="0091537A" w:rsidR="00043006">
        <w:rPr>
          <w:b w:val="0"/>
          <w:bCs/>
        </w:rPr>
        <w:t>agreements</w:t>
      </w:r>
      <w:r w:rsidRPr="0091537A">
        <w:rPr>
          <w:b w:val="0"/>
          <w:bCs/>
        </w:rPr>
        <w:t xml:space="preserve"> where necessary.”</w:t>
      </w:r>
      <w:r w:rsidRPr="0091537A" w:rsidR="00D53906">
        <w:rPr>
          <w:b w:val="0"/>
          <w:bCs/>
        </w:rPr>
        <w:t xml:space="preserve"> </w:t>
      </w:r>
      <w:r w:rsidRPr="0091537A">
        <w:rPr>
          <w:b w:val="0"/>
          <w:bCs/>
          <w:i/>
          <w:iCs/>
        </w:rPr>
        <w:t>Id.</w:t>
      </w:r>
    </w:p>
  </w:footnote>
  <w:footnote w:id="23">
    <w:p w:rsidR="009E593D" w:rsidRPr="0091537A" w:rsidP="00BE3400" w14:paraId="47FBEBE2" w14:textId="77777777">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 xml:space="preserve">See </w:t>
      </w:r>
      <w:r w:rsidRPr="0091537A">
        <w:rPr>
          <w:b w:val="0"/>
          <w:bCs/>
        </w:rPr>
        <w:t>Motion at Exhibit D (Affidavit of Tracy M. Ashton); Exhibit E (Affidavit of E).</w:t>
      </w:r>
    </w:p>
  </w:footnote>
  <w:footnote w:id="24">
    <w:p w:rsidR="009E593D" w:rsidRPr="0091537A" w:rsidP="00BE3400" w14:paraId="26951FA2" w14:textId="33F7EB7F">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 xml:space="preserve">Id. </w:t>
      </w:r>
      <w:r w:rsidRPr="0091537A">
        <w:rPr>
          <w:b w:val="0"/>
          <w:bCs/>
        </w:rPr>
        <w:t xml:space="preserve">at 8 (citing Lee Affidavit at </w:t>
      </w:r>
      <w:r w:rsidRPr="0091537A" w:rsidR="00043006">
        <w:rPr>
          <w:b w:val="0"/>
          <w:bCs/>
        </w:rPr>
        <w:t>¶</w:t>
      </w:r>
      <w:r w:rsidRPr="0091537A">
        <w:rPr>
          <w:b w:val="0"/>
          <w:bCs/>
        </w:rPr>
        <w:t xml:space="preserve"> 6).</w:t>
      </w:r>
    </w:p>
  </w:footnote>
  <w:footnote w:id="25">
    <w:p w:rsidR="00C26C16" w:rsidRPr="0091537A" w:rsidP="00BE3400" w14:paraId="15EE3A28" w14:textId="64E5AC54">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Miller v. Anderson</w:t>
      </w:r>
      <w:r w:rsidRPr="0091537A">
        <w:rPr>
          <w:b w:val="0"/>
          <w:bCs/>
        </w:rPr>
        <w:t>, Case No. 5:20CV1743, Order (Mar. 22, 2022).</w:t>
      </w:r>
    </w:p>
  </w:footnote>
  <w:footnote w:id="26">
    <w:p w:rsidR="00C26C16" w:rsidRPr="0091537A" w:rsidP="00BE3400" w14:paraId="05DEEBC6" w14:textId="2E7D65AF">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Id.</w:t>
      </w:r>
      <w:r w:rsidRPr="0091537A">
        <w:rPr>
          <w:b w:val="0"/>
          <w:bCs/>
        </w:rPr>
        <w:t>, Affidavit (Mar. 23, 2022)</w:t>
      </w:r>
      <w:r w:rsidRPr="0091537A" w:rsidR="00822265">
        <w:rPr>
          <w:b w:val="0"/>
          <w:bCs/>
        </w:rPr>
        <w:t>.</w:t>
      </w:r>
    </w:p>
  </w:footnote>
  <w:footnote w:id="27">
    <w:p w:rsidR="009E593D" w:rsidRPr="0091537A" w:rsidP="00BE3400" w14:paraId="41EB5E39" w14:textId="486127AF">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 xml:space="preserve">See </w:t>
      </w:r>
      <w:r w:rsidRPr="0091537A" w:rsidR="00043006">
        <w:rPr>
          <w:b w:val="0"/>
          <w:bCs/>
          <w:i/>
          <w:iCs/>
        </w:rPr>
        <w:t>I</w:t>
      </w:r>
      <w:r w:rsidRPr="0091537A">
        <w:rPr>
          <w:b w:val="0"/>
          <w:bCs/>
          <w:i/>
          <w:iCs/>
        </w:rPr>
        <w:t xml:space="preserve">d. </w:t>
      </w:r>
      <w:r w:rsidRPr="0091537A">
        <w:rPr>
          <w:b w:val="0"/>
          <w:bCs/>
        </w:rPr>
        <w:t>at 9</w:t>
      </w:r>
      <w:r w:rsidRPr="0091537A" w:rsidR="00E74797">
        <w:rPr>
          <w:b w:val="0"/>
          <w:bCs/>
        </w:rPr>
        <w:t xml:space="preserve">; </w:t>
      </w:r>
      <w:r w:rsidRPr="0091537A" w:rsidR="00E74797">
        <w:rPr>
          <w:b w:val="0"/>
          <w:bCs/>
          <w:i/>
          <w:iCs/>
        </w:rPr>
        <w:t xml:space="preserve">see generally </w:t>
      </w:r>
      <w:r w:rsidRPr="0091537A" w:rsidR="00E74797">
        <w:rPr>
          <w:b w:val="0"/>
          <w:bCs/>
        </w:rPr>
        <w:t xml:space="preserve">section A, </w:t>
      </w:r>
      <w:r w:rsidRPr="0091537A" w:rsidR="00E74797">
        <w:rPr>
          <w:b w:val="0"/>
          <w:bCs/>
          <w:i/>
          <w:iCs/>
        </w:rPr>
        <w:t>supra</w:t>
      </w:r>
      <w:r w:rsidRPr="0091537A">
        <w:rPr>
          <w:b w:val="0"/>
          <w:bCs/>
        </w:rPr>
        <w:t>.</w:t>
      </w:r>
    </w:p>
  </w:footnote>
  <w:footnote w:id="28">
    <w:p w:rsidR="009E593D" w:rsidRPr="0091537A" w:rsidP="00BE3400" w14:paraId="0BC89742" w14:textId="77777777">
      <w:pPr>
        <w:pStyle w:val="FootnoteText"/>
        <w:spacing w:after="120"/>
        <w:rPr>
          <w:b w:val="0"/>
          <w:bCs/>
        </w:rPr>
      </w:pPr>
      <w:r w:rsidRPr="0091537A">
        <w:rPr>
          <w:rStyle w:val="FootnoteReference"/>
          <w:b w:val="0"/>
          <w:bCs/>
        </w:rPr>
        <w:footnoteRef/>
      </w:r>
      <w:r w:rsidRPr="0091537A">
        <w:rPr>
          <w:b w:val="0"/>
          <w:bCs/>
        </w:rPr>
        <w:t xml:space="preserve"> Motion at 9.</w:t>
      </w:r>
    </w:p>
  </w:footnote>
  <w:footnote w:id="29">
    <w:p w:rsidR="009E593D" w:rsidRPr="0091537A" w:rsidP="00BE3400" w14:paraId="4FA227B2" w14:textId="318A2812">
      <w:pPr>
        <w:pStyle w:val="FootnoteText"/>
        <w:spacing w:after="120"/>
        <w:rPr>
          <w:b w:val="0"/>
          <w:bCs/>
        </w:rPr>
      </w:pPr>
      <w:r w:rsidRPr="0091537A">
        <w:rPr>
          <w:rStyle w:val="FootnoteReference"/>
          <w:b w:val="0"/>
          <w:bCs/>
        </w:rPr>
        <w:footnoteRef/>
      </w:r>
      <w:r w:rsidRPr="0091537A">
        <w:rPr>
          <w:b w:val="0"/>
          <w:bCs/>
        </w:rPr>
        <w:t xml:space="preserve"> Especially because the protective agreement calls for affiant support.</w:t>
      </w:r>
      <w:r w:rsidRPr="0091537A" w:rsidR="00D53906">
        <w:rPr>
          <w:b w:val="0"/>
          <w:bCs/>
        </w:rPr>
        <w:t xml:space="preserve"> </w:t>
      </w:r>
      <w:r w:rsidRPr="0091537A">
        <w:rPr>
          <w:b w:val="0"/>
          <w:bCs/>
          <w:i/>
          <w:iCs/>
        </w:rPr>
        <w:t xml:space="preserve">See </w:t>
      </w:r>
      <w:r w:rsidRPr="0091537A">
        <w:rPr>
          <w:b w:val="0"/>
          <w:bCs/>
        </w:rPr>
        <w:t>Protective Agreement at 9.</w:t>
      </w:r>
    </w:p>
  </w:footnote>
  <w:footnote w:id="30">
    <w:p w:rsidR="00E511D4" w:rsidRPr="0091537A" w:rsidP="00BE3400" w14:paraId="124821D7" w14:textId="537509AE">
      <w:pPr>
        <w:pStyle w:val="FootnoteText"/>
        <w:spacing w:after="120"/>
        <w:rPr>
          <w:b w:val="0"/>
          <w:bCs/>
        </w:rPr>
      </w:pPr>
      <w:r w:rsidRPr="0091537A">
        <w:rPr>
          <w:rStyle w:val="FootnoteReference"/>
          <w:b w:val="0"/>
          <w:bCs/>
        </w:rPr>
        <w:footnoteRef/>
      </w:r>
      <w:r w:rsidRPr="0091537A">
        <w:rPr>
          <w:b w:val="0"/>
          <w:bCs/>
        </w:rPr>
        <w:t xml:space="preserve"> </w:t>
      </w:r>
      <w:r w:rsidRPr="0091537A">
        <w:rPr>
          <w:b w:val="0"/>
          <w:bCs/>
          <w:i/>
          <w:iCs/>
        </w:rPr>
        <w:t>Protecting the unprotected</w:t>
      </w:r>
      <w:r w:rsidRPr="0091537A">
        <w:rPr>
          <w:b w:val="0"/>
          <w:bCs/>
        </w:rPr>
        <w:t>, Ohio Sunshine laws at i (2022)</w:t>
      </w:r>
      <w:r w:rsidRPr="0091537A" w:rsidR="002C6944">
        <w:rPr>
          <w:b w:val="0"/>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590" w14:paraId="5743B5D0" w14:textId="7777777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795AD6"/>
    <w:multiLevelType w:val="hybridMultilevel"/>
    <w:tmpl w:val="062AFBD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5C72CDC"/>
    <w:multiLevelType w:val="hybridMultilevel"/>
    <w:tmpl w:val="84182E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4E47EED"/>
    <w:multiLevelType w:val="hybridMultilevel"/>
    <w:tmpl w:val="81F8A44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D072D03"/>
    <w:multiLevelType w:val="hybridMultilevel"/>
    <w:tmpl w:val="A5CAD1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D4D0421"/>
    <w:multiLevelType w:val="hybridMultilevel"/>
    <w:tmpl w:val="CAC4684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0">
    <w:nsid w:val="413B2DC6"/>
    <w:multiLevelType w:val="hybridMultilevel"/>
    <w:tmpl w:val="84BC8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740678A"/>
    <w:multiLevelType w:val="hybridMultilevel"/>
    <w:tmpl w:val="C994AD3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3">
    <w:nsid w:val="5EF81B1A"/>
    <w:multiLevelType w:val="hybridMultilevel"/>
    <w:tmpl w:val="F1E696F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FBD7F31"/>
    <w:multiLevelType w:val="hybridMultilevel"/>
    <w:tmpl w:val="BA74AE9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6"/>
  </w:num>
  <w:num w:numId="2">
    <w:abstractNumId w:val="17"/>
  </w:num>
  <w:num w:numId="3">
    <w:abstractNumId w:val="7"/>
  </w:num>
  <w:num w:numId="4">
    <w:abstractNumId w:val="5"/>
  </w:num>
  <w:num w:numId="5">
    <w:abstractNumId w:val="1"/>
  </w:num>
  <w:num w:numId="6">
    <w:abstractNumId w:val="1"/>
    <w:lvlOverride w:ilvl="0">
      <w:startOverride w:val="1"/>
    </w:lvlOverride>
  </w:num>
  <w:num w:numId="7">
    <w:abstractNumId w:val="1"/>
    <w:lvlOverride w:ilvl="0">
      <w:startOverride w:val="1"/>
    </w:lvlOverride>
  </w:num>
  <w:num w:numId="8">
    <w:abstractNumId w:val="3"/>
  </w:num>
  <w:num w:numId="9">
    <w:abstractNumId w:val="20"/>
  </w:num>
  <w:num w:numId="10">
    <w:abstractNumId w:val="19"/>
  </w:num>
  <w:num w:numId="11">
    <w:abstractNumId w:val="15"/>
  </w:num>
  <w:num w:numId="12">
    <w:abstractNumId w:val="18"/>
  </w:num>
  <w:num w:numId="13">
    <w:abstractNumId w:val="21"/>
  </w:num>
  <w:num w:numId="14">
    <w:abstractNumId w:val="12"/>
  </w:num>
  <w:num w:numId="15">
    <w:abstractNumId w:val="9"/>
  </w:num>
  <w:num w:numId="16">
    <w:abstractNumId w:val="12"/>
    <w:lvlOverride w:ilvl="0">
      <w:startOverride w:val="1"/>
    </w:lvlOverride>
  </w:num>
  <w:num w:numId="17">
    <w:abstractNumId w:val="4"/>
  </w:num>
  <w:num w:numId="18">
    <w:abstractNumId w:val="10"/>
  </w:num>
  <w:num w:numId="19">
    <w:abstractNumId w:val="6"/>
  </w:num>
  <w:num w:numId="20">
    <w:abstractNumId w:val="2"/>
  </w:num>
  <w:num w:numId="21">
    <w:abstractNumId w:val="13"/>
  </w:num>
  <w:num w:numId="22">
    <w:abstractNumId w:val="14"/>
  </w:num>
  <w:num w:numId="23">
    <w:abstractNumId w:val="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053C"/>
    <w:rsid w:val="00000F6F"/>
    <w:rsid w:val="00001BAF"/>
    <w:rsid w:val="00004D0A"/>
    <w:rsid w:val="00005108"/>
    <w:rsid w:val="000064CA"/>
    <w:rsid w:val="0000683D"/>
    <w:rsid w:val="00012B24"/>
    <w:rsid w:val="00013800"/>
    <w:rsid w:val="0001513F"/>
    <w:rsid w:val="000152B0"/>
    <w:rsid w:val="00015A12"/>
    <w:rsid w:val="00016A85"/>
    <w:rsid w:val="00017972"/>
    <w:rsid w:val="000203A9"/>
    <w:rsid w:val="0002177F"/>
    <w:rsid w:val="00024882"/>
    <w:rsid w:val="00025E6F"/>
    <w:rsid w:val="0002629A"/>
    <w:rsid w:val="000313BB"/>
    <w:rsid w:val="000315CF"/>
    <w:rsid w:val="00032005"/>
    <w:rsid w:val="00032099"/>
    <w:rsid w:val="00032AD4"/>
    <w:rsid w:val="00037221"/>
    <w:rsid w:val="00037357"/>
    <w:rsid w:val="000377FE"/>
    <w:rsid w:val="00037EC2"/>
    <w:rsid w:val="00040A34"/>
    <w:rsid w:val="00041AE8"/>
    <w:rsid w:val="00043006"/>
    <w:rsid w:val="000438AF"/>
    <w:rsid w:val="00045BF0"/>
    <w:rsid w:val="0005217A"/>
    <w:rsid w:val="000551AB"/>
    <w:rsid w:val="00055A1C"/>
    <w:rsid w:val="00057EC7"/>
    <w:rsid w:val="00060274"/>
    <w:rsid w:val="00061C44"/>
    <w:rsid w:val="00063D3D"/>
    <w:rsid w:val="00064762"/>
    <w:rsid w:val="0006540C"/>
    <w:rsid w:val="000655CA"/>
    <w:rsid w:val="00065AC3"/>
    <w:rsid w:val="00065D7B"/>
    <w:rsid w:val="00066725"/>
    <w:rsid w:val="00067CEC"/>
    <w:rsid w:val="00070701"/>
    <w:rsid w:val="00072899"/>
    <w:rsid w:val="000729A6"/>
    <w:rsid w:val="0007352B"/>
    <w:rsid w:val="00074DD3"/>
    <w:rsid w:val="000818A9"/>
    <w:rsid w:val="000835B2"/>
    <w:rsid w:val="00087869"/>
    <w:rsid w:val="00091451"/>
    <w:rsid w:val="00091692"/>
    <w:rsid w:val="00091DDC"/>
    <w:rsid w:val="00092E7F"/>
    <w:rsid w:val="0009319D"/>
    <w:rsid w:val="00093263"/>
    <w:rsid w:val="00093882"/>
    <w:rsid w:val="00095A93"/>
    <w:rsid w:val="00096478"/>
    <w:rsid w:val="00096867"/>
    <w:rsid w:val="000969A8"/>
    <w:rsid w:val="00097E7A"/>
    <w:rsid w:val="000A1DED"/>
    <w:rsid w:val="000A293B"/>
    <w:rsid w:val="000A6653"/>
    <w:rsid w:val="000A7290"/>
    <w:rsid w:val="000B0E98"/>
    <w:rsid w:val="000B1D1F"/>
    <w:rsid w:val="000B2075"/>
    <w:rsid w:val="000B2FE2"/>
    <w:rsid w:val="000B5DEF"/>
    <w:rsid w:val="000B6760"/>
    <w:rsid w:val="000B7475"/>
    <w:rsid w:val="000B7479"/>
    <w:rsid w:val="000C099B"/>
    <w:rsid w:val="000C0A43"/>
    <w:rsid w:val="000C3048"/>
    <w:rsid w:val="000C3A86"/>
    <w:rsid w:val="000C7E23"/>
    <w:rsid w:val="000C7E80"/>
    <w:rsid w:val="000D0EC3"/>
    <w:rsid w:val="000D18C7"/>
    <w:rsid w:val="000D1C5E"/>
    <w:rsid w:val="000D2F76"/>
    <w:rsid w:val="000D3B7C"/>
    <w:rsid w:val="000D40A1"/>
    <w:rsid w:val="000D5E27"/>
    <w:rsid w:val="000D68F5"/>
    <w:rsid w:val="000D6C27"/>
    <w:rsid w:val="000E141B"/>
    <w:rsid w:val="000E1A1F"/>
    <w:rsid w:val="000E1C1B"/>
    <w:rsid w:val="000E1E95"/>
    <w:rsid w:val="000E33F7"/>
    <w:rsid w:val="000E41A6"/>
    <w:rsid w:val="000E5CD9"/>
    <w:rsid w:val="000E7A47"/>
    <w:rsid w:val="000F0156"/>
    <w:rsid w:val="000F0F5F"/>
    <w:rsid w:val="000F1514"/>
    <w:rsid w:val="000F1B21"/>
    <w:rsid w:val="000F2C57"/>
    <w:rsid w:val="000F4783"/>
    <w:rsid w:val="000F4ACD"/>
    <w:rsid w:val="000F6DFE"/>
    <w:rsid w:val="000F747E"/>
    <w:rsid w:val="000F74D3"/>
    <w:rsid w:val="0010262B"/>
    <w:rsid w:val="001029A4"/>
    <w:rsid w:val="00102EBB"/>
    <w:rsid w:val="00104905"/>
    <w:rsid w:val="00107C26"/>
    <w:rsid w:val="00112988"/>
    <w:rsid w:val="00113322"/>
    <w:rsid w:val="00113715"/>
    <w:rsid w:val="0011745F"/>
    <w:rsid w:val="00117595"/>
    <w:rsid w:val="00120C08"/>
    <w:rsid w:val="00120DBC"/>
    <w:rsid w:val="00122815"/>
    <w:rsid w:val="00123326"/>
    <w:rsid w:val="00126CB5"/>
    <w:rsid w:val="001277BC"/>
    <w:rsid w:val="00131CEE"/>
    <w:rsid w:val="00134A5D"/>
    <w:rsid w:val="001357A9"/>
    <w:rsid w:val="00135E70"/>
    <w:rsid w:val="001364C8"/>
    <w:rsid w:val="00136645"/>
    <w:rsid w:val="00137700"/>
    <w:rsid w:val="00137CD6"/>
    <w:rsid w:val="00140B90"/>
    <w:rsid w:val="00141533"/>
    <w:rsid w:val="00141B3F"/>
    <w:rsid w:val="00145FB3"/>
    <w:rsid w:val="00146228"/>
    <w:rsid w:val="001467CA"/>
    <w:rsid w:val="00146BD1"/>
    <w:rsid w:val="00146D57"/>
    <w:rsid w:val="001479F2"/>
    <w:rsid w:val="00151E96"/>
    <w:rsid w:val="0015486C"/>
    <w:rsid w:val="00155A7B"/>
    <w:rsid w:val="00160181"/>
    <w:rsid w:val="0016079F"/>
    <w:rsid w:val="00163AF0"/>
    <w:rsid w:val="00164E67"/>
    <w:rsid w:val="00165A92"/>
    <w:rsid w:val="00170553"/>
    <w:rsid w:val="001709B9"/>
    <w:rsid w:val="00171CD8"/>
    <w:rsid w:val="00171DAD"/>
    <w:rsid w:val="0017497F"/>
    <w:rsid w:val="00174FD5"/>
    <w:rsid w:val="00175A10"/>
    <w:rsid w:val="00175EA2"/>
    <w:rsid w:val="001775AC"/>
    <w:rsid w:val="00177979"/>
    <w:rsid w:val="0018031A"/>
    <w:rsid w:val="00180959"/>
    <w:rsid w:val="0018269A"/>
    <w:rsid w:val="0018294C"/>
    <w:rsid w:val="00183E36"/>
    <w:rsid w:val="001862C2"/>
    <w:rsid w:val="00186607"/>
    <w:rsid w:val="00186FB2"/>
    <w:rsid w:val="00190518"/>
    <w:rsid w:val="001908F6"/>
    <w:rsid w:val="00190E01"/>
    <w:rsid w:val="001930AB"/>
    <w:rsid w:val="00193DDA"/>
    <w:rsid w:val="001965D3"/>
    <w:rsid w:val="00197020"/>
    <w:rsid w:val="001973A1"/>
    <w:rsid w:val="001978B4"/>
    <w:rsid w:val="001A02AF"/>
    <w:rsid w:val="001A093E"/>
    <w:rsid w:val="001A0DA2"/>
    <w:rsid w:val="001A1ADB"/>
    <w:rsid w:val="001A21F1"/>
    <w:rsid w:val="001A52B2"/>
    <w:rsid w:val="001A6C43"/>
    <w:rsid w:val="001A7D6F"/>
    <w:rsid w:val="001B0797"/>
    <w:rsid w:val="001B19CC"/>
    <w:rsid w:val="001B256A"/>
    <w:rsid w:val="001B2F02"/>
    <w:rsid w:val="001B4EE5"/>
    <w:rsid w:val="001B580C"/>
    <w:rsid w:val="001B616C"/>
    <w:rsid w:val="001B77D9"/>
    <w:rsid w:val="001B77E5"/>
    <w:rsid w:val="001C1270"/>
    <w:rsid w:val="001C389B"/>
    <w:rsid w:val="001C4AF0"/>
    <w:rsid w:val="001C4B65"/>
    <w:rsid w:val="001C7147"/>
    <w:rsid w:val="001C799F"/>
    <w:rsid w:val="001C79B2"/>
    <w:rsid w:val="001C7CBF"/>
    <w:rsid w:val="001D115B"/>
    <w:rsid w:val="001D177D"/>
    <w:rsid w:val="001D1E48"/>
    <w:rsid w:val="001D38E8"/>
    <w:rsid w:val="001D409A"/>
    <w:rsid w:val="001D5323"/>
    <w:rsid w:val="001D5906"/>
    <w:rsid w:val="001D5D8C"/>
    <w:rsid w:val="001D6014"/>
    <w:rsid w:val="001D7401"/>
    <w:rsid w:val="001E07A6"/>
    <w:rsid w:val="001E1DE0"/>
    <w:rsid w:val="001E2832"/>
    <w:rsid w:val="001E7C1C"/>
    <w:rsid w:val="001F00B3"/>
    <w:rsid w:val="001F4AAE"/>
    <w:rsid w:val="001F53AB"/>
    <w:rsid w:val="001F6B05"/>
    <w:rsid w:val="002004DA"/>
    <w:rsid w:val="0020073C"/>
    <w:rsid w:val="002008A8"/>
    <w:rsid w:val="002010C3"/>
    <w:rsid w:val="00201CFA"/>
    <w:rsid w:val="00203E24"/>
    <w:rsid w:val="00204E98"/>
    <w:rsid w:val="002052E9"/>
    <w:rsid w:val="00212805"/>
    <w:rsid w:val="00212CAF"/>
    <w:rsid w:val="00213019"/>
    <w:rsid w:val="002135BF"/>
    <w:rsid w:val="00214355"/>
    <w:rsid w:val="00216499"/>
    <w:rsid w:val="00216E45"/>
    <w:rsid w:val="002178F3"/>
    <w:rsid w:val="00220800"/>
    <w:rsid w:val="0022201E"/>
    <w:rsid w:val="002232D8"/>
    <w:rsid w:val="00224930"/>
    <w:rsid w:val="00225D30"/>
    <w:rsid w:val="00226283"/>
    <w:rsid w:val="002268B9"/>
    <w:rsid w:val="00226B2E"/>
    <w:rsid w:val="00227213"/>
    <w:rsid w:val="002277B6"/>
    <w:rsid w:val="002326CA"/>
    <w:rsid w:val="002371AB"/>
    <w:rsid w:val="00243468"/>
    <w:rsid w:val="00246EED"/>
    <w:rsid w:val="0025070D"/>
    <w:rsid w:val="002521DB"/>
    <w:rsid w:val="00253841"/>
    <w:rsid w:val="00253E76"/>
    <w:rsid w:val="00254CEB"/>
    <w:rsid w:val="00254D5B"/>
    <w:rsid w:val="00255992"/>
    <w:rsid w:val="002604FA"/>
    <w:rsid w:val="00260723"/>
    <w:rsid w:val="0026217A"/>
    <w:rsid w:val="00262784"/>
    <w:rsid w:val="0026389F"/>
    <w:rsid w:val="002643BE"/>
    <w:rsid w:val="002644BD"/>
    <w:rsid w:val="002650B9"/>
    <w:rsid w:val="0027041E"/>
    <w:rsid w:val="0027499C"/>
    <w:rsid w:val="002752FB"/>
    <w:rsid w:val="00277B14"/>
    <w:rsid w:val="00281A60"/>
    <w:rsid w:val="002845B8"/>
    <w:rsid w:val="00285AFD"/>
    <w:rsid w:val="00286088"/>
    <w:rsid w:val="002865C3"/>
    <w:rsid w:val="002900A1"/>
    <w:rsid w:val="0029145D"/>
    <w:rsid w:val="00292D92"/>
    <w:rsid w:val="00292F68"/>
    <w:rsid w:val="002932B7"/>
    <w:rsid w:val="002A00BA"/>
    <w:rsid w:val="002A261C"/>
    <w:rsid w:val="002A54B7"/>
    <w:rsid w:val="002A6EAF"/>
    <w:rsid w:val="002A7ECB"/>
    <w:rsid w:val="002B0AE1"/>
    <w:rsid w:val="002B48E2"/>
    <w:rsid w:val="002B49BE"/>
    <w:rsid w:val="002B539C"/>
    <w:rsid w:val="002B581C"/>
    <w:rsid w:val="002C256E"/>
    <w:rsid w:val="002C4933"/>
    <w:rsid w:val="002C58F3"/>
    <w:rsid w:val="002C594A"/>
    <w:rsid w:val="002C6236"/>
    <w:rsid w:val="002C6944"/>
    <w:rsid w:val="002C7156"/>
    <w:rsid w:val="002C79E0"/>
    <w:rsid w:val="002D1093"/>
    <w:rsid w:val="002D1E7B"/>
    <w:rsid w:val="002D2FD9"/>
    <w:rsid w:val="002D4AB1"/>
    <w:rsid w:val="002D716C"/>
    <w:rsid w:val="002E14B0"/>
    <w:rsid w:val="002E2A07"/>
    <w:rsid w:val="002E2DA8"/>
    <w:rsid w:val="002E4256"/>
    <w:rsid w:val="002E596C"/>
    <w:rsid w:val="002E6602"/>
    <w:rsid w:val="002E75F1"/>
    <w:rsid w:val="002F0842"/>
    <w:rsid w:val="002F34D5"/>
    <w:rsid w:val="002F4D14"/>
    <w:rsid w:val="002F57BE"/>
    <w:rsid w:val="002F6AF5"/>
    <w:rsid w:val="002F700D"/>
    <w:rsid w:val="002F7997"/>
    <w:rsid w:val="00300E16"/>
    <w:rsid w:val="003024E6"/>
    <w:rsid w:val="00302580"/>
    <w:rsid w:val="00302D3F"/>
    <w:rsid w:val="0030383E"/>
    <w:rsid w:val="00303D3F"/>
    <w:rsid w:val="00304F7E"/>
    <w:rsid w:val="003062AA"/>
    <w:rsid w:val="0030768E"/>
    <w:rsid w:val="00315987"/>
    <w:rsid w:val="003159AC"/>
    <w:rsid w:val="00316FB5"/>
    <w:rsid w:val="00317B9B"/>
    <w:rsid w:val="00317EA3"/>
    <w:rsid w:val="00320A0A"/>
    <w:rsid w:val="00322213"/>
    <w:rsid w:val="00322352"/>
    <w:rsid w:val="0032557B"/>
    <w:rsid w:val="00326642"/>
    <w:rsid w:val="00326F5B"/>
    <w:rsid w:val="003279A6"/>
    <w:rsid w:val="0033153E"/>
    <w:rsid w:val="00331871"/>
    <w:rsid w:val="003330D2"/>
    <w:rsid w:val="00335924"/>
    <w:rsid w:val="00336061"/>
    <w:rsid w:val="003360BF"/>
    <w:rsid w:val="003379E1"/>
    <w:rsid w:val="0034206D"/>
    <w:rsid w:val="00343F10"/>
    <w:rsid w:val="00350484"/>
    <w:rsid w:val="0035164C"/>
    <w:rsid w:val="00351728"/>
    <w:rsid w:val="00356FD4"/>
    <w:rsid w:val="0035739A"/>
    <w:rsid w:val="00357E6A"/>
    <w:rsid w:val="00357F44"/>
    <w:rsid w:val="003614AA"/>
    <w:rsid w:val="0036167C"/>
    <w:rsid w:val="00362A91"/>
    <w:rsid w:val="003635AC"/>
    <w:rsid w:val="003637BC"/>
    <w:rsid w:val="0036413E"/>
    <w:rsid w:val="00366615"/>
    <w:rsid w:val="003677F2"/>
    <w:rsid w:val="003703DA"/>
    <w:rsid w:val="00372876"/>
    <w:rsid w:val="003754F0"/>
    <w:rsid w:val="00375E11"/>
    <w:rsid w:val="00375E2D"/>
    <w:rsid w:val="003762E1"/>
    <w:rsid w:val="0037696B"/>
    <w:rsid w:val="00384988"/>
    <w:rsid w:val="00384D72"/>
    <w:rsid w:val="0038588B"/>
    <w:rsid w:val="00386DD7"/>
    <w:rsid w:val="003875F6"/>
    <w:rsid w:val="00387C86"/>
    <w:rsid w:val="003932EA"/>
    <w:rsid w:val="00393A0A"/>
    <w:rsid w:val="00394390"/>
    <w:rsid w:val="003948DA"/>
    <w:rsid w:val="003A07D2"/>
    <w:rsid w:val="003A2641"/>
    <w:rsid w:val="003A3AA6"/>
    <w:rsid w:val="003A3F62"/>
    <w:rsid w:val="003A5451"/>
    <w:rsid w:val="003A5836"/>
    <w:rsid w:val="003A6394"/>
    <w:rsid w:val="003A6E86"/>
    <w:rsid w:val="003B0510"/>
    <w:rsid w:val="003B1B2E"/>
    <w:rsid w:val="003B4221"/>
    <w:rsid w:val="003B5E77"/>
    <w:rsid w:val="003B6E16"/>
    <w:rsid w:val="003B70DB"/>
    <w:rsid w:val="003B72CB"/>
    <w:rsid w:val="003B7464"/>
    <w:rsid w:val="003B7D4B"/>
    <w:rsid w:val="003C0F3D"/>
    <w:rsid w:val="003C29B0"/>
    <w:rsid w:val="003C5F82"/>
    <w:rsid w:val="003C60F7"/>
    <w:rsid w:val="003C6948"/>
    <w:rsid w:val="003D0D32"/>
    <w:rsid w:val="003D2593"/>
    <w:rsid w:val="003D33FF"/>
    <w:rsid w:val="003D41DE"/>
    <w:rsid w:val="003D5002"/>
    <w:rsid w:val="003E3061"/>
    <w:rsid w:val="003E6EBF"/>
    <w:rsid w:val="003E75CF"/>
    <w:rsid w:val="003F1E55"/>
    <w:rsid w:val="003F1E72"/>
    <w:rsid w:val="003F2BE6"/>
    <w:rsid w:val="003F2FFD"/>
    <w:rsid w:val="003F7232"/>
    <w:rsid w:val="004000BC"/>
    <w:rsid w:val="0040068F"/>
    <w:rsid w:val="004008B4"/>
    <w:rsid w:val="00402C52"/>
    <w:rsid w:val="00403814"/>
    <w:rsid w:val="00410724"/>
    <w:rsid w:val="00410ED7"/>
    <w:rsid w:val="004113FC"/>
    <w:rsid w:val="0041201B"/>
    <w:rsid w:val="00414C8B"/>
    <w:rsid w:val="004166D3"/>
    <w:rsid w:val="00416A44"/>
    <w:rsid w:val="004236E5"/>
    <w:rsid w:val="004236E8"/>
    <w:rsid w:val="004249D9"/>
    <w:rsid w:val="00424E46"/>
    <w:rsid w:val="00425C33"/>
    <w:rsid w:val="00426455"/>
    <w:rsid w:val="00430DCE"/>
    <w:rsid w:val="0043128A"/>
    <w:rsid w:val="00435759"/>
    <w:rsid w:val="00435951"/>
    <w:rsid w:val="00436C05"/>
    <w:rsid w:val="00437608"/>
    <w:rsid w:val="00437B9B"/>
    <w:rsid w:val="0044331A"/>
    <w:rsid w:val="00443CB0"/>
    <w:rsid w:val="00444A99"/>
    <w:rsid w:val="00450B06"/>
    <w:rsid w:val="00451E0C"/>
    <w:rsid w:val="004527C7"/>
    <w:rsid w:val="00454933"/>
    <w:rsid w:val="004549AD"/>
    <w:rsid w:val="00454EC9"/>
    <w:rsid w:val="00454EDF"/>
    <w:rsid w:val="0045650B"/>
    <w:rsid w:val="00460041"/>
    <w:rsid w:val="00463951"/>
    <w:rsid w:val="00463D79"/>
    <w:rsid w:val="00463F89"/>
    <w:rsid w:val="00464DC6"/>
    <w:rsid w:val="00464F4C"/>
    <w:rsid w:val="00465701"/>
    <w:rsid w:val="00465FE5"/>
    <w:rsid w:val="00466893"/>
    <w:rsid w:val="0046751F"/>
    <w:rsid w:val="004676DB"/>
    <w:rsid w:val="00472552"/>
    <w:rsid w:val="00474C2B"/>
    <w:rsid w:val="00475D3A"/>
    <w:rsid w:val="00477A19"/>
    <w:rsid w:val="0048026A"/>
    <w:rsid w:val="00480443"/>
    <w:rsid w:val="004806D0"/>
    <w:rsid w:val="004827DE"/>
    <w:rsid w:val="00482B92"/>
    <w:rsid w:val="0048520C"/>
    <w:rsid w:val="00487B4A"/>
    <w:rsid w:val="00490C08"/>
    <w:rsid w:val="0049253A"/>
    <w:rsid w:val="00492A3E"/>
    <w:rsid w:val="00492AFE"/>
    <w:rsid w:val="00494681"/>
    <w:rsid w:val="00494F12"/>
    <w:rsid w:val="004967F4"/>
    <w:rsid w:val="004978AB"/>
    <w:rsid w:val="004A188B"/>
    <w:rsid w:val="004A199D"/>
    <w:rsid w:val="004A2301"/>
    <w:rsid w:val="004A26CD"/>
    <w:rsid w:val="004A3104"/>
    <w:rsid w:val="004A4B13"/>
    <w:rsid w:val="004A550B"/>
    <w:rsid w:val="004A5A15"/>
    <w:rsid w:val="004A5B55"/>
    <w:rsid w:val="004A68B5"/>
    <w:rsid w:val="004A6E82"/>
    <w:rsid w:val="004B2895"/>
    <w:rsid w:val="004B2DE3"/>
    <w:rsid w:val="004B3AD5"/>
    <w:rsid w:val="004B4315"/>
    <w:rsid w:val="004B4BC8"/>
    <w:rsid w:val="004B4E5E"/>
    <w:rsid w:val="004B514D"/>
    <w:rsid w:val="004B5C71"/>
    <w:rsid w:val="004B6C08"/>
    <w:rsid w:val="004B76AB"/>
    <w:rsid w:val="004C0E8B"/>
    <w:rsid w:val="004C1145"/>
    <w:rsid w:val="004C1FE5"/>
    <w:rsid w:val="004C6B46"/>
    <w:rsid w:val="004C7A47"/>
    <w:rsid w:val="004D2592"/>
    <w:rsid w:val="004D2632"/>
    <w:rsid w:val="004D320B"/>
    <w:rsid w:val="004D4CED"/>
    <w:rsid w:val="004D5374"/>
    <w:rsid w:val="004D7F77"/>
    <w:rsid w:val="004E125D"/>
    <w:rsid w:val="004E517B"/>
    <w:rsid w:val="004E5944"/>
    <w:rsid w:val="004E5DF0"/>
    <w:rsid w:val="004E609D"/>
    <w:rsid w:val="004E6490"/>
    <w:rsid w:val="004E69A3"/>
    <w:rsid w:val="004E7B62"/>
    <w:rsid w:val="004F1A72"/>
    <w:rsid w:val="004F1EC9"/>
    <w:rsid w:val="004F23A3"/>
    <w:rsid w:val="004F2730"/>
    <w:rsid w:val="004F5265"/>
    <w:rsid w:val="004F5268"/>
    <w:rsid w:val="004F5DD3"/>
    <w:rsid w:val="004F6201"/>
    <w:rsid w:val="005002CD"/>
    <w:rsid w:val="005056D9"/>
    <w:rsid w:val="00505CBB"/>
    <w:rsid w:val="00506D9E"/>
    <w:rsid w:val="005071A7"/>
    <w:rsid w:val="00510A6D"/>
    <w:rsid w:val="00510BCC"/>
    <w:rsid w:val="0051132F"/>
    <w:rsid w:val="00511404"/>
    <w:rsid w:val="00511BFC"/>
    <w:rsid w:val="00516BC5"/>
    <w:rsid w:val="005173D2"/>
    <w:rsid w:val="005179EC"/>
    <w:rsid w:val="00517C19"/>
    <w:rsid w:val="00520C68"/>
    <w:rsid w:val="0052110B"/>
    <w:rsid w:val="0052370A"/>
    <w:rsid w:val="00523725"/>
    <w:rsid w:val="005262CF"/>
    <w:rsid w:val="00526F44"/>
    <w:rsid w:val="00527620"/>
    <w:rsid w:val="00527F79"/>
    <w:rsid w:val="00530075"/>
    <w:rsid w:val="00531953"/>
    <w:rsid w:val="005319CF"/>
    <w:rsid w:val="00534558"/>
    <w:rsid w:val="00535039"/>
    <w:rsid w:val="00536BE7"/>
    <w:rsid w:val="00540469"/>
    <w:rsid w:val="0054169A"/>
    <w:rsid w:val="00542F15"/>
    <w:rsid w:val="0054329A"/>
    <w:rsid w:val="00544DD2"/>
    <w:rsid w:val="005469AB"/>
    <w:rsid w:val="005476B8"/>
    <w:rsid w:val="0054773A"/>
    <w:rsid w:val="005477C9"/>
    <w:rsid w:val="00547B4D"/>
    <w:rsid w:val="00550C6A"/>
    <w:rsid w:val="00550DE9"/>
    <w:rsid w:val="00551B51"/>
    <w:rsid w:val="00551CA1"/>
    <w:rsid w:val="005530E1"/>
    <w:rsid w:val="005533EE"/>
    <w:rsid w:val="00555CB9"/>
    <w:rsid w:val="005569DF"/>
    <w:rsid w:val="00556A1F"/>
    <w:rsid w:val="00556FBE"/>
    <w:rsid w:val="0056013E"/>
    <w:rsid w:val="00560179"/>
    <w:rsid w:val="00560619"/>
    <w:rsid w:val="00562AD5"/>
    <w:rsid w:val="00562D6B"/>
    <w:rsid w:val="00563EA6"/>
    <w:rsid w:val="00564704"/>
    <w:rsid w:val="005674F9"/>
    <w:rsid w:val="00571A19"/>
    <w:rsid w:val="005759D6"/>
    <w:rsid w:val="00575A23"/>
    <w:rsid w:val="00576388"/>
    <w:rsid w:val="00580576"/>
    <w:rsid w:val="0058098D"/>
    <w:rsid w:val="00580ECF"/>
    <w:rsid w:val="00580F2B"/>
    <w:rsid w:val="00582536"/>
    <w:rsid w:val="00583507"/>
    <w:rsid w:val="00583774"/>
    <w:rsid w:val="00583B35"/>
    <w:rsid w:val="00583EF3"/>
    <w:rsid w:val="005846B4"/>
    <w:rsid w:val="005901C9"/>
    <w:rsid w:val="0059155A"/>
    <w:rsid w:val="005944FB"/>
    <w:rsid w:val="00594693"/>
    <w:rsid w:val="005A087E"/>
    <w:rsid w:val="005A19B8"/>
    <w:rsid w:val="005A1E45"/>
    <w:rsid w:val="005A22AE"/>
    <w:rsid w:val="005A267C"/>
    <w:rsid w:val="005A2FA6"/>
    <w:rsid w:val="005A42B8"/>
    <w:rsid w:val="005A7590"/>
    <w:rsid w:val="005B051A"/>
    <w:rsid w:val="005B15BD"/>
    <w:rsid w:val="005B1A38"/>
    <w:rsid w:val="005B1F4C"/>
    <w:rsid w:val="005B3D08"/>
    <w:rsid w:val="005B3F02"/>
    <w:rsid w:val="005B6848"/>
    <w:rsid w:val="005B74FF"/>
    <w:rsid w:val="005B7828"/>
    <w:rsid w:val="005B7AF7"/>
    <w:rsid w:val="005C0613"/>
    <w:rsid w:val="005C3F48"/>
    <w:rsid w:val="005C57D7"/>
    <w:rsid w:val="005C6133"/>
    <w:rsid w:val="005C79BA"/>
    <w:rsid w:val="005C7BDD"/>
    <w:rsid w:val="005D0B1B"/>
    <w:rsid w:val="005D1CE3"/>
    <w:rsid w:val="005D2D59"/>
    <w:rsid w:val="005D4D06"/>
    <w:rsid w:val="005D4E8D"/>
    <w:rsid w:val="005D5C93"/>
    <w:rsid w:val="005D79F2"/>
    <w:rsid w:val="005E03E1"/>
    <w:rsid w:val="005E1553"/>
    <w:rsid w:val="005E50B3"/>
    <w:rsid w:val="005E5E4D"/>
    <w:rsid w:val="005E79F6"/>
    <w:rsid w:val="005F112E"/>
    <w:rsid w:val="005F211B"/>
    <w:rsid w:val="005F2CD3"/>
    <w:rsid w:val="005F575C"/>
    <w:rsid w:val="005F6536"/>
    <w:rsid w:val="0060145B"/>
    <w:rsid w:val="00602351"/>
    <w:rsid w:val="00605694"/>
    <w:rsid w:val="00607BDD"/>
    <w:rsid w:val="006120B6"/>
    <w:rsid w:val="00612136"/>
    <w:rsid w:val="00612492"/>
    <w:rsid w:val="0061608D"/>
    <w:rsid w:val="00616CCF"/>
    <w:rsid w:val="00616D4B"/>
    <w:rsid w:val="006170B9"/>
    <w:rsid w:val="00617BF5"/>
    <w:rsid w:val="00621E34"/>
    <w:rsid w:val="0062420E"/>
    <w:rsid w:val="00624790"/>
    <w:rsid w:val="00624885"/>
    <w:rsid w:val="00625FAB"/>
    <w:rsid w:val="00626A65"/>
    <w:rsid w:val="00627720"/>
    <w:rsid w:val="0063190B"/>
    <w:rsid w:val="00632EB9"/>
    <w:rsid w:val="006356E7"/>
    <w:rsid w:val="006360EE"/>
    <w:rsid w:val="006363B6"/>
    <w:rsid w:val="00637B9B"/>
    <w:rsid w:val="0064187A"/>
    <w:rsid w:val="00641BE8"/>
    <w:rsid w:val="00642046"/>
    <w:rsid w:val="00643349"/>
    <w:rsid w:val="00645FB8"/>
    <w:rsid w:val="006527AC"/>
    <w:rsid w:val="00652CB6"/>
    <w:rsid w:val="0065353B"/>
    <w:rsid w:val="00653A42"/>
    <w:rsid w:val="00655EC0"/>
    <w:rsid w:val="00656633"/>
    <w:rsid w:val="00656B4A"/>
    <w:rsid w:val="006572D2"/>
    <w:rsid w:val="00657FE2"/>
    <w:rsid w:val="00660188"/>
    <w:rsid w:val="00660C8D"/>
    <w:rsid w:val="00660D37"/>
    <w:rsid w:val="00662F13"/>
    <w:rsid w:val="006640C7"/>
    <w:rsid w:val="006642A5"/>
    <w:rsid w:val="006648A3"/>
    <w:rsid w:val="00664962"/>
    <w:rsid w:val="00665448"/>
    <w:rsid w:val="006656DB"/>
    <w:rsid w:val="00665707"/>
    <w:rsid w:val="006663B8"/>
    <w:rsid w:val="006671E6"/>
    <w:rsid w:val="006704B8"/>
    <w:rsid w:val="00670514"/>
    <w:rsid w:val="00671A30"/>
    <w:rsid w:val="00674312"/>
    <w:rsid w:val="00674B4F"/>
    <w:rsid w:val="00674BAF"/>
    <w:rsid w:val="00675484"/>
    <w:rsid w:val="006756C7"/>
    <w:rsid w:val="00676F98"/>
    <w:rsid w:val="006775FF"/>
    <w:rsid w:val="0068009C"/>
    <w:rsid w:val="00680810"/>
    <w:rsid w:val="00681A80"/>
    <w:rsid w:val="00682DE1"/>
    <w:rsid w:val="006868C2"/>
    <w:rsid w:val="00686DE0"/>
    <w:rsid w:val="00690E56"/>
    <w:rsid w:val="00691014"/>
    <w:rsid w:val="00692F1D"/>
    <w:rsid w:val="00693117"/>
    <w:rsid w:val="00694651"/>
    <w:rsid w:val="00694BAF"/>
    <w:rsid w:val="006963ED"/>
    <w:rsid w:val="006A002F"/>
    <w:rsid w:val="006A16DF"/>
    <w:rsid w:val="006A1FB5"/>
    <w:rsid w:val="006A20E6"/>
    <w:rsid w:val="006A29E5"/>
    <w:rsid w:val="006A33F4"/>
    <w:rsid w:val="006A4C9A"/>
    <w:rsid w:val="006A616B"/>
    <w:rsid w:val="006B09FE"/>
    <w:rsid w:val="006B2111"/>
    <w:rsid w:val="006B2A39"/>
    <w:rsid w:val="006B2A51"/>
    <w:rsid w:val="006B640A"/>
    <w:rsid w:val="006C0B2B"/>
    <w:rsid w:val="006C2099"/>
    <w:rsid w:val="006C2514"/>
    <w:rsid w:val="006C30E1"/>
    <w:rsid w:val="006C37E3"/>
    <w:rsid w:val="006C6DDD"/>
    <w:rsid w:val="006D0355"/>
    <w:rsid w:val="006D10EF"/>
    <w:rsid w:val="006D17BF"/>
    <w:rsid w:val="006D1B1C"/>
    <w:rsid w:val="006D2275"/>
    <w:rsid w:val="006D2609"/>
    <w:rsid w:val="006D3BE2"/>
    <w:rsid w:val="006D3E66"/>
    <w:rsid w:val="006D4D67"/>
    <w:rsid w:val="006D5988"/>
    <w:rsid w:val="006D6B47"/>
    <w:rsid w:val="006E053D"/>
    <w:rsid w:val="006E0941"/>
    <w:rsid w:val="006E10AC"/>
    <w:rsid w:val="006E145C"/>
    <w:rsid w:val="006E3B97"/>
    <w:rsid w:val="006F02C2"/>
    <w:rsid w:val="006F053B"/>
    <w:rsid w:val="006F1AAF"/>
    <w:rsid w:val="006F2547"/>
    <w:rsid w:val="006F2811"/>
    <w:rsid w:val="006F4B50"/>
    <w:rsid w:val="006F78D8"/>
    <w:rsid w:val="0070041D"/>
    <w:rsid w:val="007004E3"/>
    <w:rsid w:val="00702604"/>
    <w:rsid w:val="00702D8B"/>
    <w:rsid w:val="00703740"/>
    <w:rsid w:val="007037CD"/>
    <w:rsid w:val="00703BE2"/>
    <w:rsid w:val="00704728"/>
    <w:rsid w:val="00704955"/>
    <w:rsid w:val="00706648"/>
    <w:rsid w:val="00707FA3"/>
    <w:rsid w:val="0071055A"/>
    <w:rsid w:val="00710C7A"/>
    <w:rsid w:val="00712279"/>
    <w:rsid w:val="0071344F"/>
    <w:rsid w:val="00714F9F"/>
    <w:rsid w:val="00717815"/>
    <w:rsid w:val="00721C91"/>
    <w:rsid w:val="00722290"/>
    <w:rsid w:val="00724D98"/>
    <w:rsid w:val="00725131"/>
    <w:rsid w:val="00725FB4"/>
    <w:rsid w:val="00727217"/>
    <w:rsid w:val="007277B6"/>
    <w:rsid w:val="00727B88"/>
    <w:rsid w:val="00730C6B"/>
    <w:rsid w:val="00733489"/>
    <w:rsid w:val="00734B3D"/>
    <w:rsid w:val="007358EA"/>
    <w:rsid w:val="0073660E"/>
    <w:rsid w:val="007366AD"/>
    <w:rsid w:val="00737BDE"/>
    <w:rsid w:val="007407A1"/>
    <w:rsid w:val="007418CA"/>
    <w:rsid w:val="00742252"/>
    <w:rsid w:val="00743712"/>
    <w:rsid w:val="00744229"/>
    <w:rsid w:val="00746654"/>
    <w:rsid w:val="00746842"/>
    <w:rsid w:val="00746C9E"/>
    <w:rsid w:val="00754ABD"/>
    <w:rsid w:val="007555FD"/>
    <w:rsid w:val="007573AA"/>
    <w:rsid w:val="00757851"/>
    <w:rsid w:val="00760078"/>
    <w:rsid w:val="00762CB3"/>
    <w:rsid w:val="00763922"/>
    <w:rsid w:val="007652A3"/>
    <w:rsid w:val="007657AA"/>
    <w:rsid w:val="00765FF0"/>
    <w:rsid w:val="00766D5C"/>
    <w:rsid w:val="007675F4"/>
    <w:rsid w:val="00767B1C"/>
    <w:rsid w:val="007710FC"/>
    <w:rsid w:val="00772F59"/>
    <w:rsid w:val="00773CB5"/>
    <w:rsid w:val="00774AEF"/>
    <w:rsid w:val="00775351"/>
    <w:rsid w:val="007754A0"/>
    <w:rsid w:val="00775542"/>
    <w:rsid w:val="0077798C"/>
    <w:rsid w:val="007801D9"/>
    <w:rsid w:val="0078176C"/>
    <w:rsid w:val="007826DB"/>
    <w:rsid w:val="0078556A"/>
    <w:rsid w:val="0078661A"/>
    <w:rsid w:val="00786A93"/>
    <w:rsid w:val="00787C34"/>
    <w:rsid w:val="00790A2D"/>
    <w:rsid w:val="00790CC7"/>
    <w:rsid w:val="0079105F"/>
    <w:rsid w:val="00792A6C"/>
    <w:rsid w:val="007932B5"/>
    <w:rsid w:val="0079742C"/>
    <w:rsid w:val="00797DB5"/>
    <w:rsid w:val="007A10AF"/>
    <w:rsid w:val="007A23D8"/>
    <w:rsid w:val="007A35C1"/>
    <w:rsid w:val="007B156D"/>
    <w:rsid w:val="007B198E"/>
    <w:rsid w:val="007B2036"/>
    <w:rsid w:val="007B23D4"/>
    <w:rsid w:val="007B462D"/>
    <w:rsid w:val="007B6E32"/>
    <w:rsid w:val="007B7E3B"/>
    <w:rsid w:val="007C010B"/>
    <w:rsid w:val="007C018C"/>
    <w:rsid w:val="007C08D1"/>
    <w:rsid w:val="007C14CF"/>
    <w:rsid w:val="007C2A63"/>
    <w:rsid w:val="007C3903"/>
    <w:rsid w:val="007C3A13"/>
    <w:rsid w:val="007C3DD5"/>
    <w:rsid w:val="007C4A49"/>
    <w:rsid w:val="007C5F92"/>
    <w:rsid w:val="007C63DE"/>
    <w:rsid w:val="007C6944"/>
    <w:rsid w:val="007C7F06"/>
    <w:rsid w:val="007D13B1"/>
    <w:rsid w:val="007D23A2"/>
    <w:rsid w:val="007D34A9"/>
    <w:rsid w:val="007D42BC"/>
    <w:rsid w:val="007D4800"/>
    <w:rsid w:val="007D5944"/>
    <w:rsid w:val="007D5C48"/>
    <w:rsid w:val="007E2339"/>
    <w:rsid w:val="007E288E"/>
    <w:rsid w:val="007E2F58"/>
    <w:rsid w:val="007E4322"/>
    <w:rsid w:val="007E4803"/>
    <w:rsid w:val="007E4E23"/>
    <w:rsid w:val="007E4F0C"/>
    <w:rsid w:val="007E563D"/>
    <w:rsid w:val="007E6EDF"/>
    <w:rsid w:val="007E7F55"/>
    <w:rsid w:val="007F0B8C"/>
    <w:rsid w:val="007F1C33"/>
    <w:rsid w:val="007F424D"/>
    <w:rsid w:val="007F4D31"/>
    <w:rsid w:val="007F5123"/>
    <w:rsid w:val="007F56BE"/>
    <w:rsid w:val="007F5C52"/>
    <w:rsid w:val="007F63E8"/>
    <w:rsid w:val="00800032"/>
    <w:rsid w:val="008007E6"/>
    <w:rsid w:val="00801106"/>
    <w:rsid w:val="00801201"/>
    <w:rsid w:val="008026A0"/>
    <w:rsid w:val="008041E3"/>
    <w:rsid w:val="00804B50"/>
    <w:rsid w:val="008057AE"/>
    <w:rsid w:val="00805D30"/>
    <w:rsid w:val="00806055"/>
    <w:rsid w:val="00810AA8"/>
    <w:rsid w:val="00810B42"/>
    <w:rsid w:val="00811693"/>
    <w:rsid w:val="00811D15"/>
    <w:rsid w:val="00813EA8"/>
    <w:rsid w:val="00815411"/>
    <w:rsid w:val="00821609"/>
    <w:rsid w:val="00821738"/>
    <w:rsid w:val="00822265"/>
    <w:rsid w:val="00822AF2"/>
    <w:rsid w:val="00822D55"/>
    <w:rsid w:val="0082302A"/>
    <w:rsid w:val="0082469B"/>
    <w:rsid w:val="00825935"/>
    <w:rsid w:val="00827068"/>
    <w:rsid w:val="008279A7"/>
    <w:rsid w:val="00827A7F"/>
    <w:rsid w:val="00830EFE"/>
    <w:rsid w:val="00832491"/>
    <w:rsid w:val="00833437"/>
    <w:rsid w:val="00837041"/>
    <w:rsid w:val="008438E7"/>
    <w:rsid w:val="00844A02"/>
    <w:rsid w:val="00845710"/>
    <w:rsid w:val="008457D0"/>
    <w:rsid w:val="00850957"/>
    <w:rsid w:val="008517AD"/>
    <w:rsid w:val="008520F8"/>
    <w:rsid w:val="00852EB3"/>
    <w:rsid w:val="0085360C"/>
    <w:rsid w:val="00853E38"/>
    <w:rsid w:val="00854F25"/>
    <w:rsid w:val="00855F71"/>
    <w:rsid w:val="00857F27"/>
    <w:rsid w:val="008628EE"/>
    <w:rsid w:val="00863653"/>
    <w:rsid w:val="00863C7A"/>
    <w:rsid w:val="00865606"/>
    <w:rsid w:val="00866A6C"/>
    <w:rsid w:val="00866AB5"/>
    <w:rsid w:val="00866B89"/>
    <w:rsid w:val="0086700A"/>
    <w:rsid w:val="008677C4"/>
    <w:rsid w:val="00870847"/>
    <w:rsid w:val="00870C01"/>
    <w:rsid w:val="00871E9E"/>
    <w:rsid w:val="008720A2"/>
    <w:rsid w:val="00873153"/>
    <w:rsid w:val="0087608B"/>
    <w:rsid w:val="008768AB"/>
    <w:rsid w:val="00876AA8"/>
    <w:rsid w:val="008808FD"/>
    <w:rsid w:val="008819CE"/>
    <w:rsid w:val="00881E85"/>
    <w:rsid w:val="008831F0"/>
    <w:rsid w:val="00883674"/>
    <w:rsid w:val="00883EB1"/>
    <w:rsid w:val="00884667"/>
    <w:rsid w:val="00886CD5"/>
    <w:rsid w:val="0089060D"/>
    <w:rsid w:val="00891033"/>
    <w:rsid w:val="008922BA"/>
    <w:rsid w:val="00897192"/>
    <w:rsid w:val="008972A1"/>
    <w:rsid w:val="008A26DA"/>
    <w:rsid w:val="008A2C3E"/>
    <w:rsid w:val="008A3A66"/>
    <w:rsid w:val="008A6FF4"/>
    <w:rsid w:val="008B365B"/>
    <w:rsid w:val="008B4FDE"/>
    <w:rsid w:val="008C02BE"/>
    <w:rsid w:val="008C1396"/>
    <w:rsid w:val="008C27F6"/>
    <w:rsid w:val="008C2830"/>
    <w:rsid w:val="008C3330"/>
    <w:rsid w:val="008C3AB4"/>
    <w:rsid w:val="008C4A7D"/>
    <w:rsid w:val="008C72D1"/>
    <w:rsid w:val="008C7F9C"/>
    <w:rsid w:val="008D257B"/>
    <w:rsid w:val="008D25E5"/>
    <w:rsid w:val="008D3175"/>
    <w:rsid w:val="008D33D6"/>
    <w:rsid w:val="008D58E3"/>
    <w:rsid w:val="008D705C"/>
    <w:rsid w:val="008E100D"/>
    <w:rsid w:val="008E1AA3"/>
    <w:rsid w:val="008E2623"/>
    <w:rsid w:val="008E2AD7"/>
    <w:rsid w:val="008E5153"/>
    <w:rsid w:val="008E5617"/>
    <w:rsid w:val="008E6C4D"/>
    <w:rsid w:val="008E7218"/>
    <w:rsid w:val="008F0087"/>
    <w:rsid w:val="008F041A"/>
    <w:rsid w:val="008F06B9"/>
    <w:rsid w:val="008F110F"/>
    <w:rsid w:val="008F1B19"/>
    <w:rsid w:val="008F1F04"/>
    <w:rsid w:val="008F27E7"/>
    <w:rsid w:val="008F49DD"/>
    <w:rsid w:val="008F7E9E"/>
    <w:rsid w:val="009016AE"/>
    <w:rsid w:val="00902512"/>
    <w:rsid w:val="00902808"/>
    <w:rsid w:val="009030AA"/>
    <w:rsid w:val="0090329F"/>
    <w:rsid w:val="009049A3"/>
    <w:rsid w:val="00906CCB"/>
    <w:rsid w:val="00907FA9"/>
    <w:rsid w:val="00911F29"/>
    <w:rsid w:val="00914CDD"/>
    <w:rsid w:val="0091537A"/>
    <w:rsid w:val="0091586E"/>
    <w:rsid w:val="00915FB6"/>
    <w:rsid w:val="0091663B"/>
    <w:rsid w:val="00917B14"/>
    <w:rsid w:val="00917FAC"/>
    <w:rsid w:val="00922AF8"/>
    <w:rsid w:val="0092323C"/>
    <w:rsid w:val="0092490B"/>
    <w:rsid w:val="00925738"/>
    <w:rsid w:val="00927191"/>
    <w:rsid w:val="0093306C"/>
    <w:rsid w:val="0093339D"/>
    <w:rsid w:val="0093437E"/>
    <w:rsid w:val="009352E0"/>
    <w:rsid w:val="009355AF"/>
    <w:rsid w:val="00935D4C"/>
    <w:rsid w:val="0093721E"/>
    <w:rsid w:val="0094027C"/>
    <w:rsid w:val="009419F2"/>
    <w:rsid w:val="00943330"/>
    <w:rsid w:val="00943933"/>
    <w:rsid w:val="00943FB5"/>
    <w:rsid w:val="00944206"/>
    <w:rsid w:val="00944F6B"/>
    <w:rsid w:val="00945291"/>
    <w:rsid w:val="009455F1"/>
    <w:rsid w:val="0094683F"/>
    <w:rsid w:val="009514A8"/>
    <w:rsid w:val="009524B6"/>
    <w:rsid w:val="00955549"/>
    <w:rsid w:val="00957115"/>
    <w:rsid w:val="00960C02"/>
    <w:rsid w:val="00961516"/>
    <w:rsid w:val="009640C3"/>
    <w:rsid w:val="00964192"/>
    <w:rsid w:val="0096465F"/>
    <w:rsid w:val="0096476B"/>
    <w:rsid w:val="009657D2"/>
    <w:rsid w:val="00965E39"/>
    <w:rsid w:val="00967960"/>
    <w:rsid w:val="00970769"/>
    <w:rsid w:val="00971193"/>
    <w:rsid w:val="009721AA"/>
    <w:rsid w:val="0097425E"/>
    <w:rsid w:val="00974A42"/>
    <w:rsid w:val="009863FA"/>
    <w:rsid w:val="00986621"/>
    <w:rsid w:val="009869AB"/>
    <w:rsid w:val="009869B7"/>
    <w:rsid w:val="00987202"/>
    <w:rsid w:val="00990EC3"/>
    <w:rsid w:val="0099105D"/>
    <w:rsid w:val="00991B31"/>
    <w:rsid w:val="009936FA"/>
    <w:rsid w:val="00993EBC"/>
    <w:rsid w:val="00994C5B"/>
    <w:rsid w:val="00997D55"/>
    <w:rsid w:val="009A1AA7"/>
    <w:rsid w:val="009A1EBA"/>
    <w:rsid w:val="009A2360"/>
    <w:rsid w:val="009A516D"/>
    <w:rsid w:val="009A5771"/>
    <w:rsid w:val="009A586C"/>
    <w:rsid w:val="009A5957"/>
    <w:rsid w:val="009A6405"/>
    <w:rsid w:val="009A7DF0"/>
    <w:rsid w:val="009B34A2"/>
    <w:rsid w:val="009B3925"/>
    <w:rsid w:val="009B41E6"/>
    <w:rsid w:val="009B49F5"/>
    <w:rsid w:val="009B77A7"/>
    <w:rsid w:val="009B7954"/>
    <w:rsid w:val="009C0BFB"/>
    <w:rsid w:val="009C16BF"/>
    <w:rsid w:val="009C384A"/>
    <w:rsid w:val="009C3C41"/>
    <w:rsid w:val="009C779F"/>
    <w:rsid w:val="009D0008"/>
    <w:rsid w:val="009D0068"/>
    <w:rsid w:val="009D043E"/>
    <w:rsid w:val="009D1848"/>
    <w:rsid w:val="009D211E"/>
    <w:rsid w:val="009D2FA1"/>
    <w:rsid w:val="009D4FE4"/>
    <w:rsid w:val="009D5594"/>
    <w:rsid w:val="009E14AE"/>
    <w:rsid w:val="009E437C"/>
    <w:rsid w:val="009E50E4"/>
    <w:rsid w:val="009E5267"/>
    <w:rsid w:val="009E593D"/>
    <w:rsid w:val="009E66C0"/>
    <w:rsid w:val="009E79D5"/>
    <w:rsid w:val="009F1286"/>
    <w:rsid w:val="009F321A"/>
    <w:rsid w:val="009F3AC6"/>
    <w:rsid w:val="009F4071"/>
    <w:rsid w:val="009F4735"/>
    <w:rsid w:val="009F4ED9"/>
    <w:rsid w:val="009F551F"/>
    <w:rsid w:val="009F5668"/>
    <w:rsid w:val="009F687A"/>
    <w:rsid w:val="009F6CDA"/>
    <w:rsid w:val="00A00AC3"/>
    <w:rsid w:val="00A02688"/>
    <w:rsid w:val="00A027F2"/>
    <w:rsid w:val="00A03321"/>
    <w:rsid w:val="00A03942"/>
    <w:rsid w:val="00A03990"/>
    <w:rsid w:val="00A0535B"/>
    <w:rsid w:val="00A105A3"/>
    <w:rsid w:val="00A13237"/>
    <w:rsid w:val="00A15CD5"/>
    <w:rsid w:val="00A2196E"/>
    <w:rsid w:val="00A23D70"/>
    <w:rsid w:val="00A27D71"/>
    <w:rsid w:val="00A30907"/>
    <w:rsid w:val="00A32419"/>
    <w:rsid w:val="00A325C1"/>
    <w:rsid w:val="00A33238"/>
    <w:rsid w:val="00A3372E"/>
    <w:rsid w:val="00A35285"/>
    <w:rsid w:val="00A35E4C"/>
    <w:rsid w:val="00A361C5"/>
    <w:rsid w:val="00A372E0"/>
    <w:rsid w:val="00A37804"/>
    <w:rsid w:val="00A404DE"/>
    <w:rsid w:val="00A409E7"/>
    <w:rsid w:val="00A4142C"/>
    <w:rsid w:val="00A418CC"/>
    <w:rsid w:val="00A41E45"/>
    <w:rsid w:val="00A4400B"/>
    <w:rsid w:val="00A44199"/>
    <w:rsid w:val="00A4738B"/>
    <w:rsid w:val="00A47A07"/>
    <w:rsid w:val="00A520A8"/>
    <w:rsid w:val="00A533B4"/>
    <w:rsid w:val="00A55525"/>
    <w:rsid w:val="00A55956"/>
    <w:rsid w:val="00A5635E"/>
    <w:rsid w:val="00A600ED"/>
    <w:rsid w:val="00A61028"/>
    <w:rsid w:val="00A613BB"/>
    <w:rsid w:val="00A62DE2"/>
    <w:rsid w:val="00A63276"/>
    <w:rsid w:val="00A64944"/>
    <w:rsid w:val="00A6551A"/>
    <w:rsid w:val="00A66606"/>
    <w:rsid w:val="00A7018D"/>
    <w:rsid w:val="00A7112B"/>
    <w:rsid w:val="00A71474"/>
    <w:rsid w:val="00A738DE"/>
    <w:rsid w:val="00A73AB2"/>
    <w:rsid w:val="00A75524"/>
    <w:rsid w:val="00A76D16"/>
    <w:rsid w:val="00A77A25"/>
    <w:rsid w:val="00A831F6"/>
    <w:rsid w:val="00A8438A"/>
    <w:rsid w:val="00A84C37"/>
    <w:rsid w:val="00A84CD6"/>
    <w:rsid w:val="00A87CE4"/>
    <w:rsid w:val="00A91A25"/>
    <w:rsid w:val="00A927CE"/>
    <w:rsid w:val="00A95C8C"/>
    <w:rsid w:val="00A961DF"/>
    <w:rsid w:val="00A96716"/>
    <w:rsid w:val="00A96A7F"/>
    <w:rsid w:val="00A97BB1"/>
    <w:rsid w:val="00AA0C07"/>
    <w:rsid w:val="00AA3F11"/>
    <w:rsid w:val="00AA5544"/>
    <w:rsid w:val="00AA56D7"/>
    <w:rsid w:val="00AA6330"/>
    <w:rsid w:val="00AA6B14"/>
    <w:rsid w:val="00AB0871"/>
    <w:rsid w:val="00AB16B5"/>
    <w:rsid w:val="00AB22D7"/>
    <w:rsid w:val="00AB22E8"/>
    <w:rsid w:val="00AB7DA1"/>
    <w:rsid w:val="00AC0627"/>
    <w:rsid w:val="00AC0646"/>
    <w:rsid w:val="00AC0F57"/>
    <w:rsid w:val="00AC1643"/>
    <w:rsid w:val="00AC2DE9"/>
    <w:rsid w:val="00AC3781"/>
    <w:rsid w:val="00AC66BB"/>
    <w:rsid w:val="00AC6E66"/>
    <w:rsid w:val="00AC7118"/>
    <w:rsid w:val="00AC7941"/>
    <w:rsid w:val="00AD0D4F"/>
    <w:rsid w:val="00AD338E"/>
    <w:rsid w:val="00AD3F0B"/>
    <w:rsid w:val="00AD5F83"/>
    <w:rsid w:val="00AD6D16"/>
    <w:rsid w:val="00AD7999"/>
    <w:rsid w:val="00AD7DC6"/>
    <w:rsid w:val="00AE0FAE"/>
    <w:rsid w:val="00AE38C0"/>
    <w:rsid w:val="00AE7249"/>
    <w:rsid w:val="00AE7327"/>
    <w:rsid w:val="00AE76F5"/>
    <w:rsid w:val="00AF0FA4"/>
    <w:rsid w:val="00AF2B74"/>
    <w:rsid w:val="00AF2FB7"/>
    <w:rsid w:val="00AF3442"/>
    <w:rsid w:val="00AF4EDA"/>
    <w:rsid w:val="00AF640D"/>
    <w:rsid w:val="00AF6567"/>
    <w:rsid w:val="00AF6F9A"/>
    <w:rsid w:val="00AF71FA"/>
    <w:rsid w:val="00AF74D0"/>
    <w:rsid w:val="00AF7C93"/>
    <w:rsid w:val="00B0280F"/>
    <w:rsid w:val="00B04661"/>
    <w:rsid w:val="00B05558"/>
    <w:rsid w:val="00B057F1"/>
    <w:rsid w:val="00B060DE"/>
    <w:rsid w:val="00B10F5E"/>
    <w:rsid w:val="00B13180"/>
    <w:rsid w:val="00B13FFF"/>
    <w:rsid w:val="00B165B3"/>
    <w:rsid w:val="00B16A7B"/>
    <w:rsid w:val="00B209E5"/>
    <w:rsid w:val="00B21451"/>
    <w:rsid w:val="00B223CE"/>
    <w:rsid w:val="00B22723"/>
    <w:rsid w:val="00B234E0"/>
    <w:rsid w:val="00B249FA"/>
    <w:rsid w:val="00B25128"/>
    <w:rsid w:val="00B25DDE"/>
    <w:rsid w:val="00B27358"/>
    <w:rsid w:val="00B27C6D"/>
    <w:rsid w:val="00B27D1B"/>
    <w:rsid w:val="00B33901"/>
    <w:rsid w:val="00B35D70"/>
    <w:rsid w:val="00B367FC"/>
    <w:rsid w:val="00B3726C"/>
    <w:rsid w:val="00B401B6"/>
    <w:rsid w:val="00B4315B"/>
    <w:rsid w:val="00B4371F"/>
    <w:rsid w:val="00B43F03"/>
    <w:rsid w:val="00B47EBC"/>
    <w:rsid w:val="00B51C58"/>
    <w:rsid w:val="00B52DE5"/>
    <w:rsid w:val="00B54ECC"/>
    <w:rsid w:val="00B551AE"/>
    <w:rsid w:val="00B55286"/>
    <w:rsid w:val="00B553BD"/>
    <w:rsid w:val="00B5715E"/>
    <w:rsid w:val="00B57A2E"/>
    <w:rsid w:val="00B6216C"/>
    <w:rsid w:val="00B6439F"/>
    <w:rsid w:val="00B701D1"/>
    <w:rsid w:val="00B72136"/>
    <w:rsid w:val="00B744B9"/>
    <w:rsid w:val="00B81D86"/>
    <w:rsid w:val="00B8224A"/>
    <w:rsid w:val="00B828A5"/>
    <w:rsid w:val="00B8401D"/>
    <w:rsid w:val="00B84098"/>
    <w:rsid w:val="00B84CBD"/>
    <w:rsid w:val="00B84DE6"/>
    <w:rsid w:val="00B854DB"/>
    <w:rsid w:val="00B8720D"/>
    <w:rsid w:val="00B872A0"/>
    <w:rsid w:val="00B8738F"/>
    <w:rsid w:val="00B879A1"/>
    <w:rsid w:val="00B87E8A"/>
    <w:rsid w:val="00B90241"/>
    <w:rsid w:val="00B91966"/>
    <w:rsid w:val="00B97B72"/>
    <w:rsid w:val="00B97D14"/>
    <w:rsid w:val="00BA0659"/>
    <w:rsid w:val="00BA113A"/>
    <w:rsid w:val="00BA1DE9"/>
    <w:rsid w:val="00BA24D3"/>
    <w:rsid w:val="00BA5798"/>
    <w:rsid w:val="00BB12A6"/>
    <w:rsid w:val="00BB207A"/>
    <w:rsid w:val="00BB2680"/>
    <w:rsid w:val="00BB58A4"/>
    <w:rsid w:val="00BB6E5D"/>
    <w:rsid w:val="00BC09C0"/>
    <w:rsid w:val="00BC0F3D"/>
    <w:rsid w:val="00BC2672"/>
    <w:rsid w:val="00BC6ED9"/>
    <w:rsid w:val="00BD0DA6"/>
    <w:rsid w:val="00BD1AA7"/>
    <w:rsid w:val="00BD51F8"/>
    <w:rsid w:val="00BD522D"/>
    <w:rsid w:val="00BD5CC5"/>
    <w:rsid w:val="00BE06E8"/>
    <w:rsid w:val="00BE0D21"/>
    <w:rsid w:val="00BE15B1"/>
    <w:rsid w:val="00BE1994"/>
    <w:rsid w:val="00BE19D8"/>
    <w:rsid w:val="00BE29B7"/>
    <w:rsid w:val="00BE3400"/>
    <w:rsid w:val="00BE5FF3"/>
    <w:rsid w:val="00BE61E2"/>
    <w:rsid w:val="00BE6526"/>
    <w:rsid w:val="00BE7D6F"/>
    <w:rsid w:val="00BF1BBD"/>
    <w:rsid w:val="00BF2197"/>
    <w:rsid w:val="00BF3207"/>
    <w:rsid w:val="00BF3292"/>
    <w:rsid w:val="00BF496D"/>
    <w:rsid w:val="00BF4A1C"/>
    <w:rsid w:val="00BF5F76"/>
    <w:rsid w:val="00C009B8"/>
    <w:rsid w:val="00C01BBA"/>
    <w:rsid w:val="00C01C0E"/>
    <w:rsid w:val="00C02C8C"/>
    <w:rsid w:val="00C05918"/>
    <w:rsid w:val="00C0686A"/>
    <w:rsid w:val="00C073E6"/>
    <w:rsid w:val="00C07639"/>
    <w:rsid w:val="00C10DD8"/>
    <w:rsid w:val="00C12B07"/>
    <w:rsid w:val="00C2066A"/>
    <w:rsid w:val="00C209AA"/>
    <w:rsid w:val="00C20D05"/>
    <w:rsid w:val="00C22FF0"/>
    <w:rsid w:val="00C24031"/>
    <w:rsid w:val="00C241DA"/>
    <w:rsid w:val="00C24212"/>
    <w:rsid w:val="00C250AB"/>
    <w:rsid w:val="00C26C16"/>
    <w:rsid w:val="00C31253"/>
    <w:rsid w:val="00C31E85"/>
    <w:rsid w:val="00C335FB"/>
    <w:rsid w:val="00C35FA4"/>
    <w:rsid w:val="00C3793D"/>
    <w:rsid w:val="00C40DB5"/>
    <w:rsid w:val="00C441B1"/>
    <w:rsid w:val="00C44295"/>
    <w:rsid w:val="00C44302"/>
    <w:rsid w:val="00C44A22"/>
    <w:rsid w:val="00C44E84"/>
    <w:rsid w:val="00C47FA3"/>
    <w:rsid w:val="00C51916"/>
    <w:rsid w:val="00C51B31"/>
    <w:rsid w:val="00C51BDE"/>
    <w:rsid w:val="00C522D7"/>
    <w:rsid w:val="00C53330"/>
    <w:rsid w:val="00C557B4"/>
    <w:rsid w:val="00C559B4"/>
    <w:rsid w:val="00C56ED2"/>
    <w:rsid w:val="00C631AC"/>
    <w:rsid w:val="00C649BA"/>
    <w:rsid w:val="00C709A8"/>
    <w:rsid w:val="00C70DFD"/>
    <w:rsid w:val="00C715E8"/>
    <w:rsid w:val="00C72D6E"/>
    <w:rsid w:val="00C732EC"/>
    <w:rsid w:val="00C739C1"/>
    <w:rsid w:val="00C73EB0"/>
    <w:rsid w:val="00C76B6E"/>
    <w:rsid w:val="00C77504"/>
    <w:rsid w:val="00C82593"/>
    <w:rsid w:val="00C83623"/>
    <w:rsid w:val="00C86C4B"/>
    <w:rsid w:val="00C87B0B"/>
    <w:rsid w:val="00C90166"/>
    <w:rsid w:val="00C90A01"/>
    <w:rsid w:val="00C910CB"/>
    <w:rsid w:val="00C93225"/>
    <w:rsid w:val="00C94300"/>
    <w:rsid w:val="00C9485E"/>
    <w:rsid w:val="00C9746F"/>
    <w:rsid w:val="00CA11F1"/>
    <w:rsid w:val="00CA12F5"/>
    <w:rsid w:val="00CA2645"/>
    <w:rsid w:val="00CA367C"/>
    <w:rsid w:val="00CA390B"/>
    <w:rsid w:val="00CA53EF"/>
    <w:rsid w:val="00CA6139"/>
    <w:rsid w:val="00CA6322"/>
    <w:rsid w:val="00CA7B5F"/>
    <w:rsid w:val="00CB11E5"/>
    <w:rsid w:val="00CB12B0"/>
    <w:rsid w:val="00CB1C44"/>
    <w:rsid w:val="00CB2917"/>
    <w:rsid w:val="00CB2E08"/>
    <w:rsid w:val="00CB7402"/>
    <w:rsid w:val="00CC03C5"/>
    <w:rsid w:val="00CC0CFC"/>
    <w:rsid w:val="00CC20B0"/>
    <w:rsid w:val="00CC26CB"/>
    <w:rsid w:val="00CC3CF0"/>
    <w:rsid w:val="00CC48C0"/>
    <w:rsid w:val="00CC6D47"/>
    <w:rsid w:val="00CC77EA"/>
    <w:rsid w:val="00CD3539"/>
    <w:rsid w:val="00CD382F"/>
    <w:rsid w:val="00CD5DEE"/>
    <w:rsid w:val="00CD5FD9"/>
    <w:rsid w:val="00CD6F30"/>
    <w:rsid w:val="00CD7EC1"/>
    <w:rsid w:val="00CD7F51"/>
    <w:rsid w:val="00CE0854"/>
    <w:rsid w:val="00CE23BE"/>
    <w:rsid w:val="00CE270E"/>
    <w:rsid w:val="00CE4D6F"/>
    <w:rsid w:val="00CE4E1E"/>
    <w:rsid w:val="00CF25D0"/>
    <w:rsid w:val="00CF32EC"/>
    <w:rsid w:val="00CF33AC"/>
    <w:rsid w:val="00CF4752"/>
    <w:rsid w:val="00CF65C5"/>
    <w:rsid w:val="00CF6F02"/>
    <w:rsid w:val="00CF6FC2"/>
    <w:rsid w:val="00D00F6D"/>
    <w:rsid w:val="00D04C8C"/>
    <w:rsid w:val="00D051F0"/>
    <w:rsid w:val="00D109B1"/>
    <w:rsid w:val="00D1150B"/>
    <w:rsid w:val="00D1311B"/>
    <w:rsid w:val="00D13DA8"/>
    <w:rsid w:val="00D143B7"/>
    <w:rsid w:val="00D16453"/>
    <w:rsid w:val="00D1720F"/>
    <w:rsid w:val="00D1757C"/>
    <w:rsid w:val="00D218B5"/>
    <w:rsid w:val="00D258DD"/>
    <w:rsid w:val="00D27FD4"/>
    <w:rsid w:val="00D301DC"/>
    <w:rsid w:val="00D305CC"/>
    <w:rsid w:val="00D31889"/>
    <w:rsid w:val="00D332D2"/>
    <w:rsid w:val="00D33B7F"/>
    <w:rsid w:val="00D35D9D"/>
    <w:rsid w:val="00D37480"/>
    <w:rsid w:val="00D40A51"/>
    <w:rsid w:val="00D410FC"/>
    <w:rsid w:val="00D43CDB"/>
    <w:rsid w:val="00D43F20"/>
    <w:rsid w:val="00D44204"/>
    <w:rsid w:val="00D445FD"/>
    <w:rsid w:val="00D447C6"/>
    <w:rsid w:val="00D44B86"/>
    <w:rsid w:val="00D45ADD"/>
    <w:rsid w:val="00D45D2A"/>
    <w:rsid w:val="00D47168"/>
    <w:rsid w:val="00D50154"/>
    <w:rsid w:val="00D5128F"/>
    <w:rsid w:val="00D53906"/>
    <w:rsid w:val="00D53D56"/>
    <w:rsid w:val="00D54825"/>
    <w:rsid w:val="00D5581E"/>
    <w:rsid w:val="00D55F5B"/>
    <w:rsid w:val="00D56D2A"/>
    <w:rsid w:val="00D57113"/>
    <w:rsid w:val="00D571CC"/>
    <w:rsid w:val="00D60048"/>
    <w:rsid w:val="00D60A35"/>
    <w:rsid w:val="00D64313"/>
    <w:rsid w:val="00D64D30"/>
    <w:rsid w:val="00D65075"/>
    <w:rsid w:val="00D652DF"/>
    <w:rsid w:val="00D66390"/>
    <w:rsid w:val="00D66787"/>
    <w:rsid w:val="00D66F0D"/>
    <w:rsid w:val="00D70F50"/>
    <w:rsid w:val="00D71100"/>
    <w:rsid w:val="00D723F7"/>
    <w:rsid w:val="00D72616"/>
    <w:rsid w:val="00D745EC"/>
    <w:rsid w:val="00D750F4"/>
    <w:rsid w:val="00D75485"/>
    <w:rsid w:val="00D81D66"/>
    <w:rsid w:val="00D87991"/>
    <w:rsid w:val="00D92AF7"/>
    <w:rsid w:val="00D92DF0"/>
    <w:rsid w:val="00D93552"/>
    <w:rsid w:val="00D94878"/>
    <w:rsid w:val="00D94E3C"/>
    <w:rsid w:val="00D94F77"/>
    <w:rsid w:val="00D950BD"/>
    <w:rsid w:val="00D96285"/>
    <w:rsid w:val="00DA1AB0"/>
    <w:rsid w:val="00DA1E1D"/>
    <w:rsid w:val="00DA689A"/>
    <w:rsid w:val="00DA7CFC"/>
    <w:rsid w:val="00DB08B7"/>
    <w:rsid w:val="00DB1072"/>
    <w:rsid w:val="00DB2ACB"/>
    <w:rsid w:val="00DB329E"/>
    <w:rsid w:val="00DB4171"/>
    <w:rsid w:val="00DC0102"/>
    <w:rsid w:val="00DC018D"/>
    <w:rsid w:val="00DC020F"/>
    <w:rsid w:val="00DC167B"/>
    <w:rsid w:val="00DC50EF"/>
    <w:rsid w:val="00DC77B5"/>
    <w:rsid w:val="00DD0302"/>
    <w:rsid w:val="00DD1917"/>
    <w:rsid w:val="00DD1DDD"/>
    <w:rsid w:val="00DD4514"/>
    <w:rsid w:val="00DD6FC3"/>
    <w:rsid w:val="00DD7F4A"/>
    <w:rsid w:val="00DE0148"/>
    <w:rsid w:val="00DE194E"/>
    <w:rsid w:val="00DE1A6E"/>
    <w:rsid w:val="00DE417A"/>
    <w:rsid w:val="00DE4D0C"/>
    <w:rsid w:val="00DE7451"/>
    <w:rsid w:val="00DF113D"/>
    <w:rsid w:val="00DF54FC"/>
    <w:rsid w:val="00E008F9"/>
    <w:rsid w:val="00E00CF7"/>
    <w:rsid w:val="00E044F2"/>
    <w:rsid w:val="00E04B01"/>
    <w:rsid w:val="00E04C6E"/>
    <w:rsid w:val="00E05474"/>
    <w:rsid w:val="00E05B0A"/>
    <w:rsid w:val="00E05B8A"/>
    <w:rsid w:val="00E05E4F"/>
    <w:rsid w:val="00E07002"/>
    <w:rsid w:val="00E0783C"/>
    <w:rsid w:val="00E1023B"/>
    <w:rsid w:val="00E11267"/>
    <w:rsid w:val="00E12946"/>
    <w:rsid w:val="00E134DA"/>
    <w:rsid w:val="00E15389"/>
    <w:rsid w:val="00E1582B"/>
    <w:rsid w:val="00E16825"/>
    <w:rsid w:val="00E20A26"/>
    <w:rsid w:val="00E212F8"/>
    <w:rsid w:val="00E21BB5"/>
    <w:rsid w:val="00E22037"/>
    <w:rsid w:val="00E222F8"/>
    <w:rsid w:val="00E274E0"/>
    <w:rsid w:val="00E30114"/>
    <w:rsid w:val="00E31DF2"/>
    <w:rsid w:val="00E32367"/>
    <w:rsid w:val="00E328B0"/>
    <w:rsid w:val="00E33AC2"/>
    <w:rsid w:val="00E341D2"/>
    <w:rsid w:val="00E358EF"/>
    <w:rsid w:val="00E369A1"/>
    <w:rsid w:val="00E37AB4"/>
    <w:rsid w:val="00E37B27"/>
    <w:rsid w:val="00E4000D"/>
    <w:rsid w:val="00E40C40"/>
    <w:rsid w:val="00E41240"/>
    <w:rsid w:val="00E417B3"/>
    <w:rsid w:val="00E41CBC"/>
    <w:rsid w:val="00E44841"/>
    <w:rsid w:val="00E44CF7"/>
    <w:rsid w:val="00E45028"/>
    <w:rsid w:val="00E46067"/>
    <w:rsid w:val="00E46184"/>
    <w:rsid w:val="00E46E5C"/>
    <w:rsid w:val="00E47F49"/>
    <w:rsid w:val="00E511D4"/>
    <w:rsid w:val="00E51266"/>
    <w:rsid w:val="00E52951"/>
    <w:rsid w:val="00E5372A"/>
    <w:rsid w:val="00E551E8"/>
    <w:rsid w:val="00E55B3F"/>
    <w:rsid w:val="00E60811"/>
    <w:rsid w:val="00E616ED"/>
    <w:rsid w:val="00E61BE3"/>
    <w:rsid w:val="00E63D0B"/>
    <w:rsid w:val="00E6523C"/>
    <w:rsid w:val="00E66100"/>
    <w:rsid w:val="00E66116"/>
    <w:rsid w:val="00E66F13"/>
    <w:rsid w:val="00E70A4A"/>
    <w:rsid w:val="00E74797"/>
    <w:rsid w:val="00E82C28"/>
    <w:rsid w:val="00E8431B"/>
    <w:rsid w:val="00E8441D"/>
    <w:rsid w:val="00E856A6"/>
    <w:rsid w:val="00E85ED1"/>
    <w:rsid w:val="00E92341"/>
    <w:rsid w:val="00E928A4"/>
    <w:rsid w:val="00E92EB8"/>
    <w:rsid w:val="00E9335E"/>
    <w:rsid w:val="00E93D44"/>
    <w:rsid w:val="00E946EB"/>
    <w:rsid w:val="00EA1DF3"/>
    <w:rsid w:val="00EA1DF5"/>
    <w:rsid w:val="00EA52BA"/>
    <w:rsid w:val="00EA67AC"/>
    <w:rsid w:val="00EA6942"/>
    <w:rsid w:val="00EA706B"/>
    <w:rsid w:val="00EB0CD0"/>
    <w:rsid w:val="00EB1261"/>
    <w:rsid w:val="00EB2590"/>
    <w:rsid w:val="00EB3A59"/>
    <w:rsid w:val="00EB45AD"/>
    <w:rsid w:val="00EB5A6D"/>
    <w:rsid w:val="00EB65B3"/>
    <w:rsid w:val="00EC0345"/>
    <w:rsid w:val="00EC04B1"/>
    <w:rsid w:val="00EC08BD"/>
    <w:rsid w:val="00EC21E5"/>
    <w:rsid w:val="00EC2236"/>
    <w:rsid w:val="00EC32E4"/>
    <w:rsid w:val="00EC344E"/>
    <w:rsid w:val="00EC4499"/>
    <w:rsid w:val="00EC5458"/>
    <w:rsid w:val="00ED118D"/>
    <w:rsid w:val="00ED135D"/>
    <w:rsid w:val="00ED1F04"/>
    <w:rsid w:val="00ED4987"/>
    <w:rsid w:val="00ED5ACD"/>
    <w:rsid w:val="00ED5D34"/>
    <w:rsid w:val="00ED6EC9"/>
    <w:rsid w:val="00EE0829"/>
    <w:rsid w:val="00EE2FAA"/>
    <w:rsid w:val="00EE3695"/>
    <w:rsid w:val="00EE5173"/>
    <w:rsid w:val="00EE5B94"/>
    <w:rsid w:val="00EE5E11"/>
    <w:rsid w:val="00EE60DA"/>
    <w:rsid w:val="00EF2613"/>
    <w:rsid w:val="00EF4155"/>
    <w:rsid w:val="00EF5849"/>
    <w:rsid w:val="00EF6402"/>
    <w:rsid w:val="00EF6DCB"/>
    <w:rsid w:val="00F01119"/>
    <w:rsid w:val="00F0178B"/>
    <w:rsid w:val="00F04F85"/>
    <w:rsid w:val="00F04FAF"/>
    <w:rsid w:val="00F050B9"/>
    <w:rsid w:val="00F05ECE"/>
    <w:rsid w:val="00F072DA"/>
    <w:rsid w:val="00F07ACF"/>
    <w:rsid w:val="00F1098B"/>
    <w:rsid w:val="00F114E1"/>
    <w:rsid w:val="00F12350"/>
    <w:rsid w:val="00F13390"/>
    <w:rsid w:val="00F1441D"/>
    <w:rsid w:val="00F15144"/>
    <w:rsid w:val="00F163E1"/>
    <w:rsid w:val="00F209CA"/>
    <w:rsid w:val="00F20A40"/>
    <w:rsid w:val="00F210C3"/>
    <w:rsid w:val="00F219D1"/>
    <w:rsid w:val="00F220A1"/>
    <w:rsid w:val="00F22542"/>
    <w:rsid w:val="00F22D3E"/>
    <w:rsid w:val="00F234BE"/>
    <w:rsid w:val="00F237E5"/>
    <w:rsid w:val="00F23ABE"/>
    <w:rsid w:val="00F241EC"/>
    <w:rsid w:val="00F24E2F"/>
    <w:rsid w:val="00F24F27"/>
    <w:rsid w:val="00F251A2"/>
    <w:rsid w:val="00F257F7"/>
    <w:rsid w:val="00F27B3B"/>
    <w:rsid w:val="00F302F3"/>
    <w:rsid w:val="00F32C83"/>
    <w:rsid w:val="00F33871"/>
    <w:rsid w:val="00F33EC6"/>
    <w:rsid w:val="00F34CF6"/>
    <w:rsid w:val="00F34E14"/>
    <w:rsid w:val="00F36B07"/>
    <w:rsid w:val="00F37041"/>
    <w:rsid w:val="00F373EB"/>
    <w:rsid w:val="00F4001B"/>
    <w:rsid w:val="00F41A08"/>
    <w:rsid w:val="00F42A1A"/>
    <w:rsid w:val="00F42D6F"/>
    <w:rsid w:val="00F442DC"/>
    <w:rsid w:val="00F44A35"/>
    <w:rsid w:val="00F45112"/>
    <w:rsid w:val="00F46537"/>
    <w:rsid w:val="00F46C66"/>
    <w:rsid w:val="00F5023F"/>
    <w:rsid w:val="00F50379"/>
    <w:rsid w:val="00F51103"/>
    <w:rsid w:val="00F51414"/>
    <w:rsid w:val="00F51514"/>
    <w:rsid w:val="00F5203A"/>
    <w:rsid w:val="00F53D83"/>
    <w:rsid w:val="00F54469"/>
    <w:rsid w:val="00F54FD1"/>
    <w:rsid w:val="00F55CE0"/>
    <w:rsid w:val="00F60F38"/>
    <w:rsid w:val="00F61FE8"/>
    <w:rsid w:val="00F628A2"/>
    <w:rsid w:val="00F63FE7"/>
    <w:rsid w:val="00F657D0"/>
    <w:rsid w:val="00F705CB"/>
    <w:rsid w:val="00F73603"/>
    <w:rsid w:val="00F74BD2"/>
    <w:rsid w:val="00F77B12"/>
    <w:rsid w:val="00F77D55"/>
    <w:rsid w:val="00F80357"/>
    <w:rsid w:val="00F80CB6"/>
    <w:rsid w:val="00F82136"/>
    <w:rsid w:val="00F82D6D"/>
    <w:rsid w:val="00F83735"/>
    <w:rsid w:val="00F8468C"/>
    <w:rsid w:val="00F85477"/>
    <w:rsid w:val="00F85DD3"/>
    <w:rsid w:val="00F87C16"/>
    <w:rsid w:val="00F87E78"/>
    <w:rsid w:val="00F905B8"/>
    <w:rsid w:val="00F917B4"/>
    <w:rsid w:val="00F92351"/>
    <w:rsid w:val="00F9589E"/>
    <w:rsid w:val="00F95DE5"/>
    <w:rsid w:val="00F96B3A"/>
    <w:rsid w:val="00F97099"/>
    <w:rsid w:val="00FA0C0F"/>
    <w:rsid w:val="00FA4FC5"/>
    <w:rsid w:val="00FA50BB"/>
    <w:rsid w:val="00FA534A"/>
    <w:rsid w:val="00FA583A"/>
    <w:rsid w:val="00FA6CB9"/>
    <w:rsid w:val="00FA7ECE"/>
    <w:rsid w:val="00FB12C4"/>
    <w:rsid w:val="00FB2922"/>
    <w:rsid w:val="00FB5CDC"/>
    <w:rsid w:val="00FB6A71"/>
    <w:rsid w:val="00FC5087"/>
    <w:rsid w:val="00FC5827"/>
    <w:rsid w:val="00FC6CFB"/>
    <w:rsid w:val="00FC70BF"/>
    <w:rsid w:val="00FD2259"/>
    <w:rsid w:val="00FD3652"/>
    <w:rsid w:val="00FD402C"/>
    <w:rsid w:val="00FE0952"/>
    <w:rsid w:val="00FE0DA0"/>
    <w:rsid w:val="00FE0EDD"/>
    <w:rsid w:val="00FE0F1F"/>
    <w:rsid w:val="00FE2A4C"/>
    <w:rsid w:val="00FE2BC8"/>
    <w:rsid w:val="00FE35BF"/>
    <w:rsid w:val="00FE692B"/>
    <w:rsid w:val="00FE705D"/>
    <w:rsid w:val="00FE7F16"/>
    <w:rsid w:val="00FF0E69"/>
    <w:rsid w:val="00FF2BBB"/>
    <w:rsid w:val="00FF3816"/>
    <w:rsid w:val="00FF399D"/>
    <w:rsid w:val="00FF6925"/>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1B"/>
  </w:style>
  <w:style w:type="paragraph" w:styleId="Heading1">
    <w:name w:val="heading 1"/>
    <w:basedOn w:val="Normal"/>
    <w:next w:val="Normal"/>
    <w:link w:val="Heading1Char"/>
    <w:autoRedefine/>
    <w:uiPriority w:val="9"/>
    <w:qFormat/>
    <w:rsid w:val="00A87CE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E341D2"/>
    <w:pPr>
      <w:keepNext/>
      <w:keepLines/>
      <w:spacing w:after="24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paragraph" w:styleId="Heading4">
    <w:name w:val="heading 4"/>
    <w:basedOn w:val="Normal"/>
    <w:next w:val="Normal"/>
    <w:link w:val="Heading4Char"/>
    <w:uiPriority w:val="9"/>
    <w:semiHidden/>
    <w:unhideWhenUsed/>
    <w:qFormat/>
    <w:rsid w:val="00C059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A87CE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color w:val="auto"/>
      <w:sz w:val="20"/>
      <w:szCs w:val="20"/>
    </w:rPr>
  </w:style>
  <w:style w:type="character" w:customStyle="1" w:styleId="HTMLPreformattedChar">
    <w:name w:val="HTML Preformatted Char"/>
    <w:basedOn w:val="DefaultParagraphFont"/>
    <w:link w:val="HTMLPreformatted"/>
    <w:rsid w:val="00322352"/>
    <w:rPr>
      <w:rFonts w:ascii="Courier New" w:eastAsia="Courier New" w:hAnsi="Courier New" w:cs="Courier New"/>
      <w:bCs/>
      <w:color w:val="auto"/>
      <w:sz w:val="20"/>
      <w:szCs w:val="20"/>
    </w:rPr>
  </w:style>
  <w:style w:type="paragraph" w:styleId="List">
    <w:name w:val="List"/>
    <w:basedOn w:val="Normal"/>
    <w:rsid w:val="00322352"/>
    <w:pPr>
      <w:ind w:left="360" w:hanging="360"/>
    </w:pPr>
    <w:rPr>
      <w:rFonts w:eastAsia="Times New Roman"/>
      <w:bCs/>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color w:val="auto"/>
      <w:szCs w:val="24"/>
    </w:rPr>
  </w:style>
  <w:style w:type="character" w:customStyle="1" w:styleId="BodyTextChar">
    <w:name w:val="Body Text Char"/>
    <w:basedOn w:val="DefaultParagraphFont"/>
    <w:link w:val="BodyText"/>
    <w:uiPriority w:val="99"/>
    <w:rsid w:val="00322352"/>
    <w:rPr>
      <w:rFonts w:eastAsia="Times New Roman"/>
      <w:bCs/>
      <w:color w:val="auto"/>
      <w:szCs w:val="24"/>
    </w:rPr>
  </w:style>
  <w:style w:type="table" w:styleId="TableGrid">
    <w:name w:val="Table Grid"/>
    <w:basedOn w:val="TableNormal"/>
    <w:uiPriority w:val="5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583EF3"/>
    <w:pPr>
      <w:tabs>
        <w:tab w:val="decimal" w:leader="dot" w:pos="9360"/>
      </w:tabs>
      <w:spacing w:after="240"/>
      <w:ind w:left="720" w:hanging="720"/>
    </w:pPr>
    <w:rPr>
      <w:caps/>
      <w:color w:val="auto"/>
    </w:rPr>
  </w:style>
  <w:style w:type="paragraph" w:styleId="TOC2">
    <w:name w:val="toc 2"/>
    <w:basedOn w:val="Normal"/>
    <w:next w:val="Normal"/>
    <w:autoRedefine/>
    <w:uiPriority w:val="39"/>
    <w:unhideWhenUsed/>
    <w:qFormat/>
    <w:rsid w:val="00583EF3"/>
    <w:pPr>
      <w:tabs>
        <w:tab w:val="decimal" w:leader="dot" w:pos="9360"/>
      </w:tabs>
      <w:spacing w:after="240"/>
      <w:ind w:left="1440" w:hanging="720"/>
    </w:pPr>
    <w:rPr>
      <w:color w:val="auto"/>
    </w:rPr>
  </w:style>
  <w:style w:type="paragraph" w:styleId="TOC3">
    <w:name w:val="toc 3"/>
    <w:basedOn w:val="Normal"/>
    <w:next w:val="Normal"/>
    <w:autoRedefine/>
    <w:uiPriority w:val="39"/>
    <w:unhideWhenUsed/>
    <w:qFormat/>
    <w:rsid w:val="00583EF3"/>
    <w:pPr>
      <w:tabs>
        <w:tab w:val="decimal" w:leader="dot" w:pos="9360"/>
      </w:tabs>
      <w:spacing w:after="240"/>
      <w:ind w:left="2160" w:hanging="720"/>
    </w:pPr>
    <w:rPr>
      <w:color w:val="auto"/>
    </w:rPr>
  </w:style>
  <w:style w:type="character" w:customStyle="1" w:styleId="Heading2Char">
    <w:name w:val="Heading 2 Char"/>
    <w:basedOn w:val="DefaultParagraphFont"/>
    <w:link w:val="Heading2"/>
    <w:uiPriority w:val="9"/>
    <w:rsid w:val="00E341D2"/>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2">
    <w:name w:val="Unresolved Mention2"/>
    <w:basedOn w:val="DefaultParagraphFont"/>
    <w:uiPriority w:val="99"/>
    <w:semiHidden/>
    <w:unhideWhenUsed/>
    <w:rsid w:val="003B72CB"/>
    <w:rPr>
      <w:color w:val="605E5C"/>
      <w:shd w:val="clear" w:color="auto" w:fill="E1DFDD"/>
    </w:rPr>
  </w:style>
  <w:style w:type="character" w:customStyle="1" w:styleId="UnresolvedMention3">
    <w:name w:val="Unresolved Mention3"/>
    <w:basedOn w:val="DefaultParagraphFont"/>
    <w:uiPriority w:val="99"/>
    <w:rsid w:val="00B16A7B"/>
    <w:rPr>
      <w:color w:val="605E5C"/>
      <w:shd w:val="clear" w:color="auto" w:fill="E1DFDD"/>
    </w:rPr>
  </w:style>
  <w:style w:type="character" w:customStyle="1" w:styleId="markedcontent">
    <w:name w:val="markedcontent"/>
    <w:basedOn w:val="DefaultParagraphFont"/>
    <w:rsid w:val="000064CA"/>
  </w:style>
  <w:style w:type="character" w:customStyle="1" w:styleId="ssleftalign">
    <w:name w:val="ss_leftalign"/>
    <w:basedOn w:val="DefaultParagraphFont"/>
    <w:rsid w:val="002A7ECB"/>
  </w:style>
  <w:style w:type="character" w:customStyle="1" w:styleId="ssprior">
    <w:name w:val="ss_prior"/>
    <w:basedOn w:val="DefaultParagraphFont"/>
    <w:rsid w:val="002A7ECB"/>
  </w:style>
  <w:style w:type="character" w:customStyle="1" w:styleId="UnresolvedMention4">
    <w:name w:val="Unresolved Mention4"/>
    <w:basedOn w:val="DefaultParagraphFont"/>
    <w:uiPriority w:val="99"/>
    <w:rsid w:val="00C01BBA"/>
    <w:rPr>
      <w:color w:val="605E5C"/>
      <w:shd w:val="clear" w:color="auto" w:fill="E1DFDD"/>
    </w:rPr>
  </w:style>
  <w:style w:type="paragraph" w:styleId="BodyTextIndent3">
    <w:name w:val="Body Text Indent 3"/>
    <w:basedOn w:val="Normal"/>
    <w:link w:val="BodyTextIndent3Char"/>
    <w:uiPriority w:val="99"/>
    <w:semiHidden/>
    <w:unhideWhenUsed/>
    <w:rsid w:val="00D948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4878"/>
    <w:rPr>
      <w:sz w:val="16"/>
      <w:szCs w:val="16"/>
    </w:rPr>
  </w:style>
  <w:style w:type="character" w:customStyle="1" w:styleId="Heading4Char">
    <w:name w:val="Heading 4 Char"/>
    <w:basedOn w:val="DefaultParagraphFont"/>
    <w:link w:val="Heading4"/>
    <w:uiPriority w:val="9"/>
    <w:semiHidden/>
    <w:rsid w:val="00C05918"/>
    <w:rPr>
      <w:rFonts w:asciiTheme="majorHAnsi" w:eastAsiaTheme="majorEastAsia" w:hAnsiTheme="majorHAnsi" w:cstheme="majorBidi"/>
      <w:i/>
      <w:iCs/>
      <w:color w:val="2F5496" w:themeColor="accent1" w:themeShade="BF"/>
    </w:rPr>
  </w:style>
  <w:style w:type="character" w:customStyle="1" w:styleId="UnresolvedMention5">
    <w:name w:val="Unresolved Mention5"/>
    <w:basedOn w:val="DefaultParagraphFont"/>
    <w:uiPriority w:val="99"/>
    <w:rsid w:val="00AD3F0B"/>
    <w:rPr>
      <w:color w:val="605E5C"/>
      <w:shd w:val="clear" w:color="auto" w:fill="E1DFDD"/>
    </w:rPr>
  </w:style>
  <w:style w:type="character" w:customStyle="1" w:styleId="ssit">
    <w:name w:val="ss_it"/>
    <w:basedOn w:val="DefaultParagraphFont"/>
    <w:rsid w:val="0075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werner.margard@ohioAGO.gov" TargetMode="External" /><Relationship Id="rId12" Type="http://schemas.openxmlformats.org/officeDocument/2006/relationships/hyperlink" Target="mailto:joliker@igsenergy.com" TargetMode="External" /><Relationship Id="rId13" Type="http://schemas.openxmlformats.org/officeDocument/2006/relationships/hyperlink" Target="mailto:Mnugent@igsenergy.com" TargetMode="External" /><Relationship Id="rId14" Type="http://schemas.openxmlformats.org/officeDocument/2006/relationships/hyperlink" Target="mailto:bethany.allen@igs.com" TargetMode="External" /><Relationship Id="rId15" Type="http://schemas.openxmlformats.org/officeDocument/2006/relationships/hyperlink" Target="mailto:evan.betterton@igs.com" TargetMode="External" /><Relationship Id="rId16" Type="http://schemas.openxmlformats.org/officeDocument/2006/relationships/hyperlink" Target="mailto:gkrassen@bricker.com" TargetMode="External" /><Relationship Id="rId17" Type="http://schemas.openxmlformats.org/officeDocument/2006/relationships/hyperlink" Target="mailto:dstinson@bricker.com" TargetMode="External" /><Relationship Id="rId18" Type="http://schemas.openxmlformats.org/officeDocument/2006/relationships/hyperlink" Target="mailto:whitt@whitt-sturtevant.com" TargetMode="External" /><Relationship Id="rId19" Type="http://schemas.openxmlformats.org/officeDocument/2006/relationships/hyperlink" Target="mailto:fykes@whitt-sturtevant.com" TargetMode="External" /><Relationship Id="rId2" Type="http://schemas.openxmlformats.org/officeDocument/2006/relationships/settings" Target="settings.xml" /><Relationship Id="rId20" Type="http://schemas.openxmlformats.org/officeDocument/2006/relationships/hyperlink" Target="mailto:mwise@mcdonaldhopkins.com" TargetMode="External" /><Relationship Id="rId21" Type="http://schemas.openxmlformats.org/officeDocument/2006/relationships/hyperlink" Target="mailto:mkurtz@BKLlawfirm.com" TargetMode="External" /><Relationship Id="rId22" Type="http://schemas.openxmlformats.org/officeDocument/2006/relationships/hyperlink" Target="mailto:kboehm@BKLlawfirm.com" TargetMode="External" /><Relationship Id="rId23" Type="http://schemas.openxmlformats.org/officeDocument/2006/relationships/hyperlink" Target="mailto:jkylercohn@BKLlawfirm.com" TargetMode="External" /><Relationship Id="rId24" Type="http://schemas.openxmlformats.org/officeDocument/2006/relationships/hyperlink" Target="mailto:talexander@beneschlaw.com" TargetMode="External" /><Relationship Id="rId25" Type="http://schemas.openxmlformats.org/officeDocument/2006/relationships/hyperlink" Target="mailto:megan.addison@puco.ohio.gov" TargetMode="External" /><Relationship Id="rId26" Type="http://schemas.openxmlformats.org/officeDocument/2006/relationships/hyperlink" Target="mailto:edanford@firstenergycorp.com" TargetMode="External" /><Relationship Id="rId27" Type="http://schemas.openxmlformats.org/officeDocument/2006/relationships/hyperlink" Target="mailto:cwatchorn@firstenergycorp.com" TargetMode="External" /><Relationship Id="rId28" Type="http://schemas.openxmlformats.org/officeDocument/2006/relationships/hyperlink" Target="mailto:bknipe@firstenergycorp.com" TargetMode="External" /><Relationship Id="rId29" Type="http://schemas.openxmlformats.org/officeDocument/2006/relationships/hyperlink" Target="mailto:mrgladman@jonesday.com" TargetMode="External" /><Relationship Id="rId3" Type="http://schemas.openxmlformats.org/officeDocument/2006/relationships/webSettings" Target="webSettings.xml" /><Relationship Id="rId30" Type="http://schemas.openxmlformats.org/officeDocument/2006/relationships/hyperlink" Target="mailto:mdengler@jonesday.com" TargetMode="External" /><Relationship Id="rId31" Type="http://schemas.openxmlformats.org/officeDocument/2006/relationships/hyperlink" Target="mailto:radoringo@jonesday.com" TargetMode="External" /><Relationship Id="rId32" Type="http://schemas.openxmlformats.org/officeDocument/2006/relationships/hyperlink" Target="mailto:marcie.lape@skadden.com" TargetMode="External" /><Relationship Id="rId33" Type="http://schemas.openxmlformats.org/officeDocument/2006/relationships/hyperlink" Target="mailto:iavalon@taftlaw.com" TargetMode="External" /><Relationship Id="rId34" Type="http://schemas.openxmlformats.org/officeDocument/2006/relationships/hyperlink" Target="mailto:mpritchard@mcneeslaw.com" TargetMode="External" /><Relationship Id="rId35" Type="http://schemas.openxmlformats.org/officeDocument/2006/relationships/hyperlink" Target="mailto:rdove@keglerbrown.com" TargetMode="External" /><Relationship Id="rId36" Type="http://schemas.openxmlformats.org/officeDocument/2006/relationships/hyperlink" Target="mailto:bojko@carpenterlipps.com" TargetMode="External" /><Relationship Id="rId37" Type="http://schemas.openxmlformats.org/officeDocument/2006/relationships/hyperlink" Target="mailto:tdougherty@theOEC.org" TargetMode="External" /><Relationship Id="rId38" Type="http://schemas.openxmlformats.org/officeDocument/2006/relationships/hyperlink" Target="mailto:ctavenor@theOEC.org" TargetMode="External" /><Relationship Id="rId39" Type="http://schemas.openxmlformats.org/officeDocument/2006/relationships/hyperlink" Target="mailto:jweber@elpc.org" TargetMode="External" /><Relationship Id="rId4" Type="http://schemas.openxmlformats.org/officeDocument/2006/relationships/fontTable" Target="fontTable.xml" /><Relationship Id="rId40" Type="http://schemas.openxmlformats.org/officeDocument/2006/relationships/hyperlink" Target="mailto:sgoyal@jonesday.com-" TargetMode="External" /><Relationship Id="rId41" Type="http://schemas.openxmlformats.org/officeDocument/2006/relationships/hyperlink" Target="mailto:calee@jonesday.com-" TargetMode="External" /><Relationship Id="rId42" Type="http://schemas.openxmlformats.org/officeDocument/2006/relationships/header" Target="header1.xml" /><Relationship Id="rId43" Type="http://schemas.openxmlformats.org/officeDocument/2006/relationships/footer" Target="footer3.xml" /><Relationship Id="rId44" Type="http://schemas.openxmlformats.org/officeDocument/2006/relationships/footer" Target="footer4.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maureen.willis@occ.ohio.gov" TargetMode="External" /><Relationship Id="rId8" Type="http://schemas.openxmlformats.org/officeDocument/2006/relationships/hyperlink" Target="mailto:john.finnigan@occ.ohio.gov" TargetMode="Externa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gcc02.safelinks.protection.outlook.com/?url=https%3A%2F%2Fplus.lexis.com%2Fdocument%2Fteaserdocument%2F%3Fpdmfid%3D1530671%26crid%3D2b6b5e7b-4a16-4f3d-97ab-2fcf2ed13d75%26pddocfullpath%3D%252Fshared%252Fdocument%252Fadministrative-materials%252Furn%253AcontentItem%253A4R2F-NF50-00T9-84BR-00000-00%26pddocid%3Durn%253AcontentItem%253A4R2F-NF50-00T9-84BR-00000-00%26pdcontentcomponentid%3D139844%26pdteaserkey%3Dh7%26pdislpamode%3Dfalse%26ecomp%3Ddf4k%26earg%3Dsr2%26prid%3Dbeb103ae-89a5-43fb-a158-3d96c7f9b1e2&amp;data=04%7C01%7CWilliam.Michael%40occ.ohio.gov%7C09a4f563136f4373a1d508da0da8bd94%7C50f8fcc494d84f0784eb36ed57c7c8a2%7C0%7C0%7C637837315623836139%7CUnknown%7CTWFpbGZsb3d8eyJWIjoiMC4wLjAwMDAiLCJQIjoiV2luMzIiLCJBTiI6Ik1haWwiLCJXVCI6Mn0%3D%7C3000&amp;sdata=0tdYvhN4jMZ8u5qCXcVFnBnFX4GxqDU5H92tBRc%2FqP0%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8F13-BE5D-4B1B-A089-29EE1C3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2022-03-25T20:29:49Z</dcterms:created>
  <dcterms:modified xsi:type="dcterms:W3CDTF">2022-03-25T20:29:49Z</dcterms:modified>
</cp:coreProperties>
</file>