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415C1" w:rsidRPr="00E61247" w:rsidP="000415C1" w14:paraId="6B8E0172" w14:textId="77777777">
      <w:pPr>
        <w:pStyle w:val="HTMLPreformatted"/>
        <w:jc w:val="center"/>
        <w:rPr>
          <w:rFonts w:ascii="Times New Roman" w:hAnsi="Times New Roman" w:cs="Times New Roman"/>
          <w:b/>
          <w:bCs/>
          <w:sz w:val="24"/>
          <w:szCs w:val="24"/>
        </w:rPr>
      </w:pPr>
      <w:r w:rsidRPr="00E61247">
        <w:rPr>
          <w:rFonts w:ascii="Times New Roman" w:hAnsi="Times New Roman" w:cs="Times New Roman"/>
          <w:b/>
          <w:bCs/>
          <w:sz w:val="24"/>
          <w:szCs w:val="24"/>
        </w:rPr>
        <w:t>BEFORE</w:t>
      </w:r>
    </w:p>
    <w:p w:rsidR="000415C1" w:rsidRPr="00E61247" w:rsidP="000415C1" w14:paraId="41DA63A2" w14:textId="77777777">
      <w:pPr>
        <w:pStyle w:val="HTMLPreformatted"/>
        <w:jc w:val="center"/>
        <w:rPr>
          <w:rFonts w:ascii="Times New Roman" w:hAnsi="Times New Roman" w:cs="Times New Roman"/>
          <w:sz w:val="24"/>
          <w:szCs w:val="24"/>
        </w:rPr>
      </w:pPr>
      <w:r w:rsidRPr="00E61247">
        <w:rPr>
          <w:rFonts w:ascii="Times New Roman" w:hAnsi="Times New Roman" w:cs="Times New Roman"/>
          <w:b/>
          <w:bCs/>
          <w:sz w:val="24"/>
          <w:szCs w:val="24"/>
        </w:rPr>
        <w:t>THE PUBLIC UTILITIES COMMISSION OF OHIO</w:t>
      </w:r>
    </w:p>
    <w:p w:rsidR="000415C1" w:rsidRPr="00E61247" w:rsidP="000415C1" w14:paraId="722D0302" w14:textId="77777777">
      <w:pPr>
        <w:pStyle w:val="HTMLPreformatted"/>
        <w:rPr>
          <w:rFonts w:ascii="Times New Roman" w:hAnsi="Times New Roman" w:cs="Times New Roman"/>
          <w:sz w:val="24"/>
          <w:szCs w:val="24"/>
        </w:rPr>
      </w:pPr>
    </w:p>
    <w:tbl>
      <w:tblPr>
        <w:tblW w:w="9452" w:type="dxa"/>
        <w:tblLook w:val="01E0"/>
      </w:tblPr>
      <w:tblGrid>
        <w:gridCol w:w="4692"/>
        <w:gridCol w:w="360"/>
        <w:gridCol w:w="4400"/>
      </w:tblGrid>
      <w:tr w14:paraId="7F0AF23A" w14:textId="77777777" w:rsidTr="00810A0A">
        <w:tblPrEx>
          <w:tblW w:w="9452" w:type="dxa"/>
          <w:tblLook w:val="01E0"/>
        </w:tblPrEx>
        <w:trPr>
          <w:trHeight w:val="807"/>
        </w:trPr>
        <w:tc>
          <w:tcPr>
            <w:tcW w:w="4692" w:type="dxa"/>
            <w:shd w:val="clear" w:color="auto" w:fill="auto"/>
          </w:tcPr>
          <w:p w:rsidR="000415C1" w:rsidRPr="00E61247" w:rsidP="00810A0A" w14:paraId="43D956AB" w14:textId="77777777">
            <w:pPr>
              <w:autoSpaceDE w:val="0"/>
              <w:autoSpaceDN w:val="0"/>
              <w:adjustRightInd w:val="0"/>
              <w:rPr>
                <w:szCs w:val="24"/>
              </w:rPr>
            </w:pPr>
          </w:p>
          <w:p w:rsidR="000415C1" w:rsidRPr="00E61247" w:rsidP="00810A0A" w14:paraId="03DEAA2D" w14:textId="77777777">
            <w:pPr>
              <w:autoSpaceDE w:val="0"/>
              <w:autoSpaceDN w:val="0"/>
              <w:adjustRightInd w:val="0"/>
              <w:rPr>
                <w:szCs w:val="24"/>
              </w:rPr>
            </w:pPr>
          </w:p>
          <w:p w:rsidR="000415C1" w:rsidRPr="00E61247" w:rsidP="00810A0A" w14:paraId="103341D7" w14:textId="77777777">
            <w:pPr>
              <w:autoSpaceDE w:val="0"/>
              <w:autoSpaceDN w:val="0"/>
              <w:adjustRightInd w:val="0"/>
              <w:rPr>
                <w:szCs w:val="24"/>
              </w:rPr>
            </w:pPr>
            <w:r w:rsidRPr="00E61247">
              <w:rPr>
                <w:szCs w:val="24"/>
              </w:rPr>
              <w:t>In the Matters of the Applications of Duke Energy Ohio, Inc., for Adjustments to Rider MGP Rates.</w:t>
            </w:r>
          </w:p>
          <w:p w:rsidR="000415C1" w:rsidRPr="00E61247" w:rsidP="00810A0A" w14:paraId="19717F25" w14:textId="77777777">
            <w:pPr>
              <w:autoSpaceDE w:val="0"/>
              <w:autoSpaceDN w:val="0"/>
              <w:adjustRightInd w:val="0"/>
              <w:rPr>
                <w:szCs w:val="24"/>
              </w:rPr>
            </w:pPr>
          </w:p>
          <w:p w:rsidR="000415C1" w:rsidRPr="00E61247" w:rsidP="00810A0A" w14:paraId="32275E19" w14:textId="77777777">
            <w:pPr>
              <w:autoSpaceDE w:val="0"/>
              <w:autoSpaceDN w:val="0"/>
              <w:adjustRightInd w:val="0"/>
              <w:rPr>
                <w:szCs w:val="24"/>
              </w:rPr>
            </w:pPr>
          </w:p>
          <w:p w:rsidR="000415C1" w:rsidRPr="00E61247" w:rsidP="00810A0A" w14:paraId="2B51ACA4" w14:textId="77777777">
            <w:pPr>
              <w:autoSpaceDE w:val="0"/>
              <w:autoSpaceDN w:val="0"/>
              <w:adjustRightInd w:val="0"/>
              <w:rPr>
                <w:szCs w:val="24"/>
              </w:rPr>
            </w:pPr>
          </w:p>
          <w:p w:rsidR="000415C1" w:rsidRPr="00E61247" w:rsidP="00810A0A" w14:paraId="7758D4F5" w14:textId="77777777">
            <w:pPr>
              <w:autoSpaceDE w:val="0"/>
              <w:autoSpaceDN w:val="0"/>
              <w:adjustRightInd w:val="0"/>
              <w:rPr>
                <w:szCs w:val="24"/>
              </w:rPr>
            </w:pPr>
          </w:p>
          <w:p w:rsidR="000415C1" w:rsidP="00810A0A" w14:paraId="25EEC2DA" w14:textId="77777777">
            <w:pPr>
              <w:autoSpaceDE w:val="0"/>
              <w:autoSpaceDN w:val="0"/>
              <w:adjustRightInd w:val="0"/>
              <w:rPr>
                <w:szCs w:val="24"/>
              </w:rPr>
            </w:pPr>
          </w:p>
          <w:p w:rsidR="000415C1" w:rsidP="00810A0A" w14:paraId="53B5E4CF" w14:textId="77777777">
            <w:pPr>
              <w:autoSpaceDE w:val="0"/>
              <w:autoSpaceDN w:val="0"/>
              <w:adjustRightInd w:val="0"/>
              <w:rPr>
                <w:szCs w:val="24"/>
              </w:rPr>
            </w:pPr>
          </w:p>
          <w:p w:rsidR="000415C1" w:rsidP="00810A0A" w14:paraId="0417BB36" w14:textId="77777777">
            <w:pPr>
              <w:autoSpaceDE w:val="0"/>
              <w:autoSpaceDN w:val="0"/>
              <w:adjustRightInd w:val="0"/>
              <w:rPr>
                <w:szCs w:val="24"/>
              </w:rPr>
            </w:pPr>
            <w:r w:rsidRPr="00E61247">
              <w:rPr>
                <w:szCs w:val="24"/>
              </w:rPr>
              <w:t>In the Matters of the Applications of Duke Energy Ohio, Inc. for Tariff Approval.</w:t>
            </w:r>
          </w:p>
          <w:p w:rsidR="000415C1" w:rsidP="00810A0A" w14:paraId="1D75AA36" w14:textId="77777777">
            <w:pPr>
              <w:autoSpaceDE w:val="0"/>
              <w:autoSpaceDN w:val="0"/>
              <w:adjustRightInd w:val="0"/>
              <w:rPr>
                <w:szCs w:val="24"/>
              </w:rPr>
            </w:pPr>
          </w:p>
          <w:p w:rsidR="000415C1" w:rsidP="00810A0A" w14:paraId="460F97CF" w14:textId="77777777">
            <w:pPr>
              <w:autoSpaceDE w:val="0"/>
              <w:autoSpaceDN w:val="0"/>
              <w:adjustRightInd w:val="0"/>
              <w:rPr>
                <w:szCs w:val="24"/>
              </w:rPr>
            </w:pPr>
          </w:p>
          <w:p w:rsidR="000415C1" w:rsidP="00810A0A" w14:paraId="5F3FB0E5" w14:textId="77777777">
            <w:pPr>
              <w:autoSpaceDE w:val="0"/>
              <w:autoSpaceDN w:val="0"/>
              <w:adjustRightInd w:val="0"/>
              <w:rPr>
                <w:szCs w:val="24"/>
              </w:rPr>
            </w:pPr>
          </w:p>
          <w:p w:rsidR="000415C1" w:rsidP="00810A0A" w14:paraId="29723316" w14:textId="77777777">
            <w:pPr>
              <w:autoSpaceDE w:val="0"/>
              <w:autoSpaceDN w:val="0"/>
              <w:adjustRightInd w:val="0"/>
              <w:rPr>
                <w:szCs w:val="24"/>
              </w:rPr>
            </w:pPr>
          </w:p>
          <w:p w:rsidR="000415C1" w:rsidP="00810A0A" w14:paraId="1D1E8A11" w14:textId="77777777">
            <w:pPr>
              <w:autoSpaceDE w:val="0"/>
              <w:autoSpaceDN w:val="0"/>
              <w:adjustRightInd w:val="0"/>
              <w:rPr>
                <w:szCs w:val="24"/>
              </w:rPr>
            </w:pPr>
            <w:r>
              <w:rPr>
                <w:szCs w:val="24"/>
              </w:rPr>
              <w:t>In the Matter of the Application of Duke Energy Ohio, Inc., for Implementation of the Tax Cuts and Jobs Act of 2017.</w:t>
            </w:r>
          </w:p>
          <w:p w:rsidR="000415C1" w:rsidP="00810A0A" w14:paraId="37A3750F" w14:textId="77777777">
            <w:pPr>
              <w:autoSpaceDE w:val="0"/>
              <w:autoSpaceDN w:val="0"/>
              <w:adjustRightInd w:val="0"/>
              <w:rPr>
                <w:szCs w:val="24"/>
              </w:rPr>
            </w:pPr>
          </w:p>
          <w:p w:rsidR="000415C1" w:rsidP="00810A0A" w14:paraId="14CE93D9" w14:textId="77777777">
            <w:pPr>
              <w:autoSpaceDE w:val="0"/>
              <w:autoSpaceDN w:val="0"/>
              <w:adjustRightInd w:val="0"/>
              <w:rPr>
                <w:szCs w:val="24"/>
              </w:rPr>
            </w:pPr>
            <w:r>
              <w:rPr>
                <w:szCs w:val="24"/>
              </w:rPr>
              <w:t>In the Matter of the Application of Duke Energy Ohio, Inc., for Approval of Tariff Amendments.</w:t>
            </w:r>
          </w:p>
          <w:p w:rsidR="000415C1" w:rsidP="00810A0A" w14:paraId="540AA5AD" w14:textId="77777777">
            <w:pPr>
              <w:autoSpaceDE w:val="0"/>
              <w:autoSpaceDN w:val="0"/>
              <w:adjustRightInd w:val="0"/>
              <w:rPr>
                <w:szCs w:val="24"/>
              </w:rPr>
            </w:pPr>
          </w:p>
          <w:p w:rsidR="000415C1" w:rsidRPr="00FF1B8A" w:rsidP="00810A0A" w14:paraId="3782C061" w14:textId="77777777">
            <w:pPr>
              <w:autoSpaceDE w:val="0"/>
              <w:autoSpaceDN w:val="0"/>
              <w:adjustRightInd w:val="0"/>
            </w:pPr>
            <w:r>
              <w:rPr>
                <w:szCs w:val="24"/>
              </w:rPr>
              <w:t xml:space="preserve">In the Matter of the Application </w:t>
            </w:r>
            <w:r w:rsidRPr="007A2091">
              <w:t>of Duke Energy Ohio, Inc., for Authority to Defer Environmental Investigation and Remediation Costs</w:t>
            </w:r>
            <w:r>
              <w:t>.</w:t>
            </w:r>
          </w:p>
        </w:tc>
        <w:tc>
          <w:tcPr>
            <w:tcW w:w="360" w:type="dxa"/>
            <w:shd w:val="clear" w:color="auto" w:fill="auto"/>
          </w:tcPr>
          <w:p w:rsidR="000415C1" w:rsidRPr="00E61247" w:rsidP="00810A0A" w14:paraId="2E1B1D9C"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RPr="00E61247" w:rsidP="00810A0A" w14:paraId="614BB160"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RPr="00E61247" w:rsidP="00810A0A" w14:paraId="2FE0A98F"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RPr="00E61247" w:rsidP="00810A0A" w14:paraId="58D5AC30"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RPr="00E61247" w:rsidP="00810A0A" w14:paraId="183B9418"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P="00810A0A" w14:paraId="40AD0A5A"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RPr="00E61247" w:rsidP="00810A0A" w14:paraId="4972E9EC"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RPr="00E61247" w:rsidP="00810A0A" w14:paraId="5884EAA9" w14:textId="77777777">
            <w:pPr>
              <w:pStyle w:val="HTMLPreformatted"/>
              <w:rPr>
                <w:rFonts w:ascii="Times New Roman" w:hAnsi="Times New Roman" w:cs="Times New Roman"/>
                <w:sz w:val="24"/>
                <w:szCs w:val="24"/>
              </w:rPr>
            </w:pPr>
          </w:p>
          <w:p w:rsidR="000415C1" w:rsidRPr="00E61247" w:rsidP="00810A0A" w14:paraId="7E2B2CC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RPr="00E61247" w:rsidP="00810A0A" w14:paraId="596106BC"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RPr="00E61247" w:rsidP="00810A0A" w14:paraId="7A4C48AA"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RPr="00E61247" w:rsidP="00810A0A" w14:paraId="5B8C90F3"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RPr="00E61247" w:rsidP="00810A0A" w14:paraId="3AA1A966"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P="00810A0A" w14:paraId="66EC6FD7"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0415C1" w:rsidP="00810A0A" w14:paraId="178B7761"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P="00810A0A" w14:paraId="5C6F89C5"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P="00810A0A" w14:paraId="3E0539FC" w14:textId="77777777">
            <w:pPr>
              <w:pStyle w:val="HTMLPreformatted"/>
              <w:rPr>
                <w:rFonts w:ascii="Times New Roman" w:hAnsi="Times New Roman" w:cs="Times New Roman"/>
                <w:sz w:val="24"/>
                <w:szCs w:val="24"/>
              </w:rPr>
            </w:pPr>
          </w:p>
          <w:p w:rsidR="000415C1" w:rsidP="00810A0A" w14:paraId="698E5634"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P="00810A0A" w14:paraId="148E0B0B"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P="00810A0A" w14:paraId="284A6C08"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P="00810A0A" w14:paraId="4A1F29E0" w14:textId="77777777">
            <w:pPr>
              <w:pStyle w:val="HTMLPreformatted"/>
              <w:rPr>
                <w:rFonts w:ascii="Times New Roman" w:hAnsi="Times New Roman" w:cs="Times New Roman"/>
                <w:sz w:val="24"/>
                <w:szCs w:val="24"/>
              </w:rPr>
            </w:pPr>
          </w:p>
          <w:p w:rsidR="000415C1" w:rsidP="00810A0A" w14:paraId="28964E58"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P="00810A0A" w14:paraId="294842E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P="00810A0A" w14:paraId="543ACBCA"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P="00810A0A" w14:paraId="6EA8EF9A" w14:textId="77777777">
            <w:pPr>
              <w:pStyle w:val="HTMLPreformatted"/>
              <w:rPr>
                <w:rFonts w:ascii="Times New Roman" w:hAnsi="Times New Roman" w:cs="Times New Roman"/>
                <w:sz w:val="24"/>
                <w:szCs w:val="24"/>
              </w:rPr>
            </w:pPr>
          </w:p>
          <w:p w:rsidR="000415C1" w:rsidP="00810A0A" w14:paraId="61FCE460"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P="00810A0A" w14:paraId="3DD21369"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P="00810A0A" w14:paraId="3F3F897F"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415C1" w:rsidRPr="00E61247" w:rsidP="00810A0A" w14:paraId="038AABA0"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0415C1" w:rsidRPr="00E61247" w:rsidP="00810A0A" w14:paraId="79E6CE79" w14:textId="77777777">
            <w:pPr>
              <w:rPr>
                <w:szCs w:val="24"/>
              </w:rPr>
            </w:pPr>
            <w:r w:rsidRPr="00E61247">
              <w:rPr>
                <w:szCs w:val="24"/>
              </w:rPr>
              <w:t>Case No. 14-375-GA-RDR</w:t>
            </w:r>
          </w:p>
          <w:p w:rsidR="000415C1" w:rsidRPr="00E61247" w:rsidP="00810A0A" w14:paraId="268BDE63" w14:textId="77777777">
            <w:pPr>
              <w:rPr>
                <w:szCs w:val="24"/>
              </w:rPr>
            </w:pPr>
            <w:r w:rsidRPr="00E61247">
              <w:rPr>
                <w:szCs w:val="24"/>
              </w:rPr>
              <w:t>Case No. 15-452-GA-RDR</w:t>
            </w:r>
          </w:p>
          <w:p w:rsidR="000415C1" w:rsidRPr="00E61247" w:rsidP="00810A0A" w14:paraId="5EDF3B21" w14:textId="77777777">
            <w:pPr>
              <w:rPr>
                <w:szCs w:val="24"/>
              </w:rPr>
            </w:pPr>
            <w:r w:rsidRPr="00E61247">
              <w:rPr>
                <w:szCs w:val="24"/>
              </w:rPr>
              <w:t>Case No. 16-542-GA-RDR</w:t>
            </w:r>
          </w:p>
          <w:p w:rsidR="000415C1" w:rsidRPr="00E61247" w:rsidP="00810A0A" w14:paraId="34EC3F8C" w14:textId="77777777">
            <w:pPr>
              <w:rPr>
                <w:szCs w:val="24"/>
              </w:rPr>
            </w:pPr>
            <w:r w:rsidRPr="00E61247">
              <w:rPr>
                <w:szCs w:val="24"/>
              </w:rPr>
              <w:t>Case No. 17-596-GA-RDR</w:t>
            </w:r>
          </w:p>
          <w:p w:rsidR="000415C1" w:rsidRPr="00E61247" w:rsidP="00810A0A" w14:paraId="664EC08A" w14:textId="77777777">
            <w:pPr>
              <w:rPr>
                <w:szCs w:val="24"/>
              </w:rPr>
            </w:pPr>
            <w:r w:rsidRPr="00E61247">
              <w:rPr>
                <w:szCs w:val="24"/>
              </w:rPr>
              <w:t>Case No. 18-283-GA-RDR</w:t>
            </w:r>
          </w:p>
          <w:p w:rsidR="000415C1" w:rsidP="00810A0A" w14:paraId="763D5070" w14:textId="77777777">
            <w:pPr>
              <w:rPr>
                <w:szCs w:val="24"/>
              </w:rPr>
            </w:pPr>
            <w:r w:rsidRPr="00E61247">
              <w:rPr>
                <w:szCs w:val="24"/>
              </w:rPr>
              <w:t>Case No. 19-174-GA-RDR</w:t>
            </w:r>
          </w:p>
          <w:p w:rsidR="000415C1" w:rsidRPr="00E61247" w:rsidP="00810A0A" w14:paraId="2943BE84" w14:textId="77777777">
            <w:pPr>
              <w:rPr>
                <w:szCs w:val="24"/>
              </w:rPr>
            </w:pPr>
            <w:r>
              <w:rPr>
                <w:szCs w:val="24"/>
              </w:rPr>
              <w:t>Case No. 20-53-GA-RDR</w:t>
            </w:r>
          </w:p>
          <w:p w:rsidR="000415C1" w:rsidRPr="00E61247" w:rsidP="00810A0A" w14:paraId="26F0A219" w14:textId="77777777">
            <w:pPr>
              <w:rPr>
                <w:szCs w:val="24"/>
              </w:rPr>
            </w:pPr>
          </w:p>
          <w:p w:rsidR="000415C1" w:rsidRPr="00E61247" w:rsidP="00810A0A" w14:paraId="7887723E" w14:textId="77777777">
            <w:pPr>
              <w:rPr>
                <w:szCs w:val="24"/>
              </w:rPr>
            </w:pPr>
            <w:r w:rsidRPr="00E61247">
              <w:rPr>
                <w:szCs w:val="24"/>
              </w:rPr>
              <w:t>Case No. 14-376-GA-ATA</w:t>
            </w:r>
          </w:p>
          <w:p w:rsidR="000415C1" w:rsidRPr="00E61247" w:rsidP="00810A0A" w14:paraId="7F36BA91" w14:textId="77777777">
            <w:pPr>
              <w:rPr>
                <w:szCs w:val="24"/>
              </w:rPr>
            </w:pPr>
            <w:r w:rsidRPr="00E61247">
              <w:rPr>
                <w:szCs w:val="24"/>
              </w:rPr>
              <w:t>Case No. 15-453-GA-ATA</w:t>
            </w:r>
          </w:p>
          <w:p w:rsidR="000415C1" w:rsidRPr="00E61247" w:rsidP="00810A0A" w14:paraId="71A04B3A" w14:textId="77777777">
            <w:pPr>
              <w:rPr>
                <w:szCs w:val="24"/>
              </w:rPr>
            </w:pPr>
            <w:r w:rsidRPr="00E61247">
              <w:rPr>
                <w:szCs w:val="24"/>
              </w:rPr>
              <w:t>Case No. 16-543-GA-ATA</w:t>
            </w:r>
          </w:p>
          <w:p w:rsidR="000415C1" w:rsidRPr="00E61247" w:rsidP="00810A0A" w14:paraId="2D72E855" w14:textId="77777777">
            <w:pPr>
              <w:rPr>
                <w:szCs w:val="24"/>
              </w:rPr>
            </w:pPr>
            <w:r w:rsidRPr="00E61247">
              <w:rPr>
                <w:szCs w:val="24"/>
              </w:rPr>
              <w:t>Case No. 17-597-GA-ATA</w:t>
            </w:r>
          </w:p>
          <w:p w:rsidR="000415C1" w:rsidRPr="00E61247" w:rsidP="00810A0A" w14:paraId="2C47CCE3" w14:textId="77777777">
            <w:pPr>
              <w:rPr>
                <w:szCs w:val="24"/>
              </w:rPr>
            </w:pPr>
            <w:r w:rsidRPr="00E61247">
              <w:rPr>
                <w:szCs w:val="24"/>
              </w:rPr>
              <w:t>Case No. 18-284-GA-ATA</w:t>
            </w:r>
          </w:p>
          <w:p w:rsidR="000415C1" w:rsidP="00810A0A" w14:paraId="598BE94B" w14:textId="77777777">
            <w:pPr>
              <w:rPr>
                <w:szCs w:val="24"/>
              </w:rPr>
            </w:pPr>
            <w:r w:rsidRPr="00E61247">
              <w:rPr>
                <w:szCs w:val="24"/>
              </w:rPr>
              <w:t>Case No. 19-175-GA-ATA</w:t>
            </w:r>
          </w:p>
          <w:p w:rsidR="000415C1" w:rsidP="00810A0A" w14:paraId="6781D15D" w14:textId="4B5EA678">
            <w:pPr>
              <w:rPr>
                <w:szCs w:val="24"/>
              </w:rPr>
            </w:pPr>
            <w:r>
              <w:rPr>
                <w:szCs w:val="24"/>
              </w:rPr>
              <w:t>Case No. 19-1086-GA-UNC</w:t>
            </w:r>
          </w:p>
          <w:p w:rsidR="000415C1" w:rsidP="00810A0A" w14:paraId="7A49C4EF" w14:textId="77777777">
            <w:pPr>
              <w:rPr>
                <w:szCs w:val="24"/>
              </w:rPr>
            </w:pPr>
            <w:r>
              <w:rPr>
                <w:szCs w:val="24"/>
              </w:rPr>
              <w:t>Case No. 20-54-GA-ATA</w:t>
            </w:r>
          </w:p>
          <w:p w:rsidR="000415C1" w:rsidP="00810A0A" w14:paraId="7B14F118" w14:textId="77777777">
            <w:pPr>
              <w:rPr>
                <w:szCs w:val="24"/>
              </w:rPr>
            </w:pPr>
          </w:p>
          <w:p w:rsidR="000415C1" w:rsidP="00810A0A" w14:paraId="6D7211B0" w14:textId="77777777">
            <w:pPr>
              <w:rPr>
                <w:szCs w:val="24"/>
              </w:rPr>
            </w:pPr>
          </w:p>
          <w:p w:rsidR="000415C1" w:rsidP="00810A0A" w14:paraId="4C1D8366" w14:textId="77777777">
            <w:pPr>
              <w:rPr>
                <w:szCs w:val="24"/>
              </w:rPr>
            </w:pPr>
            <w:r>
              <w:rPr>
                <w:szCs w:val="24"/>
              </w:rPr>
              <w:t>Case No. 18-1830-GA-UNC</w:t>
            </w:r>
          </w:p>
          <w:p w:rsidR="000415C1" w:rsidP="00810A0A" w14:paraId="2346C0A4" w14:textId="77777777">
            <w:pPr>
              <w:rPr>
                <w:szCs w:val="24"/>
              </w:rPr>
            </w:pPr>
          </w:p>
          <w:p w:rsidR="000415C1" w:rsidP="00810A0A" w14:paraId="6C590C39" w14:textId="77777777">
            <w:pPr>
              <w:rPr>
                <w:szCs w:val="24"/>
              </w:rPr>
            </w:pPr>
          </w:p>
          <w:p w:rsidR="000415C1" w:rsidP="00810A0A" w14:paraId="2F36CCD6" w14:textId="77777777">
            <w:pPr>
              <w:rPr>
                <w:szCs w:val="24"/>
              </w:rPr>
            </w:pPr>
          </w:p>
          <w:p w:rsidR="000415C1" w:rsidP="00810A0A" w14:paraId="645CF765" w14:textId="77777777">
            <w:pPr>
              <w:rPr>
                <w:szCs w:val="24"/>
              </w:rPr>
            </w:pPr>
            <w:r>
              <w:rPr>
                <w:szCs w:val="24"/>
              </w:rPr>
              <w:t>Case No. 18-1831-GA-</w:t>
            </w:r>
            <w:r w:rsidR="0010588C">
              <w:rPr>
                <w:szCs w:val="24"/>
              </w:rPr>
              <w:t>ATA</w:t>
            </w:r>
          </w:p>
          <w:p w:rsidR="000415C1" w:rsidP="00810A0A" w14:paraId="5D8BCCBC" w14:textId="77777777">
            <w:pPr>
              <w:rPr>
                <w:szCs w:val="24"/>
              </w:rPr>
            </w:pPr>
          </w:p>
          <w:p w:rsidR="000415C1" w:rsidP="00810A0A" w14:paraId="573A297A" w14:textId="77777777">
            <w:pPr>
              <w:rPr>
                <w:szCs w:val="24"/>
              </w:rPr>
            </w:pPr>
          </w:p>
          <w:p w:rsidR="000415C1" w:rsidP="00810A0A" w14:paraId="6D561DB6" w14:textId="77777777">
            <w:pPr>
              <w:rPr>
                <w:szCs w:val="24"/>
              </w:rPr>
            </w:pPr>
          </w:p>
          <w:p w:rsidR="000415C1" w:rsidRPr="00E61247" w:rsidP="00810A0A" w14:paraId="1BBEBAA4" w14:textId="77777777">
            <w:pPr>
              <w:rPr>
                <w:szCs w:val="24"/>
              </w:rPr>
            </w:pPr>
            <w:r>
              <w:rPr>
                <w:szCs w:val="24"/>
              </w:rPr>
              <w:t>Case No. 19-1085-GA-AAM</w:t>
            </w:r>
          </w:p>
        </w:tc>
      </w:tr>
    </w:tbl>
    <w:p w:rsidR="000415C1" w:rsidRPr="00E61247" w:rsidP="000415C1" w14:paraId="61FB944D" w14:textId="77777777">
      <w:pPr>
        <w:tabs>
          <w:tab w:val="left" w:pos="-720"/>
        </w:tabs>
        <w:suppressAutoHyphens/>
        <w:jc w:val="center"/>
        <w:rPr>
          <w:b/>
          <w:spacing w:val="-3"/>
          <w:szCs w:val="24"/>
        </w:rPr>
      </w:pPr>
    </w:p>
    <w:p w:rsidR="000415C1" w:rsidP="000415C1" w14:paraId="0B754A48" w14:textId="77777777">
      <w:pPr>
        <w:tabs>
          <w:tab w:val="left" w:pos="-720"/>
        </w:tabs>
        <w:suppressAutoHyphens/>
        <w:jc w:val="center"/>
        <w:rPr>
          <w:b/>
          <w:spacing w:val="-3"/>
          <w:szCs w:val="24"/>
        </w:rPr>
      </w:pPr>
      <w:r>
        <w:rPr>
          <w:b/>
          <w:spacing w:val="-3"/>
          <w:szCs w:val="24"/>
        </w:rPr>
        <w:t>INITIAL BRIEF</w:t>
      </w:r>
    </w:p>
    <w:p w:rsidR="000415C1" w:rsidRPr="00E61247" w:rsidP="000415C1" w14:paraId="2DAF6CBF" w14:textId="77777777">
      <w:pPr>
        <w:tabs>
          <w:tab w:val="left" w:pos="-720"/>
        </w:tabs>
        <w:suppressAutoHyphens/>
        <w:jc w:val="center"/>
        <w:rPr>
          <w:b/>
          <w:spacing w:val="-3"/>
          <w:szCs w:val="24"/>
        </w:rPr>
      </w:pPr>
      <w:r w:rsidRPr="00E61247">
        <w:rPr>
          <w:b/>
          <w:spacing w:val="-3"/>
          <w:szCs w:val="24"/>
        </w:rPr>
        <w:t>BY</w:t>
      </w:r>
    </w:p>
    <w:p w:rsidR="000415C1" w:rsidRPr="00E61247" w:rsidP="000415C1" w14:paraId="3DEBA4E4" w14:textId="77777777">
      <w:pPr>
        <w:tabs>
          <w:tab w:val="left" w:pos="-720"/>
        </w:tabs>
        <w:suppressAutoHyphens/>
        <w:jc w:val="center"/>
        <w:rPr>
          <w:b/>
          <w:spacing w:val="-3"/>
          <w:szCs w:val="24"/>
        </w:rPr>
      </w:pPr>
      <w:r w:rsidRPr="00E61247">
        <w:rPr>
          <w:b/>
          <w:spacing w:val="-3"/>
          <w:szCs w:val="24"/>
        </w:rPr>
        <w:t>OFFICE OF THE OHIO CONSUMERS’ COUNSEL</w:t>
      </w:r>
    </w:p>
    <w:p w:rsidR="000415C1" w:rsidRPr="00E61247" w:rsidP="000415C1" w14:paraId="14219FF0" w14:textId="77777777">
      <w:pPr>
        <w:pBdr>
          <w:bottom w:val="single" w:sz="12" w:space="1" w:color="auto"/>
        </w:pBdr>
        <w:tabs>
          <w:tab w:val="left" w:pos="-720"/>
        </w:tabs>
        <w:suppressAutoHyphens/>
        <w:jc w:val="center"/>
        <w:rPr>
          <w:b/>
          <w:spacing w:val="-3"/>
          <w:szCs w:val="24"/>
        </w:rPr>
      </w:pPr>
    </w:p>
    <w:p w:rsidR="000415C1" w14:paraId="69017D3F" w14:textId="77777777">
      <w:pPr>
        <w:spacing w:after="200" w:line="276" w:lineRule="auto"/>
        <w:rPr>
          <w:rFonts w:eastAsia="Courier New"/>
          <w:b/>
          <w:bCs/>
          <w:szCs w:val="24"/>
        </w:rPr>
      </w:pPr>
      <w:r>
        <w:rPr>
          <w:b/>
          <w:bCs/>
          <w:szCs w:val="24"/>
        </w:rPr>
        <w:br w:type="page"/>
      </w:r>
    </w:p>
    <w:p w:rsidR="000415C1" w:rsidRPr="00E61247" w:rsidP="000415C1" w14:paraId="792EC987" w14:textId="77777777">
      <w:pPr>
        <w:ind w:left="4320" w:hanging="360"/>
        <w:rPr>
          <w:szCs w:val="24"/>
        </w:rPr>
      </w:pPr>
      <w:r w:rsidRPr="00E61247">
        <w:rPr>
          <w:szCs w:val="24"/>
        </w:rPr>
        <w:t>Bruce Weston (0016973)</w:t>
      </w:r>
    </w:p>
    <w:p w:rsidR="000415C1" w:rsidRPr="00E61247" w:rsidP="000415C1" w14:paraId="12F6329D" w14:textId="77777777">
      <w:pPr>
        <w:tabs>
          <w:tab w:val="left" w:pos="4320"/>
        </w:tabs>
        <w:ind w:left="4320" w:hanging="360"/>
        <w:rPr>
          <w:szCs w:val="24"/>
        </w:rPr>
      </w:pPr>
      <w:r w:rsidRPr="00E61247">
        <w:rPr>
          <w:szCs w:val="24"/>
        </w:rPr>
        <w:t>Ohio Consumers’ Counsel</w:t>
      </w:r>
    </w:p>
    <w:p w:rsidR="000415C1" w:rsidRPr="00E61247" w:rsidP="000415C1" w14:paraId="0A005A2D" w14:textId="77777777">
      <w:pPr>
        <w:tabs>
          <w:tab w:val="left" w:pos="4320"/>
        </w:tabs>
        <w:ind w:left="4320" w:hanging="360"/>
        <w:rPr>
          <w:szCs w:val="24"/>
        </w:rPr>
      </w:pPr>
    </w:p>
    <w:p w:rsidR="000415C1" w:rsidRPr="00E61247" w:rsidP="000415C1" w14:paraId="4A90191C" w14:textId="77777777">
      <w:pPr>
        <w:tabs>
          <w:tab w:val="left" w:pos="4320"/>
        </w:tabs>
        <w:ind w:left="4320" w:hanging="360"/>
        <w:rPr>
          <w:szCs w:val="24"/>
        </w:rPr>
      </w:pPr>
      <w:r w:rsidRPr="00E61247">
        <w:rPr>
          <w:szCs w:val="24"/>
        </w:rPr>
        <w:t>Christopher Healey (0086027)</w:t>
      </w:r>
    </w:p>
    <w:p w:rsidR="000415C1" w:rsidRPr="00E61247" w:rsidP="000415C1" w14:paraId="152019D2" w14:textId="77777777">
      <w:pPr>
        <w:tabs>
          <w:tab w:val="left" w:pos="4320"/>
        </w:tabs>
        <w:ind w:left="4320" w:hanging="360"/>
        <w:rPr>
          <w:szCs w:val="24"/>
        </w:rPr>
      </w:pPr>
      <w:r w:rsidRPr="00E61247">
        <w:rPr>
          <w:szCs w:val="24"/>
        </w:rPr>
        <w:t>Counsel of Record</w:t>
      </w:r>
      <w:r>
        <w:rPr>
          <w:szCs w:val="24"/>
        </w:rPr>
        <w:t xml:space="preserve"> (Case No. 14-375-GA-RDR, et al.)</w:t>
      </w:r>
    </w:p>
    <w:p w:rsidR="000415C1" w:rsidRPr="00E61247" w:rsidP="000415C1" w14:paraId="0B8B4E2E" w14:textId="77777777">
      <w:pPr>
        <w:tabs>
          <w:tab w:val="left" w:pos="4320"/>
        </w:tabs>
        <w:ind w:left="4320" w:hanging="360"/>
        <w:rPr>
          <w:szCs w:val="24"/>
        </w:rPr>
      </w:pPr>
      <w:r w:rsidRPr="00E61247">
        <w:rPr>
          <w:szCs w:val="24"/>
        </w:rPr>
        <w:t>Amy Botschner O’Brien (0074423)</w:t>
      </w:r>
    </w:p>
    <w:p w:rsidR="000415C1" w:rsidRPr="00E61247" w:rsidP="000415C1" w14:paraId="7A42F9B9" w14:textId="77777777">
      <w:pPr>
        <w:tabs>
          <w:tab w:val="left" w:pos="4320"/>
        </w:tabs>
        <w:ind w:left="4320" w:hanging="360"/>
        <w:rPr>
          <w:szCs w:val="24"/>
        </w:rPr>
      </w:pPr>
      <w:r w:rsidRPr="00E61247">
        <w:rPr>
          <w:szCs w:val="24"/>
        </w:rPr>
        <w:t>Assistant Consumers’ Counsel</w:t>
      </w:r>
    </w:p>
    <w:p w:rsidR="000415C1" w:rsidRPr="00E61247" w:rsidP="000415C1" w14:paraId="76732531" w14:textId="77777777">
      <w:pPr>
        <w:tabs>
          <w:tab w:val="left" w:pos="4320"/>
        </w:tabs>
        <w:ind w:left="4320" w:hanging="360"/>
        <w:rPr>
          <w:szCs w:val="24"/>
        </w:rPr>
      </w:pPr>
    </w:p>
    <w:p w:rsidR="000415C1" w:rsidRPr="00E61247" w:rsidP="000415C1" w14:paraId="3A66B3B9" w14:textId="77777777">
      <w:pPr>
        <w:ind w:left="3600" w:firstLine="360"/>
        <w:rPr>
          <w:b/>
          <w:bCs/>
          <w:szCs w:val="24"/>
        </w:rPr>
      </w:pPr>
      <w:r w:rsidRPr="00E61247">
        <w:rPr>
          <w:b/>
          <w:bCs/>
          <w:szCs w:val="24"/>
        </w:rPr>
        <w:t>Office of the Ohio Consumers’ Counsel</w:t>
      </w:r>
    </w:p>
    <w:p w:rsidR="000415C1" w:rsidRPr="00E61247" w:rsidP="000415C1" w14:paraId="1109A1D7" w14:textId="77777777">
      <w:pPr>
        <w:ind w:left="3600" w:firstLine="360"/>
        <w:rPr>
          <w:b/>
          <w:szCs w:val="24"/>
        </w:rPr>
      </w:pPr>
      <w:r w:rsidRPr="00E61247">
        <w:rPr>
          <w:szCs w:val="24"/>
        </w:rPr>
        <w:t xml:space="preserve">65 East State Street, </w:t>
      </w:r>
      <w:r>
        <w:rPr>
          <w:szCs w:val="24"/>
        </w:rPr>
        <w:t>Suite 700</w:t>
      </w:r>
    </w:p>
    <w:p w:rsidR="000415C1" w:rsidRPr="00E61247" w:rsidP="000415C1" w14:paraId="39928295" w14:textId="77777777">
      <w:pPr>
        <w:ind w:left="3600" w:firstLine="360"/>
        <w:rPr>
          <w:b/>
          <w:szCs w:val="24"/>
        </w:rPr>
      </w:pPr>
      <w:r w:rsidRPr="00E61247">
        <w:rPr>
          <w:szCs w:val="24"/>
        </w:rPr>
        <w:t>Columbus, Ohio 43215-4213</w:t>
      </w:r>
    </w:p>
    <w:p w:rsidR="000415C1" w:rsidRPr="00E61247" w:rsidP="000415C1" w14:paraId="44A860ED" w14:textId="77777777">
      <w:pPr>
        <w:autoSpaceDE w:val="0"/>
        <w:autoSpaceDN w:val="0"/>
        <w:adjustRightInd w:val="0"/>
        <w:ind w:left="3600" w:firstLine="360"/>
        <w:rPr>
          <w:szCs w:val="24"/>
        </w:rPr>
      </w:pPr>
      <w:r w:rsidRPr="00E61247">
        <w:rPr>
          <w:szCs w:val="24"/>
        </w:rPr>
        <w:t>Telephone [Healey]: (614) 466-9571</w:t>
      </w:r>
    </w:p>
    <w:p w:rsidR="000415C1" w:rsidRPr="00E61247" w:rsidP="000415C1" w14:paraId="0A9B32ED" w14:textId="77777777">
      <w:pPr>
        <w:autoSpaceDE w:val="0"/>
        <w:autoSpaceDN w:val="0"/>
        <w:adjustRightInd w:val="0"/>
        <w:ind w:left="3600" w:firstLine="360"/>
        <w:rPr>
          <w:szCs w:val="24"/>
        </w:rPr>
      </w:pPr>
      <w:r w:rsidRPr="00E61247">
        <w:rPr>
          <w:szCs w:val="24"/>
        </w:rPr>
        <w:t>Telephone [Botschner]: (614) 466-9575</w:t>
      </w:r>
    </w:p>
    <w:p w:rsidR="000415C1" w:rsidRPr="00E61247" w:rsidP="000415C1" w14:paraId="7EFD64DE" w14:textId="77777777">
      <w:pPr>
        <w:ind w:left="4320" w:hanging="360"/>
        <w:rPr>
          <w:rStyle w:val="Hyperlink"/>
          <w:szCs w:val="24"/>
        </w:rPr>
      </w:pPr>
      <w:r w:rsidRPr="00E61247">
        <w:rPr>
          <w:rStyle w:val="Hyperlink"/>
          <w:szCs w:val="24"/>
        </w:rPr>
        <w:t>christopher.healey@occ.ohio.gov</w:t>
      </w:r>
    </w:p>
    <w:p w:rsidR="000415C1" w:rsidRPr="00E61247" w:rsidP="000415C1" w14:paraId="5A139062" w14:textId="77777777">
      <w:pPr>
        <w:ind w:left="4320" w:hanging="360"/>
        <w:rPr>
          <w:rStyle w:val="Hyperlink"/>
          <w:szCs w:val="24"/>
        </w:rPr>
      </w:pPr>
      <w:r w:rsidRPr="00E61247">
        <w:rPr>
          <w:rStyle w:val="Hyperlink"/>
          <w:szCs w:val="24"/>
        </w:rPr>
        <w:t>amy.botschner.obrien@occ.ohio.gov</w:t>
      </w:r>
    </w:p>
    <w:p w:rsidR="000415C1" w:rsidP="000415C1" w14:paraId="3B96E3A2" w14:textId="77777777">
      <w:pPr>
        <w:ind w:left="4320" w:hanging="360"/>
        <w:rPr>
          <w:szCs w:val="24"/>
        </w:rPr>
      </w:pPr>
      <w:r w:rsidRPr="00E61247">
        <w:rPr>
          <w:szCs w:val="24"/>
        </w:rPr>
        <w:t>(willing to accept service by e-mail)</w:t>
      </w:r>
    </w:p>
    <w:p w:rsidR="000415C1" w:rsidP="000415C1" w14:paraId="26A78423" w14:textId="77777777">
      <w:pPr>
        <w:tabs>
          <w:tab w:val="left" w:pos="4320"/>
        </w:tabs>
        <w:ind w:left="4320" w:hanging="360"/>
      </w:pPr>
    </w:p>
    <w:p w:rsidR="000415C1" w:rsidRPr="00C743FA" w:rsidP="000415C1" w14:paraId="0384F4BB" w14:textId="77777777">
      <w:pPr>
        <w:tabs>
          <w:tab w:val="left" w:pos="4320"/>
        </w:tabs>
        <w:ind w:left="4320" w:hanging="360"/>
      </w:pPr>
      <w:r w:rsidRPr="00C743FA">
        <w:t>William J. Michael (0070921)</w:t>
      </w:r>
    </w:p>
    <w:p w:rsidR="000415C1" w:rsidRPr="00C743FA" w:rsidP="000415C1" w14:paraId="1EAD5E63" w14:textId="77777777">
      <w:pPr>
        <w:tabs>
          <w:tab w:val="left" w:pos="4320"/>
        </w:tabs>
        <w:ind w:left="4320" w:hanging="360"/>
      </w:pPr>
      <w:r w:rsidRPr="00C743FA">
        <w:t>Counsel of Record</w:t>
      </w:r>
      <w:r>
        <w:t xml:space="preserve"> (Case No. 18-1830-GA-UNC)</w:t>
      </w:r>
    </w:p>
    <w:p w:rsidR="000415C1" w:rsidRPr="00C743FA" w:rsidP="000415C1" w14:paraId="7C0AB522" w14:textId="77777777">
      <w:pPr>
        <w:tabs>
          <w:tab w:val="left" w:pos="4320"/>
        </w:tabs>
        <w:ind w:left="4320" w:hanging="360"/>
      </w:pPr>
      <w:r w:rsidRPr="00C743FA">
        <w:t>Angel</w:t>
      </w:r>
      <w:r>
        <w:t>a</w:t>
      </w:r>
      <w:r w:rsidRPr="00C743FA">
        <w:t xml:space="preserve"> </w:t>
      </w:r>
      <w:r>
        <w:t xml:space="preserve">D. </w:t>
      </w:r>
      <w:r w:rsidRPr="00C743FA">
        <w:t>O</w:t>
      </w:r>
      <w:r>
        <w:t>’</w:t>
      </w:r>
      <w:r w:rsidRPr="00C743FA">
        <w:t>Brien (0097579)</w:t>
      </w:r>
    </w:p>
    <w:p w:rsidR="000415C1" w:rsidRPr="00C743FA" w:rsidP="000415C1" w14:paraId="41D3C9E5" w14:textId="77777777">
      <w:pPr>
        <w:tabs>
          <w:tab w:val="left" w:pos="4320"/>
        </w:tabs>
        <w:ind w:left="4320" w:hanging="360"/>
      </w:pPr>
      <w:r w:rsidRPr="00C743FA">
        <w:t xml:space="preserve">Ambrosia </w:t>
      </w:r>
      <w:r>
        <w:t>E. Wilson</w:t>
      </w:r>
      <w:r w:rsidRPr="00C743FA">
        <w:t xml:space="preserve"> (0096598)</w:t>
      </w:r>
    </w:p>
    <w:p w:rsidR="000415C1" w:rsidP="000415C1" w14:paraId="74F5296F" w14:textId="77777777">
      <w:pPr>
        <w:tabs>
          <w:tab w:val="left" w:pos="4320"/>
        </w:tabs>
        <w:ind w:left="4320" w:hanging="360"/>
      </w:pPr>
      <w:r w:rsidRPr="00C743FA">
        <w:t>Assistant Consumers</w:t>
      </w:r>
      <w:r>
        <w:t>’</w:t>
      </w:r>
      <w:r w:rsidRPr="00C743FA">
        <w:t xml:space="preserve"> Counsel </w:t>
      </w:r>
    </w:p>
    <w:p w:rsidR="000415C1" w:rsidP="000415C1" w14:paraId="7C437FF5" w14:textId="77777777">
      <w:pPr>
        <w:ind w:left="4320" w:hanging="360"/>
      </w:pPr>
    </w:p>
    <w:p w:rsidR="000415C1" w:rsidRPr="00C743FA" w:rsidP="000415C1" w14:paraId="4490C4ED" w14:textId="77777777">
      <w:pPr>
        <w:ind w:left="4320" w:hanging="360"/>
        <w:rPr>
          <w:b/>
        </w:rPr>
      </w:pPr>
      <w:r w:rsidRPr="00C743FA">
        <w:rPr>
          <w:b/>
        </w:rPr>
        <w:t>Office of the Ohio Consumers</w:t>
      </w:r>
      <w:r>
        <w:rPr>
          <w:b/>
        </w:rPr>
        <w:t>’</w:t>
      </w:r>
      <w:r w:rsidRPr="00C743FA">
        <w:rPr>
          <w:b/>
        </w:rPr>
        <w:t xml:space="preserve"> Counsel</w:t>
      </w:r>
    </w:p>
    <w:p w:rsidR="000415C1" w:rsidRPr="00C743FA" w:rsidP="000415C1" w14:paraId="00DF99BC" w14:textId="77777777">
      <w:pPr>
        <w:tabs>
          <w:tab w:val="left" w:pos="4320"/>
        </w:tabs>
        <w:ind w:left="4320" w:hanging="360"/>
      </w:pPr>
      <w:r w:rsidRPr="00C743FA">
        <w:t xml:space="preserve">65 East State Street, </w:t>
      </w:r>
      <w:r w:rsidR="00B72CDB">
        <w:t>Suite 700</w:t>
      </w:r>
    </w:p>
    <w:p w:rsidR="000415C1" w:rsidRPr="00C743FA" w:rsidP="000415C1" w14:paraId="1D196869" w14:textId="77777777">
      <w:pPr>
        <w:tabs>
          <w:tab w:val="left" w:pos="4320"/>
        </w:tabs>
        <w:ind w:left="4320" w:hanging="360"/>
      </w:pPr>
      <w:r w:rsidRPr="00C743FA">
        <w:t>Columbus, Ohio 43215-4213</w:t>
      </w:r>
    </w:p>
    <w:p w:rsidR="000415C1" w:rsidRPr="00C743FA" w:rsidP="000415C1" w14:paraId="72C756F0" w14:textId="77777777">
      <w:pPr>
        <w:tabs>
          <w:tab w:val="left" w:pos="4320"/>
        </w:tabs>
        <w:ind w:left="4320" w:hanging="360"/>
      </w:pPr>
      <w:r w:rsidRPr="00C743FA">
        <w:t>Telephone: (614) 466-1291 (Michael)</w:t>
      </w:r>
    </w:p>
    <w:p w:rsidR="000415C1" w:rsidRPr="00C743FA" w:rsidP="000415C1" w14:paraId="645F35E0" w14:textId="77777777">
      <w:pPr>
        <w:tabs>
          <w:tab w:val="left" w:pos="4320"/>
        </w:tabs>
        <w:ind w:left="4320" w:hanging="360"/>
      </w:pPr>
      <w:r w:rsidRPr="00C743FA">
        <w:t>Telephone: (614) 466-</w:t>
      </w:r>
      <w:r>
        <w:t>9531</w:t>
      </w:r>
      <w:r w:rsidRPr="00C743FA">
        <w:t xml:space="preserve"> (O</w:t>
      </w:r>
      <w:r>
        <w:t>’</w:t>
      </w:r>
      <w:r w:rsidRPr="00C743FA">
        <w:t xml:space="preserve">Brien) </w:t>
      </w:r>
    </w:p>
    <w:p w:rsidR="000415C1" w:rsidRPr="00C743FA" w:rsidP="000415C1" w14:paraId="33A2BE33" w14:textId="77777777">
      <w:pPr>
        <w:tabs>
          <w:tab w:val="left" w:pos="4320"/>
        </w:tabs>
        <w:ind w:left="4320" w:hanging="360"/>
      </w:pPr>
      <w:r w:rsidRPr="00C743FA">
        <w:t>Telephone: (614) 466-1292 (</w:t>
      </w:r>
      <w:r>
        <w:t>Wilson</w:t>
      </w:r>
      <w:r w:rsidRPr="00C743FA">
        <w:t xml:space="preserve">) </w:t>
      </w:r>
    </w:p>
    <w:p w:rsidR="000415C1" w:rsidRPr="00627C88" w:rsidP="000415C1" w14:paraId="05676C9E" w14:textId="77777777">
      <w:pPr>
        <w:ind w:left="4320" w:hanging="360"/>
        <w:rPr>
          <w:rStyle w:val="Hyperlink"/>
          <w:rFonts w:eastAsiaTheme="majorEastAsia"/>
          <w:szCs w:val="24"/>
        </w:rPr>
      </w:pPr>
      <w:hyperlink r:id="rId6" w:history="1">
        <w:r w:rsidRPr="00627C88" w:rsidR="00521B2B">
          <w:rPr>
            <w:rStyle w:val="Hyperlink"/>
            <w:rFonts w:eastAsiaTheme="majorEastAsia"/>
            <w:szCs w:val="24"/>
          </w:rPr>
          <w:t>william.michael@occ.ohio.gov</w:t>
        </w:r>
      </w:hyperlink>
    </w:p>
    <w:p w:rsidR="000415C1" w:rsidRPr="00627C88" w:rsidP="000415C1" w14:paraId="6BBEA4D0" w14:textId="77777777">
      <w:pPr>
        <w:ind w:left="4320" w:hanging="360"/>
        <w:rPr>
          <w:rStyle w:val="Hyperlink"/>
          <w:rFonts w:eastAsiaTheme="majorEastAsia"/>
          <w:szCs w:val="24"/>
        </w:rPr>
      </w:pPr>
      <w:hyperlink r:id="rId7" w:history="1">
        <w:r w:rsidRPr="00627C88" w:rsidR="00521B2B">
          <w:rPr>
            <w:rStyle w:val="Hyperlink"/>
            <w:rFonts w:eastAsiaTheme="majorEastAsia"/>
            <w:szCs w:val="24"/>
          </w:rPr>
          <w:t>angela.obrien@occ.ohio.gov</w:t>
        </w:r>
      </w:hyperlink>
    </w:p>
    <w:p w:rsidR="000415C1" w:rsidRPr="00627C88" w:rsidP="000415C1" w14:paraId="0BC5C158" w14:textId="77777777">
      <w:pPr>
        <w:ind w:left="4320" w:hanging="360"/>
        <w:rPr>
          <w:rStyle w:val="Hyperlink"/>
          <w:rFonts w:eastAsiaTheme="majorEastAsia"/>
          <w:szCs w:val="24"/>
        </w:rPr>
      </w:pPr>
      <w:hyperlink r:id="rId8" w:history="1">
        <w:r w:rsidRPr="002A4414" w:rsidR="00521B2B">
          <w:rPr>
            <w:rStyle w:val="Hyperlink"/>
            <w:rFonts w:eastAsiaTheme="majorEastAsia"/>
            <w:szCs w:val="24"/>
          </w:rPr>
          <w:t>ambrosia.wilson@occ.ohio.gov</w:t>
        </w:r>
      </w:hyperlink>
    </w:p>
    <w:p w:rsidR="000415C1" w:rsidP="00B72CDB" w14:paraId="3C96F129" w14:textId="77777777">
      <w:pPr>
        <w:ind w:left="3960" w:hanging="3960"/>
      </w:pPr>
      <w:r>
        <w:t>December 9, 2021</w:t>
      </w:r>
      <w:r>
        <w:tab/>
      </w:r>
      <w:r w:rsidRPr="00C743FA">
        <w:t>(will</w:t>
      </w:r>
      <w:r>
        <w:t xml:space="preserve">ing to </w:t>
      </w:r>
      <w:r w:rsidRPr="00C743FA">
        <w:t xml:space="preserve">accept service </w:t>
      </w:r>
      <w:r>
        <w:t>by e-</w:t>
      </w:r>
      <w:r w:rsidRPr="00C743FA">
        <w:t>mail)</w:t>
      </w:r>
    </w:p>
    <w:p w:rsidR="000415C1" w:rsidP="004D302D" w14:paraId="05AE8179" w14:textId="77777777">
      <w:pPr>
        <w:pStyle w:val="HTMLPreformatted"/>
        <w:jc w:val="center"/>
        <w:rPr>
          <w:rFonts w:ascii="Times New Roman" w:hAnsi="Times New Roman" w:cs="Times New Roman"/>
          <w:b/>
          <w:bCs/>
          <w:sz w:val="24"/>
          <w:szCs w:val="24"/>
        </w:rPr>
      </w:pPr>
    </w:p>
    <w:p w:rsidR="000415C1" w:rsidP="004D302D" w14:paraId="12A9AEB0" w14:textId="77777777">
      <w:pPr>
        <w:pStyle w:val="HTMLPreformatted"/>
        <w:jc w:val="center"/>
        <w:rPr>
          <w:rFonts w:ascii="Times New Roman" w:hAnsi="Times New Roman" w:cs="Times New Roman"/>
          <w:b/>
          <w:bCs/>
          <w:sz w:val="24"/>
          <w:szCs w:val="24"/>
        </w:rPr>
      </w:pPr>
    </w:p>
    <w:p w:rsidR="000415C1" w:rsidP="004D302D" w14:paraId="129F6477" w14:textId="77777777">
      <w:pPr>
        <w:pStyle w:val="HTMLPreformatted"/>
        <w:jc w:val="center"/>
        <w:rPr>
          <w:rFonts w:ascii="Times New Roman" w:hAnsi="Times New Roman" w:cs="Times New Roman"/>
          <w:b/>
          <w:bCs/>
          <w:sz w:val="24"/>
          <w:szCs w:val="24"/>
        </w:rPr>
        <w:sectPr w:rsidSect="00D1611D">
          <w:pgSz w:w="12240" w:h="15840"/>
          <w:pgMar w:top="1440" w:right="1440" w:bottom="1440" w:left="1440" w:header="720" w:footer="720" w:gutter="0"/>
          <w:pgNumType w:start="2"/>
          <w:cols w:space="720"/>
          <w:docGrid w:linePitch="360"/>
        </w:sectPr>
      </w:pPr>
    </w:p>
    <w:p w:rsidR="004B2B16" w:rsidP="004D302D" w14:paraId="07DDEA7F" w14:textId="77777777">
      <w:pPr>
        <w:pStyle w:val="HTMLPreformatted"/>
        <w:jc w:val="center"/>
        <w:rPr>
          <w:rFonts w:ascii="Times New Roman" w:hAnsi="Times New Roman" w:cs="Times New Roman"/>
          <w:b/>
          <w:bCs/>
          <w:sz w:val="24"/>
          <w:szCs w:val="24"/>
          <w:u w:val="single"/>
        </w:rPr>
      </w:pPr>
      <w:r w:rsidRPr="004B2B16">
        <w:rPr>
          <w:rFonts w:ascii="Times New Roman" w:hAnsi="Times New Roman" w:cs="Times New Roman"/>
          <w:b/>
          <w:bCs/>
          <w:sz w:val="24"/>
          <w:szCs w:val="24"/>
          <w:u w:val="single"/>
        </w:rPr>
        <w:t>TABLE OF CONTENTS</w:t>
      </w:r>
    </w:p>
    <w:p w:rsidR="004B2B16" w:rsidP="004D302D" w14:paraId="6779C5A1" w14:textId="77777777">
      <w:pPr>
        <w:pStyle w:val="HTMLPreformatted"/>
        <w:jc w:val="center"/>
        <w:rPr>
          <w:rFonts w:ascii="Times New Roman" w:hAnsi="Times New Roman" w:cs="Times New Roman"/>
          <w:b/>
          <w:bCs/>
          <w:sz w:val="24"/>
          <w:szCs w:val="24"/>
          <w:u w:val="single"/>
        </w:rPr>
      </w:pPr>
    </w:p>
    <w:p w:rsidR="004B2B16" w:rsidP="004B2B16" w14:paraId="459F93DE" w14:textId="77777777">
      <w:pPr>
        <w:pStyle w:val="HTMLPreformatted"/>
        <w:jc w:val="right"/>
        <w:rPr>
          <w:rFonts w:ascii="Times New Roman" w:hAnsi="Times New Roman" w:cs="Times New Roman"/>
          <w:b/>
          <w:bCs/>
          <w:sz w:val="24"/>
          <w:szCs w:val="24"/>
        </w:rPr>
      </w:pPr>
      <w:r>
        <w:rPr>
          <w:rFonts w:ascii="Times New Roman" w:hAnsi="Times New Roman" w:cs="Times New Roman"/>
          <w:b/>
          <w:bCs/>
          <w:sz w:val="24"/>
          <w:szCs w:val="24"/>
        </w:rPr>
        <w:t>PAGE</w:t>
      </w:r>
    </w:p>
    <w:p w:rsidR="00030CD6" w:rsidP="004B2B16" w14:paraId="15F89872" w14:textId="77777777">
      <w:pPr>
        <w:pStyle w:val="HTMLPreformatted"/>
        <w:jc w:val="right"/>
        <w:rPr>
          <w:rFonts w:ascii="Times New Roman" w:hAnsi="Times New Roman" w:cs="Times New Roman"/>
          <w:b/>
          <w:bCs/>
          <w:sz w:val="24"/>
          <w:szCs w:val="24"/>
        </w:rPr>
      </w:pPr>
    </w:p>
    <w:p w:rsidR="00030CD6" w14:paraId="7CFD1D5C" w14:textId="77777777">
      <w:pPr>
        <w:pStyle w:val="TOC1"/>
        <w:rPr>
          <w:rFonts w:asciiTheme="minorHAnsi" w:eastAsiaTheme="minorEastAsia" w:hAnsiTheme="minorHAnsi" w:cstheme="minorBidi"/>
          <w:caps w:val="0"/>
          <w:sz w:val="22"/>
          <w:szCs w:val="22"/>
        </w:rPr>
      </w:pPr>
      <w:r>
        <w:rPr>
          <w:b/>
          <w:bCs/>
          <w:szCs w:val="24"/>
        </w:rPr>
        <w:fldChar w:fldCharType="begin"/>
      </w:r>
      <w:r>
        <w:rPr>
          <w:b/>
          <w:bCs/>
          <w:szCs w:val="24"/>
        </w:rPr>
        <w:instrText xml:space="preserve"> TOC \o "1-3" \h \z \u </w:instrText>
      </w:r>
      <w:r>
        <w:rPr>
          <w:b/>
          <w:bCs/>
          <w:szCs w:val="24"/>
        </w:rPr>
        <w:fldChar w:fldCharType="separate"/>
      </w:r>
      <w:hyperlink w:anchor="_Toc89938042" w:history="1">
        <w:r w:rsidRPr="00F22F26">
          <w:rPr>
            <w:rStyle w:val="Hyperlink"/>
            <w:bCs/>
          </w:rPr>
          <w:t>I.</w:t>
        </w:r>
        <w:r>
          <w:rPr>
            <w:rFonts w:asciiTheme="minorHAnsi" w:eastAsiaTheme="minorEastAsia" w:hAnsiTheme="minorHAnsi" w:cstheme="minorBidi"/>
            <w:caps w:val="0"/>
            <w:sz w:val="22"/>
            <w:szCs w:val="22"/>
          </w:rPr>
          <w:tab/>
        </w:r>
        <w:r w:rsidRPr="00F22F26">
          <w:rPr>
            <w:rStyle w:val="Hyperlink"/>
          </w:rPr>
          <w:t>STANDARD OF REVIEW</w:t>
        </w:r>
        <w:r>
          <w:rPr>
            <w:webHidden/>
          </w:rPr>
          <w:tab/>
        </w:r>
        <w:r>
          <w:rPr>
            <w:webHidden/>
          </w:rPr>
          <w:fldChar w:fldCharType="begin"/>
        </w:r>
        <w:r>
          <w:rPr>
            <w:webHidden/>
          </w:rPr>
          <w:instrText xml:space="preserve"> PAGEREF _Toc89938042 \h </w:instrText>
        </w:r>
        <w:r>
          <w:rPr>
            <w:webHidden/>
          </w:rPr>
          <w:fldChar w:fldCharType="separate"/>
        </w:r>
        <w:r>
          <w:rPr>
            <w:webHidden/>
          </w:rPr>
          <w:t>3</w:t>
        </w:r>
        <w:r>
          <w:rPr>
            <w:webHidden/>
          </w:rPr>
          <w:fldChar w:fldCharType="end"/>
        </w:r>
      </w:hyperlink>
    </w:p>
    <w:p w:rsidR="00030CD6" w14:paraId="155C4B5C" w14:textId="77777777">
      <w:pPr>
        <w:pStyle w:val="TOC1"/>
        <w:rPr>
          <w:rFonts w:asciiTheme="minorHAnsi" w:eastAsiaTheme="minorEastAsia" w:hAnsiTheme="minorHAnsi" w:cstheme="minorBidi"/>
          <w:caps w:val="0"/>
          <w:sz w:val="22"/>
          <w:szCs w:val="22"/>
        </w:rPr>
      </w:pPr>
      <w:hyperlink w:anchor="_Toc89938043" w:history="1">
        <w:r w:rsidRPr="00F22F26" w:rsidR="00521B2B">
          <w:rPr>
            <w:rStyle w:val="Hyperlink"/>
            <w:bCs/>
          </w:rPr>
          <w:t>II.</w:t>
        </w:r>
        <w:r w:rsidR="00521B2B">
          <w:rPr>
            <w:rFonts w:asciiTheme="minorHAnsi" w:eastAsiaTheme="minorEastAsia" w:hAnsiTheme="minorHAnsi" w:cstheme="minorBidi"/>
            <w:caps w:val="0"/>
            <w:sz w:val="22"/>
            <w:szCs w:val="22"/>
          </w:rPr>
          <w:tab/>
        </w:r>
        <w:r w:rsidRPr="00F22F26" w:rsidR="00521B2B">
          <w:rPr>
            <w:rStyle w:val="Hyperlink"/>
          </w:rPr>
          <w:t>RECOMMENDATIONS</w:t>
        </w:r>
        <w:r w:rsidR="00521B2B">
          <w:rPr>
            <w:webHidden/>
          </w:rPr>
          <w:tab/>
        </w:r>
        <w:r w:rsidR="00521B2B">
          <w:rPr>
            <w:webHidden/>
          </w:rPr>
          <w:fldChar w:fldCharType="begin"/>
        </w:r>
        <w:r w:rsidR="00521B2B">
          <w:rPr>
            <w:webHidden/>
          </w:rPr>
          <w:instrText xml:space="preserve"> PAGEREF _Toc89938043 \h </w:instrText>
        </w:r>
        <w:r w:rsidR="00521B2B">
          <w:rPr>
            <w:webHidden/>
          </w:rPr>
          <w:fldChar w:fldCharType="separate"/>
        </w:r>
        <w:r w:rsidR="00521B2B">
          <w:rPr>
            <w:webHidden/>
          </w:rPr>
          <w:t>4</w:t>
        </w:r>
        <w:r w:rsidR="00521B2B">
          <w:rPr>
            <w:webHidden/>
          </w:rPr>
          <w:fldChar w:fldCharType="end"/>
        </w:r>
      </w:hyperlink>
    </w:p>
    <w:p w:rsidR="00030CD6" w14:paraId="10C3C27F" w14:textId="77777777">
      <w:pPr>
        <w:pStyle w:val="TOC2"/>
        <w:tabs>
          <w:tab w:val="left" w:pos="1440"/>
        </w:tabs>
        <w:rPr>
          <w:rFonts w:asciiTheme="minorHAnsi" w:eastAsiaTheme="minorEastAsia" w:hAnsiTheme="minorHAnsi" w:cstheme="minorBidi"/>
          <w:noProof/>
          <w:sz w:val="22"/>
          <w:szCs w:val="22"/>
        </w:rPr>
      </w:pPr>
      <w:hyperlink w:anchor="_Toc89938044" w:history="1">
        <w:r w:rsidRPr="00F22F26" w:rsidR="00521B2B">
          <w:rPr>
            <w:rStyle w:val="Hyperlink"/>
            <w:noProof/>
          </w:rPr>
          <w:t>A.</w:t>
        </w:r>
        <w:r w:rsidR="00521B2B">
          <w:rPr>
            <w:rFonts w:asciiTheme="minorHAnsi" w:eastAsiaTheme="minorEastAsia" w:hAnsiTheme="minorHAnsi" w:cstheme="minorBidi"/>
            <w:noProof/>
            <w:sz w:val="22"/>
            <w:szCs w:val="22"/>
          </w:rPr>
          <w:tab/>
        </w:r>
        <w:r w:rsidRPr="00F22F26" w:rsidR="00521B2B">
          <w:rPr>
            <w:rStyle w:val="Hyperlink"/>
            <w:noProof/>
          </w:rPr>
          <w:t>The Settlement was the product of serious bargaining among capable and knowledgeable parties.</w:t>
        </w:r>
        <w:r w:rsidR="00521B2B">
          <w:rPr>
            <w:noProof/>
            <w:webHidden/>
          </w:rPr>
          <w:tab/>
        </w:r>
        <w:r w:rsidR="00521B2B">
          <w:rPr>
            <w:noProof/>
            <w:webHidden/>
          </w:rPr>
          <w:fldChar w:fldCharType="begin"/>
        </w:r>
        <w:r w:rsidR="00521B2B">
          <w:rPr>
            <w:noProof/>
            <w:webHidden/>
          </w:rPr>
          <w:instrText xml:space="preserve"> PAGEREF _Toc89938044 \h </w:instrText>
        </w:r>
        <w:r w:rsidR="00521B2B">
          <w:rPr>
            <w:noProof/>
            <w:webHidden/>
          </w:rPr>
          <w:fldChar w:fldCharType="separate"/>
        </w:r>
        <w:r w:rsidR="00521B2B">
          <w:rPr>
            <w:noProof/>
            <w:webHidden/>
          </w:rPr>
          <w:t>4</w:t>
        </w:r>
        <w:r w:rsidR="00521B2B">
          <w:rPr>
            <w:noProof/>
            <w:webHidden/>
          </w:rPr>
          <w:fldChar w:fldCharType="end"/>
        </w:r>
      </w:hyperlink>
    </w:p>
    <w:p w:rsidR="00030CD6" w14:paraId="41092CD9" w14:textId="77777777">
      <w:pPr>
        <w:pStyle w:val="TOC2"/>
        <w:tabs>
          <w:tab w:val="left" w:pos="1440"/>
        </w:tabs>
        <w:rPr>
          <w:rFonts w:asciiTheme="minorHAnsi" w:eastAsiaTheme="minorEastAsia" w:hAnsiTheme="minorHAnsi" w:cstheme="minorBidi"/>
          <w:noProof/>
          <w:sz w:val="22"/>
          <w:szCs w:val="22"/>
        </w:rPr>
      </w:pPr>
      <w:hyperlink w:anchor="_Toc89938045" w:history="1">
        <w:r w:rsidRPr="00F22F26" w:rsidR="00521B2B">
          <w:rPr>
            <w:rStyle w:val="Hyperlink"/>
            <w:bCs/>
            <w:noProof/>
          </w:rPr>
          <w:t>B.</w:t>
        </w:r>
        <w:r w:rsidR="00521B2B">
          <w:rPr>
            <w:rFonts w:asciiTheme="minorHAnsi" w:eastAsiaTheme="minorEastAsia" w:hAnsiTheme="minorHAnsi" w:cstheme="minorBidi"/>
            <w:noProof/>
            <w:sz w:val="22"/>
            <w:szCs w:val="22"/>
          </w:rPr>
          <w:tab/>
        </w:r>
        <w:r w:rsidRPr="00F22F26" w:rsidR="00521B2B">
          <w:rPr>
            <w:rStyle w:val="Hyperlink"/>
            <w:noProof/>
          </w:rPr>
          <w:t>The Settlement benefits customers and the public interest.</w:t>
        </w:r>
        <w:r w:rsidR="00521B2B">
          <w:rPr>
            <w:noProof/>
            <w:webHidden/>
          </w:rPr>
          <w:tab/>
        </w:r>
        <w:r w:rsidR="00521B2B">
          <w:rPr>
            <w:noProof/>
            <w:webHidden/>
          </w:rPr>
          <w:fldChar w:fldCharType="begin"/>
        </w:r>
        <w:r w:rsidR="00521B2B">
          <w:rPr>
            <w:noProof/>
            <w:webHidden/>
          </w:rPr>
          <w:instrText xml:space="preserve"> PAGEREF _Toc89938045 \h </w:instrText>
        </w:r>
        <w:r w:rsidR="00521B2B">
          <w:rPr>
            <w:noProof/>
            <w:webHidden/>
          </w:rPr>
          <w:fldChar w:fldCharType="separate"/>
        </w:r>
        <w:r w:rsidR="00521B2B">
          <w:rPr>
            <w:noProof/>
            <w:webHidden/>
          </w:rPr>
          <w:t>5</w:t>
        </w:r>
        <w:r w:rsidR="00521B2B">
          <w:rPr>
            <w:noProof/>
            <w:webHidden/>
          </w:rPr>
          <w:fldChar w:fldCharType="end"/>
        </w:r>
      </w:hyperlink>
    </w:p>
    <w:p w:rsidR="00030CD6" w14:paraId="180A48D7" w14:textId="77777777">
      <w:pPr>
        <w:pStyle w:val="TOC3"/>
        <w:tabs>
          <w:tab w:val="left" w:pos="2160"/>
        </w:tabs>
        <w:rPr>
          <w:rFonts w:asciiTheme="minorHAnsi" w:eastAsiaTheme="minorEastAsia" w:hAnsiTheme="minorHAnsi" w:cstheme="minorBidi"/>
          <w:noProof/>
          <w:sz w:val="22"/>
          <w:szCs w:val="22"/>
        </w:rPr>
      </w:pPr>
      <w:hyperlink w:anchor="_Toc89938046" w:history="1">
        <w:r w:rsidRPr="00F22F26" w:rsidR="00521B2B">
          <w:rPr>
            <w:rStyle w:val="Hyperlink"/>
            <w:noProof/>
          </w:rPr>
          <w:t>1.</w:t>
        </w:r>
        <w:r w:rsidR="00521B2B">
          <w:rPr>
            <w:rFonts w:asciiTheme="minorHAnsi" w:eastAsiaTheme="minorEastAsia" w:hAnsiTheme="minorHAnsi" w:cstheme="minorBidi"/>
            <w:noProof/>
            <w:sz w:val="22"/>
            <w:szCs w:val="22"/>
          </w:rPr>
          <w:tab/>
        </w:r>
        <w:r w:rsidRPr="00F22F26" w:rsidR="00521B2B">
          <w:rPr>
            <w:rStyle w:val="Hyperlink"/>
            <w:noProof/>
          </w:rPr>
          <w:t>The Settlement’s MGP and Tax Benefits to consumers are substantial.</w:t>
        </w:r>
        <w:r w:rsidR="00521B2B">
          <w:rPr>
            <w:noProof/>
            <w:webHidden/>
          </w:rPr>
          <w:tab/>
        </w:r>
        <w:r w:rsidR="00521B2B">
          <w:rPr>
            <w:noProof/>
            <w:webHidden/>
          </w:rPr>
          <w:fldChar w:fldCharType="begin"/>
        </w:r>
        <w:r w:rsidR="00521B2B">
          <w:rPr>
            <w:noProof/>
            <w:webHidden/>
          </w:rPr>
          <w:instrText xml:space="preserve"> PAGEREF _Toc89938046 \h </w:instrText>
        </w:r>
        <w:r w:rsidR="00521B2B">
          <w:rPr>
            <w:noProof/>
            <w:webHidden/>
          </w:rPr>
          <w:fldChar w:fldCharType="separate"/>
        </w:r>
        <w:r w:rsidR="00521B2B">
          <w:rPr>
            <w:noProof/>
            <w:webHidden/>
          </w:rPr>
          <w:t>6</w:t>
        </w:r>
        <w:r w:rsidR="00521B2B">
          <w:rPr>
            <w:noProof/>
            <w:webHidden/>
          </w:rPr>
          <w:fldChar w:fldCharType="end"/>
        </w:r>
      </w:hyperlink>
    </w:p>
    <w:p w:rsidR="00030CD6" w14:paraId="5D9928EF" w14:textId="77777777">
      <w:pPr>
        <w:pStyle w:val="TOC3"/>
        <w:tabs>
          <w:tab w:val="left" w:pos="2160"/>
        </w:tabs>
        <w:rPr>
          <w:rFonts w:asciiTheme="minorHAnsi" w:eastAsiaTheme="minorEastAsia" w:hAnsiTheme="minorHAnsi" w:cstheme="minorBidi"/>
          <w:noProof/>
          <w:sz w:val="22"/>
          <w:szCs w:val="22"/>
        </w:rPr>
      </w:pPr>
      <w:hyperlink w:anchor="_Toc89938047" w:history="1">
        <w:r w:rsidRPr="00F22F26" w:rsidR="00521B2B">
          <w:rPr>
            <w:rStyle w:val="Hyperlink"/>
            <w:noProof/>
          </w:rPr>
          <w:t>2.</w:t>
        </w:r>
        <w:r w:rsidR="00521B2B">
          <w:rPr>
            <w:rFonts w:asciiTheme="minorHAnsi" w:eastAsiaTheme="minorEastAsia" w:hAnsiTheme="minorHAnsi" w:cstheme="minorBidi"/>
            <w:noProof/>
            <w:sz w:val="22"/>
            <w:szCs w:val="22"/>
          </w:rPr>
          <w:tab/>
        </w:r>
        <w:r w:rsidRPr="00F22F26" w:rsidR="00521B2B">
          <w:rPr>
            <w:rStyle w:val="Hyperlink"/>
            <w:noProof/>
          </w:rPr>
          <w:t>The Settlement’s Market Benefits to consumers are substantial.</w:t>
        </w:r>
        <w:r w:rsidR="00521B2B">
          <w:rPr>
            <w:noProof/>
            <w:webHidden/>
          </w:rPr>
          <w:tab/>
        </w:r>
        <w:r w:rsidR="00521B2B">
          <w:rPr>
            <w:noProof/>
            <w:webHidden/>
          </w:rPr>
          <w:fldChar w:fldCharType="begin"/>
        </w:r>
        <w:r w:rsidR="00521B2B">
          <w:rPr>
            <w:noProof/>
            <w:webHidden/>
          </w:rPr>
          <w:instrText xml:space="preserve"> PAGEREF _Toc89938047 \h </w:instrText>
        </w:r>
        <w:r w:rsidR="00521B2B">
          <w:rPr>
            <w:noProof/>
            <w:webHidden/>
          </w:rPr>
          <w:fldChar w:fldCharType="separate"/>
        </w:r>
        <w:r w:rsidR="00521B2B">
          <w:rPr>
            <w:noProof/>
            <w:webHidden/>
          </w:rPr>
          <w:t>9</w:t>
        </w:r>
        <w:r w:rsidR="00521B2B">
          <w:rPr>
            <w:noProof/>
            <w:webHidden/>
          </w:rPr>
          <w:fldChar w:fldCharType="end"/>
        </w:r>
      </w:hyperlink>
    </w:p>
    <w:p w:rsidR="00030CD6" w14:paraId="57C447F1" w14:textId="77777777">
      <w:pPr>
        <w:pStyle w:val="TOC2"/>
        <w:tabs>
          <w:tab w:val="left" w:pos="1440"/>
        </w:tabs>
        <w:rPr>
          <w:rFonts w:asciiTheme="minorHAnsi" w:eastAsiaTheme="minorEastAsia" w:hAnsiTheme="minorHAnsi" w:cstheme="minorBidi"/>
          <w:noProof/>
          <w:sz w:val="22"/>
          <w:szCs w:val="22"/>
        </w:rPr>
      </w:pPr>
      <w:hyperlink w:anchor="_Toc89938048" w:history="1">
        <w:r w:rsidRPr="00F22F26" w:rsidR="00521B2B">
          <w:rPr>
            <w:rStyle w:val="Hyperlink"/>
            <w:noProof/>
          </w:rPr>
          <w:t>C.</w:t>
        </w:r>
        <w:r w:rsidR="00521B2B">
          <w:rPr>
            <w:rFonts w:asciiTheme="minorHAnsi" w:eastAsiaTheme="minorEastAsia" w:hAnsiTheme="minorHAnsi" w:cstheme="minorBidi"/>
            <w:noProof/>
            <w:sz w:val="22"/>
            <w:szCs w:val="22"/>
          </w:rPr>
          <w:tab/>
        </w:r>
        <w:r w:rsidRPr="00F22F26" w:rsidR="00521B2B">
          <w:rPr>
            <w:rStyle w:val="Hyperlink"/>
            <w:noProof/>
          </w:rPr>
          <w:t>The Settlement does not violate important regulatory principles and practices.</w:t>
        </w:r>
        <w:r w:rsidR="00521B2B">
          <w:rPr>
            <w:noProof/>
            <w:webHidden/>
          </w:rPr>
          <w:tab/>
        </w:r>
        <w:r w:rsidR="00521B2B">
          <w:rPr>
            <w:noProof/>
            <w:webHidden/>
          </w:rPr>
          <w:fldChar w:fldCharType="begin"/>
        </w:r>
        <w:r w:rsidR="00521B2B">
          <w:rPr>
            <w:noProof/>
            <w:webHidden/>
          </w:rPr>
          <w:instrText xml:space="preserve"> PAGEREF _Toc89938048 \h </w:instrText>
        </w:r>
        <w:r w:rsidR="00521B2B">
          <w:rPr>
            <w:noProof/>
            <w:webHidden/>
          </w:rPr>
          <w:fldChar w:fldCharType="separate"/>
        </w:r>
        <w:r w:rsidR="00521B2B">
          <w:rPr>
            <w:noProof/>
            <w:webHidden/>
          </w:rPr>
          <w:t>10</w:t>
        </w:r>
        <w:r w:rsidR="00521B2B">
          <w:rPr>
            <w:noProof/>
            <w:webHidden/>
          </w:rPr>
          <w:fldChar w:fldCharType="end"/>
        </w:r>
      </w:hyperlink>
    </w:p>
    <w:p w:rsidR="00030CD6" w14:paraId="2008D0B4" w14:textId="77777777">
      <w:pPr>
        <w:pStyle w:val="TOC1"/>
        <w:rPr>
          <w:rFonts w:asciiTheme="minorHAnsi" w:eastAsiaTheme="minorEastAsia" w:hAnsiTheme="minorHAnsi" w:cstheme="minorBidi"/>
          <w:caps w:val="0"/>
          <w:sz w:val="22"/>
          <w:szCs w:val="22"/>
        </w:rPr>
      </w:pPr>
      <w:hyperlink w:anchor="_Toc89938049" w:history="1">
        <w:r w:rsidRPr="00F22F26" w:rsidR="00521B2B">
          <w:rPr>
            <w:rStyle w:val="Hyperlink"/>
          </w:rPr>
          <w:t>III.</w:t>
        </w:r>
        <w:r w:rsidR="00521B2B">
          <w:rPr>
            <w:rFonts w:asciiTheme="minorHAnsi" w:eastAsiaTheme="minorEastAsia" w:hAnsiTheme="minorHAnsi" w:cstheme="minorBidi"/>
            <w:caps w:val="0"/>
            <w:sz w:val="22"/>
            <w:szCs w:val="22"/>
          </w:rPr>
          <w:tab/>
        </w:r>
        <w:r w:rsidRPr="00F22F26" w:rsidR="00521B2B">
          <w:rPr>
            <w:rStyle w:val="Hyperlink"/>
          </w:rPr>
          <w:t>CONCLUSION</w:t>
        </w:r>
        <w:r w:rsidR="00521B2B">
          <w:rPr>
            <w:webHidden/>
          </w:rPr>
          <w:tab/>
        </w:r>
        <w:r w:rsidR="00521B2B">
          <w:rPr>
            <w:webHidden/>
          </w:rPr>
          <w:fldChar w:fldCharType="begin"/>
        </w:r>
        <w:r w:rsidR="00521B2B">
          <w:rPr>
            <w:webHidden/>
          </w:rPr>
          <w:instrText xml:space="preserve"> PAGEREF _Toc89938049 \h </w:instrText>
        </w:r>
        <w:r w:rsidR="00521B2B">
          <w:rPr>
            <w:webHidden/>
          </w:rPr>
          <w:fldChar w:fldCharType="separate"/>
        </w:r>
        <w:r w:rsidR="00521B2B">
          <w:rPr>
            <w:webHidden/>
          </w:rPr>
          <w:t>11</w:t>
        </w:r>
        <w:r w:rsidR="00521B2B">
          <w:rPr>
            <w:webHidden/>
          </w:rPr>
          <w:fldChar w:fldCharType="end"/>
        </w:r>
      </w:hyperlink>
    </w:p>
    <w:p w:rsidR="00A27850" w:rsidP="004B2B16" w14:paraId="0D3B4F4D" w14:textId="77777777">
      <w:pPr>
        <w:pStyle w:val="HTMLPreformatted"/>
        <w:jc w:val="right"/>
        <w:rPr>
          <w:rFonts w:ascii="Times New Roman" w:hAnsi="Times New Roman" w:cs="Times New Roman"/>
          <w:b/>
          <w:bCs/>
          <w:sz w:val="24"/>
          <w:szCs w:val="24"/>
        </w:rPr>
      </w:pPr>
      <w:r>
        <w:rPr>
          <w:rFonts w:ascii="Times New Roman" w:hAnsi="Times New Roman" w:cs="Times New Roman"/>
          <w:b/>
          <w:bCs/>
          <w:sz w:val="24"/>
          <w:szCs w:val="24"/>
        </w:rPr>
        <w:fldChar w:fldCharType="end"/>
      </w:r>
    </w:p>
    <w:p w:rsidR="00A27850" w:rsidP="004B2B16" w14:paraId="375E0282" w14:textId="77777777">
      <w:pPr>
        <w:pStyle w:val="HTMLPreformatted"/>
        <w:jc w:val="right"/>
        <w:rPr>
          <w:rFonts w:ascii="Times New Roman" w:hAnsi="Times New Roman" w:cs="Times New Roman"/>
          <w:b/>
          <w:bCs/>
          <w:sz w:val="24"/>
          <w:szCs w:val="24"/>
        </w:rPr>
      </w:pPr>
    </w:p>
    <w:p w:rsidR="00A27850" w:rsidRPr="004B2B16" w:rsidP="004B2B16" w14:paraId="2C92FE48" w14:textId="77777777">
      <w:pPr>
        <w:pStyle w:val="HTMLPreformatted"/>
        <w:jc w:val="right"/>
        <w:rPr>
          <w:rFonts w:ascii="Times New Roman" w:hAnsi="Times New Roman" w:cs="Times New Roman"/>
          <w:b/>
          <w:bCs/>
          <w:sz w:val="24"/>
          <w:szCs w:val="24"/>
        </w:rPr>
        <w:sectPr w:rsidSect="004B2B16">
          <w:footerReference w:type="default" r:id="rId9"/>
          <w:pgSz w:w="12240" w:h="15840"/>
          <w:pgMar w:top="1440" w:right="1440" w:bottom="1440" w:left="1440" w:header="720" w:footer="720" w:gutter="0"/>
          <w:pgNumType w:fmt="lowerRoman" w:start="1"/>
          <w:cols w:space="720"/>
          <w:docGrid w:linePitch="360"/>
        </w:sectPr>
      </w:pPr>
    </w:p>
    <w:p w:rsidR="004D302D" w:rsidRPr="00E61247" w:rsidP="004D302D" w14:paraId="1E31EDD2" w14:textId="77777777">
      <w:pPr>
        <w:pStyle w:val="HTMLPreformatted"/>
        <w:jc w:val="center"/>
        <w:rPr>
          <w:rFonts w:ascii="Times New Roman" w:hAnsi="Times New Roman" w:cs="Times New Roman"/>
          <w:b/>
          <w:bCs/>
          <w:sz w:val="24"/>
          <w:szCs w:val="24"/>
        </w:rPr>
      </w:pPr>
      <w:r w:rsidRPr="00E61247">
        <w:rPr>
          <w:rFonts w:ascii="Times New Roman" w:hAnsi="Times New Roman" w:cs="Times New Roman"/>
          <w:b/>
          <w:bCs/>
          <w:sz w:val="24"/>
          <w:szCs w:val="24"/>
        </w:rPr>
        <w:t>BEFORE</w:t>
      </w:r>
    </w:p>
    <w:p w:rsidR="004D302D" w:rsidRPr="00E61247" w:rsidP="004D302D" w14:paraId="7C7D46B6" w14:textId="77777777">
      <w:pPr>
        <w:pStyle w:val="HTMLPreformatted"/>
        <w:jc w:val="center"/>
        <w:rPr>
          <w:rFonts w:ascii="Times New Roman" w:hAnsi="Times New Roman" w:cs="Times New Roman"/>
          <w:sz w:val="24"/>
          <w:szCs w:val="24"/>
        </w:rPr>
      </w:pPr>
      <w:r w:rsidRPr="00E61247">
        <w:rPr>
          <w:rFonts w:ascii="Times New Roman" w:hAnsi="Times New Roman" w:cs="Times New Roman"/>
          <w:b/>
          <w:bCs/>
          <w:sz w:val="24"/>
          <w:szCs w:val="24"/>
        </w:rPr>
        <w:t>THE PUBLIC UTILITIES COMMISSION OF OHIO</w:t>
      </w:r>
    </w:p>
    <w:p w:rsidR="004D302D" w:rsidRPr="00E61247" w:rsidP="004D302D" w14:paraId="6D0EA183" w14:textId="77777777">
      <w:pPr>
        <w:pStyle w:val="HTMLPreformatted"/>
        <w:rPr>
          <w:rFonts w:ascii="Times New Roman" w:hAnsi="Times New Roman" w:cs="Times New Roman"/>
          <w:sz w:val="24"/>
          <w:szCs w:val="24"/>
        </w:rPr>
      </w:pPr>
    </w:p>
    <w:tbl>
      <w:tblPr>
        <w:tblW w:w="9452" w:type="dxa"/>
        <w:tblLook w:val="01E0"/>
      </w:tblPr>
      <w:tblGrid>
        <w:gridCol w:w="4692"/>
        <w:gridCol w:w="360"/>
        <w:gridCol w:w="4400"/>
      </w:tblGrid>
      <w:tr w14:paraId="3A8B4652" w14:textId="77777777" w:rsidTr="00D968C9">
        <w:tblPrEx>
          <w:tblW w:w="9452" w:type="dxa"/>
          <w:tblLook w:val="01E0"/>
        </w:tblPrEx>
        <w:trPr>
          <w:trHeight w:val="807"/>
        </w:trPr>
        <w:tc>
          <w:tcPr>
            <w:tcW w:w="4692" w:type="dxa"/>
            <w:shd w:val="clear" w:color="auto" w:fill="auto"/>
          </w:tcPr>
          <w:p w:rsidR="004D302D" w:rsidRPr="00E61247" w:rsidP="00D968C9" w14:paraId="6556FFEB" w14:textId="77777777">
            <w:pPr>
              <w:autoSpaceDE w:val="0"/>
              <w:autoSpaceDN w:val="0"/>
              <w:adjustRightInd w:val="0"/>
              <w:rPr>
                <w:szCs w:val="24"/>
              </w:rPr>
            </w:pPr>
          </w:p>
          <w:p w:rsidR="004D302D" w:rsidRPr="00E61247" w:rsidP="00D968C9" w14:paraId="55A4D8C6" w14:textId="77777777">
            <w:pPr>
              <w:autoSpaceDE w:val="0"/>
              <w:autoSpaceDN w:val="0"/>
              <w:adjustRightInd w:val="0"/>
              <w:rPr>
                <w:szCs w:val="24"/>
              </w:rPr>
            </w:pPr>
          </w:p>
          <w:p w:rsidR="004D302D" w:rsidRPr="00E61247" w:rsidP="00D968C9" w14:paraId="301D0E2E" w14:textId="77777777">
            <w:pPr>
              <w:autoSpaceDE w:val="0"/>
              <w:autoSpaceDN w:val="0"/>
              <w:adjustRightInd w:val="0"/>
              <w:rPr>
                <w:szCs w:val="24"/>
              </w:rPr>
            </w:pPr>
            <w:r w:rsidRPr="00E61247">
              <w:rPr>
                <w:szCs w:val="24"/>
              </w:rPr>
              <w:t>In the Matters of the Applications of Duke Energy Ohio, Inc., for Adjustments to Rider MGP Rates.</w:t>
            </w:r>
          </w:p>
          <w:p w:rsidR="004D302D" w:rsidRPr="00E61247" w:rsidP="00D968C9" w14:paraId="65B5C3EA" w14:textId="77777777">
            <w:pPr>
              <w:autoSpaceDE w:val="0"/>
              <w:autoSpaceDN w:val="0"/>
              <w:adjustRightInd w:val="0"/>
              <w:rPr>
                <w:szCs w:val="24"/>
              </w:rPr>
            </w:pPr>
          </w:p>
          <w:p w:rsidR="004D302D" w:rsidRPr="00E61247" w:rsidP="00D968C9" w14:paraId="0929D39C" w14:textId="77777777">
            <w:pPr>
              <w:autoSpaceDE w:val="0"/>
              <w:autoSpaceDN w:val="0"/>
              <w:adjustRightInd w:val="0"/>
              <w:rPr>
                <w:szCs w:val="24"/>
              </w:rPr>
            </w:pPr>
          </w:p>
          <w:p w:rsidR="004D302D" w:rsidRPr="00E61247" w:rsidP="00D968C9" w14:paraId="24A7B4DB" w14:textId="77777777">
            <w:pPr>
              <w:autoSpaceDE w:val="0"/>
              <w:autoSpaceDN w:val="0"/>
              <w:adjustRightInd w:val="0"/>
              <w:rPr>
                <w:szCs w:val="24"/>
              </w:rPr>
            </w:pPr>
          </w:p>
          <w:p w:rsidR="004D302D" w:rsidRPr="00E61247" w:rsidP="00D968C9" w14:paraId="50D1FD57" w14:textId="77777777">
            <w:pPr>
              <w:autoSpaceDE w:val="0"/>
              <w:autoSpaceDN w:val="0"/>
              <w:adjustRightInd w:val="0"/>
              <w:rPr>
                <w:szCs w:val="24"/>
              </w:rPr>
            </w:pPr>
          </w:p>
          <w:p w:rsidR="00FF1B8A" w:rsidP="00D968C9" w14:paraId="22F0CCE5" w14:textId="77777777">
            <w:pPr>
              <w:autoSpaceDE w:val="0"/>
              <w:autoSpaceDN w:val="0"/>
              <w:adjustRightInd w:val="0"/>
              <w:rPr>
                <w:szCs w:val="24"/>
              </w:rPr>
            </w:pPr>
          </w:p>
          <w:p w:rsidR="00FF1B8A" w:rsidP="00D968C9" w14:paraId="0AF14250" w14:textId="77777777">
            <w:pPr>
              <w:autoSpaceDE w:val="0"/>
              <w:autoSpaceDN w:val="0"/>
              <w:adjustRightInd w:val="0"/>
              <w:rPr>
                <w:szCs w:val="24"/>
              </w:rPr>
            </w:pPr>
          </w:p>
          <w:p w:rsidR="004D302D" w:rsidP="00D968C9" w14:paraId="6489B7B9" w14:textId="77777777">
            <w:pPr>
              <w:autoSpaceDE w:val="0"/>
              <w:autoSpaceDN w:val="0"/>
              <w:adjustRightInd w:val="0"/>
              <w:rPr>
                <w:szCs w:val="24"/>
              </w:rPr>
            </w:pPr>
            <w:r w:rsidRPr="00E61247">
              <w:rPr>
                <w:szCs w:val="24"/>
              </w:rPr>
              <w:t>In the Matters of the Applications of Duke Energy Ohio, Inc. for Tariff Approval.</w:t>
            </w:r>
          </w:p>
          <w:p w:rsidR="00FF1B8A" w:rsidP="00D968C9" w14:paraId="125A2B0C" w14:textId="77777777">
            <w:pPr>
              <w:autoSpaceDE w:val="0"/>
              <w:autoSpaceDN w:val="0"/>
              <w:adjustRightInd w:val="0"/>
              <w:rPr>
                <w:szCs w:val="24"/>
              </w:rPr>
            </w:pPr>
          </w:p>
          <w:p w:rsidR="00FF1B8A" w:rsidP="00D968C9" w14:paraId="283221FC" w14:textId="77777777">
            <w:pPr>
              <w:autoSpaceDE w:val="0"/>
              <w:autoSpaceDN w:val="0"/>
              <w:adjustRightInd w:val="0"/>
              <w:rPr>
                <w:szCs w:val="24"/>
              </w:rPr>
            </w:pPr>
          </w:p>
          <w:p w:rsidR="00FF1B8A" w:rsidP="00D968C9" w14:paraId="264E83FC" w14:textId="77777777">
            <w:pPr>
              <w:autoSpaceDE w:val="0"/>
              <w:autoSpaceDN w:val="0"/>
              <w:adjustRightInd w:val="0"/>
              <w:rPr>
                <w:szCs w:val="24"/>
              </w:rPr>
            </w:pPr>
          </w:p>
          <w:p w:rsidR="00FF1B8A" w:rsidP="00D968C9" w14:paraId="2D2A204E" w14:textId="77777777">
            <w:pPr>
              <w:autoSpaceDE w:val="0"/>
              <w:autoSpaceDN w:val="0"/>
              <w:adjustRightInd w:val="0"/>
              <w:rPr>
                <w:szCs w:val="24"/>
              </w:rPr>
            </w:pPr>
          </w:p>
          <w:p w:rsidR="00FF1B8A" w:rsidP="00D968C9" w14:paraId="44262E4C" w14:textId="77777777">
            <w:pPr>
              <w:autoSpaceDE w:val="0"/>
              <w:autoSpaceDN w:val="0"/>
              <w:adjustRightInd w:val="0"/>
              <w:rPr>
                <w:szCs w:val="24"/>
              </w:rPr>
            </w:pPr>
            <w:r>
              <w:rPr>
                <w:szCs w:val="24"/>
              </w:rPr>
              <w:t>In the Matter of the Application of Duke Energy Ohio, Inc., for Implementation of the Tax Cuts and Jobs Act of 2017.</w:t>
            </w:r>
          </w:p>
          <w:p w:rsidR="00FF1B8A" w:rsidP="00D968C9" w14:paraId="07CAEAE9" w14:textId="77777777">
            <w:pPr>
              <w:autoSpaceDE w:val="0"/>
              <w:autoSpaceDN w:val="0"/>
              <w:adjustRightInd w:val="0"/>
              <w:rPr>
                <w:szCs w:val="24"/>
              </w:rPr>
            </w:pPr>
          </w:p>
          <w:p w:rsidR="00FF1B8A" w:rsidP="00D968C9" w14:paraId="0EA2A332" w14:textId="77777777">
            <w:pPr>
              <w:autoSpaceDE w:val="0"/>
              <w:autoSpaceDN w:val="0"/>
              <w:adjustRightInd w:val="0"/>
              <w:rPr>
                <w:szCs w:val="24"/>
              </w:rPr>
            </w:pPr>
            <w:r>
              <w:rPr>
                <w:szCs w:val="24"/>
              </w:rPr>
              <w:t>In the Matter of the Application of Duke Energy Ohio, Inc., for Approval of Tariff Amendments.</w:t>
            </w:r>
          </w:p>
          <w:p w:rsidR="00FF1B8A" w:rsidP="00D968C9" w14:paraId="105B71A2" w14:textId="77777777">
            <w:pPr>
              <w:autoSpaceDE w:val="0"/>
              <w:autoSpaceDN w:val="0"/>
              <w:adjustRightInd w:val="0"/>
              <w:rPr>
                <w:szCs w:val="24"/>
              </w:rPr>
            </w:pPr>
          </w:p>
          <w:p w:rsidR="00FF1B8A" w:rsidRPr="00FF1B8A" w:rsidP="00D968C9" w14:paraId="1F231DBC" w14:textId="77777777">
            <w:pPr>
              <w:autoSpaceDE w:val="0"/>
              <w:autoSpaceDN w:val="0"/>
              <w:adjustRightInd w:val="0"/>
            </w:pPr>
            <w:r>
              <w:rPr>
                <w:szCs w:val="24"/>
              </w:rPr>
              <w:t xml:space="preserve">In the Matter of the Application </w:t>
            </w:r>
            <w:r w:rsidRPr="007A2091">
              <w:t>of Duke Energy Ohio, Inc., for Authority to Defer Environmental Investigation and Remediation Costs</w:t>
            </w:r>
            <w:r>
              <w:t>.</w:t>
            </w:r>
          </w:p>
        </w:tc>
        <w:tc>
          <w:tcPr>
            <w:tcW w:w="360" w:type="dxa"/>
            <w:shd w:val="clear" w:color="auto" w:fill="auto"/>
          </w:tcPr>
          <w:p w:rsidR="004D302D" w:rsidRPr="00E61247" w:rsidP="00D968C9" w14:paraId="21386C85"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0CA7FF2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23F3ACDF"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563BA19B"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48B392CC"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P="00D968C9" w14:paraId="2C136DA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FF1B8A" w:rsidRPr="00E61247" w:rsidP="00D968C9" w14:paraId="0061AB4F"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4D302D" w:rsidRPr="00E61247" w:rsidP="00D968C9" w14:paraId="3DF5A5CE" w14:textId="77777777">
            <w:pPr>
              <w:pStyle w:val="HTMLPreformatted"/>
              <w:rPr>
                <w:rFonts w:ascii="Times New Roman" w:hAnsi="Times New Roman" w:cs="Times New Roman"/>
                <w:sz w:val="24"/>
                <w:szCs w:val="24"/>
              </w:rPr>
            </w:pPr>
          </w:p>
          <w:p w:rsidR="004D302D" w:rsidRPr="00E61247" w:rsidP="00D968C9" w14:paraId="13E69AD8"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10CF0B8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71F97F85"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0B9E16D8"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4ADF03F5"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P="00D968C9" w14:paraId="68A79D47"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FF1B8A" w:rsidP="00D968C9" w14:paraId="01498D61"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7DC17AE1"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0294163C" w14:textId="77777777">
            <w:pPr>
              <w:pStyle w:val="HTMLPreformatted"/>
              <w:rPr>
                <w:rFonts w:ascii="Times New Roman" w:hAnsi="Times New Roman" w:cs="Times New Roman"/>
                <w:sz w:val="24"/>
                <w:szCs w:val="24"/>
              </w:rPr>
            </w:pPr>
          </w:p>
          <w:p w:rsidR="00FF1B8A" w:rsidP="00D968C9" w14:paraId="0625AAA2"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6E0FAA1F"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69FE4A9B"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5B8107D4" w14:textId="77777777">
            <w:pPr>
              <w:pStyle w:val="HTMLPreformatted"/>
              <w:rPr>
                <w:rFonts w:ascii="Times New Roman" w:hAnsi="Times New Roman" w:cs="Times New Roman"/>
                <w:sz w:val="24"/>
                <w:szCs w:val="24"/>
              </w:rPr>
            </w:pPr>
          </w:p>
          <w:p w:rsidR="00FF1B8A" w:rsidP="00D968C9" w14:paraId="001642F6"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71137CE7"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13ABAA3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3BAD2697" w14:textId="77777777">
            <w:pPr>
              <w:pStyle w:val="HTMLPreformatted"/>
              <w:rPr>
                <w:rFonts w:ascii="Times New Roman" w:hAnsi="Times New Roman" w:cs="Times New Roman"/>
                <w:sz w:val="24"/>
                <w:szCs w:val="24"/>
              </w:rPr>
            </w:pPr>
          </w:p>
          <w:p w:rsidR="00FF1B8A" w:rsidP="00D968C9" w14:paraId="7CAE544E"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46E5324A"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61C727C2"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RPr="00E61247" w:rsidP="00FF1B8A" w14:paraId="304D2661"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4D302D" w:rsidRPr="00E61247" w:rsidP="00D968C9" w14:paraId="1AC6161B" w14:textId="77777777">
            <w:pPr>
              <w:rPr>
                <w:szCs w:val="24"/>
              </w:rPr>
            </w:pPr>
            <w:r w:rsidRPr="00E61247">
              <w:rPr>
                <w:szCs w:val="24"/>
              </w:rPr>
              <w:t>Case No. 14-375-GA-RDR</w:t>
            </w:r>
          </w:p>
          <w:p w:rsidR="004D302D" w:rsidRPr="00E61247" w:rsidP="00D968C9" w14:paraId="3C4ACC7F" w14:textId="77777777">
            <w:pPr>
              <w:rPr>
                <w:szCs w:val="24"/>
              </w:rPr>
            </w:pPr>
            <w:r w:rsidRPr="00E61247">
              <w:rPr>
                <w:szCs w:val="24"/>
              </w:rPr>
              <w:t>Case No. 15-452-GA-RDR</w:t>
            </w:r>
          </w:p>
          <w:p w:rsidR="004D302D" w:rsidRPr="00E61247" w:rsidP="00D968C9" w14:paraId="1C93F0F1" w14:textId="77777777">
            <w:pPr>
              <w:rPr>
                <w:szCs w:val="24"/>
              </w:rPr>
            </w:pPr>
            <w:r w:rsidRPr="00E61247">
              <w:rPr>
                <w:szCs w:val="24"/>
              </w:rPr>
              <w:t>Case No. 16-542-GA-RDR</w:t>
            </w:r>
          </w:p>
          <w:p w:rsidR="004D302D" w:rsidRPr="00E61247" w:rsidP="00D968C9" w14:paraId="728F07FE" w14:textId="77777777">
            <w:pPr>
              <w:rPr>
                <w:szCs w:val="24"/>
              </w:rPr>
            </w:pPr>
            <w:r w:rsidRPr="00E61247">
              <w:rPr>
                <w:szCs w:val="24"/>
              </w:rPr>
              <w:t>Case No. 17-596-GA-RDR</w:t>
            </w:r>
          </w:p>
          <w:p w:rsidR="004D302D" w:rsidRPr="00E61247" w:rsidP="00D968C9" w14:paraId="74328F2F" w14:textId="77777777">
            <w:pPr>
              <w:rPr>
                <w:szCs w:val="24"/>
              </w:rPr>
            </w:pPr>
            <w:r w:rsidRPr="00E61247">
              <w:rPr>
                <w:szCs w:val="24"/>
              </w:rPr>
              <w:t>Case No. 18-283-GA-RDR</w:t>
            </w:r>
          </w:p>
          <w:p w:rsidR="004D302D" w:rsidP="00D968C9" w14:paraId="52ABFE47" w14:textId="77777777">
            <w:pPr>
              <w:rPr>
                <w:szCs w:val="24"/>
              </w:rPr>
            </w:pPr>
            <w:r w:rsidRPr="00E61247">
              <w:rPr>
                <w:szCs w:val="24"/>
              </w:rPr>
              <w:t>Case No. 19-174-GA-RDR</w:t>
            </w:r>
          </w:p>
          <w:p w:rsidR="00FF1B8A" w:rsidRPr="00E61247" w:rsidP="00D968C9" w14:paraId="2B46BB8B" w14:textId="77777777">
            <w:pPr>
              <w:rPr>
                <w:szCs w:val="24"/>
              </w:rPr>
            </w:pPr>
            <w:r>
              <w:rPr>
                <w:szCs w:val="24"/>
              </w:rPr>
              <w:t>Case No. 20-53-GA-RDR</w:t>
            </w:r>
          </w:p>
          <w:p w:rsidR="004D302D" w:rsidRPr="00E61247" w:rsidP="00D968C9" w14:paraId="53957D7D" w14:textId="77777777">
            <w:pPr>
              <w:rPr>
                <w:szCs w:val="24"/>
              </w:rPr>
            </w:pPr>
          </w:p>
          <w:p w:rsidR="004D302D" w:rsidRPr="00E61247" w:rsidP="00D968C9" w14:paraId="28FC14E1" w14:textId="77777777">
            <w:pPr>
              <w:rPr>
                <w:szCs w:val="24"/>
              </w:rPr>
            </w:pPr>
            <w:r w:rsidRPr="00E61247">
              <w:rPr>
                <w:szCs w:val="24"/>
              </w:rPr>
              <w:t>Case No. 14-376-GA-ATA</w:t>
            </w:r>
          </w:p>
          <w:p w:rsidR="004D302D" w:rsidRPr="00E61247" w:rsidP="00D968C9" w14:paraId="69B9C7DD" w14:textId="77777777">
            <w:pPr>
              <w:rPr>
                <w:szCs w:val="24"/>
              </w:rPr>
            </w:pPr>
            <w:r w:rsidRPr="00E61247">
              <w:rPr>
                <w:szCs w:val="24"/>
              </w:rPr>
              <w:t>Case No. 15-453-GA-ATA</w:t>
            </w:r>
          </w:p>
          <w:p w:rsidR="004D302D" w:rsidRPr="00E61247" w:rsidP="00D968C9" w14:paraId="1735581B" w14:textId="77777777">
            <w:pPr>
              <w:rPr>
                <w:szCs w:val="24"/>
              </w:rPr>
            </w:pPr>
            <w:r w:rsidRPr="00E61247">
              <w:rPr>
                <w:szCs w:val="24"/>
              </w:rPr>
              <w:t>Case No. 16-543-GA-ATA</w:t>
            </w:r>
          </w:p>
          <w:p w:rsidR="004D302D" w:rsidRPr="00E61247" w:rsidP="00D968C9" w14:paraId="7481D015" w14:textId="77777777">
            <w:pPr>
              <w:rPr>
                <w:szCs w:val="24"/>
              </w:rPr>
            </w:pPr>
            <w:r w:rsidRPr="00E61247">
              <w:rPr>
                <w:szCs w:val="24"/>
              </w:rPr>
              <w:t>Case No. 17-597-GA-ATA</w:t>
            </w:r>
          </w:p>
          <w:p w:rsidR="00FF1B8A" w:rsidRPr="00E61247" w:rsidP="00D968C9" w14:paraId="3318B263" w14:textId="77777777">
            <w:pPr>
              <w:rPr>
                <w:szCs w:val="24"/>
              </w:rPr>
            </w:pPr>
            <w:r w:rsidRPr="00E61247">
              <w:rPr>
                <w:szCs w:val="24"/>
              </w:rPr>
              <w:t>Case No. 18-284-GA-ATA</w:t>
            </w:r>
          </w:p>
          <w:p w:rsidR="004D302D" w:rsidP="00D968C9" w14:paraId="55804413" w14:textId="77777777">
            <w:pPr>
              <w:rPr>
                <w:szCs w:val="24"/>
              </w:rPr>
            </w:pPr>
            <w:r w:rsidRPr="00E61247">
              <w:rPr>
                <w:szCs w:val="24"/>
              </w:rPr>
              <w:t>Case No. 19-175-GA-ATA</w:t>
            </w:r>
          </w:p>
          <w:p w:rsidR="00FF1B8A" w:rsidP="00D968C9" w14:paraId="34C06B03" w14:textId="77777777">
            <w:pPr>
              <w:rPr>
                <w:szCs w:val="24"/>
              </w:rPr>
            </w:pPr>
            <w:r>
              <w:rPr>
                <w:szCs w:val="24"/>
              </w:rPr>
              <w:t>Case No. 19-1086-GA-ATA</w:t>
            </w:r>
          </w:p>
          <w:p w:rsidR="00FF1B8A" w:rsidP="00D968C9" w14:paraId="54D63153" w14:textId="77777777">
            <w:pPr>
              <w:rPr>
                <w:szCs w:val="24"/>
              </w:rPr>
            </w:pPr>
            <w:r>
              <w:rPr>
                <w:szCs w:val="24"/>
              </w:rPr>
              <w:t>Case No. 20-54-GA-ATA</w:t>
            </w:r>
          </w:p>
          <w:p w:rsidR="00FF1B8A" w:rsidP="00D968C9" w14:paraId="382F11D2" w14:textId="77777777">
            <w:pPr>
              <w:rPr>
                <w:szCs w:val="24"/>
              </w:rPr>
            </w:pPr>
          </w:p>
          <w:p w:rsidR="00FF1B8A" w:rsidP="00D968C9" w14:paraId="00CB88DF" w14:textId="77777777">
            <w:pPr>
              <w:rPr>
                <w:szCs w:val="24"/>
              </w:rPr>
            </w:pPr>
          </w:p>
          <w:p w:rsidR="00FF1B8A" w:rsidP="00D968C9" w14:paraId="1B4E95DA" w14:textId="77777777">
            <w:pPr>
              <w:rPr>
                <w:szCs w:val="24"/>
              </w:rPr>
            </w:pPr>
            <w:r>
              <w:rPr>
                <w:szCs w:val="24"/>
              </w:rPr>
              <w:t>Case No. 18-1830-GA-UNC</w:t>
            </w:r>
          </w:p>
          <w:p w:rsidR="00FF1B8A" w:rsidP="00D968C9" w14:paraId="30D78093" w14:textId="77777777">
            <w:pPr>
              <w:rPr>
                <w:szCs w:val="24"/>
              </w:rPr>
            </w:pPr>
          </w:p>
          <w:p w:rsidR="00FF1B8A" w:rsidP="00D968C9" w14:paraId="566C451B" w14:textId="77777777">
            <w:pPr>
              <w:rPr>
                <w:szCs w:val="24"/>
              </w:rPr>
            </w:pPr>
          </w:p>
          <w:p w:rsidR="00FF1B8A" w:rsidP="00D968C9" w14:paraId="12A3F9C3" w14:textId="77777777">
            <w:pPr>
              <w:rPr>
                <w:szCs w:val="24"/>
              </w:rPr>
            </w:pPr>
          </w:p>
          <w:p w:rsidR="00FF1B8A" w:rsidP="00D968C9" w14:paraId="37B15AA6" w14:textId="77777777">
            <w:pPr>
              <w:rPr>
                <w:szCs w:val="24"/>
              </w:rPr>
            </w:pPr>
            <w:r>
              <w:rPr>
                <w:szCs w:val="24"/>
              </w:rPr>
              <w:t>Case No. 18-1831-GA-ATA</w:t>
            </w:r>
          </w:p>
          <w:p w:rsidR="00FF1B8A" w:rsidP="00D968C9" w14:paraId="29EF5D9C" w14:textId="77777777">
            <w:pPr>
              <w:rPr>
                <w:szCs w:val="24"/>
              </w:rPr>
            </w:pPr>
          </w:p>
          <w:p w:rsidR="00FF1B8A" w:rsidP="00D968C9" w14:paraId="5EE6F233" w14:textId="77777777">
            <w:pPr>
              <w:rPr>
                <w:szCs w:val="24"/>
              </w:rPr>
            </w:pPr>
          </w:p>
          <w:p w:rsidR="00FF1B8A" w:rsidP="00D968C9" w14:paraId="5CE68822" w14:textId="77777777">
            <w:pPr>
              <w:rPr>
                <w:szCs w:val="24"/>
              </w:rPr>
            </w:pPr>
          </w:p>
          <w:p w:rsidR="00FF1B8A" w:rsidRPr="00E61247" w:rsidP="00D968C9" w14:paraId="130178FD" w14:textId="77777777">
            <w:pPr>
              <w:rPr>
                <w:szCs w:val="24"/>
              </w:rPr>
            </w:pPr>
            <w:r>
              <w:rPr>
                <w:szCs w:val="24"/>
              </w:rPr>
              <w:t>Case No. 19-1085-GA-AAM</w:t>
            </w:r>
          </w:p>
        </w:tc>
      </w:tr>
    </w:tbl>
    <w:p w:rsidR="004D302D" w:rsidRPr="00E61247" w:rsidP="004D302D" w14:paraId="0C158B6A" w14:textId="77777777">
      <w:pPr>
        <w:pBdr>
          <w:bottom w:val="single" w:sz="12" w:space="1" w:color="auto"/>
        </w:pBdr>
        <w:spacing w:before="4"/>
        <w:rPr>
          <w:szCs w:val="24"/>
        </w:rPr>
      </w:pPr>
    </w:p>
    <w:p w:rsidR="004D302D" w:rsidRPr="00E61247" w:rsidP="004D302D" w14:paraId="319209E5" w14:textId="77777777">
      <w:pPr>
        <w:tabs>
          <w:tab w:val="left" w:pos="-720"/>
        </w:tabs>
        <w:suppressAutoHyphens/>
        <w:jc w:val="center"/>
        <w:rPr>
          <w:b/>
          <w:spacing w:val="-3"/>
          <w:szCs w:val="24"/>
        </w:rPr>
      </w:pPr>
    </w:p>
    <w:p w:rsidR="004D302D" w:rsidP="004D302D" w14:paraId="4A926C5C" w14:textId="77777777">
      <w:pPr>
        <w:tabs>
          <w:tab w:val="left" w:pos="-720"/>
        </w:tabs>
        <w:suppressAutoHyphens/>
        <w:jc w:val="center"/>
        <w:rPr>
          <w:b/>
          <w:spacing w:val="-3"/>
          <w:szCs w:val="24"/>
        </w:rPr>
      </w:pPr>
      <w:r>
        <w:rPr>
          <w:b/>
          <w:spacing w:val="-3"/>
          <w:szCs w:val="24"/>
        </w:rPr>
        <w:t>INITIAL BRIEF</w:t>
      </w:r>
    </w:p>
    <w:p w:rsidR="004D302D" w:rsidRPr="00E61247" w:rsidP="004D302D" w14:paraId="6E53DAEA" w14:textId="77777777">
      <w:pPr>
        <w:tabs>
          <w:tab w:val="left" w:pos="-720"/>
        </w:tabs>
        <w:suppressAutoHyphens/>
        <w:jc w:val="center"/>
        <w:rPr>
          <w:b/>
          <w:spacing w:val="-3"/>
          <w:szCs w:val="24"/>
        </w:rPr>
      </w:pPr>
      <w:r w:rsidRPr="00E61247">
        <w:rPr>
          <w:b/>
          <w:spacing w:val="-3"/>
          <w:szCs w:val="24"/>
        </w:rPr>
        <w:t>BY</w:t>
      </w:r>
    </w:p>
    <w:p w:rsidR="004D302D" w:rsidRPr="00E61247" w:rsidP="004D302D" w14:paraId="22022684" w14:textId="77777777">
      <w:pPr>
        <w:tabs>
          <w:tab w:val="left" w:pos="-720"/>
        </w:tabs>
        <w:suppressAutoHyphens/>
        <w:jc w:val="center"/>
        <w:rPr>
          <w:b/>
          <w:spacing w:val="-3"/>
          <w:szCs w:val="24"/>
        </w:rPr>
      </w:pPr>
      <w:r w:rsidRPr="00E61247">
        <w:rPr>
          <w:b/>
          <w:spacing w:val="-3"/>
          <w:szCs w:val="24"/>
        </w:rPr>
        <w:t>OFFICE OF THE OHIO CONSUMERS’ COUNSEL</w:t>
      </w:r>
    </w:p>
    <w:p w:rsidR="004D302D" w:rsidRPr="00E61247" w:rsidP="004D302D" w14:paraId="478C51D2" w14:textId="77777777">
      <w:pPr>
        <w:pBdr>
          <w:bottom w:val="single" w:sz="12" w:space="1" w:color="auto"/>
        </w:pBdr>
        <w:tabs>
          <w:tab w:val="left" w:pos="-720"/>
        </w:tabs>
        <w:suppressAutoHyphens/>
        <w:jc w:val="center"/>
        <w:rPr>
          <w:b/>
          <w:spacing w:val="-3"/>
          <w:szCs w:val="24"/>
        </w:rPr>
      </w:pPr>
    </w:p>
    <w:p w:rsidR="004312EF" w:rsidP="004312EF" w14:paraId="6D2BC425" w14:textId="77777777">
      <w:pPr>
        <w:ind w:firstLine="720"/>
        <w:rPr>
          <w:szCs w:val="24"/>
        </w:rPr>
      </w:pPr>
    </w:p>
    <w:p w:rsidR="00D97DEF" w:rsidP="007055C6" w14:paraId="4310BDFF" w14:textId="77777777">
      <w:pPr>
        <w:spacing w:line="480" w:lineRule="auto"/>
        <w:ind w:firstLine="720"/>
        <w:rPr>
          <w:szCs w:val="24"/>
        </w:rPr>
      </w:pPr>
      <w:r>
        <w:rPr>
          <w:szCs w:val="24"/>
        </w:rPr>
        <w:t xml:space="preserve">The </w:t>
      </w:r>
      <w:r w:rsidR="005838A7">
        <w:rPr>
          <w:szCs w:val="24"/>
        </w:rPr>
        <w:t>Public Utilities Commission of Ohio (“PUCO”) should approve, without modification, the August 31, 2021 Stipulation and Recommendation (“Settlement”). The Settlement easily passes the PUCO’s three-part test for evaluating settlements. It was the product of serious bargaining among capable and knowledgeable parties, including representing a diversity of interests among signatory parties (</w:t>
      </w:r>
      <w:r w:rsidR="00742BBC">
        <w:rPr>
          <w:szCs w:val="24"/>
        </w:rPr>
        <w:t xml:space="preserve">the Ohio Consumers’ Counsel (“OCC”), </w:t>
      </w:r>
      <w:r w:rsidR="005838A7">
        <w:rPr>
          <w:szCs w:val="24"/>
        </w:rPr>
        <w:t xml:space="preserve">Duke, the PUCO Staff, and Ohio Energy Group (“OEG”)) and non-opposing parties (Ohio Manufacturers’ Association Energy Group (“OMAEG”), The Kroger Company, and Ohio Partners for Affordable Energy (“OPAE”)). </w:t>
      </w:r>
      <w:r>
        <w:rPr>
          <w:szCs w:val="24"/>
        </w:rPr>
        <w:t xml:space="preserve">The only parties who oppose the Settlement are marketer Interstate Gas Supply, Inc. (“IGS”) and </w:t>
      </w:r>
      <w:r w:rsidR="00E42603">
        <w:rPr>
          <w:szCs w:val="24"/>
        </w:rPr>
        <w:t>a marketer trade association, the</w:t>
      </w:r>
      <w:r>
        <w:rPr>
          <w:szCs w:val="24"/>
        </w:rPr>
        <w:t xml:space="preserve"> Retail Energy Supply Association (“RESA,” and together with IGS, the “Marketers”).</w:t>
      </w:r>
    </w:p>
    <w:p w:rsidR="005838A7" w:rsidP="007055C6" w14:paraId="7455B188" w14:textId="77777777">
      <w:pPr>
        <w:spacing w:line="480" w:lineRule="auto"/>
        <w:ind w:firstLine="720"/>
        <w:rPr>
          <w:szCs w:val="24"/>
        </w:rPr>
      </w:pPr>
      <w:r>
        <w:rPr>
          <w:szCs w:val="24"/>
        </w:rPr>
        <w:t xml:space="preserve">As a package, </w:t>
      </w:r>
      <w:r w:rsidR="00D97DEF">
        <w:rPr>
          <w:szCs w:val="24"/>
        </w:rPr>
        <w:t>the Settlement</w:t>
      </w:r>
      <w:r>
        <w:rPr>
          <w:szCs w:val="24"/>
        </w:rPr>
        <w:t xml:space="preserve"> benefits consumers and the public interests</w:t>
      </w:r>
      <w:r w:rsidR="00D97DEF">
        <w:rPr>
          <w:szCs w:val="24"/>
        </w:rPr>
        <w:t xml:space="preserve"> by (i) resolving years of disputes regarding Duke’s manufactured gas plant (“MGP”) cleanup, (ii) addressing Duke’s obligations to consumers under the Tax Cuts and Jobs Act of 2017 (“TCJA”), and (iii) providing for market-related benefits to consumers like aggregate shadow billing, moving toward transitioning from Duke’s gas cost recovery (“GCR”) to a</w:t>
      </w:r>
      <w:r w:rsidR="00742BBC">
        <w:rPr>
          <w:szCs w:val="24"/>
        </w:rPr>
        <w:t xml:space="preserve"> competitive </w:t>
      </w:r>
      <w:r w:rsidR="00D97DEF">
        <w:rPr>
          <w:szCs w:val="24"/>
        </w:rPr>
        <w:t xml:space="preserve">auction-based standard service offer (“SSO”), and providing important price-to-compare language on shopping customers’ bills. </w:t>
      </w:r>
      <w:r>
        <w:rPr>
          <w:szCs w:val="24"/>
        </w:rPr>
        <w:t xml:space="preserve">And </w:t>
      </w:r>
      <w:r w:rsidR="00D97DEF">
        <w:rPr>
          <w:szCs w:val="24"/>
        </w:rPr>
        <w:t>the Settlement</w:t>
      </w:r>
      <w:r>
        <w:rPr>
          <w:szCs w:val="24"/>
        </w:rPr>
        <w:t xml:space="preserve"> is consistent with important regulatory principles and practices.</w:t>
      </w:r>
    </w:p>
    <w:p w:rsidR="005D6C41" w:rsidP="007055C6" w14:paraId="16889CB4" w14:textId="77777777">
      <w:pPr>
        <w:spacing w:line="480" w:lineRule="auto"/>
        <w:ind w:firstLine="720"/>
        <w:rPr>
          <w:szCs w:val="24"/>
        </w:rPr>
      </w:pPr>
      <w:r>
        <w:rPr>
          <w:szCs w:val="24"/>
        </w:rPr>
        <w:t>OCC respectfully requests that the PUCO approve the Settlement in its entirety and as soon as possible so that the many benefits of the Settlement can accrue to consumers as soon as possible during this winter heating season.</w:t>
      </w:r>
    </w:p>
    <w:p w:rsidR="005D6C41" w14:paraId="11F06741" w14:textId="77777777">
      <w:pPr>
        <w:spacing w:after="200" w:line="276" w:lineRule="auto"/>
        <w:rPr>
          <w:szCs w:val="24"/>
        </w:rPr>
      </w:pPr>
      <w:r>
        <w:rPr>
          <w:szCs w:val="24"/>
        </w:rPr>
        <w:br w:type="page"/>
      </w:r>
    </w:p>
    <w:p w:rsidR="00D97DEF" w:rsidRPr="00D97DEF" w:rsidP="00A27850" w14:paraId="4EB5F57D" w14:textId="77777777">
      <w:pPr>
        <w:pStyle w:val="Heading1"/>
      </w:pPr>
      <w:bookmarkStart w:id="0" w:name="_Toc89938042"/>
      <w:r>
        <w:rPr>
          <w:bCs/>
        </w:rPr>
        <w:t>I.</w:t>
      </w:r>
      <w:r>
        <w:rPr>
          <w:bCs/>
        </w:rPr>
        <w:tab/>
      </w:r>
      <w:r w:rsidRPr="00E55346">
        <w:rPr>
          <w:rStyle w:val="Heading1Char"/>
        </w:rPr>
        <w:t>STANDARD OF REVIEW</w:t>
      </w:r>
      <w:bookmarkEnd w:id="0"/>
    </w:p>
    <w:p w:rsidR="00D97DEF" w:rsidP="007055C6" w14:paraId="3597A430" w14:textId="77777777">
      <w:pPr>
        <w:spacing w:line="480" w:lineRule="auto"/>
        <w:ind w:firstLine="720"/>
        <w:rPr>
          <w:szCs w:val="24"/>
        </w:rPr>
      </w:pPr>
      <w:r>
        <w:t>In PUCO proceedings, the applicant bears the burden of proof.</w:t>
      </w:r>
      <w:r>
        <w:rPr>
          <w:rStyle w:val="FootnoteReference"/>
        </w:rPr>
        <w:footnoteReference w:id="2"/>
      </w:r>
      <w:r>
        <w:t xml:space="preserve"> In the context of a </w:t>
      </w:r>
      <w:r w:rsidR="008F1A95">
        <w:t>settlement</w:t>
      </w:r>
      <w:r>
        <w:t>, the signatory parties “bear the burden to support the stipulation” and must “demonstrate that the stipulation is reasonable and satisfies the Commission's three-part test.”</w:t>
      </w:r>
      <w:r>
        <w:rPr>
          <w:rStyle w:val="FootnoteReference"/>
        </w:rPr>
        <w:footnoteReference w:id="3"/>
      </w:r>
      <w:r>
        <w:t xml:space="preserve"> A settlement is a recommendation to the PUCO on behalf of the settling parties.</w:t>
      </w:r>
      <w:r>
        <w:rPr>
          <w:rStyle w:val="FootnoteReference"/>
        </w:rPr>
        <w:footnoteReference w:id="4"/>
      </w:r>
      <w:r>
        <w:t xml:space="preserve"> It is not binding on the PUCO,</w:t>
      </w:r>
      <w:r>
        <w:rPr>
          <w:rStyle w:val="FootnoteReference"/>
        </w:rPr>
        <w:footnoteReference w:id="5"/>
      </w:r>
      <w:r>
        <w:t xml:space="preserve"> and ultimately, the PUCO must “determine what is just and reasonable from the evidence presented at the hearing.”</w:t>
      </w:r>
      <w:r>
        <w:rPr>
          <w:rStyle w:val="FootnoteReference"/>
        </w:rPr>
        <w:footnoteReference w:id="6"/>
      </w:r>
    </w:p>
    <w:p w:rsidR="008F1A95" w:rsidP="007055C6" w14:paraId="15828EDF" w14:textId="77777777">
      <w:pPr>
        <w:spacing w:line="480" w:lineRule="auto"/>
        <w:ind w:firstLine="720"/>
      </w:pPr>
      <w:r>
        <w:t>In evaluating settlements, the ultimate issue for the PUCO's consideration is whether the agreement “is reasonable and should be adopted.”</w:t>
      </w:r>
      <w:r>
        <w:rPr>
          <w:rStyle w:val="FootnoteReference"/>
        </w:rPr>
        <w:footnoteReference w:id="7"/>
      </w:r>
      <w:r>
        <w:t xml:space="preserve"> In answering this question, the PUCO has adopted the following three-prong test:</w:t>
      </w:r>
      <w:r>
        <w:rPr>
          <w:rStyle w:val="FootnoteReference"/>
        </w:rPr>
        <w:footnoteReference w:id="8"/>
      </w:r>
      <w:r>
        <w:t xml:space="preserve"> </w:t>
      </w:r>
    </w:p>
    <w:p w:rsidR="008F1A95" w:rsidRPr="008F1A95" w:rsidP="008F1A95" w14:paraId="4CAFB4C9" w14:textId="77777777">
      <w:pPr>
        <w:pStyle w:val="ListParagraph"/>
        <w:numPr>
          <w:ilvl w:val="0"/>
          <w:numId w:val="42"/>
        </w:numPr>
        <w:spacing w:line="480" w:lineRule="auto"/>
        <w:ind w:hanging="720"/>
        <w:rPr>
          <w:szCs w:val="24"/>
        </w:rPr>
      </w:pPr>
      <w:r>
        <w:t xml:space="preserve">Is the settlement a product of serious bargaining among capable, knowledgeable parties? </w:t>
      </w:r>
    </w:p>
    <w:p w:rsidR="008F1A95" w:rsidRPr="008F1A95" w:rsidP="008F1A95" w14:paraId="0BB77091" w14:textId="77777777">
      <w:pPr>
        <w:pStyle w:val="ListParagraph"/>
        <w:numPr>
          <w:ilvl w:val="0"/>
          <w:numId w:val="42"/>
        </w:numPr>
        <w:spacing w:line="480" w:lineRule="auto"/>
        <w:ind w:hanging="720"/>
        <w:rPr>
          <w:szCs w:val="24"/>
        </w:rPr>
      </w:pPr>
      <w:r>
        <w:t xml:space="preserve">Does the settlement, as a package, benefit customers and the public interest? </w:t>
      </w:r>
    </w:p>
    <w:p w:rsidR="008F1A95" w:rsidRPr="008F1A95" w:rsidP="008F1A95" w14:paraId="17663395" w14:textId="77777777">
      <w:pPr>
        <w:pStyle w:val="ListParagraph"/>
        <w:numPr>
          <w:ilvl w:val="0"/>
          <w:numId w:val="42"/>
        </w:numPr>
        <w:spacing w:line="480" w:lineRule="auto"/>
        <w:ind w:hanging="720"/>
        <w:rPr>
          <w:szCs w:val="24"/>
        </w:rPr>
      </w:pPr>
      <w:r>
        <w:t xml:space="preserve">Does the settlement violate any important regulatory principle or practice? </w:t>
      </w:r>
    </w:p>
    <w:p w:rsidR="00867E2E" w:rsidP="007055C6" w14:paraId="46D5AADA" w14:textId="77777777">
      <w:pPr>
        <w:spacing w:line="480" w:lineRule="auto"/>
        <w:ind w:firstLine="720"/>
      </w:pPr>
      <w:r>
        <w:t xml:space="preserve">In considering the first prong, the PUCO </w:t>
      </w:r>
      <w:r w:rsidR="00742BBC">
        <w:t xml:space="preserve">can </w:t>
      </w:r>
      <w:r>
        <w:t>evaluate the diversity of the signatory parties, though no threshold level of diversity is mandatory for approval.</w:t>
      </w:r>
      <w:r>
        <w:rPr>
          <w:rStyle w:val="FootnoteReference"/>
        </w:rPr>
        <w:footnoteReference w:id="9"/>
      </w:r>
    </w:p>
    <w:p w:rsidR="005D6C41" w:rsidP="005D6C41" w14:paraId="0E08513A" w14:textId="77777777">
      <w:pPr>
        <w:ind w:firstLine="720"/>
        <w:rPr>
          <w:szCs w:val="24"/>
        </w:rPr>
      </w:pPr>
    </w:p>
    <w:p w:rsidR="005838A7" w:rsidP="00A27850" w14:paraId="7020E45A" w14:textId="77777777">
      <w:pPr>
        <w:pStyle w:val="Heading1"/>
        <w:rPr>
          <w:bCs/>
        </w:rPr>
      </w:pPr>
      <w:bookmarkStart w:id="1" w:name="_Toc89938043"/>
      <w:r>
        <w:rPr>
          <w:bCs/>
        </w:rPr>
        <w:t>I</w:t>
      </w:r>
      <w:r w:rsidR="00D97DEF">
        <w:rPr>
          <w:bCs/>
        </w:rPr>
        <w:t>I.</w:t>
      </w:r>
      <w:r w:rsidR="00D97DEF">
        <w:rPr>
          <w:bCs/>
        </w:rPr>
        <w:tab/>
      </w:r>
      <w:r w:rsidRPr="00E55346" w:rsidR="00D97DEF">
        <w:rPr>
          <w:rStyle w:val="Heading1Char"/>
        </w:rPr>
        <w:t>RECOMMENDATIONS</w:t>
      </w:r>
      <w:bookmarkEnd w:id="1"/>
    </w:p>
    <w:p w:rsidR="00D97DEF" w:rsidRPr="00D97DEF" w:rsidP="00535A6B" w14:paraId="38E53912" w14:textId="77777777">
      <w:pPr>
        <w:keepNext/>
        <w:keepLines/>
        <w:spacing w:after="240"/>
        <w:ind w:left="1440" w:hanging="720"/>
        <w:rPr>
          <w:b/>
          <w:bCs/>
          <w:szCs w:val="24"/>
        </w:rPr>
      </w:pPr>
      <w:bookmarkStart w:id="2" w:name="_Toc89938044"/>
      <w:r w:rsidRPr="00A27850">
        <w:rPr>
          <w:rStyle w:val="Heading2Char"/>
        </w:rPr>
        <w:t>A.</w:t>
      </w:r>
      <w:r w:rsidRPr="00A27850">
        <w:rPr>
          <w:rStyle w:val="Heading2Char"/>
        </w:rPr>
        <w:tab/>
        <w:t>The Settlement was the product of serious bargaining among capable and knowledgeable parties.</w:t>
      </w:r>
      <w:bookmarkEnd w:id="2"/>
    </w:p>
    <w:p w:rsidR="00D97DEF" w:rsidP="007055C6" w14:paraId="4CCB426D" w14:textId="77777777">
      <w:pPr>
        <w:spacing w:line="480" w:lineRule="auto"/>
        <w:ind w:firstLine="720"/>
        <w:rPr>
          <w:szCs w:val="24"/>
        </w:rPr>
      </w:pPr>
      <w:r>
        <w:rPr>
          <w:szCs w:val="24"/>
        </w:rPr>
        <w:t xml:space="preserve">The signatory parties to the Settlement are </w:t>
      </w:r>
      <w:r w:rsidR="00742BBC">
        <w:rPr>
          <w:szCs w:val="24"/>
        </w:rPr>
        <w:t xml:space="preserve">OCC, </w:t>
      </w:r>
      <w:r>
        <w:rPr>
          <w:szCs w:val="24"/>
        </w:rPr>
        <w:t>Duke, the PUCO Staff, and OEG.</w:t>
      </w:r>
      <w:r>
        <w:rPr>
          <w:rStyle w:val="FootnoteReference"/>
          <w:szCs w:val="24"/>
        </w:rPr>
        <w:footnoteReference w:id="10"/>
      </w:r>
      <w:r>
        <w:rPr>
          <w:szCs w:val="24"/>
        </w:rPr>
        <w:t xml:space="preserve"> The non-opposing parties are OMA, Kroger, and OPAE.</w:t>
      </w:r>
      <w:r>
        <w:rPr>
          <w:rStyle w:val="FootnoteReference"/>
          <w:szCs w:val="24"/>
        </w:rPr>
        <w:footnoteReference w:id="11"/>
      </w:r>
      <w:r>
        <w:rPr>
          <w:szCs w:val="24"/>
        </w:rPr>
        <w:t xml:space="preserve"> There is no dispute that these parties are capable and knowledgeable.</w:t>
      </w:r>
      <w:r>
        <w:rPr>
          <w:rStyle w:val="FootnoteReference"/>
          <w:szCs w:val="24"/>
        </w:rPr>
        <w:footnoteReference w:id="12"/>
      </w:r>
    </w:p>
    <w:p w:rsidR="00470082" w:rsidP="007055C6" w14:paraId="2CC0361A" w14:textId="77777777">
      <w:pPr>
        <w:spacing w:line="480" w:lineRule="auto"/>
        <w:ind w:firstLine="720"/>
        <w:rPr>
          <w:szCs w:val="24"/>
        </w:rPr>
      </w:pPr>
      <w:r>
        <w:rPr>
          <w:szCs w:val="24"/>
        </w:rPr>
        <w:t>The evidence also demonstrates that serious bargaining occurred. As Duke witness Lawler testified, “[m]ultiple meetings occurred over many months,” with negotiations taking place in a variety of ways, including via telephone, video conference, and email.</w:t>
      </w:r>
      <w:r>
        <w:rPr>
          <w:rStyle w:val="FootnoteReference"/>
          <w:szCs w:val="24"/>
        </w:rPr>
        <w:footnoteReference w:id="13"/>
      </w:r>
      <w:r>
        <w:rPr>
          <w:szCs w:val="24"/>
        </w:rPr>
        <w:t xml:space="preserve"> All parties to the proce</w:t>
      </w:r>
      <w:r w:rsidR="005E5846">
        <w:rPr>
          <w:szCs w:val="24"/>
        </w:rPr>
        <w:t>e</w:t>
      </w:r>
      <w:r>
        <w:rPr>
          <w:szCs w:val="24"/>
        </w:rPr>
        <w:t>ding</w:t>
      </w:r>
      <w:r w:rsidR="00896A93">
        <w:rPr>
          <w:szCs w:val="24"/>
        </w:rPr>
        <w:t>s</w:t>
      </w:r>
      <w:r>
        <w:rPr>
          <w:szCs w:val="24"/>
        </w:rPr>
        <w:t xml:space="preserve"> </w:t>
      </w:r>
      <w:r w:rsidR="005E5846">
        <w:rPr>
          <w:szCs w:val="24"/>
        </w:rPr>
        <w:t>at the time of the settlement negotiations “were provided with an opportunity to express their concerns that resulted in the resolution of issues contained in the” Settlement.</w:t>
      </w:r>
      <w:r>
        <w:rPr>
          <w:rStyle w:val="FootnoteReference"/>
          <w:szCs w:val="24"/>
        </w:rPr>
        <w:footnoteReference w:id="14"/>
      </w:r>
    </w:p>
    <w:p w:rsidR="005E5846" w:rsidP="007055C6" w14:paraId="64E84980" w14:textId="77777777">
      <w:pPr>
        <w:spacing w:line="480" w:lineRule="auto"/>
        <w:ind w:firstLine="720"/>
        <w:rPr>
          <w:szCs w:val="24"/>
        </w:rPr>
      </w:pPr>
      <w:r>
        <w:rPr>
          <w:szCs w:val="24"/>
        </w:rPr>
        <w:t xml:space="preserve">Further, the Settlement signatories and non-opposing parties represent a diversity of interests, including </w:t>
      </w:r>
      <w:r w:rsidR="00742BBC">
        <w:rPr>
          <w:szCs w:val="24"/>
        </w:rPr>
        <w:t xml:space="preserve">all residential consumers (OCC), </w:t>
      </w:r>
      <w:r>
        <w:rPr>
          <w:szCs w:val="24"/>
        </w:rPr>
        <w:t>the utility (Duke), large nonresidential customers (</w:t>
      </w:r>
      <w:r w:rsidR="00896A93">
        <w:rPr>
          <w:szCs w:val="24"/>
        </w:rPr>
        <w:t>OEG</w:t>
      </w:r>
      <w:r>
        <w:rPr>
          <w:szCs w:val="24"/>
        </w:rPr>
        <w:t>), the PUCO Staff, Ohio manufacturers and other businesses (OMAEG and Kroger), and low-income customers and weatherization providers (OPAE).</w:t>
      </w:r>
      <w:r>
        <w:rPr>
          <w:rStyle w:val="FootnoteReference"/>
          <w:szCs w:val="24"/>
        </w:rPr>
        <w:footnoteReference w:id="15"/>
      </w:r>
      <w:r>
        <w:rPr>
          <w:szCs w:val="24"/>
        </w:rPr>
        <w:t xml:space="preserve"> </w:t>
      </w:r>
    </w:p>
    <w:p w:rsidR="005E5846" w:rsidP="007055C6" w14:paraId="3E58AD55" w14:textId="77777777">
      <w:pPr>
        <w:spacing w:line="480" w:lineRule="auto"/>
        <w:ind w:firstLine="720"/>
        <w:rPr>
          <w:szCs w:val="24"/>
        </w:rPr>
      </w:pPr>
      <w:r>
        <w:rPr>
          <w:szCs w:val="24"/>
        </w:rPr>
        <w:t>The only parties opposing the Settlement are the Marketers. But the Marketers were not parties to these cases at the time of settlement negotiations nor when the Settlement was filed. Instead, they were granted very limited intervention after the Settlement was filed</w:t>
      </w:r>
      <w:r w:rsidR="0025235E">
        <w:rPr>
          <w:szCs w:val="24"/>
        </w:rPr>
        <w:t>, allowing them only to be heard regarding three market-related provisions in the Settlement (the provision of aggregate shadow billing data to OCC, a bill formatting change requiring Duke to provide price-to-compare information to shopping customers, and a requirement that Duke begin the process of transitioning from a GCR to an SSO).</w:t>
      </w:r>
      <w:r>
        <w:rPr>
          <w:rStyle w:val="FootnoteReference"/>
          <w:szCs w:val="24"/>
        </w:rPr>
        <w:footnoteReference w:id="16"/>
      </w:r>
      <w:r w:rsidR="0025235E">
        <w:rPr>
          <w:szCs w:val="24"/>
        </w:rPr>
        <w:t xml:space="preserve"> Because of their decision not to intervene earlier and the PUCO’s ruling that their intervention was limited, their absence as a signatory </w:t>
      </w:r>
      <w:r w:rsidR="00C90A65">
        <w:rPr>
          <w:szCs w:val="24"/>
        </w:rPr>
        <w:t>from the Settlement has no bearing on the first prong of the PUCO’s three-part test. The Settlement remains a product of serious bargaining among capable and knowledgeable parties.</w:t>
      </w:r>
    </w:p>
    <w:p w:rsidR="00C90A65" w:rsidRPr="00C90A65" w:rsidP="00A27850" w14:paraId="6AFE7D0E" w14:textId="77777777">
      <w:pPr>
        <w:pStyle w:val="Heading2"/>
        <w:rPr>
          <w:bCs/>
        </w:rPr>
      </w:pPr>
      <w:bookmarkStart w:id="3" w:name="_Toc89938045"/>
      <w:r>
        <w:rPr>
          <w:bCs/>
        </w:rPr>
        <w:t>B.</w:t>
      </w:r>
      <w:r>
        <w:rPr>
          <w:bCs/>
        </w:rPr>
        <w:tab/>
      </w:r>
      <w:r w:rsidRPr="00E55346">
        <w:rPr>
          <w:rStyle w:val="Heading2Char"/>
        </w:rPr>
        <w:t>The Settlement benefits customers and the public interest.</w:t>
      </w:r>
      <w:bookmarkEnd w:id="3"/>
    </w:p>
    <w:p w:rsidR="00896A93" w:rsidP="007055C6" w14:paraId="4010607F" w14:textId="77777777">
      <w:pPr>
        <w:spacing w:line="480" w:lineRule="auto"/>
        <w:ind w:firstLine="720"/>
        <w:rPr>
          <w:szCs w:val="24"/>
        </w:rPr>
      </w:pPr>
      <w:r>
        <w:rPr>
          <w:szCs w:val="24"/>
        </w:rPr>
        <w:t>The Settlement provides numerous benefits to customers and the public interest. These benefits fall into three primary categories: (i) resolving disputes regarding Duke’s MGP cleanup and whether consumers should pay for it</w:t>
      </w:r>
      <w:r w:rsidR="00CC75D9">
        <w:rPr>
          <w:szCs w:val="24"/>
        </w:rPr>
        <w:t xml:space="preserve"> (the “MGP Benefits”)</w:t>
      </w:r>
      <w:r>
        <w:rPr>
          <w:szCs w:val="24"/>
        </w:rPr>
        <w:t>, (ii) </w:t>
      </w:r>
      <w:r w:rsidR="00CC75D9">
        <w:rPr>
          <w:szCs w:val="24"/>
        </w:rPr>
        <w:t>passing to consumers the long-overdue benefits of lower tax rates under the TCJA (the “Tax Benefits”), and (iii) aggregate shadow billing, transitioning from a GCR to an SSO, and providing price-to-compare language on shopping customers’ bills (collectively, the “Market Benefits”).</w:t>
      </w:r>
      <w:r w:rsidR="00804131">
        <w:rPr>
          <w:szCs w:val="24"/>
        </w:rPr>
        <w:t xml:space="preserve"> Notable, it would not be possible to provide all these benefits to consumers in the absence of the Settlement.</w:t>
      </w:r>
      <w:r>
        <w:rPr>
          <w:rStyle w:val="FootnoteReference"/>
          <w:szCs w:val="24"/>
        </w:rPr>
        <w:footnoteReference w:id="17"/>
      </w:r>
    </w:p>
    <w:p w:rsidR="00CC75D9" w:rsidRPr="00CC75D9" w:rsidP="00A27850" w14:paraId="4F52BCE1" w14:textId="77777777">
      <w:pPr>
        <w:pStyle w:val="Heading3"/>
      </w:pPr>
      <w:bookmarkStart w:id="4" w:name="_Toc89938046"/>
      <w:r>
        <w:t>1.</w:t>
      </w:r>
      <w:r>
        <w:tab/>
      </w:r>
      <w:r w:rsidRPr="00E55346" w:rsidR="00804131">
        <w:rPr>
          <w:rStyle w:val="Heading3Char"/>
        </w:rPr>
        <w:t>The Settlement’s MGP and Tax Benefits to consumers are substantial.</w:t>
      </w:r>
      <w:bookmarkEnd w:id="4"/>
    </w:p>
    <w:p w:rsidR="00804131" w:rsidP="00804131" w14:paraId="3424EE4A" w14:textId="77777777">
      <w:pPr>
        <w:spacing w:line="480" w:lineRule="auto"/>
        <w:ind w:firstLine="720"/>
        <w:rPr>
          <w:szCs w:val="24"/>
        </w:rPr>
      </w:pPr>
      <w:r>
        <w:rPr>
          <w:szCs w:val="24"/>
        </w:rPr>
        <w:t>The Settlement provides substantial value to consumers through its MGP and Tax Benefits.</w:t>
      </w:r>
    </w:p>
    <w:p w:rsidR="00804131" w:rsidP="00804131" w14:paraId="07D64B9A" w14:textId="77777777">
      <w:pPr>
        <w:spacing w:line="480" w:lineRule="auto"/>
        <w:ind w:firstLine="720"/>
        <w:rPr>
          <w:szCs w:val="24"/>
        </w:rPr>
      </w:pPr>
      <w:r>
        <w:rPr>
          <w:szCs w:val="24"/>
        </w:rPr>
        <w:t>First, Duke’s charges to consumers for MGP remediation costs are reduced by nearly $11.4 million.</w:t>
      </w:r>
      <w:r>
        <w:rPr>
          <w:rStyle w:val="FootnoteReference"/>
          <w:szCs w:val="24"/>
        </w:rPr>
        <w:footnoteReference w:id="18"/>
      </w:r>
    </w:p>
    <w:p w:rsidR="00804131" w:rsidP="00804131" w14:paraId="431F07B2" w14:textId="77777777">
      <w:pPr>
        <w:spacing w:line="480" w:lineRule="auto"/>
        <w:ind w:firstLine="720"/>
        <w:rPr>
          <w:szCs w:val="24"/>
        </w:rPr>
      </w:pPr>
      <w:r>
        <w:rPr>
          <w:szCs w:val="24"/>
        </w:rPr>
        <w:t xml:space="preserve">Second, </w:t>
      </w:r>
      <w:r w:rsidR="00EE39B2">
        <w:rPr>
          <w:szCs w:val="24"/>
        </w:rPr>
        <w:t>Duke’s natural gas customers are currently owed about $28.1 million in tax refunds for Duke’s unprotected excess accumulated deferred income taxes (unprotected “EDIT”).</w:t>
      </w:r>
      <w:r>
        <w:rPr>
          <w:rStyle w:val="FootnoteReference"/>
          <w:szCs w:val="24"/>
        </w:rPr>
        <w:footnoteReference w:id="19"/>
      </w:r>
      <w:r w:rsidR="00EE39B2">
        <w:rPr>
          <w:szCs w:val="24"/>
        </w:rPr>
        <w:t xml:space="preserve"> Duke had proposed crediting that money to customers over a six-year period, but under the Settlement, customers will get an immediate credit of the full $28.1 million.</w:t>
      </w:r>
      <w:r>
        <w:rPr>
          <w:rStyle w:val="FootnoteReference"/>
          <w:szCs w:val="24"/>
        </w:rPr>
        <w:footnoteReference w:id="20"/>
      </w:r>
      <w:r w:rsidR="00EE39B2">
        <w:rPr>
          <w:szCs w:val="24"/>
        </w:rPr>
        <w:t xml:space="preserve"> This amount will be used to offset charges that customers would otherwise pay for Duke’s MGP cleanup.</w:t>
      </w:r>
      <w:r>
        <w:rPr>
          <w:rStyle w:val="FootnoteReference"/>
          <w:szCs w:val="24"/>
        </w:rPr>
        <w:footnoteReference w:id="21"/>
      </w:r>
    </w:p>
    <w:p w:rsidR="00E01B78" w:rsidP="00E01B78" w14:paraId="18770CB6" w14:textId="77777777">
      <w:pPr>
        <w:spacing w:line="480" w:lineRule="auto"/>
        <w:ind w:firstLine="720"/>
        <w:rPr>
          <w:szCs w:val="24"/>
        </w:rPr>
      </w:pPr>
      <w:r>
        <w:rPr>
          <w:szCs w:val="24"/>
        </w:rPr>
        <w:t>Third, Duke currently has in its possession more than $50 million in insurance proceeds that it recovered from various insurers for claims related to MGP cleanup. The Settlement requires Duke to use $45.8 million of those insurance proceeds to further offset charges that customers would otherwise pay for Duke’s MGP cleanup.</w:t>
      </w:r>
      <w:r>
        <w:rPr>
          <w:rStyle w:val="FootnoteReference"/>
          <w:szCs w:val="24"/>
        </w:rPr>
        <w:footnoteReference w:id="22"/>
      </w:r>
      <w:r>
        <w:rPr>
          <w:szCs w:val="24"/>
        </w:rPr>
        <w:t xml:space="preserve"> </w:t>
      </w:r>
    </w:p>
    <w:p w:rsidR="00E01B78" w:rsidP="00E01B78" w14:paraId="2A2F5BD0" w14:textId="77777777">
      <w:pPr>
        <w:spacing w:line="480" w:lineRule="auto"/>
        <w:jc w:val="center"/>
        <w:rPr>
          <w:szCs w:val="24"/>
        </w:rPr>
      </w:pPr>
      <w:r>
        <w:rPr>
          <w:noProof/>
        </w:rPr>
        <w:drawing>
          <wp:inline distT="0" distB="0" distL="0" distR="0">
            <wp:extent cx="5943600" cy="163449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224477" name="Picture 1" descr="Table&#10;&#10;Description automatically generated"/>
                    <pic:cNvPicPr/>
                  </pic:nvPicPr>
                  <pic:blipFill>
                    <a:blip xmlns:r="http://schemas.openxmlformats.org/officeDocument/2006/relationships" r:embed="rId10"/>
                    <a:stretch>
                      <a:fillRect/>
                    </a:stretch>
                  </pic:blipFill>
                  <pic:spPr>
                    <a:xfrm>
                      <a:off x="0" y="0"/>
                      <a:ext cx="5943600" cy="1634490"/>
                    </a:xfrm>
                    <a:prstGeom prst="rect">
                      <a:avLst/>
                    </a:prstGeom>
                  </pic:spPr>
                </pic:pic>
              </a:graphicData>
            </a:graphic>
          </wp:inline>
        </w:drawing>
      </w:r>
    </w:p>
    <w:p w:rsidR="00EE39B2" w:rsidP="00E01B78" w14:paraId="75E20F27" w14:textId="77777777">
      <w:pPr>
        <w:spacing w:line="480" w:lineRule="auto"/>
        <w:rPr>
          <w:szCs w:val="24"/>
        </w:rPr>
      </w:pPr>
      <w:r>
        <w:rPr>
          <w:szCs w:val="24"/>
        </w:rPr>
        <w:t>Further, customers will not be charged for costs Duke incurs to investigate potential contamination of the Ohio River, and customers will not be charged for cleanup costs related to certain areas that could not be remediated due to safety and integrity of ongoing operations.</w:t>
      </w:r>
      <w:r>
        <w:rPr>
          <w:rStyle w:val="FootnoteReference"/>
          <w:szCs w:val="24"/>
        </w:rPr>
        <w:footnoteReference w:id="23"/>
      </w:r>
    </w:p>
    <w:p w:rsidR="00896A93" w:rsidP="007055C6" w14:paraId="7C6C4E24" w14:textId="77777777">
      <w:pPr>
        <w:spacing w:line="480" w:lineRule="auto"/>
        <w:ind w:firstLine="720"/>
        <w:rPr>
          <w:szCs w:val="24"/>
        </w:rPr>
      </w:pPr>
      <w:r>
        <w:rPr>
          <w:szCs w:val="24"/>
        </w:rPr>
        <w:t xml:space="preserve">Fourth, </w:t>
      </w:r>
      <w:r w:rsidR="00634245">
        <w:rPr>
          <w:szCs w:val="24"/>
        </w:rPr>
        <w:t>after waiting</w:t>
      </w:r>
      <w:r w:rsidR="00973EA8">
        <w:rPr>
          <w:szCs w:val="24"/>
        </w:rPr>
        <w:t xml:space="preserve"> too long</w:t>
      </w:r>
      <w:r w:rsidR="00634245">
        <w:rPr>
          <w:szCs w:val="24"/>
        </w:rPr>
        <w:t xml:space="preserve"> </w:t>
      </w:r>
      <w:r w:rsidR="00973EA8">
        <w:rPr>
          <w:szCs w:val="24"/>
        </w:rPr>
        <w:t>(</w:t>
      </w:r>
      <w:r w:rsidR="00634245">
        <w:rPr>
          <w:szCs w:val="24"/>
        </w:rPr>
        <w:t>nearly four years</w:t>
      </w:r>
      <w:r w:rsidR="00973EA8">
        <w:rPr>
          <w:szCs w:val="24"/>
        </w:rPr>
        <w:t>) for a PUCO decision</w:t>
      </w:r>
      <w:r w:rsidR="00634245">
        <w:rPr>
          <w:szCs w:val="24"/>
        </w:rPr>
        <w:t>, customers will finally begin receiving credits for Duke’s protected EDITs</w:t>
      </w:r>
      <w:r w:rsidR="00973EA8">
        <w:rPr>
          <w:szCs w:val="24"/>
        </w:rPr>
        <w:t xml:space="preserve"> from the passage of the TCJA</w:t>
      </w:r>
      <w:r w:rsidR="00634245">
        <w:rPr>
          <w:szCs w:val="24"/>
        </w:rPr>
        <w:t>.</w:t>
      </w:r>
      <w:r>
        <w:rPr>
          <w:rStyle w:val="FootnoteReference"/>
          <w:szCs w:val="24"/>
        </w:rPr>
        <w:footnoteReference w:id="24"/>
      </w:r>
      <w:r w:rsidR="00634245">
        <w:rPr>
          <w:szCs w:val="24"/>
        </w:rPr>
        <w:t xml:space="preserve"> This will provide more than $147 million in credits to customers.</w:t>
      </w:r>
      <w:r>
        <w:rPr>
          <w:rStyle w:val="FootnoteReference"/>
          <w:szCs w:val="24"/>
        </w:rPr>
        <w:footnoteReference w:id="25"/>
      </w:r>
    </w:p>
    <w:p w:rsidR="00896A93" w:rsidP="007055C6" w14:paraId="61FEA866" w14:textId="77777777">
      <w:pPr>
        <w:spacing w:line="480" w:lineRule="auto"/>
        <w:ind w:firstLine="720"/>
        <w:rPr>
          <w:szCs w:val="24"/>
        </w:rPr>
      </w:pPr>
      <w:r>
        <w:rPr>
          <w:szCs w:val="24"/>
        </w:rPr>
        <w:t>Fifth, Duke currently owes customers more than $54 million in credits (and counting) related to the change in income tax rates under the TCJA.</w:t>
      </w:r>
      <w:r>
        <w:rPr>
          <w:rStyle w:val="FootnoteReference"/>
          <w:szCs w:val="24"/>
        </w:rPr>
        <w:footnoteReference w:id="26"/>
      </w:r>
      <w:r>
        <w:rPr>
          <w:szCs w:val="24"/>
        </w:rPr>
        <w:t xml:space="preserve"> These credits are separate and apart from the EDIT-related credits. Under the Settlement, Duke will provide residential consumers with their share of these funds as a one-time credit shortly after the Settlement is approved.</w:t>
      </w:r>
      <w:r>
        <w:rPr>
          <w:rStyle w:val="FootnoteReference"/>
          <w:szCs w:val="24"/>
        </w:rPr>
        <w:footnoteReference w:id="27"/>
      </w:r>
      <w:r>
        <w:rPr>
          <w:szCs w:val="24"/>
        </w:rPr>
        <w:t xml:space="preserve"> </w:t>
      </w:r>
      <w:r w:rsidR="0032238D">
        <w:rPr>
          <w:szCs w:val="24"/>
        </w:rPr>
        <w:t xml:space="preserve">It is expected that </w:t>
      </w:r>
      <w:r w:rsidRPr="0032238D" w:rsidR="0032238D">
        <w:rPr>
          <w:b/>
          <w:bCs/>
          <w:szCs w:val="24"/>
          <w:u w:val="single"/>
        </w:rPr>
        <w:t>each residential consumer will receive a credit of</w:t>
      </w:r>
      <w:r w:rsidRPr="0032238D" w:rsidR="0032238D">
        <w:rPr>
          <w:szCs w:val="24"/>
          <w:u w:val="single"/>
        </w:rPr>
        <w:t xml:space="preserve"> </w:t>
      </w:r>
      <w:r w:rsidRPr="0032238D" w:rsidR="0032238D">
        <w:rPr>
          <w:b/>
          <w:bCs/>
          <w:szCs w:val="24"/>
          <w:u w:val="single"/>
        </w:rPr>
        <w:t>at least $107</w:t>
      </w:r>
      <w:r w:rsidR="0032238D">
        <w:rPr>
          <w:szCs w:val="24"/>
        </w:rPr>
        <w:t>.</w:t>
      </w:r>
      <w:r>
        <w:rPr>
          <w:rStyle w:val="FootnoteReference"/>
          <w:szCs w:val="24"/>
        </w:rPr>
        <w:footnoteReference w:id="28"/>
      </w:r>
      <w:r w:rsidR="0032238D">
        <w:rPr>
          <w:szCs w:val="24"/>
        </w:rPr>
        <w:t xml:space="preserve"> </w:t>
      </w:r>
      <w:r>
        <w:rPr>
          <w:szCs w:val="24"/>
        </w:rPr>
        <w:t xml:space="preserve">Duke had previously proposed </w:t>
      </w:r>
      <w:r w:rsidR="00951818">
        <w:rPr>
          <w:szCs w:val="24"/>
        </w:rPr>
        <w:t>credits to consumers over a one-year period, so the immediate credit gets money into consumers’ hands faster.</w:t>
      </w:r>
      <w:r>
        <w:rPr>
          <w:rStyle w:val="FootnoteReference"/>
          <w:szCs w:val="24"/>
        </w:rPr>
        <w:footnoteReference w:id="29"/>
      </w:r>
    </w:p>
    <w:p w:rsidR="00D97DEF" w:rsidP="007055C6" w14:paraId="018F2B7F" w14:textId="77777777">
      <w:pPr>
        <w:spacing w:line="480" w:lineRule="auto"/>
        <w:ind w:firstLine="720"/>
        <w:rPr>
          <w:szCs w:val="24"/>
        </w:rPr>
      </w:pPr>
      <w:r>
        <w:rPr>
          <w:szCs w:val="24"/>
        </w:rPr>
        <w:t>Sixth, because Duke’s natural gas base rates were approved before the TCJA was passed, those rates include charges to consumers based on the former 35% corporate income tax rate instead of the current 21% rate.</w:t>
      </w:r>
      <w:r>
        <w:rPr>
          <w:rStyle w:val="FootnoteReference"/>
          <w:szCs w:val="24"/>
        </w:rPr>
        <w:footnoteReference w:id="30"/>
      </w:r>
      <w:r>
        <w:rPr>
          <w:szCs w:val="24"/>
        </w:rPr>
        <w:t xml:space="preserve"> Under the Settlement, Duke’s base distribution revenue requirement will be reduced by approximately $12.9 million per year, which is a 5.35% reduction in charges to consumers for natural gas service.</w:t>
      </w:r>
      <w:r>
        <w:rPr>
          <w:rStyle w:val="FootnoteReference"/>
          <w:szCs w:val="24"/>
        </w:rPr>
        <w:footnoteReference w:id="31"/>
      </w:r>
    </w:p>
    <w:p w:rsidR="00D97DEF" w:rsidP="007055C6" w14:paraId="6C8463D4" w14:textId="77777777">
      <w:pPr>
        <w:spacing w:line="480" w:lineRule="auto"/>
        <w:ind w:firstLine="720"/>
        <w:rPr>
          <w:szCs w:val="24"/>
        </w:rPr>
      </w:pPr>
      <w:r>
        <w:rPr>
          <w:szCs w:val="24"/>
        </w:rPr>
        <w:t>Seventh, Duke had previously sought to continue deferring costs for MGP cleanup beyond 2019, but under the Settlement, Duke is withdrawing that request.</w:t>
      </w:r>
      <w:r>
        <w:rPr>
          <w:rStyle w:val="FootnoteReference"/>
          <w:szCs w:val="24"/>
        </w:rPr>
        <w:footnoteReference w:id="32"/>
      </w:r>
      <w:r>
        <w:rPr>
          <w:szCs w:val="24"/>
        </w:rPr>
        <w:t xml:space="preserve"> This means that consumers will not pay for any such costs that Duke previously sought to defer.</w:t>
      </w:r>
    </w:p>
    <w:p w:rsidR="00951818" w:rsidP="007055C6" w14:paraId="2DF69ACD" w14:textId="77777777">
      <w:pPr>
        <w:spacing w:line="480" w:lineRule="auto"/>
        <w:ind w:firstLine="720"/>
        <w:rPr>
          <w:szCs w:val="24"/>
        </w:rPr>
      </w:pPr>
      <w:r>
        <w:rPr>
          <w:szCs w:val="24"/>
        </w:rPr>
        <w:t xml:space="preserve">Eighth, upon approval of the Settlement, Duke’s MGP rider will be </w:t>
      </w:r>
      <w:r w:rsidR="0032238D">
        <w:rPr>
          <w:szCs w:val="24"/>
        </w:rPr>
        <w:t>terminated</w:t>
      </w:r>
      <w:r>
        <w:rPr>
          <w:szCs w:val="24"/>
        </w:rPr>
        <w:t>.</w:t>
      </w:r>
      <w:r>
        <w:rPr>
          <w:rStyle w:val="FootnoteReference"/>
          <w:szCs w:val="24"/>
        </w:rPr>
        <w:footnoteReference w:id="33"/>
      </w:r>
      <w:r>
        <w:rPr>
          <w:szCs w:val="24"/>
        </w:rPr>
        <w:t xml:space="preserve"> Thus, if Duke ever wants to charge customers in the future for MGP costs, it will need to file a new application. </w:t>
      </w:r>
      <w:r w:rsidR="00FB52B6">
        <w:rPr>
          <w:szCs w:val="24"/>
        </w:rPr>
        <w:t>In such future application, Duke will only be permitted to charge consumers (if at all) for Ohio River remediation after an Ohio EPA or U.S. EPA order, consent decree, or settlement has imposed legal obligations to incur costs to remediate in or under the Ohio River, or after a written statement issued by the Ohio EPA or U.S. EPA that remediation in or under the Ohio River is necessary to meet applicable environmental standards.</w:t>
      </w:r>
      <w:r>
        <w:rPr>
          <w:rStyle w:val="FootnoteReference"/>
          <w:szCs w:val="24"/>
        </w:rPr>
        <w:footnoteReference w:id="34"/>
      </w:r>
      <w:r w:rsidR="00FB52B6">
        <w:rPr>
          <w:szCs w:val="24"/>
        </w:rPr>
        <w:t xml:space="preserve"> Further, Duke must file any application for deferral authority for cleanup of the Ohio River within five years of approval of the Settlement.</w:t>
      </w:r>
      <w:r>
        <w:rPr>
          <w:rStyle w:val="FootnoteReference"/>
          <w:szCs w:val="24"/>
        </w:rPr>
        <w:footnoteReference w:id="35"/>
      </w:r>
      <w:r w:rsidR="00FB52B6">
        <w:rPr>
          <w:szCs w:val="24"/>
        </w:rPr>
        <w:t xml:space="preserve"> These limitations benefit consumers because they reduce the risk of future charges to consumers for Duke’s MGP cleanup.</w:t>
      </w:r>
      <w:r>
        <w:rPr>
          <w:rStyle w:val="FootnoteReference"/>
          <w:szCs w:val="24"/>
        </w:rPr>
        <w:footnoteReference w:id="36"/>
      </w:r>
    </w:p>
    <w:p w:rsidR="00FB52B6" w:rsidP="007055C6" w14:paraId="689D874F" w14:textId="77777777">
      <w:pPr>
        <w:spacing w:line="480" w:lineRule="auto"/>
        <w:ind w:firstLine="720"/>
        <w:rPr>
          <w:szCs w:val="24"/>
        </w:rPr>
      </w:pPr>
      <w:r>
        <w:rPr>
          <w:szCs w:val="24"/>
        </w:rPr>
        <w:t>Finally, after the full offset of charges to consumers for MGP cleanup, there remain about $4.8 million in insurance proceeds in Duke’s possession.</w:t>
      </w:r>
      <w:r>
        <w:rPr>
          <w:rStyle w:val="FootnoteReference"/>
          <w:szCs w:val="24"/>
        </w:rPr>
        <w:footnoteReference w:id="37"/>
      </w:r>
      <w:r>
        <w:rPr>
          <w:szCs w:val="24"/>
        </w:rPr>
        <w:t xml:space="preserve"> This insurance money will be used to benefit </w:t>
      </w:r>
      <w:r w:rsidR="00973EA8">
        <w:rPr>
          <w:szCs w:val="24"/>
        </w:rPr>
        <w:t xml:space="preserve">consumers </w:t>
      </w:r>
      <w:r w:rsidR="00073CBF">
        <w:rPr>
          <w:szCs w:val="24"/>
        </w:rPr>
        <w:t>who have been impacted by the coronavirus pandemic.</w:t>
      </w:r>
      <w:r>
        <w:rPr>
          <w:rStyle w:val="FootnoteReference"/>
          <w:szCs w:val="24"/>
        </w:rPr>
        <w:footnoteReference w:id="38"/>
      </w:r>
      <w:r>
        <w:rPr>
          <w:szCs w:val="24"/>
        </w:rPr>
        <w:t xml:space="preserve"> First, about $3.8 million will be used for bill payment assistance for qualifying low-income residential consumers and seniors.</w:t>
      </w:r>
      <w:r>
        <w:rPr>
          <w:rStyle w:val="FootnoteReference"/>
          <w:szCs w:val="24"/>
        </w:rPr>
        <w:footnoteReference w:id="39"/>
      </w:r>
      <w:r>
        <w:rPr>
          <w:szCs w:val="24"/>
        </w:rPr>
        <w:t xml:space="preserve"> Second, $1 million will be allocated to nonresidential customers as bill credits.</w:t>
      </w:r>
      <w:r>
        <w:rPr>
          <w:rStyle w:val="FootnoteReference"/>
          <w:szCs w:val="24"/>
        </w:rPr>
        <w:footnoteReference w:id="40"/>
      </w:r>
    </w:p>
    <w:p w:rsidR="00D97DEF" w:rsidRPr="00A27850" w:rsidP="00A27850" w14:paraId="7E5CBD8F" w14:textId="77777777">
      <w:pPr>
        <w:pStyle w:val="Heading3"/>
      </w:pPr>
      <w:bookmarkStart w:id="5" w:name="_Toc89938047"/>
      <w:r w:rsidRPr="00A27850">
        <w:t>2.</w:t>
      </w:r>
      <w:r w:rsidRPr="00A27850">
        <w:tab/>
      </w:r>
      <w:r w:rsidRPr="00A27850">
        <w:rPr>
          <w:rStyle w:val="Heading3Char"/>
          <w:b/>
          <w:bCs/>
        </w:rPr>
        <w:t>The Settlement</w:t>
      </w:r>
      <w:r w:rsidR="00973EA8">
        <w:rPr>
          <w:rStyle w:val="Heading3Char"/>
          <w:b/>
          <w:bCs/>
        </w:rPr>
        <w:t>’</w:t>
      </w:r>
      <w:r w:rsidRPr="00A27850">
        <w:rPr>
          <w:rStyle w:val="Heading3Char"/>
          <w:b/>
          <w:bCs/>
        </w:rPr>
        <w:t>s Market Benefits to consumers are substantial.</w:t>
      </w:r>
      <w:bookmarkEnd w:id="5"/>
    </w:p>
    <w:p w:rsidR="00D97DEF" w:rsidP="007055C6" w14:paraId="46E10B50" w14:textId="77777777">
      <w:pPr>
        <w:spacing w:line="480" w:lineRule="auto"/>
        <w:ind w:firstLine="720"/>
        <w:rPr>
          <w:szCs w:val="24"/>
        </w:rPr>
      </w:pPr>
      <w:r>
        <w:rPr>
          <w:szCs w:val="24"/>
        </w:rPr>
        <w:t>The Settlement provides substantial value to consumers through its Market Benefits.</w:t>
      </w:r>
    </w:p>
    <w:p w:rsidR="00DA2E8E" w:rsidP="007055C6" w14:paraId="427BD959" w14:textId="77777777">
      <w:pPr>
        <w:spacing w:line="480" w:lineRule="auto"/>
        <w:ind w:firstLine="720"/>
        <w:rPr>
          <w:szCs w:val="24"/>
        </w:rPr>
      </w:pPr>
      <w:r>
        <w:rPr>
          <w:szCs w:val="24"/>
        </w:rPr>
        <w:t>Duke has agreed to file an application to transition from its current gas cost recovery (GCR) process to a standard service offer (SSO).</w:t>
      </w:r>
      <w:r>
        <w:rPr>
          <w:rStyle w:val="FootnoteReference"/>
          <w:szCs w:val="24"/>
        </w:rPr>
        <w:footnoteReference w:id="41"/>
      </w:r>
      <w:r>
        <w:rPr>
          <w:szCs w:val="24"/>
        </w:rPr>
        <w:t xml:space="preserve"> This benefits consumers because the SSO will be a market solution in the form of a natural gas auction.</w:t>
      </w:r>
      <w:r>
        <w:rPr>
          <w:rStyle w:val="FootnoteReference"/>
          <w:szCs w:val="24"/>
        </w:rPr>
        <w:footnoteReference w:id="42"/>
      </w:r>
      <w:r>
        <w:rPr>
          <w:szCs w:val="24"/>
        </w:rPr>
        <w:t xml:space="preserve"> Following approval of this application, Duke will hold its first SSO auction as soon as January 2022, with a goal of beginning to provide SSO service to consumers by November 2022 (</w:t>
      </w:r>
      <w:r>
        <w:rPr>
          <w:i/>
          <w:iCs/>
          <w:szCs w:val="24"/>
        </w:rPr>
        <w:t>i.e.</w:t>
      </w:r>
      <w:r>
        <w:rPr>
          <w:szCs w:val="24"/>
        </w:rPr>
        <w:t>, near the beginning of the 2022-23 winter heating season).</w:t>
      </w:r>
      <w:r>
        <w:rPr>
          <w:rStyle w:val="FootnoteReference"/>
          <w:szCs w:val="24"/>
        </w:rPr>
        <w:footnoteReference w:id="43"/>
      </w:r>
      <w:r>
        <w:rPr>
          <w:szCs w:val="24"/>
        </w:rPr>
        <w:t xml:space="preserve"> Duke witness Spiller described the Settlement in this regard as “[e]nhancing the competitive market through transition to a competitive natural gas procurement process for non-shopping customers.”</w:t>
      </w:r>
      <w:r>
        <w:rPr>
          <w:rStyle w:val="FootnoteReference"/>
          <w:szCs w:val="24"/>
        </w:rPr>
        <w:footnoteReference w:id="44"/>
      </w:r>
      <w:r>
        <w:rPr>
          <w:szCs w:val="24"/>
        </w:rPr>
        <w:t xml:space="preserve"> </w:t>
      </w:r>
    </w:p>
    <w:p w:rsidR="00400517" w:rsidP="007055C6" w14:paraId="244E0AA5" w14:textId="77777777">
      <w:pPr>
        <w:spacing w:line="480" w:lineRule="auto"/>
        <w:ind w:firstLine="720"/>
        <w:rPr>
          <w:szCs w:val="24"/>
        </w:rPr>
      </w:pPr>
      <w:r>
        <w:rPr>
          <w:szCs w:val="24"/>
        </w:rPr>
        <w:t>T</w:t>
      </w:r>
      <w:r w:rsidR="00DA2E8E">
        <w:rPr>
          <w:szCs w:val="24"/>
        </w:rPr>
        <w:t xml:space="preserve">he Settlement </w:t>
      </w:r>
      <w:r>
        <w:rPr>
          <w:szCs w:val="24"/>
        </w:rPr>
        <w:t xml:space="preserve">also </w:t>
      </w:r>
      <w:r w:rsidR="00DA2E8E">
        <w:rPr>
          <w:szCs w:val="24"/>
        </w:rPr>
        <w:t>requires Duke to</w:t>
      </w:r>
      <w:r>
        <w:rPr>
          <w:szCs w:val="24"/>
        </w:rPr>
        <w:t xml:space="preserve"> provide added </w:t>
      </w:r>
      <w:r w:rsidR="0044415A">
        <w:rPr>
          <w:szCs w:val="24"/>
        </w:rPr>
        <w:t xml:space="preserve">information and </w:t>
      </w:r>
      <w:r>
        <w:rPr>
          <w:szCs w:val="24"/>
        </w:rPr>
        <w:t>transparency for shopping customers regarding what they are paying to their marketer</w:t>
      </w:r>
      <w:r w:rsidR="0044415A">
        <w:rPr>
          <w:szCs w:val="24"/>
        </w:rPr>
        <w:t xml:space="preserve"> for natural gas</w:t>
      </w:r>
      <w:r>
        <w:rPr>
          <w:szCs w:val="24"/>
        </w:rPr>
        <w:t xml:space="preserve"> </w:t>
      </w:r>
      <w:r w:rsidR="0044415A">
        <w:rPr>
          <w:szCs w:val="24"/>
        </w:rPr>
        <w:t>relative to</w:t>
      </w:r>
      <w:r>
        <w:rPr>
          <w:szCs w:val="24"/>
        </w:rPr>
        <w:t xml:space="preserve"> Duke’s </w:t>
      </w:r>
      <w:r w:rsidR="0044415A">
        <w:rPr>
          <w:szCs w:val="24"/>
        </w:rPr>
        <w:t>rates for natural gas</w:t>
      </w:r>
      <w:r>
        <w:rPr>
          <w:szCs w:val="24"/>
        </w:rPr>
        <w:t xml:space="preserve"> (currently a GCR and, if approved, an SSO in the future). It does this in two ways. First, Duke will be required to </w:t>
      </w:r>
      <w:r w:rsidR="00DA2E8E">
        <w:rPr>
          <w:szCs w:val="24"/>
        </w:rPr>
        <w:t>add the following new language to its shopping customers’ bills: “In order for you to save money, a natural gas supplier must offer you a price lower than $X.XX per CCF for the same usage that appears on this bill.”</w:t>
      </w:r>
      <w:r>
        <w:rPr>
          <w:rStyle w:val="FootnoteReference"/>
          <w:szCs w:val="24"/>
        </w:rPr>
        <w:footnoteReference w:id="45"/>
      </w:r>
      <w:r w:rsidR="00DA2E8E">
        <w:rPr>
          <w:szCs w:val="24"/>
        </w:rPr>
        <w:t xml:space="preserve"> </w:t>
      </w:r>
      <w:r>
        <w:rPr>
          <w:szCs w:val="24"/>
        </w:rPr>
        <w:t>Second, the Settlement requires Duke to provide aggregate “shadow billing” data to OCC, including both 24 months of historical data and</w:t>
      </w:r>
      <w:r w:rsidR="0044415A">
        <w:rPr>
          <w:szCs w:val="24"/>
        </w:rPr>
        <w:t xml:space="preserve"> data</w:t>
      </w:r>
      <w:r>
        <w:rPr>
          <w:szCs w:val="24"/>
        </w:rPr>
        <w:t xml:space="preserve"> in the future at OCC’s request.</w:t>
      </w:r>
      <w:r>
        <w:rPr>
          <w:rStyle w:val="FootnoteReference"/>
          <w:szCs w:val="24"/>
        </w:rPr>
        <w:footnoteReference w:id="46"/>
      </w:r>
      <w:r>
        <w:rPr>
          <w:szCs w:val="24"/>
        </w:rPr>
        <w:t xml:space="preserve"> The shadow billing will be provided in a transparent manner, </w:t>
      </w:r>
      <w:r w:rsidR="0044415A">
        <w:rPr>
          <w:szCs w:val="24"/>
        </w:rPr>
        <w:t xml:space="preserve">in the </w:t>
      </w:r>
      <w:r>
        <w:rPr>
          <w:szCs w:val="24"/>
        </w:rPr>
        <w:t>public</w:t>
      </w:r>
      <w:r w:rsidR="0044415A">
        <w:rPr>
          <w:szCs w:val="24"/>
        </w:rPr>
        <w:t xml:space="preserve"> domain</w:t>
      </w:r>
      <w:r>
        <w:rPr>
          <w:szCs w:val="24"/>
        </w:rPr>
        <w:t>.</w:t>
      </w:r>
      <w:r>
        <w:rPr>
          <w:rStyle w:val="FootnoteReference"/>
          <w:szCs w:val="24"/>
        </w:rPr>
        <w:footnoteReference w:id="47"/>
      </w:r>
      <w:r>
        <w:rPr>
          <w:szCs w:val="24"/>
        </w:rPr>
        <w:t xml:space="preserve"> </w:t>
      </w:r>
    </w:p>
    <w:p w:rsidR="004D06AF" w:rsidP="007055C6" w14:paraId="60FB1137" w14:textId="77777777">
      <w:pPr>
        <w:spacing w:line="480" w:lineRule="auto"/>
        <w:ind w:firstLine="720"/>
        <w:rPr>
          <w:szCs w:val="24"/>
        </w:rPr>
      </w:pPr>
      <w:r>
        <w:rPr>
          <w:szCs w:val="24"/>
        </w:rPr>
        <w:t>Duke witness Spiller testified that these market-related provisions will “enhance[e] the competitive natural gas market and provid[e] more information to customers regarding their natural gas service and related choices.”</w:t>
      </w:r>
      <w:r>
        <w:rPr>
          <w:rStyle w:val="FootnoteReference"/>
          <w:szCs w:val="24"/>
        </w:rPr>
        <w:footnoteReference w:id="48"/>
      </w:r>
      <w:r>
        <w:rPr>
          <w:szCs w:val="24"/>
        </w:rPr>
        <w:t xml:space="preserve"> </w:t>
      </w:r>
      <w:r w:rsidR="00DA2E8E">
        <w:rPr>
          <w:szCs w:val="24"/>
        </w:rPr>
        <w:t xml:space="preserve">Duke witness Lawler </w:t>
      </w:r>
      <w:r>
        <w:rPr>
          <w:szCs w:val="24"/>
        </w:rPr>
        <w:t xml:space="preserve">likewise </w:t>
      </w:r>
      <w:r w:rsidR="00663DF9">
        <w:rPr>
          <w:szCs w:val="24"/>
        </w:rPr>
        <w:t xml:space="preserve">testified </w:t>
      </w:r>
      <w:r>
        <w:rPr>
          <w:szCs w:val="24"/>
        </w:rPr>
        <w:t>that</w:t>
      </w:r>
      <w:r w:rsidR="00DA2E8E">
        <w:rPr>
          <w:szCs w:val="24"/>
        </w:rPr>
        <w:t xml:space="preserve"> the Settlement will “enhance [the] competitive natural gas market in Ohio.”</w:t>
      </w:r>
      <w:r>
        <w:rPr>
          <w:rStyle w:val="FootnoteReference"/>
          <w:szCs w:val="24"/>
        </w:rPr>
        <w:footnoteReference w:id="49"/>
      </w:r>
    </w:p>
    <w:p w:rsidR="00400517" w:rsidRPr="00400517" w:rsidP="00400517" w14:paraId="1AD04A71" w14:textId="77777777">
      <w:pPr>
        <w:keepNext/>
        <w:keepLines/>
        <w:spacing w:after="240"/>
        <w:ind w:left="1440" w:hanging="720"/>
        <w:rPr>
          <w:b/>
          <w:bCs/>
          <w:szCs w:val="24"/>
        </w:rPr>
      </w:pPr>
      <w:bookmarkStart w:id="6" w:name="_Toc89938048"/>
      <w:r w:rsidRPr="00A27850">
        <w:rPr>
          <w:rStyle w:val="Heading2Char"/>
        </w:rPr>
        <w:t>C.</w:t>
      </w:r>
      <w:r w:rsidRPr="00A27850">
        <w:rPr>
          <w:rStyle w:val="Heading2Char"/>
        </w:rPr>
        <w:tab/>
        <w:t>The Settlement does not violate important regulatory principles and</w:t>
      </w:r>
      <w:r w:rsidRPr="00E55346">
        <w:rPr>
          <w:rStyle w:val="Heading2Char"/>
        </w:rPr>
        <w:t xml:space="preserve"> practices.</w:t>
      </w:r>
      <w:bookmarkEnd w:id="6"/>
    </w:p>
    <w:p w:rsidR="0015117C" w:rsidP="007055C6" w14:paraId="43C49443" w14:textId="77777777">
      <w:pPr>
        <w:spacing w:line="480" w:lineRule="auto"/>
        <w:ind w:firstLine="720"/>
        <w:rPr>
          <w:szCs w:val="24"/>
        </w:rPr>
      </w:pPr>
      <w:r>
        <w:rPr>
          <w:szCs w:val="24"/>
        </w:rPr>
        <w:t>The Settlement is consistent with regulatory principles and practices. As Duke witness Spiller testified, the Settlement resolves various cases “in a way that will not result in any rate increase for customers,” “reserves funds for bill relief for qualifying customers,” “provides certainty to all stakeholders by resolving complex regulatory proceedings,” and “advances important regulatory policies including enhancing the competitive natural gas market and providing more information to customers regarding their natural gas service and related choices.”</w:t>
      </w:r>
      <w:r>
        <w:rPr>
          <w:rStyle w:val="FootnoteReference"/>
          <w:szCs w:val="24"/>
        </w:rPr>
        <w:footnoteReference w:id="50"/>
      </w:r>
      <w:r>
        <w:rPr>
          <w:szCs w:val="24"/>
        </w:rPr>
        <w:t xml:space="preserve"> Ms. Spiller, who is President of Duke Energy</w:t>
      </w:r>
      <w:r w:rsidR="0044415A">
        <w:rPr>
          <w:szCs w:val="24"/>
        </w:rPr>
        <w:t xml:space="preserve"> Ohio</w:t>
      </w:r>
      <w:r>
        <w:rPr>
          <w:szCs w:val="24"/>
        </w:rPr>
        <w:t>, concluded, “Based upon my experience, involvement in these proceedings, and review of the Stipulation, I believe that it complies with all relevant and important principles and practices.”</w:t>
      </w:r>
      <w:r>
        <w:rPr>
          <w:rStyle w:val="FootnoteReference"/>
          <w:szCs w:val="24"/>
        </w:rPr>
        <w:footnoteReference w:id="51"/>
      </w:r>
    </w:p>
    <w:p w:rsidR="00D97DEF" w:rsidP="007055C6" w14:paraId="6778A58E" w14:textId="77777777">
      <w:pPr>
        <w:spacing w:line="480" w:lineRule="auto"/>
        <w:ind w:firstLine="720"/>
        <w:rPr>
          <w:szCs w:val="24"/>
        </w:rPr>
      </w:pPr>
      <w:r>
        <w:rPr>
          <w:szCs w:val="24"/>
        </w:rPr>
        <w:t>Duke witness Lawler likewise testified that the Settlement “does not result in any anti-competitive subsidies,” is “consistent with principles of gradualism,” “will not produce rate shock,” and “will enhance [the] competitive natural gas market in Ohio.”</w:t>
      </w:r>
      <w:r>
        <w:rPr>
          <w:rStyle w:val="FootnoteReference"/>
          <w:szCs w:val="24"/>
        </w:rPr>
        <w:footnoteReference w:id="52"/>
      </w:r>
      <w:r>
        <w:rPr>
          <w:szCs w:val="24"/>
        </w:rPr>
        <w:t xml:space="preserve"> Ms. Lawler thus concluded, </w:t>
      </w:r>
      <w:r w:rsidR="0012075F">
        <w:rPr>
          <w:szCs w:val="24"/>
        </w:rPr>
        <w:t>“Based on my experience with regulatory matters, my involvement in these proceedings, and my examination of the Stipulation, I have concluded that the Stipulation does not violate any regulatory ratemaking principles, and in fact, furthers important regulatory principles.”</w:t>
      </w:r>
      <w:r>
        <w:rPr>
          <w:rStyle w:val="FootnoteReference"/>
          <w:szCs w:val="24"/>
        </w:rPr>
        <w:footnoteReference w:id="53"/>
      </w:r>
    </w:p>
    <w:p w:rsidR="005D6C41" w:rsidP="005D6C41" w14:paraId="1A7422E9" w14:textId="77777777">
      <w:pPr>
        <w:ind w:firstLine="720"/>
        <w:rPr>
          <w:szCs w:val="24"/>
        </w:rPr>
      </w:pPr>
    </w:p>
    <w:p w:rsidR="00D97DEF" w:rsidRPr="00E42603" w:rsidP="00A27850" w14:paraId="746C14D1" w14:textId="77777777">
      <w:pPr>
        <w:pStyle w:val="Heading1"/>
      </w:pPr>
      <w:bookmarkStart w:id="7" w:name="_Toc89938049"/>
      <w:r>
        <w:t>III.</w:t>
      </w:r>
      <w:r>
        <w:tab/>
      </w:r>
      <w:r w:rsidRPr="00A27850">
        <w:t>CONCLUSION</w:t>
      </w:r>
      <w:bookmarkEnd w:id="7"/>
    </w:p>
    <w:p w:rsidR="005B4D5B" w:rsidP="007055C6" w14:paraId="71677D66" w14:textId="77777777">
      <w:pPr>
        <w:spacing w:line="480" w:lineRule="auto"/>
        <w:ind w:firstLine="720"/>
        <w:rPr>
          <w:szCs w:val="24"/>
        </w:rPr>
      </w:pPr>
      <w:r>
        <w:rPr>
          <w:szCs w:val="24"/>
        </w:rPr>
        <w:t>The Settlement passes the PUCO’s three-part test for evaluating the reasonableness of settlements. It was the product of serious bargaining among diverse parties—so much so that at the time of its filing, it was a unanimous settlement with all parties signing or not opposing</w:t>
      </w:r>
      <w:r w:rsidR="006977B7">
        <w:rPr>
          <w:szCs w:val="24"/>
        </w:rPr>
        <w:t xml:space="preserve"> (though Marketers later intervened and opposed)</w:t>
      </w:r>
      <w:r>
        <w:rPr>
          <w:szCs w:val="24"/>
        </w:rPr>
        <w:t>. The benefits to consumers under the Settlement package are considerable. And the Settlement is consistent with regulatory principles and practices.</w:t>
      </w:r>
    </w:p>
    <w:p w:rsidR="005B4D5B" w:rsidP="007055C6" w14:paraId="2A42AC6A" w14:textId="77777777">
      <w:pPr>
        <w:spacing w:line="480" w:lineRule="auto"/>
        <w:ind w:firstLine="720"/>
        <w:rPr>
          <w:szCs w:val="24"/>
        </w:rPr>
      </w:pPr>
      <w:r>
        <w:rPr>
          <w:szCs w:val="24"/>
        </w:rPr>
        <w:t>The PUCO should promptly approve the Settlement in its entirety and without modification so that consumers can quickly begin to receive the Settlement</w:t>
      </w:r>
      <w:r w:rsidR="00E0093C">
        <w:rPr>
          <w:szCs w:val="24"/>
        </w:rPr>
        <w:t>’</w:t>
      </w:r>
      <w:r>
        <w:rPr>
          <w:szCs w:val="24"/>
        </w:rPr>
        <w:t>s many benefits.</w:t>
      </w:r>
    </w:p>
    <w:p w:rsidR="00115AF7" w:rsidRPr="00E61247" w:rsidP="00357613" w14:paraId="5ADD29CF" w14:textId="77777777">
      <w:pPr>
        <w:pStyle w:val="BodyTextIndent3"/>
        <w:widowControl w:val="0"/>
        <w:spacing w:line="480" w:lineRule="auto"/>
        <w:ind w:left="4320" w:hanging="360"/>
        <w:rPr>
          <w:sz w:val="24"/>
          <w:szCs w:val="24"/>
        </w:rPr>
      </w:pPr>
      <w:r w:rsidRPr="00E61247">
        <w:rPr>
          <w:sz w:val="24"/>
          <w:szCs w:val="24"/>
        </w:rPr>
        <w:t>Respectfully submitted,</w:t>
      </w:r>
    </w:p>
    <w:p w:rsidR="00115AF7" w:rsidRPr="00E61247" w:rsidP="00357613" w14:paraId="7199D917" w14:textId="77777777">
      <w:pPr>
        <w:ind w:left="4320" w:hanging="360"/>
        <w:rPr>
          <w:szCs w:val="24"/>
        </w:rPr>
      </w:pPr>
      <w:r w:rsidRPr="00E61247">
        <w:rPr>
          <w:szCs w:val="24"/>
        </w:rPr>
        <w:t>Bruce Weston (0016973)</w:t>
      </w:r>
    </w:p>
    <w:p w:rsidR="00115AF7" w:rsidRPr="00E61247" w:rsidP="00357613" w14:paraId="362A40F7" w14:textId="77777777">
      <w:pPr>
        <w:tabs>
          <w:tab w:val="left" w:pos="4320"/>
        </w:tabs>
        <w:ind w:left="4320" w:hanging="360"/>
        <w:rPr>
          <w:szCs w:val="24"/>
        </w:rPr>
      </w:pPr>
      <w:r w:rsidRPr="00E61247">
        <w:rPr>
          <w:szCs w:val="24"/>
        </w:rPr>
        <w:t>Ohio Consumers’ Counsel</w:t>
      </w:r>
    </w:p>
    <w:p w:rsidR="00115AF7" w:rsidRPr="00E61247" w:rsidP="00357613" w14:paraId="0E0B1614" w14:textId="77777777">
      <w:pPr>
        <w:tabs>
          <w:tab w:val="left" w:pos="4320"/>
        </w:tabs>
        <w:ind w:left="4320" w:hanging="360"/>
        <w:rPr>
          <w:szCs w:val="24"/>
        </w:rPr>
      </w:pPr>
    </w:p>
    <w:p w:rsidR="00115AF7" w:rsidRPr="00E61247" w:rsidP="00357613" w14:paraId="5A5AC8A4" w14:textId="77777777">
      <w:pPr>
        <w:autoSpaceDE w:val="0"/>
        <w:autoSpaceDN w:val="0"/>
        <w:adjustRightInd w:val="0"/>
        <w:ind w:left="4320" w:hanging="360"/>
        <w:rPr>
          <w:i/>
          <w:szCs w:val="24"/>
        </w:rPr>
      </w:pPr>
      <w:r w:rsidRPr="00E61247">
        <w:rPr>
          <w:i/>
          <w:szCs w:val="24"/>
          <w:u w:val="single"/>
        </w:rPr>
        <w:t>/s/ Christopher Healey</w:t>
      </w:r>
      <w:r w:rsidRPr="00E61247">
        <w:rPr>
          <w:i/>
          <w:szCs w:val="24"/>
          <w:u w:val="single"/>
        </w:rPr>
        <w:tab/>
      </w:r>
      <w:r w:rsidRPr="00E61247">
        <w:rPr>
          <w:i/>
          <w:szCs w:val="24"/>
          <w:u w:val="single"/>
        </w:rPr>
        <w:tab/>
      </w:r>
      <w:r w:rsidRPr="00E61247">
        <w:rPr>
          <w:i/>
          <w:szCs w:val="24"/>
          <w:u w:val="single"/>
        </w:rPr>
        <w:tab/>
      </w:r>
    </w:p>
    <w:p w:rsidR="00115AF7" w:rsidRPr="00E61247" w:rsidP="00357613" w14:paraId="67D03170" w14:textId="77777777">
      <w:pPr>
        <w:tabs>
          <w:tab w:val="left" w:pos="4320"/>
        </w:tabs>
        <w:ind w:left="4320" w:hanging="360"/>
        <w:rPr>
          <w:szCs w:val="24"/>
        </w:rPr>
      </w:pPr>
      <w:r w:rsidRPr="00E61247">
        <w:rPr>
          <w:szCs w:val="24"/>
        </w:rPr>
        <w:t>Christopher Healey (0086027)</w:t>
      </w:r>
    </w:p>
    <w:p w:rsidR="00115AF7" w:rsidRPr="00E61247" w:rsidP="00357613" w14:paraId="39058B2D" w14:textId="77777777">
      <w:pPr>
        <w:tabs>
          <w:tab w:val="left" w:pos="4320"/>
        </w:tabs>
        <w:ind w:left="4320" w:hanging="360"/>
        <w:rPr>
          <w:szCs w:val="24"/>
        </w:rPr>
      </w:pPr>
      <w:r w:rsidRPr="00E61247">
        <w:rPr>
          <w:szCs w:val="24"/>
        </w:rPr>
        <w:t>Counsel of Record</w:t>
      </w:r>
      <w:r w:rsidR="003E4F5B">
        <w:rPr>
          <w:szCs w:val="24"/>
        </w:rPr>
        <w:t xml:space="preserve"> (Case No. 14-375-GA-RDR, et al.)</w:t>
      </w:r>
    </w:p>
    <w:p w:rsidR="00115AF7" w:rsidRPr="00E61247" w:rsidP="00357613" w14:paraId="24B90FFF" w14:textId="77777777">
      <w:pPr>
        <w:tabs>
          <w:tab w:val="left" w:pos="4320"/>
        </w:tabs>
        <w:ind w:left="4320" w:hanging="360"/>
        <w:rPr>
          <w:szCs w:val="24"/>
        </w:rPr>
      </w:pPr>
      <w:r w:rsidRPr="00E61247">
        <w:rPr>
          <w:szCs w:val="24"/>
        </w:rPr>
        <w:t>Amy Botschner</w:t>
      </w:r>
      <w:r w:rsidRPr="00E61247" w:rsidR="0060669B">
        <w:rPr>
          <w:szCs w:val="24"/>
        </w:rPr>
        <w:t xml:space="preserve"> </w:t>
      </w:r>
      <w:r w:rsidRPr="00E61247">
        <w:rPr>
          <w:szCs w:val="24"/>
        </w:rPr>
        <w:t>O’Brien (0074423)</w:t>
      </w:r>
    </w:p>
    <w:p w:rsidR="00115AF7" w:rsidRPr="00E61247" w:rsidP="00357613" w14:paraId="6AA76A86" w14:textId="77777777">
      <w:pPr>
        <w:tabs>
          <w:tab w:val="left" w:pos="4320"/>
        </w:tabs>
        <w:ind w:left="4320" w:hanging="360"/>
        <w:rPr>
          <w:szCs w:val="24"/>
        </w:rPr>
      </w:pPr>
      <w:r w:rsidRPr="00E61247">
        <w:rPr>
          <w:szCs w:val="24"/>
        </w:rPr>
        <w:t>Assistant Consumers’ Counsel</w:t>
      </w:r>
    </w:p>
    <w:p w:rsidR="00115AF7" w:rsidRPr="00E61247" w:rsidP="00357613" w14:paraId="33AE7C0F" w14:textId="77777777">
      <w:pPr>
        <w:tabs>
          <w:tab w:val="left" w:pos="4320"/>
        </w:tabs>
        <w:ind w:left="4320" w:hanging="360"/>
        <w:rPr>
          <w:szCs w:val="24"/>
        </w:rPr>
      </w:pPr>
    </w:p>
    <w:p w:rsidR="00115AF7" w:rsidRPr="00E61247" w:rsidP="00357613" w14:paraId="47DA1C12" w14:textId="77777777">
      <w:pPr>
        <w:ind w:left="3600" w:firstLine="360"/>
        <w:rPr>
          <w:b/>
          <w:bCs/>
          <w:szCs w:val="24"/>
        </w:rPr>
      </w:pPr>
      <w:r w:rsidRPr="00E61247">
        <w:rPr>
          <w:b/>
          <w:bCs/>
          <w:szCs w:val="24"/>
        </w:rPr>
        <w:t>Office of the Ohio Consumers’ Counsel</w:t>
      </w:r>
    </w:p>
    <w:p w:rsidR="00115AF7" w:rsidRPr="00E61247" w:rsidP="00357613" w14:paraId="1573C977" w14:textId="77777777">
      <w:pPr>
        <w:ind w:left="3600" w:firstLine="360"/>
        <w:rPr>
          <w:b/>
          <w:szCs w:val="24"/>
        </w:rPr>
      </w:pPr>
      <w:r w:rsidRPr="00E61247">
        <w:rPr>
          <w:szCs w:val="24"/>
        </w:rPr>
        <w:t xml:space="preserve">65 East State Street, </w:t>
      </w:r>
      <w:r w:rsidR="005D6C41">
        <w:rPr>
          <w:szCs w:val="24"/>
        </w:rPr>
        <w:t>Suite 700</w:t>
      </w:r>
    </w:p>
    <w:p w:rsidR="00115AF7" w:rsidRPr="00E61247" w:rsidP="00357613" w14:paraId="1604956D" w14:textId="77777777">
      <w:pPr>
        <w:ind w:left="3600" w:firstLine="360"/>
        <w:rPr>
          <w:b/>
          <w:szCs w:val="24"/>
        </w:rPr>
      </w:pPr>
      <w:r w:rsidRPr="00E61247">
        <w:rPr>
          <w:szCs w:val="24"/>
        </w:rPr>
        <w:t>Columbus, Ohio 43215-4213</w:t>
      </w:r>
    </w:p>
    <w:p w:rsidR="00115AF7" w:rsidRPr="00E61247" w:rsidP="00357613" w14:paraId="48E53D1B" w14:textId="77777777">
      <w:pPr>
        <w:autoSpaceDE w:val="0"/>
        <w:autoSpaceDN w:val="0"/>
        <w:adjustRightInd w:val="0"/>
        <w:ind w:left="3600" w:firstLine="360"/>
        <w:rPr>
          <w:szCs w:val="24"/>
        </w:rPr>
      </w:pPr>
      <w:r w:rsidRPr="00E61247">
        <w:rPr>
          <w:szCs w:val="24"/>
        </w:rPr>
        <w:t>Telephone [Healey]: (614) 466-9571</w:t>
      </w:r>
    </w:p>
    <w:p w:rsidR="00115AF7" w:rsidRPr="00E61247" w:rsidP="00357613" w14:paraId="1D660BBA" w14:textId="77777777">
      <w:pPr>
        <w:autoSpaceDE w:val="0"/>
        <w:autoSpaceDN w:val="0"/>
        <w:adjustRightInd w:val="0"/>
        <w:ind w:left="3600" w:firstLine="360"/>
        <w:rPr>
          <w:szCs w:val="24"/>
        </w:rPr>
      </w:pPr>
      <w:r w:rsidRPr="00E61247">
        <w:rPr>
          <w:szCs w:val="24"/>
        </w:rPr>
        <w:t>Telephone [Botschner]: (614) 466-9575</w:t>
      </w:r>
    </w:p>
    <w:p w:rsidR="00115AF7" w:rsidRPr="00E61247" w:rsidP="00357613" w14:paraId="6EDCAD05" w14:textId="77777777">
      <w:pPr>
        <w:ind w:left="4320" w:hanging="360"/>
        <w:rPr>
          <w:rStyle w:val="Hyperlink"/>
          <w:szCs w:val="24"/>
        </w:rPr>
      </w:pPr>
      <w:r w:rsidRPr="00E61247">
        <w:rPr>
          <w:rStyle w:val="Hyperlink"/>
          <w:szCs w:val="24"/>
        </w:rPr>
        <w:t>christopher.healey@occ.ohio.gov</w:t>
      </w:r>
    </w:p>
    <w:p w:rsidR="00115AF7" w:rsidRPr="00E61247" w:rsidP="00357613" w14:paraId="22E6797A" w14:textId="77777777">
      <w:pPr>
        <w:ind w:left="4320" w:hanging="360"/>
        <w:rPr>
          <w:rStyle w:val="Hyperlink"/>
          <w:szCs w:val="24"/>
        </w:rPr>
      </w:pPr>
      <w:r w:rsidRPr="00E61247">
        <w:rPr>
          <w:rStyle w:val="Hyperlink"/>
          <w:szCs w:val="24"/>
        </w:rPr>
        <w:t>amy.botschner.obrien@occ.ohio.gov</w:t>
      </w:r>
    </w:p>
    <w:p w:rsidR="00115AF7" w:rsidP="00357613" w14:paraId="7ECEFD15" w14:textId="77777777">
      <w:pPr>
        <w:ind w:left="4320" w:hanging="360"/>
        <w:rPr>
          <w:szCs w:val="24"/>
        </w:rPr>
      </w:pPr>
      <w:r w:rsidRPr="00E61247">
        <w:rPr>
          <w:szCs w:val="24"/>
        </w:rPr>
        <w:t>(willing to accept service by e-mail)</w:t>
      </w:r>
    </w:p>
    <w:p w:rsidR="003E4F5B" w:rsidP="00115AF7" w14:paraId="65CFFE92" w14:textId="77777777">
      <w:pPr>
        <w:ind w:left="4320"/>
        <w:rPr>
          <w:szCs w:val="24"/>
        </w:rPr>
      </w:pPr>
    </w:p>
    <w:p w:rsidR="005B4D5B" w:rsidP="00357613" w14:paraId="77660F43" w14:textId="77777777">
      <w:pPr>
        <w:tabs>
          <w:tab w:val="left" w:pos="4320"/>
        </w:tabs>
        <w:ind w:left="4320" w:hanging="360"/>
      </w:pPr>
    </w:p>
    <w:p w:rsidR="003E4F5B" w:rsidRPr="00C743FA" w:rsidP="00357613" w14:paraId="21647095" w14:textId="77777777">
      <w:pPr>
        <w:tabs>
          <w:tab w:val="left" w:pos="4320"/>
        </w:tabs>
        <w:ind w:left="4320" w:hanging="360"/>
      </w:pPr>
      <w:r w:rsidRPr="00C743FA">
        <w:t>William J. Michael (0070921)</w:t>
      </w:r>
    </w:p>
    <w:p w:rsidR="003E4F5B" w:rsidRPr="00C743FA" w:rsidP="00357613" w14:paraId="253FC5B1" w14:textId="77777777">
      <w:pPr>
        <w:tabs>
          <w:tab w:val="left" w:pos="4320"/>
        </w:tabs>
        <w:ind w:left="4320" w:hanging="360"/>
      </w:pPr>
      <w:r w:rsidRPr="00C743FA">
        <w:t>Counsel of Record</w:t>
      </w:r>
      <w:r>
        <w:t xml:space="preserve"> (Case No. 18-1830-GA-UNC)</w:t>
      </w:r>
    </w:p>
    <w:p w:rsidR="003E4F5B" w:rsidRPr="00C743FA" w:rsidP="005D6C41" w14:paraId="1A8FEEAB" w14:textId="77777777">
      <w:pPr>
        <w:tabs>
          <w:tab w:val="left" w:pos="4320"/>
        </w:tabs>
        <w:ind w:left="4320" w:hanging="360"/>
      </w:pPr>
      <w:r w:rsidRPr="00C743FA">
        <w:t>Angel</w:t>
      </w:r>
      <w:r>
        <w:t>a</w:t>
      </w:r>
      <w:r w:rsidRPr="00C743FA">
        <w:t xml:space="preserve"> </w:t>
      </w:r>
      <w:r>
        <w:t xml:space="preserve">D. </w:t>
      </w:r>
      <w:r w:rsidRPr="00C743FA">
        <w:t>O</w:t>
      </w:r>
      <w:r>
        <w:t>’</w:t>
      </w:r>
      <w:r w:rsidRPr="00C743FA">
        <w:t>Brien (0097579)</w:t>
      </w:r>
    </w:p>
    <w:p w:rsidR="003E4F5B" w:rsidRPr="00C743FA" w:rsidP="00357613" w14:paraId="1EC3E805" w14:textId="77777777">
      <w:pPr>
        <w:tabs>
          <w:tab w:val="left" w:pos="4320"/>
        </w:tabs>
        <w:ind w:left="4320" w:hanging="360"/>
      </w:pPr>
      <w:r w:rsidRPr="00C743FA">
        <w:t xml:space="preserve">Ambrosia </w:t>
      </w:r>
      <w:r>
        <w:t>E. Wilson</w:t>
      </w:r>
      <w:r w:rsidRPr="00C743FA">
        <w:t xml:space="preserve"> (0096598)</w:t>
      </w:r>
    </w:p>
    <w:p w:rsidR="003E4F5B" w:rsidP="00357613" w14:paraId="5CA8CFBF" w14:textId="77777777">
      <w:pPr>
        <w:tabs>
          <w:tab w:val="left" w:pos="4320"/>
        </w:tabs>
        <w:ind w:left="4320" w:hanging="360"/>
      </w:pPr>
      <w:r w:rsidRPr="00C743FA">
        <w:t>Assistant Consumers</w:t>
      </w:r>
      <w:r>
        <w:t>’</w:t>
      </w:r>
      <w:r w:rsidRPr="00C743FA">
        <w:t xml:space="preserve"> Counsel </w:t>
      </w:r>
    </w:p>
    <w:p w:rsidR="00357613" w:rsidP="00357613" w14:paraId="5336BA9C" w14:textId="77777777">
      <w:pPr>
        <w:ind w:left="4320" w:hanging="360"/>
      </w:pPr>
    </w:p>
    <w:p w:rsidR="003E4F5B" w:rsidRPr="00C743FA" w:rsidP="00357613" w14:paraId="75A1E5E9" w14:textId="77777777">
      <w:pPr>
        <w:ind w:left="4320" w:hanging="360"/>
        <w:rPr>
          <w:b/>
        </w:rPr>
      </w:pPr>
      <w:r w:rsidRPr="00C743FA">
        <w:rPr>
          <w:b/>
        </w:rPr>
        <w:t>Office of the Ohio Consumers</w:t>
      </w:r>
      <w:r>
        <w:rPr>
          <w:b/>
        </w:rPr>
        <w:t>’</w:t>
      </w:r>
      <w:r w:rsidRPr="00C743FA">
        <w:rPr>
          <w:b/>
        </w:rPr>
        <w:t xml:space="preserve"> Counsel</w:t>
      </w:r>
    </w:p>
    <w:p w:rsidR="003E4F5B" w:rsidRPr="00C743FA" w:rsidP="00357613" w14:paraId="5EFE036B" w14:textId="77777777">
      <w:pPr>
        <w:tabs>
          <w:tab w:val="left" w:pos="4320"/>
        </w:tabs>
        <w:ind w:left="4320" w:hanging="360"/>
      </w:pPr>
      <w:r w:rsidRPr="00C743FA">
        <w:t xml:space="preserve">65 East State Street, </w:t>
      </w:r>
      <w:r w:rsidR="005D6C41">
        <w:t>Suite 700</w:t>
      </w:r>
    </w:p>
    <w:p w:rsidR="003E4F5B" w:rsidRPr="00C743FA" w:rsidP="00357613" w14:paraId="51D60FBD" w14:textId="77777777">
      <w:pPr>
        <w:tabs>
          <w:tab w:val="left" w:pos="4320"/>
        </w:tabs>
        <w:ind w:left="4320" w:hanging="360"/>
      </w:pPr>
      <w:r w:rsidRPr="00C743FA">
        <w:t>Columbus, Ohio 43215-4213</w:t>
      </w:r>
    </w:p>
    <w:p w:rsidR="003E4F5B" w:rsidRPr="00C743FA" w:rsidP="00357613" w14:paraId="1C26A6C5" w14:textId="77777777">
      <w:pPr>
        <w:tabs>
          <w:tab w:val="left" w:pos="4320"/>
        </w:tabs>
        <w:ind w:left="4320" w:hanging="360"/>
      </w:pPr>
      <w:r w:rsidRPr="00C743FA">
        <w:t>Telephone: (614) 466-1291 (Michael)</w:t>
      </w:r>
    </w:p>
    <w:p w:rsidR="003E4F5B" w:rsidRPr="00C743FA" w:rsidP="00357613" w14:paraId="11D896A1" w14:textId="77777777">
      <w:pPr>
        <w:tabs>
          <w:tab w:val="left" w:pos="4320"/>
        </w:tabs>
        <w:ind w:left="4320" w:hanging="360"/>
      </w:pPr>
      <w:r w:rsidRPr="00C743FA">
        <w:t>Telephone: (614) 466-</w:t>
      </w:r>
      <w:r>
        <w:t>9531</w:t>
      </w:r>
      <w:r w:rsidRPr="00C743FA">
        <w:t xml:space="preserve"> (O</w:t>
      </w:r>
      <w:r>
        <w:t>’</w:t>
      </w:r>
      <w:r w:rsidRPr="00C743FA">
        <w:t xml:space="preserve">Brien) </w:t>
      </w:r>
    </w:p>
    <w:p w:rsidR="003E4F5B" w:rsidRPr="00C743FA" w:rsidP="00357613" w14:paraId="3D1767C5" w14:textId="77777777">
      <w:pPr>
        <w:tabs>
          <w:tab w:val="left" w:pos="4320"/>
        </w:tabs>
        <w:ind w:left="4320" w:hanging="360"/>
      </w:pPr>
      <w:r w:rsidRPr="00C743FA">
        <w:t>Telephone: (614) 466-1292 (</w:t>
      </w:r>
      <w:r>
        <w:t>Wilson</w:t>
      </w:r>
      <w:r w:rsidRPr="00C743FA">
        <w:t xml:space="preserve">) </w:t>
      </w:r>
    </w:p>
    <w:p w:rsidR="003E4F5B" w:rsidRPr="00627C88" w:rsidP="00357613" w14:paraId="45F4BCC5" w14:textId="77777777">
      <w:pPr>
        <w:ind w:left="4320" w:hanging="360"/>
        <w:rPr>
          <w:rStyle w:val="Hyperlink"/>
          <w:rFonts w:eastAsiaTheme="majorEastAsia"/>
          <w:szCs w:val="24"/>
        </w:rPr>
      </w:pPr>
      <w:hyperlink r:id="rId6" w:history="1">
        <w:r w:rsidRPr="00627C88" w:rsidR="00521B2B">
          <w:rPr>
            <w:rStyle w:val="Hyperlink"/>
            <w:rFonts w:eastAsiaTheme="majorEastAsia"/>
            <w:szCs w:val="24"/>
          </w:rPr>
          <w:t>william.michael@occ.ohio.gov</w:t>
        </w:r>
      </w:hyperlink>
    </w:p>
    <w:p w:rsidR="003E4F5B" w:rsidRPr="00627C88" w:rsidP="00357613" w14:paraId="58FAA0FD" w14:textId="77777777">
      <w:pPr>
        <w:ind w:left="4320" w:hanging="360"/>
        <w:rPr>
          <w:rStyle w:val="Hyperlink"/>
          <w:rFonts w:eastAsiaTheme="majorEastAsia"/>
          <w:szCs w:val="24"/>
        </w:rPr>
      </w:pPr>
      <w:hyperlink r:id="rId7" w:history="1">
        <w:r w:rsidRPr="00627C88" w:rsidR="00521B2B">
          <w:rPr>
            <w:rStyle w:val="Hyperlink"/>
            <w:rFonts w:eastAsiaTheme="majorEastAsia"/>
            <w:szCs w:val="24"/>
          </w:rPr>
          <w:t>angela.obrien@occ.ohio.gov</w:t>
        </w:r>
      </w:hyperlink>
    </w:p>
    <w:p w:rsidR="003E4F5B" w:rsidRPr="00627C88" w:rsidP="00357613" w14:paraId="21FEF86E" w14:textId="77777777">
      <w:pPr>
        <w:ind w:left="4320" w:hanging="360"/>
        <w:rPr>
          <w:rStyle w:val="Hyperlink"/>
          <w:rFonts w:eastAsiaTheme="majorEastAsia"/>
          <w:szCs w:val="24"/>
        </w:rPr>
      </w:pPr>
      <w:hyperlink r:id="rId8" w:history="1">
        <w:r w:rsidRPr="002A4414" w:rsidR="00521B2B">
          <w:rPr>
            <w:rStyle w:val="Hyperlink"/>
            <w:rFonts w:eastAsiaTheme="majorEastAsia"/>
            <w:szCs w:val="24"/>
          </w:rPr>
          <w:t>ambrosia.wilson@occ.ohio.gov</w:t>
        </w:r>
      </w:hyperlink>
    </w:p>
    <w:p w:rsidR="00565ACF" w:rsidRPr="00E61247" w:rsidP="00030CD6" w14:paraId="4D8D6ABA" w14:textId="77777777">
      <w:pPr>
        <w:ind w:firstLine="3960"/>
        <w:rPr>
          <w:szCs w:val="24"/>
        </w:rPr>
      </w:pPr>
      <w:r w:rsidRPr="00C743FA">
        <w:t>(will</w:t>
      </w:r>
      <w:r>
        <w:t xml:space="preserve">ing to </w:t>
      </w:r>
      <w:r w:rsidRPr="00C743FA">
        <w:t xml:space="preserve">accept service </w:t>
      </w:r>
      <w:r>
        <w:t>by e-</w:t>
      </w:r>
      <w:r w:rsidRPr="00C743FA">
        <w:t>mail)</w:t>
      </w:r>
    </w:p>
    <w:p w:rsidR="00E1100F" w:rsidRPr="00E61247" w:rsidP="00D805DF" w14:paraId="45444872" w14:textId="77777777">
      <w:pPr>
        <w:ind w:left="2160" w:firstLine="720"/>
        <w:rPr>
          <w:b/>
          <w:bCs/>
          <w:szCs w:val="24"/>
          <w:u w:val="single"/>
        </w:rPr>
        <w:sectPr w:rsidSect="005D6C41">
          <w:footerReference w:type="default" r:id="rId11"/>
          <w:pgSz w:w="12240" w:h="15840"/>
          <w:pgMar w:top="1440" w:right="1440" w:bottom="1440" w:left="1440" w:header="720" w:footer="720" w:gutter="0"/>
          <w:pgNumType w:start="1"/>
          <w:cols w:space="720"/>
          <w:docGrid w:linePitch="360"/>
        </w:sectPr>
      </w:pPr>
    </w:p>
    <w:p w:rsidR="00BA6EC5" w:rsidRPr="00E61247" w:rsidP="00D805DF" w14:paraId="679C2650" w14:textId="77777777">
      <w:pPr>
        <w:ind w:left="2160" w:firstLine="720"/>
        <w:rPr>
          <w:b/>
          <w:bCs/>
          <w:szCs w:val="24"/>
          <w:u w:val="single"/>
        </w:rPr>
      </w:pPr>
      <w:r w:rsidRPr="00E61247">
        <w:rPr>
          <w:b/>
          <w:bCs/>
          <w:szCs w:val="24"/>
          <w:u w:val="single"/>
        </w:rPr>
        <w:t>CERTIFICATE OF SERVICE</w:t>
      </w:r>
    </w:p>
    <w:p w:rsidR="00BA6EC5" w:rsidRPr="00E61247" w14:paraId="6C76B04A" w14:textId="77777777">
      <w:pPr>
        <w:pStyle w:val="EndnoteText"/>
        <w:widowControl/>
        <w:tabs>
          <w:tab w:val="left" w:pos="-720"/>
        </w:tabs>
        <w:suppressAutoHyphens/>
        <w:rPr>
          <w:rFonts w:ascii="Times New Roman" w:hAnsi="Times New Roman"/>
          <w:spacing w:val="-3"/>
          <w:szCs w:val="24"/>
        </w:rPr>
      </w:pPr>
    </w:p>
    <w:p w:rsidR="00BA6EC5" w:rsidRPr="00E61247" w:rsidP="00A81C49" w14:paraId="2055EFEF" w14:textId="77777777">
      <w:pPr>
        <w:tabs>
          <w:tab w:val="left" w:pos="-720"/>
        </w:tabs>
        <w:suppressAutoHyphens/>
        <w:spacing w:line="480" w:lineRule="auto"/>
        <w:ind w:firstLine="720"/>
        <w:rPr>
          <w:szCs w:val="24"/>
        </w:rPr>
      </w:pPr>
      <w:r w:rsidRPr="00E61247">
        <w:rPr>
          <w:szCs w:val="24"/>
        </w:rPr>
        <w:t xml:space="preserve">It is hereby certified that a true copy of the foregoing </w:t>
      </w:r>
      <w:r w:rsidR="00E42603">
        <w:rPr>
          <w:szCs w:val="24"/>
        </w:rPr>
        <w:t>Initial Brief</w:t>
      </w:r>
      <w:r w:rsidRPr="00E61247">
        <w:rPr>
          <w:szCs w:val="24"/>
        </w:rPr>
        <w:t xml:space="preserve"> was served by electronic transmission upon the parties below this </w:t>
      </w:r>
      <w:r w:rsidR="00E42603">
        <w:rPr>
          <w:szCs w:val="24"/>
        </w:rPr>
        <w:t>9th</w:t>
      </w:r>
      <w:r w:rsidRPr="00E61247">
        <w:rPr>
          <w:szCs w:val="24"/>
        </w:rPr>
        <w:t xml:space="preserve"> day of </w:t>
      </w:r>
      <w:r w:rsidR="00E42603">
        <w:rPr>
          <w:szCs w:val="24"/>
        </w:rPr>
        <w:t>December</w:t>
      </w:r>
      <w:r w:rsidR="00180094">
        <w:rPr>
          <w:szCs w:val="24"/>
        </w:rPr>
        <w:t xml:space="preserve"> 2021</w:t>
      </w:r>
      <w:r w:rsidRPr="00E61247">
        <w:rPr>
          <w:szCs w:val="24"/>
        </w:rPr>
        <w:t>.</w:t>
      </w:r>
    </w:p>
    <w:p w:rsidR="00BA6EC5" w:rsidRPr="00E61247" w14:paraId="1BE270C7" w14:textId="77777777">
      <w:pPr>
        <w:pStyle w:val="EndnoteText"/>
        <w:widowControl/>
        <w:rPr>
          <w:rFonts w:ascii="Times New Roman" w:hAnsi="Times New Roman"/>
          <w:snapToGrid/>
          <w:szCs w:val="24"/>
        </w:rPr>
      </w:pPr>
    </w:p>
    <w:p w:rsidR="00BA6EC5" w:rsidRPr="00E61247" w14:paraId="590D4AAC"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i/>
          <w:snapToGrid/>
          <w:szCs w:val="24"/>
          <w:u w:val="single"/>
        </w:rPr>
        <w:t>/s/ Christopher Healey</w:t>
      </w:r>
      <w:r w:rsidRPr="00E61247">
        <w:rPr>
          <w:rFonts w:ascii="Times New Roman" w:hAnsi="Times New Roman"/>
          <w:i/>
          <w:snapToGrid/>
          <w:szCs w:val="24"/>
          <w:u w:val="single"/>
        </w:rPr>
        <w:tab/>
      </w:r>
    </w:p>
    <w:p w:rsidR="00BA6EC5" w:rsidRPr="00E61247" w14:paraId="6DF69427"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Christopher Healey</w:t>
      </w:r>
    </w:p>
    <w:p w:rsidR="00BA6EC5" w:rsidRPr="00E61247" w14:paraId="279E9D0C"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Assistant Consumers’ Counsel</w:t>
      </w:r>
    </w:p>
    <w:p w:rsidR="00BA6EC5" w:rsidRPr="00E61247" w14:paraId="0AFB9906" w14:textId="77777777">
      <w:pPr>
        <w:pStyle w:val="EndnoteText"/>
        <w:widowControl/>
        <w:rPr>
          <w:rFonts w:ascii="Times New Roman" w:hAnsi="Times New Roman"/>
          <w:snapToGrid/>
          <w:szCs w:val="24"/>
        </w:rPr>
      </w:pPr>
    </w:p>
    <w:p w:rsidR="00BA6EC5" w:rsidRPr="00E61247" w14:paraId="712A2F7A" w14:textId="77777777">
      <w:pPr>
        <w:pStyle w:val="EndnoteText"/>
        <w:widowControl/>
        <w:jc w:val="center"/>
        <w:rPr>
          <w:rFonts w:ascii="Times New Roman" w:hAnsi="Times New Roman"/>
          <w:b/>
          <w:bCs/>
          <w:snapToGrid/>
          <w:szCs w:val="24"/>
        </w:rPr>
      </w:pPr>
    </w:p>
    <w:p w:rsidR="00B438EA" w:rsidRPr="00E61247" w:rsidP="00B438EA" w14:paraId="7A6C5347" w14:textId="77777777">
      <w:pPr>
        <w:pStyle w:val="CommentText"/>
        <w:rPr>
          <w:sz w:val="24"/>
          <w:szCs w:val="24"/>
        </w:rPr>
      </w:pPr>
      <w:bookmarkStart w:id="8" w:name="_Hlk22544303"/>
      <w:r w:rsidRPr="00E61247">
        <w:rPr>
          <w:sz w:val="24"/>
          <w:szCs w:val="24"/>
        </w:rPr>
        <w:t>The PUCO’s e-filing system will electronically serve notice of the filing of this document on the following parties:</w:t>
      </w:r>
    </w:p>
    <w:p w:rsidR="00B438EA" w:rsidRPr="00E61247" w:rsidP="00B438EA" w14:paraId="28C3C3A7" w14:textId="77777777">
      <w:pPr>
        <w:pStyle w:val="EndnoteText"/>
        <w:widowControl/>
        <w:rPr>
          <w:rFonts w:ascii="Times New Roman" w:hAnsi="Times New Roman"/>
          <w:snapToGrid/>
          <w:szCs w:val="24"/>
        </w:rPr>
      </w:pPr>
    </w:p>
    <w:p w:rsidR="00B438EA" w:rsidRPr="00E61247" w:rsidP="00B438EA" w14:paraId="7935B70E" w14:textId="77777777">
      <w:pPr>
        <w:pStyle w:val="CommentText"/>
        <w:jc w:val="center"/>
        <w:rPr>
          <w:b/>
          <w:bCs/>
          <w:sz w:val="24"/>
          <w:szCs w:val="24"/>
          <w:u w:val="single"/>
        </w:rPr>
      </w:pPr>
      <w:r w:rsidRPr="00E61247">
        <w:rPr>
          <w:b/>
          <w:bCs/>
          <w:sz w:val="24"/>
          <w:szCs w:val="24"/>
          <w:u w:val="single"/>
        </w:rPr>
        <w:t>SERVICE LIST</w:t>
      </w:r>
    </w:p>
    <w:p w:rsidR="00B438EA" w:rsidRPr="00E61247" w:rsidP="00B438EA" w14:paraId="1CBC88AD" w14:textId="7777777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gridCol w:w="4111"/>
      </w:tblGrid>
      <w:tr w14:paraId="117FF4CF" w14:textId="77777777" w:rsidTr="00DE40A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29" w:type="dxa"/>
          </w:tcPr>
          <w:p w:rsidR="00B438EA" w:rsidP="00DE40A6" w14:paraId="07D4209B" w14:textId="77777777">
            <w:pPr>
              <w:rPr>
                <w:rStyle w:val="Hyperlink"/>
                <w:szCs w:val="24"/>
              </w:rPr>
            </w:pPr>
            <w:hyperlink r:id="rId12" w:history="1">
              <w:r w:rsidRPr="002A4414" w:rsidR="00D4701C">
                <w:rPr>
                  <w:rStyle w:val="Hyperlink"/>
                  <w:szCs w:val="24"/>
                </w:rPr>
                <w:t>werner.margard@ohioAGO.gov</w:t>
              </w:r>
            </w:hyperlink>
          </w:p>
          <w:p w:rsidR="00B438EA" w:rsidP="00DE40A6" w14:paraId="6FF37FEC" w14:textId="77777777">
            <w:pPr>
              <w:rPr>
                <w:szCs w:val="24"/>
              </w:rPr>
            </w:pPr>
            <w:hyperlink r:id="rId13" w:history="1">
              <w:r w:rsidRPr="002A4414" w:rsidR="00D4701C">
                <w:rPr>
                  <w:rStyle w:val="Hyperlink"/>
                  <w:szCs w:val="24"/>
                </w:rPr>
                <w:t>Robert.eubanks@ohioAGO.gov</w:t>
              </w:r>
            </w:hyperlink>
          </w:p>
          <w:p w:rsidR="00D4701C" w:rsidP="00DE40A6" w14:paraId="6B7F619D" w14:textId="77777777">
            <w:hyperlink r:id="rId14" w:history="1">
              <w:r w:rsidRPr="002A4414" w:rsidR="00521B2B">
                <w:rPr>
                  <w:rStyle w:val="Hyperlink"/>
                </w:rPr>
                <w:t>Jodi.bair@ohioAGO.gov</w:t>
              </w:r>
            </w:hyperlink>
          </w:p>
          <w:p w:rsidR="00D4701C" w:rsidP="00DE40A6" w14:paraId="10D0BEFF" w14:textId="77777777">
            <w:hyperlink r:id="rId15" w:history="1">
              <w:r w:rsidRPr="002A4414" w:rsidR="00521B2B">
                <w:rPr>
                  <w:rStyle w:val="Hyperlink"/>
                </w:rPr>
                <w:t>Kyle.kern@ohioAGO.gov</w:t>
              </w:r>
            </w:hyperlink>
          </w:p>
          <w:p w:rsidR="00B438EA" w:rsidRPr="00E61247" w:rsidP="00DE40A6" w14:paraId="333BF2F6" w14:textId="77777777">
            <w:pPr>
              <w:rPr>
                <w:rStyle w:val="Hyperlink"/>
                <w:szCs w:val="24"/>
              </w:rPr>
            </w:pPr>
            <w:hyperlink r:id="rId16" w:history="1">
              <w:r w:rsidRPr="002A4414" w:rsidR="00D4701C">
                <w:rPr>
                  <w:rStyle w:val="Hyperlink"/>
                  <w:szCs w:val="24"/>
                </w:rPr>
                <w:t>John.jones@ohioA</w:t>
              </w:r>
              <w:r w:rsidRPr="002A4414" w:rsidR="00D4701C">
                <w:rPr>
                  <w:rStyle w:val="Hyperlink"/>
                </w:rPr>
                <w:t>GO</w:t>
              </w:r>
              <w:r w:rsidRPr="002A4414" w:rsidR="00D4701C">
                <w:rPr>
                  <w:rStyle w:val="Hyperlink"/>
                  <w:szCs w:val="24"/>
                </w:rPr>
                <w:t>.gov</w:t>
              </w:r>
            </w:hyperlink>
          </w:p>
          <w:p w:rsidR="00510E24" w:rsidRPr="00E61247" w:rsidP="00DE40A6" w14:paraId="1DE4954C" w14:textId="77777777">
            <w:pPr>
              <w:rPr>
                <w:rStyle w:val="Hyperlink"/>
                <w:szCs w:val="24"/>
              </w:rPr>
            </w:pPr>
            <w:r w:rsidRPr="00E61247">
              <w:rPr>
                <w:rStyle w:val="Hyperlink"/>
                <w:szCs w:val="24"/>
              </w:rPr>
              <w:t>rdove@keglerbrown.com</w:t>
            </w:r>
          </w:p>
          <w:p w:rsidR="00B438EA" w:rsidRPr="00E61247" w:rsidP="00DE40A6" w14:paraId="6540347D" w14:textId="77777777">
            <w:pPr>
              <w:rPr>
                <w:szCs w:val="24"/>
              </w:rPr>
            </w:pPr>
            <w:hyperlink r:id="rId17" w:history="1">
              <w:r w:rsidRPr="00E61247" w:rsidR="00DC1207">
                <w:rPr>
                  <w:rStyle w:val="Hyperlink"/>
                  <w:szCs w:val="24"/>
                </w:rPr>
                <w:t>dboehm@BKLlawfirm.com</w:t>
              </w:r>
            </w:hyperlink>
          </w:p>
          <w:p w:rsidR="00B438EA" w:rsidRPr="00E61247" w:rsidP="00DE40A6" w14:paraId="6B2A7BDF" w14:textId="77777777">
            <w:pPr>
              <w:rPr>
                <w:szCs w:val="24"/>
              </w:rPr>
            </w:pPr>
            <w:hyperlink r:id="rId18" w:history="1">
              <w:r w:rsidRPr="00E61247" w:rsidR="00DC1207">
                <w:rPr>
                  <w:rStyle w:val="Hyperlink"/>
                  <w:szCs w:val="24"/>
                </w:rPr>
                <w:t>mkurtz@BKLlawfirm.com</w:t>
              </w:r>
            </w:hyperlink>
          </w:p>
          <w:p w:rsidR="00B438EA" w:rsidRPr="00E61247" w:rsidP="00DE40A6" w14:paraId="57DEF965" w14:textId="77777777">
            <w:pPr>
              <w:rPr>
                <w:szCs w:val="24"/>
              </w:rPr>
            </w:pPr>
            <w:hyperlink r:id="rId19" w:history="1">
              <w:r w:rsidRPr="00E61247" w:rsidR="00DC1207">
                <w:rPr>
                  <w:rStyle w:val="Hyperlink"/>
                  <w:szCs w:val="24"/>
                </w:rPr>
                <w:t>jkylercohn@BKLlawfirm.com</w:t>
              </w:r>
            </w:hyperlink>
          </w:p>
          <w:p w:rsidR="00B438EA" w:rsidRPr="00E61247" w:rsidP="00DE40A6" w14:paraId="20127A60" w14:textId="77777777">
            <w:pPr>
              <w:rPr>
                <w:szCs w:val="24"/>
              </w:rPr>
            </w:pPr>
          </w:p>
          <w:p w:rsidR="00B438EA" w:rsidRPr="00E61247" w:rsidP="00DE40A6" w14:paraId="7FED70D0" w14:textId="77777777">
            <w:pPr>
              <w:rPr>
                <w:szCs w:val="24"/>
              </w:rPr>
            </w:pPr>
            <w:r w:rsidRPr="00E61247">
              <w:rPr>
                <w:szCs w:val="24"/>
              </w:rPr>
              <w:t>Attorney Examiner:</w:t>
            </w:r>
          </w:p>
          <w:p w:rsidR="00B438EA" w:rsidRPr="00E61247" w:rsidP="00DE40A6" w14:paraId="530DE7C1" w14:textId="77777777">
            <w:pPr>
              <w:rPr>
                <w:szCs w:val="24"/>
              </w:rPr>
            </w:pPr>
          </w:p>
          <w:p w:rsidR="00B438EA" w:rsidRPr="00E61247" w:rsidP="00DE40A6" w14:paraId="5780AB42" w14:textId="77777777">
            <w:pPr>
              <w:rPr>
                <w:szCs w:val="24"/>
              </w:rPr>
            </w:pPr>
            <w:hyperlink r:id="rId20" w:history="1">
              <w:r w:rsidRPr="00E61247" w:rsidR="00DC1207">
                <w:rPr>
                  <w:rStyle w:val="Hyperlink"/>
                  <w:szCs w:val="24"/>
                </w:rPr>
                <w:t>Megan.addison@puco.ohio.gov</w:t>
              </w:r>
            </w:hyperlink>
          </w:p>
          <w:p w:rsidR="00B438EA" w:rsidP="00DE40A6" w14:paraId="7E36DC23" w14:textId="77777777">
            <w:pPr>
              <w:rPr>
                <w:szCs w:val="24"/>
              </w:rPr>
            </w:pPr>
            <w:hyperlink r:id="rId21" w:history="1">
              <w:r w:rsidRPr="002A4414" w:rsidR="00D4701C">
                <w:rPr>
                  <w:rStyle w:val="Hyperlink"/>
                  <w:szCs w:val="24"/>
                </w:rPr>
                <w:t>Matthew.sandor@puco.ohio.gov</w:t>
              </w:r>
            </w:hyperlink>
          </w:p>
          <w:p w:rsidR="00D4701C" w:rsidP="00DE40A6" w14:paraId="19A830C4" w14:textId="77777777">
            <w:pPr>
              <w:rPr>
                <w:rStyle w:val="Hyperlink"/>
                <w:szCs w:val="24"/>
              </w:rPr>
            </w:pPr>
            <w:hyperlink r:id="rId22" w:history="1">
              <w:r w:rsidRPr="002A4414" w:rsidR="00521B2B">
                <w:rPr>
                  <w:rStyle w:val="Hyperlink"/>
                  <w:szCs w:val="24"/>
                </w:rPr>
                <w:t>Nicholas.walstra@puco.ohio.gov</w:t>
              </w:r>
            </w:hyperlink>
          </w:p>
          <w:p w:rsidR="00E47042" w:rsidRPr="00CD117A" w:rsidP="00E47042" w14:paraId="64638107" w14:textId="77777777">
            <w:pPr>
              <w:pStyle w:val="CommentText"/>
              <w:jc w:val="both"/>
              <w:rPr>
                <w:rStyle w:val="Hyperlink"/>
                <w:rFonts w:eastAsiaTheme="majorEastAsia"/>
                <w:sz w:val="24"/>
                <w:szCs w:val="24"/>
              </w:rPr>
            </w:pPr>
            <w:r w:rsidRPr="00CD117A">
              <w:rPr>
                <w:rStyle w:val="Hyperlink"/>
                <w:rFonts w:eastAsiaTheme="majorEastAsia"/>
                <w:sz w:val="24"/>
                <w:szCs w:val="24"/>
              </w:rPr>
              <w:t>Lauren.augostini@puc</w:t>
            </w:r>
            <w:r>
              <w:rPr>
                <w:rStyle w:val="Hyperlink"/>
                <w:rFonts w:eastAsiaTheme="majorEastAsia"/>
                <w:sz w:val="24"/>
                <w:szCs w:val="24"/>
              </w:rPr>
              <w:t>o</w:t>
            </w:r>
            <w:r w:rsidRPr="00CD117A">
              <w:rPr>
                <w:rStyle w:val="Hyperlink"/>
                <w:rFonts w:eastAsiaTheme="majorEastAsia"/>
                <w:sz w:val="24"/>
                <w:szCs w:val="24"/>
              </w:rPr>
              <w:t>.</w:t>
            </w:r>
            <w:r>
              <w:rPr>
                <w:rStyle w:val="Hyperlink"/>
                <w:rFonts w:eastAsiaTheme="majorEastAsia"/>
                <w:sz w:val="24"/>
                <w:szCs w:val="24"/>
              </w:rPr>
              <w:t>ohio</w:t>
            </w:r>
            <w:r w:rsidRPr="00CD117A">
              <w:rPr>
                <w:rStyle w:val="Hyperlink"/>
                <w:rFonts w:eastAsiaTheme="majorEastAsia"/>
                <w:sz w:val="24"/>
                <w:szCs w:val="24"/>
              </w:rPr>
              <w:t>.</w:t>
            </w:r>
            <w:r>
              <w:rPr>
                <w:rStyle w:val="Hyperlink"/>
                <w:rFonts w:eastAsiaTheme="majorEastAsia"/>
                <w:sz w:val="24"/>
                <w:szCs w:val="24"/>
              </w:rPr>
              <w:t>gov</w:t>
            </w:r>
          </w:p>
          <w:p w:rsidR="00E47042" w:rsidP="00DE40A6" w14:paraId="5859E1BA" w14:textId="77777777">
            <w:pPr>
              <w:rPr>
                <w:szCs w:val="24"/>
              </w:rPr>
            </w:pPr>
          </w:p>
          <w:p w:rsidR="00D4701C" w:rsidRPr="00E61247" w:rsidP="00DE40A6" w14:paraId="0B3583E6" w14:textId="77777777">
            <w:pPr>
              <w:rPr>
                <w:szCs w:val="24"/>
              </w:rPr>
            </w:pPr>
          </w:p>
          <w:p w:rsidR="00B438EA" w:rsidRPr="00E61247" w:rsidP="00DE40A6" w14:paraId="1F11D48A" w14:textId="77777777">
            <w:pPr>
              <w:rPr>
                <w:szCs w:val="24"/>
              </w:rPr>
            </w:pPr>
          </w:p>
        </w:tc>
        <w:tc>
          <w:tcPr>
            <w:tcW w:w="4111" w:type="dxa"/>
          </w:tcPr>
          <w:p w:rsidR="00B438EA" w:rsidRPr="00E61247" w:rsidP="00DE40A6" w14:paraId="0A137EA3" w14:textId="77777777">
            <w:pPr>
              <w:ind w:left="400"/>
              <w:rPr>
                <w:rStyle w:val="Hyperlink"/>
                <w:szCs w:val="24"/>
              </w:rPr>
            </w:pPr>
            <w:hyperlink r:id="rId23" w:history="1">
              <w:r w:rsidRPr="00E61247" w:rsidR="00510E24">
                <w:rPr>
                  <w:rStyle w:val="Hyperlink"/>
                  <w:szCs w:val="24"/>
                </w:rPr>
                <w:t>Rocco.dascenzo@duke-energy.com</w:t>
              </w:r>
            </w:hyperlink>
          </w:p>
          <w:p w:rsidR="00B438EA" w:rsidRPr="00E61247" w:rsidP="00DE40A6" w14:paraId="28EDF827" w14:textId="77777777">
            <w:pPr>
              <w:ind w:left="400"/>
              <w:rPr>
                <w:rStyle w:val="Hyperlink"/>
                <w:szCs w:val="24"/>
              </w:rPr>
            </w:pPr>
            <w:hyperlink r:id="rId24" w:history="1">
              <w:r w:rsidRPr="00E61247" w:rsidR="00DC1207">
                <w:rPr>
                  <w:rStyle w:val="Hyperlink"/>
                  <w:szCs w:val="24"/>
                </w:rPr>
                <w:t>Jeanne.kingery@duke-energy.com</w:t>
              </w:r>
            </w:hyperlink>
          </w:p>
          <w:p w:rsidR="00B438EA" w:rsidRPr="00E61247" w:rsidP="00DE40A6" w14:paraId="4C55A7D7" w14:textId="77777777">
            <w:pPr>
              <w:ind w:left="400"/>
              <w:rPr>
                <w:rStyle w:val="Hyperlink"/>
                <w:szCs w:val="24"/>
              </w:rPr>
            </w:pPr>
            <w:hyperlink r:id="rId25" w:history="1">
              <w:r w:rsidRPr="00E61247" w:rsidR="00DC1207">
                <w:rPr>
                  <w:rStyle w:val="Hyperlink"/>
                  <w:szCs w:val="24"/>
                </w:rPr>
                <w:t>Larisa.vaysman@duke-energy.com</w:t>
              </w:r>
            </w:hyperlink>
          </w:p>
          <w:p w:rsidR="00B438EA" w:rsidRPr="00E61247" w:rsidP="00DE40A6" w14:paraId="0D14BB60" w14:textId="77777777">
            <w:pPr>
              <w:ind w:left="400"/>
              <w:rPr>
                <w:rStyle w:val="Hyperlink"/>
                <w:szCs w:val="24"/>
              </w:rPr>
            </w:pPr>
            <w:hyperlink r:id="rId26" w:history="1">
              <w:r w:rsidRPr="00E61247" w:rsidR="00DC1207">
                <w:rPr>
                  <w:rStyle w:val="Hyperlink"/>
                  <w:szCs w:val="24"/>
                </w:rPr>
                <w:t>kmcmurray@fbtlaw.com</w:t>
              </w:r>
            </w:hyperlink>
          </w:p>
          <w:p w:rsidR="00B438EA" w:rsidRPr="00E61247" w:rsidP="00DE40A6" w14:paraId="6F65044D" w14:textId="77777777">
            <w:pPr>
              <w:ind w:left="400"/>
              <w:rPr>
                <w:rStyle w:val="Hyperlink"/>
                <w:szCs w:val="24"/>
              </w:rPr>
            </w:pPr>
            <w:hyperlink r:id="rId27" w:history="1">
              <w:r w:rsidRPr="00E61247" w:rsidR="00DC1207">
                <w:rPr>
                  <w:rStyle w:val="Hyperlink"/>
                  <w:szCs w:val="24"/>
                </w:rPr>
                <w:t>Paul@carpenterlipps.com</w:t>
              </w:r>
            </w:hyperlink>
          </w:p>
          <w:p w:rsidR="00B438EA" w:rsidP="00DE40A6" w14:paraId="1162E12E" w14:textId="77777777">
            <w:pPr>
              <w:ind w:left="400"/>
              <w:rPr>
                <w:rStyle w:val="Hyperlink"/>
                <w:szCs w:val="24"/>
              </w:rPr>
            </w:pPr>
            <w:hyperlink r:id="rId28" w:history="1">
              <w:r w:rsidRPr="00E61247" w:rsidR="00DC1207">
                <w:rPr>
                  <w:rStyle w:val="Hyperlink"/>
                  <w:szCs w:val="24"/>
                </w:rPr>
                <w:t>bojko@carpenterlipps.com</w:t>
              </w:r>
            </w:hyperlink>
          </w:p>
          <w:p w:rsidR="005771AB" w:rsidP="00DE40A6" w14:paraId="19656812" w14:textId="77777777">
            <w:pPr>
              <w:ind w:left="400"/>
              <w:rPr>
                <w:rStyle w:val="Hyperlink"/>
                <w:szCs w:val="24"/>
              </w:rPr>
            </w:pPr>
            <w:r>
              <w:rPr>
                <w:rStyle w:val="Hyperlink"/>
                <w:szCs w:val="24"/>
              </w:rPr>
              <w:t>donadio@carpenterlipps.com</w:t>
            </w:r>
          </w:p>
          <w:p w:rsidR="00D1611D" w:rsidP="00DE40A6" w14:paraId="62564384" w14:textId="77777777">
            <w:pPr>
              <w:ind w:left="400"/>
              <w:rPr>
                <w:rStyle w:val="Hyperlink"/>
                <w:szCs w:val="24"/>
              </w:rPr>
            </w:pPr>
            <w:hyperlink r:id="rId29" w:history="1">
              <w:r w:rsidRPr="002A4414" w:rsidR="00521B2B">
                <w:rPr>
                  <w:rStyle w:val="Hyperlink"/>
                  <w:szCs w:val="24"/>
                </w:rPr>
                <w:t>michael.nugent@igs.com</w:t>
              </w:r>
            </w:hyperlink>
          </w:p>
          <w:p w:rsidR="00D1611D" w:rsidP="00DE40A6" w14:paraId="22691C03" w14:textId="77777777">
            <w:pPr>
              <w:ind w:left="400"/>
              <w:rPr>
                <w:rStyle w:val="Hyperlink"/>
                <w:szCs w:val="24"/>
              </w:rPr>
            </w:pPr>
            <w:hyperlink r:id="rId30" w:history="1">
              <w:r w:rsidRPr="002A4414" w:rsidR="00521B2B">
                <w:rPr>
                  <w:rStyle w:val="Hyperlink"/>
                  <w:szCs w:val="24"/>
                </w:rPr>
                <w:t>evan.betterton@igs.com</w:t>
              </w:r>
            </w:hyperlink>
          </w:p>
          <w:p w:rsidR="00D1611D" w:rsidP="00DE40A6" w14:paraId="356458A3" w14:textId="77777777">
            <w:pPr>
              <w:ind w:left="400"/>
              <w:rPr>
                <w:rStyle w:val="Hyperlink"/>
                <w:szCs w:val="24"/>
              </w:rPr>
            </w:pPr>
            <w:hyperlink r:id="rId31" w:history="1">
              <w:r w:rsidRPr="00720900" w:rsidR="005771AB">
                <w:rPr>
                  <w:rStyle w:val="Hyperlink"/>
                  <w:szCs w:val="24"/>
                </w:rPr>
                <w:t>mjsettineri@vorys.com</w:t>
              </w:r>
            </w:hyperlink>
          </w:p>
          <w:p w:rsidR="005771AB" w:rsidP="00DE40A6" w14:paraId="65A92BDF" w14:textId="77777777">
            <w:pPr>
              <w:ind w:left="400"/>
              <w:rPr>
                <w:rStyle w:val="Hyperlink"/>
                <w:szCs w:val="24"/>
              </w:rPr>
            </w:pPr>
            <w:hyperlink r:id="rId32" w:history="1">
              <w:r w:rsidRPr="00720900" w:rsidR="00521B2B">
                <w:rPr>
                  <w:rStyle w:val="Hyperlink"/>
                  <w:szCs w:val="24"/>
                </w:rPr>
                <w:t>eowoyt@vorys.com</w:t>
              </w:r>
            </w:hyperlink>
          </w:p>
          <w:p w:rsidR="005771AB" w:rsidP="00DE40A6" w14:paraId="2604EEDE" w14:textId="77777777">
            <w:pPr>
              <w:ind w:left="400"/>
              <w:rPr>
                <w:rStyle w:val="Hyperlink"/>
                <w:szCs w:val="24"/>
              </w:rPr>
            </w:pPr>
            <w:hyperlink r:id="rId33" w:history="1">
              <w:r w:rsidRPr="00720900" w:rsidR="00521B2B">
                <w:rPr>
                  <w:rStyle w:val="Hyperlink"/>
                  <w:szCs w:val="24"/>
                </w:rPr>
                <w:t>glpetrucci@vorys.com</w:t>
              </w:r>
            </w:hyperlink>
          </w:p>
          <w:p w:rsidR="005771AB" w:rsidP="00DE40A6" w14:paraId="264C80DC" w14:textId="77777777">
            <w:pPr>
              <w:ind w:left="400"/>
              <w:rPr>
                <w:rStyle w:val="Hyperlink"/>
                <w:szCs w:val="24"/>
              </w:rPr>
            </w:pPr>
            <w:hyperlink r:id="rId34" w:history="1">
              <w:r w:rsidRPr="00720900" w:rsidR="00521B2B">
                <w:rPr>
                  <w:rStyle w:val="Hyperlink"/>
                  <w:szCs w:val="24"/>
                </w:rPr>
                <w:t>aasanyal@vorys.com</w:t>
              </w:r>
            </w:hyperlink>
          </w:p>
          <w:p w:rsidR="005771AB" w:rsidP="00DE40A6" w14:paraId="5FF832F7" w14:textId="77777777">
            <w:pPr>
              <w:ind w:left="400"/>
              <w:rPr>
                <w:rStyle w:val="Hyperlink"/>
                <w:szCs w:val="24"/>
              </w:rPr>
            </w:pPr>
            <w:hyperlink r:id="rId35" w:history="1">
              <w:r w:rsidRPr="00720900" w:rsidR="00521B2B">
                <w:rPr>
                  <w:rStyle w:val="Hyperlink"/>
                  <w:szCs w:val="24"/>
                </w:rPr>
                <w:t>talexander@beneschlaw.com</w:t>
              </w:r>
            </w:hyperlink>
          </w:p>
          <w:p w:rsidR="005771AB" w:rsidP="00DE40A6" w14:paraId="4FC80CAA" w14:textId="77777777">
            <w:pPr>
              <w:ind w:left="400"/>
              <w:rPr>
                <w:rStyle w:val="Hyperlink"/>
                <w:szCs w:val="24"/>
              </w:rPr>
            </w:pPr>
            <w:hyperlink r:id="rId36" w:history="1">
              <w:r w:rsidRPr="00720900" w:rsidR="00521B2B">
                <w:rPr>
                  <w:rStyle w:val="Hyperlink"/>
                  <w:szCs w:val="24"/>
                </w:rPr>
                <w:t>mkeaney@beneschlaw.com</w:t>
              </w:r>
            </w:hyperlink>
          </w:p>
          <w:p w:rsidR="005771AB" w:rsidP="00DE40A6" w14:paraId="489AB4EB" w14:textId="77777777">
            <w:pPr>
              <w:ind w:left="400"/>
              <w:rPr>
                <w:rStyle w:val="Hyperlink"/>
                <w:szCs w:val="24"/>
              </w:rPr>
            </w:pPr>
            <w:hyperlink r:id="rId37" w:history="1">
              <w:r w:rsidRPr="00720900" w:rsidR="00521B2B">
                <w:rPr>
                  <w:rStyle w:val="Hyperlink"/>
                  <w:szCs w:val="24"/>
                </w:rPr>
                <w:t>khehmeyer@beneschlaw.com</w:t>
              </w:r>
            </w:hyperlink>
          </w:p>
          <w:p w:rsidR="005771AB" w:rsidRPr="00E61247" w:rsidP="00DE40A6" w14:paraId="721B6912" w14:textId="77777777">
            <w:pPr>
              <w:ind w:left="400"/>
              <w:rPr>
                <w:rStyle w:val="Hyperlink"/>
                <w:szCs w:val="24"/>
              </w:rPr>
            </w:pPr>
            <w:r>
              <w:rPr>
                <w:rStyle w:val="Hyperlink"/>
                <w:szCs w:val="24"/>
              </w:rPr>
              <w:t>ssiewe@beneschlaw.com</w:t>
            </w:r>
          </w:p>
          <w:p w:rsidR="00B438EA" w:rsidRPr="00E61247" w:rsidP="00DE40A6" w14:paraId="209ABF3E" w14:textId="77777777">
            <w:pPr>
              <w:rPr>
                <w:rStyle w:val="Hyperlink"/>
                <w:szCs w:val="24"/>
              </w:rPr>
            </w:pPr>
          </w:p>
          <w:p w:rsidR="00B438EA" w:rsidRPr="00E61247" w:rsidP="00DE40A6" w14:paraId="6BA76FFC" w14:textId="77777777">
            <w:pPr>
              <w:rPr>
                <w:rStyle w:val="Hyperlink"/>
                <w:szCs w:val="24"/>
              </w:rPr>
            </w:pPr>
          </w:p>
        </w:tc>
      </w:tr>
      <w:tr w14:paraId="0636956F" w14:textId="77777777" w:rsidTr="00DE40A6">
        <w:tblPrEx>
          <w:tblW w:w="0" w:type="auto"/>
          <w:tblLook w:val="04A0"/>
        </w:tblPrEx>
        <w:tc>
          <w:tcPr>
            <w:tcW w:w="4529" w:type="dxa"/>
          </w:tcPr>
          <w:p w:rsidR="00D1611D" w:rsidP="00DE40A6" w14:paraId="74DF7027" w14:textId="77777777"/>
        </w:tc>
        <w:tc>
          <w:tcPr>
            <w:tcW w:w="4111" w:type="dxa"/>
          </w:tcPr>
          <w:p w:rsidR="00D1611D" w:rsidP="00DE40A6" w14:paraId="3ADE88E5" w14:textId="77777777">
            <w:pPr>
              <w:ind w:left="400"/>
            </w:pPr>
          </w:p>
        </w:tc>
      </w:tr>
      <w:bookmarkEnd w:id="8"/>
    </w:tbl>
    <w:p w:rsidR="00F658D3" w:rsidRPr="00E61247" w:rsidP="00B438EA" w14:paraId="770F6770" w14:textId="77777777">
      <w:pPr>
        <w:pStyle w:val="CommentText"/>
        <w:jc w:val="center"/>
        <w:rPr>
          <w:b/>
          <w:bCs/>
          <w:sz w:val="24"/>
          <w:szCs w:val="24"/>
          <w:u w:val="single"/>
        </w:rPr>
      </w:pPr>
    </w:p>
    <w:sectPr w:rsidSect="003546B3">
      <w:footerReference w:type="default" r:id="rI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0234115"/>
      <w:docPartObj>
        <w:docPartGallery w:val="Page Numbers (Bottom of Page)"/>
        <w:docPartUnique/>
      </w:docPartObj>
    </w:sdtPr>
    <w:sdtEndPr>
      <w:rPr>
        <w:rFonts w:ascii="Times New Roman" w:hAnsi="Times New Roman" w:cs="Times New Roman"/>
        <w:noProof/>
      </w:rPr>
    </w:sdtEndPr>
    <w:sdtContent>
      <w:p w:rsidR="004B2B16" w:rsidRPr="004B2B16" w14:paraId="7219943B" w14:textId="77777777">
        <w:pPr>
          <w:pStyle w:val="Footer"/>
          <w:jc w:val="center"/>
          <w:rPr>
            <w:rFonts w:ascii="Times New Roman" w:hAnsi="Times New Roman" w:cs="Times New Roman"/>
          </w:rPr>
        </w:pPr>
        <w:r w:rsidRPr="004B2B16">
          <w:rPr>
            <w:rFonts w:ascii="Times New Roman" w:hAnsi="Times New Roman" w:cs="Times New Roman"/>
          </w:rPr>
          <w:fldChar w:fldCharType="begin"/>
        </w:r>
        <w:r w:rsidRPr="004B2B16">
          <w:rPr>
            <w:rFonts w:ascii="Times New Roman" w:hAnsi="Times New Roman" w:cs="Times New Roman"/>
          </w:rPr>
          <w:instrText xml:space="preserve"> PAGE   \* MERGEFORMAT </w:instrText>
        </w:r>
        <w:r w:rsidRPr="004B2B16">
          <w:rPr>
            <w:rFonts w:ascii="Times New Roman" w:hAnsi="Times New Roman" w:cs="Times New Roman"/>
          </w:rPr>
          <w:fldChar w:fldCharType="separate"/>
        </w:r>
        <w:r w:rsidRPr="004B2B16">
          <w:rPr>
            <w:rFonts w:ascii="Times New Roman" w:hAnsi="Times New Roman" w:cs="Times New Roman"/>
            <w:noProof/>
          </w:rPr>
          <w:t>2</w:t>
        </w:r>
        <w:r w:rsidRPr="004B2B16">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7930692"/>
      <w:docPartObj>
        <w:docPartGallery w:val="Page Numbers (Bottom of Page)"/>
        <w:docPartUnique/>
      </w:docPartObj>
    </w:sdtPr>
    <w:sdtEndPr>
      <w:rPr>
        <w:rFonts w:ascii="Times New Roman" w:hAnsi="Times New Roman" w:cs="Times New Roman"/>
        <w:noProof/>
      </w:rPr>
    </w:sdtEndPr>
    <w:sdtContent>
      <w:p w:rsidR="005D6C41" w:rsidRPr="005D6C41" w14:paraId="0FBFE2EF" w14:textId="77777777">
        <w:pPr>
          <w:pStyle w:val="Footer"/>
          <w:jc w:val="center"/>
          <w:rPr>
            <w:rFonts w:ascii="Times New Roman" w:hAnsi="Times New Roman" w:cs="Times New Roman"/>
          </w:rPr>
        </w:pPr>
        <w:r w:rsidRPr="005D6C41">
          <w:rPr>
            <w:rFonts w:ascii="Times New Roman" w:hAnsi="Times New Roman" w:cs="Times New Roman"/>
          </w:rPr>
          <w:fldChar w:fldCharType="begin"/>
        </w:r>
        <w:r w:rsidRPr="005D6C41">
          <w:rPr>
            <w:rFonts w:ascii="Times New Roman" w:hAnsi="Times New Roman" w:cs="Times New Roman"/>
          </w:rPr>
          <w:instrText xml:space="preserve"> PAGE   \* MERGEFORMAT </w:instrText>
        </w:r>
        <w:r w:rsidRPr="005D6C41">
          <w:rPr>
            <w:rFonts w:ascii="Times New Roman" w:hAnsi="Times New Roman" w:cs="Times New Roman"/>
          </w:rPr>
          <w:fldChar w:fldCharType="separate"/>
        </w:r>
        <w:r w:rsidRPr="005D6C41">
          <w:rPr>
            <w:rFonts w:ascii="Times New Roman" w:hAnsi="Times New Roman" w:cs="Times New Roman"/>
            <w:noProof/>
          </w:rPr>
          <w:t>2</w:t>
        </w:r>
        <w:r w:rsidRPr="005D6C41">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514799"/>
      <w:docPartObj>
        <w:docPartGallery w:val="Page Numbers (Bottom of Page)"/>
        <w:docPartUnique/>
      </w:docPartObj>
    </w:sdtPr>
    <w:sdtEndPr>
      <w:rPr>
        <w:rFonts w:ascii="Times New Roman" w:hAnsi="Times New Roman" w:cs="Times New Roman"/>
        <w:noProof/>
      </w:rPr>
    </w:sdtEndPr>
    <w:sdtContent>
      <w:p w:rsidR="003546B3" w:rsidRPr="001A5EC2" w14:paraId="56794EA2" w14:textId="77777777">
        <w:pPr>
          <w:pStyle w:val="Footer"/>
          <w:jc w:val="center"/>
          <w:rPr>
            <w:rFonts w:ascii="Times New Roman" w:hAnsi="Times New Roman" w:cs="Times New Roman"/>
          </w:rPr>
        </w:pPr>
        <w:r w:rsidRPr="001A5EC2">
          <w:rPr>
            <w:rFonts w:ascii="Times New Roman" w:hAnsi="Times New Roman" w:cs="Times New Roman"/>
          </w:rPr>
          <w:fldChar w:fldCharType="begin"/>
        </w:r>
        <w:r w:rsidRPr="001A5EC2">
          <w:rPr>
            <w:rFonts w:ascii="Times New Roman" w:hAnsi="Times New Roman" w:cs="Times New Roman"/>
          </w:rPr>
          <w:instrText xml:space="preserve"> PAGE   \* MERGEFORMAT </w:instrText>
        </w:r>
        <w:r w:rsidRPr="001A5EC2">
          <w:rPr>
            <w:rFonts w:ascii="Times New Roman" w:hAnsi="Times New Roman" w:cs="Times New Roman"/>
          </w:rPr>
          <w:fldChar w:fldCharType="separate"/>
        </w:r>
        <w:r>
          <w:rPr>
            <w:rFonts w:ascii="Times New Roman" w:hAnsi="Times New Roman" w:cs="Times New Roman"/>
            <w:noProof/>
          </w:rPr>
          <w:t>25</w:t>
        </w:r>
        <w:r w:rsidRPr="001A5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03F3" w14:paraId="21285BE9" w14:textId="77777777">
      <w:r>
        <w:separator/>
      </w:r>
    </w:p>
  </w:footnote>
  <w:footnote w:type="continuationSeparator" w:id="1">
    <w:p w:rsidR="008A03F3" w14:paraId="47AA392C" w14:textId="77777777">
      <w:r>
        <w:continuationSeparator/>
      </w:r>
    </w:p>
  </w:footnote>
  <w:footnote w:id="2">
    <w:p w:rsidR="00867E2E" w:rsidRPr="00030CD6" w:rsidP="00030CD6" w14:paraId="294331CE" w14:textId="77777777">
      <w:pPr>
        <w:pStyle w:val="FootnoteText"/>
        <w:spacing w:after="120"/>
      </w:pPr>
      <w:r w:rsidRPr="00030CD6">
        <w:rPr>
          <w:rStyle w:val="FootnoteReference"/>
        </w:rPr>
        <w:footnoteRef/>
      </w:r>
      <w:r w:rsidRPr="00030CD6">
        <w:t xml:space="preserve"> </w:t>
      </w:r>
      <w:r w:rsidRPr="00030CD6">
        <w:rPr>
          <w:i/>
          <w:iCs/>
        </w:rPr>
        <w:t>In re Application of the Ottoville Mut. Tel. Co.</w:t>
      </w:r>
      <w:r w:rsidRPr="00030CD6">
        <w:t xml:space="preserve">, Case No. 73-356-Y, 1973 Ohio PUC LEXIS 3, at *4 (“the applicant must shoulder the burden of proof in every application proceeding before the Commission”); </w:t>
      </w:r>
      <w:r w:rsidRPr="00030CD6">
        <w:rPr>
          <w:i/>
          <w:iCs/>
        </w:rPr>
        <w:t>In re Application of the Ohio Bell Tel. Co.</w:t>
      </w:r>
      <w:r w:rsidRPr="00030CD6">
        <w:t>, No. 84-1435-TP-AIR, 1985 Ohio PUC LEXIS 7, at *79 (Dec. 10, 1985) (“The applicant has the burden of establishing the reasonableness of its proposals.”).</w:t>
      </w:r>
    </w:p>
  </w:footnote>
  <w:footnote w:id="3">
    <w:p w:rsidR="00867E2E" w:rsidRPr="00030CD6" w:rsidP="00030CD6" w14:paraId="11DA798A" w14:textId="77777777">
      <w:pPr>
        <w:pStyle w:val="FootnoteText"/>
        <w:spacing w:after="120"/>
      </w:pPr>
      <w:r w:rsidRPr="00030CD6">
        <w:rPr>
          <w:rStyle w:val="FootnoteReference"/>
        </w:rPr>
        <w:footnoteRef/>
      </w:r>
      <w:r w:rsidRPr="00030CD6">
        <w:t xml:space="preserve"> </w:t>
      </w:r>
      <w:r w:rsidRPr="00030CD6">
        <w:rPr>
          <w:i/>
          <w:iCs/>
        </w:rPr>
        <w:t>In re Application Seeking Approval of Ohio Power Co.'s Proposal to Enter into an Affiliate Power Purchase Agmt. for Inclusion in the Power Purchase Agmt. Rider</w:t>
      </w:r>
      <w:r w:rsidRPr="00030CD6">
        <w:t>, Case No. 14-1693-EL-SSO, Opinion &amp; Order at 18 (Mar. 31, 2016).</w:t>
      </w:r>
    </w:p>
  </w:footnote>
  <w:footnote w:id="4">
    <w:p w:rsidR="00867E2E" w:rsidRPr="00030CD6" w:rsidP="00030CD6" w14:paraId="05756479" w14:textId="77777777">
      <w:pPr>
        <w:pStyle w:val="FootnoteText"/>
        <w:spacing w:after="120"/>
      </w:pPr>
      <w:r w:rsidRPr="00030CD6">
        <w:rPr>
          <w:rStyle w:val="FootnoteReference"/>
        </w:rPr>
        <w:footnoteRef/>
      </w:r>
      <w:r w:rsidRPr="00030CD6">
        <w:t xml:space="preserve"> </w:t>
      </w:r>
      <w:r w:rsidRPr="00030CD6">
        <w:rPr>
          <w:i/>
          <w:iCs/>
        </w:rPr>
        <w:t>Duff v. PUCO</w:t>
      </w:r>
      <w:r w:rsidRPr="00030CD6">
        <w:t>, 56 Ohio St.2d 367, 379 (1978).</w:t>
      </w:r>
    </w:p>
  </w:footnote>
  <w:footnote w:id="5">
    <w:p w:rsidR="00867E2E" w:rsidRPr="00030CD6" w:rsidP="00030CD6" w14:paraId="039C386C" w14:textId="77777777">
      <w:pPr>
        <w:pStyle w:val="FootnoteText"/>
        <w:spacing w:after="120"/>
      </w:pPr>
      <w:r w:rsidRPr="00030CD6">
        <w:rPr>
          <w:rStyle w:val="FootnoteReference"/>
        </w:rPr>
        <w:footnoteRef/>
      </w:r>
      <w:r w:rsidRPr="00030CD6">
        <w:t xml:space="preserve"> </w:t>
      </w:r>
      <w:r w:rsidRPr="00030CD6">
        <w:rPr>
          <w:i/>
          <w:iCs/>
        </w:rPr>
        <w:t>Id.</w:t>
      </w:r>
      <w:r w:rsidRPr="00030CD6">
        <w:t xml:space="preserve"> </w:t>
      </w:r>
      <w:r w:rsidRPr="00030CD6">
        <w:rPr>
          <w:i/>
          <w:iCs/>
        </w:rPr>
        <w:t>See also</w:t>
      </w:r>
      <w:r w:rsidRPr="00030CD6">
        <w:t xml:space="preserve"> Ohio Adm. Code 4901-1-30(E).</w:t>
      </w:r>
    </w:p>
  </w:footnote>
  <w:footnote w:id="6">
    <w:p w:rsidR="00867E2E" w:rsidRPr="00030CD6" w:rsidP="00030CD6" w14:paraId="1B2D3F22" w14:textId="77777777">
      <w:pPr>
        <w:pStyle w:val="FootnoteText"/>
        <w:spacing w:after="120"/>
      </w:pPr>
      <w:r w:rsidRPr="00030CD6">
        <w:rPr>
          <w:rStyle w:val="FootnoteReference"/>
        </w:rPr>
        <w:footnoteRef/>
      </w:r>
      <w:r w:rsidRPr="00030CD6">
        <w:t xml:space="preserve"> </w:t>
      </w:r>
      <w:r w:rsidRPr="00030CD6">
        <w:rPr>
          <w:i/>
          <w:iCs/>
        </w:rPr>
        <w:t>Duff</w:t>
      </w:r>
      <w:r w:rsidRPr="00030CD6">
        <w:t>, 56 Ohio St.2d at 379.</w:t>
      </w:r>
    </w:p>
  </w:footnote>
  <w:footnote w:id="7">
    <w:p w:rsidR="008F1A95" w:rsidRPr="00030CD6" w:rsidP="00030CD6" w14:paraId="31DBC229" w14:textId="77777777">
      <w:pPr>
        <w:pStyle w:val="FootnoteText"/>
        <w:spacing w:after="120"/>
      </w:pPr>
      <w:r w:rsidRPr="00030CD6">
        <w:rPr>
          <w:rStyle w:val="FootnoteReference"/>
        </w:rPr>
        <w:footnoteRef/>
      </w:r>
      <w:r w:rsidRPr="00030CD6">
        <w:t xml:space="preserve"> </w:t>
      </w:r>
      <w:r w:rsidRPr="00030CD6">
        <w:rPr>
          <w:i/>
          <w:iCs/>
        </w:rPr>
        <w:t>In re Application of Vectren Energy Delivery of Ohio, Inc. for Authority to Amend its Tariffs</w:t>
      </w:r>
      <w:r w:rsidRPr="00030CD6">
        <w:t>, Case No. 04-571-GA-AIR, Opinion &amp; Order at 9, (Apr. 13, 2015).</w:t>
      </w:r>
    </w:p>
  </w:footnote>
  <w:footnote w:id="8">
    <w:p w:rsidR="008F1A95" w:rsidRPr="00030CD6" w:rsidP="00030CD6" w14:paraId="56B46B52" w14:textId="77777777">
      <w:pPr>
        <w:pStyle w:val="FootnoteText"/>
        <w:spacing w:after="120"/>
      </w:pPr>
      <w:r w:rsidRPr="00030CD6">
        <w:rPr>
          <w:rStyle w:val="FootnoteReference"/>
        </w:rPr>
        <w:footnoteRef/>
      </w:r>
      <w:r w:rsidRPr="00030CD6">
        <w:t xml:space="preserve"> </w:t>
      </w:r>
      <w:r w:rsidRPr="00030CD6">
        <w:rPr>
          <w:i/>
          <w:iCs/>
        </w:rPr>
        <w:t>Consumers' Counsel v. Pub. Util. Comm.</w:t>
      </w:r>
      <w:r w:rsidRPr="00030CD6">
        <w:t>, 64 Ohio St.3d 123, 126 (1992).</w:t>
      </w:r>
    </w:p>
  </w:footnote>
  <w:footnote w:id="9">
    <w:p w:rsidR="008F1A95" w:rsidRPr="00030CD6" w:rsidP="00030CD6" w14:paraId="62860D1E" w14:textId="77777777">
      <w:pPr>
        <w:pStyle w:val="FootnoteText"/>
        <w:spacing w:after="120"/>
      </w:pPr>
      <w:r w:rsidRPr="00030CD6">
        <w:rPr>
          <w:rStyle w:val="FootnoteReference"/>
        </w:rPr>
        <w:footnoteRef/>
      </w:r>
      <w:r w:rsidRPr="00030CD6">
        <w:t xml:space="preserve"> </w:t>
      </w:r>
      <w:r w:rsidRPr="00030CD6">
        <w:rPr>
          <w:i/>
          <w:iCs/>
        </w:rPr>
        <w:t>See In re Application of the Dayton Power &amp; Light Co.</w:t>
      </w:r>
      <w:r w:rsidRPr="00030CD6">
        <w:t xml:space="preserve">, Case No. 16- 395-EL-SSO, Opinion &amp; Order ¶ 21 (Oct. 20, 2017) (“Although diversity of interests among signatory parties is not necessary for any stipulation to meet the first prong, it is </w:t>
      </w:r>
      <w:r w:rsidRPr="00030CD6">
        <w:rPr>
          <w:i/>
          <w:iCs/>
        </w:rPr>
        <w:t>helpful</w:t>
      </w:r>
      <w:r w:rsidRPr="00030CD6">
        <w:t xml:space="preserve"> if the signatory parties do represent a variety of interests.”) (emphasis in original); </w:t>
      </w:r>
      <w:r w:rsidRPr="00030CD6">
        <w:rPr>
          <w:i/>
          <w:iCs/>
        </w:rPr>
        <w:t>In re Application of [FirstEnergy]</w:t>
      </w:r>
      <w:r w:rsidRPr="00030CD6">
        <w:t xml:space="preserve">, Case No. 16-743-EL-POR, Opinion &amp; Order ¶ 61 (Nov. 21, 2017) (“While the diversity of the signatory parties may be a consideration in determining whether a settlement is a product of serious bargaining among capable, knowledgeable parties under the first prong of the Commission's test, there is no diversity requirement that the residential customers' statutory representative be a signatory party for agreements which may result in increased costs for the residential class.”); </w:t>
      </w:r>
      <w:r w:rsidRPr="00030CD6">
        <w:rPr>
          <w:i/>
          <w:iCs/>
        </w:rPr>
        <w:t>In re Application of Ohio Power Co.</w:t>
      </w:r>
      <w:r w:rsidRPr="00030CD6">
        <w:t>, Case No. 13-1939-EL-RDR, Opinion &amp; Order ¶ 50 (Feb. 1, 2017) (“In determining whether a settlement is the product of serious bargaining among capable, knowledgeable parties, we consider the extent of negotiations and the diversity of the negotiating parties, but there is no requirement that any particular party be a signatory to satisfy this first prong.”).</w:t>
      </w:r>
    </w:p>
  </w:footnote>
  <w:footnote w:id="10">
    <w:p w:rsidR="00470082" w:rsidRPr="00030CD6" w:rsidP="00030CD6" w14:paraId="4BB21A0E" w14:textId="77777777">
      <w:pPr>
        <w:pStyle w:val="FootnoteText"/>
        <w:spacing w:after="120"/>
      </w:pPr>
      <w:r w:rsidRPr="00030CD6">
        <w:rPr>
          <w:rStyle w:val="FootnoteReference"/>
        </w:rPr>
        <w:footnoteRef/>
      </w:r>
      <w:r w:rsidRPr="00030CD6">
        <w:t xml:space="preserve"> Joint Ex. 1 at 24-25.</w:t>
      </w:r>
    </w:p>
  </w:footnote>
  <w:footnote w:id="11">
    <w:p w:rsidR="00470082" w:rsidRPr="00030CD6" w:rsidP="00030CD6" w14:paraId="0A9E62FB" w14:textId="77777777">
      <w:pPr>
        <w:pStyle w:val="FootnoteText"/>
        <w:spacing w:after="120"/>
      </w:pPr>
      <w:r w:rsidRPr="00030CD6">
        <w:rPr>
          <w:rStyle w:val="FootnoteReference"/>
        </w:rPr>
        <w:footnoteRef/>
      </w:r>
      <w:r w:rsidRPr="00030CD6">
        <w:t xml:space="preserve"> Joint Ex. 1 at 25.</w:t>
      </w:r>
    </w:p>
  </w:footnote>
  <w:footnote w:id="12">
    <w:p w:rsidR="00470082" w:rsidRPr="00030CD6" w:rsidP="00030CD6" w14:paraId="7947ED21" w14:textId="77777777">
      <w:pPr>
        <w:pStyle w:val="FootnoteText"/>
        <w:spacing w:after="120"/>
      </w:pPr>
      <w:r w:rsidRPr="00030CD6">
        <w:rPr>
          <w:rStyle w:val="FootnoteReference"/>
        </w:rPr>
        <w:footnoteRef/>
      </w:r>
      <w:r w:rsidRPr="00030CD6">
        <w:t xml:space="preserve"> </w:t>
      </w:r>
      <w:r w:rsidRPr="00030CD6">
        <w:rPr>
          <w:i/>
          <w:iCs/>
        </w:rPr>
        <w:t xml:space="preserve">See </w:t>
      </w:r>
      <w:r w:rsidRPr="00030CD6">
        <w:t>Duke Ex. 7 (Spiller Testimony) at 21:19-20 (“The capability and knowledge of the Signatory Parties and their counsel is readily apparent.”), at 22:1-4 (“All of these parties regularly participate in rate proceedings before the Commission, are very knowledgeable in regulatory matters, and are represented in these proceedings by experienced, competent counsel.”).</w:t>
      </w:r>
    </w:p>
  </w:footnote>
  <w:footnote w:id="13">
    <w:p w:rsidR="00470082" w:rsidRPr="00030CD6" w:rsidP="00030CD6" w14:paraId="576102CC" w14:textId="77777777">
      <w:pPr>
        <w:pStyle w:val="FootnoteText"/>
        <w:spacing w:after="120"/>
      </w:pPr>
      <w:r w:rsidRPr="00030CD6">
        <w:rPr>
          <w:rStyle w:val="FootnoteReference"/>
        </w:rPr>
        <w:footnoteRef/>
      </w:r>
      <w:r w:rsidRPr="00030CD6">
        <w:t xml:space="preserve"> Duke Ex. 6 (Lawler Testimony) at 16:3-8.</w:t>
      </w:r>
    </w:p>
  </w:footnote>
  <w:footnote w:id="14">
    <w:p w:rsidR="005E5846" w:rsidRPr="00030CD6" w:rsidP="00030CD6" w14:paraId="3FB53708" w14:textId="77777777">
      <w:pPr>
        <w:pStyle w:val="FootnoteText"/>
        <w:spacing w:after="120"/>
      </w:pPr>
      <w:r w:rsidRPr="00030CD6">
        <w:rPr>
          <w:rStyle w:val="FootnoteReference"/>
        </w:rPr>
        <w:footnoteRef/>
      </w:r>
      <w:r w:rsidRPr="00030CD6">
        <w:t xml:space="preserve"> Duke Ex. 6 (Lawler Testimony) at 16:10-11.</w:t>
      </w:r>
    </w:p>
  </w:footnote>
  <w:footnote w:id="15">
    <w:p w:rsidR="005E5846" w:rsidRPr="00030CD6" w:rsidP="00030CD6" w14:paraId="260D0F77" w14:textId="77777777">
      <w:pPr>
        <w:pStyle w:val="FootnoteText"/>
        <w:spacing w:after="120"/>
      </w:pPr>
      <w:r w:rsidRPr="00030CD6">
        <w:rPr>
          <w:rStyle w:val="FootnoteReference"/>
        </w:rPr>
        <w:footnoteRef/>
      </w:r>
      <w:r w:rsidRPr="00030CD6">
        <w:t xml:space="preserve"> Joint Ex. 1 at 24-25 (showing signatory parties).</w:t>
      </w:r>
    </w:p>
  </w:footnote>
  <w:footnote w:id="16">
    <w:p w:rsidR="0025235E" w:rsidRPr="00030CD6" w:rsidP="00030CD6" w14:paraId="5E170EBD" w14:textId="77777777">
      <w:pPr>
        <w:pStyle w:val="FootnoteText"/>
        <w:spacing w:after="120"/>
      </w:pPr>
      <w:r w:rsidRPr="00030CD6">
        <w:rPr>
          <w:rStyle w:val="FootnoteReference"/>
        </w:rPr>
        <w:footnoteRef/>
      </w:r>
      <w:r w:rsidRPr="00030CD6">
        <w:t xml:space="preserve"> </w:t>
      </w:r>
      <w:r w:rsidRPr="00030CD6">
        <w:rPr>
          <w:i/>
          <w:iCs/>
        </w:rPr>
        <w:t>See</w:t>
      </w:r>
      <w:r w:rsidRPr="00030CD6">
        <w:t xml:space="preserve"> Entry ¶ 32 (Oct. 15, 2021).</w:t>
      </w:r>
    </w:p>
  </w:footnote>
  <w:footnote w:id="17">
    <w:p w:rsidR="00804131" w:rsidRPr="00030CD6" w:rsidP="00030CD6" w14:paraId="359D3F94" w14:textId="77777777">
      <w:pPr>
        <w:pStyle w:val="FootnoteText"/>
        <w:spacing w:after="120"/>
      </w:pPr>
      <w:r w:rsidRPr="00030CD6">
        <w:rPr>
          <w:rStyle w:val="FootnoteReference"/>
        </w:rPr>
        <w:footnoteRef/>
      </w:r>
      <w:r w:rsidRPr="00030CD6">
        <w:t xml:space="preserve"> </w:t>
      </w:r>
      <w:r w:rsidRPr="00030CD6">
        <w:rPr>
          <w:i/>
          <w:iCs/>
        </w:rPr>
        <w:t>See</w:t>
      </w:r>
      <w:r w:rsidRPr="00030CD6">
        <w:t xml:space="preserve"> Joint Ex. 1 at 8 (“benefits, such as resolution of the MGP disputes without increases in charges, the transition to an SSO auction for natural gas service, immediate bill credits, and other customer protections would not be possible”).</w:t>
      </w:r>
    </w:p>
  </w:footnote>
  <w:footnote w:id="18">
    <w:p w:rsidR="00804131" w:rsidRPr="00030CD6" w:rsidP="00030CD6" w14:paraId="6C9CDF37" w14:textId="77777777">
      <w:pPr>
        <w:pStyle w:val="FootnoteText"/>
        <w:spacing w:after="120"/>
      </w:pPr>
      <w:r w:rsidRPr="00030CD6">
        <w:rPr>
          <w:rStyle w:val="FootnoteReference"/>
        </w:rPr>
        <w:footnoteRef/>
      </w:r>
      <w:r w:rsidRPr="00030CD6">
        <w:t xml:space="preserve"> Joint Ex. 1 at 8.</w:t>
      </w:r>
    </w:p>
  </w:footnote>
  <w:footnote w:id="19">
    <w:p w:rsidR="00EE39B2" w:rsidRPr="00030CD6" w:rsidP="00030CD6" w14:paraId="592C21A3" w14:textId="77777777">
      <w:pPr>
        <w:pStyle w:val="FootnoteText"/>
        <w:spacing w:after="120"/>
      </w:pPr>
      <w:r w:rsidRPr="00030CD6">
        <w:rPr>
          <w:rStyle w:val="FootnoteReference"/>
        </w:rPr>
        <w:footnoteRef/>
      </w:r>
      <w:r w:rsidRPr="00030CD6">
        <w:t xml:space="preserve"> Joint Ex. 1 at 9.</w:t>
      </w:r>
    </w:p>
  </w:footnote>
  <w:footnote w:id="20">
    <w:p w:rsidR="00EE39B2" w:rsidRPr="00030CD6" w:rsidP="00030CD6" w14:paraId="0D135058" w14:textId="77777777">
      <w:pPr>
        <w:pStyle w:val="FootnoteText"/>
        <w:spacing w:after="120"/>
      </w:pPr>
      <w:r w:rsidRPr="00030CD6">
        <w:rPr>
          <w:rStyle w:val="FootnoteReference"/>
        </w:rPr>
        <w:footnoteRef/>
      </w:r>
      <w:r w:rsidRPr="00030CD6">
        <w:t xml:space="preserve"> Joint Ex. 1 at 9</w:t>
      </w:r>
      <w:r w:rsidRPr="00030CD6" w:rsidR="00073CBF">
        <w:t>; Duke Ex. 6 (Lawler Testimony) at 17 (“The Stipulation enables customers to receive benefits of the natural gas TCJA on an accelerated basis, even faster than some other Ohio-utilities have agreed.”).</w:t>
      </w:r>
    </w:p>
  </w:footnote>
  <w:footnote w:id="21">
    <w:p w:rsidR="00EE39B2" w:rsidRPr="00030CD6" w:rsidP="00030CD6" w14:paraId="38FE098D" w14:textId="77777777">
      <w:pPr>
        <w:pStyle w:val="FootnoteText"/>
        <w:spacing w:after="120"/>
        <w:rPr>
          <w:i/>
          <w:iCs/>
        </w:rPr>
      </w:pPr>
      <w:r w:rsidRPr="00030CD6">
        <w:rPr>
          <w:rStyle w:val="FootnoteReference"/>
        </w:rPr>
        <w:footnoteRef/>
      </w:r>
      <w:r w:rsidRPr="00030CD6">
        <w:t xml:space="preserve"> Joint Ex. 1 at 9.</w:t>
      </w:r>
    </w:p>
  </w:footnote>
  <w:footnote w:id="22">
    <w:p w:rsidR="00EE39B2" w:rsidRPr="00030CD6" w:rsidP="00030CD6" w14:paraId="04C127F0" w14:textId="77777777">
      <w:pPr>
        <w:pStyle w:val="FootnoteText"/>
        <w:spacing w:after="120"/>
      </w:pPr>
      <w:r w:rsidRPr="00030CD6">
        <w:rPr>
          <w:rStyle w:val="FootnoteReference"/>
        </w:rPr>
        <w:footnoteRef/>
      </w:r>
      <w:r w:rsidRPr="00030CD6">
        <w:t xml:space="preserve"> Joint Ex. 1 at 9.</w:t>
      </w:r>
    </w:p>
  </w:footnote>
  <w:footnote w:id="23">
    <w:p w:rsidR="00E01B78" w:rsidRPr="00030CD6" w:rsidP="00030CD6" w14:paraId="0125E122" w14:textId="77777777">
      <w:pPr>
        <w:pStyle w:val="FootnoteText"/>
        <w:spacing w:after="120"/>
      </w:pPr>
      <w:r w:rsidRPr="00030CD6">
        <w:rPr>
          <w:rStyle w:val="FootnoteReference"/>
        </w:rPr>
        <w:footnoteRef/>
      </w:r>
      <w:r w:rsidRPr="00030CD6">
        <w:t xml:space="preserve"> Joint Ex. 1 at 10.</w:t>
      </w:r>
    </w:p>
  </w:footnote>
  <w:footnote w:id="24">
    <w:p w:rsidR="00634245" w:rsidRPr="00030CD6" w:rsidP="00030CD6" w14:paraId="253A78A5" w14:textId="77777777">
      <w:pPr>
        <w:pStyle w:val="FootnoteText"/>
        <w:spacing w:after="120"/>
      </w:pPr>
      <w:r w:rsidRPr="00030CD6">
        <w:rPr>
          <w:rStyle w:val="FootnoteReference"/>
        </w:rPr>
        <w:footnoteRef/>
      </w:r>
      <w:r w:rsidRPr="00030CD6">
        <w:t xml:space="preserve"> Joint Ex. 1 at 10-11.</w:t>
      </w:r>
    </w:p>
  </w:footnote>
  <w:footnote w:id="25">
    <w:p w:rsidR="00634245" w:rsidRPr="00030CD6" w:rsidP="00030CD6" w14:paraId="4F331A9F" w14:textId="77777777">
      <w:pPr>
        <w:pStyle w:val="FootnoteText"/>
        <w:spacing w:after="120"/>
      </w:pPr>
      <w:r w:rsidRPr="00030CD6">
        <w:rPr>
          <w:rStyle w:val="FootnoteReference"/>
        </w:rPr>
        <w:footnoteRef/>
      </w:r>
      <w:r w:rsidRPr="00030CD6">
        <w:t xml:space="preserve"> Joint Ex. 1 at 10 ($147,422,807 in protected EDITs on a grossed up basis).</w:t>
      </w:r>
    </w:p>
  </w:footnote>
  <w:footnote w:id="26">
    <w:p w:rsidR="00634245" w:rsidRPr="00030CD6" w:rsidP="00030CD6" w14:paraId="76913271" w14:textId="77777777">
      <w:pPr>
        <w:pStyle w:val="FootnoteText"/>
        <w:spacing w:after="120"/>
      </w:pPr>
      <w:r w:rsidRPr="00030CD6">
        <w:rPr>
          <w:rStyle w:val="FootnoteReference"/>
        </w:rPr>
        <w:footnoteRef/>
      </w:r>
      <w:r w:rsidRPr="00030CD6">
        <w:t xml:space="preserve"> Joint Ex. 1 at 5-6.</w:t>
      </w:r>
    </w:p>
  </w:footnote>
  <w:footnote w:id="27">
    <w:p w:rsidR="00634245" w:rsidRPr="00030CD6" w:rsidP="00030CD6" w14:paraId="3B491821" w14:textId="77777777">
      <w:pPr>
        <w:pStyle w:val="FootnoteText"/>
        <w:spacing w:after="120"/>
      </w:pPr>
      <w:r w:rsidRPr="00030CD6">
        <w:rPr>
          <w:rStyle w:val="FootnoteReference"/>
        </w:rPr>
        <w:footnoteRef/>
      </w:r>
      <w:r w:rsidRPr="00030CD6">
        <w:t xml:space="preserve"> Joint Ex. 1 at 11</w:t>
      </w:r>
      <w:r w:rsidRPr="00030CD6" w:rsidR="0032238D">
        <w:t>; Duke Ex. 7 (Spiller Testimony) at 23 (“Immediate bill credits for customers”).</w:t>
      </w:r>
    </w:p>
  </w:footnote>
  <w:footnote w:id="28">
    <w:p w:rsidR="0032238D" w:rsidRPr="00030CD6" w:rsidP="00030CD6" w14:paraId="7E2F8639" w14:textId="77777777">
      <w:pPr>
        <w:pStyle w:val="FootnoteText"/>
        <w:spacing w:after="120"/>
      </w:pPr>
      <w:r w:rsidRPr="00030CD6">
        <w:rPr>
          <w:rStyle w:val="FootnoteReference"/>
        </w:rPr>
        <w:footnoteRef/>
      </w:r>
      <w:r w:rsidRPr="00030CD6">
        <w:t xml:space="preserve"> Joint Ex. 1 at 11, footnote 15</w:t>
      </w:r>
      <w:r w:rsidRPr="00030CD6" w:rsidR="00073CBF">
        <w:t>; Duke Ex. 6 (Lawler Testimony) at 17 (“immediate and significant bill credits”).</w:t>
      </w:r>
    </w:p>
  </w:footnote>
  <w:footnote w:id="29">
    <w:p w:rsidR="00951818" w:rsidRPr="00030CD6" w:rsidP="00030CD6" w14:paraId="003D298E" w14:textId="77777777">
      <w:pPr>
        <w:pStyle w:val="FootnoteText"/>
        <w:spacing w:after="120"/>
      </w:pPr>
      <w:r w:rsidRPr="00030CD6">
        <w:rPr>
          <w:rStyle w:val="FootnoteReference"/>
        </w:rPr>
        <w:footnoteRef/>
      </w:r>
      <w:r w:rsidRPr="00030CD6">
        <w:t xml:space="preserve"> Joint Ex. 1 at 11</w:t>
      </w:r>
      <w:r w:rsidRPr="00030CD6" w:rsidR="00073CBF">
        <w:t>; Duke Ex. 6 (Lawler Testimony) at 17 (“The Stipulation enables customers to receive benefits of the natural gas TCJA on an accelerated basis, even faster than some other Ohio-utilities have agreed.”).</w:t>
      </w:r>
    </w:p>
  </w:footnote>
  <w:footnote w:id="30">
    <w:p w:rsidR="00951818" w:rsidRPr="00030CD6" w:rsidP="00030CD6" w14:paraId="456FCEFA" w14:textId="77777777">
      <w:pPr>
        <w:pStyle w:val="FootnoteText"/>
        <w:spacing w:after="120"/>
      </w:pPr>
      <w:r w:rsidRPr="00030CD6">
        <w:rPr>
          <w:rStyle w:val="FootnoteReference"/>
        </w:rPr>
        <w:footnoteRef/>
      </w:r>
      <w:r w:rsidRPr="00030CD6">
        <w:t xml:space="preserve"> Joint Ex. 1 at 12.</w:t>
      </w:r>
    </w:p>
  </w:footnote>
  <w:footnote w:id="31">
    <w:p w:rsidR="00951818" w:rsidRPr="00030CD6" w:rsidP="00030CD6" w14:paraId="6D6434F8" w14:textId="77777777">
      <w:pPr>
        <w:pStyle w:val="FootnoteText"/>
        <w:spacing w:after="120"/>
      </w:pPr>
      <w:r w:rsidRPr="00030CD6">
        <w:rPr>
          <w:rStyle w:val="FootnoteReference"/>
        </w:rPr>
        <w:footnoteRef/>
      </w:r>
      <w:r w:rsidRPr="00030CD6">
        <w:t xml:space="preserve"> Joint Ex. 1 at 12</w:t>
      </w:r>
      <w:r w:rsidRPr="00030CD6" w:rsidR="0032238D">
        <w:t>; Duke Ex. 7 (Spiller Testimony) at 23 (“An approximate 5.4 percent reduction in natural gas base rates”)</w:t>
      </w:r>
      <w:r w:rsidRPr="00030CD6" w:rsidR="00073CBF">
        <w:t>; Duke Ex. 6 (Lawler Testimony) at 17 (“an overall natural gas base rate reduction”).</w:t>
      </w:r>
    </w:p>
  </w:footnote>
  <w:footnote w:id="32">
    <w:p w:rsidR="00951818" w:rsidRPr="00030CD6" w:rsidP="00030CD6" w14:paraId="385108C1" w14:textId="77777777">
      <w:pPr>
        <w:pStyle w:val="FootnoteText"/>
        <w:spacing w:after="120"/>
      </w:pPr>
      <w:r w:rsidRPr="00030CD6">
        <w:rPr>
          <w:rStyle w:val="FootnoteReference"/>
        </w:rPr>
        <w:footnoteRef/>
      </w:r>
      <w:r w:rsidRPr="00030CD6">
        <w:t xml:space="preserve"> Joint Ex. 1 at 13.</w:t>
      </w:r>
    </w:p>
  </w:footnote>
  <w:footnote w:id="33">
    <w:p w:rsidR="00951818" w:rsidRPr="00030CD6" w:rsidP="00030CD6" w14:paraId="17C994EE" w14:textId="77777777">
      <w:pPr>
        <w:pStyle w:val="FootnoteText"/>
        <w:spacing w:after="120"/>
      </w:pPr>
      <w:r w:rsidRPr="00030CD6">
        <w:rPr>
          <w:rStyle w:val="FootnoteReference"/>
        </w:rPr>
        <w:footnoteRef/>
      </w:r>
      <w:r w:rsidRPr="00030CD6">
        <w:t xml:space="preserve"> Joint Ex. 1 at 13</w:t>
      </w:r>
      <w:r w:rsidRPr="00030CD6" w:rsidR="0032238D">
        <w:t>; Duke Ex. 7 (Spiller Testimony) at 23 (“Termination of Rider MGP”).</w:t>
      </w:r>
    </w:p>
  </w:footnote>
  <w:footnote w:id="34">
    <w:p w:rsidR="00FB52B6" w:rsidRPr="00030CD6" w:rsidP="00030CD6" w14:paraId="2B632682" w14:textId="77777777">
      <w:pPr>
        <w:pStyle w:val="FootnoteText"/>
        <w:spacing w:after="120"/>
      </w:pPr>
      <w:r w:rsidRPr="00030CD6">
        <w:rPr>
          <w:rStyle w:val="FootnoteReference"/>
        </w:rPr>
        <w:footnoteRef/>
      </w:r>
      <w:r w:rsidRPr="00030CD6">
        <w:t xml:space="preserve"> Joint Ex. 1 at 13.</w:t>
      </w:r>
    </w:p>
  </w:footnote>
  <w:footnote w:id="35">
    <w:p w:rsidR="00FB52B6" w:rsidRPr="00030CD6" w:rsidP="00030CD6" w14:paraId="15C91DF9" w14:textId="77777777">
      <w:pPr>
        <w:pStyle w:val="FootnoteText"/>
        <w:spacing w:after="120"/>
      </w:pPr>
      <w:r w:rsidRPr="00030CD6">
        <w:rPr>
          <w:rStyle w:val="FootnoteReference"/>
        </w:rPr>
        <w:footnoteRef/>
      </w:r>
      <w:r w:rsidRPr="00030CD6">
        <w:t xml:space="preserve"> Joint Ex. 1 at 13.</w:t>
      </w:r>
    </w:p>
  </w:footnote>
  <w:footnote w:id="36">
    <w:p w:rsidR="0032238D" w:rsidRPr="00030CD6" w:rsidP="00030CD6" w14:paraId="5F8F9DA4" w14:textId="77777777">
      <w:pPr>
        <w:pStyle w:val="FootnoteText"/>
        <w:spacing w:after="120"/>
      </w:pPr>
      <w:r w:rsidRPr="00030CD6">
        <w:rPr>
          <w:rStyle w:val="FootnoteReference"/>
        </w:rPr>
        <w:footnoteRef/>
      </w:r>
      <w:r w:rsidRPr="00030CD6">
        <w:t xml:space="preserve"> Duke Ex. 7 (Spiller Testimony) at 23 (“Certainty regarding the treatment of MGP remediation and investigation costs,” “Clarity around the Company’s opportunity to seek Commission authority to continue deferring MGP remediation costs if it has to perform remediation work in the Ohio River”).</w:t>
      </w:r>
    </w:p>
  </w:footnote>
  <w:footnote w:id="37">
    <w:p w:rsidR="000427D7" w:rsidRPr="00030CD6" w:rsidP="00030CD6" w14:paraId="239F81A9" w14:textId="77777777">
      <w:pPr>
        <w:pStyle w:val="FootnoteText"/>
        <w:spacing w:after="120"/>
      </w:pPr>
      <w:r w:rsidRPr="00030CD6">
        <w:rPr>
          <w:rStyle w:val="FootnoteReference"/>
        </w:rPr>
        <w:footnoteRef/>
      </w:r>
      <w:r w:rsidRPr="00030CD6">
        <w:t xml:space="preserve"> Joint Ex. 1 at 14.</w:t>
      </w:r>
    </w:p>
  </w:footnote>
  <w:footnote w:id="38">
    <w:p w:rsidR="00073CBF" w:rsidRPr="00030CD6" w:rsidP="00030CD6" w14:paraId="393DE525" w14:textId="77777777">
      <w:pPr>
        <w:pStyle w:val="FootnoteText"/>
        <w:spacing w:after="120"/>
      </w:pPr>
      <w:r w:rsidRPr="00030CD6">
        <w:rPr>
          <w:rStyle w:val="FootnoteReference"/>
        </w:rPr>
        <w:footnoteRef/>
      </w:r>
      <w:r w:rsidRPr="00030CD6">
        <w:t xml:space="preserve"> Duke Ex. 7 (Spiller Testimony) at 24 (“Funding for qualifying low-income and seniors who have been impacted by COVID”).</w:t>
      </w:r>
    </w:p>
  </w:footnote>
  <w:footnote w:id="39">
    <w:p w:rsidR="000427D7" w:rsidRPr="00030CD6" w:rsidP="00030CD6" w14:paraId="168C917D" w14:textId="77777777">
      <w:pPr>
        <w:pStyle w:val="FootnoteText"/>
        <w:spacing w:after="120"/>
      </w:pPr>
      <w:r w:rsidRPr="00030CD6">
        <w:rPr>
          <w:rStyle w:val="FootnoteReference"/>
        </w:rPr>
        <w:footnoteRef/>
      </w:r>
      <w:r w:rsidRPr="00030CD6">
        <w:t xml:space="preserve"> Joint Ex. 1 at 14-16 ($3.3 million, plus an additional $500,000 allocated to seniors).</w:t>
      </w:r>
    </w:p>
  </w:footnote>
  <w:footnote w:id="40">
    <w:p w:rsidR="000427D7" w:rsidRPr="00030CD6" w:rsidP="00030CD6" w14:paraId="29B6221B" w14:textId="77777777">
      <w:pPr>
        <w:pStyle w:val="FootnoteText"/>
        <w:spacing w:after="120"/>
      </w:pPr>
      <w:r w:rsidRPr="00030CD6">
        <w:rPr>
          <w:rStyle w:val="FootnoteReference"/>
        </w:rPr>
        <w:footnoteRef/>
      </w:r>
      <w:r w:rsidRPr="00030CD6">
        <w:t xml:space="preserve"> Joint Ex. 1 at 16.</w:t>
      </w:r>
    </w:p>
  </w:footnote>
  <w:footnote w:id="41">
    <w:p w:rsidR="004D06AF" w:rsidRPr="00030CD6" w:rsidP="00030CD6" w14:paraId="4B473A67" w14:textId="77777777">
      <w:pPr>
        <w:pStyle w:val="FootnoteText"/>
        <w:spacing w:after="120"/>
      </w:pPr>
      <w:r w:rsidRPr="00030CD6">
        <w:rPr>
          <w:rStyle w:val="FootnoteReference"/>
        </w:rPr>
        <w:footnoteRef/>
      </w:r>
      <w:r w:rsidRPr="00030CD6">
        <w:t xml:space="preserve"> Joint Ex. 1 at 16.</w:t>
      </w:r>
    </w:p>
  </w:footnote>
  <w:footnote w:id="42">
    <w:p w:rsidR="004D06AF" w:rsidRPr="00030CD6" w:rsidP="00030CD6" w14:paraId="06985E08" w14:textId="77777777">
      <w:pPr>
        <w:pStyle w:val="FootnoteText"/>
        <w:spacing w:after="120"/>
      </w:pPr>
      <w:r w:rsidRPr="00030CD6">
        <w:rPr>
          <w:rStyle w:val="FootnoteReference"/>
        </w:rPr>
        <w:footnoteRef/>
      </w:r>
      <w:r w:rsidRPr="00030CD6">
        <w:t xml:space="preserve"> Joint Ex. 1 at 16 (“transition to a natural gas auction in the form of an SSO”).</w:t>
      </w:r>
    </w:p>
  </w:footnote>
  <w:footnote w:id="43">
    <w:p w:rsidR="004D06AF" w:rsidRPr="00030CD6" w:rsidP="00030CD6" w14:paraId="1E5C1FDE" w14:textId="77777777">
      <w:pPr>
        <w:pStyle w:val="FootnoteText"/>
        <w:spacing w:after="120"/>
      </w:pPr>
      <w:r w:rsidRPr="00030CD6">
        <w:rPr>
          <w:rStyle w:val="FootnoteReference"/>
        </w:rPr>
        <w:footnoteRef/>
      </w:r>
      <w:r w:rsidRPr="00030CD6">
        <w:t xml:space="preserve"> Joint Ex. 1 at 17.</w:t>
      </w:r>
    </w:p>
  </w:footnote>
  <w:footnote w:id="44">
    <w:p w:rsidR="004D06AF" w:rsidRPr="00030CD6" w:rsidP="00030CD6" w14:paraId="4F3F3BA6" w14:textId="77777777">
      <w:pPr>
        <w:pStyle w:val="FootnoteText"/>
        <w:spacing w:after="120"/>
      </w:pPr>
      <w:r w:rsidRPr="00030CD6">
        <w:rPr>
          <w:rStyle w:val="FootnoteReference"/>
        </w:rPr>
        <w:footnoteRef/>
      </w:r>
      <w:r w:rsidRPr="00030CD6">
        <w:t xml:space="preserve"> Duke Ex. 7 (Spiller Testimony) at 24.</w:t>
      </w:r>
    </w:p>
  </w:footnote>
  <w:footnote w:id="45">
    <w:p w:rsidR="00DA2E8E" w:rsidRPr="00030CD6" w:rsidP="00030CD6" w14:paraId="47E02B64" w14:textId="77777777">
      <w:pPr>
        <w:pStyle w:val="FootnoteText"/>
        <w:spacing w:after="120"/>
      </w:pPr>
      <w:r w:rsidRPr="00030CD6">
        <w:rPr>
          <w:rStyle w:val="FootnoteReference"/>
        </w:rPr>
        <w:footnoteRef/>
      </w:r>
      <w:r w:rsidRPr="00030CD6">
        <w:t xml:space="preserve"> Joint Ex. 1 at 18-19.</w:t>
      </w:r>
    </w:p>
  </w:footnote>
  <w:footnote w:id="46">
    <w:p w:rsidR="00663DF9" w:rsidRPr="00030CD6" w:rsidP="00030CD6" w14:paraId="7DED7E3B" w14:textId="77777777">
      <w:pPr>
        <w:pStyle w:val="FootnoteText"/>
        <w:spacing w:after="120"/>
      </w:pPr>
      <w:r w:rsidRPr="00030CD6">
        <w:rPr>
          <w:rStyle w:val="FootnoteReference"/>
        </w:rPr>
        <w:footnoteRef/>
      </w:r>
      <w:r w:rsidRPr="00030CD6">
        <w:t xml:space="preserve"> Joint Ex. 1 at 19.</w:t>
      </w:r>
    </w:p>
  </w:footnote>
  <w:footnote w:id="47">
    <w:p w:rsidR="00663DF9" w:rsidRPr="00030CD6" w:rsidP="00030CD6" w14:paraId="1B1094A6" w14:textId="77777777">
      <w:pPr>
        <w:pStyle w:val="FootnoteText"/>
        <w:spacing w:after="120"/>
      </w:pPr>
      <w:r w:rsidRPr="00030CD6">
        <w:rPr>
          <w:rStyle w:val="FootnoteReference"/>
        </w:rPr>
        <w:footnoteRef/>
      </w:r>
      <w:r w:rsidRPr="00030CD6">
        <w:t xml:space="preserve"> Joint Ex. 1 at 19 (“The aggregated shadow billing information is not to be considered confidential.”).</w:t>
      </w:r>
    </w:p>
  </w:footnote>
  <w:footnote w:id="48">
    <w:p w:rsidR="00400517" w:rsidRPr="00030CD6" w:rsidP="00030CD6" w14:paraId="6623577B" w14:textId="77777777">
      <w:pPr>
        <w:pStyle w:val="FootnoteText"/>
        <w:spacing w:after="120"/>
      </w:pPr>
      <w:r w:rsidRPr="00030CD6">
        <w:rPr>
          <w:rStyle w:val="FootnoteReference"/>
        </w:rPr>
        <w:footnoteRef/>
      </w:r>
      <w:r w:rsidRPr="00030CD6">
        <w:t xml:space="preserve"> Duke Ex. 7 (Spiller Testimony) at 23.</w:t>
      </w:r>
    </w:p>
  </w:footnote>
  <w:footnote w:id="49">
    <w:p w:rsidR="00DA2E8E" w:rsidRPr="00030CD6" w:rsidP="00030CD6" w14:paraId="74DFE5D8" w14:textId="77777777">
      <w:pPr>
        <w:pStyle w:val="FootnoteText"/>
        <w:spacing w:after="120"/>
      </w:pPr>
      <w:r w:rsidRPr="00030CD6">
        <w:rPr>
          <w:rStyle w:val="FootnoteReference"/>
        </w:rPr>
        <w:footnoteRef/>
      </w:r>
      <w:r w:rsidRPr="00030CD6">
        <w:t xml:space="preserve"> Duke Ex. 6 (Lawler Testimony) at 16.</w:t>
      </w:r>
    </w:p>
  </w:footnote>
  <w:footnote w:id="50">
    <w:p w:rsidR="0015117C" w:rsidRPr="00030CD6" w:rsidP="00030CD6" w14:paraId="4C817958" w14:textId="77777777">
      <w:pPr>
        <w:pStyle w:val="FootnoteText"/>
        <w:spacing w:after="120"/>
      </w:pPr>
      <w:r w:rsidRPr="00030CD6">
        <w:rPr>
          <w:rStyle w:val="FootnoteReference"/>
        </w:rPr>
        <w:footnoteRef/>
      </w:r>
      <w:r w:rsidRPr="00030CD6">
        <w:t xml:space="preserve"> Duke Ex. 7 (Spiller Testimony) at 23.</w:t>
      </w:r>
    </w:p>
  </w:footnote>
  <w:footnote w:id="51">
    <w:p w:rsidR="0015117C" w:rsidRPr="00030CD6" w:rsidP="00030CD6" w14:paraId="1E18F1C6" w14:textId="77777777">
      <w:pPr>
        <w:pStyle w:val="FootnoteText"/>
        <w:spacing w:after="120"/>
      </w:pPr>
      <w:r w:rsidRPr="00030CD6">
        <w:rPr>
          <w:rStyle w:val="FootnoteReference"/>
        </w:rPr>
        <w:footnoteRef/>
      </w:r>
      <w:r w:rsidRPr="00030CD6">
        <w:t xml:space="preserve"> Duke Ex. 7 (Spiller Testimony) at 23.</w:t>
      </w:r>
    </w:p>
  </w:footnote>
  <w:footnote w:id="52">
    <w:p w:rsidR="0015117C" w:rsidRPr="00030CD6" w:rsidP="00030CD6" w14:paraId="3DFFF360" w14:textId="77777777">
      <w:pPr>
        <w:pStyle w:val="FootnoteText"/>
        <w:spacing w:after="120"/>
      </w:pPr>
      <w:r w:rsidRPr="00030CD6">
        <w:rPr>
          <w:rStyle w:val="FootnoteReference"/>
        </w:rPr>
        <w:footnoteRef/>
      </w:r>
      <w:r w:rsidRPr="00030CD6">
        <w:t xml:space="preserve"> Duke Ex. 6 (Lawler Testimony) at 16.</w:t>
      </w:r>
    </w:p>
  </w:footnote>
  <w:footnote w:id="53">
    <w:p w:rsidR="0012075F" w:rsidRPr="00030CD6" w:rsidP="00030CD6" w14:paraId="1F28776E" w14:textId="77777777">
      <w:pPr>
        <w:pStyle w:val="FootnoteText"/>
        <w:spacing w:after="120"/>
      </w:pPr>
      <w:r w:rsidRPr="00030CD6">
        <w:rPr>
          <w:rStyle w:val="FootnoteReference"/>
        </w:rPr>
        <w:footnoteRef/>
      </w:r>
      <w:r w:rsidRPr="00030CD6">
        <w:t xml:space="preserve"> Duke Ex. 6 (Lawler Testimony) at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0E4453E"/>
    <w:lvl w:ilvl="0">
      <w:start w:val="1"/>
      <w:numFmt w:val="decimal"/>
      <w:lvlText w:val="%1."/>
      <w:lvlJc w:val="left"/>
      <w:pPr>
        <w:tabs>
          <w:tab w:val="num" w:pos="1800"/>
        </w:tabs>
        <w:ind w:left="1800" w:hanging="360"/>
      </w:pPr>
    </w:lvl>
  </w:abstractNum>
  <w:abstractNum w:abstractNumId="1">
    <w:nsid w:val="FFFFFF7D"/>
    <w:multiLevelType w:val="singleLevel"/>
    <w:tmpl w:val="567E7D5E"/>
    <w:lvl w:ilvl="0">
      <w:start w:val="1"/>
      <w:numFmt w:val="decimal"/>
      <w:lvlText w:val="%1."/>
      <w:lvlJc w:val="left"/>
      <w:pPr>
        <w:tabs>
          <w:tab w:val="num" w:pos="1440"/>
        </w:tabs>
        <w:ind w:left="1440" w:hanging="360"/>
      </w:pPr>
    </w:lvl>
  </w:abstractNum>
  <w:abstractNum w:abstractNumId="2">
    <w:nsid w:val="FFFFFF7E"/>
    <w:multiLevelType w:val="singleLevel"/>
    <w:tmpl w:val="76E4AB5C"/>
    <w:lvl w:ilvl="0">
      <w:start w:val="1"/>
      <w:numFmt w:val="decimal"/>
      <w:lvlText w:val="%1."/>
      <w:lvlJc w:val="left"/>
      <w:pPr>
        <w:tabs>
          <w:tab w:val="num" w:pos="1080"/>
        </w:tabs>
        <w:ind w:left="1080" w:hanging="360"/>
      </w:pPr>
    </w:lvl>
  </w:abstractNum>
  <w:abstractNum w:abstractNumId="3">
    <w:nsid w:val="FFFFFF7F"/>
    <w:multiLevelType w:val="singleLevel"/>
    <w:tmpl w:val="99F84012"/>
    <w:lvl w:ilvl="0">
      <w:start w:val="1"/>
      <w:numFmt w:val="decimal"/>
      <w:lvlText w:val="%1."/>
      <w:lvlJc w:val="left"/>
      <w:pPr>
        <w:tabs>
          <w:tab w:val="num" w:pos="720"/>
        </w:tabs>
        <w:ind w:left="720" w:hanging="360"/>
      </w:pPr>
    </w:lvl>
  </w:abstractNum>
  <w:abstractNum w:abstractNumId="4">
    <w:nsid w:val="FFFFFF80"/>
    <w:multiLevelType w:val="singleLevel"/>
    <w:tmpl w:val="6C1A91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1AEA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36C4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3000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92FE5C"/>
    <w:lvl w:ilvl="0">
      <w:start w:val="1"/>
      <w:numFmt w:val="decimal"/>
      <w:lvlText w:val="%1."/>
      <w:lvlJc w:val="left"/>
      <w:pPr>
        <w:tabs>
          <w:tab w:val="num" w:pos="360"/>
        </w:tabs>
        <w:ind w:left="360" w:hanging="360"/>
      </w:pPr>
    </w:lvl>
  </w:abstractNum>
  <w:abstractNum w:abstractNumId="9">
    <w:nsid w:val="FFFFFF89"/>
    <w:multiLevelType w:val="singleLevel"/>
    <w:tmpl w:val="DD3CE0A8"/>
    <w:lvl w:ilvl="0">
      <w:start w:val="1"/>
      <w:numFmt w:val="bullet"/>
      <w:lvlText w:val=""/>
      <w:lvlJc w:val="left"/>
      <w:pPr>
        <w:tabs>
          <w:tab w:val="num" w:pos="360"/>
        </w:tabs>
        <w:ind w:left="360" w:hanging="360"/>
      </w:pPr>
      <w:rPr>
        <w:rFonts w:ascii="Symbol" w:hAnsi="Symbol" w:hint="default"/>
      </w:rPr>
    </w:lvl>
  </w:abstractNum>
  <w:abstractNum w:abstractNumId="10">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14401AC7"/>
    <w:multiLevelType w:val="hybridMultilevel"/>
    <w:tmpl w:val="778CA0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1AB8291E"/>
    <w:multiLevelType w:val="hybridMultilevel"/>
    <w:tmpl w:val="3084A9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13F17E9"/>
    <w:multiLevelType w:val="hybridMultilevel"/>
    <w:tmpl w:val="828EF1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2460828"/>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26F3551"/>
    <w:multiLevelType w:val="hybridMultilevel"/>
    <w:tmpl w:val="5DA03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2F12130"/>
    <w:multiLevelType w:val="hybridMultilevel"/>
    <w:tmpl w:val="B7362CE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4CE3B51"/>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6527417"/>
    <w:multiLevelType w:val="hybridMultilevel"/>
    <w:tmpl w:val="E938A29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48081968"/>
    <w:multiLevelType w:val="hybridMultilevel"/>
    <w:tmpl w:val="B456D6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3">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87D0430"/>
    <w:multiLevelType w:val="hybridMultilevel"/>
    <w:tmpl w:val="B5D2C2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8A01561"/>
    <w:multiLevelType w:val="hybridMultilevel"/>
    <w:tmpl w:val="ACA257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C135FC2"/>
    <w:multiLevelType w:val="hybridMultilevel"/>
    <w:tmpl w:val="BE1A5E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6C263BB0"/>
    <w:multiLevelType w:val="hybridMultilevel"/>
    <w:tmpl w:val="65C23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40">
    <w:nsid w:val="72394CCA"/>
    <w:multiLevelType w:val="hybridMultilevel"/>
    <w:tmpl w:val="51B87C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D393FAB"/>
    <w:multiLevelType w:val="hybridMultilevel"/>
    <w:tmpl w:val="9B2A2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9"/>
  </w:num>
  <w:num w:numId="4">
    <w:abstractNumId w:val="14"/>
  </w:num>
  <w:num w:numId="5">
    <w:abstractNumId w:val="19"/>
  </w:num>
  <w:num w:numId="6">
    <w:abstractNumId w:val="3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28"/>
  </w:num>
  <w:num w:numId="16">
    <w:abstractNumId w:val="27"/>
  </w:num>
  <w:num w:numId="17">
    <w:abstractNumId w:val="29"/>
  </w:num>
  <w:num w:numId="18">
    <w:abstractNumId w:val="32"/>
  </w:num>
  <w:num w:numId="19">
    <w:abstractNumId w:val="13"/>
  </w:num>
  <w:num w:numId="20">
    <w:abstractNumId w:val="36"/>
  </w:num>
  <w:num w:numId="21">
    <w:abstractNumId w:val="18"/>
  </w:num>
  <w:num w:numId="22">
    <w:abstractNumId w:val="41"/>
  </w:num>
  <w:num w:numId="23">
    <w:abstractNumId w:val="10"/>
  </w:num>
  <w:num w:numId="24">
    <w:abstractNumId w:val="15"/>
  </w:num>
  <w:num w:numId="25">
    <w:abstractNumId w:val="12"/>
  </w:num>
  <w:num w:numId="26">
    <w:abstractNumId w:val="26"/>
  </w:num>
  <w:num w:numId="27">
    <w:abstractNumId w:val="23"/>
  </w:num>
  <w:num w:numId="28">
    <w:abstractNumId w:val="22"/>
  </w:num>
  <w:num w:numId="29">
    <w:abstractNumId w:val="21"/>
  </w:num>
  <w:num w:numId="30">
    <w:abstractNumId w:val="20"/>
  </w:num>
  <w:num w:numId="31">
    <w:abstractNumId w:val="25"/>
  </w:num>
  <w:num w:numId="32">
    <w:abstractNumId w:val="40"/>
  </w:num>
  <w:num w:numId="33">
    <w:abstractNumId w:val="35"/>
  </w:num>
  <w:num w:numId="34">
    <w:abstractNumId w:val="16"/>
  </w:num>
  <w:num w:numId="35">
    <w:abstractNumId w:val="42"/>
  </w:num>
  <w:num w:numId="36">
    <w:abstractNumId w:val="17"/>
  </w:num>
  <w:num w:numId="37">
    <w:abstractNumId w:val="37"/>
  </w:num>
  <w:num w:numId="38">
    <w:abstractNumId w:val="1"/>
  </w:num>
  <w:num w:numId="39">
    <w:abstractNumId w:val="0"/>
  </w:num>
  <w:num w:numId="40">
    <w:abstractNumId w:val="34"/>
  </w:num>
  <w:num w:numId="41">
    <w:abstractNumId w:val="31"/>
  </w:num>
  <w:num w:numId="42">
    <w:abstractNumId w:val="3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7"/>
    <w:rsid w:val="00000C21"/>
    <w:rsid w:val="000016C2"/>
    <w:rsid w:val="00001945"/>
    <w:rsid w:val="0000257C"/>
    <w:rsid w:val="00012C98"/>
    <w:rsid w:val="00012F0C"/>
    <w:rsid w:val="00013D63"/>
    <w:rsid w:val="00020881"/>
    <w:rsid w:val="00021F0A"/>
    <w:rsid w:val="0002643E"/>
    <w:rsid w:val="000306FC"/>
    <w:rsid w:val="00030CD6"/>
    <w:rsid w:val="000324F4"/>
    <w:rsid w:val="00036EC1"/>
    <w:rsid w:val="000373C7"/>
    <w:rsid w:val="000415C1"/>
    <w:rsid w:val="0004187B"/>
    <w:rsid w:val="000427D7"/>
    <w:rsid w:val="00043CCD"/>
    <w:rsid w:val="00047DF8"/>
    <w:rsid w:val="000607D2"/>
    <w:rsid w:val="00060DF0"/>
    <w:rsid w:val="00061EE9"/>
    <w:rsid w:val="00062AEE"/>
    <w:rsid w:val="00064A2D"/>
    <w:rsid w:val="0006654F"/>
    <w:rsid w:val="0007317E"/>
    <w:rsid w:val="00073CBF"/>
    <w:rsid w:val="00080317"/>
    <w:rsid w:val="000827C9"/>
    <w:rsid w:val="00084393"/>
    <w:rsid w:val="00084BBC"/>
    <w:rsid w:val="00093350"/>
    <w:rsid w:val="00095025"/>
    <w:rsid w:val="000A0F91"/>
    <w:rsid w:val="000A1544"/>
    <w:rsid w:val="000A188E"/>
    <w:rsid w:val="000A31BC"/>
    <w:rsid w:val="000A6239"/>
    <w:rsid w:val="000A7841"/>
    <w:rsid w:val="000B3258"/>
    <w:rsid w:val="000B3882"/>
    <w:rsid w:val="000B4987"/>
    <w:rsid w:val="000C4B77"/>
    <w:rsid w:val="000D0211"/>
    <w:rsid w:val="000D1239"/>
    <w:rsid w:val="000D446B"/>
    <w:rsid w:val="000F1B7E"/>
    <w:rsid w:val="000F3A9F"/>
    <w:rsid w:val="000F4357"/>
    <w:rsid w:val="000F4D00"/>
    <w:rsid w:val="0010588C"/>
    <w:rsid w:val="00115AF7"/>
    <w:rsid w:val="001175FF"/>
    <w:rsid w:val="0012075F"/>
    <w:rsid w:val="00120E9A"/>
    <w:rsid w:val="00121EF4"/>
    <w:rsid w:val="001249E8"/>
    <w:rsid w:val="00130BDA"/>
    <w:rsid w:val="00144E06"/>
    <w:rsid w:val="0014635C"/>
    <w:rsid w:val="0015117C"/>
    <w:rsid w:val="00153E9F"/>
    <w:rsid w:val="0016093B"/>
    <w:rsid w:val="00166BDA"/>
    <w:rsid w:val="00167574"/>
    <w:rsid w:val="00167C22"/>
    <w:rsid w:val="0017390A"/>
    <w:rsid w:val="00175B53"/>
    <w:rsid w:val="00177862"/>
    <w:rsid w:val="00180094"/>
    <w:rsid w:val="00182262"/>
    <w:rsid w:val="001842A9"/>
    <w:rsid w:val="001A1C03"/>
    <w:rsid w:val="001A2C9D"/>
    <w:rsid w:val="001A5EC2"/>
    <w:rsid w:val="001B0826"/>
    <w:rsid w:val="001B1500"/>
    <w:rsid w:val="001B157D"/>
    <w:rsid w:val="001B5114"/>
    <w:rsid w:val="001B6D86"/>
    <w:rsid w:val="001C2054"/>
    <w:rsid w:val="001C69C2"/>
    <w:rsid w:val="001D4EBF"/>
    <w:rsid w:val="001E376C"/>
    <w:rsid w:val="001E7061"/>
    <w:rsid w:val="001F19BF"/>
    <w:rsid w:val="001F547B"/>
    <w:rsid w:val="00203337"/>
    <w:rsid w:val="00207745"/>
    <w:rsid w:val="00213411"/>
    <w:rsid w:val="00222C6F"/>
    <w:rsid w:val="00224C28"/>
    <w:rsid w:val="00230E11"/>
    <w:rsid w:val="002434AC"/>
    <w:rsid w:val="00245811"/>
    <w:rsid w:val="00246C3B"/>
    <w:rsid w:val="00251124"/>
    <w:rsid w:val="0025235E"/>
    <w:rsid w:val="00252427"/>
    <w:rsid w:val="0025648E"/>
    <w:rsid w:val="002712B7"/>
    <w:rsid w:val="00274996"/>
    <w:rsid w:val="002765E7"/>
    <w:rsid w:val="00277A2D"/>
    <w:rsid w:val="002804A2"/>
    <w:rsid w:val="00282DE7"/>
    <w:rsid w:val="00283A42"/>
    <w:rsid w:val="00285C3D"/>
    <w:rsid w:val="00286159"/>
    <w:rsid w:val="0029478F"/>
    <w:rsid w:val="00295460"/>
    <w:rsid w:val="00295BCE"/>
    <w:rsid w:val="00295CC8"/>
    <w:rsid w:val="002A340A"/>
    <w:rsid w:val="002A4414"/>
    <w:rsid w:val="002A4671"/>
    <w:rsid w:val="002A75D0"/>
    <w:rsid w:val="002B395A"/>
    <w:rsid w:val="002B460B"/>
    <w:rsid w:val="002B63C4"/>
    <w:rsid w:val="002C0A59"/>
    <w:rsid w:val="002C4CAB"/>
    <w:rsid w:val="002D2B35"/>
    <w:rsid w:val="002D318F"/>
    <w:rsid w:val="002D33C0"/>
    <w:rsid w:val="002D45DE"/>
    <w:rsid w:val="002D4A61"/>
    <w:rsid w:val="002D4DD2"/>
    <w:rsid w:val="002D4E47"/>
    <w:rsid w:val="002D6AC1"/>
    <w:rsid w:val="002D756F"/>
    <w:rsid w:val="002E269B"/>
    <w:rsid w:val="002E6338"/>
    <w:rsid w:val="002F1BB2"/>
    <w:rsid w:val="002F24E6"/>
    <w:rsid w:val="002F7485"/>
    <w:rsid w:val="00300B65"/>
    <w:rsid w:val="00301169"/>
    <w:rsid w:val="0030283E"/>
    <w:rsid w:val="00303291"/>
    <w:rsid w:val="00306181"/>
    <w:rsid w:val="003131A4"/>
    <w:rsid w:val="003136C4"/>
    <w:rsid w:val="0031558D"/>
    <w:rsid w:val="0031575C"/>
    <w:rsid w:val="00316F14"/>
    <w:rsid w:val="0032098F"/>
    <w:rsid w:val="0032238D"/>
    <w:rsid w:val="003237BA"/>
    <w:rsid w:val="00324BD3"/>
    <w:rsid w:val="00332743"/>
    <w:rsid w:val="0033620E"/>
    <w:rsid w:val="00347C24"/>
    <w:rsid w:val="00353E1B"/>
    <w:rsid w:val="00353FB7"/>
    <w:rsid w:val="003546B3"/>
    <w:rsid w:val="00355577"/>
    <w:rsid w:val="00357613"/>
    <w:rsid w:val="0036196F"/>
    <w:rsid w:val="00363F20"/>
    <w:rsid w:val="00365A81"/>
    <w:rsid w:val="0037114A"/>
    <w:rsid w:val="00371421"/>
    <w:rsid w:val="00371ABA"/>
    <w:rsid w:val="00382620"/>
    <w:rsid w:val="0039135F"/>
    <w:rsid w:val="0039519A"/>
    <w:rsid w:val="00397187"/>
    <w:rsid w:val="003977F8"/>
    <w:rsid w:val="003A067C"/>
    <w:rsid w:val="003A1850"/>
    <w:rsid w:val="003A2682"/>
    <w:rsid w:val="003B0748"/>
    <w:rsid w:val="003B182E"/>
    <w:rsid w:val="003B2206"/>
    <w:rsid w:val="003C0369"/>
    <w:rsid w:val="003C263B"/>
    <w:rsid w:val="003D3CFE"/>
    <w:rsid w:val="003D7430"/>
    <w:rsid w:val="003D7F18"/>
    <w:rsid w:val="003E1739"/>
    <w:rsid w:val="003E4F5B"/>
    <w:rsid w:val="003E66C0"/>
    <w:rsid w:val="003E7620"/>
    <w:rsid w:val="003F3477"/>
    <w:rsid w:val="003F5FD4"/>
    <w:rsid w:val="003F653A"/>
    <w:rsid w:val="003F7FDE"/>
    <w:rsid w:val="00400517"/>
    <w:rsid w:val="00405B2F"/>
    <w:rsid w:val="00412682"/>
    <w:rsid w:val="00414C96"/>
    <w:rsid w:val="004217B2"/>
    <w:rsid w:val="004312EF"/>
    <w:rsid w:val="00431597"/>
    <w:rsid w:val="00434A54"/>
    <w:rsid w:val="00436A72"/>
    <w:rsid w:val="00436D80"/>
    <w:rsid w:val="00437C97"/>
    <w:rsid w:val="0044415A"/>
    <w:rsid w:val="00444BD1"/>
    <w:rsid w:val="004451BD"/>
    <w:rsid w:val="004517BB"/>
    <w:rsid w:val="0045505C"/>
    <w:rsid w:val="00457DA1"/>
    <w:rsid w:val="004608D8"/>
    <w:rsid w:val="004610D3"/>
    <w:rsid w:val="00463EDD"/>
    <w:rsid w:val="00464766"/>
    <w:rsid w:val="00467D07"/>
    <w:rsid w:val="0047000B"/>
    <w:rsid w:val="00470082"/>
    <w:rsid w:val="00470945"/>
    <w:rsid w:val="00477293"/>
    <w:rsid w:val="004776F7"/>
    <w:rsid w:val="0048051E"/>
    <w:rsid w:val="00485735"/>
    <w:rsid w:val="00486434"/>
    <w:rsid w:val="00486ED3"/>
    <w:rsid w:val="004901EC"/>
    <w:rsid w:val="00493034"/>
    <w:rsid w:val="00493B3D"/>
    <w:rsid w:val="0049449A"/>
    <w:rsid w:val="00495EE0"/>
    <w:rsid w:val="0049633E"/>
    <w:rsid w:val="00496D6A"/>
    <w:rsid w:val="004977A8"/>
    <w:rsid w:val="004A54B8"/>
    <w:rsid w:val="004A70F8"/>
    <w:rsid w:val="004A71CC"/>
    <w:rsid w:val="004B2413"/>
    <w:rsid w:val="004B2B16"/>
    <w:rsid w:val="004B68FA"/>
    <w:rsid w:val="004C1953"/>
    <w:rsid w:val="004C3701"/>
    <w:rsid w:val="004D0398"/>
    <w:rsid w:val="004D06AF"/>
    <w:rsid w:val="004D283E"/>
    <w:rsid w:val="004D302D"/>
    <w:rsid w:val="004D3225"/>
    <w:rsid w:val="004D32F6"/>
    <w:rsid w:val="004D3C13"/>
    <w:rsid w:val="004D63B4"/>
    <w:rsid w:val="004E0DF9"/>
    <w:rsid w:val="004E4181"/>
    <w:rsid w:val="004E5D43"/>
    <w:rsid w:val="004E61CF"/>
    <w:rsid w:val="004E7851"/>
    <w:rsid w:val="004F3A9B"/>
    <w:rsid w:val="004F52E0"/>
    <w:rsid w:val="0050190B"/>
    <w:rsid w:val="005027FB"/>
    <w:rsid w:val="005028AA"/>
    <w:rsid w:val="00504987"/>
    <w:rsid w:val="00505418"/>
    <w:rsid w:val="005056E8"/>
    <w:rsid w:val="00506AE7"/>
    <w:rsid w:val="005073A5"/>
    <w:rsid w:val="00510499"/>
    <w:rsid w:val="00510E24"/>
    <w:rsid w:val="00513DE0"/>
    <w:rsid w:val="00514BC8"/>
    <w:rsid w:val="005161E1"/>
    <w:rsid w:val="00517314"/>
    <w:rsid w:val="00520392"/>
    <w:rsid w:val="005216DF"/>
    <w:rsid w:val="00521B2B"/>
    <w:rsid w:val="0052274B"/>
    <w:rsid w:val="00524F71"/>
    <w:rsid w:val="00525931"/>
    <w:rsid w:val="0052620E"/>
    <w:rsid w:val="00534F9D"/>
    <w:rsid w:val="00535A6B"/>
    <w:rsid w:val="00536B61"/>
    <w:rsid w:val="00544AEA"/>
    <w:rsid w:val="00550FC5"/>
    <w:rsid w:val="005645D0"/>
    <w:rsid w:val="005646B0"/>
    <w:rsid w:val="00564914"/>
    <w:rsid w:val="005652AC"/>
    <w:rsid w:val="00565398"/>
    <w:rsid w:val="00565ACF"/>
    <w:rsid w:val="005660CE"/>
    <w:rsid w:val="00566AA9"/>
    <w:rsid w:val="00567800"/>
    <w:rsid w:val="0057242C"/>
    <w:rsid w:val="00575E61"/>
    <w:rsid w:val="005771AB"/>
    <w:rsid w:val="005801BC"/>
    <w:rsid w:val="00580713"/>
    <w:rsid w:val="0058129A"/>
    <w:rsid w:val="00582F6F"/>
    <w:rsid w:val="005838A7"/>
    <w:rsid w:val="00590F01"/>
    <w:rsid w:val="00592506"/>
    <w:rsid w:val="0059331C"/>
    <w:rsid w:val="00595F10"/>
    <w:rsid w:val="005A1347"/>
    <w:rsid w:val="005A4754"/>
    <w:rsid w:val="005A4C5A"/>
    <w:rsid w:val="005A733B"/>
    <w:rsid w:val="005B0E27"/>
    <w:rsid w:val="005B14C6"/>
    <w:rsid w:val="005B2903"/>
    <w:rsid w:val="005B4D5B"/>
    <w:rsid w:val="005B4E31"/>
    <w:rsid w:val="005B6A16"/>
    <w:rsid w:val="005C1F33"/>
    <w:rsid w:val="005C3632"/>
    <w:rsid w:val="005C5FD2"/>
    <w:rsid w:val="005C6566"/>
    <w:rsid w:val="005D226A"/>
    <w:rsid w:val="005D357C"/>
    <w:rsid w:val="005D373E"/>
    <w:rsid w:val="005D45BD"/>
    <w:rsid w:val="005D6C41"/>
    <w:rsid w:val="005E0828"/>
    <w:rsid w:val="005E1C2D"/>
    <w:rsid w:val="005E4B02"/>
    <w:rsid w:val="005E5846"/>
    <w:rsid w:val="005E71EF"/>
    <w:rsid w:val="005F0417"/>
    <w:rsid w:val="005F04FF"/>
    <w:rsid w:val="005F1534"/>
    <w:rsid w:val="005F166A"/>
    <w:rsid w:val="005F27FE"/>
    <w:rsid w:val="005F3473"/>
    <w:rsid w:val="005F4C34"/>
    <w:rsid w:val="005F5C8D"/>
    <w:rsid w:val="005F7A3C"/>
    <w:rsid w:val="00603E89"/>
    <w:rsid w:val="006041A0"/>
    <w:rsid w:val="0060669B"/>
    <w:rsid w:val="00606FB6"/>
    <w:rsid w:val="00610865"/>
    <w:rsid w:val="006153A7"/>
    <w:rsid w:val="00620787"/>
    <w:rsid w:val="00620B47"/>
    <w:rsid w:val="00624073"/>
    <w:rsid w:val="006240C9"/>
    <w:rsid w:val="0062413D"/>
    <w:rsid w:val="00626254"/>
    <w:rsid w:val="00627C88"/>
    <w:rsid w:val="00630C66"/>
    <w:rsid w:val="00631DF7"/>
    <w:rsid w:val="00634245"/>
    <w:rsid w:val="00634899"/>
    <w:rsid w:val="00634D75"/>
    <w:rsid w:val="00641252"/>
    <w:rsid w:val="00641E6B"/>
    <w:rsid w:val="00645E24"/>
    <w:rsid w:val="00646F90"/>
    <w:rsid w:val="00647DC1"/>
    <w:rsid w:val="00655EB2"/>
    <w:rsid w:val="006560DB"/>
    <w:rsid w:val="00663DF9"/>
    <w:rsid w:val="0066707F"/>
    <w:rsid w:val="00675B1D"/>
    <w:rsid w:val="006801F6"/>
    <w:rsid w:val="00691128"/>
    <w:rsid w:val="0069276D"/>
    <w:rsid w:val="00693A0E"/>
    <w:rsid w:val="00695B12"/>
    <w:rsid w:val="00696C58"/>
    <w:rsid w:val="00696C93"/>
    <w:rsid w:val="006977B7"/>
    <w:rsid w:val="006A29C2"/>
    <w:rsid w:val="006A7A1C"/>
    <w:rsid w:val="006B0920"/>
    <w:rsid w:val="006B1333"/>
    <w:rsid w:val="006B2321"/>
    <w:rsid w:val="006B4573"/>
    <w:rsid w:val="006B5130"/>
    <w:rsid w:val="006B7CBD"/>
    <w:rsid w:val="006C2011"/>
    <w:rsid w:val="006C714F"/>
    <w:rsid w:val="006D1513"/>
    <w:rsid w:val="006E0657"/>
    <w:rsid w:val="006E6BD2"/>
    <w:rsid w:val="006F0A78"/>
    <w:rsid w:val="006F1B32"/>
    <w:rsid w:val="006F1F4F"/>
    <w:rsid w:val="00701C59"/>
    <w:rsid w:val="007049AE"/>
    <w:rsid w:val="007055C6"/>
    <w:rsid w:val="00710E80"/>
    <w:rsid w:val="00711832"/>
    <w:rsid w:val="00712AC1"/>
    <w:rsid w:val="0071455E"/>
    <w:rsid w:val="0072030A"/>
    <w:rsid w:val="007207E3"/>
    <w:rsid w:val="00720900"/>
    <w:rsid w:val="0072462D"/>
    <w:rsid w:val="007358FF"/>
    <w:rsid w:val="00740795"/>
    <w:rsid w:val="00742263"/>
    <w:rsid w:val="007423B0"/>
    <w:rsid w:val="00742BBC"/>
    <w:rsid w:val="0074586B"/>
    <w:rsid w:val="00746BEB"/>
    <w:rsid w:val="00747411"/>
    <w:rsid w:val="00754539"/>
    <w:rsid w:val="00757C3D"/>
    <w:rsid w:val="007612FB"/>
    <w:rsid w:val="00761A50"/>
    <w:rsid w:val="0077409F"/>
    <w:rsid w:val="007750BB"/>
    <w:rsid w:val="00775C67"/>
    <w:rsid w:val="0077635E"/>
    <w:rsid w:val="0077698F"/>
    <w:rsid w:val="00787021"/>
    <w:rsid w:val="00796AD7"/>
    <w:rsid w:val="007A2091"/>
    <w:rsid w:val="007A324B"/>
    <w:rsid w:val="007B4CAB"/>
    <w:rsid w:val="007B797F"/>
    <w:rsid w:val="007C1628"/>
    <w:rsid w:val="007C1CB6"/>
    <w:rsid w:val="007C2E95"/>
    <w:rsid w:val="007C4EFC"/>
    <w:rsid w:val="007D3013"/>
    <w:rsid w:val="007D3031"/>
    <w:rsid w:val="007D48E0"/>
    <w:rsid w:val="007E2B94"/>
    <w:rsid w:val="007F7B8B"/>
    <w:rsid w:val="00804131"/>
    <w:rsid w:val="0080436F"/>
    <w:rsid w:val="00806F14"/>
    <w:rsid w:val="00806F3D"/>
    <w:rsid w:val="00810A0A"/>
    <w:rsid w:val="00812885"/>
    <w:rsid w:val="0081464E"/>
    <w:rsid w:val="00814E2F"/>
    <w:rsid w:val="00820C38"/>
    <w:rsid w:val="008259E7"/>
    <w:rsid w:val="00833986"/>
    <w:rsid w:val="008408C2"/>
    <w:rsid w:val="008431F5"/>
    <w:rsid w:val="00853CF4"/>
    <w:rsid w:val="0085640D"/>
    <w:rsid w:val="00860401"/>
    <w:rsid w:val="00866D6C"/>
    <w:rsid w:val="00867E2E"/>
    <w:rsid w:val="0087395F"/>
    <w:rsid w:val="0088263C"/>
    <w:rsid w:val="00896A93"/>
    <w:rsid w:val="008A03F3"/>
    <w:rsid w:val="008A51A9"/>
    <w:rsid w:val="008A5B63"/>
    <w:rsid w:val="008C046D"/>
    <w:rsid w:val="008C3B94"/>
    <w:rsid w:val="008C58D7"/>
    <w:rsid w:val="008D30B3"/>
    <w:rsid w:val="008D456B"/>
    <w:rsid w:val="008D480F"/>
    <w:rsid w:val="008D4F51"/>
    <w:rsid w:val="008D6C9C"/>
    <w:rsid w:val="008E6DC2"/>
    <w:rsid w:val="008F1A95"/>
    <w:rsid w:val="008F4D5A"/>
    <w:rsid w:val="009038BE"/>
    <w:rsid w:val="00903C28"/>
    <w:rsid w:val="009040D9"/>
    <w:rsid w:val="009048CA"/>
    <w:rsid w:val="00904F86"/>
    <w:rsid w:val="00912DB0"/>
    <w:rsid w:val="0091574D"/>
    <w:rsid w:val="00923223"/>
    <w:rsid w:val="00925AC1"/>
    <w:rsid w:val="009275F1"/>
    <w:rsid w:val="00936074"/>
    <w:rsid w:val="00937191"/>
    <w:rsid w:val="00944073"/>
    <w:rsid w:val="00951818"/>
    <w:rsid w:val="00956472"/>
    <w:rsid w:val="00966A1B"/>
    <w:rsid w:val="00973EA8"/>
    <w:rsid w:val="00977719"/>
    <w:rsid w:val="009832E0"/>
    <w:rsid w:val="00984C58"/>
    <w:rsid w:val="00984ED5"/>
    <w:rsid w:val="00991A47"/>
    <w:rsid w:val="00991FD0"/>
    <w:rsid w:val="00992E96"/>
    <w:rsid w:val="00993B71"/>
    <w:rsid w:val="009A162A"/>
    <w:rsid w:val="009B1A46"/>
    <w:rsid w:val="009B29EC"/>
    <w:rsid w:val="009C0395"/>
    <w:rsid w:val="009C2737"/>
    <w:rsid w:val="009C5D23"/>
    <w:rsid w:val="009D05DD"/>
    <w:rsid w:val="009D1A05"/>
    <w:rsid w:val="009D5456"/>
    <w:rsid w:val="009D7F71"/>
    <w:rsid w:val="009F00FA"/>
    <w:rsid w:val="009F07DA"/>
    <w:rsid w:val="009F2853"/>
    <w:rsid w:val="009F2964"/>
    <w:rsid w:val="009F35FD"/>
    <w:rsid w:val="00A13B99"/>
    <w:rsid w:val="00A15DAF"/>
    <w:rsid w:val="00A15E60"/>
    <w:rsid w:val="00A22A5D"/>
    <w:rsid w:val="00A27850"/>
    <w:rsid w:val="00A31D8E"/>
    <w:rsid w:val="00A36764"/>
    <w:rsid w:val="00A40934"/>
    <w:rsid w:val="00A44D32"/>
    <w:rsid w:val="00A55C29"/>
    <w:rsid w:val="00A60F32"/>
    <w:rsid w:val="00A64295"/>
    <w:rsid w:val="00A64AD2"/>
    <w:rsid w:val="00A6769E"/>
    <w:rsid w:val="00A77C36"/>
    <w:rsid w:val="00A81C49"/>
    <w:rsid w:val="00A81C84"/>
    <w:rsid w:val="00A8760A"/>
    <w:rsid w:val="00A9019D"/>
    <w:rsid w:val="00A9216D"/>
    <w:rsid w:val="00A948BD"/>
    <w:rsid w:val="00A95549"/>
    <w:rsid w:val="00A96DB1"/>
    <w:rsid w:val="00AA040E"/>
    <w:rsid w:val="00AA399B"/>
    <w:rsid w:val="00AA5DCF"/>
    <w:rsid w:val="00AB0649"/>
    <w:rsid w:val="00AB0E59"/>
    <w:rsid w:val="00AB2921"/>
    <w:rsid w:val="00AB3C40"/>
    <w:rsid w:val="00AC19A6"/>
    <w:rsid w:val="00AC4DAA"/>
    <w:rsid w:val="00AC5380"/>
    <w:rsid w:val="00AC5B92"/>
    <w:rsid w:val="00AD3F61"/>
    <w:rsid w:val="00AD56A2"/>
    <w:rsid w:val="00AE086F"/>
    <w:rsid w:val="00AE27E6"/>
    <w:rsid w:val="00AF0F08"/>
    <w:rsid w:val="00AF4A2F"/>
    <w:rsid w:val="00AF6C26"/>
    <w:rsid w:val="00AF6EF8"/>
    <w:rsid w:val="00B0229D"/>
    <w:rsid w:val="00B052DA"/>
    <w:rsid w:val="00B2471F"/>
    <w:rsid w:val="00B3028B"/>
    <w:rsid w:val="00B30D7F"/>
    <w:rsid w:val="00B3451A"/>
    <w:rsid w:val="00B362AD"/>
    <w:rsid w:val="00B37488"/>
    <w:rsid w:val="00B438EA"/>
    <w:rsid w:val="00B44DF0"/>
    <w:rsid w:val="00B533CA"/>
    <w:rsid w:val="00B5599C"/>
    <w:rsid w:val="00B619C1"/>
    <w:rsid w:val="00B64556"/>
    <w:rsid w:val="00B667DE"/>
    <w:rsid w:val="00B70844"/>
    <w:rsid w:val="00B7214D"/>
    <w:rsid w:val="00B72CDB"/>
    <w:rsid w:val="00B74499"/>
    <w:rsid w:val="00B7714B"/>
    <w:rsid w:val="00B83BDD"/>
    <w:rsid w:val="00B852D2"/>
    <w:rsid w:val="00B86F58"/>
    <w:rsid w:val="00B92308"/>
    <w:rsid w:val="00B9409D"/>
    <w:rsid w:val="00BA466A"/>
    <w:rsid w:val="00BA6EC5"/>
    <w:rsid w:val="00BB212E"/>
    <w:rsid w:val="00BB7A61"/>
    <w:rsid w:val="00BC1404"/>
    <w:rsid w:val="00BC329C"/>
    <w:rsid w:val="00BC3E18"/>
    <w:rsid w:val="00BD28AF"/>
    <w:rsid w:val="00BD5B63"/>
    <w:rsid w:val="00BD7660"/>
    <w:rsid w:val="00BD7BD5"/>
    <w:rsid w:val="00BE2602"/>
    <w:rsid w:val="00BE7914"/>
    <w:rsid w:val="00C02C16"/>
    <w:rsid w:val="00C04FFB"/>
    <w:rsid w:val="00C06907"/>
    <w:rsid w:val="00C13719"/>
    <w:rsid w:val="00C14528"/>
    <w:rsid w:val="00C2371A"/>
    <w:rsid w:val="00C23EAA"/>
    <w:rsid w:val="00C257C4"/>
    <w:rsid w:val="00C27A19"/>
    <w:rsid w:val="00C3373A"/>
    <w:rsid w:val="00C33F4E"/>
    <w:rsid w:val="00C362CF"/>
    <w:rsid w:val="00C36FC8"/>
    <w:rsid w:val="00C43952"/>
    <w:rsid w:val="00C46B73"/>
    <w:rsid w:val="00C5005A"/>
    <w:rsid w:val="00C6431A"/>
    <w:rsid w:val="00C66999"/>
    <w:rsid w:val="00C743FA"/>
    <w:rsid w:val="00C828CC"/>
    <w:rsid w:val="00C83EEC"/>
    <w:rsid w:val="00C84CD8"/>
    <w:rsid w:val="00C87143"/>
    <w:rsid w:val="00C90A65"/>
    <w:rsid w:val="00C971FE"/>
    <w:rsid w:val="00CA04AA"/>
    <w:rsid w:val="00CB29DA"/>
    <w:rsid w:val="00CC22AB"/>
    <w:rsid w:val="00CC4AC6"/>
    <w:rsid w:val="00CC75D9"/>
    <w:rsid w:val="00CC7647"/>
    <w:rsid w:val="00CD117A"/>
    <w:rsid w:val="00CF22D1"/>
    <w:rsid w:val="00D009EF"/>
    <w:rsid w:val="00D04D2E"/>
    <w:rsid w:val="00D058D1"/>
    <w:rsid w:val="00D13958"/>
    <w:rsid w:val="00D1611D"/>
    <w:rsid w:val="00D16AC3"/>
    <w:rsid w:val="00D23463"/>
    <w:rsid w:val="00D23ABF"/>
    <w:rsid w:val="00D27F55"/>
    <w:rsid w:val="00D32FD4"/>
    <w:rsid w:val="00D378A0"/>
    <w:rsid w:val="00D4346D"/>
    <w:rsid w:val="00D46087"/>
    <w:rsid w:val="00D4701C"/>
    <w:rsid w:val="00D50271"/>
    <w:rsid w:val="00D557FA"/>
    <w:rsid w:val="00D63C5B"/>
    <w:rsid w:val="00D6690C"/>
    <w:rsid w:val="00D66DEB"/>
    <w:rsid w:val="00D805DF"/>
    <w:rsid w:val="00D81A64"/>
    <w:rsid w:val="00D82629"/>
    <w:rsid w:val="00D96181"/>
    <w:rsid w:val="00D965B6"/>
    <w:rsid w:val="00D968C9"/>
    <w:rsid w:val="00D97DEF"/>
    <w:rsid w:val="00DA0650"/>
    <w:rsid w:val="00DA2E8E"/>
    <w:rsid w:val="00DA41C8"/>
    <w:rsid w:val="00DA7EBC"/>
    <w:rsid w:val="00DC09DE"/>
    <w:rsid w:val="00DC1207"/>
    <w:rsid w:val="00DC3179"/>
    <w:rsid w:val="00DD3C0D"/>
    <w:rsid w:val="00DD3C2C"/>
    <w:rsid w:val="00DD428E"/>
    <w:rsid w:val="00DD6D8A"/>
    <w:rsid w:val="00DD7657"/>
    <w:rsid w:val="00DE40A6"/>
    <w:rsid w:val="00DE583F"/>
    <w:rsid w:val="00DF0D70"/>
    <w:rsid w:val="00DF4B1F"/>
    <w:rsid w:val="00DF763C"/>
    <w:rsid w:val="00DF7EF9"/>
    <w:rsid w:val="00E0093C"/>
    <w:rsid w:val="00E01B78"/>
    <w:rsid w:val="00E0470E"/>
    <w:rsid w:val="00E05B2C"/>
    <w:rsid w:val="00E1100F"/>
    <w:rsid w:val="00E11521"/>
    <w:rsid w:val="00E13468"/>
    <w:rsid w:val="00E14B6F"/>
    <w:rsid w:val="00E22760"/>
    <w:rsid w:val="00E24F07"/>
    <w:rsid w:val="00E26663"/>
    <w:rsid w:val="00E26781"/>
    <w:rsid w:val="00E31CBD"/>
    <w:rsid w:val="00E3791C"/>
    <w:rsid w:val="00E402CC"/>
    <w:rsid w:val="00E42603"/>
    <w:rsid w:val="00E457FE"/>
    <w:rsid w:val="00E47042"/>
    <w:rsid w:val="00E511DF"/>
    <w:rsid w:val="00E514DA"/>
    <w:rsid w:val="00E55346"/>
    <w:rsid w:val="00E61247"/>
    <w:rsid w:val="00E61B01"/>
    <w:rsid w:val="00E6552B"/>
    <w:rsid w:val="00E6586D"/>
    <w:rsid w:val="00E66A04"/>
    <w:rsid w:val="00E74594"/>
    <w:rsid w:val="00E77777"/>
    <w:rsid w:val="00E85B4A"/>
    <w:rsid w:val="00E90472"/>
    <w:rsid w:val="00E93741"/>
    <w:rsid w:val="00E97250"/>
    <w:rsid w:val="00EA01E4"/>
    <w:rsid w:val="00EA0844"/>
    <w:rsid w:val="00EA0DEF"/>
    <w:rsid w:val="00EA37EF"/>
    <w:rsid w:val="00EA49CF"/>
    <w:rsid w:val="00EB2B6A"/>
    <w:rsid w:val="00EB3F40"/>
    <w:rsid w:val="00EB7CA4"/>
    <w:rsid w:val="00EC7A57"/>
    <w:rsid w:val="00ED090C"/>
    <w:rsid w:val="00ED13D2"/>
    <w:rsid w:val="00ED454E"/>
    <w:rsid w:val="00ED52C7"/>
    <w:rsid w:val="00ED5384"/>
    <w:rsid w:val="00ED5A32"/>
    <w:rsid w:val="00EE39B2"/>
    <w:rsid w:val="00EE59B0"/>
    <w:rsid w:val="00EF0986"/>
    <w:rsid w:val="00EF17BD"/>
    <w:rsid w:val="00EF553A"/>
    <w:rsid w:val="00F00C10"/>
    <w:rsid w:val="00F01BB1"/>
    <w:rsid w:val="00F05092"/>
    <w:rsid w:val="00F0538B"/>
    <w:rsid w:val="00F06F00"/>
    <w:rsid w:val="00F17357"/>
    <w:rsid w:val="00F20BE0"/>
    <w:rsid w:val="00F218F4"/>
    <w:rsid w:val="00F223D2"/>
    <w:rsid w:val="00F22F26"/>
    <w:rsid w:val="00F30ECE"/>
    <w:rsid w:val="00F337A8"/>
    <w:rsid w:val="00F37775"/>
    <w:rsid w:val="00F37EAD"/>
    <w:rsid w:val="00F4013C"/>
    <w:rsid w:val="00F42A92"/>
    <w:rsid w:val="00F42B38"/>
    <w:rsid w:val="00F43FF8"/>
    <w:rsid w:val="00F441C6"/>
    <w:rsid w:val="00F44CCC"/>
    <w:rsid w:val="00F45260"/>
    <w:rsid w:val="00F45D00"/>
    <w:rsid w:val="00F521D0"/>
    <w:rsid w:val="00F52CDF"/>
    <w:rsid w:val="00F54477"/>
    <w:rsid w:val="00F63CBA"/>
    <w:rsid w:val="00F63ECC"/>
    <w:rsid w:val="00F658D3"/>
    <w:rsid w:val="00F66B10"/>
    <w:rsid w:val="00F66BEB"/>
    <w:rsid w:val="00F8332E"/>
    <w:rsid w:val="00F83FF5"/>
    <w:rsid w:val="00F92551"/>
    <w:rsid w:val="00F92B07"/>
    <w:rsid w:val="00F9516D"/>
    <w:rsid w:val="00FA303A"/>
    <w:rsid w:val="00FA34A0"/>
    <w:rsid w:val="00FB4A0C"/>
    <w:rsid w:val="00FB52B6"/>
    <w:rsid w:val="00FB5730"/>
    <w:rsid w:val="00FB7C6B"/>
    <w:rsid w:val="00FC1A18"/>
    <w:rsid w:val="00FC1BD1"/>
    <w:rsid w:val="00FC3D9B"/>
    <w:rsid w:val="00FD2D15"/>
    <w:rsid w:val="00FD46E7"/>
    <w:rsid w:val="00FD506F"/>
    <w:rsid w:val="00FD7928"/>
    <w:rsid w:val="00FE0CFD"/>
    <w:rsid w:val="00FE4031"/>
    <w:rsid w:val="00FE5376"/>
    <w:rsid w:val="00FF1B8A"/>
    <w:rsid w:val="00FF5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C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0669B"/>
    <w:pPr>
      <w:keepNext/>
      <w:spacing w:after="24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4E61CF"/>
    <w:pPr>
      <w:keepNext/>
      <w:keepLines/>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A27850"/>
    <w:pPr>
      <w:keepNext/>
      <w:keepLines/>
      <w:spacing w:after="240"/>
      <w:ind w:left="2160" w:hanging="720"/>
      <w:outlineLvl w:val="2"/>
    </w:pPr>
    <w:rPr>
      <w:rFonts w:ascii="Times New Roman Bold" w:hAnsi="Times New Roman Bold" w:eastAsiaTheme="majorEastAsia" w:cstheme="majorBidi"/>
      <w:b/>
      <w:bCs/>
      <w:szCs w:val="24"/>
    </w:rPr>
  </w:style>
  <w:style w:type="paragraph" w:styleId="Heading4">
    <w:name w:val="heading 4"/>
    <w:basedOn w:val="Normal"/>
    <w:next w:val="Normal"/>
    <w:link w:val="Heading4Char"/>
    <w:uiPriority w:val="9"/>
    <w:unhideWhenUsed/>
    <w:qFormat/>
    <w:rsid w:val="0060669B"/>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69B"/>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4E61CF"/>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4776F7"/>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4776F7"/>
    <w:rPr>
      <w:sz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semiHidden/>
    <w:rsid w:val="004776F7"/>
    <w:rPr>
      <w:rFonts w:ascii="Times New Roman" w:eastAsia="Times New Roman" w:hAnsi="Times New Roman" w:cs="Times New Roman"/>
      <w:sz w:val="20"/>
      <w:szCs w:val="20"/>
    </w:rPr>
  </w:style>
  <w:style w:type="character" w:styleId="FootnoteReference">
    <w:name w:val="footnote reference"/>
    <w:aliases w:val="o"/>
    <w:rsid w:val="004776F7"/>
    <w:rPr>
      <w:vertAlign w:val="superscript"/>
    </w:rPr>
  </w:style>
  <w:style w:type="paragraph" w:styleId="HTMLPreformatted">
    <w:name w:val="HTML Preformatted"/>
    <w:aliases w:val=" Char,Char"/>
    <w:basedOn w:val="Normal"/>
    <w:link w:val="HTMLPreformattedChar"/>
    <w:rsid w:val="0047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4776F7"/>
    <w:rPr>
      <w:rFonts w:ascii="Courier New" w:eastAsia="Courier New" w:hAnsi="Courier New" w:cs="Courier New"/>
      <w:sz w:val="20"/>
      <w:szCs w:val="20"/>
    </w:rPr>
  </w:style>
  <w:style w:type="character" w:styleId="Hyperlink">
    <w:name w:val="Hyperlink"/>
    <w:uiPriority w:val="99"/>
    <w:rsid w:val="004776F7"/>
    <w:rPr>
      <w:color w:val="0000FF"/>
      <w:u w:val="single"/>
    </w:rPr>
  </w:style>
  <w:style w:type="paragraph" w:styleId="Footer">
    <w:name w:val="footer"/>
    <w:basedOn w:val="Normal"/>
    <w:link w:val="FooterChar"/>
    <w:uiPriority w:val="99"/>
    <w:rsid w:val="004776F7"/>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sid w:val="004776F7"/>
    <w:rPr>
      <w:rFonts w:ascii="Arial" w:eastAsia="Times New Roman" w:hAnsi="Arial" w:cs="Arial"/>
      <w:sz w:val="24"/>
      <w:szCs w:val="24"/>
    </w:rPr>
  </w:style>
  <w:style w:type="paragraph" w:styleId="EndnoteText">
    <w:name w:val="endnote text"/>
    <w:basedOn w:val="Normal"/>
    <w:link w:val="EndnoteTextChar"/>
    <w:semiHidden/>
    <w:rsid w:val="004776F7"/>
    <w:pPr>
      <w:widowControl w:val="0"/>
    </w:pPr>
    <w:rPr>
      <w:rFonts w:ascii="Courier New" w:hAnsi="Courier New"/>
      <w:snapToGrid w:val="0"/>
    </w:rPr>
  </w:style>
  <w:style w:type="character" w:customStyle="1" w:styleId="EndnoteTextChar">
    <w:name w:val="Endnote Text Char"/>
    <w:basedOn w:val="DefaultParagraphFont"/>
    <w:link w:val="EndnoteText"/>
    <w:semiHidden/>
    <w:rsid w:val="004776F7"/>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4776F7"/>
    <w:rPr>
      <w:sz w:val="16"/>
      <w:szCs w:val="16"/>
    </w:rPr>
  </w:style>
  <w:style w:type="paragraph" w:styleId="CommentText">
    <w:name w:val="annotation text"/>
    <w:basedOn w:val="Normal"/>
    <w:link w:val="CommentTextChar"/>
    <w:unhideWhenUsed/>
    <w:rsid w:val="004776F7"/>
    <w:rPr>
      <w:sz w:val="20"/>
    </w:rPr>
  </w:style>
  <w:style w:type="character" w:customStyle="1" w:styleId="CommentTextChar">
    <w:name w:val="Comment Text Char"/>
    <w:basedOn w:val="DefaultParagraphFont"/>
    <w:link w:val="CommentText"/>
    <w:rsid w:val="00477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6F7"/>
    <w:rPr>
      <w:b/>
      <w:bCs/>
    </w:rPr>
  </w:style>
  <w:style w:type="character" w:customStyle="1" w:styleId="CommentSubjectChar">
    <w:name w:val="Comment Subject Char"/>
    <w:basedOn w:val="CommentTextChar"/>
    <w:link w:val="CommentSubject"/>
    <w:uiPriority w:val="99"/>
    <w:semiHidden/>
    <w:rsid w:val="004776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6F7"/>
    <w:rPr>
      <w:rFonts w:ascii="Tahoma" w:hAnsi="Tahoma" w:cs="Tahoma"/>
      <w:sz w:val="16"/>
      <w:szCs w:val="16"/>
    </w:rPr>
  </w:style>
  <w:style w:type="character" w:customStyle="1" w:styleId="BalloonTextChar">
    <w:name w:val="Balloon Text Char"/>
    <w:basedOn w:val="DefaultParagraphFont"/>
    <w:link w:val="BalloonText"/>
    <w:uiPriority w:val="99"/>
    <w:semiHidden/>
    <w:rsid w:val="004776F7"/>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A27850"/>
    <w:rPr>
      <w:rFonts w:ascii="Times New Roman Bold" w:hAnsi="Times New Roman Bold" w:eastAsiaTheme="majorEastAsia" w:cstheme="majorBidi"/>
      <w:b/>
      <w:bCs/>
      <w:sz w:val="24"/>
      <w:szCs w:val="24"/>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A27850"/>
    <w:pPr>
      <w:tabs>
        <w:tab w:val="decimal" w:leader="dot" w:pos="9360"/>
      </w:tabs>
      <w:spacing w:after="240"/>
      <w:ind w:left="720" w:hanging="720"/>
    </w:pPr>
    <w:rPr>
      <w:caps/>
      <w:noProof/>
    </w:rPr>
  </w:style>
  <w:style w:type="paragraph" w:styleId="TOC2">
    <w:name w:val="toc 2"/>
    <w:basedOn w:val="Normal"/>
    <w:next w:val="Normal"/>
    <w:autoRedefine/>
    <w:uiPriority w:val="39"/>
    <w:unhideWhenUsed/>
    <w:qFormat/>
    <w:rsid w:val="00A27850"/>
    <w:pPr>
      <w:tabs>
        <w:tab w:val="decimal" w:leader="dot" w:pos="936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BodyTextIndent3">
    <w:name w:val="Body Text Indent 3"/>
    <w:basedOn w:val="Normal"/>
    <w:link w:val="BodyTextIndent3Char"/>
    <w:uiPriority w:val="99"/>
    <w:semiHidden/>
    <w:unhideWhenUsed/>
    <w:rsid w:val="00115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AF7"/>
    <w:rPr>
      <w:rFonts w:ascii="Times New Roman" w:eastAsia="Times New Roman" w:hAnsi="Times New Roman" w:cs="Times New Roman"/>
      <w:sz w:val="16"/>
      <w:szCs w:val="16"/>
    </w:r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locked/>
    <w:rsid w:val="007750BB"/>
    <w:rPr>
      <w:lang w:val="en-US" w:eastAsia="en-US" w:bidi="ar-SA"/>
    </w:rPr>
  </w:style>
  <w:style w:type="character" w:customStyle="1" w:styleId="Heading4Char">
    <w:name w:val="Heading 4 Char"/>
    <w:basedOn w:val="DefaultParagraphFont"/>
    <w:link w:val="Heading4"/>
    <w:uiPriority w:val="9"/>
    <w:rsid w:val="0060669B"/>
    <w:rPr>
      <w:rFonts w:ascii="Times New Roman Bold" w:hAnsi="Times New Roman Bold" w:eastAsiaTheme="majorEastAsia" w:cstheme="majorBidi"/>
      <w:b/>
      <w:iCs/>
      <w:sz w:val="24"/>
      <w:szCs w:val="20"/>
    </w:rPr>
  </w:style>
  <w:style w:type="paragraph" w:styleId="TOC3">
    <w:name w:val="toc 3"/>
    <w:basedOn w:val="Normal"/>
    <w:next w:val="Normal"/>
    <w:autoRedefine/>
    <w:uiPriority w:val="39"/>
    <w:unhideWhenUsed/>
    <w:rsid w:val="00A27850"/>
    <w:pPr>
      <w:tabs>
        <w:tab w:val="decimal" w:leader="dot" w:pos="9360"/>
      </w:tabs>
      <w:spacing w:after="240"/>
      <w:ind w:left="2160" w:hanging="720"/>
    </w:pPr>
  </w:style>
  <w:style w:type="paragraph" w:styleId="TOC4">
    <w:name w:val="toc 4"/>
    <w:basedOn w:val="Normal"/>
    <w:next w:val="Normal"/>
    <w:autoRedefine/>
    <w:uiPriority w:val="39"/>
    <w:unhideWhenUsed/>
    <w:rsid w:val="00E26781"/>
    <w:pPr>
      <w:tabs>
        <w:tab w:val="left" w:pos="720"/>
        <w:tab w:val="left" w:pos="2880"/>
        <w:tab w:val="decimal" w:leader="dot" w:pos="9360"/>
      </w:tabs>
      <w:spacing w:after="240"/>
      <w:ind w:left="2880" w:hanging="720"/>
    </w:pPr>
  </w:style>
  <w:style w:type="character" w:customStyle="1" w:styleId="UnresolvedMention2">
    <w:name w:val="Unresolved Mention2"/>
    <w:basedOn w:val="DefaultParagraphFont"/>
    <w:uiPriority w:val="99"/>
    <w:semiHidden/>
    <w:unhideWhenUsed/>
    <w:rsid w:val="00510E24"/>
    <w:rPr>
      <w:color w:val="605E5C"/>
      <w:shd w:val="clear" w:color="auto" w:fill="E1DFDD"/>
    </w:rPr>
  </w:style>
  <w:style w:type="character" w:customStyle="1" w:styleId="UnresolvedMention3">
    <w:name w:val="Unresolved Mention3"/>
    <w:basedOn w:val="DefaultParagraphFont"/>
    <w:uiPriority w:val="99"/>
    <w:rsid w:val="00D16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footer" Target="footer2.xml" /><Relationship Id="rId12" Type="http://schemas.openxmlformats.org/officeDocument/2006/relationships/hyperlink" Target="mailto:werner.margard@ohioAGO.gov" TargetMode="External" /><Relationship Id="rId13" Type="http://schemas.openxmlformats.org/officeDocument/2006/relationships/hyperlink" Target="mailto:Robert.eubanks@ohioAGO.gov" TargetMode="External" /><Relationship Id="rId14" Type="http://schemas.openxmlformats.org/officeDocument/2006/relationships/hyperlink" Target="mailto:Jodi.bair@ohioAGO.gov" TargetMode="External" /><Relationship Id="rId15" Type="http://schemas.openxmlformats.org/officeDocument/2006/relationships/hyperlink" Target="mailto:Kyle.kern@ohioAGO.gov" TargetMode="External" /><Relationship Id="rId16" Type="http://schemas.openxmlformats.org/officeDocument/2006/relationships/hyperlink" Target="mailto:John.jones@ohioAGO.gov" TargetMode="External" /><Relationship Id="rId17" Type="http://schemas.openxmlformats.org/officeDocument/2006/relationships/hyperlink" Target="mailto:dboehm@BKLlawfirm.com" TargetMode="External" /><Relationship Id="rId18" Type="http://schemas.openxmlformats.org/officeDocument/2006/relationships/hyperlink" Target="mailto:mkurtz@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Megan.addison@puco.ohio.gov" TargetMode="External" /><Relationship Id="rId21" Type="http://schemas.openxmlformats.org/officeDocument/2006/relationships/hyperlink" Target="mailto:Matthew.sandor@puco.ohio.gov" TargetMode="External" /><Relationship Id="rId22" Type="http://schemas.openxmlformats.org/officeDocument/2006/relationships/hyperlink" Target="mailto:Nicholas.walstra@puco.ohio.gov" TargetMode="External" /><Relationship Id="rId23" Type="http://schemas.openxmlformats.org/officeDocument/2006/relationships/hyperlink" Target="mailto:Rocco.dascenzo@duke-energy.com" TargetMode="External" /><Relationship Id="rId24" Type="http://schemas.openxmlformats.org/officeDocument/2006/relationships/hyperlink" Target="mailto:Jeanne.kingery@duke-energy.com" TargetMode="External" /><Relationship Id="rId25" Type="http://schemas.openxmlformats.org/officeDocument/2006/relationships/hyperlink" Target="mailto:Larisa.vaysman@duke-energy.com" TargetMode="External" /><Relationship Id="rId26" Type="http://schemas.openxmlformats.org/officeDocument/2006/relationships/hyperlink" Target="mailto:kmcmurray@fbtlaw.com" TargetMode="External" /><Relationship Id="rId27" Type="http://schemas.openxmlformats.org/officeDocument/2006/relationships/hyperlink" Target="mailto:Paul@carpenterlipps.com" TargetMode="External" /><Relationship Id="rId28" Type="http://schemas.openxmlformats.org/officeDocument/2006/relationships/hyperlink" Target="mailto:bojko@carpenterlipps.com" TargetMode="External" /><Relationship Id="rId29" Type="http://schemas.openxmlformats.org/officeDocument/2006/relationships/hyperlink" Target="mailto:michael.nugent@igs.com" TargetMode="External" /><Relationship Id="rId3" Type="http://schemas.openxmlformats.org/officeDocument/2006/relationships/webSettings" Target="webSettings.xml" /><Relationship Id="rId30" Type="http://schemas.openxmlformats.org/officeDocument/2006/relationships/hyperlink" Target="mailto:evan.betterton@igs.com" TargetMode="External" /><Relationship Id="rId31" Type="http://schemas.openxmlformats.org/officeDocument/2006/relationships/hyperlink" Target="mailto:mjsettineri@vorys.com" TargetMode="External" /><Relationship Id="rId32" Type="http://schemas.openxmlformats.org/officeDocument/2006/relationships/hyperlink" Target="mailto:eowoyt@vorys.com" TargetMode="External" /><Relationship Id="rId33" Type="http://schemas.openxmlformats.org/officeDocument/2006/relationships/hyperlink" Target="mailto:glpetrucci@vorys.com" TargetMode="External" /><Relationship Id="rId34" Type="http://schemas.openxmlformats.org/officeDocument/2006/relationships/hyperlink" Target="mailto:aasanyal@vorys.com" TargetMode="External" /><Relationship Id="rId35" Type="http://schemas.openxmlformats.org/officeDocument/2006/relationships/hyperlink" Target="mailto:talexander@beneschlaw.com" TargetMode="External" /><Relationship Id="rId36" Type="http://schemas.openxmlformats.org/officeDocument/2006/relationships/hyperlink" Target="mailto:mkeaney@beneschlaw.com" TargetMode="External" /><Relationship Id="rId37" Type="http://schemas.openxmlformats.org/officeDocument/2006/relationships/hyperlink" Target="mailto:khehmeyer@beneschlaw.com" TargetMode="External" /><Relationship Id="rId38" Type="http://schemas.openxmlformats.org/officeDocument/2006/relationships/footer" Target="footer3.xml" /><Relationship Id="rId39" Type="http://schemas.openxmlformats.org/officeDocument/2006/relationships/theme" Target="theme/theme1.xml" /><Relationship Id="rId4" Type="http://schemas.openxmlformats.org/officeDocument/2006/relationships/fontTable" Target="fontTable.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6F9B-71F6-422A-876C-784C7A32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2021-12-09T20:30:28Z</dcterms:created>
  <dcterms:modified xsi:type="dcterms:W3CDTF">2021-12-09T20:30:28Z</dcterms:modified>
</cp:coreProperties>
</file>