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DB0ACF" w:rsidP="009E4459">
      <w:pPr>
        <w:pStyle w:val="HTMLPreformatted"/>
        <w:jc w:val="center"/>
        <w:rPr>
          <w:rFonts w:ascii="Times New Roman" w:hAnsi="Times New Roman"/>
          <w:b/>
          <w:bCs/>
          <w:sz w:val="24"/>
        </w:rPr>
      </w:pPr>
      <w:bookmarkStart w:id="0" w:name="_GoBack"/>
      <w:bookmarkEnd w:id="0"/>
      <w:r>
        <w:rPr>
          <w:rFonts w:ascii="Times New Roman" w:hAnsi="Times New Roman"/>
          <w:b/>
          <w:bCs/>
          <w:sz w:val="24"/>
        </w:rPr>
        <w:t>BEFORE</w:t>
      </w:r>
    </w:p>
    <w:p w:rsidR="00DB0ACF">
      <w:pPr>
        <w:pStyle w:val="HTMLPreformatted"/>
        <w:jc w:val="center"/>
        <w:rPr>
          <w:rFonts w:ascii="Times New Roman" w:hAnsi="Times New Roman"/>
          <w:sz w:val="24"/>
        </w:rPr>
      </w:pPr>
      <w:r>
        <w:rPr>
          <w:rFonts w:ascii="Times New Roman" w:hAnsi="Times New Roman"/>
          <w:b/>
          <w:bCs/>
          <w:sz w:val="24"/>
        </w:rPr>
        <w:t>THE PUBLIC UTILITIES COMMISSION OF OHIO</w:t>
      </w:r>
    </w:p>
    <w:p w:rsidR="00DB0ACF">
      <w:pPr>
        <w:pStyle w:val="HTMLPreformatted"/>
        <w:rPr>
          <w:rFonts w:ascii="Times New Roman" w:hAnsi="Times New Roman"/>
          <w:sz w:val="24"/>
        </w:rPr>
      </w:pPr>
    </w:p>
    <w:tbl>
      <w:tblPr>
        <w:tblW w:w="9092" w:type="dxa"/>
        <w:tblInd w:w="0" w:type="dxa"/>
        <w:tblCellMar>
          <w:top w:w="0" w:type="dxa"/>
          <w:left w:w="108" w:type="dxa"/>
          <w:bottom w:w="0" w:type="dxa"/>
          <w:right w:w="108" w:type="dxa"/>
        </w:tblCellMar>
        <w:tblLook w:val="01E0"/>
      </w:tblPr>
      <w:tblGrid>
        <w:gridCol w:w="4332"/>
        <w:gridCol w:w="360"/>
        <w:gridCol w:w="4400"/>
      </w:tblGrid>
      <w:tr w:rsidTr="00DB0ACF">
        <w:tblPrEx>
          <w:tblW w:w="9092" w:type="dxa"/>
          <w:tblInd w:w="0" w:type="dxa"/>
          <w:tblCellMar>
            <w:top w:w="0" w:type="dxa"/>
            <w:left w:w="108" w:type="dxa"/>
            <w:bottom w:w="0" w:type="dxa"/>
            <w:right w:w="108" w:type="dxa"/>
          </w:tblCellMar>
          <w:tblLook w:val="01E0"/>
        </w:tblPrEx>
        <w:trPr>
          <w:trHeight w:val="807"/>
        </w:trPr>
        <w:tc>
          <w:tcPr>
            <w:tcW w:w="4332" w:type="dxa"/>
            <w:shd w:val="clear" w:color="auto" w:fill="auto"/>
          </w:tcPr>
          <w:p w:rsidR="00005991" w:rsidRPr="007D76A8" w:rsidP="00005991">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sidRPr="00A044B5">
              <w:rPr>
                <w:rFonts w:ascii="Times New Roman" w:eastAsia="Courier New" w:hAnsi="Times New Roman" w:cs="Times New Roman"/>
                <w:sz w:val="24"/>
                <w:szCs w:val="24"/>
                <w:lang w:val="en-US" w:eastAsia="en-US" w:bidi="ar-SA"/>
              </w:rPr>
              <w:t>In the Matter of</w:t>
            </w:r>
            <w:r>
              <w:rPr>
                <w:rFonts w:ascii="Times New Roman" w:eastAsia="Courier New" w:hAnsi="Times New Roman" w:cs="Times New Roman"/>
                <w:sz w:val="24"/>
                <w:szCs w:val="24"/>
                <w:lang w:val="en-US" w:eastAsia="en-US" w:bidi="ar-SA"/>
              </w:rPr>
              <w:t xml:space="preserve"> the </w:t>
            </w:r>
            <w:r w:rsidR="00572BAB">
              <w:rPr>
                <w:rFonts w:ascii="Times New Roman" w:eastAsia="Courier New" w:hAnsi="Times New Roman" w:cs="Times New Roman"/>
                <w:sz w:val="24"/>
                <w:szCs w:val="24"/>
                <w:lang w:val="en-US" w:eastAsia="en-US" w:bidi="ar-SA"/>
              </w:rPr>
              <w:t>Application of Aqua Ohio, Inc. for Authority to Assess a System Improvement Charge.</w:t>
            </w:r>
          </w:p>
        </w:tc>
        <w:tc>
          <w:tcPr>
            <w:tcW w:w="360" w:type="dxa"/>
            <w:shd w:val="clear" w:color="auto" w:fill="auto"/>
          </w:tcPr>
          <w:p w:rsidR="00DB0ACF"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DB0ACF"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005991"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tc>
        <w:tc>
          <w:tcPr>
            <w:tcW w:w="4400" w:type="dxa"/>
            <w:shd w:val="clear" w:color="auto" w:fill="auto"/>
          </w:tcPr>
          <w:p w:rsidR="00DB0ACF"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F04D4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 xml:space="preserve">Case No. </w:t>
            </w:r>
            <w:r w:rsidR="00572BAB">
              <w:rPr>
                <w:rFonts w:ascii="Times New Roman" w:eastAsia="Courier New" w:hAnsi="Times New Roman" w:cs="Courier New"/>
                <w:sz w:val="24"/>
                <w:lang w:val="en-US" w:eastAsia="en-US" w:bidi="ar-SA"/>
              </w:rPr>
              <w:t>18-0337-WW-SIC</w:t>
            </w:r>
          </w:p>
          <w:p w:rsidR="00F04D4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005991"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tc>
      </w:tr>
    </w:tbl>
    <w:p w:rsidR="00DB0ACF">
      <w:pPr>
        <w:pStyle w:val="HTMLPreformatted"/>
        <w:pBdr>
          <w:top w:val="single" w:sz="12" w:space="1" w:color="auto"/>
        </w:pBdr>
        <w:rPr>
          <w:rFonts w:ascii="Times New Roman" w:hAnsi="Times New Roman"/>
          <w:sz w:val="24"/>
        </w:rPr>
      </w:pPr>
    </w:p>
    <w:p w:rsidR="00DB0ACF">
      <w:pPr>
        <w:jc w:val="center"/>
        <w:rPr>
          <w:b/>
          <w:bCs/>
        </w:rPr>
      </w:pPr>
      <w:r>
        <w:rPr>
          <w:b/>
          <w:bCs/>
        </w:rPr>
        <w:t>APPLICATION FOR REHEARING</w:t>
      </w:r>
    </w:p>
    <w:p w:rsidR="00DB0ACF">
      <w:pPr>
        <w:jc w:val="center"/>
        <w:rPr>
          <w:b/>
          <w:bCs/>
        </w:rPr>
      </w:pPr>
      <w:r>
        <w:rPr>
          <w:b/>
          <w:bCs/>
        </w:rPr>
        <w:t>BY</w:t>
      </w:r>
    </w:p>
    <w:p w:rsidR="00DB0ACF">
      <w:pPr>
        <w:jc w:val="center"/>
        <w:rPr>
          <w:b/>
          <w:bCs/>
        </w:rPr>
      </w:pPr>
      <w:r>
        <w:rPr>
          <w:b/>
          <w:bCs/>
        </w:rPr>
        <w:t>THE OFFICE OF THE OHIO CONSUMERS’ COUNSEL</w:t>
      </w:r>
    </w:p>
    <w:p w:rsidR="00DB0ACF">
      <w:pPr>
        <w:pBdr>
          <w:bottom w:val="single" w:sz="12" w:space="1" w:color="auto"/>
        </w:pBdr>
        <w:tabs>
          <w:tab w:val="left" w:pos="4320"/>
        </w:tabs>
      </w:pPr>
    </w:p>
    <w:p w:rsidR="00DB0ACF">
      <w:pPr>
        <w:tabs>
          <w:tab w:val="left" w:pos="4320"/>
        </w:tabs>
      </w:pPr>
    </w:p>
    <w:p w:rsidR="009E5862" w:rsidP="00841A9F">
      <w:pPr>
        <w:pStyle w:val="BodyTextIndent3"/>
        <w:widowControl w:val="0"/>
        <w:spacing w:line="480" w:lineRule="auto"/>
        <w:ind w:right="-312"/>
      </w:pPr>
      <w:r w:rsidRPr="00154644">
        <w:t xml:space="preserve"> </w:t>
      </w:r>
      <w:r w:rsidR="00EF28C3">
        <w:t xml:space="preserve">The </w:t>
      </w:r>
      <w:r>
        <w:t>Office of the Ohio Consumers’ Counsel (“OCC”) oppose</w:t>
      </w:r>
      <w:r w:rsidR="00EF28C3">
        <w:t>s</w:t>
      </w:r>
      <w:r>
        <w:t xml:space="preserve"> the Stipulation (</w:t>
      </w:r>
      <w:r w:rsidR="00D37949">
        <w:t>“</w:t>
      </w:r>
      <w:r>
        <w:t xml:space="preserve">Settlement”) because it expands the categories of items that may be included in the system improvement charge (“SIC”), forcing consumers to pay additional costs beyond what is indicated </w:t>
      </w:r>
      <w:r w:rsidR="00EF28C3">
        <w:t>by</w:t>
      </w:r>
      <w:r>
        <w:t xml:space="preserve"> statute. </w:t>
      </w:r>
      <w:r w:rsidR="00FD749B">
        <w:t xml:space="preserve">Section 4909.172(C)(1) of the </w:t>
      </w:r>
      <w:r w:rsidR="00436663">
        <w:t>Revised Code</w:t>
      </w:r>
      <w:r w:rsidR="00FD749B">
        <w:t xml:space="preserve"> addresses </w:t>
      </w:r>
      <w:r w:rsidR="00CC0EBF">
        <w:t xml:space="preserve">the specific costs of infrastructure plant that a waterworks utility may </w:t>
      </w:r>
      <w:r w:rsidR="007A461F">
        <w:t xml:space="preserve">collect from </w:t>
      </w:r>
      <w:r w:rsidR="00CC0EBF">
        <w:t xml:space="preserve">its customers through an infrastructure improvement surcharge, commonly known as a </w:t>
      </w:r>
      <w:r>
        <w:t>SIC</w:t>
      </w:r>
      <w:r w:rsidR="00CC0EBF">
        <w:t xml:space="preserve">. </w:t>
      </w:r>
      <w:r w:rsidR="00FD749B">
        <w:t xml:space="preserve">The PUCO’s Finding and Order in this proceeding adopts the </w:t>
      </w:r>
      <w:r>
        <w:t xml:space="preserve">Settlement </w:t>
      </w:r>
      <w:r w:rsidR="00FD749B">
        <w:t xml:space="preserve">between Aqua Ohio, Inc. (“Aqua”) and the </w:t>
      </w:r>
      <w:r>
        <w:t xml:space="preserve">Public Utilities Commission of Ohio (“PUCO”) </w:t>
      </w:r>
      <w:r w:rsidR="00FD749B">
        <w:t>Staff</w:t>
      </w:r>
      <w:r w:rsidR="00CC0EBF">
        <w:t xml:space="preserve">. OCC opposed the </w:t>
      </w:r>
      <w:r>
        <w:t xml:space="preserve">Settlement </w:t>
      </w:r>
      <w:r w:rsidR="00CC0EBF">
        <w:t xml:space="preserve">for the reasons set forth in its Post-Hearing brief. </w:t>
      </w:r>
      <w:r w:rsidR="00965C5E">
        <w:t>OCC recommended that the PUCO instead adopt the Staff Comments initially filed in this proceeding, which applied R.C. 4909.172 to Aqua’s SIC request, and came to a much different conclusion than was adopted in the Stipulation.</w:t>
      </w:r>
      <w:r w:rsidR="003C6349">
        <w:t xml:space="preserve">  </w:t>
      </w:r>
    </w:p>
    <w:p w:rsidR="00747FAB" w:rsidP="00841A9F">
      <w:pPr>
        <w:pStyle w:val="BodyTextIndent3"/>
        <w:widowControl w:val="0"/>
        <w:spacing w:line="480" w:lineRule="auto"/>
        <w:ind w:right="-312"/>
      </w:pPr>
      <w:r>
        <w:t>OCC</w:t>
      </w:r>
      <w:r w:rsidR="00B139D5">
        <w:t xml:space="preserve"> </w:t>
      </w:r>
      <w:r w:rsidR="003C6349">
        <w:t xml:space="preserve">files this application for rehearing of the Order entered by the </w:t>
      </w:r>
      <w:r>
        <w:t xml:space="preserve">PUCO </w:t>
      </w:r>
      <w:r w:rsidR="003C6349">
        <w:t xml:space="preserve">that </w:t>
      </w:r>
      <w:r w:rsidR="00965C5E">
        <w:t xml:space="preserve">adopted the </w:t>
      </w:r>
      <w:r>
        <w:t xml:space="preserve">Settlement </w:t>
      </w:r>
      <w:r w:rsidR="00965C5E">
        <w:t xml:space="preserve">between Aqua and Staff expanding the statutory list of items includable in the infrastructure surcharge. The broad expansion of </w:t>
      </w:r>
      <w:r w:rsidR="00436663">
        <w:t>R.C.</w:t>
      </w:r>
      <w:r w:rsidR="00965C5E">
        <w:t xml:space="preserve"> 4909.1</w:t>
      </w:r>
      <w:r w:rsidR="009E4170">
        <w:t>7</w:t>
      </w:r>
      <w:r w:rsidR="00965C5E">
        <w:t>2(C)(1) causes harm to consumers because costs previously not chargeable to the utility’s customers have been sanctioned.</w:t>
      </w:r>
      <w:r w:rsidR="003C6349">
        <w:t xml:space="preserve">  </w:t>
      </w:r>
    </w:p>
    <w:p w:rsidR="008F0F78" w:rsidP="00841A9F">
      <w:pPr>
        <w:pStyle w:val="BodyTextIndent3"/>
        <w:widowControl w:val="0"/>
        <w:spacing w:line="480" w:lineRule="auto"/>
        <w:ind w:right="-312"/>
      </w:pPr>
      <w:r>
        <w:t>The Order is unlawful and unreasonable in the following respect</w:t>
      </w:r>
      <w:r w:rsidR="00D37949">
        <w:t>s</w:t>
      </w:r>
      <w:r>
        <w:t xml:space="preserve">: </w:t>
      </w:r>
    </w:p>
    <w:p w:rsidR="00890C83" w:rsidP="007D0DB1">
      <w:pPr>
        <w:pStyle w:val="BodyTextIndent3"/>
        <w:numPr>
          <w:ilvl w:val="0"/>
          <w:numId w:val="10"/>
        </w:numPr>
        <w:spacing w:after="240" w:line="240" w:lineRule="auto"/>
        <w:ind w:right="720" w:hanging="720"/>
      </w:pPr>
      <w:r>
        <w:t>The PUCO’s Order is unlawful and unreasonable because as a creature of statute the PUCO must follow Ohio law, but failed to do so in this case.</w:t>
      </w:r>
    </w:p>
    <w:p w:rsidR="003B736C" w:rsidP="003B736C">
      <w:pPr>
        <w:pStyle w:val="BodyTextIndent3"/>
        <w:spacing w:line="480" w:lineRule="auto"/>
      </w:pPr>
      <w:r>
        <w:t>The grounds for this Application for Rehearing are set forth in the accompanying Memorandum in Support.</w:t>
      </w:r>
    </w:p>
    <w:p w:rsidR="00DB0ACF" w:rsidP="0043182D">
      <w:pPr>
        <w:pStyle w:val="BodyTextIndent3"/>
        <w:widowControl w:val="0"/>
        <w:spacing w:line="480" w:lineRule="auto"/>
        <w:ind w:right="-312"/>
        <w:rPr>
          <w:szCs w:val="24"/>
        </w:rPr>
      </w:pPr>
      <w:r>
        <w:t xml:space="preserve"> </w:t>
      </w:r>
      <w:r>
        <w:tab/>
      </w:r>
      <w:r>
        <w:tab/>
      </w:r>
      <w:r>
        <w:tab/>
      </w:r>
      <w:r>
        <w:tab/>
      </w:r>
      <w:r>
        <w:tab/>
      </w:r>
      <w:r>
        <w:rPr>
          <w:szCs w:val="24"/>
        </w:rPr>
        <w:t>Respectfully submitted,</w:t>
      </w:r>
    </w:p>
    <w:p w:rsidR="00DB0ACF" w:rsidP="0043182D">
      <w:pPr>
        <w:pStyle w:val="Footer"/>
        <w:tabs>
          <w:tab w:val="left" w:pos="4320"/>
          <w:tab w:val="clear" w:pos="8640"/>
        </w:tabs>
        <w:rPr>
          <w:sz w:val="24"/>
          <w:szCs w:val="24"/>
        </w:rPr>
      </w:pPr>
      <w:r>
        <w:rPr>
          <w:sz w:val="24"/>
          <w:szCs w:val="24"/>
        </w:rPr>
        <w:tab/>
        <w:t>Bruce Weston (0016973)</w:t>
      </w:r>
    </w:p>
    <w:p w:rsidR="00DB0ACF">
      <w:pPr>
        <w:tabs>
          <w:tab w:val="left" w:pos="4320"/>
        </w:tabs>
        <w:rPr>
          <w:szCs w:val="24"/>
        </w:rPr>
      </w:pPr>
      <w:r>
        <w:rPr>
          <w:szCs w:val="24"/>
        </w:rPr>
        <w:tab/>
        <w:t>Ohio Consumers’ Counsel</w:t>
      </w:r>
    </w:p>
    <w:p w:rsidR="00DB0ACF">
      <w:pPr>
        <w:tabs>
          <w:tab w:val="left" w:pos="4320"/>
        </w:tabs>
        <w:rPr>
          <w:szCs w:val="24"/>
        </w:rPr>
      </w:pPr>
      <w:r>
        <w:rPr>
          <w:szCs w:val="24"/>
        </w:rPr>
        <w:tab/>
      </w:r>
    </w:p>
    <w:p w:rsidR="004416D5" w:rsidP="00CA2108">
      <w:pPr>
        <w:tabs>
          <w:tab w:val="left" w:pos="4320"/>
        </w:tabs>
        <w:rPr>
          <w:szCs w:val="24"/>
        </w:rPr>
      </w:pPr>
      <w:r>
        <w:rPr>
          <w:szCs w:val="24"/>
        </w:rPr>
        <w:tab/>
      </w:r>
      <w:r w:rsidR="00CA2108">
        <w:rPr>
          <w:i/>
          <w:iCs/>
          <w:szCs w:val="24"/>
          <w:u w:val="single"/>
        </w:rPr>
        <w:t>/s/ Amy Botschner O’Brien____</w:t>
      </w:r>
      <w:r>
        <w:rPr>
          <w:szCs w:val="24"/>
        </w:rPr>
        <w:tab/>
      </w:r>
    </w:p>
    <w:p w:rsidR="00005991">
      <w:pPr>
        <w:tabs>
          <w:tab w:val="left" w:pos="4320"/>
        </w:tabs>
        <w:rPr>
          <w:szCs w:val="24"/>
        </w:rPr>
      </w:pPr>
      <w:r>
        <w:rPr>
          <w:szCs w:val="24"/>
        </w:rPr>
        <w:tab/>
        <w:t>Amy Botschner O’Brien (0074423)</w:t>
      </w:r>
    </w:p>
    <w:p w:rsidR="00CA2108">
      <w:pPr>
        <w:tabs>
          <w:tab w:val="left" w:pos="4320"/>
        </w:tabs>
        <w:rPr>
          <w:szCs w:val="24"/>
        </w:rPr>
      </w:pPr>
      <w:r>
        <w:rPr>
          <w:szCs w:val="24"/>
        </w:rPr>
        <w:tab/>
        <w:t>Counsel of Record</w:t>
      </w:r>
    </w:p>
    <w:p w:rsidR="003C2EA8" w:rsidP="00005991">
      <w:pPr>
        <w:tabs>
          <w:tab w:val="left" w:pos="4320"/>
        </w:tabs>
        <w:ind w:firstLine="4320"/>
        <w:rPr>
          <w:szCs w:val="24"/>
        </w:rPr>
      </w:pPr>
      <w:r>
        <w:rPr>
          <w:szCs w:val="24"/>
        </w:rPr>
        <w:t>William J. Michael (0070921)</w:t>
      </w:r>
    </w:p>
    <w:p w:rsidR="00DB0ACF" w:rsidP="00005991">
      <w:pPr>
        <w:tabs>
          <w:tab w:val="left" w:pos="4320"/>
        </w:tabs>
        <w:ind w:firstLine="4320"/>
        <w:rPr>
          <w:szCs w:val="24"/>
        </w:rPr>
      </w:pPr>
      <w:r>
        <w:rPr>
          <w:szCs w:val="24"/>
        </w:rPr>
        <w:t>Assistant Consumers’ Counsel</w:t>
      </w:r>
    </w:p>
    <w:p w:rsidR="00DB0ACF">
      <w:pPr>
        <w:tabs>
          <w:tab w:val="left" w:pos="4320"/>
        </w:tabs>
        <w:rPr>
          <w:szCs w:val="24"/>
        </w:rPr>
      </w:pPr>
      <w:r>
        <w:rPr>
          <w:szCs w:val="24"/>
        </w:rPr>
        <w:tab/>
      </w:r>
    </w:p>
    <w:p w:rsidR="00DB0ACF">
      <w:pPr>
        <w:pStyle w:val="Heading1"/>
        <w:ind w:left="3240" w:right="-648" w:firstLine="720"/>
        <w:rPr>
          <w:u w:val="none"/>
        </w:rPr>
      </w:pPr>
      <w:r>
        <w:rPr>
          <w:u w:val="none"/>
        </w:rPr>
        <w:tab/>
        <w:t>Office of the Ohio Consumers’ Counsel</w:t>
      </w:r>
    </w:p>
    <w:p w:rsidR="00DB0ACF">
      <w:pPr>
        <w:pStyle w:val="Heading1"/>
        <w:ind w:left="3240" w:right="-648" w:firstLine="720"/>
        <w:rPr>
          <w:b w:val="0"/>
          <w:u w:val="none"/>
        </w:rPr>
      </w:pPr>
      <w:r>
        <w:rPr>
          <w:b w:val="0"/>
          <w:u w:val="none"/>
        </w:rPr>
        <w:tab/>
        <w:t>65 East State Street, 7th Floor</w:t>
      </w:r>
    </w:p>
    <w:p w:rsidR="00DB0ACF">
      <w:pPr>
        <w:pStyle w:val="Heading1"/>
        <w:ind w:left="3240" w:right="-648" w:firstLine="720"/>
        <w:rPr>
          <w:b w:val="0"/>
          <w:u w:val="none"/>
        </w:rPr>
      </w:pPr>
      <w:r>
        <w:rPr>
          <w:b w:val="0"/>
          <w:u w:val="none"/>
        </w:rPr>
        <w:tab/>
        <w:t>Columbus, Ohio 43215-4213</w:t>
      </w:r>
    </w:p>
    <w:p w:rsidR="00DB0ACF">
      <w:pPr>
        <w:autoSpaceDE w:val="0"/>
        <w:autoSpaceDN w:val="0"/>
        <w:adjustRightInd w:val="0"/>
        <w:ind w:left="3600" w:firstLine="720"/>
        <w:rPr>
          <w:szCs w:val="24"/>
        </w:rPr>
      </w:pPr>
      <w:r>
        <w:rPr>
          <w:szCs w:val="24"/>
        </w:rPr>
        <w:t>Telephone [Botschner]: (614) 466-9575</w:t>
      </w:r>
    </w:p>
    <w:p w:rsidR="004416D5" w:rsidRPr="007D0DB1">
      <w:pPr>
        <w:autoSpaceDE w:val="0"/>
        <w:autoSpaceDN w:val="0"/>
        <w:adjustRightInd w:val="0"/>
        <w:ind w:left="3600" w:firstLine="720"/>
        <w:rPr>
          <w:szCs w:val="24"/>
        </w:rPr>
      </w:pPr>
      <w:r>
        <w:rPr>
          <w:szCs w:val="24"/>
        </w:rPr>
        <w:t xml:space="preserve">Telephone [Michael]: (614) 466-1291 </w:t>
      </w:r>
    </w:p>
    <w:p w:rsidR="00DB0ACF" w:rsidRPr="00CA2108">
      <w:pPr>
        <w:autoSpaceDE w:val="0"/>
        <w:autoSpaceDN w:val="0"/>
        <w:adjustRightInd w:val="0"/>
        <w:ind w:left="3600" w:firstLine="720"/>
      </w:pPr>
      <w:r w:rsidRPr="00CA2108" w:rsidR="003C2EA8">
        <w:rPr>
          <w:rStyle w:val="DefaultParagraphFont"/>
          <w:color w:val="auto"/>
          <w:u w:val="none"/>
        </w:rPr>
        <w:t>amy.botschner.obrien@occ.ohio.gov</w:t>
      </w:r>
    </w:p>
    <w:p w:rsidR="003C2EA8" w:rsidRPr="00CA2108">
      <w:pPr>
        <w:autoSpaceDE w:val="0"/>
        <w:autoSpaceDN w:val="0"/>
        <w:adjustRightInd w:val="0"/>
        <w:ind w:left="3600" w:firstLine="720"/>
      </w:pPr>
      <w:r w:rsidRPr="00CA2108" w:rsidR="00CA2108">
        <w:rPr>
          <w:rStyle w:val="DefaultParagraphFont"/>
          <w:color w:val="auto"/>
          <w:u w:val="none"/>
        </w:rPr>
        <w:t>william.michael@occ.ohio.gov</w:t>
      </w:r>
      <w:r w:rsidRPr="00CA2108">
        <w:t xml:space="preserve"> </w:t>
      </w:r>
    </w:p>
    <w:p w:rsidR="00DB0ACF">
      <w:pPr>
        <w:rPr>
          <w:szCs w:val="24"/>
        </w:rPr>
      </w:pPr>
      <w:r>
        <w:rPr>
          <w:szCs w:val="24"/>
        </w:rPr>
        <w:tab/>
      </w:r>
      <w:r>
        <w:rPr>
          <w:szCs w:val="24"/>
        </w:rPr>
        <w:tab/>
      </w:r>
      <w:r>
        <w:rPr>
          <w:szCs w:val="24"/>
        </w:rPr>
        <w:tab/>
      </w:r>
      <w:r>
        <w:rPr>
          <w:szCs w:val="24"/>
        </w:rPr>
        <w:tab/>
      </w:r>
      <w:r>
        <w:rPr>
          <w:szCs w:val="24"/>
        </w:rPr>
        <w:tab/>
      </w:r>
      <w:r>
        <w:rPr>
          <w:szCs w:val="24"/>
        </w:rPr>
        <w:tab/>
        <w:t>(will accept service via email)</w:t>
      </w:r>
    </w:p>
    <w:p w:rsidR="00DB0ACF">
      <w:pPr>
        <w:rPr>
          <w:szCs w:val="24"/>
        </w:rPr>
      </w:pPr>
      <w:r>
        <w:rPr>
          <w:szCs w:val="24"/>
        </w:rPr>
        <w:tab/>
      </w:r>
      <w:r>
        <w:rPr>
          <w:szCs w:val="24"/>
        </w:rPr>
        <w:tab/>
      </w:r>
      <w:r>
        <w:rPr>
          <w:szCs w:val="24"/>
        </w:rPr>
        <w:tab/>
      </w:r>
      <w:r>
        <w:rPr>
          <w:szCs w:val="24"/>
        </w:rPr>
        <w:tab/>
      </w:r>
      <w:r>
        <w:rPr>
          <w:szCs w:val="24"/>
        </w:rPr>
        <w:tab/>
      </w:r>
      <w:r>
        <w:rPr>
          <w:szCs w:val="24"/>
        </w:rPr>
        <w:tab/>
      </w:r>
    </w:p>
    <w:p w:rsidR="00DB0ACF">
      <w:pPr>
        <w:rPr>
          <w:szCs w:val="24"/>
        </w:rPr>
      </w:pPr>
    </w:p>
    <w:p w:rsidR="00DB0ACF"/>
    <w:p w:rsidR="00DB0ACF"/>
    <w:p w:rsidR="00DB0ACF">
      <w:pPr>
        <w:ind w:left="4320" w:firstLine="720"/>
        <w:jc w:val="both"/>
      </w:pPr>
    </w:p>
    <w:p w:rsidR="00DB0ACF">
      <w:pPr>
        <w:pStyle w:val="HTMLPreformatted"/>
        <w:jc w:val="center"/>
        <w:rPr>
          <w:rFonts w:ascii="Times New Roman" w:hAnsi="Times New Roman"/>
          <w:b/>
          <w:bCs/>
          <w:sz w:val="24"/>
        </w:rPr>
        <w:sectPr>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cols w:space="720"/>
          <w:titlePg/>
          <w:docGrid w:linePitch="65"/>
        </w:sectPr>
      </w:pPr>
    </w:p>
    <w:p w:rsidR="00841A9F" w:rsidP="00841A9F">
      <w:pPr>
        <w:pStyle w:val="HTMLPreformatted"/>
        <w:jc w:val="center"/>
        <w:rPr>
          <w:rFonts w:ascii="Times New Roman" w:hAnsi="Times New Roman"/>
          <w:b/>
          <w:bCs/>
          <w:sz w:val="24"/>
        </w:rPr>
      </w:pPr>
      <w:r>
        <w:rPr>
          <w:rFonts w:ascii="Times New Roman" w:hAnsi="Times New Roman"/>
          <w:b/>
          <w:bCs/>
          <w:sz w:val="24"/>
        </w:rPr>
        <w:t>BEFORE</w:t>
      </w:r>
    </w:p>
    <w:p w:rsidR="00841A9F" w:rsidP="00841A9F">
      <w:pPr>
        <w:pStyle w:val="HTMLPreformatted"/>
        <w:jc w:val="center"/>
        <w:rPr>
          <w:rFonts w:ascii="Times New Roman" w:hAnsi="Times New Roman"/>
          <w:sz w:val="24"/>
        </w:rPr>
      </w:pPr>
      <w:r>
        <w:rPr>
          <w:rFonts w:ascii="Times New Roman" w:hAnsi="Times New Roman"/>
          <w:b/>
          <w:bCs/>
          <w:sz w:val="24"/>
        </w:rPr>
        <w:t>THE PUBLIC UTILITIES COMMISSION OF OHIO</w:t>
      </w:r>
    </w:p>
    <w:p w:rsidR="00841A9F" w:rsidP="00841A9F">
      <w:pPr>
        <w:pStyle w:val="HTMLPreformatted"/>
        <w:rPr>
          <w:rFonts w:ascii="Times New Roman" w:hAnsi="Times New Roman"/>
          <w:sz w:val="24"/>
        </w:rPr>
      </w:pPr>
    </w:p>
    <w:tbl>
      <w:tblPr>
        <w:tblW w:w="9092" w:type="dxa"/>
        <w:tblInd w:w="0" w:type="dxa"/>
        <w:tblCellMar>
          <w:top w:w="0" w:type="dxa"/>
          <w:left w:w="108" w:type="dxa"/>
          <w:bottom w:w="0" w:type="dxa"/>
          <w:right w:w="108" w:type="dxa"/>
        </w:tblCellMar>
        <w:tblLook w:val="01E0"/>
      </w:tblPr>
      <w:tblGrid>
        <w:gridCol w:w="4332"/>
        <w:gridCol w:w="360"/>
        <w:gridCol w:w="4400"/>
      </w:tblGrid>
      <w:tr w:rsidTr="005E717C">
        <w:tblPrEx>
          <w:tblW w:w="9092" w:type="dxa"/>
          <w:tblInd w:w="0" w:type="dxa"/>
          <w:tblCellMar>
            <w:top w:w="0" w:type="dxa"/>
            <w:left w:w="108" w:type="dxa"/>
            <w:bottom w:w="0" w:type="dxa"/>
            <w:right w:w="108" w:type="dxa"/>
          </w:tblCellMar>
          <w:tblLook w:val="01E0"/>
        </w:tblPrEx>
        <w:trPr>
          <w:trHeight w:val="807"/>
        </w:trPr>
        <w:tc>
          <w:tcPr>
            <w:tcW w:w="4332" w:type="dxa"/>
            <w:shd w:val="clear" w:color="auto" w:fill="auto"/>
          </w:tcPr>
          <w:p w:rsidR="00841A9F" w:rsidRPr="007D76A8" w:rsidP="005E717C">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sidRPr="00A044B5">
              <w:rPr>
                <w:rFonts w:ascii="Times New Roman" w:eastAsia="Courier New" w:hAnsi="Times New Roman" w:cs="Times New Roman"/>
                <w:sz w:val="24"/>
                <w:szCs w:val="24"/>
                <w:lang w:val="en-US" w:eastAsia="en-US" w:bidi="ar-SA"/>
              </w:rPr>
              <w:t>In the Matter of</w:t>
            </w:r>
            <w:r>
              <w:rPr>
                <w:rFonts w:ascii="Times New Roman" w:eastAsia="Courier New" w:hAnsi="Times New Roman" w:cs="Times New Roman"/>
                <w:sz w:val="24"/>
                <w:szCs w:val="24"/>
                <w:lang w:val="en-US" w:eastAsia="en-US" w:bidi="ar-SA"/>
              </w:rPr>
              <w:t xml:space="preserve"> the </w:t>
            </w:r>
            <w:r w:rsidR="007A461F">
              <w:rPr>
                <w:rFonts w:ascii="Times New Roman" w:eastAsia="Courier New" w:hAnsi="Times New Roman" w:cs="Times New Roman"/>
                <w:sz w:val="24"/>
                <w:szCs w:val="24"/>
                <w:lang w:val="en-US" w:eastAsia="en-US" w:bidi="ar-SA"/>
              </w:rPr>
              <w:t>Application of Aqua Ohio, Inc. for Authority to Assess a System Improvement Charge.</w:t>
            </w:r>
          </w:p>
        </w:tc>
        <w:tc>
          <w:tcPr>
            <w:tcW w:w="360" w:type="dxa"/>
            <w:shd w:val="clear" w:color="auto" w:fill="auto"/>
          </w:tcPr>
          <w:p w:rsidR="00841A9F" w:rsidRPr="00A044B5" w:rsidP="005E717C">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841A9F" w:rsidRPr="00A044B5" w:rsidP="005E717C">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841A9F" w:rsidRPr="00A044B5" w:rsidP="005E717C">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tc>
        <w:tc>
          <w:tcPr>
            <w:tcW w:w="4400" w:type="dxa"/>
            <w:shd w:val="clear" w:color="auto" w:fill="auto"/>
          </w:tcPr>
          <w:p w:rsidR="00841A9F" w:rsidRPr="00A044B5" w:rsidP="005E717C">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841A9F" w:rsidRPr="00A044B5" w:rsidP="005E717C">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 xml:space="preserve">Case No. </w:t>
            </w:r>
            <w:r>
              <w:rPr>
                <w:rFonts w:ascii="Times New Roman" w:eastAsia="Courier New" w:hAnsi="Times New Roman" w:cs="Courier New"/>
                <w:sz w:val="24"/>
                <w:lang w:val="en-US" w:eastAsia="en-US" w:bidi="ar-SA"/>
              </w:rPr>
              <w:t>1</w:t>
            </w:r>
            <w:r w:rsidR="007A461F">
              <w:rPr>
                <w:rFonts w:ascii="Times New Roman" w:eastAsia="Courier New" w:hAnsi="Times New Roman" w:cs="Courier New"/>
                <w:sz w:val="24"/>
                <w:lang w:val="en-US" w:eastAsia="en-US" w:bidi="ar-SA"/>
              </w:rPr>
              <w:t>8-0337-WW-SIC</w:t>
            </w:r>
          </w:p>
          <w:p w:rsidR="00841A9F" w:rsidRPr="00A044B5" w:rsidP="005E717C">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tc>
      </w:tr>
    </w:tbl>
    <w:p w:rsidR="00DB0ACF">
      <w:pPr>
        <w:pStyle w:val="Heading2"/>
        <w:pBdr>
          <w:bottom w:val="single" w:sz="12" w:space="1" w:color="auto"/>
        </w:pBdr>
        <w:jc w:val="left"/>
        <w:rPr>
          <w:b w:val="0"/>
        </w:rPr>
      </w:pPr>
    </w:p>
    <w:p w:rsidR="00DB0ACF">
      <w:pPr>
        <w:pStyle w:val="Heading2"/>
      </w:pPr>
    </w:p>
    <w:p w:rsidR="00DB0ACF">
      <w:pPr>
        <w:pStyle w:val="Heading2"/>
        <w:pBdr>
          <w:bottom w:val="single" w:sz="12" w:space="1" w:color="auto"/>
        </w:pBdr>
      </w:pPr>
      <w:r>
        <w:t>MEMORANDUM IN SUPPORT</w:t>
      </w:r>
      <w:r>
        <w:br/>
      </w:r>
    </w:p>
    <w:p w:rsidR="00DB0ACF">
      <w:pPr>
        <w:pStyle w:val="BodyTextIndent"/>
        <w:spacing w:line="240" w:lineRule="auto"/>
        <w:ind w:firstLine="0"/>
        <w:rPr>
          <w:b/>
          <w:bCs/>
        </w:rPr>
      </w:pPr>
    </w:p>
    <w:p w:rsidR="008F0F78" w:rsidP="008F0F78">
      <w:pPr>
        <w:pStyle w:val="BodyTextIndent"/>
        <w:numPr>
          <w:ilvl w:val="0"/>
          <w:numId w:val="8"/>
        </w:numPr>
        <w:spacing w:line="240" w:lineRule="auto"/>
        <w:rPr>
          <w:b/>
          <w:bCs/>
        </w:rPr>
      </w:pPr>
      <w:r>
        <w:rPr>
          <w:b/>
          <w:bCs/>
        </w:rPr>
        <w:t>INTRODUCTION</w:t>
      </w:r>
    </w:p>
    <w:p w:rsidR="008F0F78" w:rsidP="004416D5">
      <w:pPr>
        <w:pStyle w:val="BodyTextIndent3"/>
        <w:widowControl w:val="0"/>
        <w:spacing w:line="240" w:lineRule="auto"/>
        <w:ind w:right="-24"/>
      </w:pPr>
    </w:p>
    <w:p w:rsidR="0043182D" w:rsidP="007F754D">
      <w:pPr>
        <w:pStyle w:val="BodyTextIndent3"/>
        <w:widowControl w:val="0"/>
        <w:spacing w:line="480" w:lineRule="auto"/>
        <w:ind w:right="-24"/>
      </w:pPr>
      <w:r>
        <w:t xml:space="preserve">The PUCO’s Order </w:t>
      </w:r>
      <w:r w:rsidR="003A52D0">
        <w:t xml:space="preserve">expands the list of </w:t>
      </w:r>
      <w:r w:rsidR="007A461F">
        <w:t>plant</w:t>
      </w:r>
      <w:r w:rsidR="003A52D0">
        <w:t xml:space="preserve"> items eligible for recovery through a system improvement charge under R.C. 4909.172(C)(1)</w:t>
      </w:r>
      <w:r w:rsidR="00973CA8">
        <w:t xml:space="preserve"> in contravention of the section’s statutory scheme. Instead of adhering to the list of items specifically laid out in the statute, the Order adopts the </w:t>
      </w:r>
      <w:r w:rsidR="00154644">
        <w:t xml:space="preserve">Settlement </w:t>
      </w:r>
      <w:r w:rsidR="00973CA8">
        <w:t>filed by Aqua and Staff</w:t>
      </w:r>
      <w:r w:rsidR="00154644">
        <w:t>,</w:t>
      </w:r>
      <w:r w:rsidR="00973CA8">
        <w:t xml:space="preserve"> which allows for many more items to be charged to customers</w:t>
      </w:r>
      <w:r w:rsidR="006557B1">
        <w:t>, as</w:t>
      </w:r>
      <w:r w:rsidR="00973CA8">
        <w:t xml:space="preserve"> the </w:t>
      </w:r>
      <w:r w:rsidR="00154644">
        <w:t xml:space="preserve">Settlement </w:t>
      </w:r>
      <w:r w:rsidR="00973CA8">
        <w:t xml:space="preserve">calls for basing whether an item </w:t>
      </w:r>
      <w:r w:rsidR="007A461F">
        <w:t>is</w:t>
      </w:r>
      <w:r w:rsidR="006557B1">
        <w:t xml:space="preserve"> eligible for</w:t>
      </w:r>
      <w:r w:rsidR="00973CA8">
        <w:t xml:space="preserve"> SIC-</w:t>
      </w:r>
      <w:r w:rsidR="006557B1">
        <w:t xml:space="preserve">recovery </w:t>
      </w:r>
      <w:r w:rsidR="00973CA8">
        <w:t xml:space="preserve">if it is found in one of </w:t>
      </w:r>
      <w:r w:rsidR="007A461F">
        <w:t xml:space="preserve">13 </w:t>
      </w:r>
      <w:r w:rsidR="00973CA8">
        <w:t xml:space="preserve">designated Uniform System of Accounts </w:t>
      </w:r>
      <w:r w:rsidR="0028203E">
        <w:t>instead of strictly construing the list of eligible items for collection from customers based on the list included in the statute</w:t>
      </w:r>
      <w:r w:rsidR="00973CA8">
        <w:t xml:space="preserve">. This novel </w:t>
      </w:r>
      <w:r w:rsidR="006557B1">
        <w:t>interpretation of</w:t>
      </w:r>
      <w:r w:rsidR="00973CA8">
        <w:t xml:space="preserve"> R.C. 4909.172 </w:t>
      </w:r>
      <w:r w:rsidR="006557B1">
        <w:t xml:space="preserve">was not part of </w:t>
      </w:r>
      <w:r w:rsidR="007A461F">
        <w:t>the original statute or its revision,</w:t>
      </w:r>
      <w:r w:rsidR="006557B1">
        <w:t xml:space="preserve"> and the PUCO’s order is devoid of any discussion of </w:t>
      </w:r>
      <w:r w:rsidR="00C1738D">
        <w:t xml:space="preserve">how </w:t>
      </w:r>
      <w:r w:rsidR="00517017">
        <w:t>these accounts</w:t>
      </w:r>
      <w:r w:rsidR="006557B1">
        <w:t xml:space="preserve"> </w:t>
      </w:r>
      <w:r w:rsidR="00C1738D">
        <w:t xml:space="preserve">fit </w:t>
      </w:r>
      <w:r w:rsidR="006557B1">
        <w:t xml:space="preserve">into the statutory </w:t>
      </w:r>
      <w:r w:rsidR="00C1738D">
        <w:t>scheme of R.C. 4909.172. The PUCO’s Order adopting</w:t>
      </w:r>
      <w:r w:rsidR="006557B1">
        <w:t xml:space="preserve"> the </w:t>
      </w:r>
      <w:r w:rsidR="00154644">
        <w:t>Settlement</w:t>
      </w:r>
      <w:r w:rsidR="00C1738D">
        <w:t>, which substitutes the</w:t>
      </w:r>
      <w:r w:rsidR="00517017">
        <w:t>se accounts</w:t>
      </w:r>
      <w:r w:rsidR="006252CA">
        <w:t xml:space="preserve"> </w:t>
      </w:r>
      <w:r w:rsidR="00C1738D">
        <w:t>in place of specific mandated statutory items as SIC-recoverable,</w:t>
      </w:r>
      <w:r w:rsidR="006557B1">
        <w:t xml:space="preserve"> </w:t>
      </w:r>
      <w:r w:rsidR="00C1738D">
        <w:t>conflicts with R.C. 4909.172. The Order deviates,</w:t>
      </w:r>
      <w:r w:rsidR="006557B1">
        <w:t xml:space="preserve"> for the first time since the enactment of R.C. 4909.172 in 2004, from a system improvement charge that collects from customers more than costs for items that are specifically listed in the statute</w:t>
      </w:r>
      <w:r w:rsidR="00C1738D">
        <w:t xml:space="preserve"> and thus harms consumers.</w:t>
      </w:r>
      <w:r w:rsidR="006C4A0F">
        <w:t xml:space="preserve"> The PUCO should reconsider this proceeding and return to the traditional interpretation of R.C. 4909.172(C)(1)</w:t>
      </w:r>
      <w:r>
        <w:t>.</w:t>
      </w:r>
    </w:p>
    <w:p w:rsidR="007945CC" w:rsidP="007F754D">
      <w:pPr>
        <w:pStyle w:val="BodyTextIndent3"/>
        <w:widowControl w:val="0"/>
        <w:numPr>
          <w:ilvl w:val="0"/>
          <w:numId w:val="8"/>
        </w:numPr>
        <w:spacing w:before="240" w:line="480" w:lineRule="auto"/>
        <w:ind w:right="-29"/>
        <w:rPr>
          <w:b/>
        </w:rPr>
      </w:pPr>
      <w:r w:rsidRPr="007945CC">
        <w:rPr>
          <w:b/>
        </w:rPr>
        <w:t>STANDARD OF REVIEW</w:t>
      </w:r>
    </w:p>
    <w:p w:rsidR="00EA2CEA" w:rsidP="0082343E">
      <w:pPr>
        <w:pStyle w:val="BodyTextIndent3"/>
        <w:spacing w:line="480" w:lineRule="auto"/>
        <w:ind w:right="-29"/>
        <w:rPr>
          <w:b/>
        </w:rPr>
      </w:pPr>
      <w:r w:rsidRPr="00EA2CEA">
        <w:t>After an order is entered, intervenors in a PUCO proceeding have a statutory right to apply for rehearing “in respect to any matters determined in the proceeding.”</w:t>
      </w:r>
      <w:r>
        <w:rPr>
          <w:rStyle w:val="FootnoteReference"/>
        </w:rPr>
        <w:footnoteReference w:id="2"/>
      </w:r>
      <w:r w:rsidRPr="00EA2CEA">
        <w:t xml:space="preserve">  An application for rehearing must “set forth specifically the ground or grounds on which the applicant considers the order to be unreasonable or unlawful.”</w:t>
      </w:r>
      <w:r>
        <w:rPr>
          <w:rStyle w:val="FootnoteReference"/>
        </w:rPr>
        <w:footnoteReference w:id="3"/>
      </w:r>
      <w:r>
        <w:rPr>
          <w:b/>
        </w:rPr>
        <w:t xml:space="preserve"> </w:t>
      </w:r>
    </w:p>
    <w:p w:rsidR="00EA2CEA" w:rsidP="00EA2CEA">
      <w:pPr>
        <w:pStyle w:val="BodyTextIndent3"/>
        <w:widowControl w:val="0"/>
        <w:spacing w:line="480" w:lineRule="auto"/>
        <w:ind w:right="-24"/>
      </w:pPr>
      <w:r w:rsidRPr="00EA2CEA">
        <w:t>In considering an application for rehearing, R.C. 4903.10 provides that the PUCO may grant and hold rehearing if there is “sufficient reason” to do so. After such rehearing, the PUCO may “abrogate or modify” the order in question if the PUCO “is of the opinion that the original order or any part thereof is in any respect unjust or unwarranted.”</w:t>
      </w:r>
      <w:r>
        <w:rPr>
          <w:rStyle w:val="FootnoteReference"/>
        </w:rPr>
        <w:footnoteReference w:id="4"/>
      </w:r>
      <w:r w:rsidRPr="00EA2CEA">
        <w:t xml:space="preserve"> </w:t>
      </w:r>
    </w:p>
    <w:p w:rsidR="00EA2CEA" w:rsidP="00EA2CEA">
      <w:pPr>
        <w:pStyle w:val="BodyTextIndent3"/>
        <w:widowControl w:val="0"/>
        <w:spacing w:line="480" w:lineRule="auto"/>
        <w:ind w:right="-24"/>
      </w:pPr>
      <w:r>
        <w:t xml:space="preserve">In this case, the standard for rehearing under R.C. 4903.10 is met. The PUCO should grant OCC’s application for rehearing and abrogate the Order as OCC recommends. </w:t>
      </w:r>
    </w:p>
    <w:p w:rsidR="00137307" w:rsidP="004416D5">
      <w:pPr>
        <w:pStyle w:val="BodyTextIndent3"/>
        <w:widowControl w:val="0"/>
        <w:spacing w:line="240" w:lineRule="auto"/>
        <w:ind w:right="-24"/>
      </w:pPr>
    </w:p>
    <w:p w:rsidR="00137307" w:rsidP="00B73A55">
      <w:pPr>
        <w:pStyle w:val="BodyTextIndent3"/>
        <w:keepNext/>
        <w:widowControl w:val="0"/>
        <w:numPr>
          <w:ilvl w:val="0"/>
          <w:numId w:val="8"/>
        </w:numPr>
        <w:spacing w:line="480" w:lineRule="auto"/>
        <w:ind w:right="-29"/>
        <w:rPr>
          <w:b/>
        </w:rPr>
      </w:pPr>
      <w:r w:rsidRPr="00137307">
        <w:rPr>
          <w:b/>
        </w:rPr>
        <w:t>ASSIGNMENT OF ERROR</w:t>
      </w:r>
    </w:p>
    <w:p w:rsidR="00890C83" w:rsidP="003924C2">
      <w:pPr>
        <w:pStyle w:val="BodyTextIndent3"/>
        <w:numPr>
          <w:ilvl w:val="0"/>
          <w:numId w:val="12"/>
        </w:numPr>
        <w:spacing w:after="240" w:line="240" w:lineRule="auto"/>
        <w:ind w:left="1440" w:right="720" w:hanging="720"/>
      </w:pPr>
      <w:r>
        <w:t>The PUCO’s Order is unlawful and unreasonable because as a creature of statute the PUCO must follow Ohio law, but failed to do so in this case.</w:t>
      </w:r>
    </w:p>
    <w:p w:rsidR="00890C83" w:rsidP="00890C83">
      <w:pPr>
        <w:spacing w:line="480" w:lineRule="auto"/>
        <w:ind w:firstLine="720"/>
        <w:rPr>
          <w:szCs w:val="24"/>
        </w:rPr>
      </w:pPr>
      <w:r w:rsidRPr="00890C83">
        <w:rPr>
          <w:spacing w:val="-3"/>
          <w:szCs w:val="24"/>
        </w:rPr>
        <w:t>The PUCO is a creature of statute, and as such does not have the authority to act beyond the authority provided under Ohio statutes</w:t>
      </w:r>
      <w:r w:rsidR="00C61A05">
        <w:rPr>
          <w:spacing w:val="-3"/>
          <w:szCs w:val="24"/>
        </w:rPr>
        <w:t>.</w:t>
      </w:r>
      <w:r>
        <w:rPr>
          <w:rStyle w:val="FootnoteReference"/>
          <w:spacing w:val="-3"/>
          <w:szCs w:val="24"/>
        </w:rPr>
        <w:footnoteReference w:id="5"/>
      </w:r>
      <w:r>
        <w:rPr>
          <w:spacing w:val="-3"/>
          <w:szCs w:val="24"/>
        </w:rPr>
        <w:t xml:space="preserve">  </w:t>
      </w:r>
      <w:r>
        <w:t xml:space="preserve">The Settlement adopted by the PUCO </w:t>
      </w:r>
      <w:r w:rsidRPr="00B94BE3">
        <w:t>goes well beyond what is permitted under the statute. Nowhere in R.C. 4909.172</w:t>
      </w:r>
      <w:r>
        <w:t>(C)(1), does</w:t>
      </w:r>
      <w:r w:rsidRPr="00B94BE3">
        <w:t xml:space="preserve"> it state that the cost of an elevated storage tank roof may be collected from customers. The </w:t>
      </w:r>
      <w:r>
        <w:t>Settlement adopted by the PUCO</w:t>
      </w:r>
      <w:r w:rsidRPr="00B94BE3">
        <w:t xml:space="preserve"> go</w:t>
      </w:r>
      <w:r>
        <w:t>es</w:t>
      </w:r>
      <w:r w:rsidRPr="00B94BE3">
        <w:t xml:space="preserve"> beyond what is enumerated in the statute by permitting costs on a going</w:t>
      </w:r>
      <w:r>
        <w:t>-fo</w:t>
      </w:r>
      <w:r w:rsidRPr="00B94BE3">
        <w:t xml:space="preserve">rward basis </w:t>
      </w:r>
      <w:r w:rsidR="00C61A05">
        <w:t xml:space="preserve">of items </w:t>
      </w:r>
      <w:r w:rsidRPr="00B94BE3">
        <w:t xml:space="preserve">that are </w:t>
      </w:r>
      <w:r w:rsidR="00C61A05">
        <w:t>contained within</w:t>
      </w:r>
      <w:r w:rsidRPr="00B94BE3">
        <w:t xml:space="preserve"> 13 different account numbers, which is much broader than what the statute allows. </w:t>
      </w:r>
      <w:r>
        <w:rPr>
          <w:szCs w:val="24"/>
        </w:rPr>
        <w:t>Inclusion of these accounts as eligible for SIC collection is outside of what the statute allows and is contrary to PUCO practice and principles.</w:t>
      </w:r>
    </w:p>
    <w:p w:rsidR="00C61A05" w:rsidP="00C61A05">
      <w:pPr>
        <w:spacing w:line="480" w:lineRule="auto"/>
        <w:ind w:firstLine="720"/>
      </w:pPr>
      <w:r w:rsidRPr="00A2680D">
        <w:t xml:space="preserve">R.C. 4909.172 is very specific as to what </w:t>
      </w:r>
      <w:r>
        <w:t>s</w:t>
      </w:r>
      <w:r w:rsidRPr="00A2680D">
        <w:t xml:space="preserve">ystem </w:t>
      </w:r>
      <w:r>
        <w:t>i</w:t>
      </w:r>
      <w:r w:rsidRPr="00A2680D">
        <w:t xml:space="preserve">mprovement </w:t>
      </w:r>
      <w:r>
        <w:t>c</w:t>
      </w:r>
      <w:r w:rsidRPr="00A2680D">
        <w:t>harges are allowable for a waterworks company. The statute does not identify any</w:t>
      </w:r>
      <w:r>
        <w:t xml:space="preserve"> </w:t>
      </w:r>
      <w:r w:rsidRPr="00A2680D">
        <w:t>account numbers as being eligible.  The statute specifically allows for the replacement of only existing plant including chemical feed systems, filters, pumps, motors, plant generators, meters, service lines, hydrants, mains, and valves, main extensions that eliminate dead ends to resolve documented water supply problems presenting significant health or safety issues to then existing customers, and main cleaning or relining.</w:t>
      </w:r>
      <w:r>
        <w:rPr>
          <w:rStyle w:val="FootnoteReference"/>
        </w:rPr>
        <w:footnoteReference w:id="6"/>
      </w:r>
    </w:p>
    <w:p w:rsidR="00F10D36" w:rsidP="00890C83">
      <w:pPr>
        <w:spacing w:line="480" w:lineRule="auto"/>
        <w:ind w:firstLine="720"/>
        <w:rPr>
          <w:szCs w:val="24"/>
        </w:rPr>
      </w:pPr>
      <w:r>
        <w:rPr>
          <w:szCs w:val="24"/>
        </w:rPr>
        <w:t>But</w:t>
      </w:r>
      <w:r>
        <w:rPr>
          <w:szCs w:val="24"/>
        </w:rPr>
        <w:t xml:space="preserve"> under the Settlement, </w:t>
      </w:r>
      <w:r>
        <w:rPr>
          <w:szCs w:val="24"/>
        </w:rPr>
        <w:t xml:space="preserve">by bringing in the 13 accounts, many more items are potentially eligible for SIC inclusion. For example, </w:t>
      </w:r>
      <w:r w:rsidR="00F554C7">
        <w:rPr>
          <w:szCs w:val="24"/>
        </w:rPr>
        <w:t>one</w:t>
      </w:r>
      <w:r>
        <w:rPr>
          <w:szCs w:val="24"/>
        </w:rPr>
        <w:t xml:space="preserve"> of the</w:t>
      </w:r>
      <w:r>
        <w:rPr>
          <w:szCs w:val="24"/>
        </w:rPr>
        <w:t xml:space="preserve"> 13 accounts proposed to be included in and recovered through a SIC is Account 342 “Distribution Reservoirs and Standpipes” (excluding tank painting expenses).</w:t>
      </w:r>
      <w:r>
        <w:rPr>
          <w:rStyle w:val="FootnoteReference"/>
          <w:szCs w:val="24"/>
        </w:rPr>
        <w:footnoteReference w:id="7"/>
      </w:r>
      <w:r>
        <w:rPr>
          <w:szCs w:val="24"/>
        </w:rPr>
        <w:t xml:space="preserve"> The items listed in this account include:</w:t>
      </w:r>
    </w:p>
    <w:p w:rsidR="00F10D36" w:rsidRPr="00F10D36" w:rsidP="00005D88">
      <w:pPr>
        <w:pStyle w:val="ListParagraph"/>
        <w:numPr>
          <w:ilvl w:val="0"/>
          <w:numId w:val="13"/>
        </w:numPr>
        <w:rPr>
          <w:szCs w:val="24"/>
        </w:rPr>
      </w:pPr>
      <w:r w:rsidRPr="00F10D36">
        <w:rPr>
          <w:szCs w:val="24"/>
        </w:rPr>
        <w:t>Aerators (when installed as an integral part of distribution reservoirs)</w:t>
      </w:r>
    </w:p>
    <w:p w:rsidR="00F10D36" w:rsidP="00005D88">
      <w:pPr>
        <w:pStyle w:val="ListParagraph"/>
        <w:numPr>
          <w:ilvl w:val="0"/>
          <w:numId w:val="13"/>
        </w:numPr>
        <w:rPr>
          <w:szCs w:val="24"/>
        </w:rPr>
      </w:pPr>
      <w:r>
        <w:rPr>
          <w:szCs w:val="24"/>
        </w:rPr>
        <w:t>Bridges and culverts</w:t>
      </w:r>
    </w:p>
    <w:p w:rsidR="00005D88" w:rsidP="00005D88">
      <w:pPr>
        <w:pStyle w:val="ListParagraph"/>
        <w:numPr>
          <w:ilvl w:val="0"/>
          <w:numId w:val="13"/>
        </w:numPr>
        <w:rPr>
          <w:szCs w:val="24"/>
        </w:rPr>
      </w:pPr>
      <w:r>
        <w:rPr>
          <w:szCs w:val="24"/>
        </w:rPr>
        <w:t>Clearing land</w:t>
      </w:r>
    </w:p>
    <w:p w:rsidR="00005D88" w:rsidP="00005D88">
      <w:pPr>
        <w:pStyle w:val="ListParagraph"/>
        <w:numPr>
          <w:ilvl w:val="0"/>
          <w:numId w:val="13"/>
        </w:numPr>
        <w:rPr>
          <w:szCs w:val="24"/>
        </w:rPr>
      </w:pPr>
      <w:r>
        <w:rPr>
          <w:szCs w:val="24"/>
        </w:rPr>
        <w:t>Dams</w:t>
      </w:r>
    </w:p>
    <w:p w:rsidR="00005D88" w:rsidP="00005D88">
      <w:pPr>
        <w:pStyle w:val="ListParagraph"/>
        <w:numPr>
          <w:ilvl w:val="0"/>
          <w:numId w:val="13"/>
        </w:numPr>
        <w:rPr>
          <w:szCs w:val="24"/>
        </w:rPr>
      </w:pPr>
      <w:r>
        <w:rPr>
          <w:szCs w:val="24"/>
        </w:rPr>
        <w:t>Embankments</w:t>
      </w:r>
    </w:p>
    <w:p w:rsidR="00005D88" w:rsidP="00005D88">
      <w:pPr>
        <w:pStyle w:val="ListParagraph"/>
        <w:numPr>
          <w:ilvl w:val="0"/>
          <w:numId w:val="13"/>
        </w:numPr>
        <w:rPr>
          <w:szCs w:val="24"/>
        </w:rPr>
      </w:pPr>
      <w:r>
        <w:rPr>
          <w:szCs w:val="24"/>
        </w:rPr>
        <w:t>Fences</w:t>
      </w:r>
    </w:p>
    <w:p w:rsidR="00005D88" w:rsidP="00005D88">
      <w:pPr>
        <w:pStyle w:val="ListParagraph"/>
        <w:numPr>
          <w:ilvl w:val="0"/>
          <w:numId w:val="13"/>
        </w:numPr>
        <w:rPr>
          <w:szCs w:val="24"/>
        </w:rPr>
      </w:pPr>
      <w:r>
        <w:rPr>
          <w:szCs w:val="24"/>
        </w:rPr>
        <w:t>Foundations</w:t>
      </w:r>
    </w:p>
    <w:p w:rsidR="00005D88" w:rsidP="00005D88">
      <w:pPr>
        <w:pStyle w:val="ListParagraph"/>
        <w:numPr>
          <w:ilvl w:val="0"/>
          <w:numId w:val="13"/>
        </w:numPr>
        <w:rPr>
          <w:szCs w:val="24"/>
        </w:rPr>
      </w:pPr>
      <w:r>
        <w:rPr>
          <w:szCs w:val="24"/>
        </w:rPr>
        <w:t>Gates and gate houses</w:t>
      </w:r>
    </w:p>
    <w:p w:rsidR="00005D88" w:rsidP="00005D88">
      <w:pPr>
        <w:pStyle w:val="ListParagraph"/>
        <w:numPr>
          <w:ilvl w:val="0"/>
          <w:numId w:val="13"/>
        </w:numPr>
        <w:rPr>
          <w:szCs w:val="24"/>
        </w:rPr>
      </w:pPr>
      <w:r>
        <w:rPr>
          <w:szCs w:val="24"/>
        </w:rPr>
        <w:t>Landscaping</w:t>
      </w:r>
    </w:p>
    <w:p w:rsidR="00005D88" w:rsidP="00005D88">
      <w:pPr>
        <w:pStyle w:val="ListParagraph"/>
        <w:numPr>
          <w:ilvl w:val="0"/>
          <w:numId w:val="13"/>
        </w:numPr>
        <w:rPr>
          <w:szCs w:val="24"/>
        </w:rPr>
      </w:pPr>
      <w:r>
        <w:rPr>
          <w:szCs w:val="24"/>
        </w:rPr>
        <w:t>Lighting systems</w:t>
      </w:r>
    </w:p>
    <w:p w:rsidR="00005D88" w:rsidP="00005D88">
      <w:pPr>
        <w:pStyle w:val="ListParagraph"/>
        <w:numPr>
          <w:ilvl w:val="0"/>
          <w:numId w:val="13"/>
        </w:numPr>
        <w:rPr>
          <w:szCs w:val="24"/>
        </w:rPr>
      </w:pPr>
      <w:r>
        <w:rPr>
          <w:szCs w:val="24"/>
        </w:rPr>
        <w:t>Piping system within reservoirs</w:t>
      </w:r>
    </w:p>
    <w:p w:rsidR="00005D88" w:rsidP="00005D88">
      <w:pPr>
        <w:pStyle w:val="ListParagraph"/>
        <w:numPr>
          <w:ilvl w:val="0"/>
          <w:numId w:val="13"/>
        </w:numPr>
        <w:rPr>
          <w:szCs w:val="24"/>
        </w:rPr>
      </w:pPr>
      <w:r>
        <w:rPr>
          <w:szCs w:val="24"/>
        </w:rPr>
        <w:t>Retaining walls</w:t>
      </w:r>
    </w:p>
    <w:p w:rsidR="00005D88" w:rsidP="00005D88">
      <w:pPr>
        <w:pStyle w:val="ListParagraph"/>
        <w:numPr>
          <w:ilvl w:val="0"/>
          <w:numId w:val="13"/>
        </w:numPr>
        <w:rPr>
          <w:szCs w:val="24"/>
        </w:rPr>
      </w:pPr>
      <w:r>
        <w:rPr>
          <w:szCs w:val="24"/>
        </w:rPr>
        <w:t>Roads and paths</w:t>
      </w:r>
    </w:p>
    <w:p w:rsidR="00005D88" w:rsidP="00005D88">
      <w:pPr>
        <w:pStyle w:val="ListParagraph"/>
        <w:numPr>
          <w:ilvl w:val="0"/>
          <w:numId w:val="13"/>
        </w:numPr>
        <w:rPr>
          <w:szCs w:val="24"/>
        </w:rPr>
      </w:pPr>
      <w:r>
        <w:rPr>
          <w:szCs w:val="24"/>
        </w:rPr>
        <w:t>Rust-proofing apparatus</w:t>
      </w:r>
    </w:p>
    <w:p w:rsidR="00005D88" w:rsidP="00005D88">
      <w:pPr>
        <w:pStyle w:val="ListParagraph"/>
        <w:numPr>
          <w:ilvl w:val="0"/>
          <w:numId w:val="13"/>
        </w:numPr>
        <w:rPr>
          <w:szCs w:val="24"/>
        </w:rPr>
      </w:pPr>
      <w:r>
        <w:rPr>
          <w:szCs w:val="24"/>
        </w:rPr>
        <w:t>Sewers</w:t>
      </w:r>
    </w:p>
    <w:p w:rsidR="00005D88" w:rsidP="00005D88">
      <w:pPr>
        <w:pStyle w:val="ListParagraph"/>
        <w:numPr>
          <w:ilvl w:val="0"/>
          <w:numId w:val="13"/>
        </w:numPr>
        <w:rPr>
          <w:szCs w:val="24"/>
        </w:rPr>
      </w:pPr>
      <w:r>
        <w:rPr>
          <w:szCs w:val="24"/>
        </w:rPr>
        <w:t>Spillways and channels</w:t>
      </w:r>
    </w:p>
    <w:p w:rsidR="00005D88" w:rsidP="00005D88">
      <w:pPr>
        <w:pStyle w:val="ListParagraph"/>
        <w:numPr>
          <w:ilvl w:val="0"/>
          <w:numId w:val="13"/>
        </w:numPr>
        <w:rPr>
          <w:szCs w:val="24"/>
        </w:rPr>
      </w:pPr>
      <w:r>
        <w:rPr>
          <w:szCs w:val="24"/>
        </w:rPr>
        <w:t>Standpipes</w:t>
      </w:r>
    </w:p>
    <w:p w:rsidR="00005D88" w:rsidP="00005D88">
      <w:pPr>
        <w:pStyle w:val="ListParagraph"/>
        <w:numPr>
          <w:ilvl w:val="0"/>
          <w:numId w:val="13"/>
        </w:numPr>
        <w:rPr>
          <w:szCs w:val="24"/>
        </w:rPr>
      </w:pPr>
      <w:r>
        <w:rPr>
          <w:szCs w:val="24"/>
        </w:rPr>
        <w:t>Superstructures</w:t>
      </w:r>
    </w:p>
    <w:p w:rsidR="00005D88" w:rsidP="00005D88">
      <w:pPr>
        <w:pStyle w:val="ListParagraph"/>
        <w:numPr>
          <w:ilvl w:val="0"/>
          <w:numId w:val="13"/>
        </w:numPr>
        <w:rPr>
          <w:szCs w:val="24"/>
        </w:rPr>
      </w:pPr>
      <w:r>
        <w:rPr>
          <w:szCs w:val="24"/>
        </w:rPr>
        <w:t>Tanks</w:t>
      </w:r>
    </w:p>
    <w:p w:rsidR="00005D88" w:rsidP="00005D88">
      <w:pPr>
        <w:pStyle w:val="ListParagraph"/>
        <w:numPr>
          <w:ilvl w:val="0"/>
          <w:numId w:val="13"/>
        </w:numPr>
        <w:rPr>
          <w:szCs w:val="24"/>
        </w:rPr>
      </w:pPr>
      <w:r>
        <w:rPr>
          <w:szCs w:val="24"/>
        </w:rPr>
        <w:t>Towers</w:t>
      </w:r>
    </w:p>
    <w:p w:rsidR="00005D88" w:rsidP="00005D88">
      <w:pPr>
        <w:pStyle w:val="ListParagraph"/>
        <w:numPr>
          <w:ilvl w:val="0"/>
          <w:numId w:val="13"/>
        </w:numPr>
        <w:rPr>
          <w:szCs w:val="24"/>
        </w:rPr>
      </w:pPr>
      <w:r>
        <w:rPr>
          <w:szCs w:val="24"/>
        </w:rPr>
        <w:t>Valves and appurtenances</w:t>
      </w:r>
    </w:p>
    <w:p w:rsidR="00005D88" w:rsidP="00005D88">
      <w:pPr>
        <w:pStyle w:val="ListParagraph"/>
        <w:numPr>
          <w:ilvl w:val="0"/>
          <w:numId w:val="13"/>
        </w:numPr>
        <w:rPr>
          <w:szCs w:val="24"/>
        </w:rPr>
      </w:pPr>
      <w:r>
        <w:rPr>
          <w:szCs w:val="24"/>
        </w:rPr>
        <w:t>Valve vaults and houses</w:t>
      </w:r>
    </w:p>
    <w:p w:rsidR="00005D88" w:rsidP="00005D88">
      <w:pPr>
        <w:pStyle w:val="ListParagraph"/>
        <w:numPr>
          <w:ilvl w:val="0"/>
          <w:numId w:val="13"/>
        </w:numPr>
        <w:rPr>
          <w:szCs w:val="24"/>
        </w:rPr>
      </w:pPr>
      <w:r>
        <w:rPr>
          <w:szCs w:val="24"/>
        </w:rPr>
        <w:t>Water level control apparatus</w:t>
      </w:r>
    </w:p>
    <w:p w:rsidR="00D37949" w:rsidP="00D37949">
      <w:pPr>
        <w:rPr>
          <w:szCs w:val="24"/>
        </w:rPr>
      </w:pPr>
    </w:p>
    <w:p w:rsidR="007F6405" w:rsidP="00D37949">
      <w:pPr>
        <w:rPr>
          <w:szCs w:val="24"/>
        </w:rPr>
      </w:pPr>
      <w:r>
        <w:rPr>
          <w:szCs w:val="24"/>
        </w:rPr>
        <w:t xml:space="preserve">Account 342 is </w:t>
      </w:r>
      <w:r w:rsidR="00002BAD">
        <w:rPr>
          <w:szCs w:val="24"/>
        </w:rPr>
        <w:t>just</w:t>
      </w:r>
      <w:r>
        <w:rPr>
          <w:szCs w:val="24"/>
        </w:rPr>
        <w:t xml:space="preserve"> </w:t>
      </w:r>
      <w:r>
        <w:rPr>
          <w:szCs w:val="24"/>
        </w:rPr>
        <w:t>one of the 13</w:t>
      </w:r>
      <w:r w:rsidR="006252CA">
        <w:rPr>
          <w:szCs w:val="24"/>
        </w:rPr>
        <w:t xml:space="preserve"> a</w:t>
      </w:r>
      <w:r>
        <w:rPr>
          <w:szCs w:val="24"/>
        </w:rPr>
        <w:t xml:space="preserve">ccounts proposed to be included in a </w:t>
      </w:r>
      <w:r w:rsidR="004506EB">
        <w:rPr>
          <w:szCs w:val="24"/>
        </w:rPr>
        <w:t>system</w:t>
      </w:r>
    </w:p>
    <w:p w:rsidR="007F6405" w:rsidP="00D37949">
      <w:pPr>
        <w:rPr>
          <w:szCs w:val="24"/>
        </w:rPr>
      </w:pPr>
    </w:p>
    <w:p w:rsidR="00F554C7" w:rsidP="00D37949">
      <w:pPr>
        <w:rPr>
          <w:szCs w:val="24"/>
        </w:rPr>
      </w:pPr>
      <w:r>
        <w:rPr>
          <w:szCs w:val="24"/>
        </w:rPr>
        <w:t xml:space="preserve"> improvement surcharge</w:t>
      </w:r>
      <w:r w:rsidR="00C61A05">
        <w:rPr>
          <w:szCs w:val="24"/>
        </w:rPr>
        <w:t xml:space="preserve"> under the Settlement.</w:t>
      </w:r>
      <w:r>
        <w:rPr>
          <w:szCs w:val="24"/>
        </w:rPr>
        <w:t xml:space="preserve"> </w:t>
      </w:r>
      <w:r w:rsidR="00D37949">
        <w:rPr>
          <w:szCs w:val="24"/>
        </w:rPr>
        <w:t xml:space="preserve">From this list of 23 items </w:t>
      </w:r>
      <w:r>
        <w:rPr>
          <w:szCs w:val="24"/>
        </w:rPr>
        <w:t xml:space="preserve">within </w:t>
      </w:r>
    </w:p>
    <w:p w:rsidR="00F554C7" w:rsidP="00D37949">
      <w:pPr>
        <w:rPr>
          <w:szCs w:val="24"/>
        </w:rPr>
      </w:pPr>
    </w:p>
    <w:p w:rsidR="00F554C7" w:rsidP="00D37949">
      <w:pPr>
        <w:rPr>
          <w:szCs w:val="24"/>
        </w:rPr>
      </w:pPr>
      <w:r>
        <w:rPr>
          <w:szCs w:val="24"/>
        </w:rPr>
        <w:t xml:space="preserve">Account 342 that </w:t>
      </w:r>
      <w:r w:rsidR="004506EB">
        <w:rPr>
          <w:szCs w:val="24"/>
        </w:rPr>
        <w:t>are</w:t>
      </w:r>
      <w:r>
        <w:rPr>
          <w:szCs w:val="24"/>
        </w:rPr>
        <w:t xml:space="preserve"> now included in the SIC under the Settlement,</w:t>
      </w:r>
      <w:r w:rsidR="007F6405">
        <w:rPr>
          <w:szCs w:val="24"/>
        </w:rPr>
        <w:t xml:space="preserve"> only</w:t>
      </w:r>
      <w:r w:rsidR="00D37949">
        <w:rPr>
          <w:szCs w:val="24"/>
        </w:rPr>
        <w:t xml:space="preserve"> </w:t>
      </w:r>
      <w:r w:rsidR="00C61A05">
        <w:rPr>
          <w:szCs w:val="24"/>
        </w:rPr>
        <w:t xml:space="preserve">two of the items </w:t>
      </w:r>
    </w:p>
    <w:p w:rsidR="00F554C7" w:rsidP="00D37949">
      <w:pPr>
        <w:rPr>
          <w:szCs w:val="24"/>
        </w:rPr>
      </w:pPr>
    </w:p>
    <w:p w:rsidR="007B025B" w:rsidRPr="00D37949" w:rsidP="00002BAD">
      <w:pPr>
        <w:spacing w:line="480" w:lineRule="auto"/>
        <w:rPr>
          <w:szCs w:val="24"/>
        </w:rPr>
      </w:pPr>
      <w:r>
        <w:rPr>
          <w:szCs w:val="24"/>
        </w:rPr>
        <w:t xml:space="preserve">on this list, </w:t>
      </w:r>
      <w:r w:rsidR="00D37949">
        <w:rPr>
          <w:szCs w:val="24"/>
        </w:rPr>
        <w:t>valves</w:t>
      </w:r>
      <w:r>
        <w:rPr>
          <w:szCs w:val="24"/>
        </w:rPr>
        <w:t xml:space="preserve"> </w:t>
      </w:r>
      <w:r>
        <w:rPr>
          <w:szCs w:val="24"/>
        </w:rPr>
        <w:t>(items 21 and 22)</w:t>
      </w:r>
      <w:r w:rsidR="002F4E40">
        <w:rPr>
          <w:szCs w:val="24"/>
        </w:rPr>
        <w:t>,</w:t>
      </w:r>
      <w:r>
        <w:rPr>
          <w:szCs w:val="24"/>
        </w:rPr>
        <w:t xml:space="preserve"> </w:t>
      </w:r>
      <w:r>
        <w:rPr>
          <w:szCs w:val="24"/>
        </w:rPr>
        <w:t>are listed in</w:t>
      </w:r>
      <w:r w:rsidR="00F554C7">
        <w:rPr>
          <w:szCs w:val="24"/>
        </w:rPr>
        <w:t xml:space="preserve"> </w:t>
      </w:r>
      <w:r>
        <w:rPr>
          <w:szCs w:val="24"/>
        </w:rPr>
        <w:t xml:space="preserve">the statute. The other 21 listed items, including tanks and </w:t>
      </w:r>
      <w:r>
        <w:rPr>
          <w:szCs w:val="24"/>
        </w:rPr>
        <w:t xml:space="preserve">tank roofs, are not included in R.C. </w:t>
      </w:r>
      <w:r w:rsidRPr="00D02D6D">
        <w:rPr>
          <w:szCs w:val="24"/>
        </w:rPr>
        <w:t>4909.172(C)(1)</w:t>
      </w:r>
      <w:r w:rsidR="00002BAD">
        <w:rPr>
          <w:szCs w:val="24"/>
        </w:rPr>
        <w:t>.</w:t>
      </w:r>
      <w:r>
        <w:rPr>
          <w:szCs w:val="24"/>
        </w:rPr>
        <w:t xml:space="preserve"> </w:t>
      </w:r>
    </w:p>
    <w:p w:rsidR="00395112" w:rsidRPr="00D02D6D" w:rsidP="00395112">
      <w:pPr>
        <w:pStyle w:val="BodyText"/>
        <w:spacing w:line="480" w:lineRule="auto"/>
        <w:ind w:right="317" w:firstLine="720"/>
        <w:jc w:val="left"/>
        <w:rPr>
          <w:szCs w:val="24"/>
        </w:rPr>
      </w:pPr>
      <w:r w:rsidRPr="00D02D6D">
        <w:rPr>
          <w:szCs w:val="24"/>
        </w:rPr>
        <w:t xml:space="preserve">The statutory language of </w:t>
      </w:r>
      <w:r w:rsidR="007B025B">
        <w:rPr>
          <w:szCs w:val="24"/>
        </w:rPr>
        <w:t xml:space="preserve">R.C. </w:t>
      </w:r>
      <w:r w:rsidRPr="00D02D6D">
        <w:rPr>
          <w:szCs w:val="24"/>
        </w:rPr>
        <w:t xml:space="preserve">4909.172(C)(1) is very clear on what </w:t>
      </w:r>
      <w:r>
        <w:rPr>
          <w:szCs w:val="24"/>
        </w:rPr>
        <w:t>system improvement costs may be collected from consumers under the law</w:t>
      </w:r>
      <w:r w:rsidRPr="00D02D6D">
        <w:rPr>
          <w:szCs w:val="24"/>
        </w:rPr>
        <w:t xml:space="preserve">. </w:t>
      </w:r>
      <w:r>
        <w:rPr>
          <w:szCs w:val="24"/>
        </w:rPr>
        <w:t xml:space="preserve"> </w:t>
      </w:r>
      <w:r w:rsidRPr="00D02D6D">
        <w:rPr>
          <w:szCs w:val="24"/>
        </w:rPr>
        <w:t>R.C. 4909.172(C)(1)</w:t>
      </w:r>
      <w:r w:rsidR="006564DA">
        <w:rPr>
          <w:szCs w:val="24"/>
        </w:rPr>
        <w:t>, amended in 2013,</w:t>
      </w:r>
      <w:r w:rsidRPr="00D02D6D">
        <w:rPr>
          <w:szCs w:val="24"/>
        </w:rPr>
        <w:t xml:space="preserve"> describes the capital improvements that may comprise infrastructure plant recoverable through a SIC:</w:t>
      </w:r>
    </w:p>
    <w:p w:rsidR="00395112" w:rsidRPr="00D02D6D" w:rsidP="00395112">
      <w:pPr>
        <w:pStyle w:val="BodyText"/>
        <w:ind w:left="1440" w:right="720"/>
        <w:jc w:val="left"/>
        <w:rPr>
          <w:szCs w:val="24"/>
        </w:rPr>
      </w:pPr>
      <w:r w:rsidRPr="00D02D6D">
        <w:rPr>
          <w:szCs w:val="24"/>
        </w:rPr>
        <w:t>In the case of a waterworks company, replacement of existing plant including chemical feed systems, filters, pumps, motors, plant generators, meters, service lines, hydrants, mains, and valves, main extensions that eliminate dead ends to resolve documented water supply problems presenting significant health or safety issues to then existing customers, and main cleaning or relining.</w:t>
      </w:r>
    </w:p>
    <w:p w:rsidR="00395112" w:rsidRPr="00D02D6D" w:rsidP="00395112">
      <w:pPr>
        <w:pStyle w:val="BodyText"/>
        <w:ind w:left="1440" w:right="720"/>
        <w:jc w:val="left"/>
        <w:rPr>
          <w:szCs w:val="24"/>
        </w:rPr>
      </w:pPr>
    </w:p>
    <w:p w:rsidR="00395112" w:rsidRPr="00D02D6D" w:rsidP="00395112">
      <w:pPr>
        <w:pStyle w:val="Footer"/>
        <w:tabs>
          <w:tab w:val="clear" w:pos="4320"/>
          <w:tab w:val="clear" w:pos="8640"/>
        </w:tabs>
        <w:spacing w:line="480" w:lineRule="auto"/>
        <w:rPr>
          <w:szCs w:val="24"/>
        </w:rPr>
      </w:pPr>
      <w:r>
        <w:rPr>
          <w:sz w:val="24"/>
          <w:szCs w:val="24"/>
        </w:rPr>
        <w:t xml:space="preserve">This </w:t>
      </w:r>
      <w:r w:rsidR="007B025B">
        <w:rPr>
          <w:sz w:val="24"/>
          <w:szCs w:val="24"/>
        </w:rPr>
        <w:t>amended</w:t>
      </w:r>
      <w:r>
        <w:rPr>
          <w:sz w:val="24"/>
          <w:szCs w:val="24"/>
        </w:rPr>
        <w:t xml:space="preserve"> language added specific water capital improvement plant items eligible for inclusion in calculating the SIC. </w:t>
      </w:r>
      <w:r>
        <w:rPr>
          <w:sz w:val="24"/>
          <w:szCs w:val="24"/>
        </w:rPr>
        <w:t xml:space="preserve">The Settlement adopted by the PUCO </w:t>
      </w:r>
      <w:r w:rsidRPr="002B1150">
        <w:rPr>
          <w:sz w:val="24"/>
          <w:szCs w:val="24"/>
        </w:rPr>
        <w:t>expand</w:t>
      </w:r>
      <w:r>
        <w:rPr>
          <w:sz w:val="24"/>
          <w:szCs w:val="24"/>
        </w:rPr>
        <w:t>s</w:t>
      </w:r>
      <w:r w:rsidRPr="002B1150">
        <w:rPr>
          <w:sz w:val="24"/>
          <w:szCs w:val="24"/>
        </w:rPr>
        <w:t xml:space="preserve"> th</w:t>
      </w:r>
      <w:r>
        <w:rPr>
          <w:sz w:val="24"/>
          <w:szCs w:val="24"/>
        </w:rPr>
        <w:t>e</w:t>
      </w:r>
      <w:r w:rsidRPr="002B1150">
        <w:rPr>
          <w:sz w:val="24"/>
          <w:szCs w:val="24"/>
        </w:rPr>
        <w:t xml:space="preserve"> </w:t>
      </w:r>
      <w:r>
        <w:rPr>
          <w:sz w:val="24"/>
          <w:szCs w:val="24"/>
        </w:rPr>
        <w:t xml:space="preserve">list in R.C. 4909.172(C)(1) by including 13 </w:t>
      </w:r>
      <w:r>
        <w:rPr>
          <w:sz w:val="24"/>
          <w:szCs w:val="24"/>
        </w:rPr>
        <w:t>separate</w:t>
      </w:r>
      <w:r>
        <w:rPr>
          <w:sz w:val="24"/>
          <w:szCs w:val="24"/>
        </w:rPr>
        <w:t xml:space="preserve"> accounts</w:t>
      </w:r>
      <w:r>
        <w:rPr>
          <w:color w:val="FF0000"/>
          <w:sz w:val="24"/>
          <w:szCs w:val="24"/>
        </w:rPr>
        <w:t xml:space="preserve"> </w:t>
      </w:r>
      <w:r>
        <w:rPr>
          <w:sz w:val="24"/>
          <w:szCs w:val="24"/>
        </w:rPr>
        <w:t>under which to charge consumers for plant, claiming they are included in R.C. 4909.172(C)(1).</w:t>
      </w:r>
      <w:r w:rsidRPr="002B1150">
        <w:rPr>
          <w:sz w:val="24"/>
          <w:szCs w:val="24"/>
        </w:rPr>
        <w:t xml:space="preserve"> </w:t>
      </w:r>
      <w:r>
        <w:rPr>
          <w:sz w:val="24"/>
          <w:szCs w:val="24"/>
        </w:rPr>
        <w:t>By adopting the S</w:t>
      </w:r>
      <w:r w:rsidR="007B025B">
        <w:rPr>
          <w:sz w:val="24"/>
          <w:szCs w:val="24"/>
        </w:rPr>
        <w:t>ettlement</w:t>
      </w:r>
      <w:r>
        <w:rPr>
          <w:sz w:val="24"/>
          <w:szCs w:val="24"/>
        </w:rPr>
        <w:t>, the PUCO’s order attempts to achieve</w:t>
      </w:r>
      <w:r w:rsidRPr="002B1150">
        <w:rPr>
          <w:sz w:val="24"/>
          <w:szCs w:val="24"/>
        </w:rPr>
        <w:t xml:space="preserve"> in this case </w:t>
      </w:r>
      <w:r>
        <w:rPr>
          <w:sz w:val="24"/>
          <w:szCs w:val="24"/>
        </w:rPr>
        <w:t>that which has not been</w:t>
      </w:r>
      <w:r w:rsidRPr="002B1150">
        <w:rPr>
          <w:sz w:val="24"/>
          <w:szCs w:val="24"/>
        </w:rPr>
        <w:t xml:space="preserve"> authorized legislatively.</w:t>
      </w:r>
      <w:r>
        <w:rPr>
          <w:rStyle w:val="FootnoteReference"/>
          <w:sz w:val="24"/>
          <w:szCs w:val="24"/>
        </w:rPr>
        <w:footnoteReference w:id="8"/>
      </w:r>
      <w:r w:rsidRPr="00D02D6D">
        <w:rPr>
          <w:szCs w:val="24"/>
        </w:rPr>
        <w:t xml:space="preserve"> </w:t>
      </w:r>
    </w:p>
    <w:p w:rsidR="00395112" w:rsidP="00395112">
      <w:pPr>
        <w:spacing w:line="480" w:lineRule="auto"/>
        <w:ind w:firstLine="720"/>
      </w:pPr>
      <w:r>
        <w:t xml:space="preserve">The PUCO’s Order adopting the Settlement harms consumers in the immediate and long-term. By broadening the scope of </w:t>
      </w:r>
      <w:r w:rsidR="007B025B">
        <w:t xml:space="preserve">R.C. </w:t>
      </w:r>
      <w:r>
        <w:t xml:space="preserve">4909.172 to include account numbers </w:t>
      </w:r>
      <w:r w:rsidRPr="003924C2">
        <w:t xml:space="preserve">containing an expanded list of items within the accounts, </w:t>
      </w:r>
      <w:r>
        <w:t>rather than specific plant items identified by the Ohio statute, the Order authorizes</w:t>
      </w:r>
      <w:r w:rsidRPr="00B94BE3">
        <w:t xml:space="preserve"> collection of costs from customers for the replacement of an </w:t>
      </w:r>
      <w:r>
        <w:t xml:space="preserve">$832,862 </w:t>
      </w:r>
      <w:r w:rsidRPr="00B94BE3">
        <w:t xml:space="preserve">elevated storage tank roof not permitted under the </w:t>
      </w:r>
      <w:r>
        <w:t>statutory language of</w:t>
      </w:r>
      <w:r w:rsidRPr="00B94BE3">
        <w:t xml:space="preserve"> R.C. 4909.172</w:t>
      </w:r>
      <w:r>
        <w:t>. Elevated storage tank roofs are not an eligible item recoverable under R.C. 4909.172 for consideration under a system improvement charge. Looking long-term, the Settlement adopted in the PUCO’s Order specifically serves as a direction to the PUCO on account costs recoverable in future SIC filings.</w:t>
      </w:r>
      <w:r>
        <w:rPr>
          <w:rStyle w:val="FootnoteReference"/>
        </w:rPr>
        <w:footnoteReference w:id="9"/>
      </w:r>
      <w:r w:rsidRPr="00BA14EB">
        <w:t xml:space="preserve"> </w:t>
      </w:r>
      <w:r>
        <w:t xml:space="preserve">The PUCO improperly allowed Aqua to accomplish in this SIC case (and </w:t>
      </w:r>
      <w:r w:rsidR="007B025B">
        <w:t xml:space="preserve">potentially in </w:t>
      </w:r>
      <w:r>
        <w:t xml:space="preserve">future SIC cases) a rewrite of the law that protects consumers. </w:t>
      </w:r>
    </w:p>
    <w:p w:rsidR="00517017" w:rsidRPr="007C3C5C" w:rsidP="006252CA">
      <w:pPr>
        <w:pStyle w:val="Footer"/>
        <w:tabs>
          <w:tab w:val="clear" w:pos="4320"/>
          <w:tab w:val="clear" w:pos="8640"/>
        </w:tabs>
        <w:spacing w:line="480" w:lineRule="auto"/>
        <w:ind w:firstLine="720"/>
        <w:rPr>
          <w:color w:val="FF0000"/>
          <w:szCs w:val="24"/>
        </w:rPr>
      </w:pPr>
      <w:r>
        <w:rPr>
          <w:sz w:val="24"/>
          <w:szCs w:val="24"/>
        </w:rPr>
        <w:t xml:space="preserve">The PUCO was obligated to follow the law.  In this case, the PUCO failed to do so.  Therefore, the PUCO should grant OCC’s application for rehearing and abrogate the Settlement. At a minimum, the PUCO should reverse its decision to charge consumers for </w:t>
      </w:r>
      <w:r w:rsidRPr="003924C2">
        <w:rPr>
          <w:sz w:val="24"/>
          <w:szCs w:val="24"/>
        </w:rPr>
        <w:t xml:space="preserve">the additional $832,862 (net of retirement) for the tank roof. </w:t>
      </w:r>
    </w:p>
    <w:p w:rsidR="00890C83" w:rsidRPr="00890C83" w:rsidP="009E11BC">
      <w:pPr>
        <w:pStyle w:val="BodyTextIndent3"/>
        <w:spacing w:after="240" w:line="240" w:lineRule="auto"/>
        <w:ind w:right="720" w:firstLine="0"/>
        <w:rPr>
          <w:szCs w:val="24"/>
        </w:rPr>
      </w:pPr>
    </w:p>
    <w:p w:rsidR="004416D5" w:rsidP="004416D5">
      <w:pPr>
        <w:pStyle w:val="BodyTextIndent3"/>
        <w:widowControl w:val="0"/>
        <w:spacing w:line="240" w:lineRule="auto"/>
        <w:ind w:right="-312"/>
      </w:pPr>
    </w:p>
    <w:p w:rsidR="00160233" w:rsidP="003924C2">
      <w:pPr>
        <w:pStyle w:val="BodyTextIndent3"/>
        <w:keepNext/>
        <w:widowControl w:val="0"/>
        <w:spacing w:line="480" w:lineRule="auto"/>
        <w:ind w:left="720" w:right="-29" w:hanging="720"/>
        <w:rPr>
          <w:b/>
        </w:rPr>
      </w:pPr>
      <w:r>
        <w:rPr>
          <w:b/>
        </w:rPr>
        <w:t xml:space="preserve">IV. </w:t>
      </w:r>
      <w:r w:rsidR="003924C2">
        <w:rPr>
          <w:b/>
        </w:rPr>
        <w:tab/>
      </w:r>
      <w:r w:rsidR="003C6349">
        <w:rPr>
          <w:b/>
        </w:rPr>
        <w:t>CONCLUSION</w:t>
      </w:r>
    </w:p>
    <w:p w:rsidR="00852FA4" w:rsidRPr="00FC2191" w:rsidP="00852FA4">
      <w:pPr>
        <w:pStyle w:val="BodyTextIndent3"/>
        <w:spacing w:line="480" w:lineRule="auto"/>
        <w:ind w:right="-312"/>
      </w:pPr>
      <w:r>
        <w:t xml:space="preserve">The fact that the legislature in its revision of </w:t>
      </w:r>
      <w:r w:rsidR="007B025B">
        <w:t xml:space="preserve">R.C. </w:t>
      </w:r>
      <w:r>
        <w:t xml:space="preserve">4909.172(C)(1) in 2013 expanded the list of recoverable plant items under a system improvement charge by specifically naming </w:t>
      </w:r>
      <w:r w:rsidR="00877D78">
        <w:t xml:space="preserve">certain </w:t>
      </w:r>
      <w:r>
        <w:t xml:space="preserve">additional items for inclusion, but did not enumerate additional items, or additional accounts, is telling. The PUCO’s order improperly expands the list by including </w:t>
      </w:r>
      <w:r w:rsidR="00FC0BA7">
        <w:t>items in</w:t>
      </w:r>
      <w:r>
        <w:t xml:space="preserve"> </w:t>
      </w:r>
      <w:r w:rsidR="00FC0BA7">
        <w:t>13 accounts in the</w:t>
      </w:r>
      <w:r>
        <w:t xml:space="preserve"> </w:t>
      </w:r>
      <w:r w:rsidR="00002BAD">
        <w:t>Uniform System of Accounts</w:t>
      </w:r>
      <w:r>
        <w:t xml:space="preserve"> as </w:t>
      </w:r>
      <w:r w:rsidR="003C2EA8">
        <w:t>collectible from</w:t>
      </w:r>
      <w:r>
        <w:t xml:space="preserve"> customers through a broad reading of R.C. 4909.172(C)(1). </w:t>
      </w:r>
      <w:r>
        <w:t xml:space="preserve">Because the </w:t>
      </w:r>
      <w:r w:rsidR="00BE2F5D">
        <w:t xml:space="preserve">Settlement </w:t>
      </w:r>
      <w:r>
        <w:t xml:space="preserve">includes </w:t>
      </w:r>
      <w:r w:rsidR="00A240DB">
        <w:t xml:space="preserve">accounts </w:t>
      </w:r>
      <w:r w:rsidRPr="003924C2" w:rsidR="00A240DB">
        <w:t>(with items within the accounts</w:t>
      </w:r>
      <w:r w:rsidR="00A240DB">
        <w:t xml:space="preserve">) </w:t>
      </w:r>
      <w:r>
        <w:t xml:space="preserve">for charges to customers that are beyond what is permitted under Ohio statute and deviate from prior PUCO practice for a system improvement charge, the </w:t>
      </w:r>
      <w:r w:rsidR="00844D0D">
        <w:t xml:space="preserve">PUCO should not have approved the </w:t>
      </w:r>
      <w:r w:rsidR="00BE2F5D">
        <w:t>Settlement</w:t>
      </w:r>
      <w:r>
        <w:t>. OCC respectfully requests that the PUCO grant OCC’s application for rehearing to protect consumers, consistent with Ohio law, the public interest and PUCO principles and practices.</w:t>
      </w:r>
    </w:p>
    <w:p w:rsidR="00561CF0" w:rsidRPr="00FC2191" w:rsidP="002B147F">
      <w:pPr>
        <w:pStyle w:val="BodyTextIndent3"/>
        <w:spacing w:line="480" w:lineRule="auto"/>
        <w:ind w:right="-29"/>
      </w:pPr>
      <w:r w:rsidRPr="00FC2191">
        <w:t xml:space="preserve">.  </w:t>
      </w:r>
    </w:p>
    <w:p w:rsidR="007D0DB1" w:rsidP="007D0DB1">
      <w:pPr>
        <w:pStyle w:val="BodyTextIndent3"/>
        <w:widowControl w:val="0"/>
        <w:spacing w:line="240" w:lineRule="auto"/>
        <w:ind w:left="3600" w:right="-312"/>
        <w:rPr>
          <w:szCs w:val="24"/>
        </w:rPr>
      </w:pPr>
    </w:p>
    <w:p w:rsidR="004416D5" w:rsidP="0043182D">
      <w:pPr>
        <w:pStyle w:val="BodyTextIndent3"/>
        <w:widowControl w:val="0"/>
        <w:spacing w:line="480" w:lineRule="auto"/>
        <w:ind w:left="3600" w:right="-312"/>
        <w:rPr>
          <w:szCs w:val="24"/>
        </w:rPr>
      </w:pPr>
      <w:r>
        <w:rPr>
          <w:szCs w:val="24"/>
        </w:rPr>
        <w:t>Respectfully submitted,</w:t>
      </w:r>
    </w:p>
    <w:p w:rsidR="00CA2108" w:rsidP="00CA2108">
      <w:pPr>
        <w:pStyle w:val="Footer"/>
        <w:tabs>
          <w:tab w:val="left" w:pos="4320"/>
          <w:tab w:val="clear" w:pos="8640"/>
        </w:tabs>
        <w:rPr>
          <w:sz w:val="24"/>
          <w:szCs w:val="24"/>
        </w:rPr>
      </w:pPr>
      <w:r>
        <w:rPr>
          <w:sz w:val="24"/>
          <w:szCs w:val="24"/>
        </w:rPr>
        <w:tab/>
      </w:r>
      <w:r>
        <w:rPr>
          <w:sz w:val="24"/>
          <w:szCs w:val="24"/>
        </w:rPr>
        <w:t>Bruce Weston (0016973)</w:t>
      </w:r>
    </w:p>
    <w:p w:rsidR="00CA2108" w:rsidP="00CA2108">
      <w:pPr>
        <w:tabs>
          <w:tab w:val="left" w:pos="4320"/>
        </w:tabs>
        <w:rPr>
          <w:szCs w:val="24"/>
        </w:rPr>
      </w:pPr>
      <w:r>
        <w:rPr>
          <w:szCs w:val="24"/>
        </w:rPr>
        <w:tab/>
        <w:t>Ohio Consumers’ Counsel</w:t>
      </w:r>
    </w:p>
    <w:p w:rsidR="00CA2108" w:rsidP="00CA2108">
      <w:pPr>
        <w:tabs>
          <w:tab w:val="left" w:pos="4320"/>
        </w:tabs>
        <w:rPr>
          <w:szCs w:val="24"/>
        </w:rPr>
      </w:pPr>
      <w:r>
        <w:rPr>
          <w:szCs w:val="24"/>
        </w:rPr>
        <w:tab/>
      </w:r>
    </w:p>
    <w:p w:rsidR="00CA2108" w:rsidP="00CA2108">
      <w:pPr>
        <w:tabs>
          <w:tab w:val="left" w:pos="4320"/>
        </w:tabs>
        <w:rPr>
          <w:szCs w:val="24"/>
        </w:rPr>
      </w:pPr>
      <w:r>
        <w:rPr>
          <w:szCs w:val="24"/>
        </w:rPr>
        <w:tab/>
      </w:r>
      <w:r>
        <w:rPr>
          <w:i/>
          <w:iCs/>
          <w:szCs w:val="24"/>
          <w:u w:val="single"/>
        </w:rPr>
        <w:t>/s/ Amy Botschner O’Brien____</w:t>
      </w:r>
      <w:r>
        <w:rPr>
          <w:szCs w:val="24"/>
        </w:rPr>
        <w:tab/>
      </w:r>
    </w:p>
    <w:p w:rsidR="00CA2108" w:rsidP="00CA2108">
      <w:pPr>
        <w:tabs>
          <w:tab w:val="left" w:pos="4320"/>
        </w:tabs>
        <w:rPr>
          <w:szCs w:val="24"/>
        </w:rPr>
      </w:pPr>
      <w:r>
        <w:rPr>
          <w:szCs w:val="24"/>
        </w:rPr>
        <w:tab/>
        <w:t>Amy Botschner O’Brien (0074423)</w:t>
      </w:r>
    </w:p>
    <w:p w:rsidR="00CA2108" w:rsidP="00CA2108">
      <w:pPr>
        <w:tabs>
          <w:tab w:val="left" w:pos="4320"/>
        </w:tabs>
        <w:rPr>
          <w:szCs w:val="24"/>
        </w:rPr>
      </w:pPr>
      <w:r>
        <w:rPr>
          <w:szCs w:val="24"/>
        </w:rPr>
        <w:tab/>
        <w:t>Counsel of Record</w:t>
      </w:r>
    </w:p>
    <w:p w:rsidR="00CA2108" w:rsidP="00CA2108">
      <w:pPr>
        <w:tabs>
          <w:tab w:val="left" w:pos="4320"/>
        </w:tabs>
        <w:ind w:firstLine="4320"/>
        <w:rPr>
          <w:szCs w:val="24"/>
        </w:rPr>
      </w:pPr>
      <w:r>
        <w:rPr>
          <w:szCs w:val="24"/>
        </w:rPr>
        <w:t>William J. Michael (0070921)</w:t>
      </w:r>
    </w:p>
    <w:p w:rsidR="00CA2108" w:rsidP="00CA2108">
      <w:pPr>
        <w:tabs>
          <w:tab w:val="left" w:pos="4320"/>
        </w:tabs>
        <w:ind w:firstLine="4320"/>
        <w:rPr>
          <w:szCs w:val="24"/>
        </w:rPr>
      </w:pPr>
      <w:r>
        <w:rPr>
          <w:szCs w:val="24"/>
        </w:rPr>
        <w:t>Assistant Consumers’ Counsel</w:t>
      </w:r>
    </w:p>
    <w:p w:rsidR="00CA2108" w:rsidP="00CA2108">
      <w:pPr>
        <w:tabs>
          <w:tab w:val="left" w:pos="4320"/>
        </w:tabs>
        <w:rPr>
          <w:szCs w:val="24"/>
        </w:rPr>
      </w:pPr>
      <w:r>
        <w:rPr>
          <w:szCs w:val="24"/>
        </w:rPr>
        <w:tab/>
      </w:r>
    </w:p>
    <w:p w:rsidR="00CA2108" w:rsidP="00CA2108">
      <w:pPr>
        <w:pStyle w:val="Heading1"/>
        <w:ind w:left="3240" w:right="-648" w:firstLine="720"/>
        <w:rPr>
          <w:u w:val="none"/>
        </w:rPr>
      </w:pPr>
      <w:r>
        <w:rPr>
          <w:u w:val="none"/>
        </w:rPr>
        <w:tab/>
        <w:t>Office of the Ohio Consumers’ Counsel</w:t>
      </w:r>
    </w:p>
    <w:p w:rsidR="00CA2108" w:rsidP="00CA2108">
      <w:pPr>
        <w:pStyle w:val="Heading1"/>
        <w:ind w:left="3240" w:right="-648" w:firstLine="720"/>
        <w:rPr>
          <w:b w:val="0"/>
          <w:u w:val="none"/>
        </w:rPr>
      </w:pPr>
      <w:r>
        <w:rPr>
          <w:b w:val="0"/>
          <w:u w:val="none"/>
        </w:rPr>
        <w:tab/>
        <w:t>65 East State Street, 7th Floor</w:t>
      </w:r>
    </w:p>
    <w:p w:rsidR="00CA2108" w:rsidP="00CA2108">
      <w:pPr>
        <w:pStyle w:val="Heading1"/>
        <w:ind w:left="3240" w:right="-648" w:firstLine="720"/>
        <w:rPr>
          <w:b w:val="0"/>
          <w:u w:val="none"/>
        </w:rPr>
      </w:pPr>
      <w:r>
        <w:rPr>
          <w:b w:val="0"/>
          <w:u w:val="none"/>
        </w:rPr>
        <w:tab/>
        <w:t>Columbus, Ohio 43215-4213</w:t>
      </w:r>
    </w:p>
    <w:p w:rsidR="00CA2108" w:rsidP="00CA2108">
      <w:pPr>
        <w:autoSpaceDE w:val="0"/>
        <w:autoSpaceDN w:val="0"/>
        <w:adjustRightInd w:val="0"/>
        <w:ind w:left="3600" w:firstLine="720"/>
        <w:rPr>
          <w:szCs w:val="24"/>
        </w:rPr>
      </w:pPr>
      <w:r>
        <w:rPr>
          <w:szCs w:val="24"/>
        </w:rPr>
        <w:t>Telephone [Botschner]: (614) 466-9575</w:t>
      </w:r>
    </w:p>
    <w:p w:rsidR="00CA2108" w:rsidRPr="007D0DB1" w:rsidP="00CA2108">
      <w:pPr>
        <w:autoSpaceDE w:val="0"/>
        <w:autoSpaceDN w:val="0"/>
        <w:adjustRightInd w:val="0"/>
        <w:ind w:left="3600" w:firstLine="720"/>
        <w:rPr>
          <w:szCs w:val="24"/>
        </w:rPr>
      </w:pPr>
      <w:r>
        <w:rPr>
          <w:szCs w:val="24"/>
        </w:rPr>
        <w:t xml:space="preserve">Telephone [Michael]: (614) 466-1291 </w:t>
      </w:r>
    </w:p>
    <w:p w:rsidR="00CA2108" w:rsidRPr="00CA2108" w:rsidP="00CA2108">
      <w:pPr>
        <w:autoSpaceDE w:val="0"/>
        <w:autoSpaceDN w:val="0"/>
        <w:adjustRightInd w:val="0"/>
        <w:ind w:left="3600" w:firstLine="720"/>
      </w:pPr>
      <w:r w:rsidRPr="00CA2108">
        <w:rPr>
          <w:rStyle w:val="DefaultParagraphFont"/>
          <w:color w:val="auto"/>
          <w:u w:val="none"/>
        </w:rPr>
        <w:t>amy.botschner.obrien@occ.ohio.gov</w:t>
      </w:r>
    </w:p>
    <w:p w:rsidR="00CA2108" w:rsidRPr="00CA2108" w:rsidP="00CA2108">
      <w:pPr>
        <w:autoSpaceDE w:val="0"/>
        <w:autoSpaceDN w:val="0"/>
        <w:adjustRightInd w:val="0"/>
        <w:ind w:left="3600" w:firstLine="720"/>
      </w:pPr>
      <w:r w:rsidRPr="00CA2108">
        <w:rPr>
          <w:rStyle w:val="DefaultParagraphFont"/>
          <w:color w:val="auto"/>
          <w:u w:val="none"/>
        </w:rPr>
        <w:t>william.michael@occ.ohio.gov</w:t>
      </w:r>
      <w:r w:rsidRPr="00CA2108">
        <w:t xml:space="preserve"> </w:t>
      </w:r>
    </w:p>
    <w:p w:rsidR="00CA2108" w:rsidP="00CA2108">
      <w:pPr>
        <w:rPr>
          <w:szCs w:val="24"/>
        </w:rPr>
      </w:pPr>
      <w:r>
        <w:rPr>
          <w:szCs w:val="24"/>
        </w:rPr>
        <w:tab/>
      </w:r>
      <w:r>
        <w:rPr>
          <w:szCs w:val="24"/>
        </w:rPr>
        <w:tab/>
      </w:r>
      <w:r>
        <w:rPr>
          <w:szCs w:val="24"/>
        </w:rPr>
        <w:tab/>
      </w:r>
      <w:r>
        <w:rPr>
          <w:szCs w:val="24"/>
        </w:rPr>
        <w:tab/>
      </w:r>
      <w:r>
        <w:rPr>
          <w:szCs w:val="24"/>
        </w:rPr>
        <w:tab/>
      </w:r>
      <w:r>
        <w:rPr>
          <w:szCs w:val="24"/>
        </w:rPr>
        <w:tab/>
        <w:t>(will accept service via email)</w:t>
      </w:r>
    </w:p>
    <w:p w:rsidR="007D0DB1" w:rsidP="00CA2108">
      <w:pPr>
        <w:pStyle w:val="Footer"/>
        <w:tabs>
          <w:tab w:val="left" w:pos="4320"/>
          <w:tab w:val="clear" w:pos="8640"/>
        </w:tabs>
        <w:rPr>
          <w:szCs w:val="24"/>
        </w:rPr>
        <w:sectPr>
          <w:headerReference w:type="even" r:id="rId11"/>
          <w:headerReference w:type="default" r:id="rId12"/>
          <w:footerReference w:type="default" r:id="rId13"/>
          <w:headerReference w:type="first" r:id="rId14"/>
          <w:footerReference w:type="first" r:id="rId15"/>
          <w:pgSz w:w="12240" w:h="15840"/>
          <w:pgMar w:top="1440" w:right="1800" w:bottom="1440" w:left="1800" w:header="720" w:footer="720" w:gutter="0"/>
          <w:pgNumType w:start="1"/>
          <w:cols w:space="720"/>
          <w:titlePg/>
          <w:docGrid w:linePitch="65"/>
        </w:sectPr>
      </w:pPr>
    </w:p>
    <w:p w:rsidR="00DB0ACF" w:rsidP="00680C38">
      <w:pPr>
        <w:spacing w:line="480" w:lineRule="auto"/>
        <w:jc w:val="center"/>
        <w:rPr>
          <w:b/>
          <w:bCs/>
          <w:u w:val="single"/>
        </w:rPr>
      </w:pPr>
      <w:r>
        <w:rPr>
          <w:b/>
          <w:bCs/>
          <w:u w:val="single"/>
        </w:rPr>
        <w:t>CERTIFICATE OF SERVICE</w:t>
      </w:r>
    </w:p>
    <w:p w:rsidR="00DB0ACF" w:rsidP="00680C38">
      <w:pPr>
        <w:spacing w:line="480" w:lineRule="auto"/>
      </w:pPr>
      <w:r>
        <w:tab/>
        <w:t xml:space="preserve">I hereby certify that a copy of this </w:t>
      </w:r>
      <w:r w:rsidRPr="00B73A55">
        <w:t>Application for Rehearing</w:t>
      </w:r>
      <w:r>
        <w:t xml:space="preserve"> was served on the persons stated below </w:t>
      </w:r>
      <w:r w:rsidRPr="00EC0B73">
        <w:t xml:space="preserve">via </w:t>
      </w:r>
      <w:r>
        <w:t xml:space="preserve">electronic transmission, this </w:t>
      </w:r>
      <w:r w:rsidR="00844D0D">
        <w:t>8</w:t>
      </w:r>
      <w:r w:rsidRPr="00B73A55">
        <w:rPr>
          <w:vertAlign w:val="superscript"/>
        </w:rPr>
        <w:t>th</w:t>
      </w:r>
      <w:r>
        <w:t xml:space="preserve"> day of </w:t>
      </w:r>
      <w:r w:rsidR="00844D0D">
        <w:t>March</w:t>
      </w:r>
      <w:r>
        <w:t xml:space="preserve"> 2019.</w:t>
      </w:r>
    </w:p>
    <w:p w:rsidR="00DB0ACF">
      <w:pPr>
        <w:spacing w:line="480" w:lineRule="atLeast"/>
      </w:pPr>
    </w:p>
    <w:p w:rsidR="00DB0ACF" w:rsidRPr="00CA2108">
      <w:pPr>
        <w:tabs>
          <w:tab w:val="left" w:pos="4320"/>
        </w:tabs>
        <w:rPr>
          <w:i/>
          <w:u w:val="single"/>
        </w:rPr>
      </w:pPr>
      <w:r>
        <w:tab/>
      </w:r>
      <w:r w:rsidR="00CA2108">
        <w:rPr>
          <w:i/>
          <w:u w:val="single"/>
        </w:rPr>
        <w:t>/s/ Amy Botschner O’Brien____</w:t>
      </w:r>
    </w:p>
    <w:p w:rsidR="00DB0ACF">
      <w:pPr>
        <w:tabs>
          <w:tab w:val="left" w:pos="4320"/>
        </w:tabs>
      </w:pPr>
      <w:r>
        <w:tab/>
      </w:r>
      <w:r w:rsidR="00844D0D">
        <w:t>Amy Botschner O’Brien</w:t>
      </w:r>
    </w:p>
    <w:p w:rsidR="00DB0ACF">
      <w:pPr>
        <w:tabs>
          <w:tab w:val="left" w:pos="4320"/>
        </w:tabs>
      </w:pPr>
      <w:r>
        <w:tab/>
        <w:t>Assistant Consumers’ Counsel</w:t>
      </w:r>
    </w:p>
    <w:p w:rsidR="00DB0ACF">
      <w:pPr>
        <w:pStyle w:val="CommentSubject"/>
      </w:pPr>
    </w:p>
    <w:p w:rsidR="00DB0ACF">
      <w:pPr>
        <w:pStyle w:val="CommentText"/>
      </w:pPr>
    </w:p>
    <w:p w:rsidR="00DB0ACF">
      <w:pPr>
        <w:pStyle w:val="CommentText"/>
        <w:jc w:val="center"/>
        <w:rPr>
          <w:b/>
          <w:u w:val="single"/>
        </w:rPr>
      </w:pPr>
      <w:r>
        <w:rPr>
          <w:b/>
          <w:u w:val="single"/>
        </w:rPr>
        <w:t>SERVICE LIST</w:t>
      </w:r>
    </w:p>
    <w:p w:rsidR="007B535B">
      <w:pPr>
        <w:pStyle w:val="CommentText"/>
        <w:jc w:val="center"/>
        <w:rPr>
          <w:b/>
          <w:u w:val="single"/>
        </w:rPr>
      </w:pPr>
    </w:p>
    <w:tbl>
      <w:tblPr>
        <w:tblW w:w="0" w:type="auto"/>
        <w:tblInd w:w="0" w:type="dxa"/>
        <w:tblCellMar>
          <w:top w:w="0" w:type="dxa"/>
          <w:left w:w="108" w:type="dxa"/>
          <w:bottom w:w="0" w:type="dxa"/>
          <w:right w:w="108" w:type="dxa"/>
        </w:tblCellMar>
        <w:tblLook w:val="04A0"/>
      </w:tblPr>
      <w:tblGrid>
        <w:gridCol w:w="4416"/>
        <w:gridCol w:w="4224"/>
      </w:tblGrid>
      <w:tr w:rsidTr="00AB2135">
        <w:tblPrEx>
          <w:tblW w:w="0" w:type="auto"/>
          <w:tblInd w:w="0" w:type="dxa"/>
          <w:tblCellMar>
            <w:top w:w="0" w:type="dxa"/>
            <w:left w:w="108" w:type="dxa"/>
            <w:bottom w:w="0" w:type="dxa"/>
            <w:right w:w="108" w:type="dxa"/>
          </w:tblCellMar>
          <w:tblLook w:val="04A0"/>
        </w:tblPrEx>
        <w:tc>
          <w:tcPr>
            <w:tcW w:w="4428" w:type="dxa"/>
            <w:shd w:val="clear" w:color="auto" w:fill="auto"/>
          </w:tcPr>
          <w:p w:rsidR="00CA2108" w:rsidRPr="00CA2108" w:rsidP="00AB2135">
            <w:pPr>
              <w:pStyle w:val="BodyText"/>
              <w:jc w:val="both"/>
              <w:rPr>
                <w:rStyle w:val="DefaultParagraphFont"/>
                <w:sz w:val="24"/>
                <w:lang w:val="en-US" w:eastAsia="en-US" w:bidi="ar-SA"/>
              </w:rPr>
            </w:pPr>
            <w:r w:rsidRPr="00CA2108">
              <w:rPr>
                <w:rStyle w:val="DefaultParagraphFont"/>
                <w:color w:val="auto"/>
                <w:sz w:val="24"/>
                <w:u w:val="none"/>
                <w:lang w:val="en-US" w:eastAsia="en-US" w:bidi="ar-SA"/>
              </w:rPr>
              <w:t>Robert.eubanks@ohioattorneygeneral.gov</w:t>
            </w:r>
          </w:p>
          <w:p w:rsidR="00CA2108" w:rsidRPr="00CA2108" w:rsidP="00AB2135">
            <w:pPr>
              <w:pStyle w:val="BodyText"/>
              <w:jc w:val="both"/>
              <w:rPr>
                <w:rStyle w:val="DefaultParagraphFont"/>
                <w:sz w:val="24"/>
                <w:lang w:val="en-US" w:eastAsia="en-US" w:bidi="ar-SA"/>
              </w:rPr>
            </w:pPr>
            <w:r w:rsidRPr="00CA2108">
              <w:rPr>
                <w:sz w:val="24"/>
                <w:lang w:val="en-US" w:eastAsia="en-US" w:bidi="ar-SA"/>
              </w:rPr>
              <w:t>steven.beeler@ohioattorneygeneral.gov</w:t>
            </w:r>
          </w:p>
          <w:p w:rsidR="00CA2108" w:rsidRPr="00CA2108" w:rsidP="00AB2135">
            <w:pPr>
              <w:pStyle w:val="BodyText"/>
              <w:jc w:val="both"/>
              <w:rPr>
                <w:rStyle w:val="DefaultParagraphFont"/>
                <w:sz w:val="24"/>
                <w:lang w:val="en-US" w:eastAsia="en-US" w:bidi="ar-SA"/>
              </w:rPr>
            </w:pPr>
          </w:p>
          <w:p w:rsidR="00CA2108" w:rsidRPr="00CA2108" w:rsidP="00AB2135">
            <w:pPr>
              <w:pStyle w:val="BodyText"/>
              <w:jc w:val="both"/>
              <w:rPr>
                <w:rStyle w:val="DefaultParagraphFont"/>
                <w:sz w:val="24"/>
                <w:lang w:val="en-US" w:eastAsia="en-US" w:bidi="ar-SA"/>
              </w:rPr>
            </w:pPr>
            <w:r w:rsidRPr="00CA2108">
              <w:rPr>
                <w:sz w:val="24"/>
                <w:lang w:val="en-US" w:eastAsia="en-US" w:bidi="ar-SA"/>
              </w:rPr>
              <w:t>Attorney Examiner:</w:t>
            </w:r>
          </w:p>
          <w:p w:rsidR="00CA2108" w:rsidRPr="00CA2108" w:rsidP="00AB2135">
            <w:pPr>
              <w:pStyle w:val="BodyText"/>
              <w:jc w:val="both"/>
              <w:rPr>
                <w:rStyle w:val="DefaultParagraphFont"/>
                <w:sz w:val="24"/>
                <w:lang w:val="en-US" w:eastAsia="en-US" w:bidi="ar-SA"/>
              </w:rPr>
            </w:pPr>
            <w:r w:rsidRPr="00CA2108">
              <w:rPr>
                <w:sz w:val="24"/>
                <w:lang w:val="en-US" w:eastAsia="en-US" w:bidi="ar-SA"/>
              </w:rPr>
              <w:t xml:space="preserve">Anna.sanyal@puc.state.oh.us </w:t>
            </w:r>
          </w:p>
        </w:tc>
        <w:tc>
          <w:tcPr>
            <w:tcW w:w="4428" w:type="dxa"/>
            <w:shd w:val="clear" w:color="auto" w:fill="auto"/>
          </w:tcPr>
          <w:p w:rsidR="00CA2108" w:rsidRPr="00CA2108" w:rsidP="00AB2135">
            <w:pPr>
              <w:autoSpaceDE w:val="0"/>
              <w:autoSpaceDN w:val="0"/>
              <w:adjustRightInd w:val="0"/>
              <w:rPr>
                <w:rStyle w:val="DefaultParagraphFont"/>
                <w:sz w:val="24"/>
                <w:lang w:val="en-US" w:eastAsia="en-US" w:bidi="ar-SA"/>
              </w:rPr>
            </w:pPr>
            <w:r w:rsidRPr="00CA2108">
              <w:rPr>
                <w:sz w:val="24"/>
                <w:lang w:val="en-US" w:eastAsia="en-US" w:bidi="ar-SA"/>
              </w:rPr>
              <w:t xml:space="preserve">whitt@whitt-sturtevant.com </w:t>
            </w:r>
          </w:p>
          <w:p w:rsidR="00CA2108" w:rsidRPr="00CA2108" w:rsidP="00AB2135">
            <w:pPr>
              <w:autoSpaceDE w:val="0"/>
              <w:autoSpaceDN w:val="0"/>
              <w:adjustRightInd w:val="0"/>
              <w:rPr>
                <w:rStyle w:val="DefaultParagraphFont"/>
                <w:sz w:val="24"/>
                <w:lang w:val="en-US" w:eastAsia="en-US" w:bidi="ar-SA"/>
              </w:rPr>
            </w:pPr>
            <w:r w:rsidRPr="00CA2108">
              <w:rPr>
                <w:sz w:val="24"/>
                <w:lang w:val="en-US" w:eastAsia="en-US" w:bidi="ar-SA"/>
              </w:rPr>
              <w:t xml:space="preserve">campbell@whitt-sturtevant.com </w:t>
            </w:r>
          </w:p>
          <w:p w:rsidR="00CA2108" w:rsidRPr="00CA2108" w:rsidP="00AB2135">
            <w:pPr>
              <w:pStyle w:val="BodyText"/>
              <w:jc w:val="both"/>
              <w:rPr>
                <w:rStyle w:val="DefaultParagraphFont"/>
                <w:sz w:val="24"/>
                <w:lang w:val="en-US" w:eastAsia="en-US" w:bidi="ar-SA"/>
              </w:rPr>
            </w:pPr>
            <w:r w:rsidRPr="00CA2108">
              <w:rPr>
                <w:sz w:val="24"/>
                <w:lang w:val="en-US" w:eastAsia="en-US" w:bidi="ar-SA"/>
              </w:rPr>
              <w:t xml:space="preserve">glover@whitt-sturtevant.com </w:t>
            </w:r>
          </w:p>
        </w:tc>
      </w:tr>
    </w:tbl>
    <w:p w:rsidR="007D0DB1" w:rsidP="007D0DB1">
      <w:pPr>
        <w:pStyle w:val="CommentText"/>
        <w:rPr>
          <w:b/>
          <w:u w:val="single"/>
        </w:rPr>
      </w:pPr>
    </w:p>
    <w:sectPr>
      <w:pgSz w:w="12240" w:h="15840"/>
      <w:pgMar w:top="1440" w:right="1800" w:bottom="1440" w:left="1800" w:header="720" w:footer="720" w:gutter="0"/>
      <w:pgNumType w:start="1"/>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A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DB0A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ACF">
    <w:pPr>
      <w:pStyle w:val="Footer"/>
      <w:jc w:val="center"/>
      <w:rPr>
        <w:sz w:val="24"/>
        <w:szCs w:val="24"/>
      </w:rPr>
    </w:pP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Pr>
        <w:rStyle w:val="PageNumber"/>
        <w:sz w:val="24"/>
        <w:szCs w:val="24"/>
      </w:rPr>
      <w:t>2</w:t>
    </w:r>
    <w:r>
      <w:rPr>
        <w:rStyle w:val="PageNumbe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935C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9834685"/>
      <w:docPartObj>
        <w:docPartGallery w:val="Page Numbers (Bottom of Page)"/>
        <w:docPartUnique/>
      </w:docPartObj>
    </w:sdtPr>
    <w:sdtEndPr>
      <w:rPr>
        <w:noProof/>
        <w:sz w:val="24"/>
        <w:szCs w:val="24"/>
      </w:rPr>
    </w:sdtEndPr>
    <w:sdtContent>
      <w:p w:rsidR="007D0DB1" w:rsidRPr="007D0DB1">
        <w:pPr>
          <w:pStyle w:val="Footer"/>
          <w:jc w:val="center"/>
          <w:rPr>
            <w:sz w:val="24"/>
            <w:szCs w:val="24"/>
          </w:rPr>
        </w:pPr>
        <w:r w:rsidRPr="007D0DB1">
          <w:rPr>
            <w:sz w:val="24"/>
            <w:szCs w:val="24"/>
          </w:rPr>
          <w:fldChar w:fldCharType="begin"/>
        </w:r>
        <w:r w:rsidRPr="007D0DB1">
          <w:rPr>
            <w:sz w:val="24"/>
            <w:szCs w:val="24"/>
          </w:rPr>
          <w:instrText xml:space="preserve"> PAGE   \* MERGEFORMAT </w:instrText>
        </w:r>
        <w:r w:rsidRPr="007D0DB1">
          <w:rPr>
            <w:sz w:val="24"/>
            <w:szCs w:val="24"/>
          </w:rPr>
          <w:fldChar w:fldCharType="separate"/>
        </w:r>
        <w:r w:rsidRPr="007D0DB1">
          <w:rPr>
            <w:noProof/>
            <w:sz w:val="24"/>
            <w:szCs w:val="24"/>
          </w:rPr>
          <w:t>6</w:t>
        </w:r>
        <w:r w:rsidRPr="007D0DB1">
          <w:rPr>
            <w:noProof/>
            <w:sz w:val="24"/>
            <w:szCs w:val="24"/>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ACF" w:rsidRPr="00FE05A8" w:rsidP="00DB0A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F5515">
      <w:r>
        <w:separator/>
      </w:r>
    </w:p>
  </w:footnote>
  <w:footnote w:type="continuationSeparator" w:id="1">
    <w:p w:rsidR="003F5515">
      <w:r>
        <w:continuationSeparator/>
      </w:r>
    </w:p>
  </w:footnote>
  <w:footnote w:id="2">
    <w:p w:rsidR="00EA2CEA" w:rsidRPr="003924C2" w:rsidP="003924C2">
      <w:pPr>
        <w:pStyle w:val="FootnoteText"/>
      </w:pPr>
      <w:r w:rsidRPr="003924C2">
        <w:rPr>
          <w:rStyle w:val="FootnoteReference"/>
        </w:rPr>
        <w:footnoteRef/>
      </w:r>
      <w:r w:rsidRPr="003924C2">
        <w:t xml:space="preserve"> R.C. 4903.10.</w:t>
      </w:r>
    </w:p>
  </w:footnote>
  <w:footnote w:id="3">
    <w:p w:rsidR="00EA2CEA" w:rsidRPr="003924C2" w:rsidP="003924C2">
      <w:pPr>
        <w:pStyle w:val="FootnoteText"/>
      </w:pPr>
      <w:r w:rsidRPr="003924C2">
        <w:rPr>
          <w:rStyle w:val="FootnoteReference"/>
        </w:rPr>
        <w:footnoteRef/>
      </w:r>
      <w:r w:rsidRPr="003924C2">
        <w:t xml:space="preserve"> R.C. 4903.10(B). </w:t>
      </w:r>
      <w:r w:rsidRPr="003924C2">
        <w:rPr>
          <w:i/>
        </w:rPr>
        <w:t>See also</w:t>
      </w:r>
      <w:r w:rsidRPr="003924C2">
        <w:t xml:space="preserve"> Ohio Adm. Code 4901-1-35(A).</w:t>
      </w:r>
    </w:p>
  </w:footnote>
  <w:footnote w:id="4">
    <w:p w:rsidR="00EA2CEA" w:rsidRPr="003924C2" w:rsidP="003924C2">
      <w:pPr>
        <w:pStyle w:val="FootnoteText"/>
      </w:pPr>
      <w:r w:rsidRPr="003924C2">
        <w:rPr>
          <w:rStyle w:val="FootnoteReference"/>
        </w:rPr>
        <w:footnoteRef/>
      </w:r>
      <w:r w:rsidRPr="003924C2">
        <w:t xml:space="preserve"> R.C. 4903.10(B).</w:t>
      </w:r>
    </w:p>
  </w:footnote>
  <w:footnote w:id="5">
    <w:p w:rsidR="00890C83" w:rsidRPr="003924C2" w:rsidP="003924C2">
      <w:pPr>
        <w:pStyle w:val="Footer"/>
        <w:tabs>
          <w:tab w:val="clear" w:pos="4320"/>
          <w:tab w:val="clear" w:pos="8640"/>
        </w:tabs>
        <w:spacing w:after="120"/>
        <w:rPr>
          <w:spacing w:val="-3"/>
        </w:rPr>
      </w:pPr>
      <w:r w:rsidRPr="003924C2">
        <w:rPr>
          <w:rStyle w:val="FootnoteReference"/>
        </w:rPr>
        <w:footnoteRef/>
      </w:r>
      <w:r w:rsidRPr="003924C2">
        <w:rPr>
          <w:spacing w:val="-3"/>
        </w:rPr>
        <w:t xml:space="preserve">  See, e.g., </w:t>
      </w:r>
      <w:r w:rsidRPr="003924C2">
        <w:rPr>
          <w:i/>
          <w:spacing w:val="-3"/>
        </w:rPr>
        <w:t>Canton Storage and Transfer Co. v. Public Util. Comm.</w:t>
      </w:r>
      <w:r w:rsidRPr="003924C2">
        <w:rPr>
          <w:spacing w:val="-3"/>
        </w:rPr>
        <w:t xml:space="preserve"> (1995), 72 Ohio St. 3d 1, </w:t>
      </w:r>
      <w:r w:rsidRPr="003924C2">
        <w:t>647 N.E.2d</w:t>
      </w:r>
      <w:r w:rsidR="003924C2">
        <w:t xml:space="preserve"> 136.</w:t>
      </w:r>
    </w:p>
    <w:p w:rsidR="00890C83" w:rsidRPr="003924C2" w:rsidP="003924C2">
      <w:pPr>
        <w:pStyle w:val="FootnoteText"/>
      </w:pPr>
    </w:p>
  </w:footnote>
  <w:footnote w:id="6">
    <w:p w:rsidR="00C61A05" w:rsidRPr="003924C2" w:rsidP="003924C2">
      <w:pPr>
        <w:pStyle w:val="FootnoteText"/>
      </w:pPr>
      <w:r w:rsidRPr="003924C2">
        <w:rPr>
          <w:rStyle w:val="FootnoteReference"/>
        </w:rPr>
        <w:footnoteRef/>
      </w:r>
      <w:r w:rsidRPr="003924C2">
        <w:t xml:space="preserve"> R.C. 4909.172(C)(1)</w:t>
      </w:r>
      <w:r w:rsidRPr="003924C2" w:rsidR="00002BAD">
        <w:t>.</w:t>
      </w:r>
    </w:p>
  </w:footnote>
  <w:footnote w:id="7">
    <w:p w:rsidR="004506EB" w:rsidRPr="003924C2" w:rsidP="003924C2">
      <w:pPr>
        <w:pStyle w:val="FootnoteText"/>
      </w:pPr>
      <w:r w:rsidRPr="003924C2">
        <w:rPr>
          <w:rStyle w:val="FootnoteReference"/>
        </w:rPr>
        <w:footnoteRef/>
      </w:r>
      <w:r w:rsidRPr="003924C2">
        <w:t xml:space="preserve"> Settlement at 2.</w:t>
      </w:r>
    </w:p>
  </w:footnote>
  <w:footnote w:id="8">
    <w:p w:rsidR="00395112" w:rsidRPr="003924C2" w:rsidP="003924C2">
      <w:pPr>
        <w:pStyle w:val="FootnoteText"/>
      </w:pPr>
      <w:r w:rsidRPr="003924C2">
        <w:rPr>
          <w:rStyle w:val="FootnoteReference"/>
        </w:rPr>
        <w:footnoteRef/>
      </w:r>
      <w:r w:rsidRPr="003924C2">
        <w:t xml:space="preserve"> </w:t>
      </w:r>
      <w:r w:rsidRPr="003924C2">
        <w:rPr>
          <w:i/>
        </w:rPr>
        <w:t>See, e.g.</w:t>
      </w:r>
      <w:r w:rsidRPr="003924C2">
        <w:t xml:space="preserve">, </w:t>
      </w:r>
      <w:r w:rsidRPr="003924C2">
        <w:rPr>
          <w:i/>
        </w:rPr>
        <w:t>Elyria Tel. Co. v. PUCO</w:t>
      </w:r>
      <w:r w:rsidRPr="003924C2">
        <w:t xml:space="preserve">, 158 Ohio St. 441, 448 (1953).  </w:t>
      </w:r>
    </w:p>
  </w:footnote>
  <w:footnote w:id="9">
    <w:p w:rsidR="00395112" w:rsidRPr="003924C2" w:rsidP="003924C2">
      <w:pPr>
        <w:pStyle w:val="FootnoteText"/>
      </w:pPr>
      <w:r w:rsidRPr="003924C2">
        <w:rPr>
          <w:rStyle w:val="FootnoteReference"/>
        </w:rPr>
        <w:footnoteRef/>
      </w:r>
      <w:r w:rsidRPr="003924C2">
        <w:t xml:space="preserve"> Proposed Settlement at 2; </w:t>
      </w:r>
      <w:r w:rsidRPr="003924C2">
        <w:rPr>
          <w:i/>
        </w:rPr>
        <w:t>See also</w:t>
      </w:r>
      <w:r w:rsidRPr="003924C2">
        <w:t xml:space="preserve">, Supplemental Direct Testimony of Aqua Witness Richard A. Hideg at 2, “going forward, the Stipulation identifies by NARUC account what costs may be properly included in future SIC filings.” On March 4, 2019, Aqua filed a second SIC case. </w:t>
      </w:r>
      <w:r w:rsidRPr="003924C2">
        <w:rPr>
          <w:i/>
        </w:rPr>
        <w:t>In the Matter of Aqua Ohio, Inc. for Authority to Assess a System Improvement Charge in the Lake/ Masury/ Prior American/ Prior Mohawk/ Prior Tomahawk Properties</w:t>
      </w:r>
      <w:r w:rsidRPr="003924C2">
        <w:t>, Case No. 19-0567-WW-SIC.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935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ACF">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ACF" w:rsidRPr="003068DC" w:rsidP="00DB0ACF">
    <w:pPr>
      <w:pStyle w:val="Header"/>
      <w:rPr>
        <w:highlight w:val="cyan"/>
      </w:rPr>
    </w:pPr>
  </w:p>
  <w:p w:rsidR="00DB0AC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AC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AC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A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D6E339C"/>
    <w:multiLevelType w:val="hybridMultilevel"/>
    <w:tmpl w:val="CECAD242"/>
    <w:lvl w:ilvl="0">
      <w:start w:val="1"/>
      <w:numFmt w:val="upperRoman"/>
      <w:lvlText w:val="%1."/>
      <w:lvlJc w:val="left"/>
      <w:pPr>
        <w:ind w:left="72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FA45688"/>
    <w:multiLevelType w:val="hybridMultilevel"/>
    <w:tmpl w:val="DB62B8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C2878BF"/>
    <w:multiLevelType w:val="hybridMultilevel"/>
    <w:tmpl w:val="0D98CFD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4F65272F"/>
    <w:multiLevelType w:val="hybridMultilevel"/>
    <w:tmpl w:val="E9B68F30"/>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563F034D"/>
    <w:multiLevelType w:val="hybridMultilevel"/>
    <w:tmpl w:val="9E548E64"/>
    <w:lvl w:ilvl="0">
      <w:start w:val="1"/>
      <w:numFmt w:val="decimal"/>
      <w:lvlText w:val="%1."/>
      <w:lvlJc w:val="left"/>
      <w:pPr>
        <w:ind w:left="126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0">
    <w:nsid w:val="692446BD"/>
    <w:multiLevelType w:val="hybridMultilevel"/>
    <w:tmpl w:val="2FBA39B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74367A16"/>
    <w:multiLevelType w:val="hybridMultilevel"/>
    <w:tmpl w:val="F638651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2">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7"/>
  </w:num>
  <w:num w:numId="2">
    <w:abstractNumId w:val="5"/>
  </w:num>
  <w:num w:numId="3">
    <w:abstractNumId w:val="9"/>
  </w:num>
  <w:num w:numId="4">
    <w:abstractNumId w:val="8"/>
  </w:num>
  <w:num w:numId="5">
    <w:abstractNumId w:val="0"/>
  </w:num>
  <w:num w:numId="6">
    <w:abstractNumId w:val="12"/>
  </w:num>
  <w:num w:numId="7">
    <w:abstractNumId w:val="2"/>
  </w:num>
  <w:num w:numId="8">
    <w:abstractNumId w:val="1"/>
  </w:num>
  <w:num w:numId="9">
    <w:abstractNumId w:val="11"/>
  </w:num>
  <w:num w:numId="10">
    <w:abstractNumId w:val="4"/>
  </w:num>
  <w:num w:numId="11">
    <w:abstractNumId w:val="3"/>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stylePaneFormatFilter w:val="3F04" w:allStyles="0" w:alternateStyleNames="0" w:clearFormatting="1" w:customStyles="0" w:directFormattingOnNumbering="1" w:directFormattingOnParagraphs="1" w:directFormattingOnRuns="1" w:directFormattingOnTables="1" w:headingStyles="0" w:latentStyles="1" w:numberingStyles="0" w:stylesInUse="0" w:tableStyles="0" w:top3HeadingStyles="1" w:visibleStyles="0"/>
  <w:defaultTabStop w:val="720"/>
  <w:drawingGridHorizontalSpacing w:val="24"/>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47F"/>
    <w:rPr>
      <w:sz w:val="24"/>
    </w:rPr>
  </w:style>
  <w:style w:type="paragraph" w:styleId="Heading1">
    <w:name w:val="heading 1"/>
    <w:basedOn w:val="Normal"/>
    <w:next w:val="Normal"/>
    <w:qFormat/>
    <w:pPr>
      <w:keepNext/>
      <w:outlineLvl w:val="0"/>
    </w:pPr>
    <w:rPr>
      <w:b/>
      <w:szCs w:val="24"/>
      <w:u w:val="single"/>
    </w:rPr>
  </w:style>
  <w:style w:type="paragraph" w:styleId="Heading2">
    <w:name w:val="heading 2"/>
    <w:basedOn w:val="Normal"/>
    <w:next w:val="Normal"/>
    <w:qFormat/>
    <w:pPr>
      <w:keepNext/>
      <w:tabs>
        <w:tab w:val="left" w:pos="4320"/>
      </w:tabs>
      <w:jc w:val="center"/>
      <w:outlineLvl w:val="1"/>
    </w:pPr>
    <w:rPr>
      <w:b/>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pPr>
      <w:tabs>
        <w:tab w:val="center" w:pos="4320"/>
        <w:tab w:val="right" w:pos="8640"/>
      </w:tabs>
    </w:pPr>
    <w:rPr>
      <w:sz w:val="20"/>
    </w:rPr>
  </w:style>
  <w:style w:type="character" w:styleId="Hyperlink">
    <w:name w:val="Hyperlink"/>
    <w:rPr>
      <w:color w:val="0000FF"/>
      <w:u w:val="single"/>
    </w:rPr>
  </w:style>
  <w:style w:type="paragraph" w:styleId="FootnoteText">
    <w:name w:val="footnote text"/>
    <w:aliases w:val="Footnote Text Cha,Footnote Text Char Char4 Char,Footnote Text Char Char4 Char1 Char Char,Footnote Text Char1,Footnote Text Char2,Footnote Text Char4 Char,Footnote Text Char4 Char1 Char Char"/>
    <w:basedOn w:val="Normal"/>
    <w:link w:val="FootnoteTextChar"/>
    <w:rsid w:val="002B147F"/>
    <w:pPr>
      <w:spacing w:after="120"/>
    </w:pPr>
    <w:rPr>
      <w:sz w:val="20"/>
    </w:rPr>
  </w:style>
  <w:style w:type="character" w:styleId="FootnoteReference">
    <w:name w:val="footnote reference"/>
    <w:aliases w:val="(NECG) Footnote Reference,Appel note de bas de p,Style 11,Style 12,Style 124,Style 13,Style 15,Style 17,Style 18,Style 19,Style 20,Style 21,Style 28,Style 3,Style 4,Style 42,Style 7,Style 8,Style 9,fr,fr1,fr2,fr3,o,o1,o2,o3"/>
    <w:rPr>
      <w:vertAlign w:val="superscript"/>
    </w:rPr>
  </w:style>
  <w:style w:type="paragraph" w:styleId="BodyTextIndent">
    <w:name w:val="Body Text Indent"/>
    <w:basedOn w:val="Normal"/>
    <w:link w:val="BodyTextIndentChar"/>
    <w:pPr>
      <w:spacing w:line="480" w:lineRule="auto"/>
      <w:ind w:firstLine="720"/>
    </w:pPr>
  </w:style>
  <w:style w:type="paragraph" w:styleId="BodyTextIndent3">
    <w:name w:val="Body Text Indent 3"/>
    <w:basedOn w:val="Normal"/>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link w:val="BodyTextChar"/>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semiHidden/>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character" w:customStyle="1" w:styleId="UnresolvedMention1">
    <w:name w:val="Unresolved Mention1"/>
    <w:uiPriority w:val="99"/>
    <w:semiHidden/>
    <w:unhideWhenUsed/>
    <w:rsid w:val="00AB1DE9"/>
    <w:rPr>
      <w:color w:val="605E5C"/>
      <w:shd w:val="clear" w:color="auto" w:fill="E1DFDD"/>
    </w:rPr>
  </w:style>
  <w:style w:type="paragraph" w:styleId="Revision">
    <w:name w:val="Revision"/>
    <w:hidden/>
    <w:uiPriority w:val="99"/>
    <w:semiHidden/>
    <w:rsid w:val="003D7254"/>
    <w:rPr>
      <w:sz w:val="24"/>
    </w:rPr>
  </w:style>
  <w:style w:type="character" w:customStyle="1" w:styleId="FooterChar">
    <w:name w:val="Footer Char"/>
    <w:basedOn w:val="DefaultParagraphFont"/>
    <w:link w:val="Footer"/>
    <w:rsid w:val="0073747D"/>
  </w:style>
  <w:style w:type="character" w:customStyle="1" w:styleId="UnresolvedMention2">
    <w:name w:val="Unresolved Mention2"/>
    <w:basedOn w:val="DefaultParagraphFont"/>
    <w:rsid w:val="000A526E"/>
    <w:rPr>
      <w:color w:val="605E5C"/>
      <w:shd w:val="clear" w:color="auto" w:fill="E1DFDD"/>
    </w:rPr>
  </w:style>
  <w:style w:type="character" w:customStyle="1" w:styleId="BodyTextChar">
    <w:name w:val="Body Text Char"/>
    <w:basedOn w:val="DefaultParagraphFont"/>
    <w:link w:val="BodyText"/>
    <w:rsid w:val="002B147F"/>
    <w:rPr>
      <w:sz w:val="24"/>
    </w:rPr>
  </w:style>
  <w:style w:type="character" w:customStyle="1" w:styleId="BodyTextIndentChar">
    <w:name w:val="Body Text Indent Char"/>
    <w:basedOn w:val="DefaultParagraphFont"/>
    <w:link w:val="BodyTextIndent"/>
    <w:rsid w:val="002B147F"/>
    <w:rPr>
      <w:sz w:val="24"/>
    </w:rPr>
  </w:style>
  <w:style w:type="character" w:customStyle="1" w:styleId="FootnoteTextChar">
    <w:name w:val="Footnote Text Char"/>
    <w:aliases w:val="Footnote Text Cha Char,Footnote Text Char Char4 Char Char,Footnote Text Char Char4 Char1 Char Char Char,Footnote Text Char1 Char,Footnote Text Char2 Char,Footnote Text Char4 Char Char,Footnote Text Char4 Char1 Char Char Char"/>
    <w:link w:val="FootnoteText"/>
    <w:rsid w:val="00AF3BD4"/>
  </w:style>
  <w:style w:type="character" w:customStyle="1" w:styleId="UnresolvedMention">
    <w:name w:val="Unresolved Mention"/>
    <w:basedOn w:val="DefaultParagraphFont"/>
    <w:rsid w:val="003C2EA8"/>
    <w:rPr>
      <w:color w:val="605E5C"/>
      <w:shd w:val="clear" w:color="auto" w:fill="E1DFDD"/>
    </w:rPr>
  </w:style>
  <w:style w:type="paragraph" w:styleId="ListParagraph">
    <w:name w:val="List Paragraph"/>
    <w:basedOn w:val="Normal"/>
    <w:uiPriority w:val="34"/>
    <w:qFormat/>
    <w:rsid w:val="00890C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header" Target="header5.xml" /><Relationship Id="rId13" Type="http://schemas.openxmlformats.org/officeDocument/2006/relationships/footer" Target="footer4.xml" /><Relationship Id="rId14" Type="http://schemas.openxmlformats.org/officeDocument/2006/relationships/header" Target="header6.xml" /><Relationship Id="rId15" Type="http://schemas.openxmlformats.org/officeDocument/2006/relationships/footer" Target="footer5.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1816</Words>
  <Characters>10355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Aqua AFR--Larry's final edits  (00133127.DOCX;1)</vt:lpstr>
    </vt:vector>
  </TitlesOfParts>
  <Company/>
  <LinksUpToDate>false</LinksUpToDate>
  <CharactersWithSpaces>12147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2019-03-08T22:16:53Z</dcterms:created>
  <dcterms:modified xsi:type="dcterms:W3CDTF">2019-03-08T22:16:53Z</dcterms:modified>
</cp:coreProperties>
</file>