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2644F" w:rsidRPr="00104013" w:rsidP="008C3C24">
      <w:pPr>
        <w:autoSpaceDE w:val="0"/>
        <w:autoSpaceDN w:val="0"/>
        <w:adjustRightInd w:val="0"/>
        <w:spacing w:after="0" w:line="240" w:lineRule="auto"/>
        <w:jc w:val="center"/>
        <w:rPr>
          <w:b/>
        </w:rPr>
      </w:pPr>
      <w:bookmarkStart w:id="0" w:name="_GoBack"/>
      <w:bookmarkEnd w:id="0"/>
      <w:r>
        <w:rPr>
          <w:b/>
        </w:rPr>
        <w:t>B</w:t>
      </w:r>
      <w:r w:rsidRPr="00104013" w:rsidR="00CA6B85">
        <w:rPr>
          <w:b/>
        </w:rPr>
        <w:t>EFORE</w:t>
      </w:r>
    </w:p>
    <w:p w:rsidR="00CA6B85" w:rsidRPr="00104013" w:rsidP="00076F41">
      <w:pPr>
        <w:autoSpaceDE w:val="0"/>
        <w:autoSpaceDN w:val="0"/>
        <w:adjustRightInd w:val="0"/>
        <w:spacing w:after="0" w:line="240" w:lineRule="auto"/>
        <w:jc w:val="center"/>
        <w:rPr>
          <w:b/>
        </w:rPr>
      </w:pPr>
      <w:r w:rsidRPr="00104013">
        <w:rPr>
          <w:b/>
        </w:rPr>
        <w:t>THE PUBLIC UTILITIES COMMISSION OF OHIO</w:t>
      </w:r>
    </w:p>
    <w:p w:rsidR="00CA6B85" w:rsidRPr="00104013" w:rsidP="00CA6B85">
      <w:pPr>
        <w:autoSpaceDE w:val="0"/>
        <w:autoSpaceDN w:val="0"/>
        <w:adjustRightInd w:val="0"/>
        <w:spacing w:after="0" w:line="240" w:lineRule="auto"/>
        <w:ind w:left="14" w:right="-14"/>
        <w:jc w:val="center"/>
        <w:rPr>
          <w:b/>
        </w:rPr>
      </w:pP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34"/>
        <w:gridCol w:w="296"/>
        <w:gridCol w:w="4096"/>
      </w:tblGrid>
      <w:tr w:rsidTr="008B17E9">
        <w:tblPrEx>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1422"/>
        </w:trPr>
        <w:tc>
          <w:tcPr>
            <w:tcW w:w="4330" w:type="dxa"/>
          </w:tcPr>
          <w:p w:rsidR="008A3117" w:rsidRPr="006A7A05" w:rsidP="00760F18">
            <w:pPr>
              <w:autoSpaceDE w:val="0"/>
              <w:autoSpaceDN w:val="0"/>
              <w:adjustRightInd w:val="0"/>
              <w:spacing w:after="0" w:line="240" w:lineRule="auto"/>
              <w:rPr>
                <w:rStyle w:val="DefaultParagraphFont"/>
                <w:rFonts w:eastAsiaTheme="minorHAnsi"/>
                <w:sz w:val="24"/>
                <w:szCs w:val="24"/>
                <w:lang w:val="en-US" w:eastAsia="en-US" w:bidi="ar-SA"/>
              </w:rPr>
            </w:pPr>
            <w:r w:rsidRPr="006A7A05">
              <w:rPr>
                <w:rFonts w:eastAsiaTheme="minorHAnsi"/>
                <w:sz w:val="24"/>
                <w:szCs w:val="24"/>
                <w:lang w:val="en-US" w:eastAsia="en-US" w:bidi="ar-SA"/>
              </w:rPr>
              <w:t>Petition of Communications Workers of America for a Public, On-The</w:t>
            </w:r>
            <w:r w:rsidR="00736322">
              <w:rPr>
                <w:rFonts w:eastAsiaTheme="minorHAnsi"/>
                <w:sz w:val="24"/>
                <w:szCs w:val="24"/>
                <w:lang w:val="en-US" w:eastAsia="en-US" w:bidi="ar-SA"/>
              </w:rPr>
              <w:t>-</w:t>
            </w:r>
            <w:r w:rsidRPr="006A7A05">
              <w:rPr>
                <w:rFonts w:eastAsiaTheme="minorHAnsi"/>
                <w:sz w:val="24"/>
                <w:szCs w:val="24"/>
                <w:lang w:val="en-US" w:eastAsia="en-US" w:bidi="ar-SA"/>
              </w:rPr>
              <w:t xml:space="preserve">Record Commission Investigation of the Adequacy and Reliability of Service Provided by AT&amp;T Services Inc. </w:t>
            </w:r>
          </w:p>
        </w:tc>
        <w:tc>
          <w:tcPr>
            <w:tcW w:w="282" w:type="dxa"/>
          </w:tcPr>
          <w:p w:rsidR="006E516B" w:rsidRPr="00104013"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r w:rsidRPr="00104013">
              <w:rPr>
                <w:rFonts w:eastAsiaTheme="minorHAnsi"/>
                <w:sz w:val="24"/>
                <w:szCs w:val="24"/>
                <w:lang w:val="en-US" w:eastAsia="en-US" w:bidi="ar-SA"/>
              </w:rPr>
              <w:t>) ) ) ) )</w:t>
            </w:r>
          </w:p>
          <w:p w:rsidR="006E516B" w:rsidRPr="00104013"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tc>
        <w:tc>
          <w:tcPr>
            <w:tcW w:w="4230" w:type="dxa"/>
          </w:tcPr>
          <w:p w:rsidR="006E516B" w:rsidRPr="00104013"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p w:rsidR="006E516B" w:rsidRPr="00104013" w:rsidP="006E516B">
            <w:pPr>
              <w:autoSpaceDE w:val="0"/>
              <w:autoSpaceDN w:val="0"/>
              <w:adjustRightInd w:val="0"/>
              <w:spacing w:after="0" w:line="240" w:lineRule="auto"/>
              <w:ind w:right="-14"/>
              <w:rPr>
                <w:rStyle w:val="DefaultParagraphFont"/>
                <w:rFonts w:eastAsiaTheme="minorHAnsi"/>
                <w:sz w:val="24"/>
                <w:szCs w:val="24"/>
                <w:lang w:val="en-US" w:eastAsia="en-US" w:bidi="ar-SA"/>
              </w:rPr>
            </w:pPr>
          </w:p>
          <w:p w:rsidR="006E516B" w:rsidRPr="00104013" w:rsidP="008B17E9">
            <w:pPr>
              <w:autoSpaceDE w:val="0"/>
              <w:autoSpaceDN w:val="0"/>
              <w:adjustRightInd w:val="0"/>
              <w:spacing w:after="0" w:line="240" w:lineRule="auto"/>
              <w:ind w:right="-14"/>
              <w:rPr>
                <w:rStyle w:val="DefaultParagraphFont"/>
                <w:rFonts w:eastAsiaTheme="minorHAnsi"/>
                <w:sz w:val="24"/>
                <w:szCs w:val="24"/>
                <w:lang w:val="en-US" w:eastAsia="en-US" w:bidi="ar-SA"/>
              </w:rPr>
            </w:pPr>
            <w:r w:rsidRPr="00104013">
              <w:rPr>
                <w:rFonts w:eastAsiaTheme="minorHAnsi"/>
                <w:sz w:val="24"/>
                <w:szCs w:val="24"/>
                <w:lang w:val="en-US" w:eastAsia="en-US" w:bidi="ar-SA"/>
              </w:rPr>
              <w:t xml:space="preserve">Case No. </w:t>
            </w:r>
            <w:r>
              <w:rPr>
                <w:rFonts w:eastAsiaTheme="minorHAnsi"/>
                <w:sz w:val="24"/>
                <w:szCs w:val="24"/>
                <w:lang w:val="en-US" w:eastAsia="en-US" w:bidi="ar-SA"/>
              </w:rPr>
              <w:t>19</w:t>
            </w:r>
            <w:r w:rsidRPr="00104013">
              <w:rPr>
                <w:rFonts w:eastAsiaTheme="minorHAnsi"/>
                <w:sz w:val="24"/>
                <w:szCs w:val="24"/>
                <w:lang w:val="en-US" w:eastAsia="en-US" w:bidi="ar-SA"/>
              </w:rPr>
              <w:t>-</w:t>
            </w:r>
            <w:r>
              <w:rPr>
                <w:rFonts w:eastAsiaTheme="minorHAnsi"/>
                <w:sz w:val="24"/>
                <w:szCs w:val="24"/>
                <w:lang w:val="en-US" w:eastAsia="en-US" w:bidi="ar-SA"/>
              </w:rPr>
              <w:t>1314</w:t>
            </w:r>
            <w:r w:rsidRPr="00104013">
              <w:rPr>
                <w:rFonts w:eastAsiaTheme="minorHAnsi"/>
                <w:sz w:val="24"/>
                <w:szCs w:val="24"/>
                <w:lang w:val="en-US" w:eastAsia="en-US" w:bidi="ar-SA"/>
              </w:rPr>
              <w:t>-</w:t>
            </w:r>
            <w:r>
              <w:rPr>
                <w:rFonts w:eastAsiaTheme="minorHAnsi"/>
                <w:sz w:val="24"/>
                <w:szCs w:val="24"/>
                <w:lang w:val="en-US" w:eastAsia="en-US" w:bidi="ar-SA"/>
              </w:rPr>
              <w:t>TP</w:t>
            </w:r>
            <w:r w:rsidRPr="00104013">
              <w:rPr>
                <w:rFonts w:eastAsiaTheme="minorHAnsi"/>
                <w:sz w:val="24"/>
                <w:szCs w:val="24"/>
                <w:lang w:val="en-US" w:eastAsia="en-US" w:bidi="ar-SA"/>
              </w:rPr>
              <w:t>-CSS</w:t>
            </w:r>
          </w:p>
        </w:tc>
      </w:tr>
    </w:tbl>
    <w:p w:rsidR="0042644F" w:rsidRPr="00104013" w:rsidP="001D6531">
      <w:pPr>
        <w:autoSpaceDE w:val="0"/>
        <w:autoSpaceDN w:val="0"/>
        <w:adjustRightInd w:val="0"/>
        <w:spacing w:after="0" w:line="480" w:lineRule="auto"/>
        <w:ind w:left="14" w:right="-14"/>
      </w:pPr>
      <w:r w:rsidRPr="00104013">
        <w:t>________________________________________________________________________</w:t>
      </w:r>
    </w:p>
    <w:p w:rsidR="006E516B" w:rsidP="006E516B">
      <w:pPr>
        <w:autoSpaceDE w:val="0"/>
        <w:autoSpaceDN w:val="0"/>
        <w:adjustRightInd w:val="0"/>
        <w:spacing w:after="0" w:line="240" w:lineRule="auto"/>
        <w:jc w:val="center"/>
        <w:rPr>
          <w:b/>
        </w:rPr>
      </w:pPr>
      <w:r>
        <w:rPr>
          <w:b/>
        </w:rPr>
        <w:t>MEMORANDUM CONTRA AT&amp;T</w:t>
      </w:r>
      <w:r w:rsidR="006A7A05">
        <w:rPr>
          <w:b/>
        </w:rPr>
        <w:t xml:space="preserve"> OHIO’S</w:t>
      </w:r>
      <w:r>
        <w:rPr>
          <w:b/>
        </w:rPr>
        <w:t xml:space="preserve"> MOTION TO DISMISS</w:t>
      </w:r>
    </w:p>
    <w:p w:rsidR="006E516B" w:rsidP="006E516B">
      <w:pPr>
        <w:autoSpaceDE w:val="0"/>
        <w:autoSpaceDN w:val="0"/>
        <w:adjustRightInd w:val="0"/>
        <w:spacing w:after="0" w:line="240" w:lineRule="auto"/>
        <w:jc w:val="center"/>
        <w:rPr>
          <w:b/>
        </w:rPr>
      </w:pPr>
      <w:r>
        <w:rPr>
          <w:b/>
        </w:rPr>
        <w:t>BY</w:t>
      </w:r>
    </w:p>
    <w:p w:rsidR="006E516B" w:rsidP="006E516B">
      <w:pPr>
        <w:autoSpaceDE w:val="0"/>
        <w:autoSpaceDN w:val="0"/>
        <w:adjustRightInd w:val="0"/>
        <w:spacing w:after="0" w:line="240" w:lineRule="auto"/>
        <w:jc w:val="center"/>
        <w:rPr>
          <w:b/>
        </w:rPr>
      </w:pPr>
      <w:r>
        <w:rPr>
          <w:b/>
        </w:rPr>
        <w:t>THE OFFICE OF THE OHIO CONSUMERS’ COUNSEL</w:t>
      </w:r>
    </w:p>
    <w:p w:rsidR="00CA6B85" w:rsidRPr="00104013" w:rsidP="00CA6B85">
      <w:pPr>
        <w:autoSpaceDE w:val="0"/>
        <w:autoSpaceDN w:val="0"/>
        <w:adjustRightInd w:val="0"/>
        <w:spacing w:after="0" w:line="240" w:lineRule="auto"/>
        <w:ind w:left="14" w:right="-14"/>
        <w:jc w:val="both"/>
      </w:pPr>
      <w:r w:rsidRPr="00104013">
        <w:t>________________________________________________________________________</w:t>
      </w:r>
    </w:p>
    <w:p w:rsidR="00175D24" w:rsidRPr="00104013" w:rsidP="005A7ACB">
      <w:pPr>
        <w:spacing w:after="0" w:line="240" w:lineRule="auto"/>
        <w:ind w:firstLine="720"/>
      </w:pPr>
    </w:p>
    <w:p w:rsidR="0013148E" w:rsidRPr="0013148E" w:rsidP="00E852AF">
      <w:pPr>
        <w:pStyle w:val="Heading1"/>
      </w:pPr>
      <w:bookmarkStart w:id="1" w:name="_Toc13753778"/>
      <w:r>
        <w:t>I.</w:t>
      </w:r>
      <w:r>
        <w:tab/>
        <w:t>INTRODUCTION</w:t>
      </w:r>
      <w:bookmarkEnd w:id="1"/>
    </w:p>
    <w:p w:rsidR="00A3748A" w:rsidP="002945A2">
      <w:pPr>
        <w:spacing w:after="0" w:line="480" w:lineRule="auto"/>
        <w:ind w:firstLine="720"/>
      </w:pPr>
      <w:r>
        <w:t xml:space="preserve">The Communications Workers of America (“CWA”) </w:t>
      </w:r>
      <w:r w:rsidR="00310EBF">
        <w:t>filed a Comp</w:t>
      </w:r>
      <w:r w:rsidR="00760F18">
        <w:t>l</w:t>
      </w:r>
      <w:r w:rsidR="00310EBF">
        <w:t xml:space="preserve">aint </w:t>
      </w:r>
      <w:r w:rsidR="00760F18">
        <w:t>against AT&amp;T Services, Inc. d/b/a AT&amp;T Midwest (“AT&amp;T Ohio”) specifically alleging 25 instances where AT&amp;T Ohio has failed to maintain its physical plant and facilities as required by Ohio law</w:t>
      </w:r>
      <w:r w:rsidR="00FD2A02">
        <w:t>.</w:t>
      </w:r>
      <w:r>
        <w:rPr>
          <w:rStyle w:val="FootnoteReference"/>
        </w:rPr>
        <w:footnoteReference w:id="3"/>
      </w:r>
      <w:r w:rsidR="00760F18">
        <w:t xml:space="preserve"> </w:t>
      </w:r>
      <w:r w:rsidR="005326BB">
        <w:t xml:space="preserve"> The Complaint further alleges the existence of many more violations by AT&amp;T Ohio, which the CWA claims it cannot </w:t>
      </w:r>
      <w:r w:rsidR="00182222">
        <w:t xml:space="preserve">disclose </w:t>
      </w:r>
      <w:r w:rsidR="005326BB">
        <w:t>without violating AT&amp;T Ohio’s Code of Business Conduct.</w:t>
      </w:r>
      <w:r>
        <w:rPr>
          <w:rStyle w:val="FootnoteReference"/>
        </w:rPr>
        <w:footnoteReference w:id="4"/>
      </w:r>
      <w:r w:rsidR="00FD2A02">
        <w:t xml:space="preserve">  The alleged violations</w:t>
      </w:r>
      <w:r w:rsidR="002A5C4A">
        <w:t xml:space="preserve"> could</w:t>
      </w:r>
      <w:r w:rsidR="00FD2A02">
        <w:t xml:space="preserve"> threaten service quality and </w:t>
      </w:r>
      <w:r w:rsidR="002A5C4A">
        <w:t>even the</w:t>
      </w:r>
      <w:r w:rsidR="00FD2A02">
        <w:t xml:space="preserve"> physical safety of AT&amp;T Ohio’s customers.  </w:t>
      </w:r>
      <w:r w:rsidR="002A5C4A">
        <w:t>To protect AT&amp;T Ohio’s customers, t</w:t>
      </w:r>
      <w:r w:rsidR="007755E7">
        <w:t xml:space="preserve">he </w:t>
      </w:r>
      <w:r w:rsidRPr="00104013" w:rsidR="00760F18">
        <w:t>Public Utilities Commission of Ohio (“PUCO</w:t>
      </w:r>
      <w:r w:rsidR="00760F18">
        <w:t>”)</w:t>
      </w:r>
      <w:r w:rsidR="007755E7">
        <w:t xml:space="preserve"> </w:t>
      </w:r>
      <w:r w:rsidR="00FD2A02">
        <w:t>should initiate an investigation</w:t>
      </w:r>
      <w:r w:rsidR="007755E7">
        <w:t xml:space="preserve"> </w:t>
      </w:r>
      <w:r w:rsidR="00FD2A02">
        <w:t xml:space="preserve">into </w:t>
      </w:r>
      <w:r w:rsidR="007755E7">
        <w:t>the adequacy and reliability of AT&amp;T Ohio’s facilities and service quality</w:t>
      </w:r>
      <w:r w:rsidR="00760F18">
        <w:t xml:space="preserve">. </w:t>
      </w:r>
    </w:p>
    <w:p w:rsidR="008B17E9" w:rsidP="002945A2">
      <w:pPr>
        <w:spacing w:after="0" w:line="480" w:lineRule="auto"/>
        <w:ind w:firstLine="720"/>
        <w:sectPr w:rsidSect="00BF720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noEndnote/>
          <w:titlePg/>
          <w:docGrid w:linePitch="326"/>
        </w:sectPr>
      </w:pPr>
    </w:p>
    <w:p w:rsidR="00C64E8F" w:rsidP="002945A2">
      <w:pPr>
        <w:spacing w:after="0" w:line="480" w:lineRule="auto"/>
        <w:ind w:firstLine="720"/>
      </w:pPr>
      <w:r>
        <w:t>On July 2, 2019, AT&amp;T Ohio filed</w:t>
      </w:r>
      <w:r w:rsidR="001C6573">
        <w:t xml:space="preserve"> </w:t>
      </w:r>
      <w:r>
        <w:t xml:space="preserve">a </w:t>
      </w:r>
      <w:r w:rsidR="0032473C">
        <w:t>M</w:t>
      </w:r>
      <w:r>
        <w:t xml:space="preserve">otion to Dismiss </w:t>
      </w:r>
      <w:r w:rsidR="005239B1">
        <w:t xml:space="preserve">(“Motion”) </w:t>
      </w:r>
      <w:r w:rsidR="0032473C">
        <w:t>the</w:t>
      </w:r>
      <w:r>
        <w:t xml:space="preserve"> Complaint</w:t>
      </w:r>
      <w:r w:rsidR="0032473C">
        <w:t xml:space="preserve"> asserting that the CWA fails to allege </w:t>
      </w:r>
      <w:r>
        <w:t>reasonable</w:t>
      </w:r>
      <w:r w:rsidR="0032473C">
        <w:t xml:space="preserve"> grounds </w:t>
      </w:r>
      <w:r>
        <w:t xml:space="preserve">for </w:t>
      </w:r>
      <w:r w:rsidR="0032473C">
        <w:t xml:space="preserve">a </w:t>
      </w:r>
      <w:r>
        <w:t>PUCO investigation.</w:t>
      </w:r>
      <w:r>
        <w:rPr>
          <w:rStyle w:val="FootnoteReference"/>
        </w:rPr>
        <w:footnoteReference w:id="5"/>
      </w:r>
      <w:r w:rsidR="0032473C">
        <w:t xml:space="preserve">  </w:t>
      </w:r>
      <w:r w:rsidR="001C6573">
        <w:t xml:space="preserve">In </w:t>
      </w:r>
      <w:r w:rsidR="0032473C">
        <w:t>AT&amp;T Ohio</w:t>
      </w:r>
      <w:r w:rsidR="001C6573">
        <w:t>’s view</w:t>
      </w:r>
      <w:r w:rsidR="0032473C">
        <w:t xml:space="preserve">, </w:t>
      </w:r>
      <w:r w:rsidR="001C6573">
        <w:t xml:space="preserve">the state of disrepair of </w:t>
      </w:r>
      <w:r w:rsidR="007755E7">
        <w:t xml:space="preserve">the </w:t>
      </w:r>
      <w:r w:rsidR="001C6573">
        <w:t>facilities</w:t>
      </w:r>
      <w:r w:rsidR="002A5C4A">
        <w:t xml:space="preserve"> identified</w:t>
      </w:r>
      <w:r w:rsidR="001C6573">
        <w:t xml:space="preserve"> in the Complaint is merely cosmetic, and poses no</w:t>
      </w:r>
      <w:r w:rsidR="00182222">
        <w:t xml:space="preserve"> immediate</w:t>
      </w:r>
      <w:r w:rsidR="001C6573">
        <w:t xml:space="preserve"> threat to service quality or public safety.</w:t>
      </w:r>
      <w:r>
        <w:rPr>
          <w:rStyle w:val="FootnoteReference"/>
        </w:rPr>
        <w:footnoteReference w:id="6"/>
      </w:r>
      <w:r>
        <w:t xml:space="preserve"> </w:t>
      </w:r>
      <w:r w:rsidR="00AA7F12">
        <w:t xml:space="preserve"> </w:t>
      </w:r>
      <w:r w:rsidR="000D0D27">
        <w:t xml:space="preserve">AT&amp;T Ohio </w:t>
      </w:r>
      <w:r w:rsidR="002A5C4A">
        <w:t>also</w:t>
      </w:r>
      <w:r w:rsidR="000D0D27">
        <w:t xml:space="preserve"> argues that</w:t>
      </w:r>
      <w:r w:rsidR="00867D79">
        <w:t xml:space="preserve"> dismissal is required because</w:t>
      </w:r>
      <w:r w:rsidR="000D0D27">
        <w:t xml:space="preserve"> the CWA does not allege </w:t>
      </w:r>
      <w:r w:rsidR="002A5C4A">
        <w:t xml:space="preserve">an </w:t>
      </w:r>
      <w:r w:rsidR="000D0D27">
        <w:t>injury</w:t>
      </w:r>
      <w:r w:rsidR="00867D79">
        <w:t xml:space="preserve"> and thus, lacks standing</w:t>
      </w:r>
      <w:r w:rsidR="000D0D27">
        <w:t>.  AT&amp;T Ohio is wrong on both counts</w:t>
      </w:r>
      <w:r w:rsidR="00867D79">
        <w:t>, and th</w:t>
      </w:r>
      <w:r w:rsidR="002A5C4A">
        <w:t xml:space="preserve">e </w:t>
      </w:r>
      <w:r w:rsidR="00E26B15">
        <w:t>Motion</w:t>
      </w:r>
      <w:r w:rsidR="002A5C4A">
        <w:t xml:space="preserve"> should be denied</w:t>
      </w:r>
      <w:r w:rsidR="00E26B15">
        <w:t>.</w:t>
      </w:r>
    </w:p>
    <w:p w:rsidR="00FD2A02" w:rsidP="002945A2">
      <w:pPr>
        <w:spacing w:after="0" w:line="480" w:lineRule="auto"/>
        <w:ind w:firstLine="720"/>
      </w:pPr>
      <w:r>
        <w:t>The Office of the Ohio Consumers’ Counsel (“OCC”), which represents AT&amp;T Ohio’s residential utility customers under</w:t>
      </w:r>
      <w:r w:rsidRPr="002A5C4A" w:rsidR="002A5C4A">
        <w:t xml:space="preserve"> </w:t>
      </w:r>
      <w:r w:rsidR="002A5C4A">
        <w:t>R.C. 4911</w:t>
      </w:r>
      <w:r>
        <w:t>, filed a Motion to Intervene in this case on July 5, 2019.</w:t>
      </w:r>
    </w:p>
    <w:p w:rsidR="00B5775C" w:rsidRPr="00CA6FDD" w:rsidP="00CA6FDD">
      <w:pPr>
        <w:pStyle w:val="Heading1"/>
      </w:pPr>
      <w:bookmarkStart w:id="2" w:name="_Toc13753779"/>
      <w:r>
        <w:t>II.</w:t>
      </w:r>
      <w:r>
        <w:tab/>
      </w:r>
      <w:bookmarkEnd w:id="2"/>
      <w:r w:rsidR="00CA6FDD">
        <w:t>Discussion</w:t>
      </w:r>
      <w:r>
        <w:rPr>
          <w:color w:val="373739"/>
        </w:rPr>
        <w:t xml:space="preserve"> </w:t>
      </w:r>
    </w:p>
    <w:p w:rsidR="001913D3" w:rsidRPr="001913D3" w:rsidP="00553D9A">
      <w:pPr>
        <w:pStyle w:val="Heading2"/>
        <w:rPr>
          <w:rFonts w:hint="eastAsia"/>
        </w:rPr>
      </w:pPr>
      <w:bookmarkStart w:id="3" w:name="_Toc13753781"/>
      <w:r>
        <w:t>A</w:t>
      </w:r>
      <w:r w:rsidR="006A5601">
        <w:t>.</w:t>
      </w:r>
      <w:r w:rsidR="006A5601">
        <w:tab/>
      </w:r>
      <w:r w:rsidR="002C721D">
        <w:t xml:space="preserve">The </w:t>
      </w:r>
      <w:r w:rsidR="00FA22FF">
        <w:t>CWA’s</w:t>
      </w:r>
      <w:r w:rsidR="00CA6FDD">
        <w:t xml:space="preserve"> allegations more than establish the need for a PUCO investigation</w:t>
      </w:r>
      <w:r>
        <w:t xml:space="preserve"> </w:t>
      </w:r>
      <w:r w:rsidR="00CA6FDD">
        <w:t xml:space="preserve">into the adequacy and reliability of </w:t>
      </w:r>
      <w:r w:rsidR="00C37D28">
        <w:t>AT&amp;T Ohio’s</w:t>
      </w:r>
      <w:r w:rsidR="00CA6FDD">
        <w:t xml:space="preserve"> telephone service</w:t>
      </w:r>
      <w:r>
        <w:t>.</w:t>
      </w:r>
      <w:bookmarkEnd w:id="3"/>
    </w:p>
    <w:p w:rsidR="00CA6FDD" w:rsidP="00CA6FDD">
      <w:pPr>
        <w:spacing w:after="0" w:line="480" w:lineRule="auto"/>
        <w:ind w:firstLine="720"/>
        <w:rPr>
          <w:color w:val="373739"/>
        </w:rPr>
      </w:pPr>
      <w:r>
        <w:t xml:space="preserve">The PUCO stated its standard for reviewing a motion to dismiss in </w:t>
      </w:r>
      <w:r w:rsidRPr="00E16D6A">
        <w:rPr>
          <w:i/>
        </w:rPr>
        <w:t>OCC v. Dominion Retail</w:t>
      </w:r>
      <w:r>
        <w:t>.</w:t>
      </w:r>
      <w:r>
        <w:rPr>
          <w:rStyle w:val="FootnoteReference"/>
        </w:rPr>
        <w:footnoteReference w:id="7"/>
      </w:r>
      <w:r>
        <w:t xml:space="preserve">  There, the PUCO stated: </w:t>
      </w:r>
      <w:r w:rsidRPr="00E16D6A">
        <w:t>“[W]</w:t>
      </w:r>
      <w:r w:rsidRPr="00E16D6A">
        <w:rPr>
          <w:color w:val="373739"/>
        </w:rPr>
        <w:t>hen a motion to dismiss is</w:t>
      </w:r>
      <w:r>
        <w:rPr>
          <w:color w:val="373739"/>
        </w:rPr>
        <w:t xml:space="preserve"> being </w:t>
      </w:r>
      <w:r w:rsidRPr="00E16D6A">
        <w:rPr>
          <w:color w:val="373739"/>
        </w:rPr>
        <w:t xml:space="preserve">considered, all material allegations of the </w:t>
      </w:r>
      <w:r w:rsidRPr="00E16D6A">
        <w:rPr>
          <w:rStyle w:val="sssh"/>
          <w:color w:val="373739"/>
        </w:rPr>
        <w:t>complaint</w:t>
      </w:r>
      <w:r w:rsidRPr="00E16D6A">
        <w:rPr>
          <w:color w:val="373739"/>
        </w:rPr>
        <w:t xml:space="preserve"> must be accepted as true and </w:t>
      </w:r>
      <w:r w:rsidRPr="00E16D6A">
        <w:rPr>
          <w:color w:val="373739"/>
        </w:rPr>
        <w:t>construed in favor of the complaining party.</w:t>
      </w:r>
      <w:r>
        <w:rPr>
          <w:color w:val="373739"/>
        </w:rPr>
        <w:t>”</w:t>
      </w:r>
      <w:r>
        <w:rPr>
          <w:rStyle w:val="FootnoteReference"/>
          <w:color w:val="373739"/>
        </w:rPr>
        <w:footnoteReference w:id="8"/>
      </w:r>
      <w:r>
        <w:rPr>
          <w:color w:val="373739"/>
        </w:rPr>
        <w:t xml:space="preserve">  Under this </w:t>
      </w:r>
      <w:r w:rsidR="002A5C4A">
        <w:rPr>
          <w:color w:val="373739"/>
        </w:rPr>
        <w:t>standard of review</w:t>
      </w:r>
      <w:r>
        <w:rPr>
          <w:color w:val="373739"/>
        </w:rPr>
        <w:t>, the PUCO should not dismiss the Complaint.</w:t>
      </w:r>
    </w:p>
    <w:p w:rsidR="00CA6FDD" w:rsidRPr="0051563A" w:rsidP="0051563A">
      <w:pPr>
        <w:spacing w:after="0" w:line="480" w:lineRule="auto"/>
        <w:ind w:firstLine="720"/>
        <w:rPr>
          <w:color w:val="373739"/>
        </w:rPr>
      </w:pPr>
      <w:r>
        <w:rPr>
          <w:color w:val="373739"/>
        </w:rPr>
        <w:t>The Complaint specifically identifies (with photographs) 25 instances of facilities throughout Ohio in major disrepair.</w:t>
      </w:r>
      <w:r>
        <w:rPr>
          <w:rStyle w:val="FootnoteReference"/>
          <w:color w:val="373739"/>
        </w:rPr>
        <w:footnoteReference w:id="9"/>
      </w:r>
      <w:r>
        <w:rPr>
          <w:color w:val="373739"/>
        </w:rPr>
        <w:t xml:space="preserve">  Even more concerning are the </w:t>
      </w:r>
      <w:r w:rsidR="002A5C4A">
        <w:rPr>
          <w:color w:val="373739"/>
        </w:rPr>
        <w:t>Complaint’s</w:t>
      </w:r>
      <w:r>
        <w:rPr>
          <w:color w:val="373739"/>
        </w:rPr>
        <w:t xml:space="preserve"> allegations of additional violations, which </w:t>
      </w:r>
      <w:r w:rsidR="00CC0286">
        <w:rPr>
          <w:color w:val="373739"/>
        </w:rPr>
        <w:t xml:space="preserve">the </w:t>
      </w:r>
      <w:r>
        <w:rPr>
          <w:color w:val="373739"/>
        </w:rPr>
        <w:t>CWA will not disclose for fear of violating AT&amp;T Ohio’s Code of Business Conduct.</w:t>
      </w:r>
      <w:r>
        <w:rPr>
          <w:rStyle w:val="FootnoteReference"/>
          <w:color w:val="373739"/>
        </w:rPr>
        <w:footnoteReference w:id="10"/>
      </w:r>
      <w:r>
        <w:rPr>
          <w:color w:val="373739"/>
        </w:rPr>
        <w:t xml:space="preserve">  When these allegations are construed in favor of the CWA, it is clear that AT&amp;T Ohio’s Motion must be denied. </w:t>
      </w:r>
      <w:r w:rsidR="0051563A">
        <w:rPr>
          <w:color w:val="373739"/>
        </w:rPr>
        <w:t xml:space="preserve"> </w:t>
      </w:r>
      <w:r>
        <w:rPr>
          <w:color w:val="373739"/>
        </w:rPr>
        <w:t xml:space="preserve">AT&amp;T Ohio’s claim that </w:t>
      </w:r>
      <w:r w:rsidR="0051563A">
        <w:rPr>
          <w:color w:val="373739"/>
        </w:rPr>
        <w:t xml:space="preserve">it has </w:t>
      </w:r>
      <w:r>
        <w:rPr>
          <w:color w:val="373739"/>
        </w:rPr>
        <w:t xml:space="preserve">addressed </w:t>
      </w:r>
      <w:r w:rsidR="0051563A">
        <w:rPr>
          <w:color w:val="373739"/>
        </w:rPr>
        <w:t xml:space="preserve">the issues identified in the Complaint </w:t>
      </w:r>
      <w:r>
        <w:rPr>
          <w:color w:val="373739"/>
        </w:rPr>
        <w:t xml:space="preserve">cannot be verified without a PUCO investigation.  </w:t>
      </w:r>
      <w:r w:rsidR="0051563A">
        <w:rPr>
          <w:color w:val="373739"/>
        </w:rPr>
        <w:t>And t</w:t>
      </w:r>
      <w:r>
        <w:rPr>
          <w:color w:val="373739"/>
        </w:rPr>
        <w:t>he PUCO</w:t>
      </w:r>
      <w:r w:rsidR="00AE097D">
        <w:rPr>
          <w:color w:val="373739"/>
        </w:rPr>
        <w:t xml:space="preserve"> should </w:t>
      </w:r>
      <w:r>
        <w:rPr>
          <w:color w:val="373739"/>
        </w:rPr>
        <w:t>not risk residential customers’ physical safety and service quality based solely on AT&amp;T Ohio’s word.</w:t>
      </w:r>
    </w:p>
    <w:p w:rsidR="00C01AA1" w:rsidP="00C20FE0">
      <w:pPr>
        <w:spacing w:after="0" w:line="480" w:lineRule="auto"/>
        <w:ind w:firstLine="720"/>
      </w:pPr>
      <w:r>
        <w:t>R.C. § 4927.21(</w:t>
      </w:r>
      <w:r w:rsidR="0051563A">
        <w:t>A</w:t>
      </w:r>
      <w:r>
        <w:t xml:space="preserve">) </w:t>
      </w:r>
      <w:r w:rsidR="0051563A">
        <w:t xml:space="preserve">states that “any person may file with the [PUCO], or the [PUCO] may initiate, a complaint against a telephone company . . .  </w:t>
      </w:r>
      <w:r w:rsidRPr="00CD0F0F" w:rsidR="0051563A">
        <w:rPr>
          <w:i/>
          <w:iCs/>
        </w:rPr>
        <w:t>alleging</w:t>
      </w:r>
      <w:r w:rsidR="0051563A">
        <w:t xml:space="preserve"> that any rate, practice, or service of the company is unjust, unreasonable, unjustly discriminatory, or in violation of or noncompliance with any provision of sections 4927.01 to 4927.20” (emphasis added).  </w:t>
      </w:r>
      <w:r w:rsidR="003E0145">
        <w:t xml:space="preserve">The plain language of the statute </w:t>
      </w:r>
      <w:r w:rsidR="0051563A">
        <w:t>does not require the CWA</w:t>
      </w:r>
      <w:r w:rsidR="003E0145">
        <w:t xml:space="preserve"> – or any of AT&amp;T Ohio’s residential customers –</w:t>
      </w:r>
      <w:r w:rsidR="0051563A">
        <w:t xml:space="preserve"> </w:t>
      </w:r>
      <w:r w:rsidR="003E0145">
        <w:t>to show that it has been injured for the PUCO to investigate</w:t>
      </w:r>
      <w:r w:rsidR="0051563A">
        <w:t>.</w:t>
      </w:r>
      <w:r w:rsidR="003E0145">
        <w:t xml:space="preserve">  </w:t>
      </w:r>
      <w:r w:rsidR="00C20FE0">
        <w:t>Further,</w:t>
      </w:r>
      <w:r w:rsidR="003E0145">
        <w:t xml:space="preserve"> R.C. § 4927.21(B) provides that </w:t>
      </w:r>
      <w:r>
        <w:t>“</w:t>
      </w:r>
      <w:r w:rsidR="003E0145">
        <w:t>[i]</w:t>
      </w:r>
      <w:r>
        <w:t xml:space="preserve">f it appears that reasonable grounds for complaint are stated by a complaint filed under division (A) of this section, the commission </w:t>
      </w:r>
      <w:r w:rsidRPr="003E0145">
        <w:rPr>
          <w:i/>
        </w:rPr>
        <w:t>shall</w:t>
      </w:r>
      <w:r>
        <w:t xml:space="preserve"> fix a time for hearing ” and “</w:t>
      </w:r>
      <w:r w:rsidR="003E0145">
        <w:t>[t]</w:t>
      </w:r>
      <w:r>
        <w:t xml:space="preserve">he parties to the complaint </w:t>
      </w:r>
      <w:r w:rsidRPr="003E0145">
        <w:rPr>
          <w:i/>
        </w:rPr>
        <w:t>shall</w:t>
      </w:r>
      <w:r>
        <w:t xml:space="preserve"> be entitled to be heard”</w:t>
      </w:r>
      <w:r w:rsidR="003E0145">
        <w:t xml:space="preserve"> (emphasis added).</w:t>
      </w:r>
      <w:r w:rsidR="00A15A4C">
        <w:t xml:space="preserve">  </w:t>
      </w:r>
    </w:p>
    <w:p w:rsidR="00120CF1" w:rsidP="00120CF1">
      <w:pPr>
        <w:spacing w:after="0" w:line="480" w:lineRule="auto"/>
        <w:ind w:firstLine="720"/>
      </w:pPr>
      <w:r>
        <w:t xml:space="preserve">The </w:t>
      </w:r>
      <w:r w:rsidR="00144FDB">
        <w:t xml:space="preserve">CWA’s </w:t>
      </w:r>
      <w:r w:rsidR="003E0145">
        <w:t>allegations are more than sufficient to establish “reasonable grounds” for th</w:t>
      </w:r>
      <w:r w:rsidR="00144FDB">
        <w:t>e Complaint</w:t>
      </w:r>
      <w:r w:rsidR="004D12FE">
        <w:t xml:space="preserve"> </w:t>
      </w:r>
      <w:r w:rsidR="00C01AA1">
        <w:t>and thus</w:t>
      </w:r>
      <w:r w:rsidR="004D12FE">
        <w:t>,</w:t>
      </w:r>
      <w:r w:rsidR="00C01AA1">
        <w:t xml:space="preserve"> the PUCO “shall</w:t>
      </w:r>
      <w:r w:rsidR="006A7A05">
        <w:t>,</w:t>
      </w:r>
      <w:r w:rsidR="00C01AA1">
        <w:t xml:space="preserve">” under Ohio law, set the matter for hearing and provide an opportunity for the parties to be heard.  In addition to the allegations discussed above, </w:t>
      </w:r>
      <w:r>
        <w:t xml:space="preserve">the </w:t>
      </w:r>
      <w:r w:rsidR="00C01AA1">
        <w:t xml:space="preserve">CWA </w:t>
      </w:r>
      <w:r w:rsidR="005E39A2">
        <w:t>alleges that the PUCO has received over</w:t>
      </w:r>
      <w:r w:rsidR="00C01AA1">
        <w:t xml:space="preserve"> 6,000 </w:t>
      </w:r>
      <w:r w:rsidR="005E39A2">
        <w:t xml:space="preserve">informal customer complaints from </w:t>
      </w:r>
      <w:r w:rsidR="00C01AA1">
        <w:t>AT&amp;T Ohio</w:t>
      </w:r>
      <w:r w:rsidR="005E39A2">
        <w:t>’s customers since 2016</w:t>
      </w:r>
      <w:r w:rsidR="00C01AA1">
        <w:t>.</w:t>
      </w:r>
      <w:r>
        <w:rPr>
          <w:rStyle w:val="FootnoteReference"/>
        </w:rPr>
        <w:footnoteReference w:id="11"/>
      </w:r>
      <w:r w:rsidR="00C01AA1">
        <w:t xml:space="preserve"> </w:t>
      </w:r>
      <w:r>
        <w:t xml:space="preserve"> AT&amp;T Ohio disputes this allegation,</w:t>
      </w:r>
      <w:r>
        <w:rPr>
          <w:rStyle w:val="FootnoteReference"/>
        </w:rPr>
        <w:footnoteReference w:id="12"/>
      </w:r>
      <w:r>
        <w:t xml:space="preserve"> but</w:t>
      </w:r>
      <w:r w:rsidR="006A7A05">
        <w:t xml:space="preserve"> </w:t>
      </w:r>
      <w:r>
        <w:t>that is no reason for dismissing the Complaint.  T</w:t>
      </w:r>
      <w:r w:rsidR="00C01AA1">
        <w:t>h</w:t>
      </w:r>
      <w:r>
        <w:t>is is an issue the</w:t>
      </w:r>
      <w:r w:rsidR="00C01AA1">
        <w:t xml:space="preserve"> PUCO</w:t>
      </w:r>
      <w:r>
        <w:t xml:space="preserve"> should investigate</w:t>
      </w:r>
      <w:r w:rsidR="00C01AA1">
        <w:t>, along with whether AT&amp;T Ohio is properly maintaining its facilities.</w:t>
      </w:r>
      <w:r w:rsidR="003E0145">
        <w:t xml:space="preserve"> </w:t>
      </w:r>
      <w:r w:rsidR="00F3280C">
        <w:t xml:space="preserve"> </w:t>
      </w:r>
    </w:p>
    <w:p w:rsidR="001305A5" w:rsidP="00120CF1">
      <w:pPr>
        <w:spacing w:after="0" w:line="480" w:lineRule="auto"/>
        <w:ind w:firstLine="720"/>
      </w:pPr>
      <w:r>
        <w:t xml:space="preserve">AT&amp;T Ohio </w:t>
      </w:r>
      <w:r w:rsidR="000D7565">
        <w:t>claims</w:t>
      </w:r>
      <w:r>
        <w:t xml:space="preserve"> that the </w:t>
      </w:r>
      <w:r w:rsidR="00C907EB">
        <w:t xml:space="preserve">substandard </w:t>
      </w:r>
      <w:r w:rsidR="00D3546B">
        <w:t xml:space="preserve">facilities shown in the 25 photographs </w:t>
      </w:r>
      <w:r>
        <w:t>in the Complaint have either been fixed or will be fixed by August 1.</w:t>
      </w:r>
      <w:r>
        <w:rPr>
          <w:rStyle w:val="FootnoteReference"/>
        </w:rPr>
        <w:footnoteReference w:id="13"/>
      </w:r>
      <w:r>
        <w:t xml:space="preserve">  But </w:t>
      </w:r>
      <w:r w:rsidR="00206117">
        <w:t>t</w:t>
      </w:r>
      <w:r w:rsidR="00D3546B">
        <w:t xml:space="preserve">he </w:t>
      </w:r>
      <w:r>
        <w:t xml:space="preserve">CWA </w:t>
      </w:r>
      <w:r w:rsidR="00206117">
        <w:t>claims</w:t>
      </w:r>
      <w:r>
        <w:t xml:space="preserve"> there are other </w:t>
      </w:r>
      <w:r w:rsidR="00206117">
        <w:t xml:space="preserve">instances where </w:t>
      </w:r>
      <w:r>
        <w:t>AT&amp;T Ohio</w:t>
      </w:r>
      <w:r w:rsidR="00206117">
        <w:t xml:space="preserve"> has failed to maintain its </w:t>
      </w:r>
      <w:r>
        <w:t xml:space="preserve">facilities that cannot </w:t>
      </w:r>
      <w:r w:rsidR="00206117">
        <w:t xml:space="preserve">be identified </w:t>
      </w:r>
      <w:r>
        <w:t>at this time because of restrictions in AT&amp;T Ohio’s Code of Business Conduct.</w:t>
      </w:r>
      <w:r>
        <w:rPr>
          <w:rStyle w:val="FootnoteReference"/>
        </w:rPr>
        <w:footnoteReference w:id="14"/>
      </w:r>
      <w:r>
        <w:t xml:space="preserve">  AT&amp;T Ohio should not be allowed to use its</w:t>
      </w:r>
      <w:r w:rsidR="000D7565">
        <w:t xml:space="preserve"> </w:t>
      </w:r>
      <w:r>
        <w:t xml:space="preserve">Code of Business Conduct to conceal </w:t>
      </w:r>
      <w:r w:rsidR="000D7565">
        <w:t xml:space="preserve">its failure to properly </w:t>
      </w:r>
      <w:r>
        <w:t>maint</w:t>
      </w:r>
      <w:r w:rsidR="000D7565">
        <w:t xml:space="preserve">ain its </w:t>
      </w:r>
      <w:r>
        <w:t>facilities</w:t>
      </w:r>
    </w:p>
    <w:p w:rsidR="00CB6673" w:rsidP="004D12FE">
      <w:pPr>
        <w:spacing w:after="0" w:line="480" w:lineRule="auto"/>
        <w:ind w:firstLine="720"/>
      </w:pPr>
      <w:r>
        <w:t>T</w:t>
      </w:r>
      <w:r w:rsidR="00120CF1">
        <w:t>he</w:t>
      </w:r>
      <w:r w:rsidR="00E54EA3">
        <w:t xml:space="preserve"> PUCO </w:t>
      </w:r>
      <w:r>
        <w:t xml:space="preserve">also </w:t>
      </w:r>
      <w:r w:rsidR="00B46310">
        <w:t>has authority under</w:t>
      </w:r>
      <w:r w:rsidR="00103DA4">
        <w:t xml:space="preserve"> </w:t>
      </w:r>
      <w:r w:rsidR="00E54EA3">
        <w:t xml:space="preserve">R.C. § 4927.19(A)-(B) to “investigate or examine the books, records, or practices of any telephone company… [and] investigate or inspect the plant and facility of any telephone company.” AT&amp;T Ohio is a telephone company </w:t>
      </w:r>
      <w:r w:rsidR="00F34C0D">
        <w:t xml:space="preserve">that </w:t>
      </w:r>
      <w:r w:rsidR="00E54EA3">
        <w:t>the PUCO can “investigate” or “examine”</w:t>
      </w:r>
      <w:r w:rsidR="009A4A9B">
        <w:t xml:space="preserve"> pursuant to R.C. § 4927.19(A)-(B).</w:t>
      </w:r>
      <w:r w:rsidR="00E54EA3">
        <w:t xml:space="preserve"> </w:t>
      </w:r>
      <w:r w:rsidR="006A7A05">
        <w:t xml:space="preserve"> </w:t>
      </w:r>
      <w:r w:rsidR="00C20FE0">
        <w:t>Accordingly, a</w:t>
      </w:r>
      <w:r w:rsidR="006A7A05">
        <w:t>ny claim by AT&amp;T Ohio that the PUCO cannot lawfully initiate an investigation in</w:t>
      </w:r>
      <w:r w:rsidR="00C20FE0">
        <w:t xml:space="preserve"> response to the Complaint</w:t>
      </w:r>
      <w:r w:rsidR="006A7A05">
        <w:t xml:space="preserve"> </w:t>
      </w:r>
      <w:r w:rsidR="00C20FE0">
        <w:t>should be rejected</w:t>
      </w:r>
      <w:r w:rsidR="005239B1">
        <w:t>.  Therefore, the PUCO should dismiss the Motion and investigate the adequacy and reliability of AT&amp;T Ohio’s service being provided to Ohioans</w:t>
      </w:r>
      <w:r w:rsidR="006A7A05">
        <w:t>.</w:t>
      </w:r>
      <w:r w:rsidR="003B3653">
        <w:t xml:space="preserve"> </w:t>
      </w:r>
    </w:p>
    <w:p w:rsidR="001C6778" w:rsidRPr="00BF1368" w:rsidP="00F34C0D">
      <w:pPr>
        <w:pStyle w:val="Heading2"/>
        <w:rPr>
          <w:rFonts w:hint="eastAsia"/>
        </w:rPr>
      </w:pPr>
      <w:bookmarkStart w:id="4" w:name="_Toc13753782"/>
      <w:r>
        <w:t>B.</w:t>
      </w:r>
      <w:r>
        <w:tab/>
      </w:r>
      <w:r w:rsidR="00EC47CD">
        <w:t xml:space="preserve">The PUCO </w:t>
      </w:r>
      <w:r w:rsidR="00C20FE0">
        <w:t>decisions</w:t>
      </w:r>
      <w:r w:rsidR="00EC47CD">
        <w:t xml:space="preserve"> that </w:t>
      </w:r>
      <w:r w:rsidR="00E91E21">
        <w:t>AT&amp;T Ohio</w:t>
      </w:r>
      <w:r w:rsidR="00BF1368">
        <w:t xml:space="preserve"> </w:t>
      </w:r>
      <w:r w:rsidR="00EC47CD">
        <w:t>cites do not support dismissal of the Complaint</w:t>
      </w:r>
      <w:r w:rsidR="00BF1368">
        <w:t>.</w:t>
      </w:r>
      <w:bookmarkEnd w:id="4"/>
      <w:r w:rsidR="00BF1368">
        <w:t xml:space="preserve"> </w:t>
      </w:r>
    </w:p>
    <w:p w:rsidR="00BF1368" w:rsidP="001409D0">
      <w:pPr>
        <w:spacing w:after="0" w:line="480" w:lineRule="auto"/>
        <w:ind w:firstLine="720"/>
      </w:pPr>
      <w:r>
        <w:t>AT&amp;T Ohio</w:t>
      </w:r>
      <w:r>
        <w:t xml:space="preserve"> </w:t>
      </w:r>
      <w:r w:rsidR="00EC47CD">
        <w:t>relies on</w:t>
      </w:r>
      <w:r>
        <w:t xml:space="preserve"> </w:t>
      </w:r>
      <w:r w:rsidR="00197B17">
        <w:t>two</w:t>
      </w:r>
      <w:r>
        <w:t xml:space="preserve"> cases where the PUCO </w:t>
      </w:r>
      <w:r w:rsidR="00EC47CD">
        <w:t>granted motions to dismiss</w:t>
      </w:r>
      <w:r>
        <w:t xml:space="preserve"> for failure to state reasonable grounds.  </w:t>
      </w:r>
      <w:r w:rsidR="001409D0">
        <w:t>But n</w:t>
      </w:r>
      <w:r w:rsidR="007E2FC0">
        <w:t xml:space="preserve">either </w:t>
      </w:r>
      <w:r w:rsidR="00EC47CD">
        <w:t>support</w:t>
      </w:r>
      <w:r w:rsidR="007E2FC0">
        <w:t>s</w:t>
      </w:r>
      <w:r w:rsidR="00EC47CD">
        <w:t xml:space="preserve"> dismissal of </w:t>
      </w:r>
      <w:r w:rsidR="001409D0">
        <w:t>the</w:t>
      </w:r>
      <w:r w:rsidR="00EC47CD">
        <w:t xml:space="preserve"> </w:t>
      </w:r>
      <w:r w:rsidR="005239B1">
        <w:t xml:space="preserve">CWA </w:t>
      </w:r>
      <w:r w:rsidR="00EC47CD">
        <w:t>Complaint.</w:t>
      </w:r>
    </w:p>
    <w:p w:rsidR="008C5834" w:rsidP="008B35DD">
      <w:pPr>
        <w:spacing w:after="0" w:line="480" w:lineRule="auto"/>
        <w:ind w:firstLine="720"/>
      </w:pPr>
      <w:r>
        <w:t>First</w:t>
      </w:r>
      <w:r w:rsidR="00BF1368">
        <w:t>,</w:t>
      </w:r>
      <w:r w:rsidR="007E2FC0">
        <w:t xml:space="preserve"> </w:t>
      </w:r>
      <w:r w:rsidR="00072D74">
        <w:t>AT&amp;T Ohio</w:t>
      </w:r>
      <w:r w:rsidR="00BF1368">
        <w:t xml:space="preserve"> cites </w:t>
      </w:r>
      <w:r w:rsidRPr="00072D74" w:rsidR="00072D74">
        <w:rPr>
          <w:i/>
          <w:iCs/>
        </w:rPr>
        <w:t>In the Matter of the Complaint of Eugene Holmes v The Cleveland Electric Illuminating Company</w:t>
      </w:r>
      <w:r w:rsidR="00EC47CD">
        <w:rPr>
          <w:iCs/>
        </w:rPr>
        <w:t>.</w:t>
      </w:r>
      <w:r>
        <w:rPr>
          <w:rStyle w:val="FootnoteReference"/>
        </w:rPr>
        <w:footnoteReference w:id="15"/>
      </w:r>
      <w:r w:rsidR="00BF1368">
        <w:t xml:space="preserve"> </w:t>
      </w:r>
      <w:r w:rsidR="007E2FC0">
        <w:t xml:space="preserve"> While the PUCO did grant the utility’s motion to dismiss in </w:t>
      </w:r>
      <w:r w:rsidR="00072D74">
        <w:rPr>
          <w:i/>
        </w:rPr>
        <w:t>Holmes</w:t>
      </w:r>
      <w:r w:rsidR="007E2FC0">
        <w:t xml:space="preserve">, the facts in that case were </w:t>
      </w:r>
      <w:r w:rsidR="000D7565">
        <w:t xml:space="preserve">nothing like </w:t>
      </w:r>
      <w:r w:rsidR="00794AE6">
        <w:t>th</w:t>
      </w:r>
      <w:r w:rsidR="000D7565">
        <w:t>e facts</w:t>
      </w:r>
      <w:r w:rsidR="00794AE6">
        <w:t xml:space="preserve"> presented </w:t>
      </w:r>
      <w:r w:rsidR="001409D0">
        <w:t>here</w:t>
      </w:r>
      <w:r w:rsidR="007E2FC0">
        <w:t xml:space="preserve">.  In </w:t>
      </w:r>
      <w:r w:rsidR="007E2FC0">
        <w:rPr>
          <w:i/>
        </w:rPr>
        <w:t>Holmes</w:t>
      </w:r>
      <w:r w:rsidR="007E2FC0">
        <w:t>, the complainant</w:t>
      </w:r>
      <w:r w:rsidR="00072D74">
        <w:rPr>
          <w:i/>
        </w:rPr>
        <w:t xml:space="preserve"> </w:t>
      </w:r>
      <w:r w:rsidR="007E2FC0">
        <w:t xml:space="preserve">was not </w:t>
      </w:r>
      <w:r w:rsidR="00794AE6">
        <w:t>a</w:t>
      </w:r>
      <w:r w:rsidR="007E2FC0">
        <w:t xml:space="preserve"> </w:t>
      </w:r>
      <w:r w:rsidR="00834E16">
        <w:t xml:space="preserve">customer of </w:t>
      </w:r>
      <w:r w:rsidR="001409D0">
        <w:t>the utility</w:t>
      </w:r>
      <w:r w:rsidR="00834E16">
        <w:t xml:space="preserve">, but merely a caretaker </w:t>
      </w:r>
      <w:r w:rsidR="007E2FC0">
        <w:t xml:space="preserve">of </w:t>
      </w:r>
      <w:r w:rsidR="001409D0">
        <w:t>the utility</w:t>
      </w:r>
      <w:r w:rsidR="00834E16">
        <w:t xml:space="preserve"> customer affected by </w:t>
      </w:r>
      <w:r w:rsidR="00794AE6">
        <w:t>a power</w:t>
      </w:r>
      <w:r w:rsidR="00834E16">
        <w:t xml:space="preserve"> outage</w:t>
      </w:r>
      <w:r w:rsidR="00072D74">
        <w:t>.</w:t>
      </w:r>
      <w:r>
        <w:rPr>
          <w:rStyle w:val="FootnoteReference"/>
        </w:rPr>
        <w:footnoteReference w:id="16"/>
      </w:r>
      <w:r w:rsidR="00794AE6">
        <w:t xml:space="preserve"> Whether</w:t>
      </w:r>
      <w:r w:rsidR="000D7565">
        <w:t xml:space="preserve"> the</w:t>
      </w:r>
      <w:r w:rsidR="00794AE6">
        <w:t xml:space="preserve"> CWA is in fact a customer of AT&amp;T Ohio is disputed.</w:t>
      </w:r>
      <w:r>
        <w:t xml:space="preserve">  Nevertheless, </w:t>
      </w:r>
      <w:r w:rsidR="000D7565">
        <w:t xml:space="preserve">the </w:t>
      </w:r>
      <w:r>
        <w:t xml:space="preserve">CWA has an interest in promoting the safety and well-being of its members.  </w:t>
      </w:r>
      <w:r w:rsidR="000D7565">
        <w:t xml:space="preserve">And the </w:t>
      </w:r>
      <w:r>
        <w:t>CWA alleg</w:t>
      </w:r>
      <w:r w:rsidR="000D7565">
        <w:t xml:space="preserve">es </w:t>
      </w:r>
      <w:r>
        <w:t>that</w:t>
      </w:r>
      <w:r w:rsidR="000D7565">
        <w:t xml:space="preserve"> the</w:t>
      </w:r>
      <w:r>
        <w:t xml:space="preserve"> </w:t>
      </w:r>
      <w:r w:rsidR="000D7565">
        <w:t xml:space="preserve">condition of AT&amp;T Ohio’s facilities </w:t>
      </w:r>
      <w:r>
        <w:t>endanger</w:t>
      </w:r>
      <w:r w:rsidR="000D7565">
        <w:t>s</w:t>
      </w:r>
      <w:r>
        <w:t xml:space="preserve"> the safety and well-being of its members.</w:t>
      </w:r>
      <w:r w:rsidR="00794AE6">
        <w:t xml:space="preserve">  But regardless, there can be no dispute that</w:t>
      </w:r>
      <w:r w:rsidR="001409D0">
        <w:t xml:space="preserve"> under Ohio law</w:t>
      </w:r>
      <w:r w:rsidR="00794AE6">
        <w:t xml:space="preserve"> </w:t>
      </w:r>
      <w:r w:rsidR="00590CAC">
        <w:t>OCC represent</w:t>
      </w:r>
      <w:r w:rsidR="00794AE6">
        <w:t>s</w:t>
      </w:r>
      <w:r w:rsidR="00590CAC">
        <w:t xml:space="preserve"> the interests of AT&amp;T Ohio’s residential customers</w:t>
      </w:r>
      <w:r w:rsidR="00794AE6">
        <w:t xml:space="preserve"> who could be (or may have already been) harmed by AT&amp;T Ohio’s failure to maintain</w:t>
      </w:r>
      <w:r w:rsidR="00B575ED">
        <w:t xml:space="preserve"> its facilities.</w:t>
      </w:r>
      <w:r w:rsidR="008B35DD">
        <w:t xml:space="preserve">  </w:t>
      </w:r>
    </w:p>
    <w:p w:rsidR="008E75CC" w:rsidP="008B35DD">
      <w:pPr>
        <w:spacing w:after="0" w:line="480" w:lineRule="auto"/>
        <w:ind w:firstLine="720"/>
      </w:pPr>
      <w:r>
        <w:t>T</w:t>
      </w:r>
      <w:r w:rsidR="0064469D">
        <w:t>he complai</w:t>
      </w:r>
      <w:r w:rsidR="00B575ED">
        <w:t xml:space="preserve">nt in </w:t>
      </w:r>
      <w:r w:rsidR="00B575ED">
        <w:rPr>
          <w:i/>
        </w:rPr>
        <w:t>Holmes</w:t>
      </w:r>
      <w:r w:rsidR="0064469D">
        <w:t xml:space="preserve"> </w:t>
      </w:r>
      <w:r>
        <w:t xml:space="preserve">also </w:t>
      </w:r>
      <w:r w:rsidR="00B575ED">
        <w:t xml:space="preserve">did not </w:t>
      </w:r>
      <w:r w:rsidR="00590CAC">
        <w:t xml:space="preserve">allege </w:t>
      </w:r>
      <w:r w:rsidR="00B575ED">
        <w:t xml:space="preserve">that the utility violated any </w:t>
      </w:r>
      <w:r w:rsidR="00590CAC">
        <w:t>statute, public policy,</w:t>
      </w:r>
      <w:r w:rsidR="00FD667A">
        <w:t xml:space="preserve"> </w:t>
      </w:r>
      <w:r w:rsidR="00B575ED">
        <w:t>PUCO</w:t>
      </w:r>
      <w:r w:rsidR="00590CAC">
        <w:t xml:space="preserve"> rule, or precedent.</w:t>
      </w:r>
      <w:r>
        <w:rPr>
          <w:rStyle w:val="FootnoteReference"/>
        </w:rPr>
        <w:footnoteReference w:id="17"/>
      </w:r>
      <w:r w:rsidR="00B575ED">
        <w:t xml:space="preserve"> </w:t>
      </w:r>
      <w:r w:rsidR="008B35DD">
        <w:t>By contrast</w:t>
      </w:r>
      <w:r w:rsidR="00FD667A">
        <w:t>,</w:t>
      </w:r>
      <w:r w:rsidR="008B35DD">
        <w:t xml:space="preserve"> the Complaint here</w:t>
      </w:r>
      <w:r w:rsidR="00D45144">
        <w:t xml:space="preserve"> specifically </w:t>
      </w:r>
      <w:r w:rsidR="008B35DD">
        <w:t>alleges 25 instances where</w:t>
      </w:r>
      <w:r w:rsidR="00FD667A">
        <w:t xml:space="preserve"> AT&amp;T Ohio fail</w:t>
      </w:r>
      <w:r w:rsidR="008B35DD">
        <w:t>ed</w:t>
      </w:r>
      <w:r w:rsidR="00FD667A">
        <w:t xml:space="preserve"> to properly maintain its facilities in violation of R.C. §§ 4927.02(A)(1) and 4927.08(A).</w:t>
      </w:r>
      <w:r>
        <w:rPr>
          <w:rStyle w:val="FootnoteReference"/>
        </w:rPr>
        <w:footnoteReference w:id="18"/>
      </w:r>
      <w:r w:rsidR="00D45144">
        <w:t xml:space="preserve"> </w:t>
      </w:r>
    </w:p>
    <w:p w:rsidR="00464983" w:rsidP="002945A2">
      <w:pPr>
        <w:spacing w:after="0" w:line="480" w:lineRule="auto"/>
        <w:ind w:firstLine="720"/>
      </w:pPr>
      <w:r>
        <w:t>Second</w:t>
      </w:r>
      <w:r w:rsidR="0064469D">
        <w:t xml:space="preserve">, </w:t>
      </w:r>
      <w:r w:rsidR="002250E5">
        <w:t xml:space="preserve">AT&amp;T Ohio </w:t>
      </w:r>
      <w:r>
        <w:t>relies on</w:t>
      </w:r>
      <w:r w:rsidR="002250E5">
        <w:t xml:space="preserve"> </w:t>
      </w:r>
      <w:r w:rsidRPr="002250E5" w:rsidR="002250E5">
        <w:rPr>
          <w:i/>
          <w:iCs/>
        </w:rPr>
        <w:t>In the Matter of the Complaint of W.D.I.A. Corporation, Inc v Cincinnati Bell Telephone Company</w:t>
      </w:r>
      <w:r w:rsidR="002250E5">
        <w:t>,</w:t>
      </w:r>
      <w:r>
        <w:rPr>
          <w:rStyle w:val="FootnoteReference"/>
          <w:iCs/>
        </w:rPr>
        <w:footnoteReference w:id="19"/>
      </w:r>
      <w:r>
        <w:t xml:space="preserve"> to support its</w:t>
      </w:r>
      <w:r w:rsidR="002250E5">
        <w:t xml:space="preserve"> argument that its outside plant does not have to </w:t>
      </w:r>
      <w:r>
        <w:t xml:space="preserve">be </w:t>
      </w:r>
      <w:r w:rsidR="002250E5">
        <w:t>perfect or totally free f</w:t>
      </w:r>
      <w:r>
        <w:t>rom</w:t>
      </w:r>
      <w:r w:rsidR="002250E5">
        <w:t xml:space="preserve"> blemishes.</w:t>
      </w:r>
      <w:r>
        <w:rPr>
          <w:rStyle w:val="FootnoteReference"/>
        </w:rPr>
        <w:footnoteReference w:id="20"/>
      </w:r>
      <w:r w:rsidR="002250E5">
        <w:t xml:space="preserve"> AT&amp;T Ohio</w:t>
      </w:r>
      <w:r>
        <w:t>’s reliance on this case</w:t>
      </w:r>
      <w:r w:rsidR="002250E5">
        <w:t xml:space="preserve"> is mis</w:t>
      </w:r>
      <w:r>
        <w:t>placed</w:t>
      </w:r>
      <w:r w:rsidR="002250E5">
        <w:t xml:space="preserve">. </w:t>
      </w:r>
      <w:r w:rsidR="001409D0">
        <w:t>T</w:t>
      </w:r>
      <w:r>
        <w:t>he issue</w:t>
      </w:r>
      <w:r w:rsidR="002250E5">
        <w:t xml:space="preserve"> is not m</w:t>
      </w:r>
      <w:r w:rsidR="00F00A57">
        <w:t>e</w:t>
      </w:r>
      <w:r w:rsidR="002250E5">
        <w:t xml:space="preserve">rely whether AT&amp;T Ohio’s </w:t>
      </w:r>
      <w:r>
        <w:t>basic local exchange</w:t>
      </w:r>
      <w:r w:rsidR="002250E5">
        <w:t xml:space="preserve"> service </w:t>
      </w:r>
      <w:r>
        <w:t>“works” and is</w:t>
      </w:r>
      <w:r w:rsidR="002250E5">
        <w:t xml:space="preserve"> </w:t>
      </w:r>
      <w:r>
        <w:t>“</w:t>
      </w:r>
      <w:r w:rsidR="002250E5">
        <w:t>available</w:t>
      </w:r>
      <w:r>
        <w:t>.”</w:t>
      </w:r>
      <w:r>
        <w:rPr>
          <w:rStyle w:val="FootnoteReference"/>
        </w:rPr>
        <w:footnoteReference w:id="21"/>
      </w:r>
      <w:r>
        <w:t xml:space="preserve"> </w:t>
      </w:r>
      <w:r w:rsidR="00206117">
        <w:t>As AT&amp;T Ohio notes</w:t>
      </w:r>
      <w:r w:rsidR="001409D0">
        <w:t xml:space="preserve">, </w:t>
      </w:r>
      <w:r>
        <w:t>the provision of adequate service also includes “</w:t>
      </w:r>
      <w:r w:rsidR="00F00A57">
        <w:t xml:space="preserve">the duty to take </w:t>
      </w:r>
      <w:r w:rsidRPr="0096402C" w:rsidR="00F00A57">
        <w:rPr>
          <w:iCs/>
        </w:rPr>
        <w:t>reasonable</w:t>
      </w:r>
      <w:r w:rsidR="00F00A57">
        <w:t xml:space="preserve"> precautions and to reestablish service as quickly as possible.”</w:t>
      </w:r>
      <w:r>
        <w:rPr>
          <w:rStyle w:val="FootnoteReference"/>
        </w:rPr>
        <w:footnoteReference w:id="22"/>
      </w:r>
      <w:r w:rsidR="00F00A57">
        <w:t xml:space="preserve"> </w:t>
      </w:r>
    </w:p>
    <w:p w:rsidR="005239B1" w:rsidP="005239B1">
      <w:pPr>
        <w:spacing w:after="0" w:line="480" w:lineRule="auto"/>
        <w:ind w:firstLine="720"/>
      </w:pPr>
      <w:r>
        <w:t>Th</w:t>
      </w:r>
      <w:r w:rsidR="0096402C">
        <w:t xml:space="preserve">e </w:t>
      </w:r>
      <w:r>
        <w:t>photograph</w:t>
      </w:r>
      <w:r w:rsidR="0096402C">
        <w:t xml:space="preserve">s in the Complaint </w:t>
      </w:r>
      <w:r w:rsidR="00C05E10">
        <w:t xml:space="preserve">raise the question as to whether AT&amp;T Ohio takes any </w:t>
      </w:r>
      <w:r>
        <w:t>precautions</w:t>
      </w:r>
      <w:r w:rsidR="001409D0">
        <w:t xml:space="preserve"> (reasonable or otherwise)</w:t>
      </w:r>
      <w:r w:rsidR="00C05E10">
        <w:t xml:space="preserve"> </w:t>
      </w:r>
      <w:r>
        <w:t>to keep its facilities in working order.</w:t>
      </w:r>
      <w:r>
        <w:rPr>
          <w:rStyle w:val="FootnoteReference"/>
        </w:rPr>
        <w:footnoteReference w:id="23"/>
      </w:r>
      <w:r w:rsidR="00C05E10">
        <w:t xml:space="preserve">  The photographs in the Complaint </w:t>
      </w:r>
      <w:r>
        <w:t>show hanging lines, exposed lines, hanging terminals, animal damage, unsecured lines hanging from poles</w:t>
      </w:r>
      <w:r w:rsidR="00C05E10">
        <w:t>, and potentially dangerous “double</w:t>
      </w:r>
      <w:r w:rsidR="0022315B">
        <w:t>-</w:t>
      </w:r>
      <w:r w:rsidR="00C05E10">
        <w:t>pole” situations</w:t>
      </w:r>
      <w:r>
        <w:t>.</w:t>
      </w:r>
      <w:r>
        <w:rPr>
          <w:rStyle w:val="FootnoteReference"/>
        </w:rPr>
        <w:footnoteReference w:id="24"/>
      </w:r>
      <w:r>
        <w:t xml:space="preserve"> All of these conditions </w:t>
      </w:r>
      <w:r w:rsidR="00C05E10">
        <w:t>can, and ultimately will, impair service quality.  Worse, these conditions are a potential safety hazard to the</w:t>
      </w:r>
      <w:r>
        <w:t xml:space="preserve"> public and AT&amp;T Ohio’s service technicians.</w:t>
      </w:r>
      <w:r>
        <w:t xml:space="preserve">  Therefore, the PUCO should dismiss the Motion and investigate the  AT&amp;T Ohio’s service </w:t>
      </w:r>
      <w:r w:rsidR="00467A86">
        <w:t>quality being provided to consumers</w:t>
      </w:r>
      <w:r>
        <w:t xml:space="preserve">. </w:t>
      </w:r>
    </w:p>
    <w:p w:rsidR="0078570B" w:rsidP="002945A2">
      <w:pPr>
        <w:spacing w:after="0" w:line="480" w:lineRule="auto"/>
        <w:ind w:firstLine="720"/>
      </w:pPr>
    </w:p>
    <w:p w:rsidR="00CB335A" w:rsidRPr="00CB335A" w:rsidP="00E852AF">
      <w:pPr>
        <w:pStyle w:val="Heading1"/>
        <w:rPr>
          <w:rFonts w:eastAsia="Calibri"/>
        </w:rPr>
      </w:pPr>
      <w:bookmarkStart w:id="5" w:name="_Toc13753783"/>
      <w:r>
        <w:rPr>
          <w:rFonts w:eastAsia="Calibri"/>
        </w:rPr>
        <w:t>III.</w:t>
      </w:r>
      <w:r>
        <w:rPr>
          <w:rFonts w:eastAsia="Calibri"/>
        </w:rPr>
        <w:tab/>
        <w:t>CONCLUSION</w:t>
      </w:r>
      <w:bookmarkEnd w:id="5"/>
    </w:p>
    <w:p w:rsidR="00CB335A" w:rsidP="00C05E10">
      <w:pPr>
        <w:spacing w:after="0" w:line="480" w:lineRule="auto"/>
        <w:ind w:firstLine="720"/>
        <w:rPr>
          <w:rFonts w:eastAsia="Calibri"/>
          <w:szCs w:val="22"/>
        </w:rPr>
      </w:pPr>
      <w:r>
        <w:rPr>
          <w:rFonts w:eastAsia="Calibri"/>
          <w:szCs w:val="22"/>
        </w:rPr>
        <w:t xml:space="preserve">The allegations in </w:t>
      </w:r>
      <w:r w:rsidR="003E6B0A">
        <w:rPr>
          <w:rFonts w:eastAsia="Calibri"/>
          <w:szCs w:val="22"/>
        </w:rPr>
        <w:t xml:space="preserve">the </w:t>
      </w:r>
      <w:r>
        <w:rPr>
          <w:rFonts w:eastAsia="Calibri"/>
          <w:szCs w:val="22"/>
        </w:rPr>
        <w:t xml:space="preserve">CWA’s Complaint </w:t>
      </w:r>
      <w:r w:rsidR="003E6B0A">
        <w:rPr>
          <w:rFonts w:eastAsia="Calibri"/>
          <w:szCs w:val="22"/>
        </w:rPr>
        <w:t>state</w:t>
      </w:r>
      <w:r w:rsidR="00851F81">
        <w:rPr>
          <w:rFonts w:eastAsia="Calibri"/>
          <w:szCs w:val="22"/>
        </w:rPr>
        <w:t xml:space="preserve"> </w:t>
      </w:r>
      <w:r>
        <w:rPr>
          <w:rFonts w:eastAsia="Calibri"/>
          <w:szCs w:val="22"/>
        </w:rPr>
        <w:t xml:space="preserve">reasonable grounds for the </w:t>
      </w:r>
      <w:r w:rsidR="009116B4">
        <w:rPr>
          <w:rFonts w:eastAsia="Calibri"/>
          <w:szCs w:val="22"/>
        </w:rPr>
        <w:t>PUCO</w:t>
      </w:r>
      <w:r>
        <w:rPr>
          <w:rFonts w:eastAsia="Calibri"/>
          <w:szCs w:val="22"/>
        </w:rPr>
        <w:t xml:space="preserve"> to initiate an </w:t>
      </w:r>
      <w:r>
        <w:t>investigation into the adequacy and reliability of AT&amp;T Ohio’s facilities and service quality.</w:t>
      </w:r>
      <w:r>
        <w:rPr>
          <w:rFonts w:eastAsia="Calibri"/>
          <w:szCs w:val="22"/>
        </w:rPr>
        <w:t xml:space="preserve">  </w:t>
      </w:r>
      <w:r w:rsidR="00464983">
        <w:rPr>
          <w:rFonts w:eastAsia="Calibri"/>
          <w:szCs w:val="22"/>
        </w:rPr>
        <w:t xml:space="preserve">In addition to the specific instances of substandard facilities identified in the Complaint, CWA states that AT&amp;T Ohio’s Code of Business Conduct </w:t>
      </w:r>
      <w:r w:rsidR="00186DC1">
        <w:rPr>
          <w:rFonts w:eastAsia="Calibri"/>
          <w:szCs w:val="22"/>
        </w:rPr>
        <w:t>deter</w:t>
      </w:r>
      <w:r w:rsidR="000D7565">
        <w:rPr>
          <w:rFonts w:eastAsia="Calibri"/>
          <w:szCs w:val="22"/>
        </w:rPr>
        <w:t>s</w:t>
      </w:r>
      <w:r w:rsidR="00186DC1">
        <w:rPr>
          <w:rFonts w:eastAsia="Calibri"/>
          <w:szCs w:val="22"/>
        </w:rPr>
        <w:t xml:space="preserve"> its members from identifying more instances.  </w:t>
      </w:r>
      <w:r w:rsidR="009116B4">
        <w:rPr>
          <w:rFonts w:eastAsia="Calibri"/>
          <w:szCs w:val="22"/>
        </w:rPr>
        <w:t>To protect customers, the</w:t>
      </w:r>
      <w:r>
        <w:rPr>
          <w:rFonts w:eastAsia="Calibri"/>
          <w:szCs w:val="22"/>
        </w:rPr>
        <w:t xml:space="preserve"> </w:t>
      </w:r>
      <w:r w:rsidR="00451414">
        <w:rPr>
          <w:rFonts w:eastAsia="Calibri"/>
          <w:szCs w:val="22"/>
        </w:rPr>
        <w:t xml:space="preserve">PUCO </w:t>
      </w:r>
      <w:r>
        <w:rPr>
          <w:rFonts w:eastAsia="Calibri"/>
          <w:szCs w:val="22"/>
        </w:rPr>
        <w:t>shoul</w:t>
      </w:r>
      <w:r w:rsidR="009116B4">
        <w:rPr>
          <w:rFonts w:eastAsia="Calibri"/>
          <w:szCs w:val="22"/>
        </w:rPr>
        <w:t>d deny</w:t>
      </w:r>
      <w:r w:rsidR="00451414">
        <w:rPr>
          <w:rFonts w:eastAsia="Calibri"/>
          <w:szCs w:val="22"/>
        </w:rPr>
        <w:t xml:space="preserve"> </w:t>
      </w:r>
      <w:r w:rsidR="00C37D28">
        <w:rPr>
          <w:rFonts w:eastAsia="Calibri"/>
          <w:szCs w:val="22"/>
        </w:rPr>
        <w:t>AT&amp;T</w:t>
      </w:r>
      <w:r w:rsidR="00686839">
        <w:rPr>
          <w:rFonts w:eastAsia="Calibri"/>
          <w:szCs w:val="22"/>
        </w:rPr>
        <w:t xml:space="preserve"> Ohio’s Motion</w:t>
      </w:r>
      <w:r w:rsidR="00851F81">
        <w:rPr>
          <w:rFonts w:eastAsia="Calibri"/>
          <w:szCs w:val="22"/>
        </w:rPr>
        <w:t xml:space="preserve"> and initiate a</w:t>
      </w:r>
      <w:r w:rsidR="003E6B0A">
        <w:rPr>
          <w:rFonts w:eastAsia="Calibri"/>
          <w:szCs w:val="22"/>
        </w:rPr>
        <w:t>n investigation</w:t>
      </w:r>
      <w:r w:rsidR="00C907EB">
        <w:rPr>
          <w:rFonts w:eastAsia="Calibri"/>
          <w:szCs w:val="22"/>
        </w:rPr>
        <w:t xml:space="preserve"> in this proceeding</w:t>
      </w:r>
      <w:r w:rsidR="005239B1">
        <w:rPr>
          <w:rFonts w:eastAsia="Calibri"/>
          <w:szCs w:val="22"/>
        </w:rPr>
        <w:t>.</w:t>
      </w:r>
    </w:p>
    <w:p w:rsidR="005269CC" w:rsidRPr="00104013" w:rsidP="00630094">
      <w:pPr>
        <w:ind w:left="3600" w:firstLine="720"/>
      </w:pPr>
      <w:r w:rsidRPr="00104013">
        <w:t>Respectfully submitted,</w:t>
      </w:r>
    </w:p>
    <w:p w:rsidR="005269CC" w:rsidRPr="00104013" w:rsidP="00630094">
      <w:pPr>
        <w:pStyle w:val="Footer"/>
        <w:tabs>
          <w:tab w:val="left" w:pos="4320"/>
        </w:tabs>
        <w:ind w:left="4320"/>
      </w:pPr>
      <w:r w:rsidRPr="00104013">
        <w:t xml:space="preserve">Bruce Weston </w:t>
      </w:r>
      <w:r w:rsidRPr="00104013" w:rsidR="000A491C">
        <w:t>(0016973)</w:t>
      </w:r>
    </w:p>
    <w:p w:rsidR="005269CC" w:rsidRPr="00104013" w:rsidP="00630094">
      <w:pPr>
        <w:pStyle w:val="Footer"/>
        <w:tabs>
          <w:tab w:val="left" w:pos="4320"/>
        </w:tabs>
        <w:spacing w:after="120"/>
        <w:ind w:left="4320"/>
      </w:pPr>
      <w:r w:rsidRPr="00104013">
        <w:t>O</w:t>
      </w:r>
      <w:r w:rsidR="00186DC1">
        <w:t>hio</w:t>
      </w:r>
      <w:r w:rsidRPr="00104013">
        <w:t xml:space="preserve"> C</w:t>
      </w:r>
      <w:r w:rsidR="00186DC1">
        <w:t>onsumers</w:t>
      </w:r>
      <w:r w:rsidRPr="00104013">
        <w:t>’ C</w:t>
      </w:r>
      <w:r w:rsidR="00186DC1">
        <w:t>ounsel</w:t>
      </w:r>
    </w:p>
    <w:p w:rsidR="00553D9A" w:rsidP="00630094">
      <w:pPr>
        <w:tabs>
          <w:tab w:val="left" w:pos="4320"/>
        </w:tabs>
        <w:spacing w:after="0"/>
        <w:ind w:left="4320"/>
        <w:rPr>
          <w:i/>
          <w:u w:val="single"/>
        </w:rPr>
      </w:pPr>
    </w:p>
    <w:p w:rsidR="0037013A" w:rsidP="00630094">
      <w:pPr>
        <w:tabs>
          <w:tab w:val="left" w:pos="4320"/>
        </w:tabs>
        <w:spacing w:after="0"/>
        <w:ind w:left="4320"/>
        <w:rPr>
          <w:u w:val="single"/>
        </w:rPr>
      </w:pPr>
      <w:r>
        <w:rPr>
          <w:i/>
          <w:u w:val="single"/>
        </w:rPr>
        <w:t xml:space="preserve">/s/ </w:t>
      </w:r>
      <w:r w:rsidR="00C37D28">
        <w:rPr>
          <w:i/>
          <w:u w:val="single"/>
        </w:rPr>
        <w:t>Angela O’Brien</w:t>
      </w:r>
      <w:r w:rsidRPr="00104013" w:rsidR="005269CC">
        <w:rPr>
          <w:u w:val="single"/>
        </w:rPr>
        <w:t>                                       </w:t>
      </w:r>
    </w:p>
    <w:p w:rsidR="00686839" w:rsidP="00AA7F12">
      <w:pPr>
        <w:tabs>
          <w:tab w:val="left" w:pos="4320"/>
        </w:tabs>
        <w:spacing w:after="0" w:line="240" w:lineRule="auto"/>
        <w:ind w:left="4320"/>
      </w:pPr>
      <w:r>
        <w:t>Angela O’Brien</w:t>
      </w:r>
      <w:r w:rsidR="00C9186D">
        <w:t xml:space="preserve"> </w:t>
      </w:r>
      <w:r w:rsidRPr="00686839" w:rsidR="00C9186D">
        <w:t>(</w:t>
      </w:r>
      <w:r w:rsidRPr="00686839">
        <w:t>0097579</w:t>
      </w:r>
      <w:r w:rsidRPr="00686839">
        <w:t>)</w:t>
      </w:r>
      <w:r w:rsidRPr="00104013" w:rsidR="005269CC">
        <w:t xml:space="preserve"> </w:t>
      </w:r>
    </w:p>
    <w:p w:rsidR="005269CC" w:rsidRPr="00104013" w:rsidP="00AA7F12">
      <w:pPr>
        <w:tabs>
          <w:tab w:val="left" w:pos="4320"/>
        </w:tabs>
        <w:spacing w:after="0" w:line="240" w:lineRule="auto"/>
        <w:ind w:left="4320"/>
      </w:pPr>
      <w:r w:rsidRPr="00104013">
        <w:t xml:space="preserve">Counsel of Record </w:t>
      </w:r>
    </w:p>
    <w:p w:rsidR="00686839" w:rsidP="00AA7F12">
      <w:pPr>
        <w:spacing w:after="0" w:line="240" w:lineRule="auto"/>
        <w:ind w:left="4320"/>
      </w:pPr>
      <w:r>
        <w:t xml:space="preserve">David Bergmann (0009991) </w:t>
      </w:r>
      <w:r>
        <w:br/>
        <w:t xml:space="preserve">Terry Etter (0067445) </w:t>
      </w:r>
      <w:r>
        <w:br/>
        <w:t xml:space="preserve">Assistant Consumers’ Counsel </w:t>
      </w:r>
    </w:p>
    <w:p w:rsidR="008B17E9" w:rsidP="008B17E9">
      <w:pPr>
        <w:spacing w:after="0" w:line="240" w:lineRule="auto"/>
        <w:ind w:left="4320"/>
        <w:rPr>
          <w:b/>
          <w:bCs/>
        </w:rPr>
      </w:pPr>
    </w:p>
    <w:p w:rsidR="008B17E9" w:rsidP="008B17E9">
      <w:pPr>
        <w:spacing w:after="0" w:line="240" w:lineRule="auto"/>
        <w:ind w:left="4320"/>
      </w:pPr>
      <w:r w:rsidRPr="00686839">
        <w:rPr>
          <w:b/>
          <w:bCs/>
        </w:rPr>
        <w:t xml:space="preserve">Office of the Ohio Consumers’ Counsel </w:t>
      </w:r>
      <w:r w:rsidRPr="00686839">
        <w:rPr>
          <w:b/>
          <w:bCs/>
        </w:rPr>
        <w:br/>
      </w:r>
      <w:r>
        <w:t xml:space="preserve">65 East State Street, 7th Floor </w:t>
      </w:r>
      <w:r>
        <w:br/>
        <w:t xml:space="preserve">Columbus, Ohio 43215-4213 </w:t>
      </w:r>
      <w:r>
        <w:br/>
        <w:t xml:space="preserve">Telephone [O’Brien]: (614) 466-9531 Telephone [Bergmann] (614) 466-9569 Telephone [Etter]: (614) 466-7964 </w:t>
      </w:r>
      <w:r>
        <w:fldChar w:fldCharType="begin"/>
      </w:r>
      <w:r>
        <w:instrText xml:space="preserve"> HYPERLINK "mailto:Angela.obrien@occ.ohio.gov" </w:instrText>
      </w:r>
      <w:r>
        <w:fldChar w:fldCharType="separate"/>
      </w:r>
      <w:r w:rsidRPr="00C65BFD">
        <w:rPr>
          <w:rStyle w:val="Hyperlink"/>
        </w:rPr>
        <w:t>Angela.obrien@occ.ohio.gov</w:t>
      </w:r>
      <w:r>
        <w:fldChar w:fldCharType="end"/>
      </w:r>
    </w:p>
    <w:p w:rsidR="008B17E9" w:rsidP="008B17E9">
      <w:pPr>
        <w:spacing w:after="0" w:line="240" w:lineRule="auto"/>
        <w:ind w:left="4320"/>
      </w:pPr>
      <w:r>
        <w:fldChar w:fldCharType="begin"/>
      </w:r>
      <w:r>
        <w:instrText xml:space="preserve"> HYPERLINK "mailto:David.bergmann@occ.ohio.gov" </w:instrText>
      </w:r>
      <w:r>
        <w:fldChar w:fldCharType="separate"/>
      </w:r>
      <w:r w:rsidRPr="00C65BFD">
        <w:rPr>
          <w:rStyle w:val="Hyperlink"/>
        </w:rPr>
        <w:t>David.bergmann@occ.ohio.gov</w:t>
      </w:r>
      <w:r>
        <w:fldChar w:fldCharType="end"/>
      </w:r>
    </w:p>
    <w:p w:rsidR="008B17E9" w:rsidP="008B17E9">
      <w:pPr>
        <w:spacing w:after="0" w:line="240" w:lineRule="auto"/>
        <w:ind w:left="4320"/>
      </w:pPr>
      <w:r>
        <w:fldChar w:fldCharType="begin"/>
      </w:r>
      <w:r>
        <w:instrText xml:space="preserve"> HYPERLINK "mailto:Terry.etter@occ.ohio.gov" </w:instrText>
      </w:r>
      <w:r>
        <w:fldChar w:fldCharType="separate"/>
      </w:r>
      <w:r w:rsidRPr="00C65BFD">
        <w:rPr>
          <w:rStyle w:val="Hyperlink"/>
        </w:rPr>
        <w:t>Terry.etter@occ.ohio.gov</w:t>
      </w:r>
      <w:r>
        <w:fldChar w:fldCharType="end"/>
      </w:r>
    </w:p>
    <w:p w:rsidR="00553D9A" w:rsidP="008B17E9">
      <w:pPr>
        <w:spacing w:after="0" w:line="240" w:lineRule="auto"/>
        <w:ind w:left="4320"/>
      </w:pPr>
      <w:r>
        <w:t>(Will accept service via email)</w:t>
      </w:r>
      <w:r>
        <w:br w:type="page"/>
      </w:r>
    </w:p>
    <w:p w:rsidR="00A70DAB" w:rsidRPr="00A70DAB" w:rsidP="00A70DAB">
      <w:pPr>
        <w:spacing w:line="480" w:lineRule="auto"/>
        <w:ind w:left="3600" w:hanging="3600"/>
        <w:jc w:val="center"/>
        <w:rPr>
          <w:rFonts w:eastAsia="Times New Roman"/>
        </w:rPr>
      </w:pPr>
      <w:r w:rsidRPr="00A70DAB">
        <w:rPr>
          <w:rFonts w:eastAsia="Times New Roman"/>
          <w:b/>
        </w:rPr>
        <w:t>CERTIFICATE OF SERVICE</w:t>
      </w:r>
    </w:p>
    <w:p w:rsidR="00A70DAB" w:rsidRPr="00A70DAB" w:rsidP="00A70DAB">
      <w:pPr>
        <w:spacing w:after="0" w:line="480" w:lineRule="auto"/>
        <w:rPr>
          <w:rFonts w:eastAsia="Times New Roman"/>
        </w:rPr>
      </w:pPr>
      <w:r w:rsidRPr="00A70DAB">
        <w:rPr>
          <w:rFonts w:eastAsia="Times New Roman"/>
        </w:rPr>
        <w:tab/>
        <w:t>I hereby certify that a copy of the foregoing</w:t>
      </w:r>
      <w:r w:rsidRPr="00A70DAB">
        <w:rPr>
          <w:rFonts w:eastAsia="Times New Roman"/>
          <w:b/>
        </w:rPr>
        <w:t xml:space="preserve"> </w:t>
      </w:r>
      <w:r w:rsidRPr="00A70DAB">
        <w:rPr>
          <w:rFonts w:eastAsia="Times New Roman"/>
        </w:rPr>
        <w:t xml:space="preserve">Memorandum </w:t>
      </w:r>
      <w:r w:rsidR="00934343">
        <w:rPr>
          <w:rFonts w:eastAsia="Times New Roman"/>
        </w:rPr>
        <w:t xml:space="preserve">Contra </w:t>
      </w:r>
      <w:r w:rsidR="008B17E9">
        <w:rPr>
          <w:rFonts w:eastAsia="Times New Roman"/>
        </w:rPr>
        <w:t>AT&amp;T</w:t>
      </w:r>
      <w:r w:rsidR="003E6B0A">
        <w:rPr>
          <w:rFonts w:eastAsia="Times New Roman"/>
        </w:rPr>
        <w:t xml:space="preserve"> Ohio</w:t>
      </w:r>
      <w:r w:rsidR="009677E8">
        <w:rPr>
          <w:rFonts w:eastAsia="Times New Roman"/>
        </w:rPr>
        <w:t xml:space="preserve">’s Motion to Dismiss </w:t>
      </w:r>
      <w:r w:rsidR="00934343">
        <w:rPr>
          <w:rFonts w:eastAsia="Times New Roman"/>
        </w:rPr>
        <w:t xml:space="preserve">was </w:t>
      </w:r>
      <w:r w:rsidRPr="00A70DAB">
        <w:rPr>
          <w:rFonts w:eastAsia="Times New Roman"/>
        </w:rPr>
        <w:t xml:space="preserve">served by electronic mail to the persons listed below, on this </w:t>
      </w:r>
      <w:r w:rsidR="00C37D28">
        <w:rPr>
          <w:rFonts w:eastAsia="Times New Roman"/>
        </w:rPr>
        <w:t>17th</w:t>
      </w:r>
      <w:r w:rsidR="008D6068">
        <w:rPr>
          <w:rFonts w:eastAsia="Times New Roman"/>
        </w:rPr>
        <w:t xml:space="preserve"> </w:t>
      </w:r>
      <w:r w:rsidRPr="00A70DAB">
        <w:rPr>
          <w:rFonts w:eastAsia="Times New Roman"/>
        </w:rPr>
        <w:t>day of</w:t>
      </w:r>
      <w:r w:rsidR="00934343">
        <w:rPr>
          <w:rFonts w:eastAsia="Times New Roman"/>
        </w:rPr>
        <w:t xml:space="preserve"> </w:t>
      </w:r>
      <w:r w:rsidR="00A06B8B">
        <w:rPr>
          <w:rFonts w:eastAsia="Times New Roman"/>
        </w:rPr>
        <w:t>July</w:t>
      </w:r>
      <w:r w:rsidRPr="00A70DAB">
        <w:rPr>
          <w:rFonts w:eastAsia="Times New Roman"/>
        </w:rPr>
        <w:t xml:space="preserve"> 201</w:t>
      </w:r>
      <w:r w:rsidR="00C37D28">
        <w:rPr>
          <w:rFonts w:eastAsia="Times New Roman"/>
        </w:rPr>
        <w:t>9</w:t>
      </w:r>
      <w:r w:rsidRPr="00A70DAB">
        <w:rPr>
          <w:rFonts w:eastAsia="Times New Roman"/>
        </w:rPr>
        <w:t xml:space="preserve">. </w:t>
      </w:r>
    </w:p>
    <w:p w:rsidR="00D83141" w:rsidP="00AA7F12">
      <w:pPr>
        <w:tabs>
          <w:tab w:val="left" w:pos="4320"/>
        </w:tabs>
        <w:spacing w:after="0" w:line="240" w:lineRule="auto"/>
        <w:ind w:left="4320"/>
        <w:rPr>
          <w:u w:val="single"/>
        </w:rPr>
      </w:pPr>
      <w:r>
        <w:rPr>
          <w:i/>
          <w:u w:val="single"/>
        </w:rPr>
        <w:t xml:space="preserve">/s/ </w:t>
      </w:r>
      <w:r w:rsidR="00C37D28">
        <w:rPr>
          <w:i/>
          <w:u w:val="single"/>
        </w:rPr>
        <w:t>Angela O’Brien</w:t>
      </w:r>
      <w:r w:rsidRPr="00104013">
        <w:rPr>
          <w:u w:val="single"/>
        </w:rPr>
        <w:t>                                       </w:t>
      </w:r>
    </w:p>
    <w:p w:rsidR="00A70DAB" w:rsidRPr="00A70DAB" w:rsidP="00186DC1">
      <w:pPr>
        <w:tabs>
          <w:tab w:val="left" w:pos="4320"/>
        </w:tabs>
        <w:spacing w:after="0" w:line="240" w:lineRule="auto"/>
        <w:rPr>
          <w:rFonts w:eastAsia="Times New Roman"/>
        </w:rPr>
      </w:pPr>
      <w:r w:rsidRPr="00A70DAB">
        <w:rPr>
          <w:rFonts w:eastAsia="Times New Roman"/>
        </w:rPr>
        <w:tab/>
      </w:r>
      <w:r w:rsidR="00C37D28">
        <w:rPr>
          <w:rFonts w:eastAsia="Times New Roman"/>
        </w:rPr>
        <w:t>Angela O’Brien</w:t>
      </w:r>
    </w:p>
    <w:p w:rsidR="00A70DAB" w:rsidRPr="00A70DAB">
      <w:pPr>
        <w:tabs>
          <w:tab w:val="left" w:pos="4320"/>
        </w:tabs>
        <w:spacing w:after="0" w:line="240" w:lineRule="auto"/>
        <w:rPr>
          <w:rFonts w:eastAsia="Times New Roman"/>
        </w:rPr>
      </w:pPr>
      <w:r w:rsidRPr="00A70DAB">
        <w:rPr>
          <w:rFonts w:eastAsia="Times New Roman"/>
        </w:rPr>
        <w:tab/>
        <w:t>Assistant Consumers’ Counsel</w:t>
      </w:r>
    </w:p>
    <w:p w:rsidR="00C37D28" w:rsidRPr="008B17E9" w:rsidP="00A70DAB">
      <w:pPr>
        <w:tabs>
          <w:tab w:val="left" w:pos="0"/>
          <w:tab w:val="left" w:pos="720"/>
          <w:tab w:val="left" w:pos="4320"/>
        </w:tabs>
        <w:spacing w:after="0" w:line="480" w:lineRule="auto"/>
        <w:rPr>
          <w:rFonts w:eastAsia="Times New Roman"/>
        </w:rPr>
      </w:pPr>
      <w:r w:rsidRPr="00A70DAB">
        <w:rPr>
          <w:rFonts w:eastAsia="Times New Roman"/>
        </w:rPr>
        <w:tab/>
      </w:r>
      <w:r w:rsidRPr="00A70DAB">
        <w:rPr>
          <w:rFonts w:eastAsia="Times New Roman"/>
        </w:rPr>
        <w:tab/>
      </w:r>
    </w:p>
    <w:p w:rsidR="008B17E9" w:rsidRPr="008B17E9" w:rsidP="008B17E9">
      <w:pPr>
        <w:pStyle w:val="CommentText"/>
        <w:jc w:val="center"/>
        <w:rPr>
          <w:b/>
          <w:sz w:val="24"/>
          <w:szCs w:val="24"/>
          <w:u w:val="single"/>
        </w:rPr>
      </w:pPr>
      <w:r w:rsidRPr="008B17E9">
        <w:rPr>
          <w:b/>
          <w:sz w:val="24"/>
          <w:szCs w:val="24"/>
          <w:u w:val="single"/>
        </w:rPr>
        <w:t>SERVICE LIST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DF64F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8B17E9" w:rsidRPr="008B17E9" w:rsidP="00DF64F2">
            <w:pPr>
              <w:pStyle w:val="BodyText"/>
              <w:spacing w:after="0" w:line="240" w:lineRule="auto"/>
              <w:jc w:val="both"/>
              <w:rPr>
                <w:rStyle w:val="DefaultParagraphFont"/>
                <w:rFonts w:eastAsia="Times New Roman"/>
                <w:bCs/>
                <w:sz w:val="24"/>
                <w:szCs w:val="24"/>
                <w:lang w:val="en-US" w:eastAsia="en-US" w:bidi="ar-SA"/>
              </w:rPr>
            </w:pPr>
            <w:r>
              <w:fldChar w:fldCharType="begin"/>
            </w:r>
            <w:r>
              <w:rPr>
                <w:rFonts w:eastAsia="Times New Roman"/>
                <w:sz w:val="24"/>
                <w:szCs w:val="20"/>
                <w:lang w:val="en-US" w:eastAsia="en-US" w:bidi="ar-SA"/>
              </w:rPr>
              <w:instrText xml:space="preserve"> HYPERLINK "mailto:John.jones@ohioattorneygeneral.gov" </w:instrText>
            </w:r>
            <w:r>
              <w:fldChar w:fldCharType="separate"/>
            </w:r>
            <w:r w:rsidRPr="008B17E9">
              <w:rPr>
                <w:rStyle w:val="Hyperlink"/>
                <w:rFonts w:eastAsia="Times New Roman"/>
                <w:bCs/>
                <w:color w:val="0000FF"/>
                <w:sz w:val="24"/>
                <w:szCs w:val="24"/>
                <w:u w:val="single"/>
                <w:lang w:val="en-US" w:eastAsia="en-US" w:bidi="ar-SA"/>
              </w:rPr>
              <w:t>John.jones@ohioattorneygeneral.gov</w:t>
            </w:r>
            <w:r>
              <w:fldChar w:fldCharType="end"/>
            </w:r>
          </w:p>
          <w:p w:rsidR="008B17E9" w:rsidP="008B17E9">
            <w:pPr>
              <w:pStyle w:val="BodyText"/>
              <w:spacing w:after="0" w:line="240" w:lineRule="auto"/>
              <w:jc w:val="both"/>
              <w:rPr>
                <w:rStyle w:val="DefaultParagraphFont"/>
                <w:rFonts w:eastAsia="Times New Roman"/>
                <w:sz w:val="24"/>
                <w:szCs w:val="24"/>
                <w:lang w:val="en-US" w:eastAsia="en-US" w:bidi="ar-SA"/>
              </w:rPr>
            </w:pPr>
            <w:r>
              <w:fldChar w:fldCharType="begin"/>
            </w:r>
            <w:r>
              <w:rPr>
                <w:rFonts w:eastAsia="Times New Roman"/>
                <w:sz w:val="24"/>
                <w:szCs w:val="20"/>
                <w:lang w:val="en-US" w:eastAsia="en-US" w:bidi="ar-SA"/>
              </w:rPr>
              <w:instrText xml:space="preserve"> HYPERLINK "mailto:mrharris@cwa-union.org" </w:instrText>
            </w:r>
            <w:r>
              <w:fldChar w:fldCharType="separate"/>
            </w:r>
            <w:r w:rsidRPr="008B17E9">
              <w:rPr>
                <w:rStyle w:val="Hyperlink"/>
                <w:rFonts w:eastAsia="Times New Roman"/>
                <w:color w:val="0000FF"/>
                <w:sz w:val="24"/>
                <w:szCs w:val="24"/>
                <w:u w:val="single"/>
                <w:lang w:val="en-US" w:eastAsia="en-US" w:bidi="ar-SA"/>
              </w:rPr>
              <w:t>mrharris@cwa-union.org</w:t>
            </w:r>
            <w:r>
              <w:fldChar w:fldCharType="end"/>
            </w:r>
          </w:p>
          <w:p w:rsidR="008B17E9" w:rsidRPr="008B17E9" w:rsidP="008B17E9">
            <w:pPr>
              <w:pStyle w:val="BodyText"/>
              <w:spacing w:after="0" w:line="240" w:lineRule="auto"/>
              <w:jc w:val="both"/>
              <w:rPr>
                <w:rStyle w:val="DefaultParagraphFont"/>
                <w:rFonts w:eastAsia="Times New Roman"/>
                <w:bCs/>
                <w:sz w:val="24"/>
                <w:szCs w:val="24"/>
                <w:lang w:val="en-US" w:eastAsia="en-US" w:bidi="ar-SA"/>
              </w:rPr>
            </w:pPr>
          </w:p>
        </w:tc>
        <w:tc>
          <w:tcPr>
            <w:tcW w:w="4315" w:type="dxa"/>
          </w:tcPr>
          <w:p w:rsidR="008B17E9" w:rsidRPr="008B17E9" w:rsidP="00DF64F2">
            <w:pPr>
              <w:pStyle w:val="BodyText"/>
              <w:spacing w:after="0" w:line="240" w:lineRule="auto"/>
              <w:ind w:left="1422"/>
              <w:jc w:val="both"/>
              <w:rPr>
                <w:rStyle w:val="DefaultParagraphFont"/>
                <w:rFonts w:eastAsia="Times New Roman"/>
                <w:color w:val="0000FF"/>
                <w:sz w:val="24"/>
                <w:szCs w:val="24"/>
                <w:lang w:val="en-US" w:eastAsia="en-US" w:bidi="ar-SA"/>
              </w:rPr>
            </w:pPr>
            <w:r>
              <w:fldChar w:fldCharType="begin"/>
            </w:r>
            <w:r>
              <w:rPr>
                <w:rFonts w:eastAsia="Times New Roman"/>
                <w:sz w:val="24"/>
                <w:szCs w:val="20"/>
                <w:lang w:val="en-US" w:eastAsia="en-US" w:bidi="ar-SA"/>
              </w:rPr>
              <w:instrText xml:space="preserve"> HYPERLINK "mailto:mo2753@att.com" </w:instrText>
            </w:r>
            <w:r>
              <w:fldChar w:fldCharType="separate"/>
            </w:r>
            <w:r w:rsidRPr="008B17E9">
              <w:rPr>
                <w:rStyle w:val="Hyperlink"/>
                <w:rFonts w:eastAsia="Times New Roman"/>
                <w:color w:val="0000FF"/>
                <w:sz w:val="24"/>
                <w:szCs w:val="24"/>
                <w:u w:val="single"/>
                <w:lang w:val="en-US" w:eastAsia="en-US" w:bidi="ar-SA"/>
              </w:rPr>
              <w:t>mo2753@att.com</w:t>
            </w:r>
            <w:r>
              <w:fldChar w:fldCharType="end"/>
            </w:r>
          </w:p>
          <w:p w:rsidR="008B17E9" w:rsidRPr="008B17E9" w:rsidP="00DF64F2">
            <w:pPr>
              <w:pStyle w:val="BodyText"/>
              <w:spacing w:after="0" w:line="240" w:lineRule="auto"/>
              <w:jc w:val="both"/>
              <w:rPr>
                <w:rStyle w:val="DefaultParagraphFont"/>
                <w:rFonts w:eastAsia="Times New Roman"/>
                <w:bCs/>
                <w:sz w:val="24"/>
                <w:szCs w:val="24"/>
                <w:lang w:val="en-US" w:eastAsia="en-US" w:bidi="ar-SA"/>
              </w:rPr>
            </w:pPr>
          </w:p>
        </w:tc>
      </w:tr>
    </w:tbl>
    <w:p w:rsidR="008B17E9" w:rsidP="00A70DAB">
      <w:pPr>
        <w:tabs>
          <w:tab w:val="left" w:pos="0"/>
          <w:tab w:val="left" w:pos="720"/>
          <w:tab w:val="left" w:pos="4320"/>
        </w:tabs>
        <w:spacing w:after="0" w:line="480" w:lineRule="auto"/>
        <w:rPr>
          <w:rFonts w:eastAsia="Times New Roman"/>
        </w:rPr>
      </w:pPr>
    </w:p>
    <w:sectPr w:rsidSect="00BF7201">
      <w:footerReference w:type="default" r:id="rId11"/>
      <w:footerReference w:type="first" r:id="rId12"/>
      <w:pgSz w:w="12240" w:h="15840"/>
      <w:pgMar w:top="1440" w:right="1800" w:bottom="1440" w:left="180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1554183"/>
      <w:docPartObj>
        <w:docPartGallery w:val="Page Numbers (Bottom of Page)"/>
        <w:docPartUnique/>
      </w:docPartObj>
    </w:sdtPr>
    <w:sdtEndPr>
      <w:rPr>
        <w:noProof/>
      </w:rPr>
    </w:sdtEndPr>
    <w:sdtContent>
      <w:p w:rsidR="008B17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1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7E9">
    <w:pPr>
      <w:pStyle w:val="Footer"/>
      <w:jc w:val="center"/>
    </w:pPr>
  </w:p>
  <w:p w:rsidR="008B17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5946986"/>
      <w:docPartObj>
        <w:docPartGallery w:val="Page Numbers (Bottom of Page)"/>
        <w:docPartUnique/>
      </w:docPartObj>
    </w:sdtPr>
    <w:sdtEndPr>
      <w:rPr>
        <w:noProof/>
      </w:rPr>
    </w:sdtEndPr>
    <w:sdtContent>
      <w:p w:rsidR="008B17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17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39369959"/>
      <w:docPartObj>
        <w:docPartGallery w:val="Page Numbers (Bottom of Page)"/>
        <w:docPartUnique/>
      </w:docPartObj>
    </w:sdtPr>
    <w:sdtEndPr>
      <w:rPr>
        <w:noProof/>
      </w:rPr>
    </w:sdtEndPr>
    <w:sdtContent>
      <w:p w:rsidR="008B17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1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13A9" w:rsidP="004D17A3">
      <w:pPr>
        <w:spacing w:after="0" w:line="240" w:lineRule="auto"/>
      </w:pPr>
      <w:r>
        <w:separator/>
      </w:r>
    </w:p>
  </w:footnote>
  <w:footnote w:type="continuationSeparator" w:id="1">
    <w:p w:rsidR="003C13A9" w:rsidP="004D17A3">
      <w:pPr>
        <w:spacing w:after="0" w:line="240" w:lineRule="auto"/>
      </w:pPr>
      <w:r>
        <w:continuationSeparator/>
      </w:r>
    </w:p>
  </w:footnote>
  <w:footnote w:type="continuationNotice" w:id="2">
    <w:p w:rsidR="003C13A9">
      <w:pPr>
        <w:spacing w:after="0" w:line="240" w:lineRule="auto"/>
      </w:pPr>
    </w:p>
  </w:footnote>
  <w:footnote w:id="3">
    <w:p w:rsidR="00760F18" w:rsidP="00C77919">
      <w:pPr>
        <w:pStyle w:val="FootnoteText"/>
        <w:spacing w:before="0" w:after="120"/>
      </w:pPr>
      <w:r>
        <w:rPr>
          <w:rStyle w:val="FootnoteReference"/>
        </w:rPr>
        <w:footnoteRef/>
      </w:r>
      <w:r>
        <w:t xml:space="preserve"> Complaint at ¶</w:t>
      </w:r>
      <w:r w:rsidR="009E4528">
        <w:t>17</w:t>
      </w:r>
      <w:r>
        <w:t>.</w:t>
      </w:r>
    </w:p>
  </w:footnote>
  <w:footnote w:id="4">
    <w:p w:rsidR="005326BB" w:rsidP="00C77919">
      <w:pPr>
        <w:pStyle w:val="FootnoteText"/>
        <w:spacing w:before="0" w:after="120"/>
      </w:pPr>
      <w:r>
        <w:rPr>
          <w:rStyle w:val="FootnoteReference"/>
        </w:rPr>
        <w:footnoteRef/>
      </w:r>
      <w:r>
        <w:t xml:space="preserve"> </w:t>
      </w:r>
      <w:r w:rsidR="00736322">
        <w:rPr>
          <w:i/>
          <w:iCs/>
        </w:rPr>
        <w:t xml:space="preserve">Id. </w:t>
      </w:r>
      <w:r>
        <w:t>at ¶¶</w:t>
      </w:r>
      <w:r w:rsidR="009E4528">
        <w:t>15-16</w:t>
      </w:r>
      <w:r w:rsidR="009B2BFA">
        <w:t>.</w:t>
      </w:r>
    </w:p>
  </w:footnote>
  <w:footnote w:id="5">
    <w:p w:rsidR="00590CAC" w:rsidP="00C77919">
      <w:pPr>
        <w:pStyle w:val="FootnoteText"/>
        <w:spacing w:before="0" w:after="120"/>
      </w:pPr>
      <w:r>
        <w:rPr>
          <w:rStyle w:val="FootnoteReference"/>
        </w:rPr>
        <w:footnoteRef/>
      </w:r>
      <w:r>
        <w:t xml:space="preserve"> AT&amp;T Ohio’s Memorandum in Support of Its Motion to Dismiss, Case No. 19-1314-TP-CSS at 2 (July 2, 2019).</w:t>
      </w:r>
      <w:r w:rsidR="00182222">
        <w:t xml:space="preserve"> </w:t>
      </w:r>
      <w:r w:rsidR="006D5C23">
        <w:t xml:space="preserve">In note 1 of the Motion, AT&amp;T Ohio </w:t>
      </w:r>
      <w:r w:rsidR="00A074AC">
        <w:t>states</w:t>
      </w:r>
      <w:r w:rsidR="006D5C23">
        <w:t xml:space="preserve"> that The Ohio Bell</w:t>
      </w:r>
      <w:r w:rsidR="00A074AC">
        <w:t xml:space="preserve"> Telephone Company d/b/a AT&amp;T Ohio (not AT&amp;T Services, Inc.) is the public utility in Ohio that provides regulated services.  </w:t>
      </w:r>
      <w:r w:rsidR="002C721D">
        <w:t>U</w:t>
      </w:r>
      <w:r w:rsidR="00A074AC">
        <w:t xml:space="preserve">se of the name “AT&amp;T Ohio” herein refers to the public utility that provides services regulated by the PUCO.  </w:t>
      </w:r>
      <w:r w:rsidR="00182222">
        <w:t xml:space="preserve">  </w:t>
      </w:r>
    </w:p>
  </w:footnote>
  <w:footnote w:id="6">
    <w:p w:rsidR="007755E7" w:rsidP="00C77919">
      <w:pPr>
        <w:pStyle w:val="FootnoteText"/>
        <w:spacing w:before="0" w:after="120"/>
      </w:pPr>
      <w:r>
        <w:rPr>
          <w:rStyle w:val="FootnoteReference"/>
        </w:rPr>
        <w:footnoteRef/>
      </w:r>
      <w:r>
        <w:t xml:space="preserve"> </w:t>
      </w:r>
      <w:r w:rsidR="00736322">
        <w:rPr>
          <w:i/>
          <w:iCs/>
        </w:rPr>
        <w:t>Id.</w:t>
      </w:r>
      <w:r>
        <w:t xml:space="preserve"> at </w:t>
      </w:r>
      <w:r w:rsidR="00D3546B">
        <w:t xml:space="preserve">6, </w:t>
      </w:r>
      <w:r w:rsidR="00867D79">
        <w:t>9.</w:t>
      </w:r>
    </w:p>
  </w:footnote>
  <w:footnote w:id="7">
    <w:p w:rsidR="00CA6FDD" w:rsidP="00C77919">
      <w:pPr>
        <w:pStyle w:val="FootnoteText"/>
        <w:spacing w:before="0" w:after="120"/>
      </w:pPr>
      <w:r>
        <w:rPr>
          <w:rStyle w:val="FootnoteReference"/>
        </w:rPr>
        <w:footnoteRef/>
      </w:r>
      <w:r>
        <w:t xml:space="preserve"> </w:t>
      </w:r>
      <w:r w:rsidRPr="00E16D6A">
        <w:rPr>
          <w:i/>
        </w:rPr>
        <w:t>OCC v. Dominion Retail</w:t>
      </w:r>
      <w:r>
        <w:t xml:space="preserve">, Case No. 09-257-GA-CSS, Entry (July 1, 2009) at </w:t>
      </w:r>
      <w:r w:rsidR="00274AC1">
        <w:t>¶7</w:t>
      </w:r>
      <w:r>
        <w:t xml:space="preserve">, citing </w:t>
      </w:r>
      <w:r w:rsidRPr="00E16D6A">
        <w:rPr>
          <w:rStyle w:val="ssit1"/>
          <w:rFonts w:cs="Times New Roman"/>
          <w:color w:val="373739"/>
          <w:szCs w:val="20"/>
        </w:rPr>
        <w:t xml:space="preserve">In the Matter of the </w:t>
      </w:r>
      <w:r w:rsidRPr="00E16D6A">
        <w:rPr>
          <w:rStyle w:val="sssh"/>
          <w:rFonts w:cs="Times New Roman"/>
          <w:i/>
          <w:iCs/>
          <w:color w:val="373739"/>
          <w:szCs w:val="20"/>
        </w:rPr>
        <w:t>Complaint</w:t>
      </w:r>
      <w:r w:rsidRPr="00E16D6A">
        <w:rPr>
          <w:rStyle w:val="ssit1"/>
          <w:rFonts w:cs="Times New Roman"/>
          <w:color w:val="373739"/>
          <w:szCs w:val="20"/>
        </w:rPr>
        <w:t xml:space="preserve"> of XO Ohio, Inc. v. City of Upper Arlington</w:t>
      </w:r>
      <w:r w:rsidRPr="00E16D6A">
        <w:rPr>
          <w:rFonts w:cs="Times New Roman"/>
          <w:color w:val="373739"/>
          <w:szCs w:val="20"/>
        </w:rPr>
        <w:t>, Case No. 03-870-AU-PWC, Entry on Rehearing (July 1, 2003).</w:t>
      </w:r>
    </w:p>
  </w:footnote>
  <w:footnote w:id="8">
    <w:p w:rsidR="00CA6FDD" w:rsidRPr="00197B17" w:rsidP="00C77919">
      <w:pPr>
        <w:pStyle w:val="FootnoteText"/>
        <w:spacing w:before="0" w:after="120"/>
        <w:rPr>
          <w:i/>
          <w:iCs/>
        </w:rPr>
      </w:pPr>
      <w:r>
        <w:rPr>
          <w:rStyle w:val="FootnoteReference"/>
        </w:rPr>
        <w:footnoteRef/>
      </w:r>
      <w:r>
        <w:t xml:space="preserve"> </w:t>
      </w:r>
      <w:r>
        <w:rPr>
          <w:i/>
          <w:iCs/>
        </w:rPr>
        <w:t>Id.</w:t>
      </w:r>
    </w:p>
  </w:footnote>
  <w:footnote w:id="9">
    <w:p w:rsidR="00CA6FDD" w:rsidP="00C77919">
      <w:pPr>
        <w:pStyle w:val="FootnoteText"/>
        <w:spacing w:before="0" w:after="120"/>
      </w:pPr>
      <w:r>
        <w:rPr>
          <w:rStyle w:val="FootnoteReference"/>
        </w:rPr>
        <w:footnoteRef/>
      </w:r>
      <w:r>
        <w:t xml:space="preserve"> Complaint at </w:t>
      </w:r>
      <w:r w:rsidR="009E4528">
        <w:t>¶</w:t>
      </w:r>
      <w:r>
        <w:t>17.</w:t>
      </w:r>
    </w:p>
  </w:footnote>
  <w:footnote w:id="10">
    <w:p w:rsidR="00CA6FDD" w:rsidP="00C77919">
      <w:pPr>
        <w:pStyle w:val="FootnoteText"/>
        <w:spacing w:before="0" w:after="120"/>
      </w:pPr>
      <w:r>
        <w:rPr>
          <w:rStyle w:val="FootnoteReference"/>
        </w:rPr>
        <w:footnoteRef/>
      </w:r>
      <w:r>
        <w:t xml:space="preserve"> </w:t>
      </w:r>
      <w:r w:rsidR="00736322">
        <w:rPr>
          <w:i/>
          <w:iCs/>
        </w:rPr>
        <w:t xml:space="preserve">Id. </w:t>
      </w:r>
      <w:r>
        <w:t>at ¶16.</w:t>
      </w:r>
    </w:p>
  </w:footnote>
  <w:footnote w:id="11">
    <w:p w:rsidR="00C01AA1" w:rsidRPr="005E39A2" w:rsidP="00C77919">
      <w:pPr>
        <w:pStyle w:val="FootnoteText"/>
        <w:spacing w:before="0" w:after="120"/>
        <w:rPr>
          <w:iCs/>
        </w:rPr>
      </w:pPr>
      <w:r>
        <w:rPr>
          <w:rStyle w:val="FootnoteReference"/>
        </w:rPr>
        <w:footnoteRef/>
      </w:r>
      <w:r>
        <w:t xml:space="preserve"> </w:t>
      </w:r>
      <w:r>
        <w:rPr>
          <w:i/>
          <w:iCs/>
        </w:rPr>
        <w:t>Id.</w:t>
      </w:r>
      <w:r w:rsidR="005E39A2">
        <w:rPr>
          <w:iCs/>
        </w:rPr>
        <w:t xml:space="preserve"> at </w:t>
      </w:r>
      <w:r w:rsidR="00120CF1">
        <w:rPr>
          <w:iCs/>
        </w:rPr>
        <w:t>¶20.</w:t>
      </w:r>
    </w:p>
  </w:footnote>
  <w:footnote w:id="12">
    <w:p w:rsidR="00C01AA1" w:rsidP="00C77919">
      <w:pPr>
        <w:pStyle w:val="FootnoteText"/>
        <w:spacing w:before="0" w:after="120"/>
      </w:pPr>
      <w:r>
        <w:rPr>
          <w:rStyle w:val="FootnoteReference"/>
        </w:rPr>
        <w:footnoteRef/>
      </w:r>
      <w:r>
        <w:t xml:space="preserve"> Motion</w:t>
      </w:r>
      <w:r w:rsidR="001305A5">
        <w:t xml:space="preserve"> </w:t>
      </w:r>
      <w:r>
        <w:t>at 7.</w:t>
      </w:r>
    </w:p>
  </w:footnote>
  <w:footnote w:id="13">
    <w:p w:rsidR="001305A5" w:rsidRPr="001305A5" w:rsidP="00C77919">
      <w:pPr>
        <w:pStyle w:val="FootnoteText"/>
        <w:spacing w:before="0" w:after="120"/>
      </w:pPr>
      <w:r>
        <w:rPr>
          <w:rStyle w:val="FootnoteReference"/>
        </w:rPr>
        <w:footnoteRef/>
      </w:r>
      <w:r>
        <w:t xml:space="preserve"> </w:t>
      </w:r>
      <w:r>
        <w:rPr>
          <w:i/>
          <w:iCs/>
        </w:rPr>
        <w:t>Id.</w:t>
      </w:r>
      <w:r>
        <w:t xml:space="preserve"> at 4-5.</w:t>
      </w:r>
    </w:p>
  </w:footnote>
  <w:footnote w:id="14">
    <w:p w:rsidR="001305A5" w:rsidP="00C77919">
      <w:pPr>
        <w:pStyle w:val="FootnoteText"/>
        <w:spacing w:before="0" w:after="120"/>
      </w:pPr>
      <w:r>
        <w:rPr>
          <w:rStyle w:val="FootnoteReference"/>
        </w:rPr>
        <w:footnoteRef/>
      </w:r>
      <w:r>
        <w:t xml:space="preserve"> Complaint, ¶16.</w:t>
      </w:r>
    </w:p>
  </w:footnote>
  <w:footnote w:id="15">
    <w:p w:rsidR="00590CAC" w:rsidRPr="00C541D2" w:rsidP="00C77919">
      <w:pPr>
        <w:pStyle w:val="FootnoteText"/>
        <w:spacing w:before="0" w:after="120"/>
        <w:rPr>
          <w:szCs w:val="20"/>
        </w:rPr>
      </w:pPr>
      <w:r w:rsidRPr="00C541D2">
        <w:rPr>
          <w:rStyle w:val="FootnoteReference"/>
          <w:szCs w:val="20"/>
        </w:rPr>
        <w:footnoteRef/>
      </w:r>
      <w:r w:rsidRPr="00C541D2" w:rsidR="00C541D2">
        <w:rPr>
          <w:szCs w:val="20"/>
        </w:rPr>
        <w:t xml:space="preserve"> </w:t>
      </w:r>
      <w:r w:rsidRPr="00C541D2" w:rsidR="00500526">
        <w:rPr>
          <w:szCs w:val="20"/>
        </w:rPr>
        <w:t>Motion, at 8</w:t>
      </w:r>
      <w:r w:rsidRPr="00C541D2">
        <w:rPr>
          <w:szCs w:val="20"/>
        </w:rPr>
        <w:t>.</w:t>
      </w:r>
    </w:p>
  </w:footnote>
  <w:footnote w:id="16">
    <w:p w:rsidR="00C541D2" w:rsidRPr="00C541D2" w:rsidP="00C77919">
      <w:pPr>
        <w:spacing w:after="120" w:line="240" w:lineRule="auto"/>
        <w:rPr>
          <w:sz w:val="20"/>
          <w:szCs w:val="20"/>
        </w:rPr>
      </w:pPr>
      <w:r w:rsidRPr="00C541D2">
        <w:rPr>
          <w:rStyle w:val="FootnoteReference"/>
          <w:sz w:val="20"/>
          <w:szCs w:val="20"/>
        </w:rPr>
        <w:footnoteRef/>
      </w:r>
      <w:r w:rsidRPr="00C541D2">
        <w:rPr>
          <w:sz w:val="20"/>
          <w:szCs w:val="20"/>
        </w:rPr>
        <w:t xml:space="preserve"> Case No. 12-2980-EL-CSS, Entry (March 20, 2013) ¶¶6, 8</w:t>
      </w:r>
      <w:r>
        <w:rPr>
          <w:sz w:val="20"/>
          <w:szCs w:val="20"/>
        </w:rPr>
        <w:t>.</w:t>
      </w:r>
    </w:p>
  </w:footnote>
  <w:footnote w:id="17">
    <w:p w:rsidR="00C541D2" w:rsidP="00C77919">
      <w:pPr>
        <w:pStyle w:val="FootnoteText"/>
        <w:spacing w:before="0" w:after="120"/>
      </w:pPr>
      <w:r w:rsidRPr="00C541D2">
        <w:rPr>
          <w:rStyle w:val="FootnoteReference"/>
          <w:szCs w:val="20"/>
        </w:rPr>
        <w:footnoteRef/>
      </w:r>
      <w:r w:rsidRPr="00C541D2">
        <w:rPr>
          <w:szCs w:val="20"/>
        </w:rPr>
        <w:t xml:space="preserve"> </w:t>
      </w:r>
      <w:r w:rsidRPr="00C541D2">
        <w:rPr>
          <w:i/>
          <w:iCs/>
          <w:szCs w:val="20"/>
        </w:rPr>
        <w:t xml:space="preserve">Id. </w:t>
      </w:r>
      <w:r w:rsidRPr="00C541D2">
        <w:rPr>
          <w:szCs w:val="20"/>
        </w:rPr>
        <w:t>at ¶9.</w:t>
      </w:r>
    </w:p>
  </w:footnote>
  <w:footnote w:id="18">
    <w:p w:rsidR="00FD667A" w:rsidP="00C77919">
      <w:pPr>
        <w:pStyle w:val="FootnoteText"/>
        <w:spacing w:before="0" w:after="120"/>
      </w:pPr>
      <w:r>
        <w:rPr>
          <w:rStyle w:val="FootnoteReference"/>
        </w:rPr>
        <w:footnoteRef/>
      </w:r>
      <w:r>
        <w:t xml:space="preserve"> Complaint at </w:t>
      </w:r>
      <w:r w:rsidR="000E17B2">
        <w:t>¶¶10-11,</w:t>
      </w:r>
      <w:r>
        <w:t>17.</w:t>
      </w:r>
    </w:p>
  </w:footnote>
  <w:footnote w:id="19">
    <w:p w:rsidR="00EB0702" w:rsidP="00C77919">
      <w:pPr>
        <w:pStyle w:val="FootnoteText"/>
        <w:spacing w:before="0" w:after="120"/>
      </w:pPr>
      <w:r>
        <w:rPr>
          <w:rStyle w:val="FootnoteReference"/>
        </w:rPr>
        <w:footnoteRef/>
      </w:r>
      <w:r>
        <w:t xml:space="preserve"> Case No. 91-1905-TP-CSS, Opinion and Order </w:t>
      </w:r>
      <w:r w:rsidR="00464983">
        <w:t>(</w:t>
      </w:r>
      <w:r>
        <w:t>March 10, 1994</w:t>
      </w:r>
      <w:r w:rsidR="00464983">
        <w:t>)</w:t>
      </w:r>
      <w:r w:rsidR="008B17E9">
        <w:t>.</w:t>
      </w:r>
    </w:p>
  </w:footnote>
  <w:footnote w:id="20">
    <w:p w:rsidR="002250E5" w:rsidP="00C77919">
      <w:pPr>
        <w:pStyle w:val="FootnoteText"/>
        <w:spacing w:before="0" w:after="120"/>
      </w:pPr>
      <w:r>
        <w:rPr>
          <w:rStyle w:val="FootnoteReference"/>
        </w:rPr>
        <w:footnoteRef/>
      </w:r>
      <w:r>
        <w:t xml:space="preserve"> Motion</w:t>
      </w:r>
      <w:r w:rsidR="00206117">
        <w:t>,</w:t>
      </w:r>
      <w:r>
        <w:t xml:space="preserve"> at </w:t>
      </w:r>
      <w:r w:rsidR="00ED2B9F">
        <w:t>9-</w:t>
      </w:r>
      <w:r>
        <w:t>10.</w:t>
      </w:r>
    </w:p>
  </w:footnote>
  <w:footnote w:id="21">
    <w:p w:rsidR="00F00A57" w:rsidRPr="003E6B0A" w:rsidP="00C77919">
      <w:pPr>
        <w:pStyle w:val="FootnoteText"/>
        <w:spacing w:before="0" w:after="120"/>
        <w:rPr>
          <w:iCs/>
        </w:rPr>
      </w:pPr>
      <w:r>
        <w:rPr>
          <w:rStyle w:val="FootnoteReference"/>
        </w:rPr>
        <w:footnoteRef/>
      </w:r>
      <w:r>
        <w:t xml:space="preserve"> </w:t>
      </w:r>
      <w:r>
        <w:rPr>
          <w:i/>
          <w:iCs/>
        </w:rPr>
        <w:t>Id.</w:t>
      </w:r>
      <w:r w:rsidR="00ED2B9F">
        <w:rPr>
          <w:iCs/>
        </w:rPr>
        <w:t xml:space="preserve"> at 10.</w:t>
      </w:r>
    </w:p>
  </w:footnote>
  <w:footnote w:id="22">
    <w:p w:rsidR="00206117" w:rsidRPr="00206117" w:rsidP="00C77919">
      <w:pPr>
        <w:pStyle w:val="FootnoteText"/>
        <w:spacing w:before="0" w:after="120"/>
        <w:rPr>
          <w:i/>
        </w:rPr>
      </w:pPr>
      <w:r>
        <w:rPr>
          <w:rStyle w:val="FootnoteReference"/>
        </w:rPr>
        <w:footnoteRef/>
      </w:r>
      <w:r>
        <w:t xml:space="preserve"> </w:t>
      </w:r>
      <w:r>
        <w:rPr>
          <w:i/>
        </w:rPr>
        <w:t>Id.</w:t>
      </w:r>
    </w:p>
  </w:footnote>
  <w:footnote w:id="23">
    <w:p w:rsidR="00C5341D" w:rsidP="00C77919">
      <w:pPr>
        <w:pStyle w:val="FootnoteText"/>
        <w:spacing w:before="0" w:after="120"/>
      </w:pPr>
      <w:r>
        <w:rPr>
          <w:rStyle w:val="FootnoteReference"/>
        </w:rPr>
        <w:footnoteRef/>
      </w:r>
      <w:r>
        <w:t xml:space="preserve"> Complaint at </w:t>
      </w:r>
      <w:r w:rsidR="004110F5">
        <w:t>¶</w:t>
      </w:r>
      <w:r>
        <w:t>17.</w:t>
      </w:r>
    </w:p>
  </w:footnote>
  <w:footnote w:id="24">
    <w:p w:rsidR="00C5341D" w:rsidRPr="00C5341D" w:rsidP="00C77919">
      <w:pPr>
        <w:pStyle w:val="FootnoteText"/>
        <w:spacing w:before="0" w:after="120"/>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3A08D2B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88F46AB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6EE5524"/>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B816CC2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5C5834BE"/>
    <w:lvl w:ilvl="0">
      <w:start w:val="1"/>
      <w:numFmt w:val="decimal"/>
      <w:lvlText w:val="%1."/>
      <w:lvlJc w:val="left"/>
      <w:pPr>
        <w:tabs>
          <w:tab w:val="num" w:pos="360"/>
        </w:tabs>
        <w:ind w:left="360" w:hanging="360"/>
      </w:pPr>
    </w:lvl>
  </w:abstractNum>
  <w:abstractNum w:abstractNumId="5">
    <w:nsid w:val="FFFFFF89"/>
    <w:multiLevelType w:val="singleLevel"/>
    <w:tmpl w:val="397CBC2E"/>
    <w:lvl w:ilvl="0">
      <w:start w:val="1"/>
      <w:numFmt w:val="bullet"/>
      <w:lvlText w:val=""/>
      <w:lvlJc w:val="left"/>
      <w:pPr>
        <w:tabs>
          <w:tab w:val="num" w:pos="360"/>
        </w:tabs>
        <w:ind w:left="360" w:hanging="360"/>
      </w:pPr>
      <w:rPr>
        <w:rFonts w:ascii="Symbol" w:hAnsi="Symbol" w:hint="default"/>
      </w:rPr>
    </w:lvl>
  </w:abstractNum>
  <w:abstractNum w:abstractNumId="6">
    <w:nsid w:val="0DDD1B79"/>
    <w:multiLevelType w:val="hybridMultilevel"/>
    <w:tmpl w:val="32346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2056B2"/>
    <w:multiLevelType w:val="hybridMultilevel"/>
    <w:tmpl w:val="98661B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AA7C3D"/>
    <w:multiLevelType w:val="hybridMultilevel"/>
    <w:tmpl w:val="CFCC6C00"/>
    <w:lvl w:ilvl="0">
      <w:start w:val="1"/>
      <w:numFmt w:val="decimal"/>
      <w:lvlText w:val="%1."/>
      <w:lvlJc w:val="left"/>
      <w:pPr>
        <w:ind w:left="360" w:hanging="360"/>
      </w:pPr>
      <w:rPr>
        <w:rFonts w:ascii="Times New Roman" w:hAnsi="Times New Roman" w:hint="default"/>
        <w:b w:val="0"/>
        <w:sz w:val="24"/>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0">
    <w:nsid w:val="40E42AA0"/>
    <w:multiLevelType w:val="hybridMultilevel"/>
    <w:tmpl w:val="87BEFF20"/>
    <w:lvl w:ilvl="0">
      <w:start w:val="1"/>
      <w:numFmt w:val="decimal"/>
      <w:lvlText w:val="%1."/>
      <w:lvlJc w:val="left"/>
      <w:pPr>
        <w:ind w:left="63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A4D7A8C"/>
    <w:multiLevelType w:val="hybridMultilevel"/>
    <w:tmpl w:val="E3DE38B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31E386A"/>
    <w:multiLevelType w:val="hybridMultilevel"/>
    <w:tmpl w:val="9C640FB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8D74AB7"/>
    <w:multiLevelType w:val="hybridMultilevel"/>
    <w:tmpl w:val="D2E889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3" w:hAnsi="Wingdings 3"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9AE1137"/>
    <w:multiLevelType w:val="hybridMultilevel"/>
    <w:tmpl w:val="2E52441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12"/>
  </w:num>
  <w:num w:numId="5">
    <w:abstractNumId w:val="6"/>
  </w:num>
  <w:num w:numId="6">
    <w:abstractNumId w:val="13"/>
  </w:num>
  <w:num w:numId="7">
    <w:abstractNumId w:val="11"/>
  </w:num>
  <w:num w:numId="8">
    <w:abstractNumId w:val="7"/>
  </w:num>
  <w:num w:numId="9">
    <w:abstractNumId w:val="5"/>
  </w:num>
  <w:num w:numId="10">
    <w:abstractNumId w:val="3"/>
  </w:num>
  <w:num w:numId="11">
    <w:abstractNumId w:val="2"/>
  </w:num>
  <w:num w:numId="12">
    <w:abstractNumId w:val="1"/>
  </w:num>
  <w:num w:numId="13">
    <w:abstractNumId w:val="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D9A"/>
  </w:style>
  <w:style w:type="paragraph" w:styleId="Heading1">
    <w:name w:val="heading 1"/>
    <w:basedOn w:val="Normal"/>
    <w:next w:val="Normal"/>
    <w:link w:val="Heading1Char"/>
    <w:autoRedefine/>
    <w:qFormat/>
    <w:rsid w:val="00E852AF"/>
    <w:pPr>
      <w:keepNext/>
      <w:spacing w:before="240" w:after="0" w:line="480" w:lineRule="auto"/>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
    <w:unhideWhenUsed/>
    <w:qFormat/>
    <w:rsid w:val="00553D9A"/>
    <w:pPr>
      <w:keepNext/>
      <w:keepLines/>
      <w:spacing w:after="240" w:line="240" w:lineRule="auto"/>
      <w:ind w:left="1440" w:right="72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553D9A"/>
    <w:pPr>
      <w:keepNext/>
      <w:keepLines/>
      <w:spacing w:after="240" w:line="240" w:lineRule="auto"/>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link w:val="FootnoteTextChar"/>
    <w:uiPriority w:val="99"/>
    <w:unhideWhenUsed/>
    <w:rsid w:val="00093DC4"/>
    <w:pPr>
      <w:spacing w:before="120" w:after="0" w:line="240" w:lineRule="auto"/>
    </w:pPr>
    <w:rPr>
      <w:rFonts w:cstheme="minorBidi"/>
      <w:sz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uiPriority w:val="99"/>
    <w:rsid w:val="00093DC4"/>
    <w:rPr>
      <w:rFonts w:cstheme="minorBidi"/>
      <w:sz w:val="20"/>
    </w:rPr>
  </w:style>
  <w:style w:type="character" w:styleId="FootnoteReference">
    <w:name w:val="footnote reference"/>
    <w:basedOn w:val="DefaultParagraphFont"/>
    <w:uiPriority w:val="99"/>
    <w:semiHidden/>
    <w:unhideWhenUsed/>
    <w:rsid w:val="004D17A3"/>
    <w:rPr>
      <w:vertAlign w:val="superscript"/>
    </w:rPr>
  </w:style>
  <w:style w:type="paragraph" w:styleId="ListParagraph">
    <w:name w:val="List Paragraph"/>
    <w:basedOn w:val="Normal"/>
    <w:uiPriority w:val="34"/>
    <w:qFormat/>
    <w:rsid w:val="004D17A3"/>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D17A3"/>
    <w:rPr>
      <w:color w:val="0000FF" w:themeColor="hyperlink"/>
      <w:u w:val="single"/>
    </w:rPr>
  </w:style>
  <w:style w:type="character" w:styleId="CommentReference">
    <w:name w:val="annotation reference"/>
    <w:basedOn w:val="DefaultParagraphFont"/>
    <w:uiPriority w:val="99"/>
    <w:semiHidden/>
    <w:unhideWhenUsed/>
    <w:rsid w:val="00E87502"/>
    <w:rPr>
      <w:sz w:val="16"/>
      <w:szCs w:val="16"/>
    </w:rPr>
  </w:style>
  <w:style w:type="paragraph" w:styleId="CommentText">
    <w:name w:val="annotation text"/>
    <w:basedOn w:val="Normal"/>
    <w:link w:val="CommentTextChar"/>
    <w:semiHidden/>
    <w:unhideWhenUsed/>
    <w:rsid w:val="00E87502"/>
    <w:pPr>
      <w:spacing w:line="240" w:lineRule="auto"/>
    </w:pPr>
    <w:rPr>
      <w:sz w:val="20"/>
      <w:szCs w:val="20"/>
    </w:rPr>
  </w:style>
  <w:style w:type="character" w:customStyle="1" w:styleId="CommentTextChar">
    <w:name w:val="Comment Text Char"/>
    <w:basedOn w:val="DefaultParagraphFont"/>
    <w:link w:val="CommentText"/>
    <w:semiHidden/>
    <w:rsid w:val="00E87502"/>
    <w:rPr>
      <w:sz w:val="20"/>
      <w:szCs w:val="20"/>
    </w:rPr>
  </w:style>
  <w:style w:type="paragraph" w:styleId="CommentSubject">
    <w:name w:val="annotation subject"/>
    <w:basedOn w:val="CommentText"/>
    <w:next w:val="CommentText"/>
    <w:link w:val="CommentSubjectChar"/>
    <w:uiPriority w:val="99"/>
    <w:semiHidden/>
    <w:unhideWhenUsed/>
    <w:rsid w:val="00E87502"/>
    <w:rPr>
      <w:b/>
      <w:bCs/>
    </w:rPr>
  </w:style>
  <w:style w:type="character" w:customStyle="1" w:styleId="CommentSubjectChar">
    <w:name w:val="Comment Subject Char"/>
    <w:basedOn w:val="CommentTextChar"/>
    <w:link w:val="CommentSubject"/>
    <w:uiPriority w:val="99"/>
    <w:semiHidden/>
    <w:rsid w:val="00E87502"/>
    <w:rPr>
      <w:b/>
      <w:bCs/>
      <w:sz w:val="20"/>
      <w:szCs w:val="20"/>
    </w:rPr>
  </w:style>
  <w:style w:type="paragraph" w:styleId="BalloonText">
    <w:name w:val="Balloon Text"/>
    <w:basedOn w:val="Normal"/>
    <w:link w:val="BalloonTextChar"/>
    <w:uiPriority w:val="99"/>
    <w:semiHidden/>
    <w:unhideWhenUsed/>
    <w:rsid w:val="00E8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02"/>
    <w:rPr>
      <w:rFonts w:ascii="Tahoma" w:hAnsi="Tahoma" w:cs="Tahoma"/>
      <w:sz w:val="16"/>
      <w:szCs w:val="16"/>
    </w:rPr>
  </w:style>
  <w:style w:type="paragraph" w:styleId="Header">
    <w:name w:val="header"/>
    <w:basedOn w:val="Normal"/>
    <w:link w:val="HeaderChar"/>
    <w:uiPriority w:val="99"/>
    <w:unhideWhenUsed/>
    <w:rsid w:val="0001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F1"/>
  </w:style>
  <w:style w:type="paragraph" w:styleId="Footer">
    <w:name w:val="footer"/>
    <w:basedOn w:val="Normal"/>
    <w:link w:val="FooterChar"/>
    <w:uiPriority w:val="99"/>
    <w:unhideWhenUsed/>
    <w:rsid w:val="0001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F1"/>
  </w:style>
  <w:style w:type="character" w:customStyle="1" w:styleId="apple-converted-space">
    <w:name w:val="apple-converted-space"/>
    <w:basedOn w:val="DefaultParagraphFont"/>
    <w:rsid w:val="00F9285A"/>
  </w:style>
  <w:style w:type="character" w:customStyle="1" w:styleId="Heading1Char">
    <w:name w:val="Heading 1 Char"/>
    <w:basedOn w:val="DefaultParagraphFont"/>
    <w:link w:val="Heading1"/>
    <w:rsid w:val="00E852AF"/>
    <w:rPr>
      <w:rFonts w:ascii="Times New Roman Bold" w:eastAsia="Times New Roman" w:hAnsi="Times New Roman Bold"/>
      <w:b/>
      <w:bCs/>
      <w:caps/>
      <w:kern w:val="32"/>
      <w:szCs w:val="32"/>
    </w:rPr>
  </w:style>
  <w:style w:type="paragraph" w:styleId="Revision">
    <w:name w:val="Revision"/>
    <w:hidden/>
    <w:uiPriority w:val="99"/>
    <w:semiHidden/>
    <w:rsid w:val="002D06D5"/>
    <w:pPr>
      <w:spacing w:after="0" w:line="240" w:lineRule="auto"/>
    </w:pPr>
  </w:style>
  <w:style w:type="character" w:customStyle="1" w:styleId="hvr">
    <w:name w:val="hvr"/>
    <w:basedOn w:val="DefaultParagraphFont"/>
    <w:rsid w:val="009B5571"/>
  </w:style>
  <w:style w:type="character" w:customStyle="1" w:styleId="Heading2Char">
    <w:name w:val="Heading 2 Char"/>
    <w:basedOn w:val="DefaultParagraphFont"/>
    <w:link w:val="Heading2"/>
    <w:uiPriority w:val="9"/>
    <w:rsid w:val="00553D9A"/>
    <w:rPr>
      <w:rFonts w:ascii="Times New Roman Bold" w:hAnsi="Times New Roman Bold" w:eastAsiaTheme="majorEastAsia" w:cstheme="majorBidi"/>
      <w:b/>
      <w:bCs/>
      <w:szCs w:val="26"/>
    </w:rPr>
  </w:style>
  <w:style w:type="paragraph" w:styleId="NormalWeb">
    <w:name w:val="Normal (Web)"/>
    <w:basedOn w:val="Normal"/>
    <w:uiPriority w:val="99"/>
    <w:unhideWhenUsed/>
    <w:rsid w:val="008F3C22"/>
    <w:pPr>
      <w:spacing w:before="100" w:beforeAutospacing="1" w:after="100" w:afterAutospacing="1" w:line="240" w:lineRule="auto"/>
    </w:pPr>
    <w:rPr>
      <w:rFonts w:eastAsia="Times New Roman"/>
    </w:rPr>
  </w:style>
  <w:style w:type="character" w:customStyle="1" w:styleId="sspagshow">
    <w:name w:val="ss_pag_show"/>
    <w:basedOn w:val="DefaultParagraphFont"/>
    <w:rsid w:val="00BF1368"/>
  </w:style>
  <w:style w:type="character" w:customStyle="1" w:styleId="sssh">
    <w:name w:val="ss_sh"/>
    <w:basedOn w:val="DefaultParagraphFont"/>
    <w:rsid w:val="006A5601"/>
  </w:style>
  <w:style w:type="character" w:customStyle="1" w:styleId="sspagshow1">
    <w:name w:val="ss_pag_show1"/>
    <w:basedOn w:val="DefaultParagraphFont"/>
    <w:rsid w:val="006A5601"/>
    <w:rPr>
      <w:b/>
      <w:bCs/>
    </w:rPr>
  </w:style>
  <w:style w:type="character" w:customStyle="1" w:styleId="ssit1">
    <w:name w:val="ss_it1"/>
    <w:basedOn w:val="DefaultParagraphFont"/>
    <w:rsid w:val="006A5601"/>
    <w:rPr>
      <w:i/>
      <w:iCs/>
    </w:rPr>
  </w:style>
  <w:style w:type="character" w:customStyle="1" w:styleId="Heading3Char">
    <w:name w:val="Heading 3 Char"/>
    <w:basedOn w:val="DefaultParagraphFont"/>
    <w:link w:val="Heading3"/>
    <w:uiPriority w:val="9"/>
    <w:semiHidden/>
    <w:rsid w:val="00553D9A"/>
    <w:rPr>
      <w:rFonts w:ascii="Times New Roman Bold" w:hAnsi="Times New Roman Bold" w:eastAsiaTheme="majorEastAsia" w:cstheme="majorBidi"/>
      <w:b/>
      <w:bCs/>
    </w:rPr>
  </w:style>
  <w:style w:type="paragraph" w:styleId="TOC1">
    <w:name w:val="toc 1"/>
    <w:basedOn w:val="Normal"/>
    <w:next w:val="Normal"/>
    <w:autoRedefine/>
    <w:uiPriority w:val="39"/>
    <w:unhideWhenUsed/>
    <w:qFormat/>
    <w:rsid w:val="00553D9A"/>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553D9A"/>
    <w:pPr>
      <w:tabs>
        <w:tab w:val="decimal" w:leader="dot" w:pos="8640"/>
      </w:tabs>
      <w:spacing w:after="240" w:line="240" w:lineRule="auto"/>
      <w:ind w:left="1440" w:hanging="720"/>
    </w:pPr>
  </w:style>
  <w:style w:type="paragraph" w:styleId="TOC3">
    <w:name w:val="toc 3"/>
    <w:basedOn w:val="Normal"/>
    <w:next w:val="Normal"/>
    <w:autoRedefine/>
    <w:uiPriority w:val="39"/>
    <w:semiHidden/>
    <w:unhideWhenUsed/>
    <w:qFormat/>
    <w:rsid w:val="00553D9A"/>
    <w:pPr>
      <w:tabs>
        <w:tab w:val="decimal" w:leader="dot" w:pos="8640"/>
      </w:tabs>
      <w:spacing w:after="240" w:line="240" w:lineRule="auto"/>
      <w:ind w:left="2160" w:hanging="720"/>
    </w:pPr>
  </w:style>
  <w:style w:type="character" w:customStyle="1" w:styleId="UnresolvedMention">
    <w:name w:val="Unresolved Mention"/>
    <w:basedOn w:val="DefaultParagraphFont"/>
    <w:uiPriority w:val="99"/>
    <w:semiHidden/>
    <w:unhideWhenUsed/>
    <w:rsid w:val="002E0D75"/>
    <w:rPr>
      <w:color w:val="605E5C"/>
      <w:shd w:val="clear" w:color="auto" w:fill="E1DFDD"/>
    </w:rPr>
  </w:style>
  <w:style w:type="paragraph" w:styleId="BodyText">
    <w:name w:val="Body Text"/>
    <w:basedOn w:val="Normal"/>
    <w:link w:val="BodyTextChar"/>
    <w:rsid w:val="008B17E9"/>
    <w:pPr>
      <w:spacing w:after="0" w:line="240" w:lineRule="auto"/>
      <w:jc w:val="both"/>
    </w:pPr>
    <w:rPr>
      <w:rFonts w:eastAsia="Times New Roman"/>
      <w:szCs w:val="20"/>
    </w:rPr>
  </w:style>
  <w:style w:type="character" w:customStyle="1" w:styleId="BodyTextChar">
    <w:name w:val="Body Text Char"/>
    <w:basedOn w:val="DefaultParagraphFont"/>
    <w:link w:val="BodyText"/>
    <w:rsid w:val="008B17E9"/>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00137062.DOCX</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2019-07-17T18:20:49Z</dcterms:created>
  <dcterms:modified xsi:type="dcterms:W3CDTF">2019-07-17T18:20:49Z</dcterms:modified>
</cp:coreProperties>
</file>