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8F4BD" w14:textId="77777777" w:rsidR="00C130BC" w:rsidRDefault="00C130BC" w:rsidP="00C130BC">
      <w:pPr>
        <w:jc w:val="center"/>
        <w:rPr>
          <w:b/>
        </w:rPr>
      </w:pPr>
      <w:r>
        <w:rPr>
          <w:b/>
        </w:rPr>
        <w:t>BEFORE</w:t>
      </w:r>
    </w:p>
    <w:p w14:paraId="7AF19D8B" w14:textId="77777777" w:rsidR="00C130BC" w:rsidRDefault="00C130BC" w:rsidP="00C130BC">
      <w:pPr>
        <w:jc w:val="center"/>
        <w:rPr>
          <w:b/>
          <w:bCs/>
          <w:szCs w:val="24"/>
        </w:rPr>
      </w:pPr>
      <w:r>
        <w:rPr>
          <w:b/>
          <w:bCs/>
          <w:szCs w:val="24"/>
        </w:rPr>
        <w:t>THE PUBLIC UTILITIES COMMISSION OF OHIO</w:t>
      </w:r>
    </w:p>
    <w:p w14:paraId="2235E81E" w14:textId="77777777" w:rsidR="00C130BC" w:rsidRDefault="00C130BC"/>
    <w:tbl>
      <w:tblPr>
        <w:tblW w:w="8640" w:type="dxa"/>
        <w:tblInd w:w="108" w:type="dxa"/>
        <w:tblLook w:val="01E0" w:firstRow="1" w:lastRow="1" w:firstColumn="1" w:lastColumn="1" w:noHBand="0" w:noVBand="0"/>
      </w:tblPr>
      <w:tblGrid>
        <w:gridCol w:w="4590"/>
        <w:gridCol w:w="360"/>
        <w:gridCol w:w="3690"/>
      </w:tblGrid>
      <w:tr w:rsidR="00115AFF" w:rsidRPr="001A22D5" w14:paraId="7D784F8C" w14:textId="77777777" w:rsidTr="00115AFF">
        <w:tc>
          <w:tcPr>
            <w:tcW w:w="4590" w:type="dxa"/>
          </w:tcPr>
          <w:p w14:paraId="09167BE0" w14:textId="77777777" w:rsidR="00115AFF" w:rsidRDefault="00115AFF" w:rsidP="00383D33">
            <w:pPr>
              <w:rPr>
                <w:szCs w:val="24"/>
              </w:rPr>
            </w:pPr>
            <w:r>
              <w:rPr>
                <w:szCs w:val="24"/>
              </w:rPr>
              <w:t>In the Matter of the Application of The Dayton Power and Light Company for Approval of its Electric Security Plan.</w:t>
            </w:r>
          </w:p>
          <w:p w14:paraId="3E9B03F6" w14:textId="77777777" w:rsidR="00115AFF" w:rsidRDefault="00115AFF" w:rsidP="00383D33">
            <w:pPr>
              <w:rPr>
                <w:szCs w:val="24"/>
              </w:rPr>
            </w:pPr>
          </w:p>
          <w:p w14:paraId="5BF3C810" w14:textId="77777777" w:rsidR="00115AFF" w:rsidRDefault="00115AFF" w:rsidP="00383D33">
            <w:pPr>
              <w:rPr>
                <w:szCs w:val="24"/>
              </w:rPr>
            </w:pPr>
            <w:r>
              <w:rPr>
                <w:szCs w:val="24"/>
              </w:rPr>
              <w:t>In the Matter of the Appli</w:t>
            </w:r>
            <w:r w:rsidR="00387978">
              <w:rPr>
                <w:szCs w:val="24"/>
              </w:rPr>
              <w:t>cation of The Dayton Power and L</w:t>
            </w:r>
            <w:r>
              <w:rPr>
                <w:szCs w:val="24"/>
              </w:rPr>
              <w:t>ight Company for Approval of Revised Tariffs.</w:t>
            </w:r>
          </w:p>
          <w:p w14:paraId="324EE388" w14:textId="77777777" w:rsidR="00115AFF" w:rsidRDefault="00115AFF" w:rsidP="00383D33">
            <w:pPr>
              <w:rPr>
                <w:szCs w:val="24"/>
              </w:rPr>
            </w:pPr>
          </w:p>
          <w:p w14:paraId="177BAA75" w14:textId="77777777" w:rsidR="00115AFF" w:rsidRDefault="00115AFF" w:rsidP="00383D33">
            <w:pPr>
              <w:rPr>
                <w:szCs w:val="24"/>
              </w:rPr>
            </w:pPr>
            <w:r>
              <w:rPr>
                <w:szCs w:val="24"/>
              </w:rPr>
              <w:t>In the Matter of the Application of The Dayton Power and Light Company for Approval of Certain Accounting Authority Pursuant to Ohio Rev. Code Section 4905.13.</w:t>
            </w:r>
          </w:p>
          <w:p w14:paraId="7E46FA01" w14:textId="77777777" w:rsidR="00115AFF" w:rsidRDefault="00115AFF" w:rsidP="00383D33">
            <w:pPr>
              <w:rPr>
                <w:szCs w:val="24"/>
              </w:rPr>
            </w:pPr>
          </w:p>
          <w:p w14:paraId="03F1FEB7" w14:textId="77777777" w:rsidR="00115AFF" w:rsidRDefault="00115AFF" w:rsidP="00383D33">
            <w:pPr>
              <w:rPr>
                <w:szCs w:val="24"/>
              </w:rPr>
            </w:pPr>
            <w:r>
              <w:rPr>
                <w:szCs w:val="24"/>
              </w:rPr>
              <w:t>In the Matter of the Application of The Dayton Power and Light Company for Approval of its Amended Corporate Separation Plan.</w:t>
            </w:r>
          </w:p>
          <w:p w14:paraId="75C559D1" w14:textId="77777777" w:rsidR="00115AFF" w:rsidRPr="001A22D5" w:rsidRDefault="00115AFF" w:rsidP="00383D33">
            <w:pPr>
              <w:rPr>
                <w:szCs w:val="24"/>
              </w:rPr>
            </w:pPr>
          </w:p>
        </w:tc>
        <w:tc>
          <w:tcPr>
            <w:tcW w:w="360" w:type="dxa"/>
          </w:tcPr>
          <w:p w14:paraId="2F138EA1" w14:textId="77777777" w:rsidR="00115AFF" w:rsidRDefault="00115AFF" w:rsidP="00383D33">
            <w:pPr>
              <w:rPr>
                <w:szCs w:val="24"/>
              </w:rPr>
            </w:pPr>
            <w:r>
              <w:rPr>
                <w:szCs w:val="24"/>
              </w:rPr>
              <w:t>)</w:t>
            </w:r>
          </w:p>
          <w:p w14:paraId="1C5378F4" w14:textId="77777777" w:rsidR="00115AFF" w:rsidRDefault="00115AFF" w:rsidP="00383D33">
            <w:pPr>
              <w:rPr>
                <w:szCs w:val="24"/>
              </w:rPr>
            </w:pPr>
            <w:r>
              <w:rPr>
                <w:szCs w:val="24"/>
              </w:rPr>
              <w:t>)</w:t>
            </w:r>
          </w:p>
          <w:p w14:paraId="4953E089" w14:textId="77777777" w:rsidR="00115AFF" w:rsidRDefault="00115AFF" w:rsidP="00383D33">
            <w:pPr>
              <w:rPr>
                <w:szCs w:val="24"/>
              </w:rPr>
            </w:pPr>
            <w:r>
              <w:rPr>
                <w:szCs w:val="24"/>
              </w:rPr>
              <w:t>)</w:t>
            </w:r>
          </w:p>
          <w:p w14:paraId="31D9D4F1" w14:textId="77777777" w:rsidR="00115AFF" w:rsidRDefault="00115AFF" w:rsidP="00383D33">
            <w:pPr>
              <w:rPr>
                <w:szCs w:val="24"/>
              </w:rPr>
            </w:pPr>
          </w:p>
          <w:p w14:paraId="0CCAEDFB" w14:textId="77777777" w:rsidR="00115AFF" w:rsidRDefault="00115AFF" w:rsidP="00383D33">
            <w:pPr>
              <w:rPr>
                <w:szCs w:val="24"/>
              </w:rPr>
            </w:pPr>
            <w:r>
              <w:rPr>
                <w:szCs w:val="24"/>
              </w:rPr>
              <w:t>)</w:t>
            </w:r>
          </w:p>
          <w:p w14:paraId="60187426" w14:textId="77777777" w:rsidR="00115AFF" w:rsidRDefault="00115AFF" w:rsidP="00383D33">
            <w:pPr>
              <w:rPr>
                <w:szCs w:val="24"/>
              </w:rPr>
            </w:pPr>
            <w:r>
              <w:rPr>
                <w:szCs w:val="24"/>
              </w:rPr>
              <w:t>)</w:t>
            </w:r>
          </w:p>
          <w:p w14:paraId="252CB7F6" w14:textId="77777777" w:rsidR="00115AFF" w:rsidRDefault="00115AFF" w:rsidP="00383D33">
            <w:pPr>
              <w:rPr>
                <w:szCs w:val="24"/>
              </w:rPr>
            </w:pPr>
            <w:r>
              <w:rPr>
                <w:szCs w:val="24"/>
              </w:rPr>
              <w:t>)</w:t>
            </w:r>
          </w:p>
          <w:p w14:paraId="3F9A3042" w14:textId="77777777" w:rsidR="00115AFF" w:rsidRDefault="00115AFF" w:rsidP="00383D33">
            <w:pPr>
              <w:rPr>
                <w:szCs w:val="24"/>
              </w:rPr>
            </w:pPr>
          </w:p>
          <w:p w14:paraId="193A304A" w14:textId="77777777" w:rsidR="00115AFF" w:rsidRDefault="00115AFF" w:rsidP="00383D33">
            <w:pPr>
              <w:rPr>
                <w:szCs w:val="24"/>
              </w:rPr>
            </w:pPr>
            <w:r>
              <w:rPr>
                <w:szCs w:val="24"/>
              </w:rPr>
              <w:t>)</w:t>
            </w:r>
          </w:p>
          <w:p w14:paraId="685B5854" w14:textId="77777777" w:rsidR="00115AFF" w:rsidRDefault="00115AFF" w:rsidP="00383D33">
            <w:pPr>
              <w:rPr>
                <w:szCs w:val="24"/>
              </w:rPr>
            </w:pPr>
            <w:r>
              <w:rPr>
                <w:szCs w:val="24"/>
              </w:rPr>
              <w:t>)</w:t>
            </w:r>
          </w:p>
          <w:p w14:paraId="1358795E" w14:textId="77777777" w:rsidR="00115AFF" w:rsidRDefault="00115AFF" w:rsidP="00383D33">
            <w:pPr>
              <w:rPr>
                <w:szCs w:val="24"/>
              </w:rPr>
            </w:pPr>
            <w:r>
              <w:rPr>
                <w:szCs w:val="24"/>
              </w:rPr>
              <w:t>)</w:t>
            </w:r>
          </w:p>
          <w:p w14:paraId="4434BF60" w14:textId="77777777" w:rsidR="00115AFF" w:rsidRDefault="00115AFF" w:rsidP="00383D33">
            <w:pPr>
              <w:rPr>
                <w:szCs w:val="24"/>
              </w:rPr>
            </w:pPr>
            <w:r>
              <w:rPr>
                <w:szCs w:val="24"/>
              </w:rPr>
              <w:t>)</w:t>
            </w:r>
          </w:p>
          <w:p w14:paraId="369E9081" w14:textId="51906938" w:rsidR="00115AFF" w:rsidRDefault="003A42EF" w:rsidP="00383D33">
            <w:pPr>
              <w:rPr>
                <w:szCs w:val="24"/>
              </w:rPr>
            </w:pPr>
            <w:r>
              <w:rPr>
                <w:szCs w:val="24"/>
              </w:rPr>
              <w:t>)</w:t>
            </w:r>
          </w:p>
          <w:p w14:paraId="7C1A7B67" w14:textId="2FBC3798" w:rsidR="00115AFF" w:rsidRDefault="00115AFF" w:rsidP="00383D33">
            <w:pPr>
              <w:rPr>
                <w:szCs w:val="24"/>
              </w:rPr>
            </w:pPr>
          </w:p>
          <w:p w14:paraId="1EFD16C1" w14:textId="77777777" w:rsidR="00115AFF" w:rsidRDefault="00115AFF" w:rsidP="00383D33">
            <w:pPr>
              <w:rPr>
                <w:szCs w:val="24"/>
              </w:rPr>
            </w:pPr>
            <w:r>
              <w:rPr>
                <w:szCs w:val="24"/>
              </w:rPr>
              <w:t>)</w:t>
            </w:r>
          </w:p>
          <w:p w14:paraId="6E5EB929" w14:textId="77777777" w:rsidR="00115AFF" w:rsidRDefault="00115AFF" w:rsidP="00383D33">
            <w:pPr>
              <w:rPr>
                <w:szCs w:val="24"/>
              </w:rPr>
            </w:pPr>
            <w:r>
              <w:rPr>
                <w:szCs w:val="24"/>
              </w:rPr>
              <w:t>)</w:t>
            </w:r>
          </w:p>
          <w:p w14:paraId="42F24BF0" w14:textId="77777777" w:rsidR="00115AFF" w:rsidRDefault="00115AFF" w:rsidP="00383D33">
            <w:pPr>
              <w:rPr>
                <w:szCs w:val="24"/>
              </w:rPr>
            </w:pPr>
            <w:r>
              <w:rPr>
                <w:szCs w:val="24"/>
              </w:rPr>
              <w:t>)</w:t>
            </w:r>
          </w:p>
          <w:p w14:paraId="62AD9F81" w14:textId="39CCF72C" w:rsidR="003A42EF" w:rsidRDefault="003A42EF" w:rsidP="00383D33">
            <w:pPr>
              <w:rPr>
                <w:szCs w:val="24"/>
              </w:rPr>
            </w:pPr>
            <w:r>
              <w:rPr>
                <w:szCs w:val="24"/>
              </w:rPr>
              <w:t>)</w:t>
            </w:r>
          </w:p>
          <w:p w14:paraId="1E5251E9" w14:textId="77777777" w:rsidR="00115AFF" w:rsidRPr="001A22D5" w:rsidRDefault="00115AFF" w:rsidP="00383D33">
            <w:pPr>
              <w:rPr>
                <w:szCs w:val="24"/>
              </w:rPr>
            </w:pPr>
          </w:p>
        </w:tc>
        <w:tc>
          <w:tcPr>
            <w:tcW w:w="3690" w:type="dxa"/>
          </w:tcPr>
          <w:p w14:paraId="571D238C" w14:textId="77777777" w:rsidR="00115AFF" w:rsidRPr="001A22D5" w:rsidRDefault="00115AFF" w:rsidP="00383D33">
            <w:pPr>
              <w:rPr>
                <w:szCs w:val="24"/>
              </w:rPr>
            </w:pPr>
          </w:p>
          <w:p w14:paraId="13E98BC7" w14:textId="77777777" w:rsidR="00115AFF" w:rsidRDefault="00115AFF" w:rsidP="00383D33">
            <w:pPr>
              <w:rPr>
                <w:szCs w:val="24"/>
              </w:rPr>
            </w:pPr>
            <w:r>
              <w:rPr>
                <w:szCs w:val="24"/>
              </w:rPr>
              <w:t>Case No. 08-1094-EL-SSO</w:t>
            </w:r>
          </w:p>
          <w:p w14:paraId="01A40393" w14:textId="77777777" w:rsidR="00115AFF" w:rsidRDefault="00115AFF" w:rsidP="00383D33">
            <w:pPr>
              <w:rPr>
                <w:szCs w:val="24"/>
              </w:rPr>
            </w:pPr>
          </w:p>
          <w:p w14:paraId="0C29CD50" w14:textId="77777777" w:rsidR="00115AFF" w:rsidRDefault="00115AFF" w:rsidP="00383D33">
            <w:pPr>
              <w:rPr>
                <w:szCs w:val="24"/>
              </w:rPr>
            </w:pPr>
          </w:p>
          <w:p w14:paraId="3AB61E4D" w14:textId="77777777" w:rsidR="00115AFF" w:rsidRDefault="00115AFF" w:rsidP="00383D33">
            <w:pPr>
              <w:rPr>
                <w:szCs w:val="24"/>
              </w:rPr>
            </w:pPr>
          </w:p>
          <w:p w14:paraId="77B543B4" w14:textId="77777777" w:rsidR="00115AFF" w:rsidRDefault="00115AFF" w:rsidP="00383D33">
            <w:pPr>
              <w:rPr>
                <w:szCs w:val="24"/>
              </w:rPr>
            </w:pPr>
            <w:r>
              <w:rPr>
                <w:szCs w:val="24"/>
              </w:rPr>
              <w:t>Case No. 08-1095-EL-ATA</w:t>
            </w:r>
          </w:p>
          <w:p w14:paraId="7FF33CBC" w14:textId="77777777" w:rsidR="00115AFF" w:rsidRDefault="00115AFF" w:rsidP="00383D33">
            <w:pPr>
              <w:rPr>
                <w:szCs w:val="24"/>
              </w:rPr>
            </w:pPr>
          </w:p>
          <w:p w14:paraId="316DEB50" w14:textId="77777777" w:rsidR="00115AFF" w:rsidRDefault="00115AFF" w:rsidP="00383D33">
            <w:pPr>
              <w:rPr>
                <w:szCs w:val="24"/>
              </w:rPr>
            </w:pPr>
          </w:p>
          <w:p w14:paraId="60E92F02" w14:textId="77777777" w:rsidR="00115AFF" w:rsidRDefault="00115AFF" w:rsidP="00383D33">
            <w:pPr>
              <w:rPr>
                <w:szCs w:val="24"/>
              </w:rPr>
            </w:pPr>
          </w:p>
          <w:p w14:paraId="2C2172EB" w14:textId="77777777" w:rsidR="003A42EF" w:rsidRDefault="003A42EF" w:rsidP="00383D33">
            <w:pPr>
              <w:rPr>
                <w:szCs w:val="24"/>
              </w:rPr>
            </w:pPr>
          </w:p>
          <w:p w14:paraId="6CBD3C7C" w14:textId="77777777" w:rsidR="00115AFF" w:rsidRDefault="00115AFF" w:rsidP="00383D33">
            <w:pPr>
              <w:rPr>
                <w:szCs w:val="24"/>
              </w:rPr>
            </w:pPr>
            <w:r>
              <w:rPr>
                <w:szCs w:val="24"/>
              </w:rPr>
              <w:t>Case No. 08-1096-EL-AAM</w:t>
            </w:r>
          </w:p>
          <w:p w14:paraId="32C65C4E" w14:textId="77777777" w:rsidR="00115AFF" w:rsidRDefault="00115AFF" w:rsidP="00383D33">
            <w:pPr>
              <w:rPr>
                <w:szCs w:val="24"/>
              </w:rPr>
            </w:pPr>
          </w:p>
          <w:p w14:paraId="7ECFEE87" w14:textId="77777777" w:rsidR="00115AFF" w:rsidRDefault="00115AFF" w:rsidP="00383D33">
            <w:pPr>
              <w:rPr>
                <w:szCs w:val="24"/>
              </w:rPr>
            </w:pPr>
          </w:p>
          <w:p w14:paraId="09FEBB37" w14:textId="77777777" w:rsidR="00115AFF" w:rsidRDefault="00115AFF" w:rsidP="00383D33">
            <w:pPr>
              <w:rPr>
                <w:szCs w:val="24"/>
              </w:rPr>
            </w:pPr>
          </w:p>
          <w:p w14:paraId="0C60DE5D" w14:textId="77777777" w:rsidR="00115AFF" w:rsidRDefault="00115AFF" w:rsidP="00383D33">
            <w:pPr>
              <w:rPr>
                <w:szCs w:val="24"/>
              </w:rPr>
            </w:pPr>
          </w:p>
          <w:p w14:paraId="7B3F3DCB" w14:textId="77777777" w:rsidR="00115AFF" w:rsidRDefault="00115AFF" w:rsidP="00383D33">
            <w:pPr>
              <w:rPr>
                <w:szCs w:val="24"/>
              </w:rPr>
            </w:pPr>
            <w:r>
              <w:rPr>
                <w:szCs w:val="24"/>
              </w:rPr>
              <w:t>Case No. 08-1097-EL-UNC</w:t>
            </w:r>
          </w:p>
          <w:p w14:paraId="443294CC" w14:textId="77777777" w:rsidR="00115AFF" w:rsidRDefault="00115AFF" w:rsidP="00383D33">
            <w:pPr>
              <w:rPr>
                <w:szCs w:val="24"/>
              </w:rPr>
            </w:pPr>
          </w:p>
          <w:p w14:paraId="63834048" w14:textId="77777777" w:rsidR="00115AFF" w:rsidRDefault="00115AFF" w:rsidP="00383D33">
            <w:pPr>
              <w:rPr>
                <w:szCs w:val="24"/>
              </w:rPr>
            </w:pPr>
          </w:p>
          <w:p w14:paraId="3F7EC5D5" w14:textId="77777777" w:rsidR="00115AFF" w:rsidRPr="001A22D5" w:rsidRDefault="00115AFF" w:rsidP="00115AFF">
            <w:pPr>
              <w:rPr>
                <w:szCs w:val="24"/>
              </w:rPr>
            </w:pPr>
          </w:p>
        </w:tc>
      </w:tr>
    </w:tbl>
    <w:p w14:paraId="0B909F87" w14:textId="77777777" w:rsidR="00115AFF" w:rsidRDefault="00115AFF" w:rsidP="00115AFF">
      <w:pPr>
        <w:pBdr>
          <w:bottom w:val="single" w:sz="12" w:space="1" w:color="auto"/>
        </w:pBdr>
        <w:jc w:val="center"/>
      </w:pPr>
    </w:p>
    <w:p w14:paraId="4644C6A6" w14:textId="77777777" w:rsidR="0036320F" w:rsidRDefault="0036320F" w:rsidP="00115AFF">
      <w:pPr>
        <w:jc w:val="center"/>
      </w:pPr>
    </w:p>
    <w:p w14:paraId="3D9EC478" w14:textId="29AB9B2A" w:rsidR="00115AFF" w:rsidRDefault="00115AFF" w:rsidP="003F0011">
      <w:pPr>
        <w:jc w:val="center"/>
        <w:rPr>
          <w:b/>
        </w:rPr>
      </w:pPr>
      <w:r w:rsidRPr="00FB2179">
        <w:rPr>
          <w:b/>
        </w:rPr>
        <w:t>COMMENTS ON DP&amp;L'S PROPOSED TARIFFS</w:t>
      </w:r>
      <w:r w:rsidR="007D024A">
        <w:rPr>
          <w:b/>
        </w:rPr>
        <w:t xml:space="preserve"> TO INCREASE CONSUMER </w:t>
      </w:r>
      <w:r w:rsidR="00A166F8">
        <w:rPr>
          <w:b/>
        </w:rPr>
        <w:t>RATES</w:t>
      </w:r>
    </w:p>
    <w:p w14:paraId="0EE3F462" w14:textId="77777777" w:rsidR="002B404E" w:rsidRDefault="002B404E" w:rsidP="003F0011">
      <w:pPr>
        <w:jc w:val="center"/>
        <w:rPr>
          <w:b/>
        </w:rPr>
      </w:pPr>
      <w:r>
        <w:rPr>
          <w:b/>
        </w:rPr>
        <w:t>BY</w:t>
      </w:r>
    </w:p>
    <w:p w14:paraId="5956CE0C" w14:textId="17AA19FA" w:rsidR="002929D4" w:rsidRPr="00FB2179" w:rsidRDefault="008B7307" w:rsidP="002929D4">
      <w:pPr>
        <w:jc w:val="center"/>
        <w:rPr>
          <w:b/>
        </w:rPr>
      </w:pPr>
      <w:r>
        <w:rPr>
          <w:b/>
        </w:rPr>
        <w:t xml:space="preserve">OFFICE </w:t>
      </w:r>
      <w:r w:rsidR="002929D4" w:rsidRPr="00FB2179">
        <w:rPr>
          <w:b/>
        </w:rPr>
        <w:t>OF THE OHIO CONSUMERS' COUNSEL</w:t>
      </w:r>
    </w:p>
    <w:p w14:paraId="60ED76C3" w14:textId="77777777" w:rsidR="002929D4" w:rsidRDefault="002929D4" w:rsidP="003F0011">
      <w:pPr>
        <w:jc w:val="center"/>
        <w:rPr>
          <w:b/>
        </w:rPr>
      </w:pPr>
    </w:p>
    <w:p w14:paraId="5A22FD56" w14:textId="77777777" w:rsidR="0036320F" w:rsidRPr="00FB2179" w:rsidRDefault="0036320F" w:rsidP="00115AFF">
      <w:pPr>
        <w:pBdr>
          <w:bottom w:val="single" w:sz="12" w:space="1" w:color="auto"/>
        </w:pBdr>
        <w:jc w:val="center"/>
        <w:rPr>
          <w:b/>
        </w:rPr>
      </w:pPr>
    </w:p>
    <w:p w14:paraId="0B5DACC1" w14:textId="77777777" w:rsidR="0036320F" w:rsidRDefault="0036320F" w:rsidP="00115AFF">
      <w:pPr>
        <w:jc w:val="center"/>
      </w:pPr>
    </w:p>
    <w:p w14:paraId="23B919CB" w14:textId="77777777" w:rsidR="003A3395" w:rsidRPr="00925470" w:rsidRDefault="003A3395" w:rsidP="00387978">
      <w:pPr>
        <w:pStyle w:val="Heading1"/>
      </w:pPr>
      <w:r w:rsidRPr="00925470">
        <w:t xml:space="preserve">I. </w:t>
      </w:r>
      <w:r w:rsidR="00387978">
        <w:tab/>
      </w:r>
      <w:r w:rsidRPr="00925470">
        <w:t>INTRODUCTION</w:t>
      </w:r>
    </w:p>
    <w:p w14:paraId="16DC404A" w14:textId="77777777" w:rsidR="000B7F81" w:rsidRDefault="00823AA2" w:rsidP="00F82E6D">
      <w:pPr>
        <w:spacing w:line="480" w:lineRule="auto"/>
        <w:ind w:firstLine="720"/>
        <w:sectPr w:rsidR="000B7F81" w:rsidSect="0036320F">
          <w:footerReference w:type="default" r:id="rId8"/>
          <w:pgSz w:w="12240" w:h="15840"/>
          <w:pgMar w:top="1440" w:right="1800" w:bottom="1440" w:left="1800" w:header="720" w:footer="720" w:gutter="0"/>
          <w:cols w:space="720"/>
          <w:docGrid w:linePitch="360"/>
        </w:sectPr>
      </w:pPr>
      <w:r>
        <w:t>At a time when 500,000 customers of Dayton Power and Light Company ("DP&amp;L" or "Utility") should be receiving long overdue rate decreases, DP&amp;L wants to increase monthly rates</w:t>
      </w:r>
      <w:r w:rsidR="00355459">
        <w:t xml:space="preserve"> by about $</w:t>
      </w:r>
      <w:r w:rsidR="00202ECA">
        <w:t>8</w:t>
      </w:r>
      <w:r w:rsidR="00355459">
        <w:t xml:space="preserve"> per month for residential customers.</w:t>
      </w:r>
      <w:r w:rsidR="00355459">
        <w:rPr>
          <w:rStyle w:val="FootnoteReference"/>
        </w:rPr>
        <w:footnoteReference w:id="1"/>
      </w:r>
      <w:r>
        <w:t xml:space="preserve">  Since January 1, 2014, DP&amp;L has taken approximately $285 million in subsidies from customers in the Dayton area--where there is financial distress and a poverty level of 35%--through </w:t>
      </w:r>
      <w:r w:rsidR="00C725CB">
        <w:t xml:space="preserve">its </w:t>
      </w:r>
      <w:r>
        <w:t>inaptly named service stability charge</w:t>
      </w:r>
      <w:r w:rsidR="00115D83">
        <w:t xml:space="preserve"> </w:t>
      </w:r>
      <w:r w:rsidR="00B63660">
        <w:t>("Rider SSR").</w:t>
      </w:r>
    </w:p>
    <w:p w14:paraId="3D98C40F" w14:textId="5710C881" w:rsidR="00355459" w:rsidRDefault="00823AA2" w:rsidP="00F82E6D">
      <w:pPr>
        <w:spacing w:line="480" w:lineRule="auto"/>
        <w:ind w:firstLine="720"/>
      </w:pPr>
      <w:r>
        <w:lastRenderedPageBreak/>
        <w:t>But now the Supreme Court has ordered the PUCO to carry out its judgment that Rider SSR is an unlawful transition charge that customers should not be paying.</w:t>
      </w:r>
      <w:r>
        <w:rPr>
          <w:rStyle w:val="FootnoteReference"/>
        </w:rPr>
        <w:footnoteReference w:id="2"/>
      </w:r>
      <w:r>
        <w:t xml:space="preserve">  </w:t>
      </w:r>
      <w:r w:rsidR="00F82E6D">
        <w:t>But i</w:t>
      </w:r>
      <w:r w:rsidR="00115D83">
        <w:t xml:space="preserve">nstead of complying with the Supreme Court and reducing rates to customers, </w:t>
      </w:r>
      <w:r>
        <w:t xml:space="preserve">DP&amp;L filed a plan that </w:t>
      </w:r>
      <w:r w:rsidR="00115D83">
        <w:t xml:space="preserve">would </w:t>
      </w:r>
      <w:r w:rsidR="00355459">
        <w:t xml:space="preserve">increase customers' rates and </w:t>
      </w:r>
      <w:r>
        <w:t xml:space="preserve">allow it to continue collecting unlawful above-market transition charges from customers.  </w:t>
      </w:r>
    </w:p>
    <w:p w14:paraId="28A638AF" w14:textId="77777777" w:rsidR="00F82E6D" w:rsidRDefault="00823AA2" w:rsidP="00355459">
      <w:pPr>
        <w:spacing w:line="480" w:lineRule="auto"/>
        <w:ind w:firstLine="720"/>
      </w:pPr>
      <w:r>
        <w:t>DP&amp;L seeks to withdraw and terminate its three-year old application (under R.C. 4928.143(C)(2)(b)).  DP&amp;L filed a Motion to Withdraw Its Application, and a Motion to Implement Previousl</w:t>
      </w:r>
      <w:r w:rsidR="00FB2179">
        <w:t>y Authorized Rates (“Motions”).</w:t>
      </w:r>
      <w:r>
        <w:rPr>
          <w:rStyle w:val="FootnoteReference"/>
        </w:rPr>
        <w:footnoteReference w:id="3"/>
      </w:r>
      <w:r w:rsidR="00FB2179">
        <w:t xml:space="preserve"> </w:t>
      </w:r>
      <w:r w:rsidR="00355459">
        <w:t>T</w:t>
      </w:r>
      <w:r>
        <w:t xml:space="preserve">o implement its unlawful plan, on August 1, 2016, DP&amp;L filed </w:t>
      </w:r>
      <w:r w:rsidR="003D5297">
        <w:t>a pleading entitled "Notice of Filing Proposed Tariffs." In that pleading DP&amp;L claims that the Supreme Court of Ohio recently "reversed in total the Commission's decision approving the Application of The Dayton Power and Light Company ("D</w:t>
      </w:r>
      <w:r w:rsidR="00B517D6">
        <w:t>P&amp;L") in Case No. 12-426-EL-SSO ["ESP II]."</w:t>
      </w:r>
      <w:r w:rsidR="003D5297">
        <w:rPr>
          <w:rStyle w:val="FootnoteReference"/>
        </w:rPr>
        <w:footnoteReference w:id="4"/>
      </w:r>
      <w:r w:rsidR="003D5297">
        <w:t xml:space="preserve">  </w:t>
      </w:r>
      <w:r w:rsidR="00B517D6">
        <w:t xml:space="preserve">Based on its claim, </w:t>
      </w:r>
      <w:r w:rsidR="00355459">
        <w:t>DP&amp;L</w:t>
      </w:r>
      <w:r w:rsidR="00B517D6">
        <w:t xml:space="preserve"> proposes that new tariffs should be approved that it alleges are "consistent" with previous tariffs the PUCO approved in this case ("ESP I") that were in effect before the PUCO's Order in </w:t>
      </w:r>
      <w:r>
        <w:t>ESP II.</w:t>
      </w:r>
      <w:r w:rsidR="00B517D6">
        <w:t xml:space="preserve">  </w:t>
      </w:r>
      <w:r w:rsidR="00355459">
        <w:t xml:space="preserve">DP&amp;L </w:t>
      </w:r>
      <w:r w:rsidR="00B517D6">
        <w:t>asks that the proposed tariffs</w:t>
      </w:r>
      <w:r>
        <w:t xml:space="preserve"> (once approved) </w:t>
      </w:r>
      <w:r w:rsidR="00B517D6">
        <w:t xml:space="preserve"> remain in effect until the PUCO issues a ruling in its currently pending electric security plan ("ESP") application in Case No. 16-395-EL-SSO ("ESP III")</w:t>
      </w:r>
      <w:r>
        <w:t>.</w:t>
      </w:r>
      <w:r w:rsidR="003A3395">
        <w:t xml:space="preserve">  </w:t>
      </w:r>
    </w:p>
    <w:p w14:paraId="2E091E0B" w14:textId="39E8DD72" w:rsidR="00B517D6" w:rsidRDefault="003A3395" w:rsidP="003A42EF">
      <w:pPr>
        <w:spacing w:line="480" w:lineRule="auto"/>
        <w:ind w:firstLine="720"/>
      </w:pPr>
      <w:r>
        <w:t xml:space="preserve">On August 3, 2016, the Attorney Examiner issued an Entry allowing parties the opportunity to file comments on DP&amp;L's proposed tariffs.  OCC appreciates that </w:t>
      </w:r>
      <w:r>
        <w:lastRenderedPageBreak/>
        <w:t xml:space="preserve">opportunity to </w:t>
      </w:r>
      <w:r w:rsidR="00355459">
        <w:t xml:space="preserve">explain to the PUCO </w:t>
      </w:r>
      <w:r>
        <w:t xml:space="preserve">how </w:t>
      </w:r>
      <w:r w:rsidR="00482F5C">
        <w:t xml:space="preserve">DP&amp;L's proposed tariffs are unreasonable and unlawful and will harm </w:t>
      </w:r>
      <w:r>
        <w:t>residential customers</w:t>
      </w:r>
      <w:r w:rsidR="00482F5C">
        <w:t>.</w:t>
      </w:r>
      <w:r>
        <w:t xml:space="preserve">  </w:t>
      </w:r>
    </w:p>
    <w:p w14:paraId="2ED26649" w14:textId="77777777" w:rsidR="003A3395" w:rsidRPr="00FB2179" w:rsidRDefault="003A3395" w:rsidP="00387978">
      <w:pPr>
        <w:pStyle w:val="Heading1"/>
      </w:pPr>
      <w:r w:rsidRPr="00FB2179">
        <w:t>II.</w:t>
      </w:r>
      <w:r w:rsidR="00FB2179">
        <w:tab/>
      </w:r>
      <w:r w:rsidRPr="00FB2179">
        <w:t>COMMENTS</w:t>
      </w:r>
    </w:p>
    <w:p w14:paraId="58AAD3A3" w14:textId="620573EB" w:rsidR="0002563A" w:rsidRPr="00387978" w:rsidRDefault="00387978" w:rsidP="003B02B2">
      <w:pPr>
        <w:pStyle w:val="Heading2"/>
      </w:pPr>
      <w:r>
        <w:t xml:space="preserve">A. </w:t>
      </w:r>
      <w:r>
        <w:tab/>
      </w:r>
      <w:r w:rsidR="00115D83" w:rsidRPr="0002563A">
        <w:t xml:space="preserve">Because </w:t>
      </w:r>
      <w:r w:rsidR="003A3395" w:rsidRPr="0002563A">
        <w:t>DP&amp;L does not have the right to withdraw its</w:t>
      </w:r>
      <w:r w:rsidR="00EB0025">
        <w:t xml:space="preserve"> application,</w:t>
      </w:r>
      <w:r w:rsidR="003A3395" w:rsidRPr="0002563A">
        <w:t xml:space="preserve"> </w:t>
      </w:r>
      <w:r w:rsidR="00115D83" w:rsidRPr="0002563A">
        <w:t xml:space="preserve">the PUCO should outright reject </w:t>
      </w:r>
      <w:r w:rsidR="00EB0025">
        <w:t>DP&amp;L's plan to i</w:t>
      </w:r>
      <w:r>
        <w:t xml:space="preserve">ncrease rates to customers.  </w:t>
      </w:r>
      <w:r w:rsidR="00355459">
        <w:t>The</w:t>
      </w:r>
      <w:r w:rsidR="00EB0025">
        <w:t xml:space="preserve"> </w:t>
      </w:r>
      <w:r w:rsidR="0002563A">
        <w:t xml:space="preserve">PUCO should order DP&amp;L to </w:t>
      </w:r>
      <w:r w:rsidR="00EB0025">
        <w:t xml:space="preserve">stop charging consumers </w:t>
      </w:r>
      <w:r w:rsidR="00C36DB2">
        <w:t>its</w:t>
      </w:r>
      <w:r w:rsidR="00482F5C">
        <w:t xml:space="preserve"> </w:t>
      </w:r>
      <w:r>
        <w:t xml:space="preserve">$9.85 per </w:t>
      </w:r>
      <w:r w:rsidR="00EB0025">
        <w:t>month service stability charge.</w:t>
      </w:r>
    </w:p>
    <w:p w14:paraId="2C85FB3E" w14:textId="77777777" w:rsidR="00EB0025" w:rsidRDefault="00387978" w:rsidP="00387978">
      <w:pPr>
        <w:spacing w:line="480" w:lineRule="auto"/>
        <w:ind w:firstLine="720"/>
      </w:pPr>
      <w:r>
        <w:t xml:space="preserve">As </w:t>
      </w:r>
      <w:r w:rsidR="0002563A">
        <w:t>explained in OCC's Memorandum Contra DP&amp;L's Motions, DP&amp;L does not have the right to withdraw its ESP application.</w:t>
      </w:r>
      <w:r w:rsidR="00482F5C">
        <w:rPr>
          <w:rStyle w:val="FootnoteReference"/>
        </w:rPr>
        <w:footnoteReference w:id="5"/>
      </w:r>
      <w:r w:rsidR="0002563A">
        <w:t xml:space="preserve">  </w:t>
      </w:r>
      <w:r w:rsidR="00CA629B">
        <w:t xml:space="preserve">Because it has no right to do so, DP&amp;L must maintain existing rates </w:t>
      </w:r>
      <w:r w:rsidR="00355459">
        <w:t>through December 31, 2016</w:t>
      </w:r>
      <w:r w:rsidR="002640D7">
        <w:t xml:space="preserve">, </w:t>
      </w:r>
      <w:r w:rsidR="00EB0025">
        <w:t xml:space="preserve">minus the unlawful $9.85 monthly service stability charge.  </w:t>
      </w:r>
    </w:p>
    <w:p w14:paraId="2B0449FF" w14:textId="6930AAEA" w:rsidR="00F82E6D" w:rsidRDefault="00CA629B" w:rsidP="00E16B4A">
      <w:pPr>
        <w:spacing w:line="480" w:lineRule="auto"/>
        <w:ind w:firstLine="720"/>
      </w:pPr>
      <w:r>
        <w:t xml:space="preserve">The </w:t>
      </w:r>
      <w:r w:rsidR="00A27ABB">
        <w:t xml:space="preserve">Court reversed the </w:t>
      </w:r>
      <w:r>
        <w:t xml:space="preserve">PUCO </w:t>
      </w:r>
      <w:r w:rsidR="00EB0025">
        <w:t>on one issue --</w:t>
      </w:r>
      <w:r w:rsidR="008E1DB9">
        <w:t xml:space="preserve"> </w:t>
      </w:r>
      <w:r w:rsidR="00EB0025">
        <w:t>the service stability charge</w:t>
      </w:r>
      <w:r>
        <w:t>.</w:t>
      </w:r>
      <w:r>
        <w:rPr>
          <w:rStyle w:val="FootnoteReference"/>
        </w:rPr>
        <w:footnoteReference w:id="6"/>
      </w:r>
      <w:r>
        <w:t xml:space="preserve">  </w:t>
      </w:r>
      <w:r w:rsidR="001053C5">
        <w:t xml:space="preserve">It is time for </w:t>
      </w:r>
      <w:r>
        <w:t xml:space="preserve">the PUCO </w:t>
      </w:r>
      <w:r w:rsidR="001053C5">
        <w:t xml:space="preserve">to </w:t>
      </w:r>
      <w:r>
        <w:t xml:space="preserve">address the Court's mandate </w:t>
      </w:r>
      <w:r w:rsidR="00EB0025">
        <w:t>and reduce rates to DP&amp;L</w:t>
      </w:r>
      <w:r w:rsidR="004121B0">
        <w:t>’s</w:t>
      </w:r>
      <w:r w:rsidR="00EB0025">
        <w:t xml:space="preserve"> customers</w:t>
      </w:r>
      <w:r>
        <w:t>.  OCC and</w:t>
      </w:r>
      <w:r w:rsidR="00F82E6D">
        <w:t xml:space="preserve"> the Industrial Energy Users filed a motion </w:t>
      </w:r>
      <w:r w:rsidR="00EB0025">
        <w:t>(</w:t>
      </w:r>
      <w:r w:rsidR="00F82E6D">
        <w:t>that is still pending</w:t>
      </w:r>
      <w:r w:rsidR="00EB0025">
        <w:t>)</w:t>
      </w:r>
      <w:r w:rsidR="00F82E6D">
        <w:t xml:space="preserve"> asking the PUCO to stop the Utility from charging consumers for the service stability </w:t>
      </w:r>
      <w:r w:rsidR="001053C5">
        <w:t>charge</w:t>
      </w:r>
      <w:r w:rsidR="00F82E6D">
        <w:t xml:space="preserve">.  </w:t>
      </w:r>
      <w:r w:rsidR="00EB0025">
        <w:t>Unfortunately, th</w:t>
      </w:r>
      <w:r w:rsidR="00F82E6D">
        <w:t xml:space="preserve">e PUCO has not ruled on that motion.  Meanwhile, Dayton-area consumers continue to pay nearly $10 per month for charges the </w:t>
      </w:r>
      <w:r w:rsidR="00EB0025">
        <w:t xml:space="preserve">Ohio Supreme </w:t>
      </w:r>
      <w:r w:rsidR="00F82E6D">
        <w:t>Court rejected.</w:t>
      </w:r>
      <w:r w:rsidR="00EB0025">
        <w:rPr>
          <w:rStyle w:val="FootnoteReference"/>
        </w:rPr>
        <w:footnoteReference w:id="7"/>
      </w:r>
      <w:r w:rsidR="00F82E6D">
        <w:t xml:space="preserve">  </w:t>
      </w:r>
      <w:r>
        <w:t xml:space="preserve"> </w:t>
      </w:r>
      <w:r w:rsidR="00F82E6D">
        <w:t>The PUC</w:t>
      </w:r>
      <w:r w:rsidR="00EB0025">
        <w:t>O should act now and order DP&amp;L to remove the se</w:t>
      </w:r>
      <w:r w:rsidR="00F82E6D">
        <w:t>rvic</w:t>
      </w:r>
      <w:r w:rsidR="00EB0025">
        <w:t>e s</w:t>
      </w:r>
      <w:r w:rsidR="00F82E6D">
        <w:t xml:space="preserve">tability </w:t>
      </w:r>
      <w:r w:rsidR="00EB0025">
        <w:t>charge</w:t>
      </w:r>
      <w:r w:rsidR="00F82E6D">
        <w:t xml:space="preserve"> from customers' bills.  </w:t>
      </w:r>
      <w:r w:rsidR="00482F5C">
        <w:t xml:space="preserve">Doing so will </w:t>
      </w:r>
      <w:r w:rsidR="00EB0025">
        <w:t xml:space="preserve">satisfy </w:t>
      </w:r>
      <w:r w:rsidR="00482F5C">
        <w:t>the Court's mandate</w:t>
      </w:r>
      <w:r w:rsidR="00EB0025">
        <w:t xml:space="preserve"> and give DP&amp;L customers much needed</w:t>
      </w:r>
      <w:r w:rsidR="00052FC7">
        <w:t xml:space="preserve"> and overdue</w:t>
      </w:r>
      <w:r w:rsidR="00EB0025">
        <w:t xml:space="preserve"> relief</w:t>
      </w:r>
      <w:r w:rsidR="00482F5C">
        <w:t xml:space="preserve">.  </w:t>
      </w:r>
    </w:p>
    <w:p w14:paraId="5E97989F" w14:textId="0B19BC5C" w:rsidR="009A7E8F" w:rsidRDefault="00387978" w:rsidP="003B02B2">
      <w:pPr>
        <w:pStyle w:val="Heading2"/>
      </w:pPr>
      <w:r>
        <w:lastRenderedPageBreak/>
        <w:t xml:space="preserve">B. </w:t>
      </w:r>
      <w:r>
        <w:tab/>
      </w:r>
      <w:r w:rsidR="00F82E6D">
        <w:t xml:space="preserve">If the PUCO </w:t>
      </w:r>
      <w:r w:rsidR="002640D7">
        <w:t xml:space="preserve">grants </w:t>
      </w:r>
      <w:r w:rsidR="00F82E6D">
        <w:t xml:space="preserve"> DP&amp;L's Motion to withdraw its ESP</w:t>
      </w:r>
      <w:r w:rsidR="002640D7">
        <w:t xml:space="preserve"> (which it s</w:t>
      </w:r>
      <w:r>
        <w:t xml:space="preserve">hould not </w:t>
      </w:r>
      <w:r w:rsidR="002640D7">
        <w:t xml:space="preserve">do), the PUCO should reject </w:t>
      </w:r>
      <w:r w:rsidR="001053C5">
        <w:t xml:space="preserve">DP&amp;L's plan to charge customers a </w:t>
      </w:r>
      <w:r>
        <w:t xml:space="preserve">$6.05 monthly </w:t>
      </w:r>
      <w:r w:rsidR="002640D7">
        <w:t xml:space="preserve">Rate Stabilization Charge since it </w:t>
      </w:r>
      <w:r w:rsidR="00C142A6">
        <w:t xml:space="preserve">would </w:t>
      </w:r>
      <w:r w:rsidR="002640D7">
        <w:t xml:space="preserve">allow DP&amp;L to collect </w:t>
      </w:r>
      <w:r>
        <w:t xml:space="preserve">more unlawful </w:t>
      </w:r>
      <w:r w:rsidR="002640D7">
        <w:t xml:space="preserve">transition charges, violating </w:t>
      </w:r>
      <w:r w:rsidR="001053C5">
        <w:t>Ohio law</w:t>
      </w:r>
      <w:r w:rsidR="002640D7">
        <w:t>.</w:t>
      </w:r>
    </w:p>
    <w:p w14:paraId="78C6F58F" w14:textId="77777777" w:rsidR="00E92347" w:rsidRDefault="00D52CED" w:rsidP="00387978">
      <w:pPr>
        <w:spacing w:line="480" w:lineRule="auto"/>
        <w:ind w:firstLine="720"/>
      </w:pPr>
      <w:r>
        <w:t>Included in DP&amp;L's plan to increase rates to customers is a proposal to charge customers a $6.05 monthly rate stabilization charge that collects the very sor</w:t>
      </w:r>
      <w:r w:rsidR="00F24232">
        <w:t>t of</w:t>
      </w:r>
      <w:r>
        <w:t xml:space="preserve"> transition charges the </w:t>
      </w:r>
      <w:r w:rsidR="001053C5">
        <w:t xml:space="preserve">Ohio </w:t>
      </w:r>
      <w:r>
        <w:t xml:space="preserve">Supreme Court just rejected.  </w:t>
      </w:r>
      <w:r w:rsidR="00355459">
        <w:t xml:space="preserve">This time DP&amp;L calls its transition charge a </w:t>
      </w:r>
      <w:r w:rsidR="001053C5">
        <w:t>"</w:t>
      </w:r>
      <w:r w:rsidR="00355459">
        <w:t>rate stabilization charge</w:t>
      </w:r>
      <w:r w:rsidR="001053C5">
        <w:t>"</w:t>
      </w:r>
      <w:r w:rsidR="00355459">
        <w:t xml:space="preserve"> ("RSC"). </w:t>
      </w:r>
    </w:p>
    <w:p w14:paraId="46E1A5BE" w14:textId="77777777" w:rsidR="003A42EF" w:rsidRDefault="00D52CED" w:rsidP="00387978">
      <w:pPr>
        <w:spacing w:line="480" w:lineRule="auto"/>
        <w:ind w:firstLine="720"/>
      </w:pPr>
      <w:r>
        <w:t xml:space="preserve">The rate stabilization charge </w:t>
      </w:r>
      <w:r w:rsidR="00355459">
        <w:t>that DP&amp;L seeks to resurrect was</w:t>
      </w:r>
      <w:r w:rsidR="006E65B4">
        <w:t xml:space="preserve"> paid by customers starting on January 1, 2007</w:t>
      </w:r>
      <w:r w:rsidR="00BB50E4">
        <w:t>.</w:t>
      </w:r>
      <w:r w:rsidR="00277A33">
        <w:rPr>
          <w:rStyle w:val="FootnoteReference"/>
        </w:rPr>
        <w:footnoteReference w:id="8"/>
      </w:r>
      <w:r w:rsidR="006E65B4">
        <w:t xml:space="preserve"> </w:t>
      </w:r>
      <w:r w:rsidR="00277A33">
        <w:t xml:space="preserve">The charge was </w:t>
      </w:r>
      <w:r w:rsidR="00BB50E4">
        <w:t xml:space="preserve">originally </w:t>
      </w:r>
      <w:r w:rsidR="001053C5">
        <w:t xml:space="preserve">described (in 2003) as </w:t>
      </w:r>
      <w:r w:rsidR="007D12B7">
        <w:t>relating to</w:t>
      </w:r>
      <w:r w:rsidR="00277A33">
        <w:t xml:space="preserve"> increased </w:t>
      </w:r>
      <w:r w:rsidR="007D12B7">
        <w:t xml:space="preserve">costs of </w:t>
      </w:r>
      <w:r w:rsidR="00277A33">
        <w:t>production</w:t>
      </w:r>
      <w:r w:rsidR="007D12B7">
        <w:t>, physical security, and cybersecurity</w:t>
      </w:r>
      <w:r w:rsidR="00277A33">
        <w:t xml:space="preserve"> </w:t>
      </w:r>
      <w:r w:rsidR="001053C5">
        <w:t xml:space="preserve">for </w:t>
      </w:r>
      <w:r w:rsidR="007D12B7">
        <w:t xml:space="preserve">power </w:t>
      </w:r>
      <w:r w:rsidR="00F24232">
        <w:t>plants owned by DP&amp;L and its affiliates</w:t>
      </w:r>
      <w:r w:rsidR="00277A33">
        <w:t>.</w:t>
      </w:r>
      <w:r w:rsidR="00F24232">
        <w:rPr>
          <w:rStyle w:val="FootnoteReference"/>
        </w:rPr>
        <w:footnoteReference w:id="9"/>
      </w:r>
      <w:r w:rsidR="00EC7EB8">
        <w:t xml:space="preserve"> The PUCO, in Case No. 05-276-EL-AIR</w:t>
      </w:r>
      <w:r w:rsidR="00D40EE2">
        <w:t>,</w:t>
      </w:r>
      <w:r w:rsidR="00EC7EB8">
        <w:t xml:space="preserve"> </w:t>
      </w:r>
      <w:r w:rsidR="00D40EE2">
        <w:t>adopted a rate plan for DP&amp;L (agreed to by stipulation</w:t>
      </w:r>
      <w:r w:rsidR="00BF120C">
        <w:rPr>
          <w:rStyle w:val="FootnoteReference"/>
        </w:rPr>
        <w:footnoteReference w:id="10"/>
      </w:r>
      <w:r w:rsidR="00D40EE2">
        <w:t>) which included a provision that c</w:t>
      </w:r>
      <w:r w:rsidR="00EC7EB8">
        <w:t xml:space="preserve">ustomers pay </w:t>
      </w:r>
      <w:r w:rsidR="00D40EE2">
        <w:t>the</w:t>
      </w:r>
      <w:r w:rsidR="006E733F">
        <w:t xml:space="preserve"> </w:t>
      </w:r>
      <w:r w:rsidR="00D40EE2">
        <w:t>r</w:t>
      </w:r>
      <w:r w:rsidR="006E733F">
        <w:t xml:space="preserve">ate </w:t>
      </w:r>
      <w:r w:rsidR="00D40EE2">
        <w:t>stabilization c</w:t>
      </w:r>
      <w:r w:rsidR="006E733F">
        <w:t xml:space="preserve">harge </w:t>
      </w:r>
      <w:r w:rsidR="00EC7EB8">
        <w:t>through Decem</w:t>
      </w:r>
      <w:r w:rsidR="00EF4664">
        <w:t>ber 31, 2010</w:t>
      </w:r>
      <w:r w:rsidR="00D40EE2">
        <w:t xml:space="preserve">.  Annually, </w:t>
      </w:r>
      <w:r w:rsidR="00A074D2">
        <w:t xml:space="preserve">customers </w:t>
      </w:r>
      <w:r w:rsidR="00D40EE2">
        <w:t xml:space="preserve">were to </w:t>
      </w:r>
      <w:r w:rsidR="00A074D2">
        <w:t>pay $76 million under the charge</w:t>
      </w:r>
      <w:r w:rsidR="00EF4664">
        <w:t>.</w:t>
      </w:r>
      <w:r w:rsidR="00A074D2">
        <w:rPr>
          <w:rStyle w:val="FootnoteReference"/>
        </w:rPr>
        <w:footnoteReference w:id="11"/>
      </w:r>
      <w:r w:rsidR="00EF4664">
        <w:t xml:space="preserve"> </w:t>
      </w:r>
      <w:r w:rsidR="00BB50E4">
        <w:t>The RSC was described in the stipulation (which the PUCO adopted) as a charge to compensate DP&amp;L for providing stabilized rates for customers and Provider of Last Resort Service.</w:t>
      </w:r>
      <w:r w:rsidR="00BB50E4">
        <w:rPr>
          <w:rStyle w:val="FootnoteReference"/>
        </w:rPr>
        <w:footnoteReference w:id="12"/>
      </w:r>
      <w:r w:rsidR="00BB50E4">
        <w:t xml:space="preserve">  </w:t>
      </w:r>
    </w:p>
    <w:p w14:paraId="49DFA2AB" w14:textId="59A04942" w:rsidR="00151D9A" w:rsidRDefault="00EC7EB8" w:rsidP="00387978">
      <w:pPr>
        <w:spacing w:line="480" w:lineRule="auto"/>
        <w:ind w:firstLine="720"/>
      </w:pPr>
      <w:r>
        <w:lastRenderedPageBreak/>
        <w:t xml:space="preserve">In </w:t>
      </w:r>
      <w:r w:rsidR="00D40EE2">
        <w:t xml:space="preserve">a later case, </w:t>
      </w:r>
      <w:r>
        <w:t>Cas</w:t>
      </w:r>
      <w:r w:rsidR="00DA1C9D">
        <w:t>e No. 08</w:t>
      </w:r>
      <w:r>
        <w:t xml:space="preserve">-1094-EL-SSO, parties stipulated to extend </w:t>
      </w:r>
      <w:r w:rsidR="00D40EE2">
        <w:t xml:space="preserve">DP&amp;L's </w:t>
      </w:r>
      <w:r>
        <w:t>rate plan through December 31, 2012</w:t>
      </w:r>
      <w:r w:rsidR="00DA1C9D">
        <w:t xml:space="preserve"> and </w:t>
      </w:r>
      <w:r w:rsidR="00A074D2">
        <w:t>continue the RS</w:t>
      </w:r>
      <w:r w:rsidR="006E733F">
        <w:t xml:space="preserve">C </w:t>
      </w:r>
      <w:r w:rsidR="00A074D2">
        <w:t>as a non</w:t>
      </w:r>
      <w:r w:rsidR="00FB2179">
        <w:t>-</w:t>
      </w:r>
      <w:r w:rsidR="00A074D2">
        <w:t xml:space="preserve">bypassable </w:t>
      </w:r>
      <w:r w:rsidR="00EF4664">
        <w:t>charge to customer</w:t>
      </w:r>
      <w:r w:rsidR="00A074D2">
        <w:t>s</w:t>
      </w:r>
      <w:r w:rsidR="00EF4664">
        <w:t>.</w:t>
      </w:r>
      <w:r>
        <w:rPr>
          <w:rStyle w:val="FootnoteReference"/>
        </w:rPr>
        <w:footnoteReference w:id="13"/>
      </w:r>
      <w:r>
        <w:t xml:space="preserve">  The PUCO approved that stipulation</w:t>
      </w:r>
      <w:r w:rsidR="00DA1C9D">
        <w:rPr>
          <w:rStyle w:val="FootnoteReference"/>
        </w:rPr>
        <w:footnoteReference w:id="14"/>
      </w:r>
      <w:r>
        <w:t xml:space="preserve"> and for two more years customers paid </w:t>
      </w:r>
      <w:r w:rsidR="007D12B7">
        <w:t>$</w:t>
      </w:r>
      <w:r w:rsidR="006E733F">
        <w:t>76 million a year under the RSC charge.</w:t>
      </w:r>
      <w:r w:rsidR="00DA1C9D">
        <w:t xml:space="preserve">  </w:t>
      </w:r>
      <w:r w:rsidR="006E733F">
        <w:t>In total</w:t>
      </w:r>
      <w:r w:rsidR="00C142A6">
        <w:t>,</w:t>
      </w:r>
      <w:r w:rsidR="006E733F">
        <w:t xml:space="preserve"> DP&amp;L customers have paid $456 million to DP&amp;L for </w:t>
      </w:r>
      <w:r w:rsidR="007D12B7">
        <w:t xml:space="preserve">the </w:t>
      </w:r>
      <w:r w:rsidR="0021504F">
        <w:t>RSC charge</w:t>
      </w:r>
      <w:r w:rsidR="00151D9A">
        <w:t xml:space="preserve"> through 2012</w:t>
      </w:r>
      <w:r w:rsidR="007D12B7">
        <w:t xml:space="preserve">. </w:t>
      </w:r>
      <w:r w:rsidR="006E733F">
        <w:t xml:space="preserve">  </w:t>
      </w:r>
    </w:p>
    <w:p w14:paraId="01B34C8F" w14:textId="5870BDD0" w:rsidR="009A7E8F" w:rsidRDefault="00151D9A" w:rsidP="00377D37">
      <w:pPr>
        <w:spacing w:line="480" w:lineRule="auto"/>
        <w:ind w:firstLine="720"/>
      </w:pPr>
      <w:r>
        <w:t>In 2012 w</w:t>
      </w:r>
      <w:r w:rsidR="001053C5">
        <w:t xml:space="preserve">hen DP&amp;L filed its application for a market rate offer, it </w:t>
      </w:r>
      <w:r>
        <w:t>sought to continue</w:t>
      </w:r>
      <w:r w:rsidR="00FB2179">
        <w:t xml:space="preserve"> its </w:t>
      </w:r>
      <w:r>
        <w:t xml:space="preserve">RSC charge but decided to change </w:t>
      </w:r>
      <w:r w:rsidR="00C142A6">
        <w:t>the</w:t>
      </w:r>
      <w:r>
        <w:t xml:space="preserve"> name to a</w:t>
      </w:r>
      <w:r w:rsidR="001053C5">
        <w:t>n "electric service stability charge (ESSC)</w:t>
      </w:r>
      <w:r>
        <w:t>."</w:t>
      </w:r>
      <w:r w:rsidR="001053C5">
        <w:t xml:space="preserve"> </w:t>
      </w:r>
      <w:r>
        <w:t xml:space="preserve">In its application it noted </w:t>
      </w:r>
      <w:r w:rsidR="001053C5">
        <w:t xml:space="preserve">that </w:t>
      </w:r>
      <w:r>
        <w:t xml:space="preserve">the ESSC charge </w:t>
      </w:r>
      <w:r w:rsidR="001053C5">
        <w:t xml:space="preserve">would </w:t>
      </w:r>
      <w:r w:rsidR="003D3D67">
        <w:t>"</w:t>
      </w:r>
      <w:r w:rsidR="001053C5">
        <w:t xml:space="preserve">equal the rate formerly charged as </w:t>
      </w:r>
      <w:r>
        <w:t>the rate stabilization charge."</w:t>
      </w:r>
      <w:r>
        <w:rPr>
          <w:rStyle w:val="FootnoteReference"/>
        </w:rPr>
        <w:footnoteReference w:id="15"/>
      </w:r>
      <w:r>
        <w:t xml:space="preserve">  DP&amp;L described the rate as compensating the company "for maintaining electric service stability for the Company and its customers."</w:t>
      </w:r>
      <w:r>
        <w:rPr>
          <w:rStyle w:val="FootnoteReference"/>
        </w:rPr>
        <w:footnoteReference w:id="16"/>
      </w:r>
      <w:r>
        <w:t xml:space="preserve"> </w:t>
      </w:r>
      <w:r w:rsidR="004E3930">
        <w:t xml:space="preserve"> L</w:t>
      </w:r>
      <w:r>
        <w:t>ate</w:t>
      </w:r>
      <w:r w:rsidR="00387978">
        <w:t xml:space="preserve">r that year, DP&amp;L withdrew its </w:t>
      </w:r>
      <w:r>
        <w:t>application for a market rate offer, and filed an</w:t>
      </w:r>
      <w:r w:rsidR="003A3C90">
        <w:t xml:space="preserve"> ESP with a </w:t>
      </w:r>
      <w:r>
        <w:t>"service stability rider" to "ensure the Company's financial integrity."</w:t>
      </w:r>
      <w:r>
        <w:rPr>
          <w:rStyle w:val="FootnoteReference"/>
        </w:rPr>
        <w:footnoteReference w:id="17"/>
      </w:r>
      <w:r>
        <w:t xml:space="preserve"> </w:t>
      </w:r>
      <w:r w:rsidR="004E3930">
        <w:t xml:space="preserve">That </w:t>
      </w:r>
      <w:r w:rsidR="003D3D67">
        <w:t xml:space="preserve">proposed </w:t>
      </w:r>
      <w:r w:rsidR="00FB2179">
        <w:t xml:space="preserve">service stability charge was essentially </w:t>
      </w:r>
      <w:r w:rsidR="003F0011">
        <w:t xml:space="preserve">no </w:t>
      </w:r>
      <w:r w:rsidR="004E3930">
        <w:t xml:space="preserve">different than </w:t>
      </w:r>
      <w:r w:rsidR="00FB2179">
        <w:t xml:space="preserve">the two charges before it -- </w:t>
      </w:r>
      <w:r w:rsidR="004E3930">
        <w:t>the ESSC charge</w:t>
      </w:r>
      <w:r w:rsidR="003D3D67">
        <w:t xml:space="preserve"> and the RSC charge</w:t>
      </w:r>
      <w:r w:rsidR="00FB2179">
        <w:t>.  However</w:t>
      </w:r>
      <w:r w:rsidR="004E3930">
        <w:t>,</w:t>
      </w:r>
      <w:r w:rsidR="00FB2179">
        <w:t xml:space="preserve"> the service stability charge </w:t>
      </w:r>
      <w:r w:rsidR="003D3D67">
        <w:t>sought to collect even more money from customers</w:t>
      </w:r>
      <w:r w:rsidR="00FB2179">
        <w:t xml:space="preserve"> --this time </w:t>
      </w:r>
      <w:r w:rsidR="005051A4">
        <w:t xml:space="preserve">$137.5 </w:t>
      </w:r>
      <w:r w:rsidR="005051A4">
        <w:lastRenderedPageBreak/>
        <w:t>million per</w:t>
      </w:r>
      <w:r w:rsidR="00E16B4A">
        <w:t xml:space="preserve"> </w:t>
      </w:r>
      <w:r w:rsidR="005051A4">
        <w:t>year throughout the ESP term</w:t>
      </w:r>
      <w:r w:rsidR="003D3D67">
        <w:t>.</w:t>
      </w:r>
      <w:r w:rsidR="005051A4">
        <w:rPr>
          <w:rStyle w:val="FootnoteReference"/>
        </w:rPr>
        <w:footnoteReference w:id="18"/>
      </w:r>
      <w:r w:rsidR="003D3D67">
        <w:t xml:space="preserve">  The service stability charge was the very charge the Ohio Supreme Court struck down as an unlawful transition charge.</w:t>
      </w:r>
      <w:r w:rsidR="005051A4">
        <w:rPr>
          <w:rStyle w:val="FootnoteReference"/>
        </w:rPr>
        <w:footnoteReference w:id="19"/>
      </w:r>
      <w:r>
        <w:t xml:space="preserve">  </w:t>
      </w:r>
    </w:p>
    <w:p w14:paraId="588008C1" w14:textId="3976265D" w:rsidR="0091660D" w:rsidRDefault="003D3D67" w:rsidP="00387978">
      <w:pPr>
        <w:spacing w:line="480" w:lineRule="auto"/>
        <w:ind w:firstLine="720"/>
      </w:pPr>
      <w:r>
        <w:t>T</w:t>
      </w:r>
      <w:r w:rsidR="0021504F">
        <w:t xml:space="preserve">he RSC charge </w:t>
      </w:r>
      <w:r>
        <w:t xml:space="preserve">DP&amp;L seeks to reinstate </w:t>
      </w:r>
      <w:r w:rsidR="0021504F">
        <w:t xml:space="preserve">looks to be nothing more than a transition charge designed to </w:t>
      </w:r>
      <w:r w:rsidR="007A1411">
        <w:t>subsidize DP&amp;L and its power plants.  The RSC was arbitrarily set at 11% of DP&amp;L's generation rate.</w:t>
      </w:r>
      <w:r w:rsidR="007A1411">
        <w:rPr>
          <w:rStyle w:val="FootnoteReference"/>
        </w:rPr>
        <w:footnoteReference w:id="20"/>
      </w:r>
      <w:r w:rsidR="008A0617">
        <w:t xml:space="preserve"> </w:t>
      </w:r>
      <w:r w:rsidR="007A1411">
        <w:t>That 11% RS</w:t>
      </w:r>
      <w:r w:rsidR="00C30D05">
        <w:t>C</w:t>
      </w:r>
      <w:r w:rsidR="007A1411">
        <w:t xml:space="preserve"> equated to $76 million </w:t>
      </w:r>
      <w:r w:rsidR="00C30D05">
        <w:t>in revenues</w:t>
      </w:r>
      <w:r w:rsidR="00C142A6">
        <w:t xml:space="preserve"> that consumers paid</w:t>
      </w:r>
      <w:r w:rsidR="00C30D05">
        <w:t>.</w:t>
      </w:r>
      <w:r w:rsidR="00F2581B">
        <w:rPr>
          <w:rStyle w:val="FootnoteReference"/>
        </w:rPr>
        <w:footnoteReference w:id="21"/>
      </w:r>
      <w:r w:rsidR="00C30D05">
        <w:t xml:space="preserve">  </w:t>
      </w:r>
      <w:r w:rsidR="008A0617">
        <w:t>Under the law (R.C. 4928.38</w:t>
      </w:r>
      <w:r w:rsidR="00D968AF">
        <w:t>, 4928.39 and 4928.</w:t>
      </w:r>
      <w:r w:rsidR="00482F5C">
        <w:t>40</w:t>
      </w:r>
      <w:r w:rsidR="008A0617">
        <w:t xml:space="preserve">) following the market development period, DP&amp;L is supposed to be </w:t>
      </w:r>
      <w:r w:rsidR="003F0011">
        <w:t>"</w:t>
      </w:r>
      <w:r w:rsidR="008A0617">
        <w:t>fully on its own in the competitive market.</w:t>
      </w:r>
      <w:r w:rsidR="003F0011">
        <w:t>"</w:t>
      </w:r>
      <w:r w:rsidR="008A0617">
        <w:t xml:space="preserve"> The market development period ended for DP&amp;L in 2005.  </w:t>
      </w:r>
    </w:p>
    <w:p w14:paraId="568CAC91" w14:textId="1E3E6F89" w:rsidR="009A7E8F" w:rsidRDefault="008A0617" w:rsidP="00387978">
      <w:pPr>
        <w:spacing w:line="480" w:lineRule="auto"/>
        <w:ind w:firstLine="720"/>
      </w:pPr>
      <w:r>
        <w:t>The law prohibits the PUCO from approving the collection of transition revenues or "equivalent revenues" from DP&amp;L customers after 2005.  The recent Supreme Court precedent</w:t>
      </w:r>
      <w:r>
        <w:rPr>
          <w:rStyle w:val="FootnoteReference"/>
        </w:rPr>
        <w:footnoteReference w:id="22"/>
      </w:r>
      <w:r>
        <w:t xml:space="preserve"> affirmed this principle</w:t>
      </w:r>
      <w:r w:rsidR="00D40EE2">
        <w:t xml:space="preserve"> when it struck down both AEP Ohio's and DP&amp;L's stability charge</w:t>
      </w:r>
      <w:r>
        <w:t>.</w:t>
      </w:r>
      <w:r w:rsidR="003D3D67">
        <w:rPr>
          <w:rStyle w:val="FootnoteReference"/>
        </w:rPr>
        <w:footnoteReference w:id="23"/>
      </w:r>
      <w:r>
        <w:t xml:space="preserve">  </w:t>
      </w:r>
      <w:r w:rsidR="00D40EE2">
        <w:t xml:space="preserve">The RSC charge gave </w:t>
      </w:r>
      <w:r w:rsidR="00C30D05">
        <w:t xml:space="preserve">DP&amp;L </w:t>
      </w:r>
      <w:r w:rsidR="00D40EE2">
        <w:t xml:space="preserve">transition revenues or </w:t>
      </w:r>
      <w:r w:rsidR="00C30D05">
        <w:t>equivalent revenues that w</w:t>
      </w:r>
      <w:r w:rsidR="0091660D">
        <w:t>ere</w:t>
      </w:r>
      <w:r w:rsidR="00C30D05">
        <w:t xml:space="preserve"> used to subsidize generation owned by it and its affiliates.</w:t>
      </w:r>
      <w:r w:rsidR="00D40EE2">
        <w:t xml:space="preserve">  Like DP&amp;L's stability rider (</w:t>
      </w:r>
      <w:r w:rsidR="00C30D05">
        <w:t xml:space="preserve">SSR) that the Court just struck down, the RSC charge is an unlawful transition charge.  </w:t>
      </w:r>
      <w:r w:rsidR="00D82507">
        <w:t xml:space="preserve">The PUCO should revisit its earlier ruling approving the </w:t>
      </w:r>
      <w:r w:rsidR="00D82507">
        <w:lastRenderedPageBreak/>
        <w:t xml:space="preserve">RSC, given the Court's recent </w:t>
      </w:r>
      <w:r w:rsidR="00D40EE2">
        <w:t>rulings</w:t>
      </w:r>
      <w:r w:rsidR="00D82507">
        <w:t>.</w:t>
      </w:r>
      <w:r w:rsidR="00D82507">
        <w:rPr>
          <w:rStyle w:val="FootnoteReference"/>
        </w:rPr>
        <w:footnoteReference w:id="24"/>
      </w:r>
      <w:r w:rsidR="00D82507">
        <w:t xml:space="preserve"> The Court's rulings justify a change in the PUCO's decision.</w:t>
      </w:r>
      <w:r w:rsidR="00D40EE2">
        <w:t xml:space="preserve"> </w:t>
      </w:r>
      <w:r w:rsidR="00C30D05">
        <w:t xml:space="preserve">The PUCO should reject DP&amp;L's tariff in this respect.  </w:t>
      </w:r>
    </w:p>
    <w:p w14:paraId="6DC50D5E" w14:textId="5F0EBBC2" w:rsidR="002640D7" w:rsidRDefault="008A0617" w:rsidP="00E16B4A">
      <w:pPr>
        <w:spacing w:line="480" w:lineRule="auto"/>
        <w:ind w:firstLine="720"/>
      </w:pPr>
      <w:r>
        <w:t xml:space="preserve">Even if one were to conclude that the RSC charge is not a transition charge, but a POLR charge, the PUCO has ruled that POLR </w:t>
      </w:r>
      <w:r w:rsidR="00EB6D77">
        <w:t>charges must be based on the cost to utilities to be the POLR and carry the risks associated with being the POLR.</w:t>
      </w:r>
      <w:r w:rsidR="00EB6D77">
        <w:rPr>
          <w:rStyle w:val="FootnoteReference"/>
        </w:rPr>
        <w:footnoteReference w:id="25"/>
      </w:r>
      <w:r w:rsidR="00EB6D77">
        <w:t xml:space="preserve"> </w:t>
      </w:r>
      <w:r w:rsidR="00144217">
        <w:t>The PUCO has further defined those risks to exclude migration risk, but include risks associated with standing ready to accept returning customers.</w:t>
      </w:r>
      <w:r w:rsidR="00144217">
        <w:rPr>
          <w:rStyle w:val="FootnoteReference"/>
        </w:rPr>
        <w:footnoteReference w:id="26"/>
      </w:r>
      <w:r w:rsidR="00144217">
        <w:t xml:space="preserve"> DP&amp;L's RSC has not been shown to relate to POLR costs or the risks associa</w:t>
      </w:r>
      <w:r w:rsidR="0055211C">
        <w:t xml:space="preserve">ted with POLR.  The PUCO should </w:t>
      </w:r>
      <w:r w:rsidR="003F0011">
        <w:t xml:space="preserve">respect the Court's </w:t>
      </w:r>
      <w:r w:rsidR="003B02B2">
        <w:t>ruling</w:t>
      </w:r>
      <w:r w:rsidR="003F0011">
        <w:t xml:space="preserve"> and not allow the RSC</w:t>
      </w:r>
      <w:r w:rsidR="003F0011">
        <w:rPr>
          <w:i/>
        </w:rPr>
        <w:t>.</w:t>
      </w:r>
      <w:r w:rsidRPr="00144217">
        <w:rPr>
          <w:i/>
        </w:rPr>
        <w:t xml:space="preserve"> </w:t>
      </w:r>
      <w:r w:rsidR="00D40EE2">
        <w:t>The Court's rulings (and the PUCO</w:t>
      </w:r>
      <w:r w:rsidR="00A0479F">
        <w:t>’s</w:t>
      </w:r>
      <w:r w:rsidR="00D40EE2">
        <w:t xml:space="preserve"> </w:t>
      </w:r>
      <w:r w:rsidR="005051A4">
        <w:t xml:space="preserve">later </w:t>
      </w:r>
      <w:r w:rsidR="00D40EE2">
        <w:t xml:space="preserve">rulings) </w:t>
      </w:r>
      <w:r w:rsidR="00A0479F">
        <w:t xml:space="preserve">compel </w:t>
      </w:r>
      <w:r w:rsidR="00D40EE2">
        <w:t xml:space="preserve">the PUCO </w:t>
      </w:r>
      <w:r w:rsidR="00A0479F">
        <w:t>to</w:t>
      </w:r>
      <w:r w:rsidR="0055211C">
        <w:t xml:space="preserve"> reject Rider RSC.  </w:t>
      </w:r>
      <w:r w:rsidR="001959CD">
        <w:t xml:space="preserve"> </w:t>
      </w:r>
    </w:p>
    <w:p w14:paraId="3B9EC60F" w14:textId="3063F36A" w:rsidR="003A3C90" w:rsidRPr="003A3C90" w:rsidRDefault="00387978" w:rsidP="003B02B2">
      <w:pPr>
        <w:pStyle w:val="Heading2"/>
      </w:pPr>
      <w:r>
        <w:t xml:space="preserve">C. </w:t>
      </w:r>
      <w:r>
        <w:tab/>
      </w:r>
      <w:r w:rsidR="002640D7">
        <w:t xml:space="preserve">If the PUCO </w:t>
      </w:r>
      <w:r w:rsidR="009A7E8F">
        <w:t xml:space="preserve">grants </w:t>
      </w:r>
      <w:r w:rsidR="002640D7">
        <w:t xml:space="preserve">DP&amp;L's Motion to withdraw its ESP </w:t>
      </w:r>
      <w:r w:rsidR="009A7E8F">
        <w:t>(which it should not do)</w:t>
      </w:r>
      <w:r w:rsidR="00EE2B6E">
        <w:t>,</w:t>
      </w:r>
      <w:r w:rsidR="002640D7">
        <w:t xml:space="preserve"> the PUCO should </w:t>
      </w:r>
      <w:r w:rsidR="005051A4">
        <w:t xml:space="preserve">not allow </w:t>
      </w:r>
      <w:r w:rsidR="00B76484">
        <w:t xml:space="preserve">DP&amp;L </w:t>
      </w:r>
      <w:r w:rsidR="005051A4">
        <w:t xml:space="preserve">to charge </w:t>
      </w:r>
      <w:r w:rsidR="00262327">
        <w:t>customers</w:t>
      </w:r>
      <w:r w:rsidR="005051A4">
        <w:t xml:space="preserve"> a</w:t>
      </w:r>
      <w:r w:rsidR="00EE2B6E">
        <w:t>n</w:t>
      </w:r>
      <w:r w:rsidR="002640D7">
        <w:t xml:space="preserve"> $11.87 monthly Environmental Investment Charge since it is </w:t>
      </w:r>
      <w:r w:rsidR="005C1F42">
        <w:t xml:space="preserve">a transition charge and is </w:t>
      </w:r>
      <w:r w:rsidR="002640D7">
        <w:t>already being collected through SSO generatio</w:t>
      </w:r>
      <w:r w:rsidR="00D40EE2">
        <w:t>n rates charged to customers</w:t>
      </w:r>
      <w:r w:rsidR="002640D7">
        <w:t>.</w:t>
      </w:r>
    </w:p>
    <w:p w14:paraId="5521117A" w14:textId="581F3D97" w:rsidR="00D40EE2" w:rsidRDefault="00BF120C" w:rsidP="00BF120C">
      <w:pPr>
        <w:spacing w:line="480" w:lineRule="auto"/>
      </w:pPr>
      <w:r>
        <w:tab/>
        <w:t>Part of DP&amp;L's plan to increase rates to customers is based on reinstating an $11.87 per month Environmental Investment Charge ("EIR"</w:t>
      </w:r>
      <w:r w:rsidR="00EE2B6E">
        <w:t xml:space="preserve"> or “Environmental Charge”</w:t>
      </w:r>
      <w:r>
        <w:t xml:space="preserve">).  The </w:t>
      </w:r>
      <w:r w:rsidR="00EE2B6E">
        <w:t>Environmental Charge</w:t>
      </w:r>
      <w:r>
        <w:t xml:space="preserve"> was first approved by the PUCO in Case No. 05-276-EL-AIR, as part </w:t>
      </w:r>
      <w:r w:rsidR="0055211C">
        <w:t xml:space="preserve">of continuing </w:t>
      </w:r>
      <w:r w:rsidR="008D2F4D">
        <w:t xml:space="preserve">the Utility's earlier approved </w:t>
      </w:r>
      <w:r>
        <w:t>rate stabilization plan.</w:t>
      </w:r>
      <w:r>
        <w:rPr>
          <w:rStyle w:val="FootnoteReference"/>
        </w:rPr>
        <w:footnoteReference w:id="27"/>
      </w:r>
      <w:r>
        <w:t xml:space="preserve"> The EIR charge was to compensate DP&amp;L for invest</w:t>
      </w:r>
      <w:r w:rsidR="0055211C">
        <w:t xml:space="preserve">ments that </w:t>
      </w:r>
      <w:r w:rsidR="00B01AC5">
        <w:t>it</w:t>
      </w:r>
      <w:r w:rsidR="0055211C">
        <w:t xml:space="preserve"> mad</w:t>
      </w:r>
      <w:r>
        <w:t xml:space="preserve">e in its power </w:t>
      </w:r>
      <w:r>
        <w:lastRenderedPageBreak/>
        <w:t>plants t</w:t>
      </w:r>
      <w:r w:rsidR="0055211C">
        <w:t>o address</w:t>
      </w:r>
      <w:r>
        <w:t xml:space="preserve"> U.S. Environmental Protection Agency regulations.</w:t>
      </w:r>
      <w:r>
        <w:rPr>
          <w:rStyle w:val="FootnoteReference"/>
        </w:rPr>
        <w:footnoteReference w:id="28"/>
      </w:r>
      <w:r w:rsidR="008D2F4D">
        <w:t xml:space="preserve"> </w:t>
      </w:r>
      <w:r w:rsidR="005C1F42">
        <w:t>Over the objections of OCC, t</w:t>
      </w:r>
      <w:r>
        <w:t>he PUCO approved the collection of the EIR charge starting January 1, 2007 through December 31, 2010.</w:t>
      </w:r>
      <w:r w:rsidR="00B470EE">
        <w:rPr>
          <w:rStyle w:val="FootnoteReference"/>
        </w:rPr>
        <w:footnoteReference w:id="29"/>
      </w:r>
      <w:r>
        <w:t xml:space="preserve">  The EIR charge was set at 5.4% of DP&amp;L's generation rate on January 1, 2004, and increased an additional 5.4% each year. </w:t>
      </w:r>
      <w:r>
        <w:rPr>
          <w:rStyle w:val="FootnoteReference"/>
        </w:rPr>
        <w:footnoteReference w:id="30"/>
      </w:r>
      <w:r>
        <w:t xml:space="preserve"> At that time, it was estimated that </w:t>
      </w:r>
      <w:r w:rsidR="00B470EE">
        <w:t xml:space="preserve">DP&amp;L would </w:t>
      </w:r>
      <w:r w:rsidR="00853FAB">
        <w:t>charge Dayton-area consumers a staggering</w:t>
      </w:r>
      <w:r w:rsidR="00B470EE">
        <w:t xml:space="preserve"> $374 million through the EIR </w:t>
      </w:r>
      <w:r w:rsidR="007B5F43">
        <w:t>during the four year period</w:t>
      </w:r>
      <w:r w:rsidR="00B470EE">
        <w:t>.</w:t>
      </w:r>
      <w:r w:rsidR="00B470EE">
        <w:rPr>
          <w:rStyle w:val="FootnoteReference"/>
        </w:rPr>
        <w:footnoteReference w:id="31"/>
      </w:r>
    </w:p>
    <w:p w14:paraId="06A5C7DD" w14:textId="77777777" w:rsidR="003F0011" w:rsidRDefault="005C1F42" w:rsidP="003A3C90">
      <w:pPr>
        <w:spacing w:line="480" w:lineRule="auto"/>
        <w:ind w:firstLine="720"/>
      </w:pPr>
      <w:r>
        <w:t>DP&amp;L's rate stabilization plan was extended through December 31, 2012, by agreement (approved by the PUCO) in DP&amp;L's ESP I case</w:t>
      </w:r>
      <w:r w:rsidR="00B01AC5">
        <w:t>.</w:t>
      </w:r>
      <w:r>
        <w:rPr>
          <w:rStyle w:val="FootnoteReference"/>
        </w:rPr>
        <w:footnoteReference w:id="32"/>
      </w:r>
      <w:r>
        <w:t xml:space="preserve"> </w:t>
      </w:r>
      <w:r w:rsidR="007B5F43">
        <w:t>As part of the agreement the EIR charge continued to be collected from customers.</w:t>
      </w:r>
      <w:r w:rsidR="007B5F43" w:rsidRPr="007B5F43">
        <w:rPr>
          <w:rStyle w:val="FootnoteReference"/>
        </w:rPr>
        <w:t xml:space="preserve"> </w:t>
      </w:r>
      <w:r w:rsidR="007B5F43">
        <w:rPr>
          <w:rStyle w:val="FootnoteReference"/>
        </w:rPr>
        <w:footnoteReference w:id="33"/>
      </w:r>
      <w:r w:rsidR="007B5F43">
        <w:t xml:space="preserve"> The tariffs, approved by the PUCO, confirm that the EIR charge was in effect and </w:t>
      </w:r>
      <w:r w:rsidR="00DB573D">
        <w:t xml:space="preserve">used to </w:t>
      </w:r>
      <w:r w:rsidR="007B5F43">
        <w:t>collect money from customers during 2011 and 2012.</w:t>
      </w:r>
      <w:r w:rsidR="007B5F43">
        <w:rPr>
          <w:rStyle w:val="FootnoteReference"/>
        </w:rPr>
        <w:footnoteReference w:id="34"/>
      </w:r>
    </w:p>
    <w:p w14:paraId="70A861F7" w14:textId="20F10FA7" w:rsidR="00E512A3" w:rsidRDefault="005D06BB" w:rsidP="003A3C90">
      <w:pPr>
        <w:spacing w:line="480" w:lineRule="auto"/>
        <w:ind w:firstLine="720"/>
      </w:pPr>
      <w:r>
        <w:t xml:space="preserve"> </w:t>
      </w:r>
      <w:r w:rsidR="00E512A3">
        <w:t>In</w:t>
      </w:r>
      <w:r w:rsidR="007B5F43">
        <w:t xml:space="preserve"> 2012, when DP&amp;L filed its application for a market rate offer, it proposed to withdraw the EIR charge because "the rate has been included in the base generation rate contained in the Standard Offer Tariffs listed above."</w:t>
      </w:r>
      <w:r w:rsidR="007B5F43">
        <w:rPr>
          <w:rStyle w:val="FootnoteReference"/>
        </w:rPr>
        <w:footnoteReference w:id="35"/>
      </w:r>
      <w:r w:rsidR="007B5F43">
        <w:t xml:space="preserve">  That application was </w:t>
      </w:r>
      <w:r w:rsidR="00E512A3">
        <w:t xml:space="preserve">later </w:t>
      </w:r>
      <w:r w:rsidR="007B5F43">
        <w:t>withdrawn</w:t>
      </w:r>
      <w:r w:rsidR="00E512A3">
        <w:t xml:space="preserve">.  But in its subsequent </w:t>
      </w:r>
      <w:r w:rsidR="007B5F43">
        <w:t xml:space="preserve">application </w:t>
      </w:r>
      <w:r w:rsidR="00E512A3">
        <w:t>(ESP II),</w:t>
      </w:r>
      <w:r w:rsidR="007B5F43">
        <w:t xml:space="preserve"> the same proposal</w:t>
      </w:r>
      <w:r w:rsidR="00E512A3">
        <w:t xml:space="preserve"> appeared</w:t>
      </w:r>
      <w:r w:rsidR="007B5F43">
        <w:t xml:space="preserve">:  </w:t>
      </w:r>
      <w:r w:rsidR="007B5F43">
        <w:lastRenderedPageBreak/>
        <w:t>withdraw the EIR charge "as that rate has been included in the base generation rate contained in the Standard Offer Tariffs listed above."</w:t>
      </w:r>
      <w:r w:rsidR="007B5F43">
        <w:rPr>
          <w:rStyle w:val="FootnoteReference"/>
        </w:rPr>
        <w:footnoteReference w:id="36"/>
      </w:r>
      <w:r w:rsidR="00E512A3">
        <w:t xml:space="preserve"> Ms. Seger Lawson described the proposal:</w:t>
      </w:r>
    </w:p>
    <w:p w14:paraId="06C3291C" w14:textId="77777777" w:rsidR="00E512A3" w:rsidRDefault="00E512A3" w:rsidP="003A42EF">
      <w:pPr>
        <w:ind w:left="1440" w:right="720"/>
      </w:pPr>
      <w:r>
        <w:t xml:space="preserve">DP&amp;L's base generation rates are fixed.  Through this filing DP&amp;L has merged its environmental investment rider into the base generation rates.  The base generation rates as proposed in Tariff Sheet Nos. G10-G18 of this filing </w:t>
      </w:r>
      <w:r w:rsidR="00262327">
        <w:t>reflects</w:t>
      </w:r>
      <w:r>
        <w:t xml:space="preserve"> the percentage of load that will be supplied by DP&amp;L.  In other words, the base generation rate for the period beginning January 1, 2013 and going through May 31, 2014 is designed to reflect 90% of DP&amp;L's base generation rate and environmental investment rider as those charges are</w:t>
      </w:r>
      <w:r w:rsidR="00151E86">
        <w:t xml:space="preserve"> in place as of March 1, 2012.</w:t>
      </w:r>
      <w:r w:rsidR="00151E86">
        <w:rPr>
          <w:rStyle w:val="FootnoteReference"/>
        </w:rPr>
        <w:footnoteReference w:id="37"/>
      </w:r>
      <w:r>
        <w:t xml:space="preserve"> </w:t>
      </w:r>
    </w:p>
    <w:p w14:paraId="080CCBB3" w14:textId="77777777" w:rsidR="00387978" w:rsidRDefault="00387978" w:rsidP="00387978">
      <w:pPr>
        <w:ind w:left="1440" w:right="1440"/>
      </w:pPr>
    </w:p>
    <w:p w14:paraId="6DEF522A" w14:textId="289AABAC" w:rsidR="007B5F43" w:rsidRDefault="00E512A3" w:rsidP="005D06BB">
      <w:pPr>
        <w:spacing w:line="480" w:lineRule="auto"/>
        <w:ind w:firstLine="720"/>
      </w:pPr>
      <w:r>
        <w:t>The PUCO</w:t>
      </w:r>
      <w:r w:rsidR="008D6E79">
        <w:t>,</w:t>
      </w:r>
      <w:r>
        <w:t xml:space="preserve"> in modifying and approving DP&amp;L'</w:t>
      </w:r>
      <w:r w:rsidR="008D6E79">
        <w:t>s</w:t>
      </w:r>
      <w:r>
        <w:t xml:space="preserve"> ESP application, adopted DP&amp;L's proposal to merge the EIR into base generation rates, referring to Ms. Seger-Lawson's testimony describing that approach.</w:t>
      </w:r>
      <w:r w:rsidRPr="00E512A3">
        <w:rPr>
          <w:rStyle w:val="FootnoteReference"/>
        </w:rPr>
        <w:t xml:space="preserve"> </w:t>
      </w:r>
      <w:r>
        <w:rPr>
          <w:rStyle w:val="FootnoteReference"/>
        </w:rPr>
        <w:footnoteReference w:id="38"/>
      </w:r>
      <w:r w:rsidR="00151E86">
        <w:t xml:space="preserve"> In the tariffs filing to implement the ESP rates, DP&amp;L withdrew the EIR charge,</w:t>
      </w:r>
      <w:r w:rsidR="00151E86">
        <w:rPr>
          <w:rStyle w:val="FootnoteReference"/>
        </w:rPr>
        <w:footnoteReference w:id="39"/>
      </w:r>
      <w:r w:rsidR="00151E86">
        <w:t xml:space="preserve"> and the PUCO approved the tariffs.</w:t>
      </w:r>
      <w:r w:rsidR="00151E86">
        <w:rPr>
          <w:rStyle w:val="FootnoteReference"/>
        </w:rPr>
        <w:footnoteReference w:id="40"/>
      </w:r>
      <w:r w:rsidR="00151E86">
        <w:t xml:space="preserve">  </w:t>
      </w:r>
    </w:p>
    <w:p w14:paraId="113001AF" w14:textId="77777777" w:rsidR="00151E86" w:rsidRDefault="00151E86" w:rsidP="005D06BB">
      <w:pPr>
        <w:spacing w:line="480" w:lineRule="auto"/>
        <w:ind w:firstLine="720"/>
      </w:pPr>
      <w:r>
        <w:t xml:space="preserve">But now DP&amp;L wants to go back to the EIR that was in place in 2012 and collect those revenues as part of its proposal to collect more money from customers.  The PUCO should stop DP&amp;L from doing this for two reasons.  </w:t>
      </w:r>
    </w:p>
    <w:p w14:paraId="79BD43C1" w14:textId="77777777" w:rsidR="00151E86" w:rsidRDefault="00151E86" w:rsidP="005D06BB">
      <w:pPr>
        <w:spacing w:line="480" w:lineRule="auto"/>
        <w:ind w:firstLine="720"/>
      </w:pPr>
      <w:r>
        <w:t>First, the EIR charge is already being collected through DP&amp;L's base generation rates, as discussed above.  If the PUCO allows an additional EIR charge, it will be allowing DP&amp;L to charge customers twice.  That is unreasonable.</w:t>
      </w:r>
    </w:p>
    <w:p w14:paraId="6CDD3141" w14:textId="1DC73892" w:rsidR="00925470" w:rsidRDefault="00151E86" w:rsidP="005D06BB">
      <w:pPr>
        <w:spacing w:line="480" w:lineRule="auto"/>
        <w:ind w:firstLine="720"/>
      </w:pPr>
      <w:r>
        <w:lastRenderedPageBreak/>
        <w:t xml:space="preserve">Second, charging customers for the EIR charge would be unlawful because the EIR collects the very sort of transition charges the Supreme Court just rejected.  </w:t>
      </w:r>
      <w:r w:rsidR="00925470">
        <w:t xml:space="preserve">The EIR charge is a subsidy for DP&amp;L (and its affiliates) power plants.  It is intended to </w:t>
      </w:r>
      <w:r w:rsidR="003F776D">
        <w:t xml:space="preserve">subsidize </w:t>
      </w:r>
      <w:r w:rsidR="00925470">
        <w:t>DP&amp;L</w:t>
      </w:r>
      <w:r w:rsidR="003F776D">
        <w:t xml:space="preserve"> with consumer-funded</w:t>
      </w:r>
      <w:r w:rsidR="00925470">
        <w:t xml:space="preserve"> transition revenues or equivalent revenues long after DP&amp;L's market development period has ended (2005).  But Ohio law (</w:t>
      </w:r>
      <w:r w:rsidR="006B28B0">
        <w:t>R.C. 4928.38, 4928.39 and 4928.40</w:t>
      </w:r>
      <w:r w:rsidR="00925470">
        <w:t xml:space="preserve">) prohibits the PUCO from approving the collection of transition revenues or "equivalent revenues" from DP&amp;L customers after 2005.  </w:t>
      </w:r>
      <w:r w:rsidR="003F0011">
        <w:t>Two</w:t>
      </w:r>
      <w:r w:rsidR="00925470">
        <w:t xml:space="preserve"> recent Supreme Court </w:t>
      </w:r>
      <w:r w:rsidR="003F0011">
        <w:t>cases</w:t>
      </w:r>
      <w:r w:rsidR="00925470">
        <w:rPr>
          <w:rStyle w:val="FootnoteReference"/>
        </w:rPr>
        <w:footnoteReference w:id="41"/>
      </w:r>
      <w:r w:rsidR="004C47B8">
        <w:t xml:space="preserve"> affirmed this principle when</w:t>
      </w:r>
      <w:r w:rsidR="00925470">
        <w:t xml:space="preserve"> both AEP Ohio's and DP&amp;L's stability charge</w:t>
      </w:r>
      <w:r w:rsidR="00377D37">
        <w:t xml:space="preserve"> were struck down</w:t>
      </w:r>
      <w:r w:rsidR="00925470">
        <w:t xml:space="preserve">.  </w:t>
      </w:r>
      <w:bookmarkStart w:id="0" w:name="_GoBack"/>
      <w:bookmarkEnd w:id="0"/>
    </w:p>
    <w:p w14:paraId="7CB78B69" w14:textId="63384906" w:rsidR="00925470" w:rsidRDefault="00925470" w:rsidP="005D06BB">
      <w:pPr>
        <w:spacing w:line="480" w:lineRule="auto"/>
        <w:ind w:firstLine="720"/>
      </w:pPr>
      <w:r>
        <w:t xml:space="preserve">The EIR charge gave DP&amp;L transition revenues </w:t>
      </w:r>
      <w:r w:rsidR="00387978">
        <w:t>or equivalent revenues that were</w:t>
      </w:r>
      <w:r>
        <w:t xml:space="preserve"> used </w:t>
      </w:r>
      <w:r w:rsidR="00D621AB">
        <w:t>as a consumer</w:t>
      </w:r>
      <w:r>
        <w:t xml:space="preserve"> subsid</w:t>
      </w:r>
      <w:r w:rsidR="00D621AB">
        <w:t>y of</w:t>
      </w:r>
      <w:r>
        <w:t xml:space="preserve"> investment in DP&amp;L's power plants.  Like DP&amp;L's stability rider (SSR) that the Court just struck down, the EIR charge is an unlawful transition charge.  </w:t>
      </w:r>
      <w:r w:rsidR="0055211C">
        <w:t xml:space="preserve">The PUCO should revisit its decision approving the EIR charge.  The PUCO </w:t>
      </w:r>
      <w:r w:rsidR="00CA7B29">
        <w:t xml:space="preserve">should </w:t>
      </w:r>
      <w:r w:rsidR="0055211C">
        <w:t xml:space="preserve">do so because of the Court's </w:t>
      </w:r>
      <w:r w:rsidR="00B01AC5">
        <w:t xml:space="preserve">recent </w:t>
      </w:r>
      <w:r w:rsidR="0055211C">
        <w:t xml:space="preserve">rulings on transition charges.  </w:t>
      </w:r>
      <w:r>
        <w:t xml:space="preserve">The PUCO should reject DP&amp;L's tariff in this respect.  </w:t>
      </w:r>
    </w:p>
    <w:p w14:paraId="286C44A4" w14:textId="62541531" w:rsidR="00E16B4A" w:rsidRDefault="00925470" w:rsidP="005D06BB">
      <w:pPr>
        <w:spacing w:line="480" w:lineRule="auto"/>
        <w:ind w:firstLine="720"/>
      </w:pPr>
      <w:r>
        <w:t>And if the PUCO finds</w:t>
      </w:r>
      <w:r w:rsidR="00CA7B29">
        <w:t xml:space="preserve"> (which it should)</w:t>
      </w:r>
      <w:r>
        <w:t xml:space="preserve"> that the EIR charge is an unlawful transition charge, based on the facts presented, the law, and the Court's holdings, it must also </w:t>
      </w:r>
      <w:r w:rsidR="00CA7B29">
        <w:t xml:space="preserve">remove the EIR charge from </w:t>
      </w:r>
      <w:r>
        <w:t>the SSO rates</w:t>
      </w:r>
      <w:r w:rsidR="00CA7B29">
        <w:t xml:space="preserve"> paid by consumers</w:t>
      </w:r>
      <w:r>
        <w:t>.  Only then will the Court's recent holdings be carried out</w:t>
      </w:r>
      <w:r w:rsidR="0055211C">
        <w:t xml:space="preserve"> to the benefit of customers</w:t>
      </w:r>
      <w:r w:rsidR="005D06BB">
        <w:t xml:space="preserve">.  </w:t>
      </w:r>
    </w:p>
    <w:p w14:paraId="5C92070A" w14:textId="77777777" w:rsidR="00CE6D86" w:rsidRDefault="00E16B4A" w:rsidP="00E16B4A">
      <w:pPr>
        <w:spacing w:after="200" w:line="276" w:lineRule="auto"/>
      </w:pPr>
      <w:r>
        <w:br w:type="page"/>
      </w:r>
    </w:p>
    <w:p w14:paraId="69250510" w14:textId="77777777" w:rsidR="00CE6D86" w:rsidRDefault="00CE6D86" w:rsidP="00CE6D86">
      <w:pPr>
        <w:spacing w:line="480" w:lineRule="auto"/>
        <w:ind w:firstLine="720"/>
      </w:pPr>
      <w:r>
        <w:lastRenderedPageBreak/>
        <w:tab/>
      </w:r>
      <w:r>
        <w:tab/>
      </w:r>
      <w:r>
        <w:tab/>
      </w:r>
      <w:r>
        <w:tab/>
      </w:r>
      <w:r>
        <w:tab/>
        <w:t>Respectfully submitted,</w:t>
      </w:r>
    </w:p>
    <w:p w14:paraId="4C402F5F" w14:textId="77777777" w:rsidR="00CE6D86" w:rsidRDefault="00CE6D86" w:rsidP="00CE6D86">
      <w:pPr>
        <w:tabs>
          <w:tab w:val="left" w:pos="4320"/>
        </w:tabs>
        <w:ind w:left="4320"/>
        <w:rPr>
          <w:szCs w:val="24"/>
        </w:rPr>
      </w:pPr>
      <w:r>
        <w:rPr>
          <w:szCs w:val="24"/>
        </w:rPr>
        <w:t>BRUCE WESTON (0016973)</w:t>
      </w:r>
    </w:p>
    <w:p w14:paraId="55663351" w14:textId="77777777" w:rsidR="00CE6D86" w:rsidRDefault="00CE6D86" w:rsidP="00CE6D86">
      <w:pPr>
        <w:tabs>
          <w:tab w:val="left" w:pos="4320"/>
        </w:tabs>
        <w:ind w:left="4320"/>
        <w:rPr>
          <w:szCs w:val="24"/>
        </w:rPr>
      </w:pPr>
      <w:r>
        <w:rPr>
          <w:szCs w:val="24"/>
        </w:rPr>
        <w:t>OHIO CONSUMERS’ COUNSEL</w:t>
      </w:r>
    </w:p>
    <w:p w14:paraId="4CCB822B" w14:textId="77777777" w:rsidR="00CE6D86" w:rsidRPr="00DE37C9" w:rsidRDefault="00CE6D86" w:rsidP="00CE6D86">
      <w:pPr>
        <w:tabs>
          <w:tab w:val="left" w:pos="4320"/>
        </w:tabs>
        <w:ind w:left="4320"/>
        <w:rPr>
          <w:szCs w:val="24"/>
        </w:rPr>
      </w:pPr>
    </w:p>
    <w:p w14:paraId="364D79FF" w14:textId="77777777" w:rsidR="00CE6D86" w:rsidRPr="004606D9" w:rsidRDefault="00CE6D86" w:rsidP="00CE6D86">
      <w:pPr>
        <w:tabs>
          <w:tab w:val="left" w:pos="4320"/>
        </w:tabs>
        <w:ind w:left="4320" w:right="-180"/>
        <w:rPr>
          <w:i/>
          <w:szCs w:val="24"/>
          <w:u w:val="single"/>
        </w:rPr>
      </w:pPr>
      <w:r w:rsidRPr="004606D9">
        <w:rPr>
          <w:i/>
          <w:szCs w:val="24"/>
          <w:u w:val="single"/>
        </w:rPr>
        <w:t>/s/ Maureen Willis</w:t>
      </w:r>
      <w:r>
        <w:rPr>
          <w:i/>
          <w:szCs w:val="24"/>
          <w:u w:val="single"/>
        </w:rPr>
        <w:softHyphen/>
        <w:t>___</w:t>
      </w:r>
      <w:r w:rsidRPr="004606D9">
        <w:rPr>
          <w:i/>
          <w:szCs w:val="24"/>
          <w:u w:val="single"/>
        </w:rPr>
        <w:t xml:space="preserve"> </w:t>
      </w:r>
    </w:p>
    <w:p w14:paraId="554E0553" w14:textId="77777777" w:rsidR="00CE6D86" w:rsidRDefault="00CE6D86" w:rsidP="00CE6D86">
      <w:pPr>
        <w:tabs>
          <w:tab w:val="left" w:pos="4320"/>
        </w:tabs>
        <w:ind w:left="4320" w:right="-180"/>
        <w:rPr>
          <w:szCs w:val="24"/>
        </w:rPr>
      </w:pPr>
      <w:r>
        <w:rPr>
          <w:szCs w:val="24"/>
        </w:rPr>
        <w:t>Maureen Willis (0020847), Counsel of Record</w:t>
      </w:r>
    </w:p>
    <w:p w14:paraId="2D2F2B41" w14:textId="77777777" w:rsidR="00CE6D86" w:rsidRDefault="00CE6D86" w:rsidP="00CE6D86">
      <w:pPr>
        <w:tabs>
          <w:tab w:val="left" w:pos="4320"/>
        </w:tabs>
        <w:ind w:left="4320"/>
        <w:rPr>
          <w:szCs w:val="24"/>
        </w:rPr>
      </w:pPr>
      <w:r>
        <w:rPr>
          <w:szCs w:val="24"/>
        </w:rPr>
        <w:t>Assistant Consumers’ Counsel</w:t>
      </w:r>
    </w:p>
    <w:p w14:paraId="059B17E3" w14:textId="77777777" w:rsidR="00CE6D86" w:rsidRPr="002A7C48" w:rsidRDefault="00CE6D86" w:rsidP="00CE6D86">
      <w:pPr>
        <w:tabs>
          <w:tab w:val="left" w:pos="4320"/>
          <w:tab w:val="left" w:pos="4755"/>
        </w:tabs>
        <w:ind w:left="4320"/>
        <w:rPr>
          <w:sz w:val="16"/>
          <w:szCs w:val="16"/>
        </w:rPr>
      </w:pPr>
    </w:p>
    <w:p w14:paraId="29F00694" w14:textId="77777777" w:rsidR="00CE6D86" w:rsidRDefault="00CE6D86" w:rsidP="00CE6D86">
      <w:pPr>
        <w:ind w:left="4320"/>
        <w:rPr>
          <w:szCs w:val="24"/>
        </w:rPr>
      </w:pPr>
      <w:r>
        <w:rPr>
          <w:szCs w:val="24"/>
        </w:rPr>
        <w:t>Office of the Ohio Consumers’ Counsel</w:t>
      </w:r>
    </w:p>
    <w:p w14:paraId="78392E8F" w14:textId="77777777" w:rsidR="00CE6D86" w:rsidRPr="002A7C48" w:rsidRDefault="00CE6D86" w:rsidP="00CE6D86">
      <w:pPr>
        <w:ind w:left="4320"/>
        <w:rPr>
          <w:szCs w:val="24"/>
        </w:rPr>
      </w:pPr>
      <w:r w:rsidRPr="002A7C48">
        <w:rPr>
          <w:szCs w:val="24"/>
        </w:rPr>
        <w:t>10 West Broad Street, Suite 1800</w:t>
      </w:r>
    </w:p>
    <w:p w14:paraId="44BC1923" w14:textId="77777777" w:rsidR="00CE6D86" w:rsidRPr="002A7C48" w:rsidRDefault="00CE6D86" w:rsidP="00CE6D86">
      <w:pPr>
        <w:ind w:left="4320"/>
        <w:rPr>
          <w:szCs w:val="24"/>
        </w:rPr>
      </w:pPr>
      <w:r w:rsidRPr="002A7C48">
        <w:rPr>
          <w:szCs w:val="24"/>
        </w:rPr>
        <w:t>Columbus, Ohio 43215-3485</w:t>
      </w:r>
    </w:p>
    <w:p w14:paraId="7F1D30D9" w14:textId="77777777" w:rsidR="00CE6D86" w:rsidRDefault="00CE6D86" w:rsidP="00CE6D86">
      <w:pPr>
        <w:autoSpaceDE w:val="0"/>
        <w:autoSpaceDN w:val="0"/>
        <w:adjustRightInd w:val="0"/>
        <w:ind w:left="4320"/>
        <w:rPr>
          <w:szCs w:val="24"/>
        </w:rPr>
      </w:pPr>
      <w:r>
        <w:rPr>
          <w:szCs w:val="24"/>
        </w:rPr>
        <w:t>Telephone: Willis (614) 466-9567</w:t>
      </w:r>
    </w:p>
    <w:p w14:paraId="1DE7EC92" w14:textId="77777777" w:rsidR="00CE6D86" w:rsidRDefault="00340A00" w:rsidP="00CE6D86">
      <w:pPr>
        <w:ind w:left="4320"/>
      </w:pPr>
      <w:hyperlink r:id="rId9" w:history="1">
        <w:r w:rsidR="00CE6D86" w:rsidRPr="00D50E4C">
          <w:rPr>
            <w:rStyle w:val="Hyperlink"/>
            <w:rFonts w:eastAsiaTheme="majorEastAsia"/>
          </w:rPr>
          <w:t>maureen.willis@occ.ohio.gov</w:t>
        </w:r>
      </w:hyperlink>
      <w:r w:rsidR="00CE6D86">
        <w:t xml:space="preserve">  </w:t>
      </w:r>
    </w:p>
    <w:p w14:paraId="656B5AB4" w14:textId="77777777" w:rsidR="00CE6D86" w:rsidRPr="00DE37C9" w:rsidRDefault="00CE6D86" w:rsidP="00CE6D86">
      <w:pPr>
        <w:ind w:left="4320"/>
        <w:rPr>
          <w:szCs w:val="24"/>
        </w:rPr>
      </w:pPr>
      <w:r>
        <w:t>(will accept service via email)</w:t>
      </w:r>
    </w:p>
    <w:p w14:paraId="62839809" w14:textId="77777777" w:rsidR="00E16B4A" w:rsidRDefault="00E16B4A" w:rsidP="003A3C90">
      <w:pPr>
        <w:jc w:val="center"/>
        <w:rPr>
          <w:b/>
          <w:bCs/>
          <w:szCs w:val="24"/>
          <w:u w:val="single"/>
        </w:rPr>
        <w:sectPr w:rsidR="00E16B4A" w:rsidSect="0036320F">
          <w:footerReference w:type="default" r:id="rId10"/>
          <w:pgSz w:w="12240" w:h="15840"/>
          <w:pgMar w:top="1440" w:right="1800" w:bottom="1440" w:left="1800" w:header="720" w:footer="720" w:gutter="0"/>
          <w:cols w:space="720"/>
          <w:docGrid w:linePitch="360"/>
        </w:sectPr>
      </w:pPr>
    </w:p>
    <w:p w14:paraId="6D6C79A4" w14:textId="77777777" w:rsidR="003A3C90" w:rsidRDefault="003A3C90" w:rsidP="003A3C90">
      <w:pPr>
        <w:jc w:val="center"/>
        <w:rPr>
          <w:b/>
          <w:bCs/>
          <w:szCs w:val="24"/>
          <w:u w:val="single"/>
        </w:rPr>
      </w:pPr>
      <w:r>
        <w:rPr>
          <w:b/>
          <w:bCs/>
          <w:szCs w:val="24"/>
          <w:u w:val="single"/>
        </w:rPr>
        <w:lastRenderedPageBreak/>
        <w:t>CERTIFICATE OF SERVICE</w:t>
      </w:r>
    </w:p>
    <w:p w14:paraId="758389C0" w14:textId="77777777" w:rsidR="003A3C90" w:rsidRDefault="003A3C90" w:rsidP="003A3C90">
      <w:pPr>
        <w:spacing w:line="480" w:lineRule="atLeast"/>
        <w:ind w:firstLine="720"/>
        <w:rPr>
          <w:szCs w:val="24"/>
        </w:rPr>
      </w:pPr>
      <w:r>
        <w:rPr>
          <w:szCs w:val="24"/>
        </w:rPr>
        <w:t>I her</w:t>
      </w:r>
      <w:r w:rsidR="00B63660">
        <w:rPr>
          <w:szCs w:val="24"/>
        </w:rPr>
        <w:t xml:space="preserve">eby certify that </w:t>
      </w:r>
      <w:r w:rsidR="00CE6D86">
        <w:rPr>
          <w:szCs w:val="24"/>
        </w:rPr>
        <w:t>a copy of these Comments</w:t>
      </w:r>
      <w:r w:rsidR="00CE6D86">
        <w:rPr>
          <w:i/>
          <w:szCs w:val="24"/>
        </w:rPr>
        <w:t xml:space="preserve"> </w:t>
      </w:r>
      <w:r w:rsidR="00CE6D86">
        <w:rPr>
          <w:szCs w:val="24"/>
        </w:rPr>
        <w:t>was</w:t>
      </w:r>
      <w:r>
        <w:rPr>
          <w:szCs w:val="24"/>
        </w:rPr>
        <w:t xml:space="preserve"> electronically served via electric transmission on the persons stated below this 12</w:t>
      </w:r>
      <w:r w:rsidRPr="00F36C1F">
        <w:rPr>
          <w:szCs w:val="24"/>
          <w:vertAlign w:val="superscript"/>
        </w:rPr>
        <w:t>th</w:t>
      </w:r>
      <w:r>
        <w:rPr>
          <w:szCs w:val="24"/>
        </w:rPr>
        <w:t xml:space="preserve"> day of August 2016.</w:t>
      </w:r>
    </w:p>
    <w:p w14:paraId="524890A5" w14:textId="77777777" w:rsidR="003A3C90" w:rsidRDefault="003A3C90" w:rsidP="003A3C90">
      <w:pPr>
        <w:tabs>
          <w:tab w:val="left" w:pos="4320"/>
        </w:tabs>
        <w:rPr>
          <w:szCs w:val="24"/>
        </w:rPr>
      </w:pPr>
    </w:p>
    <w:p w14:paraId="44E1FA8F" w14:textId="77777777" w:rsidR="003A3C90" w:rsidRDefault="003A3C90" w:rsidP="003A3C90">
      <w:pPr>
        <w:tabs>
          <w:tab w:val="left" w:pos="4320"/>
        </w:tabs>
        <w:rPr>
          <w:szCs w:val="24"/>
        </w:rPr>
      </w:pPr>
      <w:r>
        <w:rPr>
          <w:szCs w:val="24"/>
        </w:rPr>
        <w:tab/>
      </w:r>
      <w:r>
        <w:rPr>
          <w:i/>
          <w:szCs w:val="24"/>
          <w:u w:val="single"/>
        </w:rPr>
        <w:t>/s/ Maureen Willis__</w:t>
      </w:r>
    </w:p>
    <w:p w14:paraId="2C561A04" w14:textId="77777777" w:rsidR="003A3C90" w:rsidRDefault="003A3C90" w:rsidP="003A3C90">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Maureen Willis</w:t>
      </w:r>
    </w:p>
    <w:p w14:paraId="7E30CBAA" w14:textId="77777777" w:rsidR="003A3C90" w:rsidRDefault="003A3C90" w:rsidP="003A3C90">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Counsel of Record</w:t>
      </w:r>
    </w:p>
    <w:p w14:paraId="31022C26" w14:textId="77777777" w:rsidR="003A3C90" w:rsidRDefault="003A3C90" w:rsidP="003A3C90">
      <w:pPr>
        <w:pStyle w:val="CommentText"/>
        <w:jc w:val="center"/>
        <w:rPr>
          <w:b/>
          <w:u w:val="single"/>
        </w:rPr>
      </w:pPr>
    </w:p>
    <w:p w14:paraId="3B647D28" w14:textId="77777777" w:rsidR="003A3C90" w:rsidRDefault="003A3C90" w:rsidP="003A3C90">
      <w:pPr>
        <w:pStyle w:val="CommentText"/>
        <w:jc w:val="center"/>
        <w:rPr>
          <w:b/>
          <w:u w:val="single"/>
        </w:rPr>
      </w:pPr>
      <w:r>
        <w:rPr>
          <w:b/>
          <w:u w:val="single"/>
        </w:rPr>
        <w:t>SERVICE LIST</w:t>
      </w:r>
    </w:p>
    <w:p w14:paraId="192228B9" w14:textId="77777777" w:rsidR="003A3C90" w:rsidRDefault="003A3C90" w:rsidP="003A3C90">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262327" w14:paraId="22D9D3F6" w14:textId="77777777" w:rsidTr="00262327">
        <w:tc>
          <w:tcPr>
            <w:tcW w:w="8856" w:type="dxa"/>
          </w:tcPr>
          <w:tbl>
            <w:tblPr>
              <w:tblW w:w="8876" w:type="dxa"/>
              <w:tblLook w:val="04A0" w:firstRow="1" w:lastRow="0" w:firstColumn="1" w:lastColumn="0" w:noHBand="0" w:noVBand="1"/>
            </w:tblPr>
            <w:tblGrid>
              <w:gridCol w:w="4490"/>
              <w:gridCol w:w="4386"/>
            </w:tblGrid>
            <w:tr w:rsidR="00262327" w14:paraId="04188B23" w14:textId="77777777" w:rsidTr="0010491B">
              <w:tc>
                <w:tcPr>
                  <w:tcW w:w="4449" w:type="dxa"/>
                  <w:shd w:val="clear" w:color="auto" w:fill="auto"/>
                </w:tcPr>
                <w:p w14:paraId="4E80F5BB" w14:textId="77777777" w:rsidR="00262327" w:rsidRDefault="00340A00" w:rsidP="0010491B">
                  <w:pPr>
                    <w:autoSpaceDE w:val="0"/>
                    <w:autoSpaceDN w:val="0"/>
                    <w:adjustRightInd w:val="0"/>
                  </w:pPr>
                  <w:hyperlink r:id="rId11" w:history="1">
                    <w:r w:rsidR="00262327" w:rsidRPr="00FA2A4D">
                      <w:rPr>
                        <w:rStyle w:val="Hyperlink"/>
                        <w:rFonts w:eastAsiaTheme="majorEastAsia"/>
                      </w:rPr>
                      <w:t>Thomas.Lindgren@ohioattorneygeneral.gov</w:t>
                    </w:r>
                  </w:hyperlink>
                  <w:r w:rsidR="00262327">
                    <w:t xml:space="preserve"> </w:t>
                  </w:r>
                </w:p>
                <w:p w14:paraId="445FED70" w14:textId="77777777" w:rsidR="00262327" w:rsidRDefault="00340A00" w:rsidP="0010491B">
                  <w:pPr>
                    <w:autoSpaceDE w:val="0"/>
                    <w:autoSpaceDN w:val="0"/>
                    <w:adjustRightInd w:val="0"/>
                  </w:pPr>
                  <w:hyperlink r:id="rId12" w:history="1">
                    <w:r w:rsidR="00262327" w:rsidRPr="00FA2A4D">
                      <w:rPr>
                        <w:rStyle w:val="Hyperlink"/>
                        <w:rFonts w:eastAsiaTheme="majorEastAsia"/>
                      </w:rPr>
                      <w:t>thomas.mcnamee@ohioattorneygeneral.gov</w:t>
                    </w:r>
                  </w:hyperlink>
                </w:p>
                <w:p w14:paraId="2F24A7BF" w14:textId="77777777" w:rsidR="00262327" w:rsidRDefault="00340A00" w:rsidP="0010491B">
                  <w:pPr>
                    <w:autoSpaceDE w:val="0"/>
                    <w:autoSpaceDN w:val="0"/>
                    <w:adjustRightInd w:val="0"/>
                  </w:pPr>
                  <w:hyperlink r:id="rId13" w:history="1">
                    <w:r w:rsidR="00262327">
                      <w:rPr>
                        <w:rStyle w:val="Hyperlink"/>
                        <w:rFonts w:eastAsiaTheme="majorEastAsia"/>
                      </w:rPr>
                      <w:t>cfaruki@ficlaw.com</w:t>
                    </w:r>
                  </w:hyperlink>
                </w:p>
                <w:p w14:paraId="2C441DDC" w14:textId="77777777" w:rsidR="00262327" w:rsidRDefault="00340A00" w:rsidP="0010491B">
                  <w:pPr>
                    <w:autoSpaceDE w:val="0"/>
                    <w:autoSpaceDN w:val="0"/>
                    <w:adjustRightInd w:val="0"/>
                  </w:pPr>
                  <w:hyperlink r:id="rId14" w:history="1">
                    <w:r w:rsidR="00262327">
                      <w:rPr>
                        <w:rStyle w:val="Hyperlink"/>
                        <w:rFonts w:eastAsiaTheme="majorEastAsia"/>
                      </w:rPr>
                      <w:t>jsharkey@ficlaw.com</w:t>
                    </w:r>
                  </w:hyperlink>
                </w:p>
                <w:p w14:paraId="4C3A41BC" w14:textId="77777777" w:rsidR="00262327" w:rsidRDefault="00340A00" w:rsidP="0010491B">
                  <w:pPr>
                    <w:tabs>
                      <w:tab w:val="left" w:pos="4320"/>
                    </w:tabs>
                  </w:pPr>
                  <w:hyperlink r:id="rId15" w:history="1">
                    <w:r w:rsidR="00262327" w:rsidRPr="0039376C">
                      <w:rPr>
                        <w:rStyle w:val="Hyperlink"/>
                        <w:rFonts w:eastAsiaTheme="majorEastAsia"/>
                      </w:rPr>
                      <w:t>joliker@mwncmh.com</w:t>
                    </w:r>
                  </w:hyperlink>
                  <w:r w:rsidR="00262327">
                    <w:t xml:space="preserve"> </w:t>
                  </w:r>
                </w:p>
                <w:p w14:paraId="71F8A7B4" w14:textId="77777777" w:rsidR="00262327" w:rsidRDefault="00340A00" w:rsidP="0010491B">
                  <w:pPr>
                    <w:tabs>
                      <w:tab w:val="left" w:pos="4320"/>
                    </w:tabs>
                  </w:pPr>
                  <w:hyperlink r:id="rId16" w:history="1">
                    <w:r w:rsidR="00262327">
                      <w:rPr>
                        <w:rStyle w:val="Hyperlink"/>
                        <w:rFonts w:eastAsiaTheme="majorEastAsia"/>
                      </w:rPr>
                      <w:t>sam@mwncmh.com</w:t>
                    </w:r>
                  </w:hyperlink>
                </w:p>
                <w:p w14:paraId="6B469F7F" w14:textId="77777777" w:rsidR="00262327" w:rsidRDefault="00340A00" w:rsidP="0010491B">
                  <w:pPr>
                    <w:autoSpaceDE w:val="0"/>
                    <w:autoSpaceDN w:val="0"/>
                    <w:adjustRightInd w:val="0"/>
                  </w:pPr>
                  <w:hyperlink r:id="rId17" w:history="1">
                    <w:r w:rsidR="00262327">
                      <w:rPr>
                        <w:rStyle w:val="Hyperlink"/>
                        <w:rFonts w:eastAsiaTheme="majorEastAsia"/>
                      </w:rPr>
                      <w:t>drinebolt@aol.com</w:t>
                    </w:r>
                  </w:hyperlink>
                </w:p>
                <w:p w14:paraId="0F61B5C3" w14:textId="77777777" w:rsidR="00262327" w:rsidRDefault="00340A00" w:rsidP="0010491B">
                  <w:pPr>
                    <w:autoSpaceDE w:val="0"/>
                    <w:autoSpaceDN w:val="0"/>
                    <w:adjustRightInd w:val="0"/>
                  </w:pPr>
                  <w:hyperlink r:id="rId18" w:history="1">
                    <w:r w:rsidR="00262327" w:rsidRPr="0039376C">
                      <w:rPr>
                        <w:rStyle w:val="Hyperlink"/>
                        <w:rFonts w:eastAsiaTheme="majorEastAsia"/>
                      </w:rPr>
                      <w:t>cmooney@ohiopartners.org</w:t>
                    </w:r>
                  </w:hyperlink>
                  <w:r w:rsidR="00262327">
                    <w:t xml:space="preserve"> </w:t>
                  </w:r>
                </w:p>
                <w:p w14:paraId="3286BF99" w14:textId="77777777" w:rsidR="00262327" w:rsidRDefault="00340A00" w:rsidP="0010491B">
                  <w:pPr>
                    <w:autoSpaceDE w:val="0"/>
                    <w:autoSpaceDN w:val="0"/>
                    <w:adjustRightInd w:val="0"/>
                  </w:pPr>
                  <w:hyperlink r:id="rId19" w:history="1">
                    <w:r w:rsidR="00262327">
                      <w:rPr>
                        <w:rStyle w:val="Hyperlink"/>
                        <w:rFonts w:eastAsiaTheme="majorEastAsia"/>
                      </w:rPr>
                      <w:t>Ned.Ford@fuse.net</w:t>
                    </w:r>
                  </w:hyperlink>
                </w:p>
                <w:p w14:paraId="76712E8A" w14:textId="77777777" w:rsidR="00262327" w:rsidRDefault="00340A00" w:rsidP="0010491B">
                  <w:pPr>
                    <w:autoSpaceDE w:val="0"/>
                    <w:autoSpaceDN w:val="0"/>
                    <w:adjustRightInd w:val="0"/>
                  </w:pPr>
                  <w:hyperlink r:id="rId20" w:history="1">
                    <w:r w:rsidR="00262327">
                      <w:rPr>
                        <w:rStyle w:val="Hyperlink"/>
                        <w:rFonts w:eastAsiaTheme="majorEastAsia"/>
                      </w:rPr>
                      <w:t>ricks@ohanet.org</w:t>
                    </w:r>
                  </w:hyperlink>
                </w:p>
                <w:p w14:paraId="6F135BCA" w14:textId="77777777" w:rsidR="00262327" w:rsidRDefault="00340A00" w:rsidP="0010491B">
                  <w:pPr>
                    <w:autoSpaceDE w:val="0"/>
                    <w:autoSpaceDN w:val="0"/>
                    <w:adjustRightInd w:val="0"/>
                  </w:pPr>
                  <w:hyperlink r:id="rId21" w:history="1">
                    <w:r w:rsidR="00262327">
                      <w:rPr>
                        <w:rStyle w:val="Hyperlink"/>
                        <w:rFonts w:eastAsiaTheme="majorEastAsia"/>
                      </w:rPr>
                      <w:t>wis29@yahoo.com</w:t>
                    </w:r>
                  </w:hyperlink>
                </w:p>
                <w:p w14:paraId="54B557BB" w14:textId="77777777" w:rsidR="00262327" w:rsidRDefault="00340A00" w:rsidP="0010491B">
                  <w:pPr>
                    <w:autoSpaceDE w:val="0"/>
                    <w:autoSpaceDN w:val="0"/>
                    <w:adjustRightInd w:val="0"/>
                  </w:pPr>
                  <w:hyperlink r:id="rId22" w:history="1">
                    <w:r w:rsidR="00262327">
                      <w:rPr>
                        <w:rStyle w:val="Hyperlink"/>
                        <w:rFonts w:eastAsiaTheme="majorEastAsia"/>
                      </w:rPr>
                      <w:t>smhoward@vssp.com</w:t>
                    </w:r>
                  </w:hyperlink>
                </w:p>
                <w:p w14:paraId="4BF38ACF" w14:textId="77777777" w:rsidR="00262327" w:rsidRDefault="00340A00" w:rsidP="0010491B">
                  <w:pPr>
                    <w:autoSpaceDE w:val="0"/>
                    <w:autoSpaceDN w:val="0"/>
                    <w:adjustRightInd w:val="0"/>
                  </w:pPr>
                  <w:hyperlink r:id="rId23" w:history="1">
                    <w:r w:rsidR="00262327">
                      <w:rPr>
                        <w:rStyle w:val="Hyperlink"/>
                        <w:rFonts w:eastAsiaTheme="majorEastAsia"/>
                      </w:rPr>
                      <w:t>mjsettineri@vorys.com</w:t>
                    </w:r>
                  </w:hyperlink>
                </w:p>
                <w:p w14:paraId="5920F3ED" w14:textId="77777777" w:rsidR="00262327" w:rsidRDefault="00340A00" w:rsidP="0010491B">
                  <w:pPr>
                    <w:autoSpaceDE w:val="0"/>
                    <w:autoSpaceDN w:val="0"/>
                    <w:adjustRightInd w:val="0"/>
                  </w:pPr>
                  <w:hyperlink r:id="rId24" w:history="1">
                    <w:r w:rsidR="00262327">
                      <w:rPr>
                        <w:rStyle w:val="Hyperlink"/>
                        <w:rFonts w:eastAsiaTheme="majorEastAsia"/>
                      </w:rPr>
                      <w:t>BarthRoyer@aol.com</w:t>
                    </w:r>
                  </w:hyperlink>
                </w:p>
                <w:p w14:paraId="603AA4EF" w14:textId="77777777" w:rsidR="00262327" w:rsidRDefault="00340A00" w:rsidP="0010491B">
                  <w:pPr>
                    <w:autoSpaceDE w:val="0"/>
                    <w:autoSpaceDN w:val="0"/>
                    <w:adjustRightInd w:val="0"/>
                  </w:pPr>
                  <w:hyperlink r:id="rId25" w:history="1">
                    <w:r w:rsidR="00262327">
                      <w:rPr>
                        <w:rStyle w:val="Hyperlink"/>
                        <w:rFonts w:eastAsiaTheme="majorEastAsia"/>
                      </w:rPr>
                      <w:t>Gary.A.Jeffries@dom.com</w:t>
                    </w:r>
                  </w:hyperlink>
                </w:p>
                <w:p w14:paraId="44D65CDC" w14:textId="77777777" w:rsidR="00262327" w:rsidRDefault="00340A00" w:rsidP="0010491B">
                  <w:pPr>
                    <w:autoSpaceDE w:val="0"/>
                    <w:autoSpaceDN w:val="0"/>
                    <w:adjustRightInd w:val="0"/>
                  </w:pPr>
                  <w:hyperlink r:id="rId26" w:history="1">
                    <w:r w:rsidR="00262327" w:rsidRPr="0039376C">
                      <w:rPr>
                        <w:rStyle w:val="Hyperlink"/>
                        <w:rFonts w:eastAsiaTheme="majorEastAsia"/>
                      </w:rPr>
                      <w:t>Bojko@carpenterlipps.com</w:t>
                    </w:r>
                  </w:hyperlink>
                  <w:r w:rsidR="00262327">
                    <w:t xml:space="preserve"> </w:t>
                  </w:r>
                </w:p>
                <w:p w14:paraId="6EB53D4F" w14:textId="77777777" w:rsidR="00262327" w:rsidRDefault="00340A00" w:rsidP="0010491B">
                  <w:pPr>
                    <w:autoSpaceDE w:val="0"/>
                    <w:autoSpaceDN w:val="0"/>
                    <w:adjustRightInd w:val="0"/>
                  </w:pPr>
                  <w:hyperlink r:id="rId27" w:history="1">
                    <w:r w:rsidR="00262327" w:rsidRPr="00FA2A4D">
                      <w:rPr>
                        <w:rStyle w:val="Hyperlink"/>
                        <w:rFonts w:eastAsiaTheme="majorEastAsia"/>
                      </w:rPr>
                      <w:t>sechler@carpenterlipps.com</w:t>
                    </w:r>
                  </w:hyperlink>
                  <w:r w:rsidR="00262327">
                    <w:t xml:space="preserve"> </w:t>
                  </w:r>
                </w:p>
                <w:p w14:paraId="39FDF44A" w14:textId="77777777" w:rsidR="00262327" w:rsidRDefault="00340A00" w:rsidP="0010491B">
                  <w:pPr>
                    <w:autoSpaceDE w:val="0"/>
                    <w:autoSpaceDN w:val="0"/>
                    <w:adjustRightInd w:val="0"/>
                  </w:pPr>
                  <w:hyperlink r:id="rId28" w:history="1">
                    <w:r w:rsidR="00262327" w:rsidRPr="00FA2A4D">
                      <w:rPr>
                        <w:rStyle w:val="Hyperlink"/>
                        <w:rFonts w:eastAsiaTheme="majorEastAsia"/>
                      </w:rPr>
                      <w:t>fdarr@mwncmh.com</w:t>
                    </w:r>
                  </w:hyperlink>
                  <w:r w:rsidR="00262327">
                    <w:t xml:space="preserve"> </w:t>
                  </w:r>
                </w:p>
                <w:p w14:paraId="5E9186A2" w14:textId="77777777" w:rsidR="00262327" w:rsidRDefault="00340A00" w:rsidP="0010491B">
                  <w:pPr>
                    <w:autoSpaceDE w:val="0"/>
                    <w:autoSpaceDN w:val="0"/>
                    <w:adjustRightInd w:val="0"/>
                  </w:pPr>
                  <w:hyperlink r:id="rId29" w:history="1">
                    <w:r w:rsidR="00262327" w:rsidRPr="0039376C">
                      <w:rPr>
                        <w:rStyle w:val="Hyperlink"/>
                        <w:rFonts w:eastAsiaTheme="majorEastAsia"/>
                      </w:rPr>
                      <w:t>jlang@calfee.com</w:t>
                    </w:r>
                  </w:hyperlink>
                  <w:r w:rsidR="00262327">
                    <w:t xml:space="preserve"> </w:t>
                  </w:r>
                </w:p>
                <w:p w14:paraId="0FE6E732" w14:textId="77777777" w:rsidR="00262327" w:rsidRDefault="00340A00" w:rsidP="0010491B">
                  <w:pPr>
                    <w:autoSpaceDE w:val="0"/>
                    <w:autoSpaceDN w:val="0"/>
                    <w:adjustRightInd w:val="0"/>
                  </w:pPr>
                  <w:hyperlink r:id="rId30" w:history="1">
                    <w:r w:rsidR="00262327" w:rsidRPr="0039376C">
                      <w:rPr>
                        <w:rStyle w:val="Hyperlink"/>
                        <w:rFonts w:eastAsiaTheme="majorEastAsia"/>
                      </w:rPr>
                      <w:t>talexander@calfee.com</w:t>
                    </w:r>
                  </w:hyperlink>
                  <w:r w:rsidR="00262327">
                    <w:t xml:space="preserve"> </w:t>
                  </w:r>
                </w:p>
                <w:p w14:paraId="7A9FAD46" w14:textId="7EC5D146" w:rsidR="00816896" w:rsidRDefault="00340A00" w:rsidP="0010491B">
                  <w:pPr>
                    <w:autoSpaceDE w:val="0"/>
                    <w:autoSpaceDN w:val="0"/>
                    <w:adjustRightInd w:val="0"/>
                  </w:pPr>
                  <w:hyperlink r:id="rId31" w:history="1">
                    <w:r w:rsidR="00816896" w:rsidRPr="0097413F">
                      <w:rPr>
                        <w:rStyle w:val="Hyperlink"/>
                      </w:rPr>
                      <w:t>mkeaney@calfee.com</w:t>
                    </w:r>
                  </w:hyperlink>
                  <w:r w:rsidR="00816896">
                    <w:t xml:space="preserve"> </w:t>
                  </w:r>
                </w:p>
                <w:p w14:paraId="284023AF" w14:textId="77777777" w:rsidR="00262327" w:rsidRDefault="00340A00" w:rsidP="0010491B">
                  <w:pPr>
                    <w:autoSpaceDE w:val="0"/>
                    <w:autoSpaceDN w:val="0"/>
                    <w:adjustRightInd w:val="0"/>
                  </w:pPr>
                  <w:hyperlink r:id="rId32" w:history="1">
                    <w:r w:rsidR="00262327" w:rsidRPr="0039376C">
                      <w:rPr>
                        <w:rStyle w:val="Hyperlink"/>
                        <w:rFonts w:eastAsiaTheme="majorEastAsia"/>
                      </w:rPr>
                      <w:t>mswhite@igsenergy.com</w:t>
                    </w:r>
                  </w:hyperlink>
                  <w:r w:rsidR="00262327">
                    <w:t xml:space="preserve"> </w:t>
                  </w:r>
                </w:p>
                <w:p w14:paraId="3FA5C518" w14:textId="77777777" w:rsidR="00262327" w:rsidRDefault="00262327" w:rsidP="0010491B">
                  <w:pPr>
                    <w:autoSpaceDE w:val="0"/>
                    <w:autoSpaceDN w:val="0"/>
                    <w:adjustRightInd w:val="0"/>
                  </w:pPr>
                </w:p>
                <w:p w14:paraId="5586FF5C" w14:textId="77777777" w:rsidR="00262327" w:rsidRDefault="00262327" w:rsidP="0010491B">
                  <w:pPr>
                    <w:autoSpaceDE w:val="0"/>
                    <w:autoSpaceDN w:val="0"/>
                    <w:adjustRightInd w:val="0"/>
                  </w:pPr>
                  <w:r>
                    <w:t>Attorney General:</w:t>
                  </w:r>
                </w:p>
                <w:p w14:paraId="36FF5DDD" w14:textId="77777777" w:rsidR="00262327" w:rsidRDefault="00340A00" w:rsidP="0010491B">
                  <w:pPr>
                    <w:autoSpaceDE w:val="0"/>
                    <w:autoSpaceDN w:val="0"/>
                    <w:adjustRightInd w:val="0"/>
                  </w:pPr>
                  <w:hyperlink r:id="rId33" w:history="1">
                    <w:r w:rsidR="00262327">
                      <w:rPr>
                        <w:rStyle w:val="Hyperlink"/>
                        <w:rFonts w:eastAsiaTheme="majorEastAsia"/>
                      </w:rPr>
                      <w:t>Gregory.Price@puc.state.oh.us</w:t>
                    </w:r>
                  </w:hyperlink>
                </w:p>
                <w:p w14:paraId="7DC0C145" w14:textId="77777777" w:rsidR="00262327" w:rsidRDefault="00262327" w:rsidP="0010491B">
                  <w:pPr>
                    <w:autoSpaceDE w:val="0"/>
                    <w:autoSpaceDN w:val="0"/>
                    <w:adjustRightInd w:val="0"/>
                  </w:pPr>
                </w:p>
                <w:p w14:paraId="66C37A09" w14:textId="77777777" w:rsidR="00262327" w:rsidRDefault="00262327" w:rsidP="0010491B">
                  <w:pPr>
                    <w:autoSpaceDE w:val="0"/>
                    <w:autoSpaceDN w:val="0"/>
                    <w:adjustRightInd w:val="0"/>
                  </w:pPr>
                </w:p>
                <w:p w14:paraId="742DA2C7" w14:textId="77777777" w:rsidR="00262327" w:rsidRDefault="00262327" w:rsidP="0010491B">
                  <w:pPr>
                    <w:autoSpaceDE w:val="0"/>
                    <w:autoSpaceDN w:val="0"/>
                    <w:adjustRightInd w:val="0"/>
                  </w:pPr>
                </w:p>
                <w:p w14:paraId="15CAA1A2" w14:textId="77777777" w:rsidR="00262327" w:rsidRDefault="00262327" w:rsidP="0010491B">
                  <w:pPr>
                    <w:autoSpaceDE w:val="0"/>
                    <w:autoSpaceDN w:val="0"/>
                    <w:adjustRightInd w:val="0"/>
                    <w:rPr>
                      <w:sz w:val="26"/>
                      <w:szCs w:val="26"/>
                    </w:rPr>
                  </w:pPr>
                </w:p>
              </w:tc>
              <w:tc>
                <w:tcPr>
                  <w:tcW w:w="4427" w:type="dxa"/>
                  <w:shd w:val="clear" w:color="auto" w:fill="auto"/>
                </w:tcPr>
                <w:p w14:paraId="19A788B7" w14:textId="77777777" w:rsidR="00262327" w:rsidRDefault="00340A00" w:rsidP="0010491B">
                  <w:pPr>
                    <w:autoSpaceDE w:val="0"/>
                    <w:autoSpaceDN w:val="0"/>
                    <w:adjustRightInd w:val="0"/>
                  </w:pPr>
                  <w:hyperlink r:id="rId34" w:history="1">
                    <w:r w:rsidR="00262327" w:rsidRPr="0039376C">
                      <w:rPr>
                        <w:rStyle w:val="Hyperlink"/>
                        <w:rFonts w:eastAsiaTheme="majorEastAsia"/>
                      </w:rPr>
                      <w:t>Amy.spiller@duke-energy.com</w:t>
                    </w:r>
                  </w:hyperlink>
                  <w:r w:rsidR="00262327">
                    <w:t xml:space="preserve">  </w:t>
                  </w:r>
                </w:p>
                <w:p w14:paraId="4B34852F" w14:textId="77777777" w:rsidR="00262327" w:rsidRDefault="00340A00" w:rsidP="0010491B">
                  <w:pPr>
                    <w:autoSpaceDE w:val="0"/>
                    <w:autoSpaceDN w:val="0"/>
                    <w:adjustRightInd w:val="0"/>
                  </w:pPr>
                  <w:hyperlink r:id="rId35" w:history="1">
                    <w:r w:rsidR="00262327" w:rsidRPr="0039376C">
                      <w:rPr>
                        <w:rStyle w:val="Hyperlink"/>
                        <w:rFonts w:eastAsiaTheme="majorEastAsia"/>
                      </w:rPr>
                      <w:t>Jeanne.kingery@duke-energy.com</w:t>
                    </w:r>
                  </w:hyperlink>
                  <w:r w:rsidR="00262327">
                    <w:t xml:space="preserve"> </w:t>
                  </w:r>
                </w:p>
                <w:p w14:paraId="38E63876" w14:textId="77777777" w:rsidR="00262327" w:rsidRDefault="00340A00" w:rsidP="0010491B">
                  <w:pPr>
                    <w:autoSpaceDE w:val="0"/>
                    <w:autoSpaceDN w:val="0"/>
                    <w:adjustRightInd w:val="0"/>
                  </w:pPr>
                  <w:hyperlink r:id="rId36" w:history="1">
                    <w:r w:rsidR="00262327" w:rsidRPr="0039376C">
                      <w:rPr>
                        <w:rStyle w:val="Hyperlink"/>
                        <w:rFonts w:eastAsiaTheme="majorEastAsia"/>
                      </w:rPr>
                      <w:t>Ellizabeth.watts@duke-energy.com</w:t>
                    </w:r>
                  </w:hyperlink>
                  <w:r w:rsidR="00262327">
                    <w:t xml:space="preserve"> </w:t>
                  </w:r>
                </w:p>
                <w:p w14:paraId="7310DF48" w14:textId="77777777" w:rsidR="00262327" w:rsidRDefault="00340A00" w:rsidP="0010491B">
                  <w:pPr>
                    <w:autoSpaceDE w:val="0"/>
                    <w:autoSpaceDN w:val="0"/>
                    <w:adjustRightInd w:val="0"/>
                  </w:pPr>
                  <w:hyperlink r:id="rId37" w:history="1">
                    <w:r w:rsidR="00262327" w:rsidRPr="0039376C">
                      <w:rPr>
                        <w:rStyle w:val="Hyperlink"/>
                        <w:rFonts w:eastAsiaTheme="majorEastAsia"/>
                      </w:rPr>
                      <w:t>haydenm@firstenergycorp.com</w:t>
                    </w:r>
                  </w:hyperlink>
                  <w:r w:rsidR="00262327">
                    <w:t xml:space="preserve">  </w:t>
                  </w:r>
                </w:p>
                <w:p w14:paraId="6952B3E1" w14:textId="77777777" w:rsidR="00262327" w:rsidRDefault="00340A00" w:rsidP="0010491B">
                  <w:pPr>
                    <w:autoSpaceDE w:val="0"/>
                    <w:autoSpaceDN w:val="0"/>
                    <w:adjustRightInd w:val="0"/>
                  </w:pPr>
                  <w:hyperlink r:id="rId38" w:history="1">
                    <w:r w:rsidR="00262327" w:rsidRPr="0039376C">
                      <w:rPr>
                        <w:rStyle w:val="Hyperlink"/>
                        <w:rFonts w:eastAsiaTheme="majorEastAsia"/>
                      </w:rPr>
                      <w:t>mjsatterwhite@aep.com</w:t>
                    </w:r>
                  </w:hyperlink>
                </w:p>
                <w:p w14:paraId="24CBC024" w14:textId="77777777" w:rsidR="00262327" w:rsidRDefault="00340A00" w:rsidP="0010491B">
                  <w:pPr>
                    <w:autoSpaceDE w:val="0"/>
                    <w:autoSpaceDN w:val="0"/>
                    <w:adjustRightInd w:val="0"/>
                  </w:pPr>
                  <w:hyperlink r:id="rId39" w:history="1">
                    <w:r w:rsidR="00262327" w:rsidRPr="0039376C">
                      <w:rPr>
                        <w:rStyle w:val="Hyperlink"/>
                        <w:rFonts w:eastAsiaTheme="majorEastAsia"/>
                      </w:rPr>
                      <w:t>stnourse@aep.com</w:t>
                    </w:r>
                  </w:hyperlink>
                  <w:r w:rsidR="00262327">
                    <w:t xml:space="preserve"> </w:t>
                  </w:r>
                </w:p>
                <w:p w14:paraId="3796F327" w14:textId="77777777" w:rsidR="00262327" w:rsidRDefault="00340A00" w:rsidP="0010491B">
                  <w:pPr>
                    <w:autoSpaceDE w:val="0"/>
                    <w:autoSpaceDN w:val="0"/>
                    <w:adjustRightInd w:val="0"/>
                  </w:pPr>
                  <w:hyperlink r:id="rId40" w:history="1">
                    <w:r w:rsidR="00262327">
                      <w:rPr>
                        <w:rStyle w:val="Hyperlink"/>
                        <w:rFonts w:eastAsiaTheme="majorEastAsia"/>
                      </w:rPr>
                      <w:t>judi.sobecki@dplinc.com</w:t>
                    </w:r>
                  </w:hyperlink>
                </w:p>
                <w:p w14:paraId="34FB0359" w14:textId="77777777" w:rsidR="00262327" w:rsidRDefault="00340A00" w:rsidP="0010491B">
                  <w:pPr>
                    <w:autoSpaceDE w:val="0"/>
                    <w:autoSpaceDN w:val="0"/>
                    <w:adjustRightInd w:val="0"/>
                  </w:pPr>
                  <w:hyperlink r:id="rId41" w:history="1">
                    <w:r w:rsidR="00262327">
                      <w:rPr>
                        <w:rStyle w:val="Hyperlink"/>
                        <w:rFonts w:eastAsiaTheme="majorEastAsia"/>
                      </w:rPr>
                      <w:t>jbentine@cwslaw.com</w:t>
                    </w:r>
                  </w:hyperlink>
                </w:p>
                <w:p w14:paraId="1CBC418E" w14:textId="77777777" w:rsidR="00262327" w:rsidRDefault="00340A00" w:rsidP="0010491B">
                  <w:pPr>
                    <w:autoSpaceDE w:val="0"/>
                    <w:autoSpaceDN w:val="0"/>
                    <w:adjustRightInd w:val="0"/>
                  </w:pPr>
                  <w:hyperlink r:id="rId42" w:history="1">
                    <w:r w:rsidR="00262327">
                      <w:rPr>
                        <w:rStyle w:val="Hyperlink"/>
                        <w:rFonts w:eastAsiaTheme="majorEastAsia"/>
                      </w:rPr>
                      <w:t>mwhite@cwslaw.com</w:t>
                    </w:r>
                  </w:hyperlink>
                </w:p>
                <w:p w14:paraId="7D2B9E5A" w14:textId="77777777" w:rsidR="00262327" w:rsidRDefault="00340A00" w:rsidP="0010491B">
                  <w:pPr>
                    <w:autoSpaceDE w:val="0"/>
                    <w:autoSpaceDN w:val="0"/>
                    <w:adjustRightInd w:val="0"/>
                    <w:rPr>
                      <w:lang w:val="de-DE"/>
                    </w:rPr>
                  </w:pPr>
                  <w:hyperlink r:id="rId43" w:history="1">
                    <w:r w:rsidR="00262327">
                      <w:rPr>
                        <w:rStyle w:val="Hyperlink"/>
                        <w:rFonts w:eastAsiaTheme="majorEastAsia"/>
                        <w:lang w:val="de-DE"/>
                      </w:rPr>
                      <w:t>henryeckhart@aol.com</w:t>
                    </w:r>
                  </w:hyperlink>
                </w:p>
                <w:p w14:paraId="0D66E4A0" w14:textId="77777777" w:rsidR="00262327" w:rsidRDefault="00340A00" w:rsidP="0010491B">
                  <w:hyperlink r:id="rId44" w:history="1">
                    <w:r w:rsidR="00262327">
                      <w:rPr>
                        <w:rStyle w:val="Hyperlink"/>
                        <w:rFonts w:eastAsiaTheme="majorEastAsia"/>
                      </w:rPr>
                      <w:t>dboehm@bkllawfirm.com</w:t>
                    </w:r>
                  </w:hyperlink>
                </w:p>
                <w:p w14:paraId="3F5D8067" w14:textId="77777777" w:rsidR="00262327" w:rsidRDefault="00340A00" w:rsidP="0010491B">
                  <w:hyperlink r:id="rId45" w:history="1">
                    <w:r w:rsidR="00262327">
                      <w:rPr>
                        <w:rStyle w:val="Hyperlink"/>
                        <w:rFonts w:eastAsiaTheme="majorEastAsia"/>
                      </w:rPr>
                      <w:t>mkurtz@bkllawfirm.com</w:t>
                    </w:r>
                  </w:hyperlink>
                </w:p>
                <w:p w14:paraId="0113C4B1" w14:textId="77777777" w:rsidR="00262327" w:rsidRDefault="00340A00" w:rsidP="0010491B">
                  <w:hyperlink r:id="rId46" w:history="1">
                    <w:r w:rsidR="00262327" w:rsidRPr="0039376C">
                      <w:rPr>
                        <w:rStyle w:val="Hyperlink"/>
                        <w:rFonts w:eastAsiaTheme="majorEastAsia"/>
                      </w:rPr>
                      <w:t>jkyler@bkllawfirm.com</w:t>
                    </w:r>
                  </w:hyperlink>
                  <w:r w:rsidR="00262327">
                    <w:t xml:space="preserve"> </w:t>
                  </w:r>
                </w:p>
                <w:p w14:paraId="6E6D6289" w14:textId="77777777" w:rsidR="00262327" w:rsidRDefault="00340A00" w:rsidP="0010491B">
                  <w:pPr>
                    <w:rPr>
                      <w:rFonts w:ascii="Times-New-Roman" w:hAnsi="Times-New-Roman" w:cs="Times-New-Roman"/>
                    </w:rPr>
                  </w:pPr>
                  <w:hyperlink r:id="rId47" w:history="1">
                    <w:r w:rsidR="00262327">
                      <w:rPr>
                        <w:rStyle w:val="Hyperlink"/>
                        <w:rFonts w:ascii="Times-New-Roman" w:eastAsiaTheme="majorEastAsia" w:hAnsi="Times-New-Roman"/>
                      </w:rPr>
                      <w:t>Cynthia.A.Fonner@constellation.com</w:t>
                    </w:r>
                  </w:hyperlink>
                </w:p>
                <w:p w14:paraId="756A105D" w14:textId="77777777" w:rsidR="00262327" w:rsidRDefault="00340A00" w:rsidP="0010491B">
                  <w:pPr>
                    <w:autoSpaceDE w:val="0"/>
                    <w:autoSpaceDN w:val="0"/>
                    <w:adjustRightInd w:val="0"/>
                  </w:pPr>
                  <w:hyperlink r:id="rId48" w:history="1">
                    <w:r w:rsidR="00262327">
                      <w:rPr>
                        <w:rStyle w:val="Hyperlink"/>
                        <w:rFonts w:eastAsiaTheme="majorEastAsia"/>
                      </w:rPr>
                      <w:t>LGearhardt@ofbf.org</w:t>
                    </w:r>
                  </w:hyperlink>
                </w:p>
                <w:p w14:paraId="0102A910" w14:textId="77777777" w:rsidR="00262327" w:rsidRDefault="00340A00" w:rsidP="0010491B">
                  <w:pPr>
                    <w:autoSpaceDE w:val="0"/>
                    <w:autoSpaceDN w:val="0"/>
                    <w:adjustRightInd w:val="0"/>
                  </w:pPr>
                  <w:hyperlink r:id="rId49" w:history="1">
                    <w:r w:rsidR="00262327" w:rsidRPr="0039376C">
                      <w:rPr>
                        <w:rStyle w:val="Hyperlink"/>
                        <w:rFonts w:eastAsiaTheme="majorEastAsia"/>
                      </w:rPr>
                      <w:t>cmiller@icemiller.com</w:t>
                    </w:r>
                  </w:hyperlink>
                  <w:r w:rsidR="00262327">
                    <w:t xml:space="preserve"> </w:t>
                  </w:r>
                </w:p>
                <w:p w14:paraId="5E1C863B" w14:textId="77777777" w:rsidR="00262327" w:rsidRDefault="00340A00" w:rsidP="0010491B">
                  <w:pPr>
                    <w:autoSpaceDE w:val="0"/>
                    <w:autoSpaceDN w:val="0"/>
                    <w:adjustRightInd w:val="0"/>
                  </w:pPr>
                  <w:hyperlink r:id="rId50" w:history="1">
                    <w:r w:rsidR="00262327" w:rsidRPr="0039376C">
                      <w:rPr>
                        <w:rStyle w:val="Hyperlink"/>
                        <w:rFonts w:eastAsiaTheme="majorEastAsia"/>
                      </w:rPr>
                      <w:t>gdunn@icemiller.com</w:t>
                    </w:r>
                  </w:hyperlink>
                  <w:r w:rsidR="00262327">
                    <w:t xml:space="preserve"> </w:t>
                  </w:r>
                </w:p>
                <w:p w14:paraId="075660DA" w14:textId="77777777" w:rsidR="00262327" w:rsidRDefault="00340A00" w:rsidP="0010491B">
                  <w:pPr>
                    <w:autoSpaceDE w:val="0"/>
                    <w:autoSpaceDN w:val="0"/>
                    <w:adjustRightInd w:val="0"/>
                  </w:pPr>
                  <w:hyperlink r:id="rId51" w:history="1">
                    <w:r w:rsidR="00262327" w:rsidRPr="00B040DD">
                      <w:rPr>
                        <w:rStyle w:val="Hyperlink"/>
                        <w:rFonts w:eastAsiaTheme="majorEastAsia"/>
                      </w:rPr>
                      <w:t>trent@theOEC.org</w:t>
                    </w:r>
                  </w:hyperlink>
                </w:p>
                <w:p w14:paraId="17CE3ADA" w14:textId="77777777" w:rsidR="00262327" w:rsidRDefault="00340A00" w:rsidP="0010491B">
                  <w:pPr>
                    <w:autoSpaceDE w:val="0"/>
                    <w:autoSpaceDN w:val="0"/>
                    <w:adjustRightInd w:val="0"/>
                  </w:pPr>
                  <w:hyperlink r:id="rId52" w:history="1">
                    <w:r w:rsidR="00262327" w:rsidRPr="0039376C">
                      <w:rPr>
                        <w:rStyle w:val="Hyperlink"/>
                        <w:rFonts w:eastAsiaTheme="majorEastAsia"/>
                      </w:rPr>
                      <w:t>cathy@theoec.org</w:t>
                    </w:r>
                  </w:hyperlink>
                  <w:r w:rsidR="00262327">
                    <w:t xml:space="preserve"> </w:t>
                  </w:r>
                </w:p>
                <w:p w14:paraId="5DB484C0" w14:textId="77777777" w:rsidR="00262327" w:rsidRDefault="00340A00" w:rsidP="0010491B">
                  <w:pPr>
                    <w:autoSpaceDE w:val="0"/>
                    <w:autoSpaceDN w:val="0"/>
                    <w:adjustRightInd w:val="0"/>
                  </w:pPr>
                  <w:hyperlink r:id="rId53" w:history="1">
                    <w:r w:rsidR="00262327">
                      <w:rPr>
                        <w:rStyle w:val="Hyperlink"/>
                        <w:rFonts w:eastAsiaTheme="majorEastAsia"/>
                      </w:rPr>
                      <w:t>Williams.toddm@gmail.com</w:t>
                    </w:r>
                  </w:hyperlink>
                </w:p>
                <w:p w14:paraId="7155A57F" w14:textId="77777777" w:rsidR="00262327" w:rsidRDefault="00340A00" w:rsidP="0010491B">
                  <w:pPr>
                    <w:autoSpaceDE w:val="0"/>
                    <w:autoSpaceDN w:val="0"/>
                    <w:adjustRightInd w:val="0"/>
                  </w:pPr>
                  <w:hyperlink r:id="rId54" w:history="1">
                    <w:r w:rsidR="00262327">
                      <w:rPr>
                        <w:rStyle w:val="Hyperlink"/>
                        <w:rFonts w:eastAsiaTheme="majorEastAsia"/>
                      </w:rPr>
                      <w:t>ejacobs@ablelaw.org</w:t>
                    </w:r>
                  </w:hyperlink>
                </w:p>
                <w:p w14:paraId="7DBADA9D" w14:textId="77777777" w:rsidR="00262327" w:rsidRDefault="00340A00" w:rsidP="0010491B">
                  <w:pPr>
                    <w:autoSpaceDE w:val="0"/>
                    <w:autoSpaceDN w:val="0"/>
                    <w:adjustRightInd w:val="0"/>
                  </w:pPr>
                  <w:hyperlink r:id="rId55" w:history="1">
                    <w:r w:rsidR="00262327" w:rsidRPr="0039376C">
                      <w:rPr>
                        <w:rStyle w:val="Hyperlink"/>
                        <w:rFonts w:eastAsiaTheme="majorEastAsia"/>
                      </w:rPr>
                      <w:t>campbell@whitt-sturtevant.com</w:t>
                    </w:r>
                  </w:hyperlink>
                  <w:r w:rsidR="00262327">
                    <w:t xml:space="preserve"> </w:t>
                  </w:r>
                </w:p>
                <w:p w14:paraId="0461C561" w14:textId="77777777" w:rsidR="00262327" w:rsidRDefault="00340A00" w:rsidP="0010491B">
                  <w:pPr>
                    <w:autoSpaceDE w:val="0"/>
                    <w:autoSpaceDN w:val="0"/>
                    <w:adjustRightInd w:val="0"/>
                  </w:pPr>
                  <w:hyperlink r:id="rId56" w:history="1">
                    <w:r w:rsidR="00262327" w:rsidRPr="0039376C">
                      <w:rPr>
                        <w:rStyle w:val="Hyperlink"/>
                        <w:rFonts w:eastAsiaTheme="majorEastAsia"/>
                      </w:rPr>
                      <w:t>glover@whitt-sturtevant.com</w:t>
                    </w:r>
                  </w:hyperlink>
                  <w:r w:rsidR="00262327">
                    <w:t xml:space="preserve"> </w:t>
                  </w:r>
                </w:p>
                <w:p w14:paraId="35DDD5F5" w14:textId="77777777" w:rsidR="00262327" w:rsidRDefault="00340A00" w:rsidP="0010491B">
                  <w:pPr>
                    <w:autoSpaceDE w:val="0"/>
                    <w:autoSpaceDN w:val="0"/>
                    <w:adjustRightInd w:val="0"/>
                  </w:pPr>
                  <w:hyperlink r:id="rId57" w:history="1">
                    <w:r w:rsidR="00262327" w:rsidRPr="0039376C">
                      <w:rPr>
                        <w:rStyle w:val="Hyperlink"/>
                        <w:rFonts w:eastAsiaTheme="majorEastAsia"/>
                      </w:rPr>
                      <w:t>whitt@whitt-sturtevant.com</w:t>
                    </w:r>
                  </w:hyperlink>
                  <w:r w:rsidR="00262327">
                    <w:t xml:space="preserve"> </w:t>
                  </w:r>
                </w:p>
                <w:p w14:paraId="1A65E8EE" w14:textId="77777777" w:rsidR="00262327" w:rsidRDefault="00340A00" w:rsidP="0010491B">
                  <w:pPr>
                    <w:autoSpaceDE w:val="0"/>
                    <w:autoSpaceDN w:val="0"/>
                    <w:adjustRightInd w:val="0"/>
                  </w:pPr>
                  <w:hyperlink r:id="rId58" w:history="1">
                    <w:r w:rsidR="00262327" w:rsidRPr="0039376C">
                      <w:rPr>
                        <w:rStyle w:val="Hyperlink"/>
                        <w:rFonts w:eastAsiaTheme="majorEastAsia"/>
                      </w:rPr>
                      <w:t>myurick@taftlaw.com</w:t>
                    </w:r>
                  </w:hyperlink>
                  <w:r w:rsidR="00262327">
                    <w:t xml:space="preserve"> </w:t>
                  </w:r>
                </w:p>
                <w:p w14:paraId="52A5AC88" w14:textId="77777777" w:rsidR="00262327" w:rsidRDefault="00340A00" w:rsidP="0010491B">
                  <w:pPr>
                    <w:autoSpaceDE w:val="0"/>
                    <w:autoSpaceDN w:val="0"/>
                    <w:adjustRightInd w:val="0"/>
                  </w:pPr>
                  <w:hyperlink r:id="rId59" w:history="1">
                    <w:r w:rsidR="00262327" w:rsidRPr="0039376C">
                      <w:rPr>
                        <w:rStyle w:val="Hyperlink"/>
                        <w:rFonts w:eastAsiaTheme="majorEastAsia"/>
                      </w:rPr>
                      <w:t>stephen.chriss@wal-mart.com</w:t>
                    </w:r>
                  </w:hyperlink>
                  <w:r w:rsidR="00262327">
                    <w:t xml:space="preserve"> </w:t>
                  </w:r>
                </w:p>
                <w:p w14:paraId="38D8AE7B" w14:textId="77777777" w:rsidR="00262327" w:rsidRDefault="00262327" w:rsidP="0010491B">
                  <w:pPr>
                    <w:autoSpaceDE w:val="0"/>
                    <w:autoSpaceDN w:val="0"/>
                    <w:adjustRightInd w:val="0"/>
                  </w:pPr>
                </w:p>
                <w:p w14:paraId="6BAA6CB0" w14:textId="77777777" w:rsidR="00262327" w:rsidRDefault="00262327" w:rsidP="0010491B">
                  <w:pPr>
                    <w:autoSpaceDE w:val="0"/>
                    <w:autoSpaceDN w:val="0"/>
                    <w:adjustRightInd w:val="0"/>
                    <w:rPr>
                      <w:sz w:val="26"/>
                      <w:szCs w:val="26"/>
                    </w:rPr>
                  </w:pPr>
                </w:p>
              </w:tc>
            </w:tr>
          </w:tbl>
          <w:p w14:paraId="3C9E601C" w14:textId="77777777" w:rsidR="00262327" w:rsidRDefault="00262327" w:rsidP="003A3C90">
            <w:pPr>
              <w:pStyle w:val="CommentText"/>
            </w:pPr>
          </w:p>
        </w:tc>
      </w:tr>
    </w:tbl>
    <w:p w14:paraId="19A54A47" w14:textId="77777777" w:rsidR="003A3C90" w:rsidRDefault="003A3C90" w:rsidP="003A3C90">
      <w:pPr>
        <w:pStyle w:val="CommentText"/>
        <w:ind w:firstLine="720"/>
      </w:pPr>
    </w:p>
    <w:p w14:paraId="751F4B53" w14:textId="77777777" w:rsidR="00262327" w:rsidRDefault="00262327">
      <w:pPr>
        <w:spacing w:after="200" w:line="276" w:lineRule="auto"/>
      </w:pPr>
      <w:r>
        <w:br w:type="page"/>
      </w:r>
    </w:p>
    <w:p w14:paraId="4C999E92" w14:textId="77777777" w:rsidR="00E65864" w:rsidRPr="00E414FE" w:rsidRDefault="00E65864" w:rsidP="00E65864">
      <w:pPr>
        <w:pStyle w:val="Header"/>
        <w:jc w:val="center"/>
      </w:pPr>
      <w:r w:rsidRPr="00E414FE">
        <w:lastRenderedPageBreak/>
        <w:t>Attachment A</w:t>
      </w:r>
    </w:p>
    <w:p w14:paraId="3C6524C6" w14:textId="77777777" w:rsidR="00E65864" w:rsidRPr="00E414FE" w:rsidRDefault="00E65864" w:rsidP="00E65864">
      <w:pPr>
        <w:pStyle w:val="Header"/>
        <w:jc w:val="center"/>
      </w:pPr>
      <w:r w:rsidRPr="00E414FE">
        <w:t>Residential Customer Impact of DP&amp;L Proposal</w:t>
      </w:r>
    </w:p>
    <w:p w14:paraId="0F40A2B0" w14:textId="77777777" w:rsidR="00151E86" w:rsidRDefault="00151E86" w:rsidP="00262327">
      <w:pPr>
        <w:tabs>
          <w:tab w:val="left" w:pos="2869"/>
        </w:tabs>
        <w:spacing w:line="480" w:lineRule="auto"/>
        <w:ind w:firstLine="720"/>
      </w:pPr>
    </w:p>
    <w:tbl>
      <w:tblPr>
        <w:tblStyle w:val="TableGrid"/>
        <w:tblW w:w="0" w:type="auto"/>
        <w:tblLook w:val="04A0" w:firstRow="1" w:lastRow="0" w:firstColumn="1" w:lastColumn="0" w:noHBand="0" w:noVBand="1"/>
      </w:tblPr>
      <w:tblGrid>
        <w:gridCol w:w="4450"/>
        <w:gridCol w:w="4406"/>
      </w:tblGrid>
      <w:tr w:rsidR="00262327" w:rsidRPr="007748E8" w14:paraId="39D43871" w14:textId="77777777" w:rsidTr="0010491B">
        <w:tc>
          <w:tcPr>
            <w:tcW w:w="4450" w:type="dxa"/>
          </w:tcPr>
          <w:p w14:paraId="3DADFCD9" w14:textId="77777777" w:rsidR="00262327" w:rsidRPr="007748E8" w:rsidRDefault="00262327" w:rsidP="0010491B">
            <w:pPr>
              <w:rPr>
                <w:b/>
                <w:szCs w:val="24"/>
              </w:rPr>
            </w:pPr>
            <w:r>
              <w:rPr>
                <w:b/>
                <w:szCs w:val="24"/>
              </w:rPr>
              <w:t>Rider</w:t>
            </w:r>
            <w:r w:rsidRPr="007748E8">
              <w:rPr>
                <w:b/>
                <w:szCs w:val="24"/>
              </w:rPr>
              <w:t xml:space="preserve"> Being </w:t>
            </w:r>
            <w:r>
              <w:rPr>
                <w:b/>
                <w:szCs w:val="24"/>
              </w:rPr>
              <w:t>Eliminated</w:t>
            </w:r>
            <w:r w:rsidRPr="00E414FE">
              <w:rPr>
                <w:rStyle w:val="FootnoteReference"/>
                <w:sz w:val="20"/>
                <w:szCs w:val="24"/>
              </w:rPr>
              <w:footnoteReference w:id="42"/>
            </w:r>
          </w:p>
        </w:tc>
        <w:tc>
          <w:tcPr>
            <w:tcW w:w="4406" w:type="dxa"/>
          </w:tcPr>
          <w:p w14:paraId="56C9F28A" w14:textId="77777777" w:rsidR="00262327" w:rsidRPr="007748E8" w:rsidRDefault="00262327" w:rsidP="0010491B">
            <w:pPr>
              <w:rPr>
                <w:b/>
                <w:szCs w:val="24"/>
              </w:rPr>
            </w:pPr>
            <w:r w:rsidRPr="007748E8">
              <w:rPr>
                <w:b/>
                <w:szCs w:val="24"/>
              </w:rPr>
              <w:t>Cost Per Month</w:t>
            </w:r>
            <w:r w:rsidRPr="00E414FE">
              <w:rPr>
                <w:rStyle w:val="FootnoteReference"/>
                <w:sz w:val="20"/>
                <w:szCs w:val="24"/>
              </w:rPr>
              <w:footnoteReference w:id="43"/>
            </w:r>
          </w:p>
          <w:p w14:paraId="1C6A6C94" w14:textId="77777777" w:rsidR="00262327" w:rsidRPr="007748E8" w:rsidRDefault="00262327" w:rsidP="0010491B">
            <w:pPr>
              <w:rPr>
                <w:szCs w:val="24"/>
              </w:rPr>
            </w:pPr>
          </w:p>
        </w:tc>
      </w:tr>
      <w:tr w:rsidR="00262327" w:rsidRPr="007748E8" w14:paraId="2B158343" w14:textId="77777777" w:rsidTr="0010491B">
        <w:tc>
          <w:tcPr>
            <w:tcW w:w="4450" w:type="dxa"/>
          </w:tcPr>
          <w:p w14:paraId="1D861641" w14:textId="77777777" w:rsidR="00262327" w:rsidRPr="007748E8" w:rsidRDefault="00262327" w:rsidP="0010491B">
            <w:pPr>
              <w:rPr>
                <w:szCs w:val="24"/>
              </w:rPr>
            </w:pPr>
            <w:r w:rsidRPr="007748E8">
              <w:rPr>
                <w:szCs w:val="24"/>
              </w:rPr>
              <w:t>Service Stability Rider</w:t>
            </w:r>
          </w:p>
        </w:tc>
        <w:tc>
          <w:tcPr>
            <w:tcW w:w="4406" w:type="dxa"/>
          </w:tcPr>
          <w:p w14:paraId="3C106EDD" w14:textId="77777777" w:rsidR="00262327" w:rsidRPr="007748E8" w:rsidRDefault="00262327" w:rsidP="0010491B">
            <w:pPr>
              <w:rPr>
                <w:szCs w:val="24"/>
              </w:rPr>
            </w:pPr>
            <w:r w:rsidRPr="007748E8">
              <w:rPr>
                <w:szCs w:val="24"/>
              </w:rPr>
              <w:t>$9.85</w:t>
            </w:r>
          </w:p>
          <w:p w14:paraId="5D79F76A" w14:textId="77777777" w:rsidR="00262327" w:rsidRPr="007748E8" w:rsidRDefault="00262327" w:rsidP="0010491B">
            <w:pPr>
              <w:rPr>
                <w:szCs w:val="24"/>
              </w:rPr>
            </w:pPr>
          </w:p>
        </w:tc>
      </w:tr>
    </w:tbl>
    <w:p w14:paraId="73596E70" w14:textId="77777777" w:rsidR="00262327" w:rsidRPr="007748E8" w:rsidRDefault="00262327" w:rsidP="00262327">
      <w:pPr>
        <w:rPr>
          <w:szCs w:val="24"/>
        </w:rPr>
      </w:pPr>
    </w:p>
    <w:tbl>
      <w:tblPr>
        <w:tblStyle w:val="TableGrid"/>
        <w:tblW w:w="0" w:type="auto"/>
        <w:tblLook w:val="04A0" w:firstRow="1" w:lastRow="0" w:firstColumn="1" w:lastColumn="0" w:noHBand="0" w:noVBand="1"/>
      </w:tblPr>
      <w:tblGrid>
        <w:gridCol w:w="4466"/>
        <w:gridCol w:w="4390"/>
      </w:tblGrid>
      <w:tr w:rsidR="00262327" w:rsidRPr="007748E8" w14:paraId="32E25C86" w14:textId="77777777" w:rsidTr="0010491B">
        <w:tc>
          <w:tcPr>
            <w:tcW w:w="4788" w:type="dxa"/>
          </w:tcPr>
          <w:p w14:paraId="48EEBB5E" w14:textId="77777777" w:rsidR="00262327" w:rsidRPr="007748E8" w:rsidRDefault="00262327" w:rsidP="0010491B">
            <w:pPr>
              <w:rPr>
                <w:b/>
                <w:szCs w:val="24"/>
              </w:rPr>
            </w:pPr>
            <w:r w:rsidRPr="007748E8">
              <w:rPr>
                <w:b/>
                <w:szCs w:val="24"/>
              </w:rPr>
              <w:t>Riders Being Reinstated</w:t>
            </w:r>
          </w:p>
        </w:tc>
        <w:tc>
          <w:tcPr>
            <w:tcW w:w="4788" w:type="dxa"/>
          </w:tcPr>
          <w:p w14:paraId="0996E895" w14:textId="77777777" w:rsidR="00262327" w:rsidRPr="007748E8" w:rsidRDefault="00262327" w:rsidP="0010491B">
            <w:pPr>
              <w:rPr>
                <w:b/>
                <w:szCs w:val="24"/>
              </w:rPr>
            </w:pPr>
            <w:r w:rsidRPr="007748E8">
              <w:rPr>
                <w:b/>
                <w:szCs w:val="24"/>
              </w:rPr>
              <w:t>Cost Per Month</w:t>
            </w:r>
          </w:p>
          <w:p w14:paraId="7D655106" w14:textId="77777777" w:rsidR="00262327" w:rsidRPr="007748E8" w:rsidRDefault="00262327" w:rsidP="0010491B">
            <w:pPr>
              <w:rPr>
                <w:b/>
                <w:szCs w:val="24"/>
              </w:rPr>
            </w:pPr>
          </w:p>
        </w:tc>
      </w:tr>
      <w:tr w:rsidR="00262327" w:rsidRPr="007748E8" w14:paraId="33D9C2ED" w14:textId="77777777" w:rsidTr="0010491B">
        <w:tc>
          <w:tcPr>
            <w:tcW w:w="4788" w:type="dxa"/>
          </w:tcPr>
          <w:p w14:paraId="31045892" w14:textId="77777777" w:rsidR="00262327" w:rsidRPr="007748E8" w:rsidRDefault="00262327" w:rsidP="0010491B">
            <w:pPr>
              <w:rPr>
                <w:szCs w:val="24"/>
              </w:rPr>
            </w:pPr>
            <w:r>
              <w:rPr>
                <w:szCs w:val="24"/>
              </w:rPr>
              <w:t>Environmental Investment Rider</w:t>
            </w:r>
          </w:p>
        </w:tc>
        <w:tc>
          <w:tcPr>
            <w:tcW w:w="4788" w:type="dxa"/>
          </w:tcPr>
          <w:p w14:paraId="0EC6B55B" w14:textId="77777777" w:rsidR="00262327" w:rsidRDefault="00262327" w:rsidP="0010491B">
            <w:pPr>
              <w:rPr>
                <w:szCs w:val="24"/>
              </w:rPr>
            </w:pPr>
            <w:r>
              <w:rPr>
                <w:szCs w:val="24"/>
              </w:rPr>
              <w:t>$11.87</w:t>
            </w:r>
          </w:p>
          <w:p w14:paraId="78280F24" w14:textId="77777777" w:rsidR="00262327" w:rsidRPr="007748E8" w:rsidRDefault="00262327" w:rsidP="0010491B">
            <w:pPr>
              <w:rPr>
                <w:szCs w:val="24"/>
              </w:rPr>
            </w:pPr>
          </w:p>
        </w:tc>
      </w:tr>
      <w:tr w:rsidR="00262327" w:rsidRPr="007748E8" w14:paraId="2DBBB5B9" w14:textId="77777777" w:rsidTr="0010491B">
        <w:tc>
          <w:tcPr>
            <w:tcW w:w="4788" w:type="dxa"/>
          </w:tcPr>
          <w:p w14:paraId="4417D8D6" w14:textId="77777777" w:rsidR="00262327" w:rsidRPr="007748E8" w:rsidRDefault="00262327" w:rsidP="0010491B">
            <w:pPr>
              <w:rPr>
                <w:szCs w:val="24"/>
              </w:rPr>
            </w:pPr>
            <w:r>
              <w:rPr>
                <w:szCs w:val="24"/>
              </w:rPr>
              <w:t>Rate Stability Charge</w:t>
            </w:r>
          </w:p>
        </w:tc>
        <w:tc>
          <w:tcPr>
            <w:tcW w:w="4788" w:type="dxa"/>
          </w:tcPr>
          <w:p w14:paraId="61E6624E" w14:textId="77777777" w:rsidR="00262327" w:rsidRDefault="00262327" w:rsidP="0010491B">
            <w:pPr>
              <w:rPr>
                <w:szCs w:val="24"/>
              </w:rPr>
            </w:pPr>
            <w:r>
              <w:rPr>
                <w:szCs w:val="24"/>
              </w:rPr>
              <w:t>$6.05</w:t>
            </w:r>
          </w:p>
          <w:p w14:paraId="5E563EFF" w14:textId="77777777" w:rsidR="00262327" w:rsidRPr="007748E8" w:rsidRDefault="00262327" w:rsidP="0010491B">
            <w:pPr>
              <w:rPr>
                <w:szCs w:val="24"/>
              </w:rPr>
            </w:pPr>
          </w:p>
        </w:tc>
      </w:tr>
      <w:tr w:rsidR="00262327" w:rsidRPr="007748E8" w14:paraId="2606D7F0" w14:textId="77777777" w:rsidTr="0010491B">
        <w:tc>
          <w:tcPr>
            <w:tcW w:w="4788" w:type="dxa"/>
          </w:tcPr>
          <w:p w14:paraId="15374211" w14:textId="77777777" w:rsidR="00262327" w:rsidRPr="00AB3344" w:rsidRDefault="00262327" w:rsidP="0010491B">
            <w:pPr>
              <w:rPr>
                <w:b/>
                <w:szCs w:val="24"/>
              </w:rPr>
            </w:pPr>
            <w:r>
              <w:rPr>
                <w:b/>
                <w:szCs w:val="24"/>
              </w:rPr>
              <w:t xml:space="preserve">Total </w:t>
            </w:r>
          </w:p>
          <w:p w14:paraId="03EE4113" w14:textId="77777777" w:rsidR="00262327" w:rsidRPr="00AB3344" w:rsidRDefault="00262327" w:rsidP="0010491B">
            <w:pPr>
              <w:rPr>
                <w:b/>
                <w:szCs w:val="24"/>
              </w:rPr>
            </w:pPr>
          </w:p>
        </w:tc>
        <w:tc>
          <w:tcPr>
            <w:tcW w:w="4788" w:type="dxa"/>
          </w:tcPr>
          <w:p w14:paraId="66432089" w14:textId="77777777" w:rsidR="00262327" w:rsidRPr="00AB3344" w:rsidRDefault="00262327" w:rsidP="0010491B">
            <w:pPr>
              <w:rPr>
                <w:b/>
                <w:szCs w:val="24"/>
              </w:rPr>
            </w:pPr>
            <w:r w:rsidRPr="00AB3344">
              <w:rPr>
                <w:b/>
                <w:szCs w:val="24"/>
              </w:rPr>
              <w:t>$17.92</w:t>
            </w:r>
          </w:p>
          <w:p w14:paraId="38440F2C" w14:textId="77777777" w:rsidR="00262327" w:rsidRPr="00AB3344" w:rsidRDefault="00262327" w:rsidP="0010491B">
            <w:pPr>
              <w:rPr>
                <w:b/>
                <w:szCs w:val="24"/>
              </w:rPr>
            </w:pPr>
          </w:p>
        </w:tc>
      </w:tr>
      <w:tr w:rsidR="00262327" w:rsidRPr="007748E8" w14:paraId="3DB7A8EC" w14:textId="77777777" w:rsidTr="0010491B">
        <w:tc>
          <w:tcPr>
            <w:tcW w:w="4788" w:type="dxa"/>
          </w:tcPr>
          <w:p w14:paraId="6F96DA91" w14:textId="77777777" w:rsidR="00262327" w:rsidRDefault="00262327" w:rsidP="0010491B">
            <w:pPr>
              <w:rPr>
                <w:b/>
                <w:szCs w:val="24"/>
              </w:rPr>
            </w:pPr>
          </w:p>
        </w:tc>
        <w:tc>
          <w:tcPr>
            <w:tcW w:w="4788" w:type="dxa"/>
          </w:tcPr>
          <w:p w14:paraId="094BD85A" w14:textId="77777777" w:rsidR="00262327" w:rsidRPr="00AB3344" w:rsidRDefault="00262327" w:rsidP="0010491B">
            <w:pPr>
              <w:rPr>
                <w:b/>
                <w:szCs w:val="24"/>
              </w:rPr>
            </w:pPr>
          </w:p>
        </w:tc>
      </w:tr>
      <w:tr w:rsidR="00262327" w:rsidRPr="007748E8" w14:paraId="65B6B84F" w14:textId="77777777" w:rsidTr="0010491B">
        <w:tc>
          <w:tcPr>
            <w:tcW w:w="4788" w:type="dxa"/>
          </w:tcPr>
          <w:p w14:paraId="49D8305D" w14:textId="77777777" w:rsidR="00262327" w:rsidRDefault="00262327" w:rsidP="0010491B">
            <w:pPr>
              <w:rPr>
                <w:b/>
                <w:szCs w:val="24"/>
              </w:rPr>
            </w:pPr>
            <w:r>
              <w:rPr>
                <w:b/>
                <w:szCs w:val="24"/>
              </w:rPr>
              <w:t>Total Net Impact</w:t>
            </w:r>
          </w:p>
        </w:tc>
        <w:tc>
          <w:tcPr>
            <w:tcW w:w="4788" w:type="dxa"/>
          </w:tcPr>
          <w:p w14:paraId="05C43655" w14:textId="77777777" w:rsidR="00262327" w:rsidRDefault="00262327" w:rsidP="0010491B">
            <w:pPr>
              <w:rPr>
                <w:b/>
                <w:szCs w:val="24"/>
              </w:rPr>
            </w:pPr>
            <w:r>
              <w:rPr>
                <w:b/>
                <w:szCs w:val="24"/>
              </w:rPr>
              <w:t>$8.07</w:t>
            </w:r>
          </w:p>
          <w:p w14:paraId="5365067C" w14:textId="77777777" w:rsidR="00262327" w:rsidRPr="00AB3344" w:rsidRDefault="00262327" w:rsidP="0010491B">
            <w:pPr>
              <w:rPr>
                <w:b/>
                <w:szCs w:val="24"/>
              </w:rPr>
            </w:pPr>
          </w:p>
        </w:tc>
      </w:tr>
    </w:tbl>
    <w:p w14:paraId="2DC992CE" w14:textId="77777777" w:rsidR="00262327" w:rsidRDefault="00262327" w:rsidP="00262327"/>
    <w:p w14:paraId="2911B617" w14:textId="77777777" w:rsidR="00262327" w:rsidRDefault="00262327" w:rsidP="00262327"/>
    <w:p w14:paraId="27834E40" w14:textId="77777777" w:rsidR="00262327" w:rsidRDefault="00262327" w:rsidP="00262327"/>
    <w:p w14:paraId="735DA212" w14:textId="77777777" w:rsidR="00262327" w:rsidRPr="0002563A" w:rsidRDefault="00262327" w:rsidP="005D06BB">
      <w:pPr>
        <w:spacing w:line="480" w:lineRule="auto"/>
        <w:ind w:firstLine="720"/>
      </w:pPr>
    </w:p>
    <w:sectPr w:rsidR="00262327" w:rsidRPr="0002563A" w:rsidSect="0036320F">
      <w:footerReference w:type="default" r:id="rId6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AAD04" w15:done="0"/>
  <w15:commentEx w15:paraId="515961B4" w15:done="0"/>
  <w15:commentEx w15:paraId="47029DAF" w15:done="0"/>
  <w15:commentEx w15:paraId="55EDF661" w15:done="0"/>
  <w15:commentEx w15:paraId="01AA2A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D44B1" w14:textId="77777777" w:rsidR="001B690D" w:rsidRDefault="001B690D" w:rsidP="003D5297">
      <w:r>
        <w:separator/>
      </w:r>
    </w:p>
  </w:endnote>
  <w:endnote w:type="continuationSeparator" w:id="0">
    <w:p w14:paraId="281D7797" w14:textId="77777777" w:rsidR="001B690D" w:rsidRDefault="001B690D" w:rsidP="003D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62EC" w14:textId="2B79B264" w:rsidR="000B7F81" w:rsidRDefault="000B7F8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92160"/>
      <w:docPartObj>
        <w:docPartGallery w:val="Page Numbers (Bottom of Page)"/>
        <w:docPartUnique/>
      </w:docPartObj>
    </w:sdtPr>
    <w:sdtEndPr>
      <w:rPr>
        <w:noProof/>
      </w:rPr>
    </w:sdtEndPr>
    <w:sdtContent>
      <w:p w14:paraId="050B53B8" w14:textId="77777777" w:rsidR="000B7F81" w:rsidRDefault="000B7F81">
        <w:pPr>
          <w:pStyle w:val="Footer"/>
          <w:jc w:val="center"/>
        </w:pPr>
        <w:r>
          <w:fldChar w:fldCharType="begin"/>
        </w:r>
        <w:r>
          <w:instrText xml:space="preserve"> PAGE   \* MERGEFORMAT </w:instrText>
        </w:r>
        <w:r>
          <w:fldChar w:fldCharType="separate"/>
        </w:r>
        <w:r w:rsidR="004C47B8">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C2C55" w14:textId="77777777" w:rsidR="00E16B4A" w:rsidRDefault="00E16B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F52B9" w14:textId="77777777" w:rsidR="001B690D" w:rsidRDefault="001B690D" w:rsidP="003D5297">
      <w:r>
        <w:separator/>
      </w:r>
    </w:p>
  </w:footnote>
  <w:footnote w:type="continuationSeparator" w:id="0">
    <w:p w14:paraId="206BFA61" w14:textId="77777777" w:rsidR="001B690D" w:rsidRDefault="001B690D" w:rsidP="003D5297">
      <w:r>
        <w:continuationSeparator/>
      </w:r>
    </w:p>
  </w:footnote>
  <w:footnote w:id="1">
    <w:p w14:paraId="1451A557" w14:textId="1215908C" w:rsidR="00355459" w:rsidRPr="00387978" w:rsidRDefault="00355459" w:rsidP="00387978">
      <w:pPr>
        <w:pStyle w:val="FootnoteText"/>
        <w:spacing w:after="120"/>
      </w:pPr>
      <w:r w:rsidRPr="00387978">
        <w:rPr>
          <w:rStyle w:val="FootnoteReference"/>
        </w:rPr>
        <w:footnoteRef/>
      </w:r>
      <w:r w:rsidR="00FB2179" w:rsidRPr="00387978">
        <w:t xml:space="preserve"> See A</w:t>
      </w:r>
      <w:r w:rsidRPr="00387978">
        <w:t>ttach</w:t>
      </w:r>
      <w:r w:rsidR="00FB2179" w:rsidRPr="00387978">
        <w:t>ment A</w:t>
      </w:r>
      <w:r w:rsidR="002757EF">
        <w:t>, which shows a calculation of how DP&amp;L is increasing consumers’ rates</w:t>
      </w:r>
      <w:r w:rsidR="00FB2179" w:rsidRPr="00387978">
        <w:t>.</w:t>
      </w:r>
      <w:r w:rsidRPr="00387978">
        <w:t xml:space="preserve">  </w:t>
      </w:r>
    </w:p>
  </w:footnote>
  <w:footnote w:id="2">
    <w:p w14:paraId="1B40BF3E" w14:textId="77777777" w:rsidR="00823AA2" w:rsidRPr="00387978" w:rsidRDefault="00823AA2" w:rsidP="00387978">
      <w:pPr>
        <w:pStyle w:val="FootnoteText"/>
        <w:spacing w:after="120"/>
      </w:pPr>
      <w:r w:rsidRPr="00387978">
        <w:rPr>
          <w:rStyle w:val="FootnoteReference"/>
        </w:rPr>
        <w:footnoteRef/>
      </w:r>
      <w:r w:rsidRPr="00387978">
        <w:t xml:space="preserve"> See </w:t>
      </w:r>
      <w:r w:rsidRPr="00387978">
        <w:rPr>
          <w:i/>
          <w:iCs/>
        </w:rPr>
        <w:t>In the Matter of the Application of the Dayton Power &amp; Light Company for Approval of its Market Rate Offer,</w:t>
      </w:r>
      <w:r w:rsidRPr="00387978">
        <w:t xml:space="preserve"> Case No. 12-426-EL-SSO et al., </w:t>
      </w:r>
      <w:r w:rsidR="00387978" w:rsidRPr="00387978">
        <w:t xml:space="preserve">Supreme Court mandate </w:t>
      </w:r>
      <w:r w:rsidRPr="00387978">
        <w:t xml:space="preserve">(July 19, </w:t>
      </w:r>
      <w:r w:rsidR="003A3C90">
        <w:t>2016</w:t>
      </w:r>
      <w:r w:rsidRPr="00387978">
        <w:t>).</w:t>
      </w:r>
    </w:p>
  </w:footnote>
  <w:footnote w:id="3">
    <w:p w14:paraId="1DF56FB0" w14:textId="34EE6873" w:rsidR="00FB2179" w:rsidRPr="00387978" w:rsidRDefault="00823AA2" w:rsidP="00387978">
      <w:pPr>
        <w:pStyle w:val="FootnoteText"/>
        <w:spacing w:after="120"/>
      </w:pPr>
      <w:r w:rsidRPr="00387978">
        <w:rPr>
          <w:rStyle w:val="FootnoteReference"/>
        </w:rPr>
        <w:footnoteRef/>
      </w:r>
      <w:r w:rsidRPr="00387978">
        <w:t xml:space="preserve"> On August 11, 2016, OCC filed a Memorandum Contra DP&amp;L's motions. </w:t>
      </w:r>
      <w:r w:rsidR="003A3395" w:rsidRPr="00387978">
        <w:t>There</w:t>
      </w:r>
      <w:r w:rsidR="00ED5C70">
        <w:t>,</w:t>
      </w:r>
      <w:r w:rsidR="003A3395" w:rsidRPr="00387978">
        <w:t xml:space="preserve"> OCC explained how DP&amp;L</w:t>
      </w:r>
      <w:r w:rsidR="00956950">
        <w:t>’s</w:t>
      </w:r>
      <w:r w:rsidR="003A3395" w:rsidRPr="00387978">
        <w:t xml:space="preserve"> scheme defies the Court's ruling and is not permissible under Ohio law.  </w:t>
      </w:r>
      <w:r w:rsidR="0000534D" w:rsidRPr="00387978">
        <w:t>Th</w:t>
      </w:r>
      <w:r w:rsidR="00515E73">
        <w:t>ose</w:t>
      </w:r>
      <w:r w:rsidR="0000534D" w:rsidRPr="00387978">
        <w:t xml:space="preserve"> arguments</w:t>
      </w:r>
      <w:r w:rsidR="003A3395" w:rsidRPr="00387978">
        <w:t xml:space="preserve"> are incorporated by reference</w:t>
      </w:r>
      <w:r w:rsidR="00AA75C4">
        <w:t xml:space="preserve"> here</w:t>
      </w:r>
      <w:r w:rsidR="003A3395" w:rsidRPr="00387978">
        <w:t xml:space="preserve">.  </w:t>
      </w:r>
    </w:p>
  </w:footnote>
  <w:footnote w:id="4">
    <w:p w14:paraId="6BCA7552" w14:textId="77777777" w:rsidR="003D5297" w:rsidRPr="00387978" w:rsidRDefault="003D5297" w:rsidP="00387978">
      <w:pPr>
        <w:pStyle w:val="FootnoteText"/>
        <w:spacing w:after="120"/>
      </w:pPr>
      <w:r w:rsidRPr="00387978">
        <w:rPr>
          <w:rStyle w:val="FootnoteReference"/>
        </w:rPr>
        <w:footnoteRef/>
      </w:r>
      <w:r w:rsidRPr="00387978">
        <w:t xml:space="preserve"> </w:t>
      </w:r>
      <w:r w:rsidRPr="00387978">
        <w:rPr>
          <w:i/>
        </w:rPr>
        <w:t xml:space="preserve">In the Matter of the Application of </w:t>
      </w:r>
      <w:r w:rsidR="00F2581B" w:rsidRPr="00387978">
        <w:rPr>
          <w:i/>
        </w:rPr>
        <w:t xml:space="preserve"> </w:t>
      </w:r>
      <w:r w:rsidRPr="00387978">
        <w:rPr>
          <w:i/>
        </w:rPr>
        <w:t>The Dayton Power and Light Company for Approval of its Electric Security Plan</w:t>
      </w:r>
      <w:r w:rsidR="00F2581B" w:rsidRPr="00387978">
        <w:t xml:space="preserve">, Case No. </w:t>
      </w:r>
      <w:r w:rsidRPr="00387978">
        <w:t>89-1094-EL-SSO</w:t>
      </w:r>
      <w:r w:rsidR="00F2581B" w:rsidRPr="00387978">
        <w:t>, DP&amp;L Notice of Filing Proposed Tariffs (Aug. 1, 2016)</w:t>
      </w:r>
      <w:r w:rsidRPr="00387978">
        <w:t>.</w:t>
      </w:r>
    </w:p>
  </w:footnote>
  <w:footnote w:id="5">
    <w:p w14:paraId="5103C871" w14:textId="77777777" w:rsidR="00482F5C" w:rsidRPr="00387978" w:rsidRDefault="00482F5C" w:rsidP="00387978">
      <w:pPr>
        <w:pStyle w:val="FootnoteText"/>
        <w:spacing w:after="120"/>
      </w:pPr>
      <w:r w:rsidRPr="00387978">
        <w:rPr>
          <w:rStyle w:val="FootnoteReference"/>
        </w:rPr>
        <w:footnoteRef/>
      </w:r>
      <w:r w:rsidRPr="00387978">
        <w:t xml:space="preserve"> </w:t>
      </w:r>
      <w:r w:rsidRPr="00387978">
        <w:rPr>
          <w:i/>
          <w:iCs/>
        </w:rPr>
        <w:t>In the Matter of the Application of the Dayton Power &amp; Light Company for Approval of its Market Rate Offer,</w:t>
      </w:r>
      <w:r w:rsidRPr="00387978">
        <w:t xml:space="preserve"> Case No. 12-426-EL-SSO et al., OCC Memo Contra Motions of DP&amp;L  (Aug. 11, 2016).  </w:t>
      </w:r>
    </w:p>
  </w:footnote>
  <w:footnote w:id="6">
    <w:p w14:paraId="192D886C" w14:textId="77777777" w:rsidR="001053C5" w:rsidRPr="00387978" w:rsidRDefault="00CA629B" w:rsidP="00387978">
      <w:pPr>
        <w:pStyle w:val="FootnoteText"/>
        <w:spacing w:after="120"/>
      </w:pPr>
      <w:r w:rsidRPr="00387978">
        <w:rPr>
          <w:rStyle w:val="FootnoteReference"/>
        </w:rPr>
        <w:footnoteRef/>
      </w:r>
      <w:r w:rsidR="003A3C90">
        <w:t xml:space="preserve"> </w:t>
      </w:r>
      <w:r w:rsidRPr="00387978">
        <w:t>There was no widespread reversal as DP&amp;L claims.  The facts do not be</w:t>
      </w:r>
      <w:r w:rsidR="00355459" w:rsidRPr="00387978">
        <w:t>ar out DP&amp;L's claims.  The Court's brief opinion referred to its earlier decis</w:t>
      </w:r>
      <w:r w:rsidR="00482F5C" w:rsidRPr="00387978">
        <w:t xml:space="preserve">ion in the AEP Ohio case which </w:t>
      </w:r>
      <w:r w:rsidR="00355459" w:rsidRPr="00387978">
        <w:t xml:space="preserve">addressed transition charges.  </w:t>
      </w:r>
      <w:r w:rsidR="00482F5C" w:rsidRPr="00387978">
        <w:t xml:space="preserve">See </w:t>
      </w:r>
      <w:r w:rsidR="00482F5C" w:rsidRPr="00387978">
        <w:rPr>
          <w:i/>
        </w:rPr>
        <w:t>In re: Application of Dayton Power &amp; Light Co</w:t>
      </w:r>
      <w:r w:rsidR="00482F5C" w:rsidRPr="00387978">
        <w:t xml:space="preserve">., Slip. Op. No. 2016-Ohio-3490, S.Ct. Case No. 2014-1505 (June 20, 2016).  </w:t>
      </w:r>
      <w:r w:rsidR="00355459" w:rsidRPr="00387978">
        <w:t xml:space="preserve">Otherwise, the PUCO's Opinion and Order was affirmed.  </w:t>
      </w:r>
    </w:p>
  </w:footnote>
  <w:footnote w:id="7">
    <w:p w14:paraId="02D743E5" w14:textId="77777777" w:rsidR="00EB0025" w:rsidRPr="00387978" w:rsidRDefault="00EB0025" w:rsidP="00387978">
      <w:pPr>
        <w:pStyle w:val="FootnoteText"/>
        <w:spacing w:after="120"/>
      </w:pPr>
      <w:r w:rsidRPr="00387978">
        <w:rPr>
          <w:rStyle w:val="FootnoteReference"/>
        </w:rPr>
        <w:footnoteRef/>
      </w:r>
      <w:r w:rsidRPr="00387978">
        <w:t xml:space="preserve"> </w:t>
      </w:r>
      <w:r w:rsidRPr="00387978">
        <w:rPr>
          <w:i/>
        </w:rPr>
        <w:t>In re: Application of Dayton Power &amp; Light Co</w:t>
      </w:r>
      <w:r w:rsidRPr="00387978">
        <w:t>., Slip. Op. No. 2016-Ohio-3490, S.Ct. Case No. 2014-1505 (June 20, 2016).</w:t>
      </w:r>
    </w:p>
  </w:footnote>
  <w:footnote w:id="8">
    <w:p w14:paraId="1754658F" w14:textId="77777777" w:rsidR="00E512A3" w:rsidRPr="00387978" w:rsidRDefault="00277A33" w:rsidP="00387978">
      <w:pPr>
        <w:pStyle w:val="FootnoteText"/>
        <w:spacing w:after="120"/>
      </w:pPr>
      <w:r w:rsidRPr="00387978">
        <w:rPr>
          <w:rStyle w:val="FootnoteReference"/>
        </w:rPr>
        <w:footnoteRef/>
      </w:r>
      <w:r w:rsidRPr="00387978">
        <w:t xml:space="preserve"> </w:t>
      </w:r>
      <w:r w:rsidRPr="00387978">
        <w:rPr>
          <w:i/>
        </w:rPr>
        <w:t xml:space="preserve">In the Matter of </w:t>
      </w:r>
      <w:r w:rsidR="00EC7EB8" w:rsidRPr="00387978">
        <w:rPr>
          <w:i/>
        </w:rPr>
        <w:t>the Application of The Dayton Power and Light Company for the Creation of a Rate Stabilization Surcharge Rider and Distribution Rate Increase</w:t>
      </w:r>
      <w:r w:rsidR="00EC7EB8" w:rsidRPr="00387978">
        <w:t>, Case No. 05-276-EL-AIR, Opinion and Order (Dec. 28, 2005)</w:t>
      </w:r>
      <w:r w:rsidR="00BB50E4" w:rsidRPr="00387978">
        <w:t>(adopting Stipulation with rate stabilization charge)</w:t>
      </w:r>
      <w:r w:rsidR="00EC7EB8" w:rsidRPr="00387978">
        <w:t xml:space="preserve">. </w:t>
      </w:r>
    </w:p>
  </w:footnote>
  <w:footnote w:id="9">
    <w:p w14:paraId="1BC8EFBA" w14:textId="77777777" w:rsidR="00F24232" w:rsidRPr="00387978" w:rsidRDefault="00F24232" w:rsidP="00387978">
      <w:pPr>
        <w:pStyle w:val="FootnoteText"/>
        <w:spacing w:after="120"/>
      </w:pPr>
      <w:r w:rsidRPr="00387978">
        <w:rPr>
          <w:rStyle w:val="FootnoteReference"/>
        </w:rPr>
        <w:footnoteRef/>
      </w:r>
      <w:r w:rsidRPr="00387978">
        <w:t xml:space="preserve"> </w:t>
      </w:r>
      <w:r w:rsidR="00E92347" w:rsidRPr="00387978">
        <w:rPr>
          <w:i/>
        </w:rPr>
        <w:t>In the Matter of the Continuation of the Rate Freeze and Extensi</w:t>
      </w:r>
      <w:r w:rsidR="007A1411" w:rsidRPr="00387978">
        <w:rPr>
          <w:i/>
        </w:rPr>
        <w:t>on of the Market Development Pe</w:t>
      </w:r>
      <w:r w:rsidR="00E92347" w:rsidRPr="00387978">
        <w:rPr>
          <w:i/>
        </w:rPr>
        <w:t>r</w:t>
      </w:r>
      <w:r w:rsidR="007A1411" w:rsidRPr="00387978">
        <w:rPr>
          <w:i/>
        </w:rPr>
        <w:t>i</w:t>
      </w:r>
      <w:r w:rsidR="00E92347" w:rsidRPr="00387978">
        <w:rPr>
          <w:i/>
        </w:rPr>
        <w:t>od for The Dayton Power and Light Company</w:t>
      </w:r>
      <w:r w:rsidR="00E92347" w:rsidRPr="00387978">
        <w:t xml:space="preserve">, </w:t>
      </w:r>
      <w:r w:rsidR="00277A33" w:rsidRPr="00387978">
        <w:t>Case No. 02-2779-EL-ATA, Stipula</w:t>
      </w:r>
      <w:r w:rsidR="00E92347" w:rsidRPr="00387978">
        <w:t>tion  at 13-14 , ¶IX</w:t>
      </w:r>
      <w:r w:rsidR="00277A33" w:rsidRPr="00387978">
        <w:t xml:space="preserve"> E (May 28, 2003)</w:t>
      </w:r>
      <w:r w:rsidR="00BB50E4" w:rsidRPr="00387978">
        <w:t>.</w:t>
      </w:r>
    </w:p>
  </w:footnote>
  <w:footnote w:id="10">
    <w:p w14:paraId="06A175B6" w14:textId="77777777" w:rsidR="00E512A3" w:rsidRPr="00387978" w:rsidRDefault="00BF120C" w:rsidP="00387978">
      <w:pPr>
        <w:pStyle w:val="FootnoteText"/>
        <w:spacing w:after="120"/>
      </w:pPr>
      <w:r w:rsidRPr="00387978">
        <w:rPr>
          <w:rStyle w:val="FootnoteReference"/>
        </w:rPr>
        <w:footnoteRef/>
      </w:r>
      <w:r w:rsidRPr="00387978">
        <w:t xml:space="preserve"> OCC was not a signatory party to the stipulation and opposed the stipulation.   </w:t>
      </w:r>
    </w:p>
  </w:footnote>
  <w:footnote w:id="11">
    <w:p w14:paraId="7B2D7100" w14:textId="77777777" w:rsidR="00A074D2" w:rsidRPr="00387978" w:rsidRDefault="00A074D2" w:rsidP="00387978">
      <w:pPr>
        <w:pStyle w:val="FootnoteText"/>
        <w:spacing w:after="120"/>
      </w:pPr>
      <w:r w:rsidRPr="00387978">
        <w:rPr>
          <w:rStyle w:val="FootnoteReference"/>
        </w:rPr>
        <w:footnoteRef/>
      </w:r>
      <w:r w:rsidR="003A3C90">
        <w:rPr>
          <w:i/>
        </w:rPr>
        <w:t xml:space="preserve"> </w:t>
      </w:r>
      <w:r w:rsidRPr="00387978">
        <w:rPr>
          <w:i/>
        </w:rPr>
        <w:t>In the Matter of the Application of The Dayton Power and Light Company for the Creation of a Rate Stabilization Surcharge Rider and Distribution Rate Increase</w:t>
      </w:r>
      <w:r w:rsidRPr="00387978">
        <w:t xml:space="preserve">, Case No. 05-276-EL-AIR, Opinion and Order  at 11 (Dec. 28, 2005). </w:t>
      </w:r>
    </w:p>
  </w:footnote>
  <w:footnote w:id="12">
    <w:p w14:paraId="1954FB72" w14:textId="77777777" w:rsidR="00E512A3" w:rsidRPr="00387978" w:rsidRDefault="00BB50E4" w:rsidP="00387978">
      <w:pPr>
        <w:pStyle w:val="FootnoteText"/>
        <w:spacing w:after="120"/>
      </w:pPr>
      <w:r w:rsidRPr="00387978">
        <w:rPr>
          <w:rStyle w:val="FootnoteReference"/>
        </w:rPr>
        <w:footnoteRef/>
      </w:r>
      <w:r w:rsidRPr="00387978">
        <w:t xml:space="preserve"> Id. Stipulati</w:t>
      </w:r>
      <w:r w:rsidR="00F2581B" w:rsidRPr="00387978">
        <w:t>on and Recommendation at 5 ¶C (</w:t>
      </w:r>
      <w:r w:rsidRPr="00387978">
        <w:t>Nov. 3, 2005).</w:t>
      </w:r>
    </w:p>
  </w:footnote>
  <w:footnote w:id="13">
    <w:p w14:paraId="6C3F145C" w14:textId="77777777" w:rsidR="00E512A3" w:rsidRPr="00387978" w:rsidRDefault="00EC7EB8" w:rsidP="00387978">
      <w:pPr>
        <w:pStyle w:val="FootnoteText"/>
        <w:spacing w:after="120"/>
      </w:pPr>
      <w:r w:rsidRPr="00387978">
        <w:rPr>
          <w:rStyle w:val="FootnoteReference"/>
        </w:rPr>
        <w:footnoteRef/>
      </w:r>
      <w:r w:rsidRPr="00387978">
        <w:t xml:space="preserve"> </w:t>
      </w:r>
      <w:r w:rsidRPr="00387978">
        <w:rPr>
          <w:i/>
        </w:rPr>
        <w:t>In the Matter of the Application of The Dayton Power and Light Company for Approval of its Electric Security Plan,</w:t>
      </w:r>
      <w:r w:rsidRPr="00387978">
        <w:t xml:space="preserve"> Case No. 08-1094-EL-SSO, </w:t>
      </w:r>
      <w:r w:rsidR="00DA1C9D" w:rsidRPr="00387978">
        <w:t xml:space="preserve">Stipulation and Recommendation at </w:t>
      </w:r>
      <w:r w:rsidR="00A074D2" w:rsidRPr="00387978">
        <w:t>4</w:t>
      </w:r>
      <w:r w:rsidR="00DA1C9D" w:rsidRPr="00387978">
        <w:t xml:space="preserve">  (Feb. 24, 2009).  </w:t>
      </w:r>
    </w:p>
  </w:footnote>
  <w:footnote w:id="14">
    <w:p w14:paraId="4AFD065B" w14:textId="77777777" w:rsidR="0055211C" w:rsidRPr="00387978" w:rsidRDefault="00DA1C9D" w:rsidP="00387978">
      <w:pPr>
        <w:pStyle w:val="FootnoteText"/>
        <w:spacing w:after="120"/>
      </w:pPr>
      <w:r w:rsidRPr="00387978">
        <w:rPr>
          <w:rStyle w:val="FootnoteReference"/>
        </w:rPr>
        <w:footnoteRef/>
      </w:r>
      <w:r w:rsidR="003A3C90">
        <w:t xml:space="preserve"> </w:t>
      </w:r>
      <w:r w:rsidR="00387978" w:rsidRPr="00387978">
        <w:t xml:space="preserve">Id., Opinion and Order </w:t>
      </w:r>
      <w:r w:rsidR="00F2581B" w:rsidRPr="00387978">
        <w:t xml:space="preserve">(June 24, 2009). </w:t>
      </w:r>
      <w:r w:rsidR="00EF4664" w:rsidRPr="00387978">
        <w:t xml:space="preserve"> </w:t>
      </w:r>
      <w:r w:rsidRPr="00387978">
        <w:t xml:space="preserve"> </w:t>
      </w:r>
      <w:r w:rsidR="00F2581B" w:rsidRPr="00387978">
        <w:t xml:space="preserve">  </w:t>
      </w:r>
      <w:r w:rsidR="00144217" w:rsidRPr="00387978">
        <w:t xml:space="preserve">  </w:t>
      </w:r>
    </w:p>
  </w:footnote>
  <w:footnote w:id="15">
    <w:p w14:paraId="67E9B17D" w14:textId="77777777" w:rsidR="00151D9A" w:rsidRPr="00387978" w:rsidRDefault="00151D9A" w:rsidP="00387978">
      <w:pPr>
        <w:pStyle w:val="FootnoteText"/>
        <w:spacing w:after="120"/>
      </w:pPr>
      <w:r w:rsidRPr="00387978">
        <w:rPr>
          <w:rStyle w:val="FootnoteReference"/>
        </w:rPr>
        <w:footnoteRef/>
      </w:r>
      <w:r w:rsidRPr="00387978">
        <w:t xml:space="preserve"> </w:t>
      </w:r>
      <w:r w:rsidRPr="00387978">
        <w:rPr>
          <w:i/>
          <w:iCs/>
        </w:rPr>
        <w:t>In the Matter of the Application of the Dayton Power &amp; Light Company for Approval of its Market Rate Offer,</w:t>
      </w:r>
      <w:r w:rsidRPr="00387978">
        <w:t xml:space="preserve"> Case No. 12-426-EL-SSO et al., Application at 9 (Mar. 30, 2012).</w:t>
      </w:r>
    </w:p>
  </w:footnote>
  <w:footnote w:id="16">
    <w:p w14:paraId="0B4AFFD9" w14:textId="77777777" w:rsidR="00151D9A" w:rsidRPr="00387978" w:rsidRDefault="00151D9A" w:rsidP="00387978">
      <w:pPr>
        <w:pStyle w:val="FootnoteText"/>
        <w:spacing w:after="120"/>
      </w:pPr>
      <w:r w:rsidRPr="00387978">
        <w:rPr>
          <w:rStyle w:val="FootnoteReference"/>
        </w:rPr>
        <w:footnoteRef/>
      </w:r>
      <w:r w:rsidRPr="00387978">
        <w:t xml:space="preserve"> Id. </w:t>
      </w:r>
    </w:p>
  </w:footnote>
  <w:footnote w:id="17">
    <w:p w14:paraId="5745EFD6" w14:textId="03F0C598" w:rsidR="00151D9A" w:rsidRPr="00387978" w:rsidRDefault="00151D9A" w:rsidP="00387978">
      <w:pPr>
        <w:pStyle w:val="FootnoteText"/>
        <w:spacing w:after="120"/>
      </w:pPr>
      <w:r w:rsidRPr="00387978">
        <w:rPr>
          <w:rStyle w:val="FootnoteReference"/>
        </w:rPr>
        <w:footnoteRef/>
      </w:r>
      <w:r w:rsidRPr="00387978">
        <w:t xml:space="preserve"> Id. at 7. </w:t>
      </w:r>
      <w:r w:rsidR="003D3D67" w:rsidRPr="00387978">
        <w:t xml:space="preserve">At the same time it proposed to withdraw the smaller RSC charge.  </w:t>
      </w:r>
      <w:r w:rsidRPr="00387978">
        <w:t xml:space="preserve"> </w:t>
      </w:r>
    </w:p>
  </w:footnote>
  <w:footnote w:id="18">
    <w:p w14:paraId="310ED3F0" w14:textId="77777777" w:rsidR="005051A4" w:rsidRPr="00387978" w:rsidRDefault="005051A4" w:rsidP="00387978">
      <w:pPr>
        <w:pStyle w:val="FootnoteText"/>
        <w:spacing w:after="120"/>
      </w:pPr>
      <w:r w:rsidRPr="00387978">
        <w:rPr>
          <w:rStyle w:val="FootnoteReference"/>
        </w:rPr>
        <w:footnoteRef/>
      </w:r>
      <w:r w:rsidRPr="00387978">
        <w:t xml:space="preserve"> </w:t>
      </w:r>
      <w:r w:rsidRPr="00387978">
        <w:rPr>
          <w:i/>
          <w:iCs/>
        </w:rPr>
        <w:t>In the Matter of the Application of the Dayton Power &amp; Light Company for Approval of its Market Rate Offer,</w:t>
      </w:r>
      <w:r w:rsidRPr="00387978">
        <w:t xml:space="preserve"> Case No. 12-426-EL-SSO et al., Opinion and Order at 25, citin</w:t>
      </w:r>
      <w:r w:rsidR="003A3C90">
        <w:t xml:space="preserve">g to Confidential Testimony of </w:t>
      </w:r>
      <w:r w:rsidRPr="00387978">
        <w:t xml:space="preserve">C. L. Jackson at 11-13.  </w:t>
      </w:r>
    </w:p>
  </w:footnote>
  <w:footnote w:id="19">
    <w:p w14:paraId="20E566F2" w14:textId="77777777" w:rsidR="005051A4" w:rsidRPr="00387978" w:rsidRDefault="005051A4" w:rsidP="00387978">
      <w:pPr>
        <w:pStyle w:val="FootnoteText"/>
        <w:spacing w:after="120"/>
      </w:pPr>
      <w:r w:rsidRPr="00387978">
        <w:rPr>
          <w:rStyle w:val="FootnoteReference"/>
        </w:rPr>
        <w:footnoteRef/>
      </w:r>
      <w:r w:rsidRPr="00387978">
        <w:t xml:space="preserve"> </w:t>
      </w:r>
      <w:r w:rsidRPr="00387978">
        <w:rPr>
          <w:i/>
        </w:rPr>
        <w:t>In re: Application of Dayton Power &amp; Light Co</w:t>
      </w:r>
      <w:r w:rsidRPr="00387978">
        <w:t>., Slip. Op. No. 2016-Ohio-3490, S.Ct. Case No. 2014-1505 (June 20, 2016).</w:t>
      </w:r>
    </w:p>
  </w:footnote>
  <w:footnote w:id="20">
    <w:p w14:paraId="1BAB13B4" w14:textId="77777777" w:rsidR="0055211C" w:rsidRPr="00387978" w:rsidRDefault="007A1411" w:rsidP="00387978">
      <w:pPr>
        <w:pStyle w:val="FootnoteText"/>
        <w:spacing w:after="120"/>
      </w:pPr>
      <w:r w:rsidRPr="00387978">
        <w:rPr>
          <w:rStyle w:val="FootnoteReference"/>
        </w:rPr>
        <w:footnoteRef/>
      </w:r>
      <w:r w:rsidRPr="00387978">
        <w:t xml:space="preserve"> </w:t>
      </w:r>
      <w:r w:rsidRPr="00387978">
        <w:rPr>
          <w:i/>
        </w:rPr>
        <w:t>In the Matter of the Application of The Dayton Power and Light Company for the Creation of a Rate Stabilization Surcharge Rider and Distribution Rate Increase</w:t>
      </w:r>
      <w:r w:rsidRPr="00387978">
        <w:t xml:space="preserve">, Case No. 05-276-EL-AIR, Direct Testimony of Ms. Seger Lawson at 4 (Nov. 10, 2005).  </w:t>
      </w:r>
    </w:p>
  </w:footnote>
  <w:footnote w:id="21">
    <w:p w14:paraId="0D1FA64D" w14:textId="77777777" w:rsidR="00F2581B" w:rsidRPr="00387978" w:rsidRDefault="00F2581B" w:rsidP="00387978">
      <w:pPr>
        <w:pStyle w:val="FootnoteText"/>
        <w:spacing w:after="120"/>
      </w:pPr>
      <w:r w:rsidRPr="00387978">
        <w:rPr>
          <w:rStyle w:val="FootnoteReference"/>
        </w:rPr>
        <w:footnoteRef/>
      </w:r>
      <w:r w:rsidRPr="00387978">
        <w:t xml:space="preserve"> Id., Opinion and Order at 11 (Dec. 28, 2005).</w:t>
      </w:r>
    </w:p>
  </w:footnote>
  <w:footnote w:id="22">
    <w:p w14:paraId="123B9D82" w14:textId="77777777" w:rsidR="0055211C" w:rsidRPr="00387978" w:rsidRDefault="008A0617" w:rsidP="00387978">
      <w:pPr>
        <w:pStyle w:val="FootnoteText"/>
        <w:spacing w:after="120"/>
      </w:pPr>
      <w:r w:rsidRPr="00387978">
        <w:rPr>
          <w:rStyle w:val="FootnoteReference"/>
        </w:rPr>
        <w:footnoteRef/>
      </w:r>
      <w:r w:rsidRPr="00387978">
        <w:t xml:space="preserve"> </w:t>
      </w:r>
      <w:r w:rsidR="00F2581B" w:rsidRPr="00387978">
        <w:rPr>
          <w:i/>
        </w:rPr>
        <w:t>In re: Application of Dayton Power &amp; Light Co</w:t>
      </w:r>
      <w:r w:rsidR="00F2581B" w:rsidRPr="00387978">
        <w:t>., Slip. Op. No. 2016-Ohio-3490, S.Ct. Case No. 2014-1505 (June 20, 2016</w:t>
      </w:r>
      <w:r w:rsidR="00387978">
        <w:t xml:space="preserve">); </w:t>
      </w:r>
      <w:r w:rsidR="00F2581B" w:rsidRPr="00387978">
        <w:rPr>
          <w:i/>
        </w:rPr>
        <w:t>In re: Application of Columbus S. Power Co.,</w:t>
      </w:r>
      <w:r w:rsidR="00F2581B" w:rsidRPr="00387978">
        <w:t xml:space="preserve"> Slip Op. No. 2016-Ohio-1608.</w:t>
      </w:r>
    </w:p>
  </w:footnote>
  <w:footnote w:id="23">
    <w:p w14:paraId="14164D49" w14:textId="77777777" w:rsidR="00F2581B" w:rsidRPr="00387978" w:rsidRDefault="003D3D67" w:rsidP="00387978">
      <w:pPr>
        <w:pStyle w:val="FootnoteText"/>
        <w:spacing w:after="120"/>
      </w:pPr>
      <w:r w:rsidRPr="00387978">
        <w:rPr>
          <w:rStyle w:val="FootnoteReference"/>
        </w:rPr>
        <w:footnoteRef/>
      </w:r>
      <w:r w:rsidRPr="00387978">
        <w:t xml:space="preserve"> </w:t>
      </w:r>
      <w:r w:rsidR="00F2581B" w:rsidRPr="00387978">
        <w:t>Id.</w:t>
      </w:r>
    </w:p>
  </w:footnote>
  <w:footnote w:id="24">
    <w:p w14:paraId="369FA0D1" w14:textId="77777777" w:rsidR="00F2581B" w:rsidRPr="00387978" w:rsidRDefault="00D82507" w:rsidP="00387978">
      <w:pPr>
        <w:pStyle w:val="FootnoteText"/>
        <w:spacing w:after="120"/>
      </w:pPr>
      <w:r w:rsidRPr="00387978">
        <w:rPr>
          <w:rStyle w:val="FootnoteReference"/>
        </w:rPr>
        <w:footnoteRef/>
      </w:r>
      <w:r w:rsidRPr="00387978">
        <w:t xml:space="preserve"> See </w:t>
      </w:r>
      <w:r w:rsidRPr="00387978">
        <w:rPr>
          <w:i/>
        </w:rPr>
        <w:t>In r</w:t>
      </w:r>
      <w:r w:rsidR="00F2581B" w:rsidRPr="00387978">
        <w:rPr>
          <w:i/>
        </w:rPr>
        <w:t>e: Application of Ohio Power Co.</w:t>
      </w:r>
      <w:r w:rsidRPr="00387978">
        <w:t>, 144 Ohio St.3d 1, 2015-Ohio-2056, ¶16, 17 (citations omitted)</w:t>
      </w:r>
      <w:r w:rsidR="0055211C" w:rsidRPr="00387978">
        <w:t>(affirming that the PUCO can modify earlier Orders so long as the PUCO explains the change and the new regulatory course is permissible)</w:t>
      </w:r>
      <w:r w:rsidRPr="00387978">
        <w:t xml:space="preserve">.  </w:t>
      </w:r>
    </w:p>
  </w:footnote>
  <w:footnote w:id="25">
    <w:p w14:paraId="24E94DB7" w14:textId="77777777" w:rsidR="00E512A3" w:rsidRPr="00387978" w:rsidRDefault="00EB6D77" w:rsidP="00387978">
      <w:pPr>
        <w:pStyle w:val="FootnoteText"/>
        <w:spacing w:after="120"/>
      </w:pPr>
      <w:r w:rsidRPr="00387978">
        <w:rPr>
          <w:rStyle w:val="FootnoteReference"/>
        </w:rPr>
        <w:footnoteRef/>
      </w:r>
      <w:r w:rsidRPr="00387978">
        <w:t xml:space="preserve"> </w:t>
      </w:r>
      <w:r w:rsidRPr="00387978">
        <w:rPr>
          <w:i/>
        </w:rPr>
        <w:t>In the Matter of the Ohio Power Company</w:t>
      </w:r>
      <w:r w:rsidRPr="00387978">
        <w:t>, Case No. 08-91</w:t>
      </w:r>
      <w:r w:rsidR="00144217" w:rsidRPr="00387978">
        <w:t>7-EL -SSO,</w:t>
      </w:r>
      <w:r w:rsidR="00F2581B" w:rsidRPr="00387978">
        <w:t xml:space="preserve"> Opinion and </w:t>
      </w:r>
      <w:r w:rsidR="00144217" w:rsidRPr="00387978">
        <w:t xml:space="preserve"> Order at  40</w:t>
      </w:r>
      <w:r w:rsidRPr="00387978">
        <w:t xml:space="preserve"> (</w:t>
      </w:r>
      <w:r w:rsidR="00144217" w:rsidRPr="00387978">
        <w:t>Mar. 18, 2009</w:t>
      </w:r>
      <w:r w:rsidRPr="00387978">
        <w:t xml:space="preserve">).  </w:t>
      </w:r>
    </w:p>
  </w:footnote>
  <w:footnote w:id="26">
    <w:p w14:paraId="25572C84" w14:textId="77777777" w:rsidR="00E512A3" w:rsidRPr="00387978" w:rsidRDefault="00144217" w:rsidP="00387978">
      <w:pPr>
        <w:pStyle w:val="FootnoteText"/>
        <w:spacing w:after="120"/>
      </w:pPr>
      <w:r w:rsidRPr="00387978">
        <w:rPr>
          <w:rStyle w:val="FootnoteReference"/>
        </w:rPr>
        <w:footnoteRef/>
      </w:r>
      <w:r w:rsidRPr="00387978">
        <w:t xml:space="preserve"> </w:t>
      </w:r>
      <w:r w:rsidRPr="00387978">
        <w:rPr>
          <w:i/>
        </w:rPr>
        <w:t>In the Matter of the Ohio Power Company</w:t>
      </w:r>
      <w:r w:rsidRPr="00387978">
        <w:t xml:space="preserve">, Case No. 08-917-EL-SSO, Order on Remand at 32 (Oct. 3, 2011). </w:t>
      </w:r>
    </w:p>
  </w:footnote>
  <w:footnote w:id="27">
    <w:p w14:paraId="4A38FBB3" w14:textId="77777777" w:rsidR="0055211C" w:rsidRPr="00387978" w:rsidRDefault="00BF120C" w:rsidP="00387978">
      <w:pPr>
        <w:pStyle w:val="FootnoteText"/>
        <w:spacing w:after="120"/>
      </w:pPr>
      <w:r w:rsidRPr="00387978">
        <w:rPr>
          <w:rStyle w:val="FootnoteReference"/>
        </w:rPr>
        <w:footnoteRef/>
      </w:r>
      <w:r w:rsidRPr="00387978">
        <w:t xml:space="preserve"> </w:t>
      </w:r>
      <w:r w:rsidR="008D2F4D" w:rsidRPr="00387978">
        <w:rPr>
          <w:i/>
        </w:rPr>
        <w:t>In the Matter of the Application of The Dayton Power and Light Company for the Creation of a Rate Stabilization Surcharge Rider and Distribution Rate Increase</w:t>
      </w:r>
      <w:r w:rsidR="008D2F4D" w:rsidRPr="00387978">
        <w:t>, Case No. 05-276-EL-AIR, Opinion and Order (Dec. 28, 2005).</w:t>
      </w:r>
    </w:p>
  </w:footnote>
  <w:footnote w:id="28">
    <w:p w14:paraId="071CE550" w14:textId="77777777" w:rsidR="00E512A3" w:rsidRPr="00387978" w:rsidRDefault="00BF120C" w:rsidP="00387978">
      <w:pPr>
        <w:pStyle w:val="FootnoteText"/>
        <w:spacing w:after="120"/>
      </w:pPr>
      <w:r w:rsidRPr="00387978">
        <w:rPr>
          <w:rStyle w:val="FootnoteReference"/>
        </w:rPr>
        <w:footnoteRef/>
      </w:r>
      <w:r w:rsidRPr="00387978">
        <w:t xml:space="preserve"> </w:t>
      </w:r>
      <w:r w:rsidR="00F2581B" w:rsidRPr="00387978">
        <w:t xml:space="preserve">Id., </w:t>
      </w:r>
      <w:r w:rsidR="00B470EE" w:rsidRPr="00387978">
        <w:t xml:space="preserve">Ms. Seger-Lawson </w:t>
      </w:r>
      <w:r w:rsidRPr="00387978">
        <w:t xml:space="preserve">Testimony </w:t>
      </w:r>
      <w:r w:rsidR="00B470EE" w:rsidRPr="00387978">
        <w:t>in Support of Stipulation and Recommendation at 6 (Nov. 10, 2005).</w:t>
      </w:r>
    </w:p>
  </w:footnote>
  <w:footnote w:id="29">
    <w:p w14:paraId="7A95D506" w14:textId="77777777" w:rsidR="00E512A3" w:rsidRPr="00387978" w:rsidRDefault="00B470EE" w:rsidP="00387978">
      <w:pPr>
        <w:pStyle w:val="FootnoteText"/>
        <w:spacing w:after="120"/>
      </w:pPr>
      <w:r w:rsidRPr="00387978">
        <w:rPr>
          <w:rStyle w:val="FootnoteReference"/>
        </w:rPr>
        <w:footnoteRef/>
      </w:r>
      <w:r w:rsidRPr="00387978">
        <w:t xml:space="preserve"> </w:t>
      </w:r>
      <w:r w:rsidR="008D2F4D" w:rsidRPr="00387978">
        <w:rPr>
          <w:i/>
        </w:rPr>
        <w:t>In the Matter of the Application of The Dayton Power and Light Company for the Creation of a Rate Stabilization Surcharge Rider and Distribution Rate Increase</w:t>
      </w:r>
      <w:r w:rsidR="008D2F4D" w:rsidRPr="00387978">
        <w:t>, Case No. 05-276-EL-AIR, Opinion and Order (Dec. 28, 2005).</w:t>
      </w:r>
    </w:p>
  </w:footnote>
  <w:footnote w:id="30">
    <w:p w14:paraId="611A3266" w14:textId="77777777" w:rsidR="0055211C" w:rsidRPr="00387978" w:rsidRDefault="00BF120C" w:rsidP="00387978">
      <w:pPr>
        <w:pStyle w:val="FootnoteText"/>
        <w:spacing w:after="120"/>
      </w:pPr>
      <w:r w:rsidRPr="00387978">
        <w:rPr>
          <w:rStyle w:val="FootnoteReference"/>
        </w:rPr>
        <w:footnoteRef/>
      </w:r>
      <w:r w:rsidRPr="00387978">
        <w:t xml:space="preserve"> </w:t>
      </w:r>
      <w:r w:rsidR="008D2F4D" w:rsidRPr="00387978">
        <w:t>Id</w:t>
      </w:r>
      <w:r w:rsidR="00F2581B" w:rsidRPr="00387978">
        <w:t>.</w:t>
      </w:r>
      <w:r w:rsidR="008D2F4D" w:rsidRPr="00387978">
        <w:t xml:space="preserve"> at 4.  </w:t>
      </w:r>
    </w:p>
  </w:footnote>
  <w:footnote w:id="31">
    <w:p w14:paraId="450C708F" w14:textId="77777777" w:rsidR="00E512A3" w:rsidRPr="00387978" w:rsidRDefault="00B470EE" w:rsidP="00387978">
      <w:pPr>
        <w:pStyle w:val="FootnoteText"/>
        <w:spacing w:after="120"/>
      </w:pPr>
      <w:r w:rsidRPr="00387978">
        <w:rPr>
          <w:rStyle w:val="FootnoteReference"/>
        </w:rPr>
        <w:footnoteRef/>
      </w:r>
      <w:r w:rsidRPr="00387978">
        <w:t xml:space="preserve"> </w:t>
      </w:r>
      <w:r w:rsidR="00F2581B" w:rsidRPr="00387978">
        <w:t xml:space="preserve">Id., </w:t>
      </w:r>
      <w:r w:rsidR="00387978" w:rsidRPr="00387978">
        <w:t xml:space="preserve">Ms. Seger-Lawson </w:t>
      </w:r>
      <w:r w:rsidRPr="00387978">
        <w:t xml:space="preserve">Testimony in Support of Stipulation, Attachment A (Nov. 10, 2005).  </w:t>
      </w:r>
    </w:p>
  </w:footnote>
  <w:footnote w:id="32">
    <w:p w14:paraId="0947014F" w14:textId="77777777" w:rsidR="00E512A3" w:rsidRPr="00387978" w:rsidRDefault="005C1F42" w:rsidP="00387978">
      <w:pPr>
        <w:pStyle w:val="FootnoteText"/>
        <w:spacing w:after="120"/>
      </w:pPr>
      <w:r w:rsidRPr="00387978">
        <w:rPr>
          <w:rStyle w:val="FootnoteReference"/>
        </w:rPr>
        <w:footnoteRef/>
      </w:r>
      <w:r w:rsidR="003A3C90">
        <w:rPr>
          <w:i/>
        </w:rPr>
        <w:t xml:space="preserve"> </w:t>
      </w:r>
      <w:r w:rsidRPr="00387978">
        <w:rPr>
          <w:i/>
        </w:rPr>
        <w:t xml:space="preserve">In the Matter of the Application of </w:t>
      </w:r>
      <w:r w:rsidR="00151E86" w:rsidRPr="00387978">
        <w:rPr>
          <w:i/>
        </w:rPr>
        <w:t xml:space="preserve"> </w:t>
      </w:r>
      <w:r w:rsidRPr="00387978">
        <w:rPr>
          <w:i/>
        </w:rPr>
        <w:t>The Dayton Power and Light Company for Approval of its Electric Security Plan</w:t>
      </w:r>
      <w:r w:rsidRPr="00387978">
        <w:t xml:space="preserve">, Case No. 08-1094-EL-SSO, Opinion and Order  (June 24, 2009)(adopting Stipulation and Recommendation).  </w:t>
      </w:r>
    </w:p>
  </w:footnote>
  <w:footnote w:id="33">
    <w:p w14:paraId="0409E1A2" w14:textId="77777777" w:rsidR="00E512A3" w:rsidRPr="00387978" w:rsidRDefault="007B5F43" w:rsidP="00387978">
      <w:pPr>
        <w:pStyle w:val="FootnoteText"/>
        <w:spacing w:after="120"/>
      </w:pPr>
      <w:r w:rsidRPr="00387978">
        <w:rPr>
          <w:rStyle w:val="FootnoteReference"/>
        </w:rPr>
        <w:footnoteRef/>
      </w:r>
      <w:r w:rsidRPr="00387978">
        <w:t xml:space="preserve"> </w:t>
      </w:r>
      <w:r w:rsidR="00F8425F" w:rsidRPr="00387978">
        <w:t>Id.</w:t>
      </w:r>
      <w:r w:rsidRPr="00387978">
        <w:t>, Stipulation and Recommendation at 3 ("the parties agree to extend DP&amp;L's current rate plan through December 31, 2012, except as expressly modified herein.")(Feb. 24, 2009)).</w:t>
      </w:r>
    </w:p>
  </w:footnote>
  <w:footnote w:id="34">
    <w:p w14:paraId="0A21C498" w14:textId="77777777" w:rsidR="00E512A3" w:rsidRPr="00387978" w:rsidRDefault="007B5F43" w:rsidP="00387978">
      <w:pPr>
        <w:pStyle w:val="FootnoteText"/>
        <w:spacing w:after="120"/>
      </w:pPr>
      <w:r w:rsidRPr="00387978">
        <w:rPr>
          <w:rStyle w:val="FootnoteReference"/>
        </w:rPr>
        <w:footnoteRef/>
      </w:r>
      <w:r w:rsidR="003A3C90">
        <w:rPr>
          <w:i/>
        </w:rPr>
        <w:t xml:space="preserve"> </w:t>
      </w:r>
      <w:r w:rsidRPr="00387978">
        <w:rPr>
          <w:i/>
        </w:rPr>
        <w:t>In the Matter of the Application of The Dayton Power and Light Company for Approval of its Electric Security Plan</w:t>
      </w:r>
      <w:r w:rsidRPr="00387978">
        <w:t xml:space="preserve">, Case No. 08-1094-EL-SSO, Tariffs (June 29, 2009).   </w:t>
      </w:r>
    </w:p>
  </w:footnote>
  <w:footnote w:id="35">
    <w:p w14:paraId="4C7FAC4C" w14:textId="77777777" w:rsidR="00E512A3" w:rsidRPr="00387978" w:rsidRDefault="007B5F43" w:rsidP="00387978">
      <w:pPr>
        <w:pStyle w:val="FootnoteText"/>
        <w:spacing w:after="120"/>
      </w:pPr>
      <w:r w:rsidRPr="00387978">
        <w:rPr>
          <w:rStyle w:val="FootnoteReference"/>
        </w:rPr>
        <w:footnoteRef/>
      </w:r>
      <w:r w:rsidRPr="00387978">
        <w:t xml:space="preserve"> In the </w:t>
      </w:r>
      <w:r w:rsidRPr="00387978">
        <w:rPr>
          <w:i/>
          <w:iCs/>
        </w:rPr>
        <w:t>In the Matter of the Application of the Dayton Power &amp; Light Company for Approval of its Market Rate Offer,</w:t>
      </w:r>
      <w:r w:rsidRPr="00387978">
        <w:t xml:space="preserve"> Case No. 12-426-EL-SSO et al., Application at 9 (Mar. 30, 2012)</w:t>
      </w:r>
      <w:r w:rsidR="00E512A3" w:rsidRPr="00387978">
        <w:t>.</w:t>
      </w:r>
    </w:p>
  </w:footnote>
  <w:footnote w:id="36">
    <w:p w14:paraId="5901B879" w14:textId="77777777" w:rsidR="00F8425F" w:rsidRPr="00387978" w:rsidRDefault="007B5F43" w:rsidP="00387978">
      <w:pPr>
        <w:pStyle w:val="FootnoteText"/>
        <w:spacing w:after="120"/>
      </w:pPr>
      <w:r w:rsidRPr="00387978">
        <w:rPr>
          <w:rStyle w:val="FootnoteReference"/>
        </w:rPr>
        <w:footnoteRef/>
      </w:r>
      <w:r w:rsidRPr="00387978">
        <w:t xml:space="preserve"> </w:t>
      </w:r>
      <w:r w:rsidR="00F8425F" w:rsidRPr="00387978">
        <w:t xml:space="preserve">Id., </w:t>
      </w:r>
      <w:r w:rsidR="00E512A3" w:rsidRPr="00387978">
        <w:t xml:space="preserve">Application at 6 (Oct.5, 2012).  </w:t>
      </w:r>
    </w:p>
  </w:footnote>
  <w:footnote w:id="37">
    <w:p w14:paraId="320EE422" w14:textId="77777777" w:rsidR="00151E86" w:rsidRPr="00387978" w:rsidRDefault="00151E86" w:rsidP="00387978">
      <w:pPr>
        <w:pStyle w:val="FootnoteText"/>
        <w:spacing w:after="120"/>
      </w:pPr>
      <w:r w:rsidRPr="00387978">
        <w:rPr>
          <w:rStyle w:val="FootnoteReference"/>
        </w:rPr>
        <w:footnoteRef/>
      </w:r>
      <w:r w:rsidRPr="00387978">
        <w:t xml:space="preserve"> In the </w:t>
      </w:r>
      <w:r w:rsidRPr="00387978">
        <w:rPr>
          <w:i/>
          <w:iCs/>
        </w:rPr>
        <w:t>In the Matter of the Application of the Dayton Power &amp; Light Company for Approval of its Market Rate Offer,</w:t>
      </w:r>
      <w:r w:rsidRPr="00387978">
        <w:t xml:space="preserve"> Case No. 12-426-EL-SSO et al., Direct Testimony of Ms. Seger Lawson at 10 (</w:t>
      </w:r>
      <w:r w:rsidR="00F8425F" w:rsidRPr="00387978">
        <w:t>Mar. 30, 2012</w:t>
      </w:r>
      <w:r w:rsidRPr="00387978">
        <w:t xml:space="preserve"> ).  </w:t>
      </w:r>
    </w:p>
  </w:footnote>
  <w:footnote w:id="38">
    <w:p w14:paraId="0052AE98" w14:textId="77777777" w:rsidR="00E512A3" w:rsidRPr="00387978" w:rsidRDefault="00E512A3" w:rsidP="00387978">
      <w:pPr>
        <w:pStyle w:val="FootnoteText"/>
        <w:spacing w:after="120"/>
      </w:pPr>
      <w:r w:rsidRPr="00387978">
        <w:rPr>
          <w:rStyle w:val="FootnoteReference"/>
        </w:rPr>
        <w:footnoteRef/>
      </w:r>
      <w:r w:rsidRPr="00387978">
        <w:t xml:space="preserve"> </w:t>
      </w:r>
      <w:r w:rsidRPr="00387978">
        <w:rPr>
          <w:i/>
          <w:iCs/>
        </w:rPr>
        <w:t xml:space="preserve">In the Matter of the Application of the Dayton Power &amp; Light Company for Approval of its </w:t>
      </w:r>
      <w:r w:rsidR="00F8425F" w:rsidRPr="00387978">
        <w:rPr>
          <w:i/>
          <w:iCs/>
        </w:rPr>
        <w:t>Electric Security Plan</w:t>
      </w:r>
      <w:r w:rsidRPr="00387978">
        <w:rPr>
          <w:i/>
          <w:iCs/>
        </w:rPr>
        <w:t>,</w:t>
      </w:r>
      <w:r w:rsidRPr="00387978">
        <w:t xml:space="preserve"> Case No. 12-426-EL-SSO et al., Opinion and Order at 12 (</w:t>
      </w:r>
      <w:r w:rsidR="00F8425F" w:rsidRPr="00387978">
        <w:t>Sept. 4, 2013).</w:t>
      </w:r>
      <w:r w:rsidRPr="00387978">
        <w:t xml:space="preserve"> </w:t>
      </w:r>
    </w:p>
  </w:footnote>
  <w:footnote w:id="39">
    <w:p w14:paraId="7F00A035" w14:textId="77777777" w:rsidR="00151E86" w:rsidRPr="00387978" w:rsidRDefault="00151E86" w:rsidP="00387978">
      <w:pPr>
        <w:pStyle w:val="FootnoteText"/>
        <w:spacing w:after="120"/>
      </w:pPr>
      <w:r w:rsidRPr="00387978">
        <w:rPr>
          <w:rStyle w:val="FootnoteReference"/>
        </w:rPr>
        <w:footnoteRef/>
      </w:r>
      <w:r w:rsidRPr="00387978">
        <w:t xml:space="preserve"> </w:t>
      </w:r>
      <w:r w:rsidR="00F8425F" w:rsidRPr="00387978">
        <w:t>Id., Tariffs (Nov. 15, 2013).</w:t>
      </w:r>
    </w:p>
  </w:footnote>
  <w:footnote w:id="40">
    <w:p w14:paraId="560F0ACA" w14:textId="77777777" w:rsidR="00151E86" w:rsidRPr="00387978" w:rsidRDefault="00151E86" w:rsidP="00387978">
      <w:pPr>
        <w:pStyle w:val="FootnoteText"/>
        <w:spacing w:after="120"/>
      </w:pPr>
      <w:r w:rsidRPr="00387978">
        <w:rPr>
          <w:rStyle w:val="FootnoteReference"/>
        </w:rPr>
        <w:footnoteRef/>
      </w:r>
      <w:r w:rsidRPr="00387978">
        <w:t xml:space="preserve"> </w:t>
      </w:r>
      <w:r w:rsidR="00F8425F" w:rsidRPr="00387978">
        <w:t>Id., Entry (Dec. 18, 2013)</w:t>
      </w:r>
      <w:r w:rsidR="005D06BB">
        <w:t>.</w:t>
      </w:r>
    </w:p>
  </w:footnote>
  <w:footnote w:id="41">
    <w:p w14:paraId="1A1DC113" w14:textId="77777777" w:rsidR="00925470" w:rsidRPr="00387978" w:rsidRDefault="00925470" w:rsidP="00387978">
      <w:pPr>
        <w:pStyle w:val="FootnoteText"/>
        <w:spacing w:after="120"/>
      </w:pPr>
      <w:r w:rsidRPr="00387978">
        <w:rPr>
          <w:rStyle w:val="FootnoteReference"/>
        </w:rPr>
        <w:footnoteRef/>
      </w:r>
      <w:r w:rsidRPr="00387978">
        <w:t xml:space="preserve"> </w:t>
      </w:r>
      <w:r w:rsidR="00F8425F" w:rsidRPr="00387978">
        <w:rPr>
          <w:i/>
        </w:rPr>
        <w:t>In re: Application of Dayton Power &amp; Light Co</w:t>
      </w:r>
      <w:r w:rsidR="00F8425F" w:rsidRPr="00387978">
        <w:t xml:space="preserve">., Slip. Op. No. 2016-Ohio-3490, S.Ct. Case </w:t>
      </w:r>
      <w:r w:rsidR="00387978" w:rsidRPr="00387978">
        <w:t xml:space="preserve">No. 2014-1505 (June 20, 2016); </w:t>
      </w:r>
      <w:r w:rsidR="00F8425F" w:rsidRPr="00387978">
        <w:rPr>
          <w:i/>
        </w:rPr>
        <w:t>In re: Application of Columbus S. Power Co.,</w:t>
      </w:r>
      <w:r w:rsidR="00F8425F" w:rsidRPr="00387978">
        <w:t xml:space="preserve"> Slip Op. No. 2016-Ohio-1608.</w:t>
      </w:r>
    </w:p>
  </w:footnote>
  <w:footnote w:id="42">
    <w:p w14:paraId="0284B9A4" w14:textId="77777777" w:rsidR="00262327" w:rsidRPr="00E414FE" w:rsidRDefault="00262327" w:rsidP="00262327">
      <w:pPr>
        <w:spacing w:after="120"/>
        <w:rPr>
          <w:sz w:val="20"/>
        </w:rPr>
      </w:pPr>
      <w:r w:rsidRPr="00E414FE">
        <w:rPr>
          <w:rStyle w:val="FootnoteReference"/>
          <w:sz w:val="20"/>
        </w:rPr>
        <w:footnoteRef/>
      </w:r>
      <w:r w:rsidRPr="00E414FE">
        <w:rPr>
          <w:sz w:val="20"/>
        </w:rPr>
        <w:t xml:space="preserve"> Based on a typical residential customer using 1,000 kWh per month</w:t>
      </w:r>
      <w:r>
        <w:rPr>
          <w:sz w:val="20"/>
        </w:rPr>
        <w:t>.</w:t>
      </w:r>
    </w:p>
  </w:footnote>
  <w:footnote w:id="43">
    <w:p w14:paraId="38D283D9" w14:textId="458F5167" w:rsidR="00262327" w:rsidRPr="00E414FE" w:rsidRDefault="00262327" w:rsidP="00262327">
      <w:pPr>
        <w:pStyle w:val="FootnoteText"/>
        <w:spacing w:after="120"/>
      </w:pPr>
      <w:r w:rsidRPr="00E414FE">
        <w:rPr>
          <w:rStyle w:val="FootnoteReference"/>
        </w:rPr>
        <w:footnoteRef/>
      </w:r>
      <w:r w:rsidRPr="00E414FE">
        <w:t xml:space="preserve"> Although DP&amp;L proposes to eliminate the Competitive Bid True up rider (</w:t>
      </w:r>
      <w:r w:rsidR="00377D37">
        <w:t>$</w:t>
      </w:r>
      <w:r w:rsidRPr="00E414FE">
        <w:t>5.49/month)</w:t>
      </w:r>
      <w:r w:rsidR="00752486">
        <w:t>,</w:t>
      </w:r>
      <w:r w:rsidRPr="00E414FE">
        <w:t xml:space="preserve"> DP</w:t>
      </w:r>
      <w:r w:rsidR="00752486">
        <w:t>&amp;</w:t>
      </w:r>
      <w:r w:rsidRPr="00E414FE">
        <w:t xml:space="preserve">L has stated </w:t>
      </w:r>
      <w:r w:rsidR="002757EF">
        <w:t xml:space="preserve">that, </w:t>
      </w:r>
      <w:r w:rsidRPr="00E414FE">
        <w:t>at the end of the period the tariffs are in place</w:t>
      </w:r>
      <w:r w:rsidR="002757EF">
        <w:t>,</w:t>
      </w:r>
      <w:r w:rsidRPr="00E414FE">
        <w:t xml:space="preserve"> the Standard Offer Generation rates will be trued-up to the actual auction supply costs.  This results in only a deferral</w:t>
      </w:r>
      <w:r w:rsidR="002757EF">
        <w:t>,</w:t>
      </w:r>
      <w:r w:rsidRPr="00E414FE">
        <w:t xml:space="preserve"> not a total elimination of this Rider.   </w:t>
      </w:r>
    </w:p>
    <w:p w14:paraId="7F18E94F" w14:textId="77777777" w:rsidR="00262327" w:rsidRPr="00E414FE" w:rsidRDefault="00262327" w:rsidP="00262327">
      <w:pPr>
        <w:pStyle w:val="FootnoteText"/>
        <w:spacing w:after="1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FF"/>
    <w:rsid w:val="0000534D"/>
    <w:rsid w:val="0002563A"/>
    <w:rsid w:val="00052FC7"/>
    <w:rsid w:val="0008271B"/>
    <w:rsid w:val="000B1FF7"/>
    <w:rsid w:val="000B7F81"/>
    <w:rsid w:val="001053C5"/>
    <w:rsid w:val="00115AFF"/>
    <w:rsid w:val="00115D83"/>
    <w:rsid w:val="00144217"/>
    <w:rsid w:val="00151D9A"/>
    <w:rsid w:val="00151E86"/>
    <w:rsid w:val="001959CD"/>
    <w:rsid w:val="001B690D"/>
    <w:rsid w:val="00202ECA"/>
    <w:rsid w:val="0021504F"/>
    <w:rsid w:val="00262327"/>
    <w:rsid w:val="002640D7"/>
    <w:rsid w:val="0027277D"/>
    <w:rsid w:val="002757EF"/>
    <w:rsid w:val="00277A33"/>
    <w:rsid w:val="002929D4"/>
    <w:rsid w:val="002A2AB4"/>
    <w:rsid w:val="002B404E"/>
    <w:rsid w:val="003357B5"/>
    <w:rsid w:val="00340A00"/>
    <w:rsid w:val="00355459"/>
    <w:rsid w:val="0036320F"/>
    <w:rsid w:val="00377D37"/>
    <w:rsid w:val="00387978"/>
    <w:rsid w:val="003A3395"/>
    <w:rsid w:val="003A3C90"/>
    <w:rsid w:val="003A42EF"/>
    <w:rsid w:val="003B02B2"/>
    <w:rsid w:val="003B6182"/>
    <w:rsid w:val="003C4BBD"/>
    <w:rsid w:val="003D3D67"/>
    <w:rsid w:val="003D5297"/>
    <w:rsid w:val="003F0011"/>
    <w:rsid w:val="003F776D"/>
    <w:rsid w:val="004121B0"/>
    <w:rsid w:val="00482F5C"/>
    <w:rsid w:val="004C47B8"/>
    <w:rsid w:val="004E3930"/>
    <w:rsid w:val="005051A4"/>
    <w:rsid w:val="00515E73"/>
    <w:rsid w:val="0055211C"/>
    <w:rsid w:val="005C1F42"/>
    <w:rsid w:val="005C6DCD"/>
    <w:rsid w:val="005D06BB"/>
    <w:rsid w:val="0062010A"/>
    <w:rsid w:val="00621AEE"/>
    <w:rsid w:val="006B28B0"/>
    <w:rsid w:val="006E65B4"/>
    <w:rsid w:val="006E733F"/>
    <w:rsid w:val="006E7FEB"/>
    <w:rsid w:val="00752486"/>
    <w:rsid w:val="007A1411"/>
    <w:rsid w:val="007B5F43"/>
    <w:rsid w:val="007D024A"/>
    <w:rsid w:val="007D12B7"/>
    <w:rsid w:val="00816896"/>
    <w:rsid w:val="00823AA2"/>
    <w:rsid w:val="008362D4"/>
    <w:rsid w:val="00845589"/>
    <w:rsid w:val="008461FE"/>
    <w:rsid w:val="00853FAB"/>
    <w:rsid w:val="008A0617"/>
    <w:rsid w:val="008A4587"/>
    <w:rsid w:val="008B7307"/>
    <w:rsid w:val="008D2F4D"/>
    <w:rsid w:val="008D6E79"/>
    <w:rsid w:val="008E1DB9"/>
    <w:rsid w:val="0091660D"/>
    <w:rsid w:val="00925470"/>
    <w:rsid w:val="00936BA3"/>
    <w:rsid w:val="009375D6"/>
    <w:rsid w:val="00956950"/>
    <w:rsid w:val="009A7E8F"/>
    <w:rsid w:val="00A0479F"/>
    <w:rsid w:val="00A074D2"/>
    <w:rsid w:val="00A166F8"/>
    <w:rsid w:val="00A1750C"/>
    <w:rsid w:val="00A27ABB"/>
    <w:rsid w:val="00AA75C4"/>
    <w:rsid w:val="00B01AC5"/>
    <w:rsid w:val="00B155D9"/>
    <w:rsid w:val="00B420AF"/>
    <w:rsid w:val="00B470EE"/>
    <w:rsid w:val="00B517D6"/>
    <w:rsid w:val="00B63660"/>
    <w:rsid w:val="00B65F06"/>
    <w:rsid w:val="00B76484"/>
    <w:rsid w:val="00B976B5"/>
    <w:rsid w:val="00BB50E4"/>
    <w:rsid w:val="00BD69D6"/>
    <w:rsid w:val="00BE22F0"/>
    <w:rsid w:val="00BF120C"/>
    <w:rsid w:val="00C050C7"/>
    <w:rsid w:val="00C130BC"/>
    <w:rsid w:val="00C142A6"/>
    <w:rsid w:val="00C30D05"/>
    <w:rsid w:val="00C36DB2"/>
    <w:rsid w:val="00C50182"/>
    <w:rsid w:val="00C725CB"/>
    <w:rsid w:val="00CA4487"/>
    <w:rsid w:val="00CA629B"/>
    <w:rsid w:val="00CA7B29"/>
    <w:rsid w:val="00CE6D86"/>
    <w:rsid w:val="00D40EE2"/>
    <w:rsid w:val="00D52CED"/>
    <w:rsid w:val="00D55C79"/>
    <w:rsid w:val="00D621AB"/>
    <w:rsid w:val="00D82507"/>
    <w:rsid w:val="00D968AF"/>
    <w:rsid w:val="00DA1C9D"/>
    <w:rsid w:val="00DB573D"/>
    <w:rsid w:val="00DF0325"/>
    <w:rsid w:val="00E16B4A"/>
    <w:rsid w:val="00E512A3"/>
    <w:rsid w:val="00E65864"/>
    <w:rsid w:val="00E83A08"/>
    <w:rsid w:val="00E92347"/>
    <w:rsid w:val="00EB0025"/>
    <w:rsid w:val="00EB6D77"/>
    <w:rsid w:val="00EC7EB8"/>
    <w:rsid w:val="00ED5C70"/>
    <w:rsid w:val="00EE2B6E"/>
    <w:rsid w:val="00EF4664"/>
    <w:rsid w:val="00EF63FD"/>
    <w:rsid w:val="00F24232"/>
    <w:rsid w:val="00F2581B"/>
    <w:rsid w:val="00F82E6D"/>
    <w:rsid w:val="00F8425F"/>
    <w:rsid w:val="00FB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D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387978"/>
    <w:pPr>
      <w:keepNext/>
      <w:keepLines/>
      <w:spacing w:after="240"/>
      <w:ind w:left="720" w:hanging="72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B02B2"/>
    <w:pPr>
      <w:keepNext/>
      <w:keepLines/>
      <w:spacing w:after="240"/>
      <w:ind w:left="1440" w:right="720" w:hanging="7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15AFF"/>
    <w:rPr>
      <w:szCs w:val="24"/>
    </w:rPr>
  </w:style>
  <w:style w:type="character" w:customStyle="1" w:styleId="CommentTextChar">
    <w:name w:val="Comment Text Char"/>
    <w:basedOn w:val="DefaultParagraphFont"/>
    <w:link w:val="CommentText"/>
    <w:uiPriority w:val="99"/>
    <w:semiHidden/>
    <w:rsid w:val="00115AFF"/>
    <w:rPr>
      <w:rFonts w:ascii="Times New Roman" w:eastAsia="Times New Roman" w:hAnsi="Times New Roman" w:cs="Times New Roman"/>
      <w:sz w:val="24"/>
      <w:szCs w:val="24"/>
    </w:rPr>
  </w:style>
  <w:style w:type="character" w:styleId="CommentReference">
    <w:name w:val="annotation reference"/>
    <w:uiPriority w:val="99"/>
    <w:semiHidden/>
    <w:rsid w:val="00115AFF"/>
    <w:rPr>
      <w:sz w:val="18"/>
    </w:rPr>
  </w:style>
  <w:style w:type="paragraph" w:styleId="BalloonText">
    <w:name w:val="Balloon Text"/>
    <w:basedOn w:val="Normal"/>
    <w:link w:val="BalloonTextChar"/>
    <w:uiPriority w:val="99"/>
    <w:semiHidden/>
    <w:unhideWhenUsed/>
    <w:rsid w:val="00115AFF"/>
    <w:rPr>
      <w:rFonts w:ascii="Tahoma" w:hAnsi="Tahoma" w:cs="Tahoma"/>
      <w:sz w:val="16"/>
      <w:szCs w:val="16"/>
    </w:rPr>
  </w:style>
  <w:style w:type="character" w:customStyle="1" w:styleId="BalloonTextChar">
    <w:name w:val="Balloon Text Char"/>
    <w:basedOn w:val="DefaultParagraphFont"/>
    <w:link w:val="BalloonText"/>
    <w:uiPriority w:val="99"/>
    <w:semiHidden/>
    <w:rsid w:val="00115AFF"/>
    <w:rPr>
      <w:rFonts w:ascii="Tahoma" w:eastAsia="Times New Roman" w:hAnsi="Tahoma" w:cs="Tahoma"/>
      <w:sz w:val="16"/>
      <w:szCs w:val="16"/>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iPriority w:val="99"/>
    <w:unhideWhenUsed/>
    <w:rsid w:val="003D5297"/>
    <w:rPr>
      <w:sz w:val="20"/>
    </w:rPr>
  </w:style>
  <w:style w:type="character" w:customStyle="1" w:styleId="FootnoteTextChar">
    <w:name w:val="Footnote Text Char"/>
    <w:aliases w:val="Footnote Text Char1 Char1,Footnote Text Char Char Char1,Footnote Text Char1 Char Char1 Char1,Footnote Text Char Char Char Char Char1,Footnote Text Char2 Char Char Char Char1 Char1,Footnote Text Char1 Char Char1 Char Char Char Char1"/>
    <w:basedOn w:val="DefaultParagraphFont"/>
    <w:link w:val="FootnoteText"/>
    <w:uiPriority w:val="99"/>
    <w:semiHidden/>
    <w:rsid w:val="003D5297"/>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15,Style 17,Style 18,Style 19,Style 20,Style 28,Style 42,Style 7,Style 8,Style 9,fr1,fr2,fr3,o1,o2,o3"/>
    <w:basedOn w:val="DefaultParagraphFont"/>
    <w:uiPriority w:val="99"/>
    <w:unhideWhenUsed/>
    <w:rsid w:val="003D5297"/>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ocked/>
    <w:rsid w:val="00823AA2"/>
    <w:rPr>
      <w:lang w:val="en-US" w:eastAsia="en-US" w:bidi="ar-SA"/>
    </w:rPr>
  </w:style>
  <w:style w:type="paragraph" w:styleId="Header">
    <w:name w:val="header"/>
    <w:basedOn w:val="Normal"/>
    <w:link w:val="HeaderChar"/>
    <w:uiPriority w:val="99"/>
    <w:unhideWhenUsed/>
    <w:rsid w:val="00BE22F0"/>
    <w:pPr>
      <w:tabs>
        <w:tab w:val="center" w:pos="4680"/>
        <w:tab w:val="right" w:pos="9360"/>
      </w:tabs>
    </w:pPr>
  </w:style>
  <w:style w:type="character" w:customStyle="1" w:styleId="HeaderChar">
    <w:name w:val="Header Char"/>
    <w:basedOn w:val="DefaultParagraphFont"/>
    <w:link w:val="Header"/>
    <w:uiPriority w:val="99"/>
    <w:rsid w:val="00BE22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22F0"/>
    <w:pPr>
      <w:tabs>
        <w:tab w:val="center" w:pos="4680"/>
        <w:tab w:val="right" w:pos="9360"/>
      </w:tabs>
    </w:pPr>
  </w:style>
  <w:style w:type="character" w:customStyle="1" w:styleId="FooterChar">
    <w:name w:val="Footer Char"/>
    <w:basedOn w:val="DefaultParagraphFont"/>
    <w:link w:val="Footer"/>
    <w:uiPriority w:val="99"/>
    <w:rsid w:val="00BE22F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25470"/>
    <w:rPr>
      <w:b/>
      <w:bCs/>
      <w:sz w:val="20"/>
      <w:szCs w:val="20"/>
    </w:rPr>
  </w:style>
  <w:style w:type="character" w:customStyle="1" w:styleId="CommentSubjectChar">
    <w:name w:val="Comment Subject Char"/>
    <w:basedOn w:val="CommentTextChar"/>
    <w:link w:val="CommentSubject"/>
    <w:uiPriority w:val="99"/>
    <w:semiHidden/>
    <w:rsid w:val="0092547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38797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B02B2"/>
    <w:rPr>
      <w:rFonts w:ascii="Times New Roman" w:eastAsiaTheme="majorEastAsia" w:hAnsi="Times New Roman" w:cstheme="majorBidi"/>
      <w:b/>
      <w:bCs/>
      <w:sz w:val="24"/>
      <w:szCs w:val="26"/>
    </w:rPr>
  </w:style>
  <w:style w:type="paragraph" w:styleId="BodyText">
    <w:name w:val="Body Text"/>
    <w:basedOn w:val="Normal"/>
    <w:link w:val="BodyTextChar"/>
    <w:rsid w:val="003A3C90"/>
    <w:pPr>
      <w:jc w:val="both"/>
    </w:pPr>
  </w:style>
  <w:style w:type="character" w:customStyle="1" w:styleId="BodyTextChar">
    <w:name w:val="Body Text Char"/>
    <w:basedOn w:val="DefaultParagraphFont"/>
    <w:link w:val="BodyText"/>
    <w:rsid w:val="003A3C90"/>
    <w:rPr>
      <w:rFonts w:ascii="Times New Roman" w:eastAsia="Times New Roman" w:hAnsi="Times New Roman" w:cs="Times New Roman"/>
      <w:sz w:val="24"/>
      <w:szCs w:val="20"/>
    </w:rPr>
  </w:style>
  <w:style w:type="character" w:styleId="Hyperlink">
    <w:name w:val="Hyperlink"/>
    <w:rsid w:val="003A3C90"/>
    <w:rPr>
      <w:color w:val="0000FF"/>
      <w:u w:val="single"/>
    </w:rPr>
  </w:style>
  <w:style w:type="table" w:styleId="TableGrid">
    <w:name w:val="Table Grid"/>
    <w:basedOn w:val="TableNormal"/>
    <w:uiPriority w:val="59"/>
    <w:rsid w:val="0033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387978"/>
    <w:pPr>
      <w:keepNext/>
      <w:keepLines/>
      <w:spacing w:after="240"/>
      <w:ind w:left="720" w:hanging="72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B02B2"/>
    <w:pPr>
      <w:keepNext/>
      <w:keepLines/>
      <w:spacing w:after="240"/>
      <w:ind w:left="1440" w:right="720" w:hanging="7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15AFF"/>
    <w:rPr>
      <w:szCs w:val="24"/>
    </w:rPr>
  </w:style>
  <w:style w:type="character" w:customStyle="1" w:styleId="CommentTextChar">
    <w:name w:val="Comment Text Char"/>
    <w:basedOn w:val="DefaultParagraphFont"/>
    <w:link w:val="CommentText"/>
    <w:uiPriority w:val="99"/>
    <w:semiHidden/>
    <w:rsid w:val="00115AFF"/>
    <w:rPr>
      <w:rFonts w:ascii="Times New Roman" w:eastAsia="Times New Roman" w:hAnsi="Times New Roman" w:cs="Times New Roman"/>
      <w:sz w:val="24"/>
      <w:szCs w:val="24"/>
    </w:rPr>
  </w:style>
  <w:style w:type="character" w:styleId="CommentReference">
    <w:name w:val="annotation reference"/>
    <w:uiPriority w:val="99"/>
    <w:semiHidden/>
    <w:rsid w:val="00115AFF"/>
    <w:rPr>
      <w:sz w:val="18"/>
    </w:rPr>
  </w:style>
  <w:style w:type="paragraph" w:styleId="BalloonText">
    <w:name w:val="Balloon Text"/>
    <w:basedOn w:val="Normal"/>
    <w:link w:val="BalloonTextChar"/>
    <w:uiPriority w:val="99"/>
    <w:semiHidden/>
    <w:unhideWhenUsed/>
    <w:rsid w:val="00115AFF"/>
    <w:rPr>
      <w:rFonts w:ascii="Tahoma" w:hAnsi="Tahoma" w:cs="Tahoma"/>
      <w:sz w:val="16"/>
      <w:szCs w:val="16"/>
    </w:rPr>
  </w:style>
  <w:style w:type="character" w:customStyle="1" w:styleId="BalloonTextChar">
    <w:name w:val="Balloon Text Char"/>
    <w:basedOn w:val="DefaultParagraphFont"/>
    <w:link w:val="BalloonText"/>
    <w:uiPriority w:val="99"/>
    <w:semiHidden/>
    <w:rsid w:val="00115AFF"/>
    <w:rPr>
      <w:rFonts w:ascii="Tahoma" w:eastAsia="Times New Roman" w:hAnsi="Tahoma" w:cs="Tahoma"/>
      <w:sz w:val="16"/>
      <w:szCs w:val="16"/>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iPriority w:val="99"/>
    <w:unhideWhenUsed/>
    <w:rsid w:val="003D5297"/>
    <w:rPr>
      <w:sz w:val="20"/>
    </w:rPr>
  </w:style>
  <w:style w:type="character" w:customStyle="1" w:styleId="FootnoteTextChar">
    <w:name w:val="Footnote Text Char"/>
    <w:aliases w:val="Footnote Text Char1 Char1,Footnote Text Char Char Char1,Footnote Text Char1 Char Char1 Char1,Footnote Text Char Char Char Char Char1,Footnote Text Char2 Char Char Char Char1 Char1,Footnote Text Char1 Char Char1 Char Char Char Char1"/>
    <w:basedOn w:val="DefaultParagraphFont"/>
    <w:link w:val="FootnoteText"/>
    <w:uiPriority w:val="99"/>
    <w:semiHidden/>
    <w:rsid w:val="003D5297"/>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15,Style 17,Style 18,Style 19,Style 20,Style 28,Style 42,Style 7,Style 8,Style 9,fr1,fr2,fr3,o1,o2,o3"/>
    <w:basedOn w:val="DefaultParagraphFont"/>
    <w:uiPriority w:val="99"/>
    <w:unhideWhenUsed/>
    <w:rsid w:val="003D5297"/>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ocked/>
    <w:rsid w:val="00823AA2"/>
    <w:rPr>
      <w:lang w:val="en-US" w:eastAsia="en-US" w:bidi="ar-SA"/>
    </w:rPr>
  </w:style>
  <w:style w:type="paragraph" w:styleId="Header">
    <w:name w:val="header"/>
    <w:basedOn w:val="Normal"/>
    <w:link w:val="HeaderChar"/>
    <w:uiPriority w:val="99"/>
    <w:unhideWhenUsed/>
    <w:rsid w:val="00BE22F0"/>
    <w:pPr>
      <w:tabs>
        <w:tab w:val="center" w:pos="4680"/>
        <w:tab w:val="right" w:pos="9360"/>
      </w:tabs>
    </w:pPr>
  </w:style>
  <w:style w:type="character" w:customStyle="1" w:styleId="HeaderChar">
    <w:name w:val="Header Char"/>
    <w:basedOn w:val="DefaultParagraphFont"/>
    <w:link w:val="Header"/>
    <w:uiPriority w:val="99"/>
    <w:rsid w:val="00BE22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22F0"/>
    <w:pPr>
      <w:tabs>
        <w:tab w:val="center" w:pos="4680"/>
        <w:tab w:val="right" w:pos="9360"/>
      </w:tabs>
    </w:pPr>
  </w:style>
  <w:style w:type="character" w:customStyle="1" w:styleId="FooterChar">
    <w:name w:val="Footer Char"/>
    <w:basedOn w:val="DefaultParagraphFont"/>
    <w:link w:val="Footer"/>
    <w:uiPriority w:val="99"/>
    <w:rsid w:val="00BE22F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25470"/>
    <w:rPr>
      <w:b/>
      <w:bCs/>
      <w:sz w:val="20"/>
      <w:szCs w:val="20"/>
    </w:rPr>
  </w:style>
  <w:style w:type="character" w:customStyle="1" w:styleId="CommentSubjectChar">
    <w:name w:val="Comment Subject Char"/>
    <w:basedOn w:val="CommentTextChar"/>
    <w:link w:val="CommentSubject"/>
    <w:uiPriority w:val="99"/>
    <w:semiHidden/>
    <w:rsid w:val="0092547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38797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B02B2"/>
    <w:rPr>
      <w:rFonts w:ascii="Times New Roman" w:eastAsiaTheme="majorEastAsia" w:hAnsi="Times New Roman" w:cstheme="majorBidi"/>
      <w:b/>
      <w:bCs/>
      <w:sz w:val="24"/>
      <w:szCs w:val="26"/>
    </w:rPr>
  </w:style>
  <w:style w:type="paragraph" w:styleId="BodyText">
    <w:name w:val="Body Text"/>
    <w:basedOn w:val="Normal"/>
    <w:link w:val="BodyTextChar"/>
    <w:rsid w:val="003A3C90"/>
    <w:pPr>
      <w:jc w:val="both"/>
    </w:pPr>
  </w:style>
  <w:style w:type="character" w:customStyle="1" w:styleId="BodyTextChar">
    <w:name w:val="Body Text Char"/>
    <w:basedOn w:val="DefaultParagraphFont"/>
    <w:link w:val="BodyText"/>
    <w:rsid w:val="003A3C90"/>
    <w:rPr>
      <w:rFonts w:ascii="Times New Roman" w:eastAsia="Times New Roman" w:hAnsi="Times New Roman" w:cs="Times New Roman"/>
      <w:sz w:val="24"/>
      <w:szCs w:val="20"/>
    </w:rPr>
  </w:style>
  <w:style w:type="character" w:styleId="Hyperlink">
    <w:name w:val="Hyperlink"/>
    <w:rsid w:val="003A3C90"/>
    <w:rPr>
      <w:color w:val="0000FF"/>
      <w:u w:val="single"/>
    </w:rPr>
  </w:style>
  <w:style w:type="table" w:styleId="TableGrid">
    <w:name w:val="Table Grid"/>
    <w:basedOn w:val="TableNormal"/>
    <w:uiPriority w:val="59"/>
    <w:rsid w:val="0033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aruki@ficlaw.com" TargetMode="External"/><Relationship Id="rId18" Type="http://schemas.openxmlformats.org/officeDocument/2006/relationships/hyperlink" Target="mailto:cmooney@ohiopartners.org" TargetMode="External"/><Relationship Id="rId26" Type="http://schemas.openxmlformats.org/officeDocument/2006/relationships/hyperlink" Target="mailto:Bojko@carpenterlipps.com" TargetMode="External"/><Relationship Id="rId39" Type="http://schemas.openxmlformats.org/officeDocument/2006/relationships/hyperlink" Target="mailto:stnourse@aep.com" TargetMode="External"/><Relationship Id="rId21" Type="http://schemas.openxmlformats.org/officeDocument/2006/relationships/hyperlink" Target="mailto:wis29@yahoo.com" TargetMode="External"/><Relationship Id="rId34" Type="http://schemas.openxmlformats.org/officeDocument/2006/relationships/hyperlink" Target="mailto:Amy.spiller@duke-energy.com" TargetMode="External"/><Relationship Id="rId42" Type="http://schemas.openxmlformats.org/officeDocument/2006/relationships/hyperlink" Target="mailto:mwhite@cwslaw.com" TargetMode="External"/><Relationship Id="rId47" Type="http://schemas.openxmlformats.org/officeDocument/2006/relationships/hyperlink" Target="mailto:Cynthia.A.Fonner@constellation.com" TargetMode="External"/><Relationship Id="rId50" Type="http://schemas.openxmlformats.org/officeDocument/2006/relationships/hyperlink" Target="mailto:gdunn@icemiller.com" TargetMode="External"/><Relationship Id="rId55" Type="http://schemas.openxmlformats.org/officeDocument/2006/relationships/hyperlink" Target="mailto:campbell@whitt-sturtevant.com" TargetMode="External"/><Relationship Id="rId63"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sam@mwncmh.com" TargetMode="External"/><Relationship Id="rId20" Type="http://schemas.openxmlformats.org/officeDocument/2006/relationships/hyperlink" Target="mailto:ricks@ohanet.org" TargetMode="External"/><Relationship Id="rId29" Type="http://schemas.openxmlformats.org/officeDocument/2006/relationships/hyperlink" Target="mailto:jlang@calfee.com" TargetMode="External"/><Relationship Id="rId41" Type="http://schemas.openxmlformats.org/officeDocument/2006/relationships/hyperlink" Target="mailto:jbentine@cwslaw.com" TargetMode="External"/><Relationship Id="rId54" Type="http://schemas.openxmlformats.org/officeDocument/2006/relationships/hyperlink" Target="mailto:ejacobs@ablelaw.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Lindgren@ohioattorneygeneral.gov" TargetMode="External"/><Relationship Id="rId24" Type="http://schemas.openxmlformats.org/officeDocument/2006/relationships/hyperlink" Target="mailto:BarthRoyer@aol.com" TargetMode="External"/><Relationship Id="rId32" Type="http://schemas.openxmlformats.org/officeDocument/2006/relationships/hyperlink" Target="mailto:mswhite@igsenergy.com" TargetMode="External"/><Relationship Id="rId37" Type="http://schemas.openxmlformats.org/officeDocument/2006/relationships/hyperlink" Target="mailto:haydenm@firstenergycorp.com" TargetMode="External"/><Relationship Id="rId40" Type="http://schemas.openxmlformats.org/officeDocument/2006/relationships/hyperlink" Target="mailto:judi.sobecki@dplinc.com" TargetMode="External"/><Relationship Id="rId45" Type="http://schemas.openxmlformats.org/officeDocument/2006/relationships/hyperlink" Target="mailto:mkurtz@bkllawfirm.com" TargetMode="External"/><Relationship Id="rId53" Type="http://schemas.openxmlformats.org/officeDocument/2006/relationships/hyperlink" Target="mailto:Williams.toddm@gmail.com" TargetMode="External"/><Relationship Id="rId58" Type="http://schemas.openxmlformats.org/officeDocument/2006/relationships/hyperlink" Target="mailto:myurick@taftlaw.com" TargetMode="External"/><Relationship Id="rId5" Type="http://schemas.openxmlformats.org/officeDocument/2006/relationships/webSettings" Target="webSettings.xml"/><Relationship Id="rId15" Type="http://schemas.openxmlformats.org/officeDocument/2006/relationships/hyperlink" Target="mailto:joliker@mwncmh.com" TargetMode="External"/><Relationship Id="rId23" Type="http://schemas.openxmlformats.org/officeDocument/2006/relationships/hyperlink" Target="mailto:mjsettineri@vorys.com" TargetMode="External"/><Relationship Id="rId28" Type="http://schemas.openxmlformats.org/officeDocument/2006/relationships/hyperlink" Target="mailto:fdarr@mwncmh.com" TargetMode="External"/><Relationship Id="rId36" Type="http://schemas.openxmlformats.org/officeDocument/2006/relationships/hyperlink" Target="mailto:Ellizabeth.watts@duke-energy.com" TargetMode="External"/><Relationship Id="rId49" Type="http://schemas.openxmlformats.org/officeDocument/2006/relationships/hyperlink" Target="mailto:cmiller@icemiller.com" TargetMode="External"/><Relationship Id="rId57" Type="http://schemas.openxmlformats.org/officeDocument/2006/relationships/hyperlink" Target="mailto:whitt@whitt-sturtevant.com"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Ned.Ford@fuse.net" TargetMode="External"/><Relationship Id="rId31" Type="http://schemas.openxmlformats.org/officeDocument/2006/relationships/hyperlink" Target="mailto:mkeaney@calfee.com" TargetMode="External"/><Relationship Id="rId44" Type="http://schemas.openxmlformats.org/officeDocument/2006/relationships/hyperlink" Target="mailto:dboehm@bkllawfirm.com" TargetMode="External"/><Relationship Id="rId52" Type="http://schemas.openxmlformats.org/officeDocument/2006/relationships/hyperlink" Target="mailto:cathy@theoec.org"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ureen.willis@occ.ohio.gov" TargetMode="External"/><Relationship Id="rId14" Type="http://schemas.openxmlformats.org/officeDocument/2006/relationships/hyperlink" Target="mailto:jsharkey@ficlaw.com" TargetMode="External"/><Relationship Id="rId22" Type="http://schemas.openxmlformats.org/officeDocument/2006/relationships/hyperlink" Target="mailto:smhoward@vssp.com" TargetMode="External"/><Relationship Id="rId27" Type="http://schemas.openxmlformats.org/officeDocument/2006/relationships/hyperlink" Target="mailto:sechler@carpenterlipps.com" TargetMode="External"/><Relationship Id="rId30" Type="http://schemas.openxmlformats.org/officeDocument/2006/relationships/hyperlink" Target="mailto:talexander@calfee.com" TargetMode="External"/><Relationship Id="rId35" Type="http://schemas.openxmlformats.org/officeDocument/2006/relationships/hyperlink" Target="mailto:Jeanne.kingery@duke-energy.com" TargetMode="External"/><Relationship Id="rId43" Type="http://schemas.openxmlformats.org/officeDocument/2006/relationships/hyperlink" Target="mailto:henryeckhart@aol.com" TargetMode="External"/><Relationship Id="rId48" Type="http://schemas.openxmlformats.org/officeDocument/2006/relationships/hyperlink" Target="mailto:LGearhardt@ofbf.org" TargetMode="External"/><Relationship Id="rId56" Type="http://schemas.openxmlformats.org/officeDocument/2006/relationships/hyperlink" Target="mailto:glover@whitt-sturtevant.com" TargetMode="External"/><Relationship Id="rId8" Type="http://schemas.openxmlformats.org/officeDocument/2006/relationships/footer" Target="footer1.xml"/><Relationship Id="rId51" Type="http://schemas.openxmlformats.org/officeDocument/2006/relationships/hyperlink" Target="mailto:trent@theOEC.org" TargetMode="External"/><Relationship Id="rId3" Type="http://schemas.microsoft.com/office/2007/relationships/stylesWithEffects" Target="stylesWithEffects.xml"/><Relationship Id="rId12" Type="http://schemas.openxmlformats.org/officeDocument/2006/relationships/hyperlink" Target="mailto:thomas.mcnamee@ohioattorneygeneral.gov" TargetMode="External"/><Relationship Id="rId17" Type="http://schemas.openxmlformats.org/officeDocument/2006/relationships/hyperlink" Target="mailto:drinebolt@aol.com" TargetMode="External"/><Relationship Id="rId25" Type="http://schemas.openxmlformats.org/officeDocument/2006/relationships/hyperlink" Target="mailto:Gary.A.Jeffries@dom.com" TargetMode="External"/><Relationship Id="rId33" Type="http://schemas.openxmlformats.org/officeDocument/2006/relationships/hyperlink" Target="mailto:Gregory.Price@puc.state.oh.us" TargetMode="External"/><Relationship Id="rId38" Type="http://schemas.openxmlformats.org/officeDocument/2006/relationships/hyperlink" Target="mailto:mjsatterwhite@aep.com" TargetMode="External"/><Relationship Id="rId46" Type="http://schemas.openxmlformats.org/officeDocument/2006/relationships/hyperlink" Target="mailto:jkyler@bkllawfirm.com" TargetMode="External"/><Relationship Id="rId59" Type="http://schemas.openxmlformats.org/officeDocument/2006/relationships/hyperlink" Target="mailto:stephen.chriss@wal-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F7C7-DCE6-408F-9AC2-D1129E0F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2377</Words>
  <Characters>13167</Characters>
  <Application>Microsoft Office Word</Application>
  <DocSecurity>0</DocSecurity>
  <PresentationFormat/>
  <Lines>360</Lines>
  <Paragraphs>140</Paragraphs>
  <ScaleCrop>false</ScaleCrop>
  <HeadingPairs>
    <vt:vector size="2" baseType="variant">
      <vt:variant>
        <vt:lpstr>Title</vt:lpstr>
      </vt:variant>
      <vt:variant>
        <vt:i4>1</vt:i4>
      </vt:variant>
    </vt:vector>
  </HeadingPairs>
  <TitlesOfParts>
    <vt:vector size="1" baseType="lpstr">
      <vt:lpstr>08-1094-EL-SSO Comments on DPL's Proposed Tariffs.docx</vt:lpstr>
    </vt:vector>
  </TitlesOfParts>
  <Company>Office of the Ohio Consumers' Counsel</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08-1094-EL-SSO Comments on DPL's Proposed Tariffs.docx</dc:title>
  <dc:subject>00023737-4 /font=6</dc:subject>
  <dc:creator>Maureen Willis</dc:creator>
  <cp:lastModifiedBy>_</cp:lastModifiedBy>
  <cp:revision>16</cp:revision>
  <cp:lastPrinted>2016-08-12T16:02:00Z</cp:lastPrinted>
  <dcterms:created xsi:type="dcterms:W3CDTF">2016-08-12T15:50:00Z</dcterms:created>
  <dcterms:modified xsi:type="dcterms:W3CDTF">2016-08-12T17:28:00Z</dcterms:modified>
</cp:coreProperties>
</file>