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742" w:rsidRDefault="00AC7D53">
      <w:pPr>
        <w:spacing w:line="240" w:lineRule="auto"/>
        <w:jc w:val="center"/>
        <w:rPr>
          <w:rFonts w:cs="Arial"/>
          <w:b/>
          <w:smallCaps/>
          <w:sz w:val="32"/>
          <w:szCs w:val="32"/>
        </w:rPr>
      </w:pPr>
      <w:r>
        <w:rPr>
          <w:rFonts w:cs="Arial"/>
          <w:b/>
          <w:smallCaps/>
          <w:sz w:val="32"/>
          <w:szCs w:val="32"/>
        </w:rPr>
        <w:t>Before</w:t>
      </w:r>
    </w:p>
    <w:p w:rsidR="00A14742" w:rsidRDefault="00AC7D53">
      <w:pPr>
        <w:spacing w:line="240" w:lineRule="auto"/>
        <w:jc w:val="center"/>
        <w:rPr>
          <w:rFonts w:cs="Arial"/>
          <w:b/>
          <w:smallCaps/>
          <w:sz w:val="32"/>
          <w:szCs w:val="32"/>
        </w:rPr>
      </w:pPr>
      <w:r>
        <w:rPr>
          <w:rFonts w:cs="Arial"/>
          <w:b/>
          <w:smallCaps/>
          <w:sz w:val="32"/>
          <w:szCs w:val="32"/>
        </w:rPr>
        <w:t>The Public Utilities Commission of Ohio</w:t>
      </w:r>
    </w:p>
    <w:p w:rsidR="00A14742" w:rsidRDefault="00A14742">
      <w:pPr>
        <w:autoSpaceDE w:val="0"/>
        <w:autoSpaceDN w:val="0"/>
        <w:adjustRightInd w:val="0"/>
        <w:spacing w:line="240" w:lineRule="auto"/>
        <w:rPr>
          <w:rFonts w:cs="Arial"/>
        </w:rPr>
      </w:pPr>
    </w:p>
    <w:p w:rsidR="00A14742" w:rsidRDefault="00AC7D53">
      <w:pPr>
        <w:tabs>
          <w:tab w:val="left" w:pos="5040"/>
          <w:tab w:val="left" w:pos="5760"/>
        </w:tabs>
        <w:autoSpaceDE w:val="0"/>
        <w:autoSpaceDN w:val="0"/>
        <w:adjustRightInd w:val="0"/>
        <w:spacing w:line="240" w:lineRule="auto"/>
        <w:rPr>
          <w:rFonts w:cs="Arial"/>
        </w:rPr>
      </w:pPr>
      <w:r>
        <w:rPr>
          <w:rFonts w:cs="Arial"/>
        </w:rPr>
        <w:t>In the Matter of the Fuel Adjustment</w:t>
      </w:r>
      <w:r>
        <w:rPr>
          <w:rFonts w:cs="Arial"/>
        </w:rPr>
        <w:tab/>
        <w:t>)</w:t>
      </w:r>
      <w:r>
        <w:rPr>
          <w:rFonts w:cs="Arial"/>
        </w:rPr>
        <w:tab/>
        <w:t>Case No. 10-268-EL-FAC</w:t>
      </w:r>
    </w:p>
    <w:p w:rsidR="00A14742" w:rsidRDefault="00AC7D53">
      <w:pPr>
        <w:tabs>
          <w:tab w:val="left" w:pos="5040"/>
          <w:tab w:val="left" w:pos="5760"/>
        </w:tabs>
        <w:autoSpaceDE w:val="0"/>
        <w:autoSpaceDN w:val="0"/>
        <w:adjustRightInd w:val="0"/>
        <w:spacing w:line="240" w:lineRule="auto"/>
        <w:rPr>
          <w:rFonts w:cs="Arial"/>
        </w:rPr>
      </w:pPr>
      <w:r>
        <w:rPr>
          <w:rFonts w:cs="Arial"/>
        </w:rPr>
        <w:t>Clause of Columbus Southern Power</w:t>
      </w:r>
      <w:r>
        <w:rPr>
          <w:rFonts w:cs="Arial"/>
        </w:rPr>
        <w:tab/>
        <w:t>)</w:t>
      </w:r>
      <w:r>
        <w:rPr>
          <w:rFonts w:cs="Arial"/>
        </w:rPr>
        <w:tab/>
        <w:t>Case No. 10-269-EL-FAC</w:t>
      </w:r>
    </w:p>
    <w:p w:rsidR="00A14742" w:rsidRDefault="00AC7D53">
      <w:pPr>
        <w:tabs>
          <w:tab w:val="left" w:pos="5040"/>
          <w:tab w:val="left" w:pos="5760"/>
        </w:tabs>
        <w:autoSpaceDE w:val="0"/>
        <w:autoSpaceDN w:val="0"/>
        <w:adjustRightInd w:val="0"/>
        <w:spacing w:line="240" w:lineRule="auto"/>
        <w:rPr>
          <w:rFonts w:cs="Arial"/>
        </w:rPr>
      </w:pPr>
      <w:r>
        <w:rPr>
          <w:rFonts w:cs="Arial"/>
        </w:rPr>
        <w:t>Company and Ohio Power Company and</w:t>
      </w:r>
      <w:r>
        <w:rPr>
          <w:rFonts w:cs="Arial"/>
        </w:rPr>
        <w:tab/>
        <w:t>)</w:t>
      </w:r>
    </w:p>
    <w:p w:rsidR="00A14742" w:rsidRDefault="00AC7D53">
      <w:pPr>
        <w:tabs>
          <w:tab w:val="left" w:pos="5040"/>
          <w:tab w:val="left" w:pos="5760"/>
        </w:tabs>
        <w:autoSpaceDE w:val="0"/>
        <w:autoSpaceDN w:val="0"/>
        <w:adjustRightInd w:val="0"/>
        <w:spacing w:line="240" w:lineRule="auto"/>
        <w:rPr>
          <w:rFonts w:ascii="Book Antiqua" w:hAnsi="Book Antiqua" w:cs="Book Antiqua"/>
        </w:rPr>
      </w:pPr>
      <w:r>
        <w:rPr>
          <w:rFonts w:cs="Arial"/>
        </w:rPr>
        <w:t>Related Matters for 2010</w:t>
      </w:r>
      <w:r>
        <w:rPr>
          <w:rFonts w:ascii="Book Antiqua" w:hAnsi="Book Antiqua" w:cs="Book Antiqua"/>
        </w:rPr>
        <w:t>.</w:t>
      </w:r>
      <w:r>
        <w:rPr>
          <w:rFonts w:ascii="Book Antiqua" w:hAnsi="Book Antiqua" w:cs="Book Antiqua"/>
        </w:rPr>
        <w:tab/>
        <w:t>)</w:t>
      </w:r>
    </w:p>
    <w:p w:rsidR="00A14742" w:rsidRDefault="00AC7D53">
      <w:pPr>
        <w:tabs>
          <w:tab w:val="left" w:pos="5040"/>
          <w:tab w:val="left" w:pos="5760"/>
        </w:tabs>
        <w:autoSpaceDE w:val="0"/>
        <w:autoSpaceDN w:val="0"/>
        <w:adjustRightInd w:val="0"/>
        <w:spacing w:line="240" w:lineRule="auto"/>
        <w:rPr>
          <w:rFonts w:cs="Arial"/>
        </w:rPr>
      </w:pPr>
      <w:r>
        <w:rPr>
          <w:rFonts w:cs="Arial"/>
        </w:rPr>
        <w:tab/>
      </w:r>
    </w:p>
    <w:p w:rsidR="00A14742" w:rsidRDefault="00AC7D53">
      <w:pPr>
        <w:tabs>
          <w:tab w:val="left" w:pos="5040"/>
          <w:tab w:val="left" w:pos="5760"/>
        </w:tabs>
        <w:autoSpaceDE w:val="0"/>
        <w:autoSpaceDN w:val="0"/>
        <w:adjustRightInd w:val="0"/>
        <w:spacing w:line="240" w:lineRule="auto"/>
        <w:rPr>
          <w:rFonts w:cs="Arial"/>
        </w:rPr>
      </w:pPr>
      <w:r>
        <w:rPr>
          <w:rFonts w:cs="Arial"/>
        </w:rPr>
        <w:t>In the Matter of the Application of the Fuel</w:t>
      </w:r>
      <w:r>
        <w:rPr>
          <w:rFonts w:cs="Arial"/>
        </w:rPr>
        <w:tab/>
        <w:t>)</w:t>
      </w:r>
    </w:p>
    <w:p w:rsidR="00A14742" w:rsidRDefault="00AC7D53">
      <w:pPr>
        <w:tabs>
          <w:tab w:val="left" w:pos="5040"/>
          <w:tab w:val="left" w:pos="5760"/>
        </w:tabs>
        <w:autoSpaceDE w:val="0"/>
        <w:autoSpaceDN w:val="0"/>
        <w:adjustRightInd w:val="0"/>
        <w:spacing w:line="240" w:lineRule="auto"/>
        <w:rPr>
          <w:rFonts w:cs="Arial"/>
        </w:rPr>
      </w:pPr>
      <w:r>
        <w:rPr>
          <w:rFonts w:cs="Arial"/>
        </w:rPr>
        <w:t>Adjustment Clauses for Co</w:t>
      </w:r>
      <w:bookmarkStart w:id="0" w:name="_GoBack"/>
      <w:bookmarkEnd w:id="0"/>
      <w:r>
        <w:rPr>
          <w:rFonts w:cs="Arial"/>
        </w:rPr>
        <w:t xml:space="preserve">lumbus Southern </w:t>
      </w:r>
      <w:r>
        <w:rPr>
          <w:rFonts w:cs="Arial"/>
        </w:rPr>
        <w:tab/>
        <w:t>)</w:t>
      </w:r>
      <w:r>
        <w:rPr>
          <w:rFonts w:cs="Arial"/>
        </w:rPr>
        <w:tab/>
        <w:t>Case No. 11-281-EL-FAC</w:t>
      </w:r>
    </w:p>
    <w:p w:rsidR="00A14742" w:rsidRDefault="00AC7D53">
      <w:pPr>
        <w:tabs>
          <w:tab w:val="left" w:pos="4320"/>
          <w:tab w:val="left" w:pos="5040"/>
          <w:tab w:val="left" w:pos="5760"/>
        </w:tabs>
        <w:autoSpaceDE w:val="0"/>
        <w:autoSpaceDN w:val="0"/>
        <w:adjustRightInd w:val="0"/>
        <w:spacing w:line="240" w:lineRule="auto"/>
        <w:rPr>
          <w:rFonts w:cs="Arial"/>
        </w:rPr>
      </w:pPr>
      <w:r>
        <w:rPr>
          <w:rFonts w:cs="Arial"/>
        </w:rPr>
        <w:t xml:space="preserve">Power Company and Ohio Power Company </w:t>
      </w:r>
      <w:r>
        <w:rPr>
          <w:rFonts w:cs="Arial"/>
        </w:rPr>
        <w:tab/>
        <w:t>)</w:t>
      </w:r>
    </w:p>
    <w:p w:rsidR="00A14742" w:rsidRDefault="00AC7D53">
      <w:pPr>
        <w:tabs>
          <w:tab w:val="left" w:pos="5040"/>
          <w:tab w:val="left" w:pos="5760"/>
        </w:tabs>
        <w:autoSpaceDE w:val="0"/>
        <w:autoSpaceDN w:val="0"/>
        <w:adjustRightInd w:val="0"/>
        <w:spacing w:line="240" w:lineRule="auto"/>
        <w:rPr>
          <w:rFonts w:cs="Arial"/>
        </w:rPr>
      </w:pPr>
      <w:proofErr w:type="gramStart"/>
      <w:r>
        <w:rPr>
          <w:rFonts w:cs="Arial"/>
        </w:rPr>
        <w:t>and</w:t>
      </w:r>
      <w:proofErr w:type="gramEnd"/>
      <w:r>
        <w:rPr>
          <w:rFonts w:cs="Arial"/>
        </w:rPr>
        <w:t xml:space="preserve"> Related Matters.</w:t>
      </w:r>
      <w:r>
        <w:rPr>
          <w:rFonts w:cs="Arial"/>
        </w:rPr>
        <w:tab/>
        <w:t>)</w:t>
      </w:r>
    </w:p>
    <w:p w:rsidR="00A14742" w:rsidRDefault="00A14742">
      <w:pPr>
        <w:pStyle w:val="BodyText"/>
        <w:rPr>
          <w:rFonts w:cs="Arial"/>
          <w:b w:val="0"/>
        </w:rPr>
      </w:pPr>
    </w:p>
    <w:p w:rsidR="00A14742" w:rsidRDefault="00A14742">
      <w:pPr>
        <w:pStyle w:val="BodyText"/>
        <w:rPr>
          <w:rFonts w:cs="Arial"/>
          <w:b w:val="0"/>
        </w:rPr>
      </w:pPr>
    </w:p>
    <w:p w:rsidR="00A14742" w:rsidRDefault="00A14742">
      <w:pPr>
        <w:pStyle w:val="BodyText"/>
        <w:rPr>
          <w:rFonts w:cs="Arial"/>
          <w:b w:val="0"/>
        </w:rPr>
      </w:pPr>
    </w:p>
    <w:p w:rsidR="00A14742" w:rsidRDefault="00A14742">
      <w:pPr>
        <w:pStyle w:val="BodyText"/>
        <w:rPr>
          <w:rFonts w:cs="Arial"/>
          <w:b w:val="0"/>
        </w:rPr>
      </w:pPr>
    </w:p>
    <w:p w:rsidR="00A14742" w:rsidRDefault="00A14742">
      <w:pPr>
        <w:pStyle w:val="BodyText"/>
        <w:rPr>
          <w:rFonts w:cs="Arial"/>
          <w:b w:val="0"/>
        </w:rPr>
      </w:pPr>
    </w:p>
    <w:p w:rsidR="00A14742" w:rsidRDefault="00A14742">
      <w:pPr>
        <w:pStyle w:val="BodyText"/>
        <w:pBdr>
          <w:top w:val="single" w:sz="12" w:space="1" w:color="auto"/>
        </w:pBdr>
        <w:rPr>
          <w:rFonts w:cs="Arial"/>
          <w:sz w:val="12"/>
          <w:szCs w:val="12"/>
        </w:rPr>
      </w:pPr>
    </w:p>
    <w:p w:rsidR="00A14742" w:rsidRDefault="00AC7D53">
      <w:pPr>
        <w:spacing w:line="240" w:lineRule="auto"/>
        <w:jc w:val="center"/>
        <w:rPr>
          <w:rFonts w:cs="Arial"/>
          <w:b/>
          <w:smallCaps/>
          <w:sz w:val="32"/>
          <w:szCs w:val="32"/>
        </w:rPr>
      </w:pPr>
      <w:r>
        <w:rPr>
          <w:rFonts w:cs="Arial"/>
          <w:b/>
          <w:smallCaps/>
          <w:sz w:val="32"/>
          <w:szCs w:val="32"/>
        </w:rPr>
        <w:t>Industrial Energy Users-Ohio's Application for Rehearing</w:t>
      </w:r>
    </w:p>
    <w:p w:rsidR="00A14742" w:rsidRDefault="00AC7D53">
      <w:pPr>
        <w:spacing w:line="240" w:lineRule="auto"/>
        <w:jc w:val="center"/>
        <w:rPr>
          <w:rFonts w:cs="Arial"/>
          <w:b/>
          <w:smallCaps/>
          <w:sz w:val="32"/>
          <w:szCs w:val="32"/>
        </w:rPr>
      </w:pPr>
      <w:r>
        <w:rPr>
          <w:rFonts w:cs="Arial"/>
          <w:b/>
          <w:smallCaps/>
          <w:sz w:val="32"/>
          <w:szCs w:val="32"/>
        </w:rPr>
        <w:t>and Memorandum in Support</w:t>
      </w:r>
    </w:p>
    <w:p w:rsidR="00A14742" w:rsidRDefault="00A14742">
      <w:pPr>
        <w:pBdr>
          <w:bottom w:val="single" w:sz="12" w:space="1" w:color="auto"/>
        </w:pBdr>
        <w:spacing w:line="240" w:lineRule="auto"/>
        <w:rPr>
          <w:rFonts w:cs="Arial"/>
          <w:sz w:val="12"/>
          <w:szCs w:val="12"/>
        </w:rPr>
      </w:pPr>
    </w:p>
    <w:p w:rsidR="00A14742" w:rsidRDefault="00A14742">
      <w:pPr>
        <w:spacing w:line="240" w:lineRule="auto"/>
        <w:rPr>
          <w:rFonts w:cs="Arial"/>
        </w:rPr>
      </w:pPr>
    </w:p>
    <w:p w:rsidR="00A14742" w:rsidRDefault="00A14742">
      <w:pPr>
        <w:spacing w:line="240" w:lineRule="auto"/>
        <w:rPr>
          <w:rFonts w:cs="Arial"/>
        </w:rPr>
      </w:pPr>
    </w:p>
    <w:p w:rsidR="00A14742" w:rsidRDefault="00A14742">
      <w:pPr>
        <w:spacing w:line="240" w:lineRule="auto"/>
        <w:rPr>
          <w:rFonts w:cs="Arial"/>
        </w:rPr>
      </w:pPr>
    </w:p>
    <w:p w:rsidR="00A14742" w:rsidRDefault="00A14742">
      <w:pPr>
        <w:spacing w:line="240" w:lineRule="auto"/>
        <w:rPr>
          <w:rFonts w:cs="Arial"/>
        </w:rPr>
      </w:pPr>
    </w:p>
    <w:p w:rsidR="00A14742" w:rsidRDefault="00A14742">
      <w:pPr>
        <w:spacing w:line="240" w:lineRule="auto"/>
        <w:rPr>
          <w:rFonts w:cs="Arial"/>
        </w:rPr>
      </w:pPr>
    </w:p>
    <w:p w:rsidR="00A14742" w:rsidRDefault="00A14742">
      <w:pPr>
        <w:spacing w:line="240" w:lineRule="auto"/>
        <w:rPr>
          <w:rFonts w:cs="Arial"/>
        </w:rPr>
      </w:pPr>
    </w:p>
    <w:p w:rsidR="00A14742" w:rsidRDefault="00A14742">
      <w:pPr>
        <w:spacing w:line="240" w:lineRule="auto"/>
        <w:rPr>
          <w:rFonts w:cs="Arial"/>
        </w:rPr>
      </w:pPr>
    </w:p>
    <w:p w:rsidR="00A14742" w:rsidRDefault="00A14742">
      <w:pPr>
        <w:spacing w:line="240" w:lineRule="auto"/>
        <w:rPr>
          <w:rFonts w:cs="Arial"/>
        </w:rPr>
      </w:pPr>
    </w:p>
    <w:p w:rsidR="00A14742" w:rsidRDefault="00A14742">
      <w:pPr>
        <w:spacing w:line="240" w:lineRule="auto"/>
        <w:rPr>
          <w:rFonts w:cs="Arial"/>
        </w:rPr>
      </w:pPr>
    </w:p>
    <w:p w:rsidR="00A14742" w:rsidRDefault="00A14742">
      <w:pPr>
        <w:spacing w:line="240" w:lineRule="auto"/>
        <w:rPr>
          <w:rFonts w:cs="Arial"/>
        </w:rPr>
      </w:pPr>
    </w:p>
    <w:p w:rsidR="00A14742" w:rsidRDefault="00A14742">
      <w:pPr>
        <w:spacing w:line="240" w:lineRule="auto"/>
        <w:rPr>
          <w:rFonts w:cs="Arial"/>
        </w:rPr>
      </w:pPr>
    </w:p>
    <w:p w:rsidR="005626C1" w:rsidRDefault="005626C1">
      <w:pPr>
        <w:spacing w:line="240" w:lineRule="auto"/>
        <w:rPr>
          <w:rFonts w:cs="Arial"/>
        </w:rPr>
      </w:pPr>
    </w:p>
    <w:p w:rsidR="00A14742" w:rsidRDefault="00A14742">
      <w:pPr>
        <w:spacing w:line="240" w:lineRule="auto"/>
        <w:rPr>
          <w:rFonts w:cs="Arial"/>
        </w:rPr>
      </w:pPr>
    </w:p>
    <w:p w:rsidR="00A14742" w:rsidRDefault="00AC7D53">
      <w:pPr>
        <w:tabs>
          <w:tab w:val="left" w:pos="4320"/>
          <w:tab w:val="right" w:pos="8640"/>
        </w:tabs>
        <w:spacing w:line="240" w:lineRule="auto"/>
        <w:ind w:left="4320"/>
        <w:rPr>
          <w:rFonts w:cs="Arial"/>
        </w:rPr>
      </w:pPr>
      <w:r>
        <w:rPr>
          <w:rFonts w:cs="Arial"/>
        </w:rPr>
        <w:t>Samuel C. Randazzo (Counsel of Record)</w:t>
      </w:r>
    </w:p>
    <w:p w:rsidR="00A14742" w:rsidRDefault="00AC7D53">
      <w:pPr>
        <w:tabs>
          <w:tab w:val="left" w:pos="4320"/>
          <w:tab w:val="right" w:pos="8640"/>
        </w:tabs>
        <w:spacing w:line="240" w:lineRule="auto"/>
        <w:ind w:left="4320"/>
        <w:rPr>
          <w:rFonts w:cs="Arial"/>
        </w:rPr>
      </w:pPr>
      <w:r>
        <w:rPr>
          <w:rFonts w:cs="Arial"/>
        </w:rPr>
        <w:t xml:space="preserve">  (Reg. No. 0016386)</w:t>
      </w:r>
    </w:p>
    <w:p w:rsidR="00A14742" w:rsidRDefault="00AC7D53">
      <w:pPr>
        <w:pStyle w:val="BodyText3"/>
        <w:widowControl w:val="0"/>
        <w:tabs>
          <w:tab w:val="left" w:pos="4320"/>
        </w:tabs>
        <w:spacing w:after="0"/>
        <w:ind w:left="4320"/>
        <w:jc w:val="both"/>
        <w:rPr>
          <w:rFonts w:cs="Arial"/>
          <w:bCs/>
          <w:sz w:val="24"/>
          <w:szCs w:val="24"/>
        </w:rPr>
      </w:pPr>
      <w:r>
        <w:rPr>
          <w:rFonts w:cs="Arial"/>
          <w:bCs/>
          <w:sz w:val="24"/>
          <w:szCs w:val="24"/>
        </w:rPr>
        <w:t>Frank P. Darr (Reg. No. 0025469)</w:t>
      </w:r>
    </w:p>
    <w:p w:rsidR="00A14742" w:rsidRDefault="00AC7D53">
      <w:pPr>
        <w:pStyle w:val="BodyText3"/>
        <w:widowControl w:val="0"/>
        <w:tabs>
          <w:tab w:val="left" w:pos="4320"/>
        </w:tabs>
        <w:spacing w:after="0"/>
        <w:ind w:left="4320"/>
        <w:jc w:val="both"/>
        <w:rPr>
          <w:rFonts w:cs="Arial"/>
          <w:b/>
          <w:bCs/>
          <w:sz w:val="24"/>
          <w:szCs w:val="24"/>
        </w:rPr>
      </w:pPr>
      <w:r>
        <w:rPr>
          <w:rFonts w:cs="Arial"/>
          <w:bCs/>
          <w:sz w:val="24"/>
          <w:szCs w:val="24"/>
        </w:rPr>
        <w:t>Matthew R. Pritchard (Reg. No. 0088070)</w:t>
      </w:r>
    </w:p>
    <w:p w:rsidR="00A14742" w:rsidRDefault="00AC7D53">
      <w:pPr>
        <w:pStyle w:val="BodyText3"/>
        <w:widowControl w:val="0"/>
        <w:tabs>
          <w:tab w:val="left" w:pos="4320"/>
        </w:tabs>
        <w:spacing w:after="0"/>
        <w:ind w:left="4320"/>
        <w:jc w:val="both"/>
        <w:rPr>
          <w:rFonts w:cs="Arial"/>
          <w:b/>
          <w:bCs/>
          <w:smallCaps/>
          <w:sz w:val="24"/>
          <w:szCs w:val="24"/>
        </w:rPr>
      </w:pPr>
      <w:r>
        <w:rPr>
          <w:rFonts w:cs="Arial"/>
          <w:bCs/>
          <w:smallCaps/>
          <w:sz w:val="24"/>
          <w:szCs w:val="24"/>
        </w:rPr>
        <w:t>McNees Wallace &amp; Nurick LLC</w:t>
      </w:r>
    </w:p>
    <w:p w:rsidR="00A14742" w:rsidRDefault="00AC7D53">
      <w:pPr>
        <w:pStyle w:val="BodyText3"/>
        <w:widowControl w:val="0"/>
        <w:tabs>
          <w:tab w:val="left" w:pos="4320"/>
        </w:tabs>
        <w:spacing w:after="0"/>
        <w:ind w:left="4320"/>
        <w:jc w:val="both"/>
        <w:rPr>
          <w:rFonts w:cs="Arial"/>
          <w:b/>
          <w:bCs/>
          <w:sz w:val="24"/>
          <w:szCs w:val="24"/>
        </w:rPr>
      </w:pPr>
      <w:r>
        <w:rPr>
          <w:rFonts w:cs="Arial"/>
          <w:bCs/>
          <w:sz w:val="24"/>
          <w:szCs w:val="24"/>
        </w:rPr>
        <w:t>21 East State Street, 17</w:t>
      </w:r>
      <w:r>
        <w:rPr>
          <w:rFonts w:cs="Arial"/>
          <w:bCs/>
          <w:sz w:val="24"/>
          <w:szCs w:val="24"/>
          <w:vertAlign w:val="superscript"/>
        </w:rPr>
        <w:t>TH</w:t>
      </w:r>
      <w:r>
        <w:rPr>
          <w:rFonts w:cs="Arial"/>
          <w:bCs/>
          <w:sz w:val="24"/>
          <w:szCs w:val="24"/>
        </w:rPr>
        <w:t xml:space="preserve"> Floor</w:t>
      </w:r>
    </w:p>
    <w:p w:rsidR="00A14742" w:rsidRDefault="00AC7D53">
      <w:pPr>
        <w:pStyle w:val="BodyText"/>
        <w:tabs>
          <w:tab w:val="left" w:pos="4320"/>
        </w:tabs>
        <w:ind w:left="4320"/>
        <w:rPr>
          <w:b w:val="0"/>
          <w:smallCaps w:val="0"/>
          <w:sz w:val="24"/>
          <w:szCs w:val="24"/>
        </w:rPr>
      </w:pPr>
      <w:r>
        <w:rPr>
          <w:b w:val="0"/>
          <w:smallCaps w:val="0"/>
          <w:sz w:val="24"/>
          <w:szCs w:val="24"/>
        </w:rPr>
        <w:t>Columbus, OH  43215</w:t>
      </w:r>
    </w:p>
    <w:p w:rsidR="00A14742" w:rsidRDefault="00AC7D53">
      <w:pPr>
        <w:pStyle w:val="BodyText"/>
        <w:tabs>
          <w:tab w:val="left" w:pos="4320"/>
        </w:tabs>
        <w:ind w:left="4320"/>
        <w:rPr>
          <w:b w:val="0"/>
          <w:smallCaps w:val="0"/>
          <w:sz w:val="24"/>
          <w:szCs w:val="24"/>
        </w:rPr>
      </w:pPr>
      <w:r>
        <w:rPr>
          <w:b w:val="0"/>
          <w:smallCaps w:val="0"/>
          <w:sz w:val="24"/>
          <w:szCs w:val="24"/>
        </w:rPr>
        <w:t>Telephone:  (614) 469-8000</w:t>
      </w:r>
    </w:p>
    <w:p w:rsidR="00A14742" w:rsidRDefault="00AC7D53">
      <w:pPr>
        <w:pStyle w:val="BodyText"/>
        <w:tabs>
          <w:tab w:val="left" w:pos="4320"/>
        </w:tabs>
        <w:ind w:left="4320"/>
        <w:rPr>
          <w:b w:val="0"/>
          <w:smallCaps w:val="0"/>
          <w:sz w:val="24"/>
          <w:szCs w:val="24"/>
        </w:rPr>
      </w:pPr>
      <w:r>
        <w:rPr>
          <w:b w:val="0"/>
          <w:smallCaps w:val="0"/>
          <w:sz w:val="24"/>
          <w:szCs w:val="24"/>
        </w:rPr>
        <w:t>Telecopier:  (614) 469-4653</w:t>
      </w:r>
    </w:p>
    <w:p w:rsidR="00A14742" w:rsidRDefault="00AC7D53">
      <w:pPr>
        <w:pStyle w:val="BodyText"/>
        <w:ind w:left="4320"/>
        <w:rPr>
          <w:b w:val="0"/>
          <w:smallCaps w:val="0"/>
          <w:sz w:val="24"/>
          <w:szCs w:val="24"/>
        </w:rPr>
      </w:pPr>
      <w:r>
        <w:rPr>
          <w:b w:val="0"/>
          <w:smallCaps w:val="0"/>
          <w:sz w:val="24"/>
          <w:szCs w:val="24"/>
        </w:rPr>
        <w:t>sam@mwncmh.com</w:t>
      </w:r>
    </w:p>
    <w:p w:rsidR="00A14742" w:rsidRDefault="00AC7D53">
      <w:pPr>
        <w:pStyle w:val="BodyText"/>
        <w:ind w:left="4320"/>
        <w:rPr>
          <w:b w:val="0"/>
          <w:smallCaps w:val="0"/>
          <w:sz w:val="24"/>
          <w:szCs w:val="24"/>
        </w:rPr>
      </w:pPr>
      <w:r>
        <w:rPr>
          <w:b w:val="0"/>
          <w:smallCaps w:val="0"/>
          <w:sz w:val="24"/>
          <w:szCs w:val="24"/>
        </w:rPr>
        <w:t>fdarr@mwncmh.com</w:t>
      </w:r>
    </w:p>
    <w:p w:rsidR="00A14742" w:rsidRDefault="00AC7D53">
      <w:pPr>
        <w:pStyle w:val="BodyText"/>
        <w:ind w:left="4320"/>
        <w:rPr>
          <w:rFonts w:cs="Arial"/>
          <w:b w:val="0"/>
          <w:sz w:val="24"/>
          <w:szCs w:val="24"/>
        </w:rPr>
      </w:pPr>
      <w:r>
        <w:rPr>
          <w:rFonts w:cs="Arial"/>
          <w:b w:val="0"/>
          <w:smallCaps w:val="0"/>
          <w:sz w:val="24"/>
          <w:szCs w:val="24"/>
        </w:rPr>
        <w:t>mpritchard@mwncmh.com</w:t>
      </w:r>
    </w:p>
    <w:p w:rsidR="00A14742" w:rsidRDefault="00A14742">
      <w:pPr>
        <w:pStyle w:val="BodyText"/>
        <w:ind w:left="4320"/>
        <w:rPr>
          <w:rFonts w:cs="Arial"/>
          <w:sz w:val="24"/>
          <w:szCs w:val="24"/>
        </w:rPr>
      </w:pPr>
    </w:p>
    <w:p w:rsidR="00A14742" w:rsidRDefault="00AC7D53">
      <w:pPr>
        <w:spacing w:line="240" w:lineRule="auto"/>
        <w:ind w:left="4320" w:hanging="4320"/>
        <w:rPr>
          <w:rFonts w:ascii="Arial Bold" w:hAnsi="Arial Bold" w:cs="Arial"/>
          <w:b/>
          <w:smallCaps/>
        </w:rPr>
        <w:sectPr w:rsidR="00A1474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008" w:left="1440" w:header="720" w:footer="720" w:gutter="0"/>
          <w:cols w:space="720"/>
          <w:titlePg/>
          <w:docGrid w:linePitch="360"/>
        </w:sectPr>
      </w:pPr>
      <w:r>
        <w:rPr>
          <w:rFonts w:ascii="Arial Bold" w:hAnsi="Arial Bold" w:cs="Arial"/>
          <w:b/>
          <w:smallCaps/>
        </w:rPr>
        <w:t>June 13, 2014</w:t>
      </w:r>
      <w:r>
        <w:rPr>
          <w:rFonts w:ascii="Arial Bold" w:hAnsi="Arial Bold" w:cs="Arial"/>
          <w:b/>
          <w:smallCaps/>
        </w:rPr>
        <w:tab/>
        <w:t>On Behalf of Industrial Energy Users-Ohio</w:t>
      </w:r>
    </w:p>
    <w:sdt>
      <w:sdtPr>
        <w:rPr>
          <w:rFonts w:ascii="Arial" w:eastAsia="Times New Roman" w:hAnsi="Arial" w:cs="Times New Roman"/>
          <w:bCs w:val="0"/>
          <w:caps w:val="0"/>
          <w:color w:val="auto"/>
          <w:sz w:val="24"/>
          <w:szCs w:val="24"/>
          <w:u w:val="none"/>
        </w:rPr>
        <w:id w:val="-884566777"/>
        <w:docPartObj>
          <w:docPartGallery w:val="Table of Contents"/>
          <w:docPartUnique/>
        </w:docPartObj>
      </w:sdtPr>
      <w:sdtEndPr>
        <w:rPr>
          <w:b/>
          <w:noProof/>
        </w:rPr>
      </w:sdtEndPr>
      <w:sdtContent>
        <w:p w:rsidR="00A14742" w:rsidRDefault="00AC7D53">
          <w:pPr>
            <w:pStyle w:val="TOCHeading"/>
            <w:jc w:val="center"/>
          </w:pPr>
          <w:r>
            <w:rPr>
              <w:rFonts w:ascii="Arial" w:hAnsi="Arial"/>
              <w:b/>
              <w:caps w:val="0"/>
              <w:smallCaps/>
              <w:color w:val="000000" w:themeColor="text1"/>
            </w:rPr>
            <w:t>Table of Contents</w:t>
          </w:r>
        </w:p>
        <w:p w:rsidR="00A14742" w:rsidRDefault="00AC7D53">
          <w:pPr>
            <w:pStyle w:val="TOC1"/>
            <w:tabs>
              <w:tab w:val="right" w:leader="dot" w:pos="9350"/>
            </w:tabs>
            <w:ind w:left="720" w:hanging="720"/>
            <w:rPr>
              <w:rFonts w:asciiTheme="minorHAnsi" w:eastAsiaTheme="minorEastAsia" w:hAnsiTheme="minorHAnsi" w:cstheme="minorBidi"/>
              <w:caps/>
              <w:noProof/>
              <w:sz w:val="22"/>
              <w:szCs w:val="22"/>
            </w:rPr>
          </w:pPr>
          <w:r>
            <w:fldChar w:fldCharType="begin"/>
          </w:r>
          <w:r>
            <w:instrText xml:space="preserve"> TOC \o "1-3" \h \z \u </w:instrText>
          </w:r>
          <w:r>
            <w:fldChar w:fldCharType="separate"/>
          </w:r>
          <w:hyperlink w:anchor="_Toc390418258" w:history="1">
            <w:r>
              <w:rPr>
                <w:rStyle w:val="Hyperlink"/>
                <w:caps/>
                <w:noProof/>
              </w:rPr>
              <w:t>I.</w:t>
            </w:r>
            <w:r>
              <w:rPr>
                <w:rFonts w:asciiTheme="minorHAnsi" w:eastAsiaTheme="minorEastAsia" w:hAnsiTheme="minorHAnsi" w:cstheme="minorBidi"/>
                <w:caps/>
                <w:noProof/>
                <w:sz w:val="22"/>
                <w:szCs w:val="22"/>
              </w:rPr>
              <w:tab/>
            </w:r>
            <w:r>
              <w:rPr>
                <w:rStyle w:val="Hyperlink"/>
                <w:caps/>
                <w:noProof/>
              </w:rPr>
              <w:t>background</w:t>
            </w:r>
            <w:r>
              <w:rPr>
                <w:caps/>
                <w:noProof/>
                <w:webHidden/>
              </w:rPr>
              <w:tab/>
            </w:r>
            <w:r>
              <w:rPr>
                <w:caps/>
                <w:noProof/>
                <w:webHidden/>
              </w:rPr>
              <w:fldChar w:fldCharType="begin"/>
            </w:r>
            <w:r>
              <w:rPr>
                <w:caps/>
                <w:noProof/>
                <w:webHidden/>
              </w:rPr>
              <w:instrText xml:space="preserve"> PAGEREF _Toc390418258 \h </w:instrText>
            </w:r>
            <w:r>
              <w:rPr>
                <w:caps/>
                <w:noProof/>
                <w:webHidden/>
              </w:rPr>
            </w:r>
            <w:r>
              <w:rPr>
                <w:caps/>
                <w:noProof/>
                <w:webHidden/>
              </w:rPr>
              <w:fldChar w:fldCharType="separate"/>
            </w:r>
            <w:r w:rsidR="00896356">
              <w:rPr>
                <w:caps/>
                <w:noProof/>
                <w:webHidden/>
              </w:rPr>
              <w:t>3</w:t>
            </w:r>
            <w:r>
              <w:rPr>
                <w:caps/>
                <w:noProof/>
                <w:webHidden/>
              </w:rPr>
              <w:fldChar w:fldCharType="end"/>
            </w:r>
          </w:hyperlink>
        </w:p>
        <w:p w:rsidR="00A14742" w:rsidRDefault="00E34AC4">
          <w:pPr>
            <w:pStyle w:val="TOC1"/>
            <w:tabs>
              <w:tab w:val="right" w:leader="dot" w:pos="9350"/>
            </w:tabs>
            <w:ind w:left="720" w:hanging="720"/>
            <w:rPr>
              <w:rFonts w:asciiTheme="minorHAnsi" w:eastAsiaTheme="minorEastAsia" w:hAnsiTheme="minorHAnsi" w:cstheme="minorBidi"/>
              <w:noProof/>
              <w:sz w:val="22"/>
              <w:szCs w:val="22"/>
            </w:rPr>
          </w:pPr>
          <w:hyperlink w:anchor="_Toc390418259" w:history="1">
            <w:r w:rsidR="00AC7D53">
              <w:rPr>
                <w:rStyle w:val="Hyperlink"/>
                <w:caps/>
                <w:noProof/>
              </w:rPr>
              <w:t>II.</w:t>
            </w:r>
            <w:r w:rsidR="00AC7D53">
              <w:rPr>
                <w:rFonts w:asciiTheme="minorHAnsi" w:eastAsiaTheme="minorEastAsia" w:hAnsiTheme="minorHAnsi" w:cstheme="minorBidi"/>
                <w:caps/>
                <w:noProof/>
                <w:sz w:val="22"/>
                <w:szCs w:val="22"/>
              </w:rPr>
              <w:tab/>
            </w:r>
            <w:r w:rsidR="00AC7D53">
              <w:rPr>
                <w:rStyle w:val="Hyperlink"/>
                <w:caps/>
                <w:noProof/>
              </w:rPr>
              <w:t>Argument</w:t>
            </w:r>
            <w:r w:rsidR="00AC7D53">
              <w:rPr>
                <w:caps/>
                <w:noProof/>
                <w:webHidden/>
              </w:rPr>
              <w:tab/>
            </w:r>
            <w:r w:rsidR="00AC7D53">
              <w:rPr>
                <w:caps/>
                <w:noProof/>
                <w:webHidden/>
              </w:rPr>
              <w:fldChar w:fldCharType="begin"/>
            </w:r>
            <w:r w:rsidR="00AC7D53">
              <w:rPr>
                <w:caps/>
                <w:noProof/>
                <w:webHidden/>
              </w:rPr>
              <w:instrText xml:space="preserve"> PAGEREF _Toc390418259 \h </w:instrText>
            </w:r>
            <w:r w:rsidR="00AC7D53">
              <w:rPr>
                <w:caps/>
                <w:noProof/>
                <w:webHidden/>
              </w:rPr>
            </w:r>
            <w:r w:rsidR="00AC7D53">
              <w:rPr>
                <w:caps/>
                <w:noProof/>
                <w:webHidden/>
              </w:rPr>
              <w:fldChar w:fldCharType="separate"/>
            </w:r>
            <w:r w:rsidR="00896356">
              <w:rPr>
                <w:caps/>
                <w:noProof/>
                <w:webHidden/>
              </w:rPr>
              <w:t>4</w:t>
            </w:r>
            <w:r w:rsidR="00AC7D53">
              <w:rPr>
                <w:caps/>
                <w:noProof/>
                <w:webHidden/>
              </w:rPr>
              <w:fldChar w:fldCharType="end"/>
            </w:r>
          </w:hyperlink>
        </w:p>
        <w:p w:rsidR="00A14742" w:rsidRDefault="00E34AC4">
          <w:pPr>
            <w:pStyle w:val="TOC2"/>
            <w:rPr>
              <w:rFonts w:asciiTheme="minorHAnsi" w:eastAsiaTheme="minorEastAsia" w:hAnsiTheme="minorHAnsi" w:cstheme="minorBidi"/>
              <w:noProof/>
              <w:sz w:val="22"/>
              <w:szCs w:val="22"/>
            </w:rPr>
          </w:pPr>
          <w:hyperlink w:anchor="_Toc390418260" w:history="1">
            <w:r w:rsidR="00AC7D53">
              <w:rPr>
                <w:rStyle w:val="Hyperlink"/>
                <w:noProof/>
              </w:rPr>
              <w:t>A.</w:t>
            </w:r>
            <w:r w:rsidR="00AC7D53">
              <w:rPr>
                <w:rFonts w:asciiTheme="minorHAnsi" w:eastAsiaTheme="minorEastAsia" w:hAnsiTheme="minorHAnsi" w:cstheme="minorBidi"/>
                <w:noProof/>
                <w:sz w:val="22"/>
                <w:szCs w:val="22"/>
              </w:rPr>
              <w:tab/>
            </w:r>
            <w:r w:rsidR="00AC7D53">
              <w:rPr>
                <w:rStyle w:val="Hyperlink"/>
                <w:noProof/>
              </w:rPr>
              <w:t>The FAC Order is unlawful and unreasonable because the Commission refused to admit and consider relevant evidence that demonstrates AEP-Ohio double-recovered approximately $200 million in OVEC and Lawrenceburg capacity costs through its FAC in 2010 and 2011 based upon an unlawful and unreasonable finding that the scope of admissible evidence in a FAC audit proceeding is dictated by the findings and recommendations in the FAC Audit Report.</w:t>
            </w:r>
            <w:r w:rsidR="00AC7D53">
              <w:rPr>
                <w:noProof/>
                <w:webHidden/>
              </w:rPr>
              <w:tab/>
            </w:r>
            <w:r w:rsidR="00AC7D53">
              <w:rPr>
                <w:noProof/>
                <w:webHidden/>
              </w:rPr>
              <w:fldChar w:fldCharType="begin"/>
            </w:r>
            <w:r w:rsidR="00AC7D53">
              <w:rPr>
                <w:noProof/>
                <w:webHidden/>
              </w:rPr>
              <w:instrText xml:space="preserve"> PAGEREF _Toc390418260 \h </w:instrText>
            </w:r>
            <w:r w:rsidR="00AC7D53">
              <w:rPr>
                <w:noProof/>
                <w:webHidden/>
              </w:rPr>
            </w:r>
            <w:r w:rsidR="00AC7D53">
              <w:rPr>
                <w:noProof/>
                <w:webHidden/>
              </w:rPr>
              <w:fldChar w:fldCharType="separate"/>
            </w:r>
            <w:r w:rsidR="00896356">
              <w:rPr>
                <w:noProof/>
                <w:webHidden/>
              </w:rPr>
              <w:t>4</w:t>
            </w:r>
            <w:r w:rsidR="00AC7D53">
              <w:rPr>
                <w:noProof/>
                <w:webHidden/>
              </w:rPr>
              <w:fldChar w:fldCharType="end"/>
            </w:r>
          </w:hyperlink>
        </w:p>
        <w:p w:rsidR="00A14742" w:rsidRDefault="00E34AC4">
          <w:pPr>
            <w:pStyle w:val="TOC2"/>
            <w:rPr>
              <w:rFonts w:asciiTheme="minorHAnsi" w:eastAsiaTheme="minorEastAsia" w:hAnsiTheme="minorHAnsi" w:cstheme="minorBidi"/>
              <w:noProof/>
              <w:sz w:val="22"/>
              <w:szCs w:val="22"/>
            </w:rPr>
          </w:pPr>
          <w:hyperlink w:anchor="_Toc390418261" w:history="1">
            <w:r w:rsidR="00AC7D53">
              <w:rPr>
                <w:rStyle w:val="Hyperlink"/>
                <w:noProof/>
              </w:rPr>
              <w:t>B.</w:t>
            </w:r>
            <w:r w:rsidR="00AC7D53">
              <w:rPr>
                <w:rFonts w:asciiTheme="minorHAnsi" w:eastAsiaTheme="minorEastAsia" w:hAnsiTheme="minorHAnsi" w:cstheme="minorBidi"/>
                <w:noProof/>
                <w:sz w:val="22"/>
                <w:szCs w:val="22"/>
              </w:rPr>
              <w:tab/>
            </w:r>
            <w:r w:rsidR="00AC7D53">
              <w:rPr>
                <w:rStyle w:val="Hyperlink"/>
                <w:noProof/>
              </w:rPr>
              <w:t>The FAC Order is unlawful an</w:t>
            </w:r>
            <w:r w:rsidR="00ED31F3">
              <w:rPr>
                <w:rStyle w:val="Hyperlink"/>
                <w:noProof/>
              </w:rPr>
              <w:t>d unreasonable and violates IEU</w:t>
            </w:r>
            <w:r w:rsidR="00ED31F3">
              <w:rPr>
                <w:rStyle w:val="Hyperlink"/>
                <w:noProof/>
              </w:rPr>
              <w:noBreakHyphen/>
            </w:r>
            <w:r w:rsidR="00AC7D53">
              <w:rPr>
                <w:rStyle w:val="Hyperlink"/>
                <w:noProof/>
              </w:rPr>
              <w:t>Ohio’s due process rights because the Commission arbitrarily and capriciously refused to admit and consider relevant evidence for the 2010 and 2011 FAC audits which demonstrates AEP-Ohio double-recovered approximately $200 million in capacity costs while holding that the same issue is relevant to the 2012 through 2014 FAC audits.</w:t>
            </w:r>
            <w:r w:rsidR="00AC7D53">
              <w:rPr>
                <w:noProof/>
                <w:webHidden/>
              </w:rPr>
              <w:tab/>
            </w:r>
            <w:r w:rsidR="00AC7D53">
              <w:rPr>
                <w:noProof/>
                <w:webHidden/>
              </w:rPr>
              <w:fldChar w:fldCharType="begin"/>
            </w:r>
            <w:r w:rsidR="00AC7D53">
              <w:rPr>
                <w:noProof/>
                <w:webHidden/>
              </w:rPr>
              <w:instrText xml:space="preserve"> PAGEREF _Toc390418261 \h </w:instrText>
            </w:r>
            <w:r w:rsidR="00AC7D53">
              <w:rPr>
                <w:noProof/>
                <w:webHidden/>
              </w:rPr>
            </w:r>
            <w:r w:rsidR="00AC7D53">
              <w:rPr>
                <w:noProof/>
                <w:webHidden/>
              </w:rPr>
              <w:fldChar w:fldCharType="separate"/>
            </w:r>
            <w:r w:rsidR="00896356">
              <w:rPr>
                <w:noProof/>
                <w:webHidden/>
              </w:rPr>
              <w:t>14</w:t>
            </w:r>
            <w:r w:rsidR="00AC7D53">
              <w:rPr>
                <w:noProof/>
                <w:webHidden/>
              </w:rPr>
              <w:fldChar w:fldCharType="end"/>
            </w:r>
          </w:hyperlink>
        </w:p>
        <w:p w:rsidR="00A14742" w:rsidRDefault="00E34AC4">
          <w:pPr>
            <w:pStyle w:val="TOC2"/>
            <w:rPr>
              <w:rFonts w:asciiTheme="minorHAnsi" w:eastAsiaTheme="minorEastAsia" w:hAnsiTheme="minorHAnsi" w:cstheme="minorBidi"/>
              <w:noProof/>
              <w:sz w:val="22"/>
              <w:szCs w:val="22"/>
            </w:rPr>
          </w:pPr>
          <w:hyperlink w:anchor="_Toc390418262" w:history="1">
            <w:r w:rsidR="00AC7D53">
              <w:rPr>
                <w:rStyle w:val="Hyperlink"/>
                <w:noProof/>
              </w:rPr>
              <w:t>C.</w:t>
            </w:r>
            <w:r w:rsidR="00AC7D53">
              <w:rPr>
                <w:rFonts w:asciiTheme="minorHAnsi" w:eastAsiaTheme="minorEastAsia" w:hAnsiTheme="minorHAnsi" w:cstheme="minorBidi"/>
                <w:noProof/>
                <w:sz w:val="22"/>
                <w:szCs w:val="22"/>
              </w:rPr>
              <w:tab/>
            </w:r>
            <w:r w:rsidR="00AC7D53">
              <w:rPr>
                <w:rStyle w:val="Hyperlink"/>
                <w:noProof/>
              </w:rPr>
              <w:t>The FAC Order is unlawful and unreasonable and violates Section 4903.09, Revised Code, because the Commission failed to provide a substantively reasonable explanation for its inconsistent findings that the OVEC and Lawrenceburg double-recovery is not relevant to the 2010 and 2011 FAC audits but is relevant to the 2012 through 2014 FAC audits.</w:t>
            </w:r>
            <w:r w:rsidR="00AC7D53">
              <w:rPr>
                <w:noProof/>
                <w:webHidden/>
              </w:rPr>
              <w:tab/>
            </w:r>
            <w:r w:rsidR="00AC7D53">
              <w:rPr>
                <w:noProof/>
                <w:webHidden/>
              </w:rPr>
              <w:fldChar w:fldCharType="begin"/>
            </w:r>
            <w:r w:rsidR="00AC7D53">
              <w:rPr>
                <w:noProof/>
                <w:webHidden/>
              </w:rPr>
              <w:instrText xml:space="preserve"> PAGEREF _Toc390418262 \h </w:instrText>
            </w:r>
            <w:r w:rsidR="00AC7D53">
              <w:rPr>
                <w:noProof/>
                <w:webHidden/>
              </w:rPr>
            </w:r>
            <w:r w:rsidR="00AC7D53">
              <w:rPr>
                <w:noProof/>
                <w:webHidden/>
              </w:rPr>
              <w:fldChar w:fldCharType="separate"/>
            </w:r>
            <w:r w:rsidR="00896356">
              <w:rPr>
                <w:noProof/>
                <w:webHidden/>
              </w:rPr>
              <w:t>14</w:t>
            </w:r>
            <w:r w:rsidR="00AC7D53">
              <w:rPr>
                <w:noProof/>
                <w:webHidden/>
              </w:rPr>
              <w:fldChar w:fldCharType="end"/>
            </w:r>
          </w:hyperlink>
        </w:p>
        <w:p w:rsidR="00A14742" w:rsidRDefault="00E34AC4">
          <w:pPr>
            <w:pStyle w:val="TOC1"/>
            <w:tabs>
              <w:tab w:val="left" w:pos="660"/>
              <w:tab w:val="right" w:leader="dot" w:pos="9350"/>
            </w:tabs>
            <w:rPr>
              <w:rFonts w:asciiTheme="minorHAnsi" w:eastAsiaTheme="minorEastAsia" w:hAnsiTheme="minorHAnsi" w:cstheme="minorBidi"/>
              <w:caps/>
              <w:noProof/>
              <w:sz w:val="22"/>
              <w:szCs w:val="22"/>
            </w:rPr>
          </w:pPr>
          <w:hyperlink w:anchor="_Toc390418263" w:history="1">
            <w:r w:rsidR="00AC7D53">
              <w:rPr>
                <w:rStyle w:val="Hyperlink"/>
                <w:caps/>
                <w:noProof/>
              </w:rPr>
              <w:t>III.</w:t>
            </w:r>
            <w:r w:rsidR="00AC7D53">
              <w:rPr>
                <w:rFonts w:asciiTheme="minorHAnsi" w:eastAsiaTheme="minorEastAsia" w:hAnsiTheme="minorHAnsi" w:cstheme="minorBidi"/>
                <w:caps/>
                <w:noProof/>
                <w:sz w:val="22"/>
                <w:szCs w:val="22"/>
              </w:rPr>
              <w:tab/>
            </w:r>
            <w:r w:rsidR="00AC7D53">
              <w:rPr>
                <w:rStyle w:val="Hyperlink"/>
                <w:caps/>
                <w:noProof/>
              </w:rPr>
              <w:t>Injury</w:t>
            </w:r>
            <w:r w:rsidR="00AC7D53">
              <w:rPr>
                <w:caps/>
                <w:noProof/>
                <w:webHidden/>
              </w:rPr>
              <w:tab/>
            </w:r>
            <w:r w:rsidR="00AC7D53">
              <w:rPr>
                <w:caps/>
                <w:noProof/>
                <w:webHidden/>
              </w:rPr>
              <w:fldChar w:fldCharType="begin"/>
            </w:r>
            <w:r w:rsidR="00AC7D53">
              <w:rPr>
                <w:caps/>
                <w:noProof/>
                <w:webHidden/>
              </w:rPr>
              <w:instrText xml:space="preserve"> PAGEREF _Toc390418263 \h </w:instrText>
            </w:r>
            <w:r w:rsidR="00AC7D53">
              <w:rPr>
                <w:caps/>
                <w:noProof/>
                <w:webHidden/>
              </w:rPr>
            </w:r>
            <w:r w:rsidR="00AC7D53">
              <w:rPr>
                <w:caps/>
                <w:noProof/>
                <w:webHidden/>
              </w:rPr>
              <w:fldChar w:fldCharType="separate"/>
            </w:r>
            <w:r w:rsidR="00896356">
              <w:rPr>
                <w:caps/>
                <w:noProof/>
                <w:webHidden/>
              </w:rPr>
              <w:t>17</w:t>
            </w:r>
            <w:r w:rsidR="00AC7D53">
              <w:rPr>
                <w:caps/>
                <w:noProof/>
                <w:webHidden/>
              </w:rPr>
              <w:fldChar w:fldCharType="end"/>
            </w:r>
          </w:hyperlink>
        </w:p>
        <w:p w:rsidR="00A14742" w:rsidRDefault="00E34AC4">
          <w:pPr>
            <w:pStyle w:val="TOC1"/>
            <w:tabs>
              <w:tab w:val="left" w:pos="660"/>
              <w:tab w:val="right" w:leader="dot" w:pos="9350"/>
            </w:tabs>
            <w:rPr>
              <w:rFonts w:asciiTheme="minorHAnsi" w:eastAsiaTheme="minorEastAsia" w:hAnsiTheme="minorHAnsi" w:cstheme="minorBidi"/>
              <w:caps/>
              <w:noProof/>
              <w:sz w:val="22"/>
              <w:szCs w:val="22"/>
            </w:rPr>
          </w:pPr>
          <w:hyperlink w:anchor="_Toc390418264" w:history="1">
            <w:r w:rsidR="00AC7D53">
              <w:rPr>
                <w:rStyle w:val="Hyperlink"/>
                <w:caps/>
                <w:noProof/>
              </w:rPr>
              <w:t>IV.</w:t>
            </w:r>
            <w:r w:rsidR="00AC7D53">
              <w:rPr>
                <w:rFonts w:asciiTheme="minorHAnsi" w:eastAsiaTheme="minorEastAsia" w:hAnsiTheme="minorHAnsi" w:cstheme="minorBidi"/>
                <w:caps/>
                <w:noProof/>
                <w:sz w:val="22"/>
                <w:szCs w:val="22"/>
              </w:rPr>
              <w:tab/>
            </w:r>
            <w:r w:rsidR="00AC7D53">
              <w:rPr>
                <w:rStyle w:val="Hyperlink"/>
                <w:caps/>
                <w:noProof/>
              </w:rPr>
              <w:t>conclusion</w:t>
            </w:r>
            <w:r w:rsidR="00AC7D53">
              <w:rPr>
                <w:caps/>
                <w:noProof/>
                <w:webHidden/>
              </w:rPr>
              <w:tab/>
            </w:r>
            <w:r w:rsidR="00AC7D53">
              <w:rPr>
                <w:caps/>
                <w:noProof/>
                <w:webHidden/>
              </w:rPr>
              <w:fldChar w:fldCharType="begin"/>
            </w:r>
            <w:r w:rsidR="00AC7D53">
              <w:rPr>
                <w:caps/>
                <w:noProof/>
                <w:webHidden/>
              </w:rPr>
              <w:instrText xml:space="preserve"> PAGEREF _Toc390418264 \h </w:instrText>
            </w:r>
            <w:r w:rsidR="00AC7D53">
              <w:rPr>
                <w:caps/>
                <w:noProof/>
                <w:webHidden/>
              </w:rPr>
            </w:r>
            <w:r w:rsidR="00AC7D53">
              <w:rPr>
                <w:caps/>
                <w:noProof/>
                <w:webHidden/>
              </w:rPr>
              <w:fldChar w:fldCharType="separate"/>
            </w:r>
            <w:r w:rsidR="00896356">
              <w:rPr>
                <w:caps/>
                <w:noProof/>
                <w:webHidden/>
              </w:rPr>
              <w:t>18</w:t>
            </w:r>
            <w:r w:rsidR="00AC7D53">
              <w:rPr>
                <w:caps/>
                <w:noProof/>
                <w:webHidden/>
              </w:rPr>
              <w:fldChar w:fldCharType="end"/>
            </w:r>
          </w:hyperlink>
        </w:p>
        <w:p w:rsidR="00A14742" w:rsidRDefault="00AC7D53">
          <w:r>
            <w:rPr>
              <w:b/>
              <w:bCs/>
              <w:noProof/>
            </w:rPr>
            <w:fldChar w:fldCharType="end"/>
          </w:r>
        </w:p>
      </w:sdtContent>
    </w:sdt>
    <w:p w:rsidR="00A14742" w:rsidRDefault="00A14742">
      <w:pPr>
        <w:spacing w:line="240" w:lineRule="auto"/>
        <w:ind w:left="4320" w:hanging="4320"/>
        <w:rPr>
          <w:rFonts w:ascii="Arial Bold" w:hAnsi="Arial Bold" w:cs="Arial"/>
          <w:b/>
          <w:smallCaps/>
        </w:rPr>
      </w:pPr>
    </w:p>
    <w:p w:rsidR="00A14742" w:rsidRDefault="00A14742">
      <w:pPr>
        <w:spacing w:line="240" w:lineRule="auto"/>
        <w:ind w:left="4320" w:hanging="4320"/>
        <w:rPr>
          <w:rFonts w:ascii="Arial Bold" w:hAnsi="Arial Bold" w:cs="Arial"/>
          <w:b/>
          <w:smallCaps/>
        </w:rPr>
        <w:sectPr w:rsidR="00A14742">
          <w:pgSz w:w="12240" w:h="15840" w:code="1"/>
          <w:pgMar w:top="1440" w:right="1440" w:bottom="1008" w:left="1440" w:header="720" w:footer="720" w:gutter="0"/>
          <w:cols w:space="720"/>
          <w:titlePg/>
          <w:docGrid w:linePitch="360"/>
        </w:sectPr>
      </w:pPr>
    </w:p>
    <w:p w:rsidR="00A14742" w:rsidRDefault="00AC7D53">
      <w:pPr>
        <w:spacing w:line="240" w:lineRule="auto"/>
        <w:jc w:val="center"/>
        <w:rPr>
          <w:rFonts w:cs="Arial"/>
          <w:b/>
          <w:smallCaps/>
          <w:sz w:val="28"/>
        </w:rPr>
      </w:pPr>
      <w:r>
        <w:rPr>
          <w:rFonts w:cs="Arial"/>
          <w:b/>
          <w:smallCaps/>
          <w:sz w:val="28"/>
        </w:rPr>
        <w:lastRenderedPageBreak/>
        <w:t>Before</w:t>
      </w:r>
    </w:p>
    <w:p w:rsidR="00A14742" w:rsidRDefault="00AC7D53">
      <w:pPr>
        <w:spacing w:line="240" w:lineRule="auto"/>
        <w:jc w:val="center"/>
        <w:rPr>
          <w:rFonts w:cs="Arial"/>
          <w:b/>
          <w:smallCaps/>
          <w:sz w:val="28"/>
        </w:rPr>
      </w:pPr>
      <w:r>
        <w:rPr>
          <w:rFonts w:cs="Arial"/>
          <w:b/>
          <w:smallCaps/>
          <w:sz w:val="28"/>
        </w:rPr>
        <w:t>The Public Utilities Commission of Ohio</w:t>
      </w:r>
    </w:p>
    <w:p w:rsidR="00A14742" w:rsidRDefault="00A14742">
      <w:pPr>
        <w:autoSpaceDE w:val="0"/>
        <w:autoSpaceDN w:val="0"/>
        <w:adjustRightInd w:val="0"/>
        <w:spacing w:line="240" w:lineRule="auto"/>
        <w:rPr>
          <w:rFonts w:cs="Arial"/>
        </w:rPr>
      </w:pPr>
    </w:p>
    <w:p w:rsidR="00A14742" w:rsidRDefault="00A14742">
      <w:pPr>
        <w:autoSpaceDE w:val="0"/>
        <w:autoSpaceDN w:val="0"/>
        <w:adjustRightInd w:val="0"/>
        <w:spacing w:line="240" w:lineRule="auto"/>
        <w:rPr>
          <w:rFonts w:cs="Arial"/>
        </w:rPr>
      </w:pPr>
    </w:p>
    <w:p w:rsidR="00A14742" w:rsidRDefault="00AC7D53">
      <w:pPr>
        <w:tabs>
          <w:tab w:val="left" w:pos="5040"/>
          <w:tab w:val="left" w:pos="5760"/>
        </w:tabs>
        <w:autoSpaceDE w:val="0"/>
        <w:autoSpaceDN w:val="0"/>
        <w:adjustRightInd w:val="0"/>
        <w:spacing w:line="240" w:lineRule="auto"/>
        <w:rPr>
          <w:rFonts w:cs="Arial"/>
        </w:rPr>
      </w:pPr>
      <w:r>
        <w:rPr>
          <w:rFonts w:cs="Arial"/>
        </w:rPr>
        <w:t>In the Matter of the Fuel Adjustment</w:t>
      </w:r>
      <w:r>
        <w:rPr>
          <w:rFonts w:cs="Arial"/>
        </w:rPr>
        <w:tab/>
        <w:t>)</w:t>
      </w:r>
      <w:r>
        <w:rPr>
          <w:rFonts w:cs="Arial"/>
        </w:rPr>
        <w:tab/>
        <w:t>Case No. 10-268-EL-FAC</w:t>
      </w:r>
    </w:p>
    <w:p w:rsidR="00A14742" w:rsidRDefault="00AC7D53">
      <w:pPr>
        <w:tabs>
          <w:tab w:val="left" w:pos="5040"/>
          <w:tab w:val="left" w:pos="5760"/>
        </w:tabs>
        <w:autoSpaceDE w:val="0"/>
        <w:autoSpaceDN w:val="0"/>
        <w:adjustRightInd w:val="0"/>
        <w:spacing w:line="240" w:lineRule="auto"/>
        <w:rPr>
          <w:rFonts w:cs="Arial"/>
        </w:rPr>
      </w:pPr>
      <w:r>
        <w:rPr>
          <w:rFonts w:cs="Arial"/>
        </w:rPr>
        <w:t>Clause of Columbus Southern Power</w:t>
      </w:r>
      <w:r>
        <w:rPr>
          <w:rFonts w:cs="Arial"/>
        </w:rPr>
        <w:tab/>
        <w:t>)</w:t>
      </w:r>
      <w:r>
        <w:rPr>
          <w:rFonts w:cs="Arial"/>
        </w:rPr>
        <w:tab/>
        <w:t>Case No. 10-269-EL-FAC</w:t>
      </w:r>
    </w:p>
    <w:p w:rsidR="00A14742" w:rsidRDefault="00AC7D53">
      <w:pPr>
        <w:tabs>
          <w:tab w:val="left" w:pos="5040"/>
          <w:tab w:val="left" w:pos="5760"/>
        </w:tabs>
        <w:autoSpaceDE w:val="0"/>
        <w:autoSpaceDN w:val="0"/>
        <w:adjustRightInd w:val="0"/>
        <w:spacing w:line="240" w:lineRule="auto"/>
        <w:rPr>
          <w:rFonts w:cs="Arial"/>
        </w:rPr>
      </w:pPr>
      <w:r>
        <w:rPr>
          <w:rFonts w:cs="Arial"/>
        </w:rPr>
        <w:t>Company and Ohio Power Company and</w:t>
      </w:r>
      <w:r>
        <w:rPr>
          <w:rFonts w:cs="Arial"/>
        </w:rPr>
        <w:tab/>
        <w:t>)</w:t>
      </w:r>
    </w:p>
    <w:p w:rsidR="00A14742" w:rsidRDefault="00AC7D53">
      <w:pPr>
        <w:tabs>
          <w:tab w:val="left" w:pos="5040"/>
          <w:tab w:val="left" w:pos="5760"/>
        </w:tabs>
        <w:autoSpaceDE w:val="0"/>
        <w:autoSpaceDN w:val="0"/>
        <w:adjustRightInd w:val="0"/>
        <w:spacing w:line="240" w:lineRule="auto"/>
        <w:rPr>
          <w:rFonts w:ascii="Book Antiqua" w:hAnsi="Book Antiqua" w:cs="Book Antiqua"/>
        </w:rPr>
      </w:pPr>
      <w:r>
        <w:rPr>
          <w:rFonts w:cs="Arial"/>
        </w:rPr>
        <w:t>Related Matters for 2010</w:t>
      </w:r>
      <w:r>
        <w:rPr>
          <w:rFonts w:ascii="Book Antiqua" w:hAnsi="Book Antiqua" w:cs="Book Antiqua"/>
        </w:rPr>
        <w:t>.</w:t>
      </w:r>
      <w:r>
        <w:rPr>
          <w:rFonts w:ascii="Book Antiqua" w:hAnsi="Book Antiqua" w:cs="Book Antiqua"/>
        </w:rPr>
        <w:tab/>
        <w:t>)</w:t>
      </w:r>
    </w:p>
    <w:p w:rsidR="00A14742" w:rsidRDefault="00AC7D53">
      <w:pPr>
        <w:tabs>
          <w:tab w:val="left" w:pos="5040"/>
          <w:tab w:val="left" w:pos="5760"/>
        </w:tabs>
        <w:autoSpaceDE w:val="0"/>
        <w:autoSpaceDN w:val="0"/>
        <w:adjustRightInd w:val="0"/>
        <w:spacing w:line="240" w:lineRule="auto"/>
        <w:rPr>
          <w:rFonts w:cs="Arial"/>
        </w:rPr>
      </w:pPr>
      <w:r>
        <w:rPr>
          <w:rFonts w:cs="Arial"/>
        </w:rPr>
        <w:tab/>
      </w:r>
    </w:p>
    <w:p w:rsidR="00A14742" w:rsidRDefault="00AC7D53">
      <w:pPr>
        <w:tabs>
          <w:tab w:val="left" w:pos="5040"/>
          <w:tab w:val="left" w:pos="5760"/>
        </w:tabs>
        <w:autoSpaceDE w:val="0"/>
        <w:autoSpaceDN w:val="0"/>
        <w:adjustRightInd w:val="0"/>
        <w:spacing w:line="240" w:lineRule="auto"/>
        <w:rPr>
          <w:rFonts w:cs="Arial"/>
        </w:rPr>
      </w:pPr>
      <w:r>
        <w:rPr>
          <w:rFonts w:cs="Arial"/>
        </w:rPr>
        <w:t>In the Matter of the Application of the Fuel</w:t>
      </w:r>
      <w:r>
        <w:rPr>
          <w:rFonts w:cs="Arial"/>
        </w:rPr>
        <w:tab/>
        <w:t>)</w:t>
      </w:r>
    </w:p>
    <w:p w:rsidR="00A14742" w:rsidRDefault="00AC7D53">
      <w:pPr>
        <w:tabs>
          <w:tab w:val="left" w:pos="5040"/>
          <w:tab w:val="left" w:pos="5760"/>
        </w:tabs>
        <w:autoSpaceDE w:val="0"/>
        <w:autoSpaceDN w:val="0"/>
        <w:adjustRightInd w:val="0"/>
        <w:spacing w:line="240" w:lineRule="auto"/>
        <w:rPr>
          <w:rFonts w:cs="Arial"/>
        </w:rPr>
      </w:pPr>
      <w:r>
        <w:rPr>
          <w:rFonts w:cs="Arial"/>
        </w:rPr>
        <w:t xml:space="preserve">Adjustment Clauses for Columbus Southern </w:t>
      </w:r>
      <w:r>
        <w:rPr>
          <w:rFonts w:cs="Arial"/>
        </w:rPr>
        <w:tab/>
        <w:t>)</w:t>
      </w:r>
      <w:r>
        <w:rPr>
          <w:rFonts w:cs="Arial"/>
        </w:rPr>
        <w:tab/>
        <w:t>Case No. 11-281-EL-FAC</w:t>
      </w:r>
    </w:p>
    <w:p w:rsidR="00A14742" w:rsidRDefault="00AC7D53">
      <w:pPr>
        <w:tabs>
          <w:tab w:val="left" w:pos="4320"/>
          <w:tab w:val="left" w:pos="5040"/>
          <w:tab w:val="left" w:pos="5760"/>
        </w:tabs>
        <w:autoSpaceDE w:val="0"/>
        <w:autoSpaceDN w:val="0"/>
        <w:adjustRightInd w:val="0"/>
        <w:spacing w:line="240" w:lineRule="auto"/>
        <w:rPr>
          <w:rFonts w:cs="Arial"/>
        </w:rPr>
      </w:pPr>
      <w:r>
        <w:rPr>
          <w:rFonts w:cs="Arial"/>
        </w:rPr>
        <w:t xml:space="preserve">Power Company and Ohio Power Company </w:t>
      </w:r>
      <w:r>
        <w:rPr>
          <w:rFonts w:cs="Arial"/>
        </w:rPr>
        <w:tab/>
        <w:t>)</w:t>
      </w:r>
    </w:p>
    <w:p w:rsidR="00A14742" w:rsidRDefault="00AC7D53">
      <w:pPr>
        <w:tabs>
          <w:tab w:val="left" w:pos="5040"/>
          <w:tab w:val="left" w:pos="5760"/>
        </w:tabs>
        <w:autoSpaceDE w:val="0"/>
        <w:autoSpaceDN w:val="0"/>
        <w:adjustRightInd w:val="0"/>
        <w:spacing w:line="240" w:lineRule="auto"/>
        <w:rPr>
          <w:rFonts w:cs="Arial"/>
        </w:rPr>
      </w:pPr>
      <w:proofErr w:type="gramStart"/>
      <w:r>
        <w:rPr>
          <w:rFonts w:cs="Arial"/>
        </w:rPr>
        <w:t>and</w:t>
      </w:r>
      <w:proofErr w:type="gramEnd"/>
      <w:r>
        <w:rPr>
          <w:rFonts w:cs="Arial"/>
        </w:rPr>
        <w:t xml:space="preserve"> Related Matters.</w:t>
      </w:r>
      <w:r>
        <w:rPr>
          <w:rFonts w:cs="Arial"/>
        </w:rPr>
        <w:tab/>
        <w:t>)</w:t>
      </w:r>
    </w:p>
    <w:p w:rsidR="00A14742" w:rsidRDefault="00A14742">
      <w:pPr>
        <w:pStyle w:val="BodyText"/>
        <w:rPr>
          <w:rFonts w:cs="Arial"/>
          <w:b w:val="0"/>
        </w:rPr>
      </w:pPr>
    </w:p>
    <w:p w:rsidR="00A14742" w:rsidRDefault="00A14742">
      <w:pPr>
        <w:pStyle w:val="BodyText"/>
        <w:rPr>
          <w:rFonts w:cs="Arial"/>
          <w:b w:val="0"/>
        </w:rPr>
      </w:pPr>
    </w:p>
    <w:p w:rsidR="00A14742" w:rsidRDefault="00A14742">
      <w:pPr>
        <w:pStyle w:val="BodyText"/>
        <w:rPr>
          <w:rFonts w:cs="Arial"/>
          <w:b w:val="0"/>
        </w:rPr>
      </w:pPr>
    </w:p>
    <w:p w:rsidR="00A14742" w:rsidRDefault="00A14742">
      <w:pPr>
        <w:pStyle w:val="BodyText"/>
        <w:pBdr>
          <w:top w:val="single" w:sz="12" w:space="1" w:color="auto"/>
        </w:pBdr>
        <w:rPr>
          <w:rFonts w:cs="Arial"/>
          <w:sz w:val="12"/>
          <w:szCs w:val="12"/>
        </w:rPr>
      </w:pPr>
    </w:p>
    <w:p w:rsidR="00A14742" w:rsidRDefault="00AC7D53">
      <w:pPr>
        <w:spacing w:line="240" w:lineRule="auto"/>
        <w:jc w:val="center"/>
        <w:rPr>
          <w:rFonts w:cs="Arial"/>
          <w:b/>
          <w:smallCaps/>
          <w:sz w:val="28"/>
          <w:szCs w:val="28"/>
        </w:rPr>
      </w:pPr>
      <w:r>
        <w:rPr>
          <w:rFonts w:cs="Arial"/>
          <w:b/>
          <w:smallCaps/>
          <w:sz w:val="28"/>
          <w:szCs w:val="28"/>
        </w:rPr>
        <w:t>Industrial Energy Users-Ohio's Application for Rehearing</w:t>
      </w:r>
    </w:p>
    <w:p w:rsidR="00A14742" w:rsidRDefault="00A14742">
      <w:pPr>
        <w:pBdr>
          <w:bottom w:val="single" w:sz="12" w:space="1" w:color="auto"/>
        </w:pBdr>
        <w:spacing w:line="240" w:lineRule="auto"/>
        <w:rPr>
          <w:rFonts w:cs="Arial"/>
          <w:sz w:val="12"/>
          <w:szCs w:val="12"/>
        </w:rPr>
      </w:pPr>
    </w:p>
    <w:p w:rsidR="00A14742" w:rsidRDefault="00A14742">
      <w:pPr>
        <w:spacing w:line="240" w:lineRule="auto"/>
        <w:rPr>
          <w:rFonts w:cs="Arial"/>
        </w:rPr>
      </w:pPr>
    </w:p>
    <w:p w:rsidR="00A14742" w:rsidRDefault="00A14742">
      <w:pPr>
        <w:spacing w:line="240" w:lineRule="auto"/>
        <w:rPr>
          <w:rFonts w:cs="Arial"/>
        </w:rPr>
      </w:pPr>
    </w:p>
    <w:p w:rsidR="00A14742" w:rsidRDefault="00AC7D53">
      <w:r>
        <w:tab/>
        <w:t>Pursuant to Section 4903.10, Revised Code, and Rule 4901-1-35, Ohio Administrative Code (“O.A.C.”), Industrial Energy Users-Ohio (“IEU-Ohio”) hereby files this Application for Rehearing from the Public Utilities Commission of Ohio’s (“Commission”) May 14, 2014 Opinion and Order in the above-captioned matters (“FAC Order”) regarding the audits of Ohio Power Company’s (“AEP-Ohio”) Fuel Adjustment Clause (“FAC”) for 2010 and 2011.  As demonstrated in additional detail in the attached Memorandum in Support, the FAC Order is unlawful and unreasonable for the following reasons:</w:t>
      </w:r>
    </w:p>
    <w:p w:rsidR="00A14742" w:rsidRDefault="00AC7D53">
      <w:pPr>
        <w:spacing w:line="240" w:lineRule="auto"/>
        <w:ind w:left="720" w:right="720"/>
        <w:rPr>
          <w:b/>
        </w:rPr>
      </w:pPr>
      <w:r>
        <w:rPr>
          <w:b/>
        </w:rPr>
        <w:t xml:space="preserve">The FAC Order is unlawful and unreasonable because the Commission refused to admit and consider relevant evidence that demonstrates AEP-Ohio double-recovered approximately $200 million in </w:t>
      </w:r>
      <w:r w:rsidR="00ED31F3">
        <w:rPr>
          <w:b/>
        </w:rPr>
        <w:t>Ohio Valley Electric Corporation (“</w:t>
      </w:r>
      <w:r>
        <w:rPr>
          <w:b/>
        </w:rPr>
        <w:t>OVEC</w:t>
      </w:r>
      <w:r w:rsidR="00ED31F3">
        <w:rPr>
          <w:b/>
        </w:rPr>
        <w:t>”)</w:t>
      </w:r>
      <w:r>
        <w:rPr>
          <w:b/>
        </w:rPr>
        <w:t xml:space="preserve"> and Lawrenceburg capacity costs through its FAC in 2010 and 2011 based upon an unlawful and unreasonable finding that the scope of admissible evidence in a FAC audit proceeding is dictated by the findings and recommendations in the FAC Audit Report;</w:t>
      </w:r>
    </w:p>
    <w:p w:rsidR="00A14742" w:rsidRDefault="00A14742">
      <w:pPr>
        <w:spacing w:line="240" w:lineRule="auto"/>
        <w:ind w:left="720" w:right="720"/>
        <w:rPr>
          <w:b/>
          <w:highlight w:val="yellow"/>
        </w:rPr>
      </w:pPr>
    </w:p>
    <w:p w:rsidR="00A14742" w:rsidRDefault="00AC7D53">
      <w:pPr>
        <w:spacing w:line="240" w:lineRule="auto"/>
        <w:ind w:left="720" w:right="720"/>
        <w:rPr>
          <w:b/>
        </w:rPr>
      </w:pPr>
      <w:r>
        <w:rPr>
          <w:b/>
        </w:rPr>
        <w:lastRenderedPageBreak/>
        <w:t>The FAC Order is unlawful and unreasonable and violates IEU-Ohio’s due process rights because the Commission arbitrarily and capriciously refused to admit and consider relevant evidence for the 2010 and 2011 FAC audits which demonstrates AEP-Ohio double-recovered approximately $200 million in capacity costs while holding that the same issue is relevant to the 2012 through 2014 FAC audits; and</w:t>
      </w:r>
    </w:p>
    <w:p w:rsidR="00A14742" w:rsidRDefault="00A14742">
      <w:pPr>
        <w:spacing w:line="240" w:lineRule="auto"/>
        <w:ind w:left="720" w:right="720"/>
        <w:rPr>
          <w:b/>
        </w:rPr>
      </w:pPr>
    </w:p>
    <w:p w:rsidR="00A14742" w:rsidRDefault="00AC7D53">
      <w:pPr>
        <w:spacing w:line="240" w:lineRule="auto"/>
        <w:ind w:left="720" w:right="720"/>
        <w:rPr>
          <w:b/>
        </w:rPr>
      </w:pPr>
      <w:r>
        <w:rPr>
          <w:b/>
        </w:rPr>
        <w:t>The FAC Order is unlawful and unreasonable and violates Section 4903.09, Revised Code, because the Commission failed to provide a substantively reasonable explanation for its inconsistent findings that the OVEC and Lawrenceburg double-recovery is not relevant to the 2010 and 2011 FAC audits but is relevant to the 2012 through 2014 FAC audits.</w:t>
      </w:r>
    </w:p>
    <w:p w:rsidR="00A14742" w:rsidRDefault="00A14742">
      <w:pPr>
        <w:spacing w:line="240" w:lineRule="auto"/>
        <w:ind w:left="720" w:right="720"/>
        <w:rPr>
          <w:b/>
        </w:rPr>
      </w:pPr>
    </w:p>
    <w:p w:rsidR="00A14742" w:rsidRDefault="00AC7D53">
      <w:r>
        <w:tab/>
        <w:t xml:space="preserve">Accordingly, IEU-Ohio requests that the Commission grant IEU-Ohio’s Application for Rehearing and provide IEU-Ohio the opportunity to introduce evidence demonstrating AEP-Ohio double-recovered approximately $200 million in capacity costs in 2010 and 2011, which should be used as an offset to the deferred balance collected through AEP-Ohio’s Phase-In Recovery Rider (“PIRR”). </w:t>
      </w:r>
    </w:p>
    <w:p w:rsidR="00A14742" w:rsidRDefault="00A14742">
      <w:pPr>
        <w:spacing w:line="240" w:lineRule="auto"/>
      </w:pPr>
    </w:p>
    <w:p w:rsidR="00A14742" w:rsidRDefault="00AC7D53">
      <w:pPr>
        <w:tabs>
          <w:tab w:val="left" w:pos="4320"/>
          <w:tab w:val="right" w:pos="8640"/>
        </w:tabs>
        <w:spacing w:line="240" w:lineRule="auto"/>
        <w:ind w:left="4320"/>
        <w:rPr>
          <w:rFonts w:cs="Arial"/>
        </w:rPr>
      </w:pPr>
      <w:r>
        <w:rPr>
          <w:rFonts w:cs="Arial"/>
        </w:rPr>
        <w:t>Respectfully submitted,</w:t>
      </w:r>
    </w:p>
    <w:p w:rsidR="00A14742" w:rsidRDefault="00A14742">
      <w:pPr>
        <w:tabs>
          <w:tab w:val="left" w:pos="4320"/>
          <w:tab w:val="right" w:pos="8640"/>
        </w:tabs>
        <w:spacing w:line="240" w:lineRule="auto"/>
        <w:ind w:left="4320"/>
        <w:rPr>
          <w:rFonts w:cs="Arial"/>
        </w:rPr>
      </w:pPr>
    </w:p>
    <w:p w:rsidR="00A14742" w:rsidRDefault="00A14742">
      <w:pPr>
        <w:tabs>
          <w:tab w:val="left" w:pos="4320"/>
          <w:tab w:val="right" w:pos="8640"/>
        </w:tabs>
        <w:spacing w:line="240" w:lineRule="auto"/>
        <w:ind w:left="4320"/>
        <w:rPr>
          <w:rFonts w:cs="Arial"/>
        </w:rPr>
      </w:pPr>
    </w:p>
    <w:p w:rsidR="00A14742" w:rsidRDefault="00AC7D53">
      <w:pPr>
        <w:tabs>
          <w:tab w:val="left" w:pos="4320"/>
          <w:tab w:val="right" w:pos="9360"/>
        </w:tabs>
        <w:spacing w:line="240" w:lineRule="auto"/>
        <w:ind w:left="4320"/>
        <w:rPr>
          <w:rFonts w:cs="Arial"/>
          <w:u w:val="single"/>
        </w:rPr>
      </w:pPr>
      <w:r>
        <w:rPr>
          <w:rFonts w:cs="Arial"/>
          <w:u w:val="single"/>
        </w:rPr>
        <w:t>/s/ Matthew R. Pritchard</w:t>
      </w:r>
      <w:r>
        <w:rPr>
          <w:rFonts w:cs="Arial"/>
          <w:u w:val="single"/>
        </w:rPr>
        <w:tab/>
      </w:r>
    </w:p>
    <w:p w:rsidR="00A14742" w:rsidRDefault="00AC7D53">
      <w:pPr>
        <w:tabs>
          <w:tab w:val="left" w:pos="4320"/>
          <w:tab w:val="right" w:pos="8640"/>
        </w:tabs>
        <w:spacing w:line="240" w:lineRule="auto"/>
        <w:ind w:left="4320"/>
        <w:rPr>
          <w:rFonts w:cs="Arial"/>
        </w:rPr>
      </w:pPr>
      <w:r>
        <w:rPr>
          <w:rFonts w:cs="Arial"/>
        </w:rPr>
        <w:t>Samuel C. Randazzo (Counsel of Record)</w:t>
      </w:r>
    </w:p>
    <w:p w:rsidR="00A14742" w:rsidRDefault="00AC7D53">
      <w:pPr>
        <w:tabs>
          <w:tab w:val="left" w:pos="4320"/>
          <w:tab w:val="right" w:pos="8640"/>
        </w:tabs>
        <w:spacing w:line="240" w:lineRule="auto"/>
        <w:ind w:left="4320"/>
        <w:rPr>
          <w:rFonts w:cs="Arial"/>
        </w:rPr>
      </w:pPr>
      <w:r>
        <w:rPr>
          <w:rFonts w:cs="Arial"/>
        </w:rPr>
        <w:t xml:space="preserve">  (Reg. No. 0016386)</w:t>
      </w:r>
    </w:p>
    <w:p w:rsidR="00A14742" w:rsidRDefault="00AC7D53">
      <w:pPr>
        <w:pStyle w:val="BodyText3"/>
        <w:widowControl w:val="0"/>
        <w:tabs>
          <w:tab w:val="left" w:pos="4320"/>
        </w:tabs>
        <w:spacing w:after="0"/>
        <w:ind w:left="4320"/>
        <w:jc w:val="both"/>
        <w:rPr>
          <w:rFonts w:cs="Arial"/>
          <w:bCs/>
          <w:sz w:val="24"/>
          <w:szCs w:val="24"/>
        </w:rPr>
      </w:pPr>
      <w:r>
        <w:rPr>
          <w:rFonts w:cs="Arial"/>
          <w:bCs/>
          <w:sz w:val="24"/>
          <w:szCs w:val="24"/>
        </w:rPr>
        <w:t>Frank P. Darr (Reg. No. 0025469)</w:t>
      </w:r>
    </w:p>
    <w:p w:rsidR="00A14742" w:rsidRDefault="00AC7D53">
      <w:pPr>
        <w:pStyle w:val="BodyText3"/>
        <w:widowControl w:val="0"/>
        <w:tabs>
          <w:tab w:val="left" w:pos="4320"/>
        </w:tabs>
        <w:spacing w:after="0"/>
        <w:ind w:left="4320"/>
        <w:jc w:val="both"/>
        <w:rPr>
          <w:rFonts w:cs="Arial"/>
          <w:b/>
          <w:bCs/>
          <w:sz w:val="24"/>
          <w:szCs w:val="24"/>
        </w:rPr>
      </w:pPr>
      <w:r>
        <w:rPr>
          <w:rFonts w:cs="Arial"/>
          <w:bCs/>
          <w:sz w:val="24"/>
          <w:szCs w:val="24"/>
        </w:rPr>
        <w:t>Matthew R. Pritchard (Reg. No. 0088070)</w:t>
      </w:r>
    </w:p>
    <w:p w:rsidR="00A14742" w:rsidRDefault="00AC7D53">
      <w:pPr>
        <w:pStyle w:val="BodyText3"/>
        <w:widowControl w:val="0"/>
        <w:tabs>
          <w:tab w:val="left" w:pos="4320"/>
        </w:tabs>
        <w:spacing w:after="0"/>
        <w:ind w:left="4320"/>
        <w:jc w:val="both"/>
        <w:rPr>
          <w:rFonts w:cs="Arial"/>
          <w:b/>
          <w:bCs/>
          <w:smallCaps/>
          <w:sz w:val="24"/>
          <w:szCs w:val="24"/>
        </w:rPr>
      </w:pPr>
      <w:r>
        <w:rPr>
          <w:rFonts w:cs="Arial"/>
          <w:bCs/>
          <w:smallCaps/>
          <w:sz w:val="24"/>
          <w:szCs w:val="24"/>
        </w:rPr>
        <w:t>McNees Wallace &amp; Nurick LLC</w:t>
      </w:r>
    </w:p>
    <w:p w:rsidR="00A14742" w:rsidRDefault="00AC7D53">
      <w:pPr>
        <w:pStyle w:val="BodyText3"/>
        <w:widowControl w:val="0"/>
        <w:tabs>
          <w:tab w:val="left" w:pos="4320"/>
        </w:tabs>
        <w:spacing w:after="0"/>
        <w:ind w:left="4320"/>
        <w:jc w:val="both"/>
        <w:rPr>
          <w:rFonts w:cs="Arial"/>
          <w:b/>
          <w:bCs/>
          <w:sz w:val="24"/>
          <w:szCs w:val="24"/>
        </w:rPr>
      </w:pPr>
      <w:r>
        <w:rPr>
          <w:rFonts w:cs="Arial"/>
          <w:bCs/>
          <w:sz w:val="24"/>
          <w:szCs w:val="24"/>
        </w:rPr>
        <w:t>21 East State Street, 17</w:t>
      </w:r>
      <w:r>
        <w:rPr>
          <w:rFonts w:cs="Arial"/>
          <w:bCs/>
          <w:sz w:val="24"/>
          <w:szCs w:val="24"/>
          <w:vertAlign w:val="superscript"/>
        </w:rPr>
        <w:t>TH</w:t>
      </w:r>
      <w:r>
        <w:rPr>
          <w:rFonts w:cs="Arial"/>
          <w:bCs/>
          <w:sz w:val="24"/>
          <w:szCs w:val="24"/>
        </w:rPr>
        <w:t xml:space="preserve"> Floor</w:t>
      </w:r>
    </w:p>
    <w:p w:rsidR="00A14742" w:rsidRDefault="00AC7D53">
      <w:pPr>
        <w:pStyle w:val="BodyText"/>
        <w:tabs>
          <w:tab w:val="left" w:pos="4320"/>
        </w:tabs>
        <w:ind w:left="4320"/>
        <w:rPr>
          <w:b w:val="0"/>
          <w:smallCaps w:val="0"/>
          <w:sz w:val="24"/>
          <w:szCs w:val="24"/>
        </w:rPr>
      </w:pPr>
      <w:r>
        <w:rPr>
          <w:b w:val="0"/>
          <w:smallCaps w:val="0"/>
          <w:sz w:val="24"/>
          <w:szCs w:val="24"/>
        </w:rPr>
        <w:t>Columbus, OH  43215</w:t>
      </w:r>
    </w:p>
    <w:p w:rsidR="00A14742" w:rsidRDefault="00AC7D53">
      <w:pPr>
        <w:pStyle w:val="BodyText"/>
        <w:tabs>
          <w:tab w:val="left" w:pos="4320"/>
        </w:tabs>
        <w:ind w:left="4320"/>
        <w:rPr>
          <w:b w:val="0"/>
          <w:smallCaps w:val="0"/>
          <w:sz w:val="24"/>
          <w:szCs w:val="24"/>
        </w:rPr>
      </w:pPr>
      <w:r>
        <w:rPr>
          <w:b w:val="0"/>
          <w:smallCaps w:val="0"/>
          <w:sz w:val="24"/>
          <w:szCs w:val="24"/>
        </w:rPr>
        <w:t>Telephone:  (614) 469-8000</w:t>
      </w:r>
    </w:p>
    <w:p w:rsidR="00A14742" w:rsidRDefault="00AC7D53">
      <w:pPr>
        <w:pStyle w:val="BodyText"/>
        <w:tabs>
          <w:tab w:val="left" w:pos="4320"/>
        </w:tabs>
        <w:ind w:left="4320"/>
        <w:rPr>
          <w:b w:val="0"/>
          <w:smallCaps w:val="0"/>
          <w:sz w:val="24"/>
          <w:szCs w:val="24"/>
        </w:rPr>
      </w:pPr>
      <w:r>
        <w:rPr>
          <w:b w:val="0"/>
          <w:smallCaps w:val="0"/>
          <w:sz w:val="24"/>
          <w:szCs w:val="24"/>
        </w:rPr>
        <w:t>Telecopier:  (614) 469-4653</w:t>
      </w:r>
    </w:p>
    <w:p w:rsidR="00A14742" w:rsidRDefault="00AC7D53">
      <w:pPr>
        <w:pStyle w:val="BodyText"/>
        <w:ind w:left="4320"/>
        <w:rPr>
          <w:b w:val="0"/>
          <w:smallCaps w:val="0"/>
          <w:sz w:val="24"/>
          <w:szCs w:val="24"/>
        </w:rPr>
      </w:pPr>
      <w:r>
        <w:rPr>
          <w:b w:val="0"/>
          <w:smallCaps w:val="0"/>
          <w:sz w:val="24"/>
          <w:szCs w:val="24"/>
        </w:rPr>
        <w:t>sam@mwncmh.com</w:t>
      </w:r>
    </w:p>
    <w:p w:rsidR="00A14742" w:rsidRDefault="00AC7D53">
      <w:pPr>
        <w:pStyle w:val="BodyText"/>
        <w:ind w:left="4320"/>
        <w:rPr>
          <w:b w:val="0"/>
          <w:smallCaps w:val="0"/>
          <w:sz w:val="24"/>
          <w:szCs w:val="24"/>
        </w:rPr>
      </w:pPr>
      <w:r>
        <w:rPr>
          <w:b w:val="0"/>
          <w:smallCaps w:val="0"/>
          <w:sz w:val="24"/>
          <w:szCs w:val="24"/>
        </w:rPr>
        <w:t>fdarr@mwncmh.com</w:t>
      </w:r>
    </w:p>
    <w:p w:rsidR="00A14742" w:rsidRDefault="00AC7D53">
      <w:pPr>
        <w:pStyle w:val="BodyText"/>
        <w:ind w:left="4320"/>
        <w:rPr>
          <w:rFonts w:cs="Arial"/>
          <w:b w:val="0"/>
          <w:sz w:val="24"/>
          <w:szCs w:val="24"/>
        </w:rPr>
      </w:pPr>
      <w:r>
        <w:rPr>
          <w:rFonts w:cs="Arial"/>
          <w:b w:val="0"/>
          <w:smallCaps w:val="0"/>
          <w:sz w:val="24"/>
          <w:szCs w:val="24"/>
        </w:rPr>
        <w:t>mpritchard@mwncmh.com</w:t>
      </w:r>
    </w:p>
    <w:p w:rsidR="00A14742" w:rsidRDefault="00A14742">
      <w:pPr>
        <w:spacing w:line="240" w:lineRule="auto"/>
        <w:jc w:val="center"/>
        <w:rPr>
          <w:rFonts w:cs="Arial"/>
          <w:b/>
          <w:smallCaps/>
          <w:sz w:val="28"/>
        </w:rPr>
        <w:sectPr w:rsidR="00A14742">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titlePg/>
          <w:docGrid w:linePitch="360"/>
        </w:sectPr>
      </w:pPr>
    </w:p>
    <w:p w:rsidR="00A14742" w:rsidRDefault="00AC7D53">
      <w:pPr>
        <w:spacing w:line="240" w:lineRule="auto"/>
        <w:jc w:val="center"/>
        <w:rPr>
          <w:rFonts w:cs="Arial"/>
          <w:b/>
          <w:smallCaps/>
          <w:sz w:val="28"/>
        </w:rPr>
      </w:pPr>
      <w:r>
        <w:rPr>
          <w:rFonts w:cs="Arial"/>
          <w:b/>
          <w:smallCaps/>
          <w:sz w:val="28"/>
        </w:rPr>
        <w:lastRenderedPageBreak/>
        <w:t>Before</w:t>
      </w:r>
    </w:p>
    <w:p w:rsidR="00A14742" w:rsidRDefault="00AC7D53">
      <w:pPr>
        <w:spacing w:line="240" w:lineRule="auto"/>
        <w:jc w:val="center"/>
        <w:rPr>
          <w:rFonts w:cs="Arial"/>
          <w:b/>
          <w:smallCaps/>
          <w:sz w:val="28"/>
        </w:rPr>
      </w:pPr>
      <w:r>
        <w:rPr>
          <w:rFonts w:cs="Arial"/>
          <w:b/>
          <w:smallCaps/>
          <w:sz w:val="28"/>
        </w:rPr>
        <w:t>The Public Utilities Commission of Ohio</w:t>
      </w:r>
    </w:p>
    <w:p w:rsidR="00A14742" w:rsidRDefault="00A14742">
      <w:pPr>
        <w:autoSpaceDE w:val="0"/>
        <w:autoSpaceDN w:val="0"/>
        <w:adjustRightInd w:val="0"/>
        <w:spacing w:line="240" w:lineRule="auto"/>
        <w:rPr>
          <w:rFonts w:cs="Arial"/>
        </w:rPr>
      </w:pPr>
    </w:p>
    <w:p w:rsidR="00A14742" w:rsidRDefault="00A14742">
      <w:pPr>
        <w:autoSpaceDE w:val="0"/>
        <w:autoSpaceDN w:val="0"/>
        <w:adjustRightInd w:val="0"/>
        <w:spacing w:line="240" w:lineRule="auto"/>
        <w:rPr>
          <w:rFonts w:cs="Arial"/>
        </w:rPr>
      </w:pPr>
    </w:p>
    <w:p w:rsidR="00A14742" w:rsidRDefault="00AC7D53">
      <w:pPr>
        <w:tabs>
          <w:tab w:val="left" w:pos="5040"/>
          <w:tab w:val="left" w:pos="5760"/>
        </w:tabs>
        <w:autoSpaceDE w:val="0"/>
        <w:autoSpaceDN w:val="0"/>
        <w:adjustRightInd w:val="0"/>
        <w:spacing w:line="240" w:lineRule="auto"/>
        <w:rPr>
          <w:rFonts w:cs="Arial"/>
        </w:rPr>
      </w:pPr>
      <w:r>
        <w:rPr>
          <w:rFonts w:cs="Arial"/>
        </w:rPr>
        <w:t>In the Matter of the Fuel Adjustment</w:t>
      </w:r>
      <w:r>
        <w:rPr>
          <w:rFonts w:cs="Arial"/>
        </w:rPr>
        <w:tab/>
        <w:t>)</w:t>
      </w:r>
      <w:r>
        <w:rPr>
          <w:rFonts w:cs="Arial"/>
        </w:rPr>
        <w:tab/>
        <w:t>Case No. 10-268-EL-FAC</w:t>
      </w:r>
    </w:p>
    <w:p w:rsidR="00A14742" w:rsidRDefault="00AC7D53">
      <w:pPr>
        <w:tabs>
          <w:tab w:val="left" w:pos="5040"/>
          <w:tab w:val="left" w:pos="5760"/>
        </w:tabs>
        <w:autoSpaceDE w:val="0"/>
        <w:autoSpaceDN w:val="0"/>
        <w:adjustRightInd w:val="0"/>
        <w:spacing w:line="240" w:lineRule="auto"/>
        <w:rPr>
          <w:rFonts w:cs="Arial"/>
        </w:rPr>
      </w:pPr>
      <w:r>
        <w:rPr>
          <w:rFonts w:cs="Arial"/>
        </w:rPr>
        <w:t>Clause of Columbus Southern Power</w:t>
      </w:r>
      <w:r>
        <w:rPr>
          <w:rFonts w:cs="Arial"/>
        </w:rPr>
        <w:tab/>
        <w:t>)</w:t>
      </w:r>
      <w:r>
        <w:rPr>
          <w:rFonts w:cs="Arial"/>
        </w:rPr>
        <w:tab/>
        <w:t>Case No. 10-269-EL-FAC</w:t>
      </w:r>
    </w:p>
    <w:p w:rsidR="00A14742" w:rsidRDefault="00AC7D53">
      <w:pPr>
        <w:tabs>
          <w:tab w:val="left" w:pos="5040"/>
          <w:tab w:val="left" w:pos="5760"/>
        </w:tabs>
        <w:autoSpaceDE w:val="0"/>
        <w:autoSpaceDN w:val="0"/>
        <w:adjustRightInd w:val="0"/>
        <w:spacing w:line="240" w:lineRule="auto"/>
        <w:rPr>
          <w:rFonts w:cs="Arial"/>
        </w:rPr>
      </w:pPr>
      <w:r>
        <w:rPr>
          <w:rFonts w:cs="Arial"/>
        </w:rPr>
        <w:t>Company and Ohio Power Company and</w:t>
      </w:r>
      <w:r>
        <w:rPr>
          <w:rFonts w:cs="Arial"/>
        </w:rPr>
        <w:tab/>
        <w:t>)</w:t>
      </w:r>
    </w:p>
    <w:p w:rsidR="00A14742" w:rsidRDefault="00AC7D53">
      <w:pPr>
        <w:tabs>
          <w:tab w:val="left" w:pos="5040"/>
          <w:tab w:val="left" w:pos="5760"/>
        </w:tabs>
        <w:autoSpaceDE w:val="0"/>
        <w:autoSpaceDN w:val="0"/>
        <w:adjustRightInd w:val="0"/>
        <w:spacing w:line="240" w:lineRule="auto"/>
        <w:rPr>
          <w:rFonts w:ascii="Book Antiqua" w:hAnsi="Book Antiqua" w:cs="Book Antiqua"/>
        </w:rPr>
      </w:pPr>
      <w:r>
        <w:rPr>
          <w:rFonts w:cs="Arial"/>
        </w:rPr>
        <w:t>Related Matters for 2010</w:t>
      </w:r>
      <w:r>
        <w:rPr>
          <w:rFonts w:ascii="Book Antiqua" w:hAnsi="Book Antiqua" w:cs="Book Antiqua"/>
        </w:rPr>
        <w:t>.</w:t>
      </w:r>
      <w:r>
        <w:rPr>
          <w:rFonts w:ascii="Book Antiqua" w:hAnsi="Book Antiqua" w:cs="Book Antiqua"/>
        </w:rPr>
        <w:tab/>
        <w:t>)</w:t>
      </w:r>
    </w:p>
    <w:p w:rsidR="00A14742" w:rsidRDefault="00AC7D53">
      <w:pPr>
        <w:tabs>
          <w:tab w:val="left" w:pos="5040"/>
          <w:tab w:val="left" w:pos="5760"/>
        </w:tabs>
        <w:autoSpaceDE w:val="0"/>
        <w:autoSpaceDN w:val="0"/>
        <w:adjustRightInd w:val="0"/>
        <w:spacing w:line="240" w:lineRule="auto"/>
        <w:rPr>
          <w:rFonts w:cs="Arial"/>
        </w:rPr>
      </w:pPr>
      <w:r>
        <w:rPr>
          <w:rFonts w:cs="Arial"/>
        </w:rPr>
        <w:tab/>
      </w:r>
    </w:p>
    <w:p w:rsidR="00A14742" w:rsidRDefault="00AC7D53">
      <w:pPr>
        <w:tabs>
          <w:tab w:val="left" w:pos="5040"/>
          <w:tab w:val="left" w:pos="5760"/>
        </w:tabs>
        <w:autoSpaceDE w:val="0"/>
        <w:autoSpaceDN w:val="0"/>
        <w:adjustRightInd w:val="0"/>
        <w:spacing w:line="240" w:lineRule="auto"/>
        <w:rPr>
          <w:rFonts w:cs="Arial"/>
        </w:rPr>
      </w:pPr>
      <w:r>
        <w:rPr>
          <w:rFonts w:cs="Arial"/>
        </w:rPr>
        <w:t>In the Matter of the Application of the Fuel</w:t>
      </w:r>
      <w:r>
        <w:rPr>
          <w:rFonts w:cs="Arial"/>
        </w:rPr>
        <w:tab/>
        <w:t>)</w:t>
      </w:r>
    </w:p>
    <w:p w:rsidR="00A14742" w:rsidRDefault="00AC7D53">
      <w:pPr>
        <w:tabs>
          <w:tab w:val="left" w:pos="5040"/>
          <w:tab w:val="left" w:pos="5760"/>
        </w:tabs>
        <w:autoSpaceDE w:val="0"/>
        <w:autoSpaceDN w:val="0"/>
        <w:adjustRightInd w:val="0"/>
        <w:spacing w:line="240" w:lineRule="auto"/>
        <w:rPr>
          <w:rFonts w:cs="Arial"/>
        </w:rPr>
      </w:pPr>
      <w:r>
        <w:rPr>
          <w:rFonts w:cs="Arial"/>
        </w:rPr>
        <w:t xml:space="preserve">Adjustment Clauses for Columbus Southern </w:t>
      </w:r>
      <w:r>
        <w:rPr>
          <w:rFonts w:cs="Arial"/>
        </w:rPr>
        <w:tab/>
        <w:t>)</w:t>
      </w:r>
      <w:r>
        <w:rPr>
          <w:rFonts w:cs="Arial"/>
        </w:rPr>
        <w:tab/>
        <w:t>Case No. 11-281-EL-FAC</w:t>
      </w:r>
    </w:p>
    <w:p w:rsidR="00A14742" w:rsidRDefault="00AC7D53">
      <w:pPr>
        <w:tabs>
          <w:tab w:val="left" w:pos="4320"/>
          <w:tab w:val="left" w:pos="5040"/>
          <w:tab w:val="left" w:pos="5760"/>
        </w:tabs>
        <w:autoSpaceDE w:val="0"/>
        <w:autoSpaceDN w:val="0"/>
        <w:adjustRightInd w:val="0"/>
        <w:spacing w:line="240" w:lineRule="auto"/>
        <w:rPr>
          <w:rFonts w:cs="Arial"/>
        </w:rPr>
      </w:pPr>
      <w:r>
        <w:rPr>
          <w:rFonts w:cs="Arial"/>
        </w:rPr>
        <w:t xml:space="preserve">Power Company and Ohio Power Company </w:t>
      </w:r>
      <w:r>
        <w:rPr>
          <w:rFonts w:cs="Arial"/>
        </w:rPr>
        <w:tab/>
        <w:t>)</w:t>
      </w:r>
    </w:p>
    <w:p w:rsidR="00A14742" w:rsidRDefault="00AC7D53">
      <w:pPr>
        <w:tabs>
          <w:tab w:val="left" w:pos="5040"/>
          <w:tab w:val="left" w:pos="5760"/>
        </w:tabs>
        <w:autoSpaceDE w:val="0"/>
        <w:autoSpaceDN w:val="0"/>
        <w:adjustRightInd w:val="0"/>
        <w:spacing w:line="240" w:lineRule="auto"/>
        <w:rPr>
          <w:rFonts w:cs="Arial"/>
        </w:rPr>
      </w:pPr>
      <w:proofErr w:type="gramStart"/>
      <w:r>
        <w:rPr>
          <w:rFonts w:cs="Arial"/>
        </w:rPr>
        <w:t>and</w:t>
      </w:r>
      <w:proofErr w:type="gramEnd"/>
      <w:r>
        <w:rPr>
          <w:rFonts w:cs="Arial"/>
        </w:rPr>
        <w:t xml:space="preserve"> Related Matters.</w:t>
      </w:r>
      <w:r>
        <w:rPr>
          <w:rFonts w:cs="Arial"/>
        </w:rPr>
        <w:tab/>
        <w:t>)</w:t>
      </w:r>
    </w:p>
    <w:p w:rsidR="00A14742" w:rsidRDefault="00A14742">
      <w:pPr>
        <w:pStyle w:val="BodyText"/>
        <w:rPr>
          <w:rFonts w:cs="Arial"/>
          <w:b w:val="0"/>
        </w:rPr>
      </w:pPr>
    </w:p>
    <w:p w:rsidR="00A14742" w:rsidRDefault="00A14742">
      <w:pPr>
        <w:pStyle w:val="BodyText"/>
        <w:rPr>
          <w:rFonts w:cs="Arial"/>
          <w:b w:val="0"/>
        </w:rPr>
      </w:pPr>
    </w:p>
    <w:p w:rsidR="00A14742" w:rsidRDefault="00A14742">
      <w:pPr>
        <w:pStyle w:val="BodyText"/>
        <w:rPr>
          <w:rFonts w:cs="Arial"/>
          <w:b w:val="0"/>
        </w:rPr>
      </w:pPr>
    </w:p>
    <w:p w:rsidR="00A14742" w:rsidRDefault="00A14742">
      <w:pPr>
        <w:pStyle w:val="BodyText"/>
        <w:pBdr>
          <w:top w:val="single" w:sz="12" w:space="1" w:color="auto"/>
        </w:pBdr>
        <w:rPr>
          <w:rFonts w:cs="Arial"/>
          <w:sz w:val="12"/>
          <w:szCs w:val="12"/>
        </w:rPr>
      </w:pPr>
    </w:p>
    <w:p w:rsidR="00A14742" w:rsidRDefault="00AC7D53">
      <w:pPr>
        <w:spacing w:line="240" w:lineRule="auto"/>
        <w:jc w:val="center"/>
        <w:rPr>
          <w:rFonts w:cs="Arial"/>
          <w:b/>
          <w:smallCaps/>
          <w:sz w:val="28"/>
          <w:szCs w:val="28"/>
        </w:rPr>
      </w:pPr>
      <w:r>
        <w:rPr>
          <w:rFonts w:cs="Arial"/>
          <w:b/>
          <w:smallCaps/>
          <w:sz w:val="28"/>
          <w:szCs w:val="28"/>
        </w:rPr>
        <w:t>Memorandum in Support</w:t>
      </w:r>
    </w:p>
    <w:p w:rsidR="00A14742" w:rsidRDefault="00A14742">
      <w:pPr>
        <w:pBdr>
          <w:bottom w:val="single" w:sz="12" w:space="1" w:color="auto"/>
        </w:pBdr>
        <w:spacing w:line="240" w:lineRule="auto"/>
        <w:rPr>
          <w:rFonts w:cs="Arial"/>
          <w:sz w:val="12"/>
          <w:szCs w:val="12"/>
        </w:rPr>
      </w:pPr>
    </w:p>
    <w:p w:rsidR="00A14742" w:rsidRDefault="00A14742">
      <w:pPr>
        <w:pStyle w:val="Heading1"/>
        <w:numPr>
          <w:ilvl w:val="0"/>
          <w:numId w:val="0"/>
        </w:numPr>
      </w:pPr>
      <w:bookmarkStart w:id="1" w:name="pcgNumRestart118"/>
      <w:bookmarkEnd w:id="1"/>
    </w:p>
    <w:p w:rsidR="00A14742" w:rsidRDefault="00AC7D53">
      <w:pPr>
        <w:pStyle w:val="Heading1"/>
      </w:pPr>
      <w:bookmarkStart w:id="2" w:name="_Toc390418258"/>
      <w:r>
        <w:t>background</w:t>
      </w:r>
      <w:bookmarkEnd w:id="2"/>
    </w:p>
    <w:p w:rsidR="00A14742" w:rsidRDefault="00AC7D53">
      <w:r>
        <w:rPr>
          <w:b/>
        </w:rPr>
        <w:tab/>
      </w:r>
      <w:r>
        <w:t>In 2008, Ohio passed new restructuring legislation that required electric distribution utilities (“EDU”) to offer default service to non-shopping customers through a standard service offer (“SSO”) under either a market rate offer (“MRO”) or an electric security plan (“ESP”).</w:t>
      </w:r>
      <w:r>
        <w:rPr>
          <w:rStyle w:val="FootnoteReference"/>
        </w:rPr>
        <w:footnoteReference w:id="1"/>
      </w:r>
      <w:r>
        <w:t xml:space="preserve">  In 2008, AEP-Ohio filed an application to establish its SSO in the form of an ESP, which the Commission modified and approved in March 2009.</w:t>
      </w:r>
      <w:r>
        <w:rPr>
          <w:rStyle w:val="FootnoteReference"/>
        </w:rPr>
        <w:footnoteReference w:id="2"/>
      </w:r>
      <w:r>
        <w:t xml:space="preserve">  Pursuant to Section 4928.143(B)(2)(a), Revised Code, the Commission authorized AEP-Ohio to collect its fuel and purchased power costs through the FAC, subject to an annual prudency and accounting audit.</w:t>
      </w:r>
      <w:r>
        <w:rPr>
          <w:vertAlign w:val="superscript"/>
        </w:rPr>
        <w:footnoteReference w:id="3"/>
      </w:r>
    </w:p>
    <w:p w:rsidR="00A14742" w:rsidRDefault="00AC7D53">
      <w:r>
        <w:lastRenderedPageBreak/>
        <w:tab/>
        <w:t>These proceedings regard the audit of AEP-Ohio’s FAC for the years 2010 and 2011.  During the evidentiary hearing in these proceedings, the Attorney Examiner sustained AEP-Ohio’s objection preventing IEU-Ohio from introducing evidence that demonstrates that AEP-Ohio had double-recovered approximately $200 million through its 2010 and 2011 FAC rates.</w:t>
      </w:r>
      <w:r>
        <w:rPr>
          <w:vertAlign w:val="superscript"/>
        </w:rPr>
        <w:footnoteReference w:id="4"/>
      </w:r>
      <w:r>
        <w:t xml:space="preserve">  IEU-Ohio proffered its evidence and, in accordance with Rule 4901-1-15(F), O.A.C., IEU-Ohio raised the Attorney Examiner’s incorrect evidentiary ruling with the Commission in IEU-Ohio’s Initial Brief.  The Commission, however, unlawfully and unreasonably upheld the Attorney Examiner’s evidentiary ruling in the FAC Order.  As discussed below, the Commission should grant this Application for Rehearing and should reverse its decision affirming the Attorney Examiner’s incorrect evidentiary ruling.</w:t>
      </w:r>
    </w:p>
    <w:p w:rsidR="00A14742" w:rsidRDefault="00AC7D53">
      <w:pPr>
        <w:pStyle w:val="Heading1"/>
      </w:pPr>
      <w:bookmarkStart w:id="3" w:name="_Toc390418259"/>
      <w:r>
        <w:t>Argument</w:t>
      </w:r>
      <w:bookmarkEnd w:id="3"/>
    </w:p>
    <w:p w:rsidR="00A14742" w:rsidRDefault="00AC7D53">
      <w:pPr>
        <w:pStyle w:val="Heading2"/>
      </w:pPr>
      <w:bookmarkStart w:id="4" w:name="_Toc390418260"/>
      <w:r>
        <w:t>The FAC Order is unlawful and unreasonable because the Commission refused to admit and consider relevant evidence that demonstrates AEP-Ohio double-recovered approximately $200 million in OVEC and Lawrenceburg capacity costs through its FAC in 2010 and 2011 based upon an unlawful and unreasonable finding that the scope of admissible evidence in a FAC audit proceeding is dictated by the findings and recommendations in the FAC Audit Report.</w:t>
      </w:r>
      <w:bookmarkEnd w:id="4"/>
    </w:p>
    <w:p w:rsidR="00A14742" w:rsidRDefault="00AC7D53">
      <w:pPr>
        <w:ind w:firstLine="720"/>
      </w:pPr>
      <w:r>
        <w:t xml:space="preserve">Energy Ventures Analysis, Inc. (“EVA” or the “Auditor”) conducted the 2010 and 2011 audits of AEP-Ohio’s FAC.  The 2010 and 2011 Audit Reports were submitted to the Commission on May 26, 2011, and May 24, 2012, respectively, over a year and one-half before the hearing in these proceedings was held.  The Auditor did not address the OVEC and Lawrenceburg capacity cost double-recovery issue in the 2010 or 2011 </w:t>
      </w:r>
      <w:r>
        <w:lastRenderedPageBreak/>
        <w:t>Audit Reports.</w:t>
      </w:r>
      <w:r>
        <w:rPr>
          <w:vertAlign w:val="superscript"/>
        </w:rPr>
        <w:footnoteReference w:id="5"/>
      </w:r>
      <w:r>
        <w:t xml:space="preserve">  Subsequent to May 24, 2012, parties discovered that AEP-Ohio was double-recovering the OVEC and Lawrenceburg capacity costs.</w:t>
      </w:r>
      <w:r>
        <w:rPr>
          <w:vertAlign w:val="superscript"/>
        </w:rPr>
        <w:footnoteReference w:id="6"/>
      </w:r>
      <w:r>
        <w:t xml:space="preserve">  Although the Auditor did not address the OVEC and Lawrenceburg capacity cost double-recovery in the 2010 and 2011 Audit Reports, the Auditor (witness Smith) indicated that when a potential double-recovery comes to light after an audit report is issued, at a minimum, the issue should be left open for a future auditor to evaluate the double-recovery: “I think if there’s an issue of a double count </w:t>
      </w:r>
      <w:r>
        <w:rPr>
          <w:b/>
          <w:u w:val="single"/>
        </w:rPr>
        <w:t>such as we seem to have here</w:t>
      </w:r>
      <w:r>
        <w:t>, it seems like that issue may deserve some further investigation.”</w:t>
      </w:r>
      <w:r>
        <w:rPr>
          <w:vertAlign w:val="superscript"/>
        </w:rPr>
        <w:footnoteReference w:id="7"/>
      </w:r>
    </w:p>
    <w:p w:rsidR="00A14742" w:rsidRDefault="00AC7D53">
      <w:r>
        <w:tab/>
        <w:t>Because the Auditor failed to address the OVEC and Lawrenceburg capacity cost double-recovery in the 2010 and 2011 Audit Reports, IEU-Ohio attempted to introduce and elicit evidence during the evidentiary hearing that demonstrated AEP</w:t>
      </w:r>
      <w:r>
        <w:noBreakHyphen/>
        <w:t>Ohio double-recovered approximately $200 million in OVEC and Lawrenceburg capacity costs through its FAC rates in 2010 and 2011.  The Attorney Examiner, however, found that the issue was outside the scope of the audit and precluded IEU</w:t>
      </w:r>
      <w:r>
        <w:noBreakHyphen/>
        <w:t>Ohio’s counsel from cross-examining witnesses and introducing exhibits to lay the evidentiary foundation to demonstrate that AEP-Ohio double-recovered its purchased power costs through the FAC during 2010 and 2011.</w:t>
      </w:r>
      <w:r>
        <w:rPr>
          <w:vertAlign w:val="superscript"/>
        </w:rPr>
        <w:footnoteReference w:id="8"/>
      </w:r>
      <w:r>
        <w:t xml:space="preserve">  The Attorney Examiner limited IEU-Ohio’s scope of cross-examination to issues identified by the Auditor in the 2010 </w:t>
      </w:r>
      <w:r>
        <w:lastRenderedPageBreak/>
        <w:t>and 2011 Audit Reports.</w:t>
      </w:r>
      <w:r>
        <w:rPr>
          <w:vertAlign w:val="superscript"/>
        </w:rPr>
        <w:footnoteReference w:id="9"/>
      </w:r>
      <w:r>
        <w:t xml:space="preserve">  To preserve the issue for the Commission’s consideration, IEU-Ohio proffered its evidence demonstrating that there was a double-recovery for the Commission’s consideration.</w:t>
      </w:r>
      <w:r>
        <w:rPr>
          <w:vertAlign w:val="superscript"/>
        </w:rPr>
        <w:footnoteReference w:id="10"/>
      </w:r>
    </w:p>
    <w:p w:rsidR="00A14742" w:rsidRDefault="00AC7D53">
      <w:pPr>
        <w:autoSpaceDE w:val="0"/>
        <w:autoSpaceDN w:val="0"/>
        <w:adjustRightInd w:val="0"/>
        <w:ind w:firstLine="720"/>
        <w:rPr>
          <w:rFonts w:eastAsia="Calibri" w:cs="Arial"/>
        </w:rPr>
      </w:pPr>
      <w:r>
        <w:rPr>
          <w:rFonts w:eastAsia="Calibri" w:cs="Arial"/>
        </w:rPr>
        <w:t xml:space="preserve">IEU-Ohio’s proffered exhibits (provided by AEP-Ohio in the </w:t>
      </w:r>
      <w:r>
        <w:rPr>
          <w:rFonts w:eastAsia="Calibri" w:cs="Arial"/>
          <w:i/>
        </w:rPr>
        <w:t>Capacity Case</w:t>
      </w:r>
      <w:r>
        <w:rPr>
          <w:rFonts w:eastAsia="Calibri" w:cs="Arial"/>
        </w:rPr>
        <w:t>) demonstrate that AEP-Ohio’s base generation rates in effect during 2010 and 2011 fully compensated AEP-Ohio for the Lawrenceburg and OVEC capacity costs that AEP-Ohio flowed through the FAC in 2010 and 2011.</w:t>
      </w:r>
      <w:r>
        <w:rPr>
          <w:rStyle w:val="FootnoteReference"/>
          <w:rFonts w:eastAsia="Calibri" w:cs="Arial"/>
        </w:rPr>
        <w:footnoteReference w:id="11"/>
      </w:r>
      <w:r>
        <w:rPr>
          <w:rFonts w:eastAsia="Calibri" w:cs="Arial"/>
        </w:rPr>
        <w:t xml:space="preserve">  </w:t>
      </w:r>
      <w:r>
        <w:t xml:space="preserve">In the </w:t>
      </w:r>
      <w:r>
        <w:rPr>
          <w:i/>
        </w:rPr>
        <w:t>Capacity Case</w:t>
      </w:r>
      <w:r>
        <w:t>, AEP-Ohio requested authority to increase the amount of compensation that it receives for the provision of capacity service.  AEP-Ohio submitted the testimony of Dr. Kelly Pearce to quantify AEP-Ohio’s embedded cost of capacity and purchased power.  Dr. Pearce calculated AEP-Ohio’s cost of capacity using AEP-Ohio’s</w:t>
      </w:r>
      <w:r>
        <w:rPr>
          <w:rStyle w:val="FootnoteReference"/>
        </w:rPr>
        <w:footnoteReference w:id="12"/>
      </w:r>
      <w:r>
        <w:t xml:space="preserve"> 2010 Federal Energy Regulatory Commission (“FERC”) Form 1</w:t>
      </w:r>
      <w:r>
        <w:rPr>
          <w:rStyle w:val="FootnoteReference"/>
        </w:rPr>
        <w:footnoteReference w:id="13"/>
      </w:r>
      <w:r>
        <w:t xml:space="preserve"> and concluded that AEP-Ohio’s fully embedded cost of capacity and purchased power is $355/megawatt–day (“MW-day”).</w:t>
      </w:r>
      <w:r>
        <w:rPr>
          <w:rStyle w:val="FootnoteReference"/>
        </w:rPr>
        <w:footnoteReference w:id="14"/>
      </w:r>
      <w:r>
        <w:t xml:space="preserve">  Dr. Pearce included the non-fuel purchased power costs of Lawrenceburg and OVEC in his calculation of the $355/MW-day price.</w:t>
      </w:r>
      <w:r>
        <w:rPr>
          <w:rStyle w:val="FootnoteReference"/>
        </w:rPr>
        <w:footnoteReference w:id="15"/>
      </w:r>
      <w:r>
        <w:t xml:space="preserve"> </w:t>
      </w:r>
    </w:p>
    <w:p w:rsidR="00A14742" w:rsidRDefault="00AC7D53">
      <w:pPr>
        <w:autoSpaceDE w:val="0"/>
        <w:autoSpaceDN w:val="0"/>
        <w:adjustRightInd w:val="0"/>
        <w:ind w:firstLine="720"/>
      </w:pPr>
      <w:r>
        <w:lastRenderedPageBreak/>
        <w:t xml:space="preserve">AEP-Ohio witness Allen testified in the </w:t>
      </w:r>
      <w:r>
        <w:rPr>
          <w:i/>
        </w:rPr>
        <w:t xml:space="preserve">Capacity Case </w:t>
      </w:r>
      <w:r>
        <w:t xml:space="preserve">that AEP-Ohio’s base generation rates produced revenue equivalent to $355/MW-day: “AEP-Ohio contends that its proposed cost-based capacity pricing roughly approximates and is, therefore, comparable to the amount that the Company receives from its SSO customers for capacity through base generation rates. </w:t>
      </w:r>
      <w:proofErr w:type="gramStart"/>
      <w:r>
        <w:t>(AEP-Ohio Ex. 142 at 19-20; Tr. II at 304, 350).”</w:t>
      </w:r>
      <w:proofErr w:type="gramEnd"/>
      <w:r>
        <w:rPr>
          <w:rStyle w:val="FootnoteReference"/>
        </w:rPr>
        <w:footnoteReference w:id="16"/>
      </w:r>
      <w:r>
        <w:t xml:space="preserve">  As demonstrated by the proffered exhibits, AEP-Ohio’s 2010 and 2011 base generation rates provide compensation equal to $355/MW-day, which fully compensated AEP-Ohio for its capacity costs and non-fuel purchased power costs related to OVEC and Lawrenceburg.  But AEP-Ohio also recovered the same Lawrenceburg and OVEC costs through the FAC during 2010 and 2011.</w:t>
      </w:r>
      <w:r>
        <w:rPr>
          <w:rStyle w:val="FootnoteReference"/>
        </w:rPr>
        <w:footnoteReference w:id="17"/>
      </w:r>
      <w:r>
        <w:t xml:space="preserve">  Because it is recovering the same costs through both its non-fuel base generation rates and its FAC, AEP-Ohio double-recovered </w:t>
      </w:r>
      <w:proofErr w:type="gramStart"/>
      <w:r>
        <w:t>its</w:t>
      </w:r>
      <w:proofErr w:type="gramEnd"/>
      <w:r>
        <w:t xml:space="preserve"> purchased power costs.  The double-recovery is demonstrated in more detail in the table below.</w:t>
      </w:r>
    </w:p>
    <w:p w:rsidR="00A14742" w:rsidRDefault="00AC7D53">
      <w:pPr>
        <w:spacing w:after="120" w:line="240" w:lineRule="auto"/>
        <w:jc w:val="left"/>
      </w:pPr>
      <w:r>
        <w:br w:type="page"/>
      </w:r>
    </w:p>
    <w:tbl>
      <w:tblPr>
        <w:tblStyle w:val="TableGrid"/>
        <w:tblW w:w="0" w:type="auto"/>
        <w:tblInd w:w="468" w:type="dxa"/>
        <w:tblLook w:val="04A0" w:firstRow="1" w:lastRow="0" w:firstColumn="1" w:lastColumn="0" w:noHBand="0" w:noVBand="1"/>
      </w:tblPr>
      <w:tblGrid>
        <w:gridCol w:w="4410"/>
        <w:gridCol w:w="4230"/>
      </w:tblGrid>
      <w:tr w:rsidR="00A14742">
        <w:tc>
          <w:tcPr>
            <w:tcW w:w="4410" w:type="dxa"/>
          </w:tcPr>
          <w:p w:rsidR="00A14742" w:rsidRDefault="00AC7D53">
            <w:pPr>
              <w:pStyle w:val="1definition"/>
              <w:spacing w:line="240" w:lineRule="auto"/>
              <w:jc w:val="center"/>
              <w:rPr>
                <w:b/>
                <w:sz w:val="22"/>
                <w:szCs w:val="22"/>
              </w:rPr>
            </w:pPr>
            <w:r>
              <w:rPr>
                <w:b/>
                <w:sz w:val="22"/>
                <w:szCs w:val="22"/>
              </w:rPr>
              <w:lastRenderedPageBreak/>
              <w:br/>
              <w:t>CSP Capacity Formula Components</w:t>
            </w:r>
          </w:p>
        </w:tc>
        <w:tc>
          <w:tcPr>
            <w:tcW w:w="4230" w:type="dxa"/>
          </w:tcPr>
          <w:p w:rsidR="00A14742" w:rsidRDefault="00AC7D53">
            <w:pPr>
              <w:pStyle w:val="1definition"/>
              <w:spacing w:line="240" w:lineRule="auto"/>
              <w:jc w:val="center"/>
              <w:rPr>
                <w:b/>
                <w:sz w:val="22"/>
                <w:szCs w:val="22"/>
              </w:rPr>
            </w:pPr>
            <w:r>
              <w:rPr>
                <w:b/>
                <w:sz w:val="22"/>
                <w:szCs w:val="22"/>
              </w:rPr>
              <w:t>CSP Double-Recovery of Purchased</w:t>
            </w:r>
          </w:p>
          <w:p w:rsidR="00A14742" w:rsidRDefault="00AC7D53">
            <w:pPr>
              <w:pStyle w:val="1definition"/>
              <w:spacing w:line="240" w:lineRule="auto"/>
              <w:jc w:val="center"/>
              <w:rPr>
                <w:b/>
                <w:sz w:val="22"/>
                <w:szCs w:val="22"/>
              </w:rPr>
            </w:pPr>
            <w:r>
              <w:rPr>
                <w:b/>
                <w:sz w:val="22"/>
                <w:szCs w:val="22"/>
              </w:rPr>
              <w:t>Power Costs in FAC</w:t>
            </w:r>
          </w:p>
        </w:tc>
      </w:tr>
      <w:tr w:rsidR="00A14742">
        <w:tc>
          <w:tcPr>
            <w:tcW w:w="4410" w:type="dxa"/>
          </w:tcPr>
          <w:p w:rsidR="00A14742" w:rsidRDefault="00AC7D53">
            <w:pPr>
              <w:pStyle w:val="1definition"/>
              <w:spacing w:line="240" w:lineRule="auto"/>
              <w:jc w:val="left"/>
              <w:rPr>
                <w:sz w:val="22"/>
                <w:szCs w:val="22"/>
              </w:rPr>
            </w:pPr>
            <w:r>
              <w:rPr>
                <w:sz w:val="22"/>
                <w:szCs w:val="22"/>
              </w:rPr>
              <w:t>CSP’s Annual Fixed Production Costs for 2010 were $477,093,822.</w:t>
            </w:r>
            <w:r>
              <w:rPr>
                <w:rStyle w:val="FootnoteReference"/>
                <w:sz w:val="22"/>
                <w:szCs w:val="22"/>
              </w:rPr>
              <w:footnoteReference w:id="18"/>
            </w:r>
            <w:r>
              <w:rPr>
                <w:sz w:val="22"/>
                <w:szCs w:val="22"/>
              </w:rPr>
              <w:t xml:space="preserve">  </w:t>
            </w:r>
          </w:p>
        </w:tc>
        <w:tc>
          <w:tcPr>
            <w:tcW w:w="4230" w:type="dxa"/>
          </w:tcPr>
          <w:p w:rsidR="00A14742" w:rsidRDefault="00A14742">
            <w:pPr>
              <w:pStyle w:val="1definition"/>
              <w:spacing w:line="240" w:lineRule="auto"/>
              <w:rPr>
                <w:sz w:val="22"/>
                <w:szCs w:val="22"/>
              </w:rPr>
            </w:pPr>
          </w:p>
        </w:tc>
      </w:tr>
      <w:tr w:rsidR="00A14742">
        <w:tc>
          <w:tcPr>
            <w:tcW w:w="4410" w:type="dxa"/>
          </w:tcPr>
          <w:p w:rsidR="00A14742" w:rsidRDefault="00AC7D53">
            <w:pPr>
              <w:pStyle w:val="1definition"/>
              <w:spacing w:line="240" w:lineRule="auto"/>
              <w:jc w:val="left"/>
              <w:rPr>
                <w:sz w:val="22"/>
                <w:szCs w:val="22"/>
              </w:rPr>
            </w:pPr>
            <w:r>
              <w:rPr>
                <w:sz w:val="22"/>
                <w:szCs w:val="22"/>
              </w:rPr>
              <w:t>The Annual Fixed Production Costs consisted of $217,843,953 in O&amp;M</w:t>
            </w:r>
            <w:r>
              <w:rPr>
                <w:rStyle w:val="FootnoteReference"/>
                <w:sz w:val="22"/>
                <w:szCs w:val="22"/>
              </w:rPr>
              <w:footnoteReference w:id="19"/>
            </w:r>
            <w:r>
              <w:rPr>
                <w:sz w:val="22"/>
                <w:szCs w:val="22"/>
              </w:rPr>
              <w:t xml:space="preserve"> expense.</w:t>
            </w:r>
            <w:r>
              <w:rPr>
                <w:rStyle w:val="FootnoteReference"/>
                <w:sz w:val="22"/>
                <w:szCs w:val="22"/>
              </w:rPr>
              <w:footnoteReference w:id="20"/>
            </w:r>
            <w:r>
              <w:rPr>
                <w:sz w:val="22"/>
                <w:szCs w:val="22"/>
              </w:rPr>
              <w:t xml:space="preserve">  </w:t>
            </w:r>
          </w:p>
        </w:tc>
        <w:tc>
          <w:tcPr>
            <w:tcW w:w="4230" w:type="dxa"/>
          </w:tcPr>
          <w:p w:rsidR="00A14742" w:rsidRDefault="00A14742">
            <w:pPr>
              <w:pStyle w:val="1definition"/>
              <w:spacing w:line="240" w:lineRule="auto"/>
              <w:rPr>
                <w:sz w:val="22"/>
                <w:szCs w:val="22"/>
              </w:rPr>
            </w:pPr>
          </w:p>
        </w:tc>
      </w:tr>
      <w:tr w:rsidR="00A14742">
        <w:tc>
          <w:tcPr>
            <w:tcW w:w="4410" w:type="dxa"/>
          </w:tcPr>
          <w:p w:rsidR="00A14742" w:rsidRDefault="00AC7D53">
            <w:pPr>
              <w:pStyle w:val="1definition"/>
              <w:spacing w:line="240" w:lineRule="auto"/>
              <w:jc w:val="left"/>
              <w:rPr>
                <w:sz w:val="22"/>
                <w:szCs w:val="22"/>
              </w:rPr>
            </w:pPr>
            <w:r>
              <w:rPr>
                <w:sz w:val="22"/>
                <w:szCs w:val="22"/>
              </w:rPr>
              <w:t>$106,281,091 of the O&amp;M expense consisted of purchased power costs.</w:t>
            </w:r>
            <w:r>
              <w:rPr>
                <w:rStyle w:val="FootnoteReference"/>
                <w:sz w:val="22"/>
                <w:szCs w:val="22"/>
              </w:rPr>
              <w:footnoteReference w:id="21"/>
            </w:r>
            <w:r>
              <w:rPr>
                <w:sz w:val="22"/>
                <w:szCs w:val="22"/>
              </w:rPr>
              <w:t xml:space="preserve">  </w:t>
            </w:r>
          </w:p>
        </w:tc>
        <w:tc>
          <w:tcPr>
            <w:tcW w:w="4230" w:type="dxa"/>
          </w:tcPr>
          <w:p w:rsidR="00A14742" w:rsidRDefault="00A14742">
            <w:pPr>
              <w:pStyle w:val="1definition"/>
              <w:rPr>
                <w:sz w:val="22"/>
                <w:szCs w:val="22"/>
              </w:rPr>
            </w:pPr>
          </w:p>
        </w:tc>
      </w:tr>
      <w:tr w:rsidR="00A14742">
        <w:tc>
          <w:tcPr>
            <w:tcW w:w="4410" w:type="dxa"/>
            <w:tcBorders>
              <w:bottom w:val="single" w:sz="4" w:space="0" w:color="auto"/>
            </w:tcBorders>
          </w:tcPr>
          <w:p w:rsidR="00A14742" w:rsidRDefault="00AC7D53">
            <w:pPr>
              <w:pStyle w:val="1definition"/>
              <w:spacing w:line="240" w:lineRule="auto"/>
              <w:jc w:val="left"/>
              <w:rPr>
                <w:b/>
                <w:i/>
                <w:sz w:val="22"/>
                <w:szCs w:val="22"/>
              </w:rPr>
            </w:pPr>
            <w:r>
              <w:rPr>
                <w:b/>
                <w:i/>
                <w:sz w:val="22"/>
                <w:szCs w:val="22"/>
              </w:rPr>
              <w:t>Purchased power costs consisted of $60,734,136 for Lawrenceburg</w:t>
            </w:r>
            <w:r>
              <w:rPr>
                <w:rStyle w:val="FootnoteReference"/>
                <w:b/>
                <w:i/>
                <w:sz w:val="22"/>
                <w:szCs w:val="22"/>
              </w:rPr>
              <w:footnoteReference w:id="22"/>
            </w:r>
            <w:r>
              <w:rPr>
                <w:b/>
                <w:i/>
                <w:sz w:val="22"/>
                <w:szCs w:val="22"/>
              </w:rPr>
              <w:t xml:space="preserve"> and $13,228,114 for OVEC.</w:t>
            </w:r>
            <w:r>
              <w:rPr>
                <w:rStyle w:val="FootnoteReference"/>
                <w:sz w:val="22"/>
                <w:szCs w:val="22"/>
              </w:rPr>
              <w:footnoteReference w:id="23"/>
            </w:r>
          </w:p>
        </w:tc>
        <w:tc>
          <w:tcPr>
            <w:tcW w:w="4230" w:type="dxa"/>
            <w:tcBorders>
              <w:bottom w:val="single" w:sz="4" w:space="0" w:color="auto"/>
            </w:tcBorders>
          </w:tcPr>
          <w:p w:rsidR="00A14742" w:rsidRDefault="00AC7D53">
            <w:pPr>
              <w:pStyle w:val="1definition"/>
              <w:spacing w:line="240" w:lineRule="auto"/>
              <w:jc w:val="left"/>
              <w:rPr>
                <w:b/>
                <w:i/>
                <w:sz w:val="22"/>
                <w:szCs w:val="22"/>
              </w:rPr>
            </w:pPr>
            <w:r>
              <w:rPr>
                <w:b/>
                <w:i/>
                <w:sz w:val="22"/>
                <w:szCs w:val="22"/>
              </w:rPr>
              <w:t>FAC also recovers $61,136,019.53 related to Lawrenceburg</w:t>
            </w:r>
            <w:r>
              <w:rPr>
                <w:rStyle w:val="FootnoteReference"/>
                <w:b/>
                <w:i/>
                <w:sz w:val="22"/>
                <w:szCs w:val="22"/>
              </w:rPr>
              <w:footnoteReference w:id="24"/>
            </w:r>
            <w:r>
              <w:rPr>
                <w:b/>
                <w:i/>
                <w:sz w:val="22"/>
                <w:szCs w:val="22"/>
              </w:rPr>
              <w:t xml:space="preserve"> and $13,295,243 for OVEC</w:t>
            </w:r>
            <w:r>
              <w:rPr>
                <w:sz w:val="22"/>
                <w:szCs w:val="22"/>
              </w:rPr>
              <w:t>.</w:t>
            </w:r>
            <w:r>
              <w:rPr>
                <w:rStyle w:val="FootnoteReference"/>
                <w:sz w:val="22"/>
                <w:szCs w:val="22"/>
              </w:rPr>
              <w:footnoteReference w:id="25"/>
            </w:r>
          </w:p>
        </w:tc>
      </w:tr>
    </w:tbl>
    <w:p w:rsidR="00A14742" w:rsidRDefault="00A14742">
      <w:pPr>
        <w:spacing w:line="240" w:lineRule="auto"/>
        <w:rPr>
          <w:sz w:val="16"/>
          <w:szCs w:val="16"/>
        </w:rPr>
      </w:pPr>
    </w:p>
    <w:tbl>
      <w:tblPr>
        <w:tblStyle w:val="TableGrid"/>
        <w:tblW w:w="0" w:type="auto"/>
        <w:tblInd w:w="468" w:type="dxa"/>
        <w:tblLook w:val="04A0" w:firstRow="1" w:lastRow="0" w:firstColumn="1" w:lastColumn="0" w:noHBand="0" w:noVBand="1"/>
      </w:tblPr>
      <w:tblGrid>
        <w:gridCol w:w="4410"/>
        <w:gridCol w:w="4230"/>
      </w:tblGrid>
      <w:tr w:rsidR="00A14742">
        <w:tc>
          <w:tcPr>
            <w:tcW w:w="4410" w:type="dxa"/>
          </w:tcPr>
          <w:p w:rsidR="00A14742" w:rsidRDefault="00AC7D53">
            <w:pPr>
              <w:pStyle w:val="1definition"/>
              <w:spacing w:line="240" w:lineRule="auto"/>
              <w:jc w:val="center"/>
              <w:rPr>
                <w:sz w:val="22"/>
                <w:szCs w:val="22"/>
              </w:rPr>
            </w:pPr>
            <w:r>
              <w:rPr>
                <w:b/>
                <w:sz w:val="22"/>
                <w:szCs w:val="22"/>
              </w:rPr>
              <w:br/>
              <w:t>OPCo Capacity Formula Components</w:t>
            </w:r>
          </w:p>
        </w:tc>
        <w:tc>
          <w:tcPr>
            <w:tcW w:w="4230" w:type="dxa"/>
          </w:tcPr>
          <w:p w:rsidR="00A14742" w:rsidRDefault="00AC7D53">
            <w:pPr>
              <w:pStyle w:val="1definition"/>
              <w:spacing w:line="240" w:lineRule="auto"/>
              <w:jc w:val="center"/>
              <w:rPr>
                <w:b/>
                <w:sz w:val="22"/>
                <w:szCs w:val="22"/>
              </w:rPr>
            </w:pPr>
            <w:r>
              <w:rPr>
                <w:b/>
                <w:sz w:val="22"/>
                <w:szCs w:val="22"/>
              </w:rPr>
              <w:t>OPCo Double-Recovery of Purchased</w:t>
            </w:r>
          </w:p>
          <w:p w:rsidR="00A14742" w:rsidRDefault="00AC7D53">
            <w:pPr>
              <w:pStyle w:val="1definition"/>
              <w:spacing w:line="240" w:lineRule="auto"/>
              <w:jc w:val="center"/>
              <w:rPr>
                <w:b/>
                <w:sz w:val="22"/>
                <w:szCs w:val="22"/>
              </w:rPr>
            </w:pPr>
            <w:r>
              <w:rPr>
                <w:b/>
                <w:sz w:val="22"/>
                <w:szCs w:val="22"/>
              </w:rPr>
              <w:t>Power Costs in FAC</w:t>
            </w:r>
          </w:p>
        </w:tc>
      </w:tr>
      <w:tr w:rsidR="00A14742">
        <w:tc>
          <w:tcPr>
            <w:tcW w:w="4410" w:type="dxa"/>
          </w:tcPr>
          <w:p w:rsidR="00A14742" w:rsidRDefault="00AC7D53">
            <w:pPr>
              <w:pStyle w:val="1definition"/>
              <w:spacing w:line="240" w:lineRule="auto"/>
              <w:jc w:val="left"/>
              <w:rPr>
                <w:sz w:val="22"/>
                <w:szCs w:val="22"/>
              </w:rPr>
            </w:pPr>
            <w:r>
              <w:rPr>
                <w:sz w:val="22"/>
                <w:szCs w:val="22"/>
              </w:rPr>
              <w:t>OPCo’s Annual Fixed Production Costs for 2010 were $660,504,310.</w:t>
            </w:r>
            <w:r>
              <w:rPr>
                <w:rStyle w:val="FootnoteReference"/>
                <w:sz w:val="22"/>
                <w:szCs w:val="22"/>
              </w:rPr>
              <w:footnoteReference w:id="26"/>
            </w:r>
          </w:p>
        </w:tc>
        <w:tc>
          <w:tcPr>
            <w:tcW w:w="4230" w:type="dxa"/>
          </w:tcPr>
          <w:p w:rsidR="00A14742" w:rsidRDefault="00A14742">
            <w:pPr>
              <w:pStyle w:val="1definition"/>
              <w:rPr>
                <w:sz w:val="22"/>
                <w:szCs w:val="22"/>
              </w:rPr>
            </w:pPr>
          </w:p>
        </w:tc>
      </w:tr>
      <w:tr w:rsidR="00A14742">
        <w:tc>
          <w:tcPr>
            <w:tcW w:w="4410" w:type="dxa"/>
          </w:tcPr>
          <w:p w:rsidR="00A14742" w:rsidRDefault="00AC7D53">
            <w:pPr>
              <w:pStyle w:val="1definition"/>
              <w:spacing w:line="240" w:lineRule="auto"/>
              <w:jc w:val="left"/>
              <w:rPr>
                <w:sz w:val="22"/>
                <w:szCs w:val="22"/>
              </w:rPr>
            </w:pPr>
            <w:r>
              <w:rPr>
                <w:sz w:val="22"/>
                <w:szCs w:val="22"/>
              </w:rPr>
              <w:t>The Annual Fixed Production Costs consisted of $338,656,260 in O&amp;M expense.</w:t>
            </w:r>
            <w:r>
              <w:rPr>
                <w:rStyle w:val="FootnoteReference"/>
                <w:sz w:val="22"/>
                <w:szCs w:val="22"/>
              </w:rPr>
              <w:footnoteReference w:id="27"/>
            </w:r>
          </w:p>
        </w:tc>
        <w:tc>
          <w:tcPr>
            <w:tcW w:w="4230" w:type="dxa"/>
          </w:tcPr>
          <w:p w:rsidR="00A14742" w:rsidRDefault="00A14742">
            <w:pPr>
              <w:pStyle w:val="1definition"/>
              <w:rPr>
                <w:sz w:val="22"/>
                <w:szCs w:val="22"/>
              </w:rPr>
            </w:pPr>
          </w:p>
        </w:tc>
      </w:tr>
      <w:tr w:rsidR="00A14742">
        <w:tc>
          <w:tcPr>
            <w:tcW w:w="4410" w:type="dxa"/>
          </w:tcPr>
          <w:p w:rsidR="00A14742" w:rsidRDefault="00AC7D53">
            <w:pPr>
              <w:pStyle w:val="1definition"/>
              <w:spacing w:line="240" w:lineRule="auto"/>
              <w:jc w:val="left"/>
              <w:rPr>
                <w:color w:val="202020"/>
                <w:sz w:val="22"/>
                <w:szCs w:val="22"/>
              </w:rPr>
            </w:pPr>
            <w:r>
              <w:rPr>
                <w:sz w:val="22"/>
                <w:szCs w:val="22"/>
              </w:rPr>
              <w:t>$59,290,595 of the O&amp;M expense consisted of fixed (demand) purchased power costs.</w:t>
            </w:r>
            <w:r>
              <w:rPr>
                <w:rStyle w:val="FootnoteReference"/>
                <w:sz w:val="22"/>
                <w:szCs w:val="22"/>
              </w:rPr>
              <w:footnoteReference w:id="28"/>
            </w:r>
          </w:p>
        </w:tc>
        <w:tc>
          <w:tcPr>
            <w:tcW w:w="4230" w:type="dxa"/>
          </w:tcPr>
          <w:p w:rsidR="00A14742" w:rsidRDefault="00A14742">
            <w:pPr>
              <w:rPr>
                <w:color w:val="202020"/>
                <w:sz w:val="22"/>
                <w:szCs w:val="22"/>
              </w:rPr>
            </w:pPr>
          </w:p>
        </w:tc>
      </w:tr>
      <w:tr w:rsidR="00A14742">
        <w:tc>
          <w:tcPr>
            <w:tcW w:w="4410" w:type="dxa"/>
          </w:tcPr>
          <w:p w:rsidR="00A14742" w:rsidRDefault="00AC7D53">
            <w:pPr>
              <w:pStyle w:val="1definition"/>
              <w:spacing w:line="240" w:lineRule="auto"/>
              <w:jc w:val="left"/>
              <w:rPr>
                <w:b/>
                <w:i/>
                <w:sz w:val="22"/>
                <w:szCs w:val="22"/>
              </w:rPr>
            </w:pPr>
            <w:r>
              <w:rPr>
                <w:b/>
                <w:i/>
                <w:sz w:val="22"/>
                <w:szCs w:val="22"/>
              </w:rPr>
              <w:t>Purchased power costs consisted of $46,149,435 for OVEC</w:t>
            </w:r>
            <w:r>
              <w:rPr>
                <w:sz w:val="22"/>
                <w:szCs w:val="22"/>
              </w:rPr>
              <w:t>.</w:t>
            </w:r>
            <w:r>
              <w:rPr>
                <w:rStyle w:val="FootnoteReference"/>
                <w:sz w:val="22"/>
                <w:szCs w:val="22"/>
              </w:rPr>
              <w:footnoteReference w:id="29"/>
            </w:r>
          </w:p>
        </w:tc>
        <w:tc>
          <w:tcPr>
            <w:tcW w:w="4230" w:type="dxa"/>
          </w:tcPr>
          <w:p w:rsidR="00A14742" w:rsidRDefault="00AC7D53">
            <w:pPr>
              <w:spacing w:line="240" w:lineRule="auto"/>
              <w:rPr>
                <w:color w:val="202020"/>
                <w:sz w:val="22"/>
                <w:szCs w:val="22"/>
              </w:rPr>
            </w:pPr>
            <w:r>
              <w:rPr>
                <w:rFonts w:cs="Arial"/>
                <w:b/>
                <w:i/>
                <w:color w:val="000000"/>
                <w:sz w:val="22"/>
                <w:szCs w:val="22"/>
              </w:rPr>
              <w:t>FAC recovered $42,631,815 for OVEC</w:t>
            </w:r>
            <w:r>
              <w:rPr>
                <w:rFonts w:cs="Arial"/>
                <w:color w:val="000000"/>
                <w:sz w:val="22"/>
                <w:szCs w:val="22"/>
              </w:rPr>
              <w:t>.</w:t>
            </w:r>
            <w:r>
              <w:rPr>
                <w:rStyle w:val="FootnoteReference"/>
                <w:rFonts w:cs="Arial"/>
                <w:color w:val="000000"/>
                <w:sz w:val="22"/>
                <w:szCs w:val="22"/>
              </w:rPr>
              <w:footnoteReference w:id="30"/>
            </w:r>
            <w:r>
              <w:rPr>
                <w:rFonts w:cs="Arial"/>
                <w:color w:val="000000"/>
                <w:sz w:val="22"/>
                <w:szCs w:val="22"/>
              </w:rPr>
              <w:t xml:space="preserve"> </w:t>
            </w:r>
            <w:r>
              <w:rPr>
                <w:rFonts w:cs="Arial"/>
                <w:b/>
                <w:i/>
                <w:color w:val="000000"/>
                <w:sz w:val="22"/>
                <w:szCs w:val="22"/>
              </w:rPr>
              <w:t xml:space="preserve"> </w:t>
            </w:r>
          </w:p>
        </w:tc>
      </w:tr>
    </w:tbl>
    <w:p w:rsidR="00A14742" w:rsidRDefault="00AC7D53">
      <w:r>
        <w:lastRenderedPageBreak/>
        <w:tab/>
        <w:t>Pursuant to Rule 4901-1-15(F), O.A.C., IEU-Ohio “rais[ed] the propriety of [the Attorney Examiner’s ruling] as an issue for the commission's consideration by discussing the matter as a distinct issue in its initial brief.”</w:t>
      </w:r>
      <w:r>
        <w:rPr>
          <w:rStyle w:val="FootnoteReference"/>
        </w:rPr>
        <w:footnoteReference w:id="31"/>
      </w:r>
      <w:r>
        <w:t xml:space="preserve">  Specifically, IEU-Ohio’s Initial Brief indicated that the evidence IEU-Ohio was prevented from introducing evidence (which IEU-Ohio proffered) that  was relevant to the proceeding and demonstrated AEP-Ohio had double-recovered approximately $200 million in OVEC and Lawrenceburg capacity costs in 2010 and 2011.  </w:t>
      </w:r>
    </w:p>
    <w:p w:rsidR="00A14742" w:rsidRDefault="00AC7D53">
      <w:r>
        <w:tab/>
        <w:t xml:space="preserve">In the FAC Order, the Commission upheld the Attorney Examiner’s incorrect evidentiary ruling:  </w:t>
      </w:r>
    </w:p>
    <w:p w:rsidR="00A14742" w:rsidRDefault="00AC7D53">
      <w:pPr>
        <w:spacing w:line="240" w:lineRule="auto"/>
        <w:ind w:left="720" w:right="720" w:firstLine="720"/>
      </w:pPr>
      <w:r>
        <w:t xml:space="preserve">Upon consideration of the parties' arguments, the Commission affirms the rulings of the attorney examiner sustaining AEP Ohio's objections and denying the admission of IEU-Ohio Exhibits 7 through 12. Staff witness Ralph Smith, who performed Larkin's financial audits of AEP Ohio, testified that the 2010 and 2011 audit reports do not contain any findings or recommendations with respect to an over recovery of the Lawrenceburg or OVEC demand charges (Tr. </w:t>
      </w:r>
      <w:proofErr w:type="gramStart"/>
      <w:r>
        <w:t>I at 48-49, 64).</w:t>
      </w:r>
      <w:proofErr w:type="gramEnd"/>
      <w:r>
        <w:t xml:space="preserve"> There is nothing in the audit reports to support IEU-Ohio's contention that AEP Ohio has recovered its purchased power costs through the FAC as well as through the Company's base generation rates. As IEU-Ohio acknowledges, Mr. Smith testified that an appropriate way of addressing the double-recovery allegations is for the Commission to direct that the allegations be reviewed in a subsequent FAC audit (Tr. I at 68-69). </w:t>
      </w:r>
      <w:r>
        <w:rPr>
          <w:i/>
          <w:u w:val="single"/>
        </w:rPr>
        <w:t>Given that the alleged over recovery of the Lawrenceburg and OVEC demand charges exceeds the scope of the 2010 and 2011 audits, we find that the exhibits proffered by IEU-Ohio are not relevant to our resolution of these proceedings and that IEU-Ohio's attempts to supplant the auditor should be rejected</w:t>
      </w:r>
      <w:r>
        <w:t>.</w:t>
      </w:r>
      <w:r>
        <w:rPr>
          <w:vertAlign w:val="superscript"/>
        </w:rPr>
        <w:footnoteReference w:id="32"/>
      </w:r>
    </w:p>
    <w:p w:rsidR="00A14742" w:rsidRDefault="00A14742">
      <w:pPr>
        <w:spacing w:line="240" w:lineRule="auto"/>
      </w:pPr>
    </w:p>
    <w:p w:rsidR="00A14742" w:rsidRDefault="00AC7D53">
      <w:r>
        <w:t xml:space="preserve">Through the FAC Order, the Commission thus announced an admissibility standard that limits the scope of admissible evidence in a FAC audit proceeding to only matters raised </w:t>
      </w:r>
      <w:r>
        <w:lastRenderedPageBreak/>
        <w:t>by the Auditor in its Audit Report.  The Commission’s admissibility standard for FAC audit cases is unlawful and unreasonable as discussed in additional detail below.</w:t>
      </w:r>
    </w:p>
    <w:p w:rsidR="00A14742" w:rsidRDefault="00AC7D53">
      <w:r>
        <w:tab/>
        <w:t>Section 4903.22, Revised Code, provides that the Commission should generally follow the Ohio Rules of Evidence.</w:t>
      </w:r>
      <w:r>
        <w:rPr>
          <w:vertAlign w:val="superscript"/>
        </w:rPr>
        <w:footnoteReference w:id="33"/>
      </w:r>
      <w:r>
        <w:t xml:space="preserve">  The Ohio Rules of Evidence provide that all relevant evidence</w:t>
      </w:r>
      <w:r>
        <w:rPr>
          <w:vertAlign w:val="superscript"/>
        </w:rPr>
        <w:footnoteReference w:id="34"/>
      </w:r>
      <w:r>
        <w:t xml:space="preserve"> is admissible unless otherwise prohibited.</w:t>
      </w:r>
      <w:r>
        <w:rPr>
          <w:vertAlign w:val="superscript"/>
        </w:rPr>
        <w:footnoteReference w:id="35"/>
      </w:r>
      <w:r>
        <w:t xml:space="preserve">  Relevant evidence is “evidence having any tendency to make the existence of any fact that is of consequence to the determination of the action more probable or less probable than it would be without the evidence.”</w:t>
      </w:r>
      <w:r>
        <w:rPr>
          <w:vertAlign w:val="superscript"/>
        </w:rPr>
        <w:footnoteReference w:id="36"/>
      </w:r>
      <w:r>
        <w:t xml:space="preserve">  </w:t>
      </w:r>
      <w:r>
        <w:rPr>
          <w:bCs/>
        </w:rPr>
        <w:t>The rules of evidence further provide that provide that “[c]ross-examination</w:t>
      </w:r>
      <w:r>
        <w:t xml:space="preserve"> shall be permitted on all relevant matters ….”</w:t>
      </w:r>
      <w:r>
        <w:rPr>
          <w:vertAlign w:val="superscript"/>
        </w:rPr>
        <w:footnoteReference w:id="37"/>
      </w:r>
      <w:r>
        <w:t xml:space="preserve">    </w:t>
      </w:r>
    </w:p>
    <w:p w:rsidR="00A14742" w:rsidRDefault="00AC7D53">
      <w:pPr>
        <w:ind w:firstLine="720"/>
      </w:pPr>
      <w:r>
        <w:t>The “fact” of consequence in this proceeding was whether AEP-Ohio double-recovered its non-fuel purchased power costs in 2010 and 2011 through the FAC.  Because the exhibits and cross-examination would have demonstrated that AEP</w:t>
      </w:r>
      <w:r>
        <w:noBreakHyphen/>
        <w:t>Ohio double-recovered OVEC and Lawrenceburg capacity costs during the audit periods, the proffered exhibits would have shown that a fact of consequence—a double-recovery—is more probable of occurrence.  Thus, the proffered exhibits are relevant under the Ohio Rules of Evidence.</w:t>
      </w:r>
    </w:p>
    <w:p w:rsidR="00A14742" w:rsidRDefault="00AC7D53">
      <w:pPr>
        <w:ind w:firstLine="720"/>
      </w:pPr>
      <w:r>
        <w:t xml:space="preserve">The double-recovery is not a new issue, and is relevant to a financial audit of AEP-Ohio’s FAC.  In fact, the Commission has held that an audit of whether AEP-Ohio </w:t>
      </w:r>
      <w:r>
        <w:lastRenderedPageBreak/>
        <w:t>double-recovered the OVEC and Lawrenceburg capacity costs through the FAC is relevant and within the scope of AEP-Ohio’s FAC Audits for the years 2012 through 2014; directed that an audit of the double-recovery in these years be conducted by an independent auditor; and directed the independent auditor to make appropriate recommendations to the Commission based on the auditor’s findings regarding the OVEC and Lawrenceburg capacity cost double-recovery.</w:t>
      </w:r>
      <w:r>
        <w:rPr>
          <w:vertAlign w:val="superscript"/>
        </w:rPr>
        <w:footnoteReference w:id="38"/>
      </w:r>
      <w:r>
        <w:t xml:space="preserve">  The sole fact that the 2010 and 2011 Audit Reports failed to include a discussion and recommendations regarding the OVEC and Lawrenceburg double-recovery does not make the issue any less relevant in 2010 and 2011 than in 2012 through 2014.</w:t>
      </w:r>
    </w:p>
    <w:p w:rsidR="00A14742" w:rsidRDefault="00AC7D53">
      <w:pPr>
        <w:ind w:firstLine="720"/>
      </w:pPr>
      <w:r>
        <w:t>In other non-FAC audits, the Commission also looked to whether utilities were double-recovering costs as part of its annual accounting audits.  For example, in the ESP I Order that authorized the FAC rates at issue in these proceedings, the Commission authorized AEP-Ohio to implement a gridSMART program to recover its costs under the program, which were reviewed subject to annual audits.</w:t>
      </w:r>
      <w:r>
        <w:rPr>
          <w:vertAlign w:val="superscript"/>
        </w:rPr>
        <w:footnoteReference w:id="39"/>
      </w:r>
      <w:r>
        <w:t xml:space="preserve">  During its audit of the girdSMART Rider, the Commission directed AEP-Ohio to remove $2.22 million of costs from the gridSMART Rider on grounds that AEP-Ohio was compensated for these costs elsewhere.</w:t>
      </w:r>
      <w:r>
        <w:rPr>
          <w:vertAlign w:val="superscript"/>
        </w:rPr>
        <w:footnoteReference w:id="40"/>
      </w:r>
      <w:r>
        <w:t xml:space="preserve">  Incidentally, in this same order on the gridSMART audit, AEP-Ohio conceded that it was inappropriate to double-recover costs through both the gridSMART Rider and its base distribution rates:</w:t>
      </w:r>
    </w:p>
    <w:p w:rsidR="00A14742" w:rsidRDefault="00AC7D53">
      <w:pPr>
        <w:spacing w:line="240" w:lineRule="auto"/>
        <w:ind w:left="720" w:right="720"/>
      </w:pPr>
      <w:r>
        <w:rPr>
          <w:i/>
        </w:rPr>
        <w:lastRenderedPageBreak/>
        <w:t>In re AEP-Ohio rate distribution case</w:t>
      </w:r>
      <w:r>
        <w:t>, Case No. 11-351-EL-AIR et al.  The Company admits that an error in the calculation of the amount of incremental gridSMART employee payroll was discovered by the Company and brought to the Staff’s attention. AEP-Ohio commits to correcting the amount of labor expense reflected in the distribution rate case to assure no double recovery of such costs.</w:t>
      </w:r>
      <w:r>
        <w:rPr>
          <w:vertAlign w:val="superscript"/>
        </w:rPr>
        <w:footnoteReference w:id="41"/>
      </w:r>
      <w:r>
        <w:t xml:space="preserve"> </w:t>
      </w:r>
    </w:p>
    <w:p w:rsidR="00A14742" w:rsidRDefault="00A14742">
      <w:pPr>
        <w:spacing w:line="240" w:lineRule="auto"/>
        <w:ind w:firstLine="720"/>
      </w:pPr>
    </w:p>
    <w:p w:rsidR="00A14742" w:rsidRDefault="00AC7D53">
      <w:pPr>
        <w:ind w:firstLine="720"/>
      </w:pPr>
      <w:r>
        <w:t>Further, in the first audit of AEP-Ohio’s FAC, the Commission held that the scope of AEP-Ohio’s annual FAC audits included a review of the true economic cost to AEP</w:t>
      </w:r>
      <w:r>
        <w:noBreakHyphen/>
        <w:t xml:space="preserve">Ohio.  The Commission held that the annual audit specified in the ESP I Order required the Commission to look to “the real economic cost” of the costs flowed through the FAC during the audit period:  </w:t>
      </w:r>
    </w:p>
    <w:p w:rsidR="00A14742" w:rsidRDefault="00AC7D53">
      <w:pPr>
        <w:spacing w:line="240" w:lineRule="auto"/>
        <w:ind w:left="720" w:right="720"/>
      </w:pPr>
      <w:proofErr w:type="gramStart"/>
      <w:r>
        <w:t>to</w:t>
      </w:r>
      <w:proofErr w:type="gramEnd"/>
      <w:r>
        <w:t xml:space="preserve"> determine the real economic cost of coal during the audit period, the Commission must consider both the revenues and the benefits received by the Companies pursuant to the Settlement Agreement and not rely solely on the price paid for coal during 2009.</w:t>
      </w:r>
      <w:r>
        <w:rPr>
          <w:rStyle w:val="FootnoteReference"/>
        </w:rPr>
        <w:footnoteReference w:id="42"/>
      </w:r>
    </w:p>
    <w:p w:rsidR="00A14742" w:rsidRDefault="00AC7D53">
      <w:pPr>
        <w:spacing w:line="240" w:lineRule="auto"/>
      </w:pPr>
      <w:r>
        <w:tab/>
      </w:r>
    </w:p>
    <w:p w:rsidR="00A14742" w:rsidRDefault="00AC7D53">
      <w:r>
        <w:t xml:space="preserve">In these proceedings, the determination of AEP-Ohio’s real economic cost of OVEC and Lawrenceburg capacity costs must take into account the capacity costs AEP-Ohio incurs through its purchased power agreements and AEP-Ohio’s compensation it is provided for these costs from whatever source, </w:t>
      </w:r>
      <w:r>
        <w:rPr>
          <w:i/>
        </w:rPr>
        <w:t xml:space="preserve">i.e. </w:t>
      </w:r>
      <w:r>
        <w:t>base generation rates and the FAC.</w:t>
      </w:r>
      <w:r>
        <w:rPr>
          <w:rStyle w:val="FootnoteReference"/>
        </w:rPr>
        <w:footnoteReference w:id="43"/>
      </w:r>
    </w:p>
    <w:p w:rsidR="00A14742" w:rsidRDefault="00AC7D53">
      <w:pPr>
        <w:ind w:firstLine="720"/>
      </w:pPr>
      <w:r>
        <w:t>The Commission also rejected the narrower audit scope recommended by AEP</w:t>
      </w:r>
      <w:r>
        <w:noBreakHyphen/>
        <w:t xml:space="preserve">Ohio that would have limited the audit to only a mathematical audit of the “price” </w:t>
      </w:r>
      <w:r>
        <w:lastRenderedPageBreak/>
        <w:t>AEP-Ohio paid for fuel and purchased power.</w:t>
      </w:r>
      <w:r>
        <w:rPr>
          <w:vertAlign w:val="superscript"/>
        </w:rPr>
        <w:footnoteReference w:id="44"/>
      </w:r>
      <w:r>
        <w:t xml:space="preserve">  The Commission held that AEP-Ohio’s proposed narrow audit scope would eliminate the need for “undertaking an annual audit.”</w:t>
      </w:r>
      <w:r>
        <w:rPr>
          <w:rStyle w:val="FootnoteReference"/>
        </w:rPr>
        <w:footnoteReference w:id="45"/>
      </w:r>
    </w:p>
    <w:p w:rsidR="00A14742" w:rsidRDefault="00AC7D53">
      <w:r>
        <w:tab/>
        <w:t>Based on the foregoing, it is clear that the Auditor missed an issue and the effect of the error permits AEP-Ohio to double-recover approximately $200 million of OVEC and Lawrenceburg capacity costs.  The Commission may not exclude evidence relevant to AEP-Ohio’s real economic costs.  Further, the Commission has already determined that issues that were not raised by the Auditor (</w:t>
      </w:r>
      <w:r>
        <w:rPr>
          <w:i/>
        </w:rPr>
        <w:t>i.e.</w:t>
      </w:r>
      <w:r>
        <w:t xml:space="preserve"> the OVEC and Lawrenceburg capacity cost double-recovery issue raised by parties including IEU-Ohio in the </w:t>
      </w:r>
      <w:r>
        <w:rPr>
          <w:i/>
        </w:rPr>
        <w:t>CBP Case</w:t>
      </w:r>
      <w:r>
        <w:t>) can frame the scope of relevant evidence in a FAC audit (</w:t>
      </w:r>
      <w:r>
        <w:rPr>
          <w:i/>
        </w:rPr>
        <w:t>i.e.</w:t>
      </w:r>
      <w:r>
        <w:t xml:space="preserve"> the 2012 through 2014 FAC audits).</w:t>
      </w:r>
      <w:r>
        <w:rPr>
          <w:rStyle w:val="FootnoteReference"/>
        </w:rPr>
        <w:footnoteReference w:id="46"/>
      </w:r>
      <w:r>
        <w:t xml:space="preserve">  These same issues arise in the 2010 and 2011 FAC recoveries of AEP-Ohio.  Accordingly, IEU-Ohio must be permitted to present relevant evidence on AEP-Ohio’s real economic cost and double-recovery of OVEC and Lawrenceburg capacity costs.</w:t>
      </w:r>
    </w:p>
    <w:p w:rsidR="00A14742" w:rsidRDefault="00AC7D53">
      <w:r>
        <w:tab/>
        <w:t xml:space="preserve">In sum, IEU-Ohio’s proffered exhibits and cross-examination are relevant and admissible under the Ohio Rules of Evidence and Commission precedent.  Therefore, the Commission unlawfully and unreasonably affirmed the Attorney Examiner’s evidentiary ruling which prevented IEU-Ohio from introducing IEU-Ohio Exhibits 7 </w:t>
      </w:r>
      <w:r>
        <w:lastRenderedPageBreak/>
        <w:t>through 12 and which prevented IEU-Ohio from cross-examining witnesses on the relevant evidence contained in these exhibits.</w:t>
      </w:r>
    </w:p>
    <w:p w:rsidR="00A14742" w:rsidRDefault="00AC7D53">
      <w:pPr>
        <w:pStyle w:val="Heading2"/>
      </w:pPr>
      <w:bookmarkStart w:id="5" w:name="_Toc390418261"/>
      <w:r>
        <w:t>The FAC Order is unlawful and unreasonable and violates IEU-Ohio’s due process rights because the Commission arbitrarily and capriciously refused to admit and consider relevant evidence for the 2010 and 2011 FAC audits which demonstrates AEP-Ohio double-recovered approximately $200 million in capacity costs while holding that the same issue is relevant to the 2012 through 2014 FAC audits.</w:t>
      </w:r>
      <w:bookmarkEnd w:id="5"/>
    </w:p>
    <w:p w:rsidR="00A14742" w:rsidRDefault="00AC7D53">
      <w:pPr>
        <w:pStyle w:val="Heading2"/>
      </w:pPr>
      <w:bookmarkStart w:id="6" w:name="_Toc390418262"/>
      <w:r>
        <w:t>The FAC Order is unlawful and unreasonable and violates Section 4903.09, Revised Code, because the Commission failed to provide a substantively reasonable explanation for its inconsistent findings that the OVEC and Lawrenceburg double-recovery is not relevant to the 2010 and 2011 FAC audits but is relevant to the 2012 through 2014 FAC audits.</w:t>
      </w:r>
      <w:bookmarkEnd w:id="6"/>
    </w:p>
    <w:p w:rsidR="00A14742" w:rsidRDefault="00AC7D53">
      <w:pPr>
        <w:ind w:firstLine="720"/>
      </w:pPr>
      <w:r>
        <w:t>As discussed above, the Commission unlawfully and unreasonably prevented IEU-Ohio from introducing relevant evidence that demonstrated that AEP-Ohio had double-recovered approximately $200 million through its FAC in 2010 and 2011 related to OVEC and Lawrenceburg capacity costs.  The Commission further acted unlawfully and unreasonably by finding that the OVEC and Lawrenceburg capacity cost double-recovery was not relevant to the 2010 and 2011 FAC audit, but was relevant to the 2012 through 2014 FAC audit periods.  The Commission failed to provide a substantively reasonable explanation for these inconsistent findings.  As a result, the Commission’s actions were unreasonable, arbitrary, and capricious such that they violate the requirements of due process and Section 4903.09, Revised Code.</w:t>
      </w:r>
    </w:p>
    <w:p w:rsidR="00A14742" w:rsidRDefault="00AC7D53">
      <w:pPr>
        <w:ind w:firstLine="720"/>
      </w:pPr>
      <w:r>
        <w:t xml:space="preserve">On December 3, 2013, the Commission found that an audit of AEP-Ohio’s OVEC and Lawrenceburg capacity cost double-recovery is relevant to and within the scope of the FAC audits for 2012 through 2014. But, on May 14, 2014, the Commission issued the FAC Order and upheld that Attorney Examiner’s ruling which prevented IEU-Ohio from addressing the same issue in the 2010 and 2011 audits.    </w:t>
      </w:r>
    </w:p>
    <w:p w:rsidR="00A14742" w:rsidRDefault="00AC7D53">
      <w:pPr>
        <w:ind w:firstLine="720"/>
      </w:pPr>
      <w:r>
        <w:lastRenderedPageBreak/>
        <w:t>The Commission failed to provide any justification for its inconsistent, arbitrary, and capricious findings.  Under the Commission’s prior orders, the FAC is subject to an annual financial audit that looks to AEP-Ohio’s “real economic costs” and the Commission found that the 2012 through 2014 financial audits of the FAC should examine whether AEP-Ohio is double-recovering the OVEC and Lawrenceburg capacity costs.  Further, the Commission directed the auditor to make appropriate recommendations regarding the double-recovery to the Commission based upon the auditor’s findings.  Despite its prior determination, the Commission affirmed the Attorney Examiner’s decision that the same issue could not be pursued during the hearing on the 2010 and 2011 FAC audits.  The only rationale provided by the Commission to explain such an inconsistency is that the Auditor did not address the issue in the 2010 and 2011 Audit Reports.  As discussed above, the matters addressed or omitted by the Auditor in the Audit Reports do not impact whether or not an issue is relevant and admissible in a FAC audit proceeding.  Accordingly, the Commission’s basis for excluding evidence of AEP-Ohio’s double-recovery of OVEC and Lawrenceburg capacity costs in 2010 and 2011 is arbitrary, and capricious.</w:t>
      </w:r>
    </w:p>
    <w:p w:rsidR="00A14742" w:rsidRDefault="00AC7D53">
      <w:pPr>
        <w:ind w:firstLine="720"/>
      </w:pPr>
      <w:r>
        <w:t xml:space="preserve">Due process in a Commission proceeding occurs </w:t>
      </w:r>
      <w:r>
        <w:rPr>
          <w:b/>
          <w:i/>
        </w:rPr>
        <w:t>when</w:t>
      </w:r>
      <w:r>
        <w:t xml:space="preserve"> parties are given: (1) “ample notice;” (2) “permitted to present evidence through the calling of its own witnesses;” (3) permitted to “cross-examin[e] the other parties’ witnesses;” (4) introduce exhibits; (5) “argue its position through the filing of posthearing briefs;” and (6) “challenge the PUCO’s findings through an application for rehearing.”</w:t>
      </w:r>
      <w:r>
        <w:rPr>
          <w:vertAlign w:val="superscript"/>
        </w:rPr>
        <w:footnoteReference w:id="47"/>
      </w:r>
      <w:r>
        <w:t xml:space="preserve">  The United </w:t>
      </w:r>
      <w:r>
        <w:lastRenderedPageBreak/>
        <w:t>States Supreme Court has held that this Commission must adhere to the requirements of due process when it conducts hearings.</w:t>
      </w:r>
      <w:r>
        <w:rPr>
          <w:vertAlign w:val="superscript"/>
        </w:rPr>
        <w:footnoteReference w:id="48"/>
      </w:r>
      <w:r>
        <w:t xml:space="preserve">  The Commission must also:</w:t>
      </w:r>
    </w:p>
    <w:p w:rsidR="00A14742" w:rsidRDefault="00AC7D53">
      <w:pPr>
        <w:spacing w:line="240" w:lineRule="auto"/>
        <w:ind w:left="720" w:right="720"/>
      </w:pPr>
      <w:r>
        <w:t>“</w:t>
      </w:r>
      <w:proofErr w:type="gramStart"/>
      <w:r>
        <w:t>respect</w:t>
      </w:r>
      <w:proofErr w:type="gramEnd"/>
      <w:r>
        <w:t xml:space="preserve"> its own precedents in its decisions to assure the predictability which is essential in all areas of the law, including administrative law.”  This does not mean that the commission may never revisit a particular decision, only that if it does change course, it must explain why. The new course also must be substantively reasonable and lawful.</w:t>
      </w:r>
      <w:r>
        <w:rPr>
          <w:vertAlign w:val="superscript"/>
        </w:rPr>
        <w:footnoteReference w:id="49"/>
      </w:r>
    </w:p>
    <w:p w:rsidR="00A14742" w:rsidRDefault="00A14742">
      <w:pPr>
        <w:spacing w:line="240" w:lineRule="auto"/>
        <w:ind w:firstLine="720"/>
      </w:pPr>
    </w:p>
    <w:p w:rsidR="00A14742" w:rsidRDefault="00AC7D53">
      <w:r>
        <w:t>The Commission’s deviation may not be arbitrary and capricious.</w:t>
      </w:r>
      <w:r>
        <w:rPr>
          <w:vertAlign w:val="superscript"/>
        </w:rPr>
        <w:footnoteReference w:id="50"/>
      </w:r>
      <w:r>
        <w:t xml:space="preserve">  Arbitrary and capricious actions by the Commission violate parties’ due process rights.</w:t>
      </w:r>
      <w:r>
        <w:rPr>
          <w:vertAlign w:val="superscript"/>
        </w:rPr>
        <w:footnoteReference w:id="51"/>
      </w:r>
      <w:r>
        <w:t xml:space="preserve">  Because IEU-Ohio’s proffered evidence was relevant, and because the Commission’s decision to exclude the relevant evidence was arbitrary and capricious, the Commission violated IEU-Ohio’s due process rights.</w:t>
      </w:r>
    </w:p>
    <w:p w:rsidR="00A14742" w:rsidRDefault="00AC7D53">
      <w:pPr>
        <w:ind w:firstLine="720"/>
      </w:pPr>
      <w:r>
        <w:t>Section 4903.09, Revised Code, further requires the Commission to address all matters raised by the parties.</w:t>
      </w:r>
      <w:r>
        <w:rPr>
          <w:rStyle w:val="FootnoteReference"/>
        </w:rPr>
        <w:footnoteReference w:id="52"/>
      </w:r>
      <w:r>
        <w:t xml:space="preserve">  In its Initial Brief, IEU-Ohio raised the arbitrary and capricious inconsistency between the Attorney Examiner’s evidentiary ruling excluding evidence related to the OVEC and Lawrenceburg capacity cost double-recovery for the 2010 and 2011 audits and the Commission’s finding that that issue was relevant to the 2012 through 2014 audits.</w:t>
      </w:r>
      <w:r>
        <w:rPr>
          <w:vertAlign w:val="superscript"/>
        </w:rPr>
        <w:footnoteReference w:id="53"/>
      </w:r>
      <w:r>
        <w:t xml:space="preserve">   In the FAC Order, the Commission failed to address its inconsistent, arbitrary, and capricious finding that the double-recovery issue is not relevant in these proceedings regarding the 2010 and 2011 FAC audits, but the issue is </w:t>
      </w:r>
      <w:r>
        <w:lastRenderedPageBreak/>
        <w:t xml:space="preserve">relevant in the 2012 through 2014 FAC audits.  The Commission’s failure to address this inconsistency that was raised by IEU-Ohio in its Initial Brief is unlawful and unreasonable.  </w:t>
      </w:r>
    </w:p>
    <w:p w:rsidR="00A14742" w:rsidRDefault="00AC7D53">
      <w:pPr>
        <w:ind w:firstLine="720"/>
      </w:pPr>
      <w:r>
        <w:t>In sum, the FAC Order is unlawful and unreasonable because the Commission arbitrarily and capriciously held that evidence regarding the OVEC and Lawrenceburg capacity cost double-recovery is not relevant to the 2010 and 2011 FAC audits but is relevant to the 2012 through 2014 FAC audits.  The FAC Order is further unlawful and unreasonable because the Commission failed to address the inconsistent, arbitrary and capricious holdings, despite IEU-Ohio raising the issue in its Initial Brief.  The Commission’s actions violate IEU</w:t>
      </w:r>
      <w:r>
        <w:noBreakHyphen/>
        <w:t>Ohio’s due process rights and Section 4903.09, Revised Code.</w:t>
      </w:r>
    </w:p>
    <w:p w:rsidR="00A14742" w:rsidRDefault="00AC7D53">
      <w:pPr>
        <w:pStyle w:val="Heading1"/>
      </w:pPr>
      <w:bookmarkStart w:id="7" w:name="_Toc390418263"/>
      <w:r>
        <w:t>Injury</w:t>
      </w:r>
      <w:bookmarkEnd w:id="7"/>
    </w:p>
    <w:p w:rsidR="00A14742" w:rsidRDefault="00AC7D53">
      <w:pPr>
        <w:ind w:firstLine="720"/>
        <w:rPr>
          <w:rFonts w:cs="Arial"/>
          <w:color w:val="000000"/>
        </w:rPr>
      </w:pPr>
      <w:r>
        <w:rPr>
          <w:rFonts w:cs="Arial"/>
          <w:color w:val="000000"/>
        </w:rPr>
        <w:t>At issue in the audits are $200 million that AEP-Ohio unlawfully double-recovered through the FAC in 2010 and 2011.  Although the auditor was not aware of the double-recovery when it conducted its audits, its witness supporting the audit at the hearing made clear that the issue needed to be addressed when he became aware of it.  The Commission, by the ruling challenged in this application for rehearing, has not only unlawfully restricted the scope of the hearing, but has provided AEP-Ohio a $200 million windfall at the expense of customers.</w:t>
      </w:r>
    </w:p>
    <w:p w:rsidR="00A14742" w:rsidRDefault="00AC7D53">
      <w:pPr>
        <w:ind w:firstLine="720"/>
        <w:rPr>
          <w:rFonts w:cs="Arial"/>
          <w:color w:val="000000"/>
        </w:rPr>
      </w:pPr>
      <w:r>
        <w:rPr>
          <w:rFonts w:cs="Arial"/>
          <w:color w:val="000000"/>
        </w:rPr>
        <w:t xml:space="preserve">Through the FAC audit process, the Commission has the authority to prevent the unlawful and unreasonable windfall.  As it has done in the past, the Commission can adjust the deferred balance AEP-Ohio is currently collecting under the PIRR to remove the double-recovery.  The Commission can prevent that windfall, however, only by </w:t>
      </w:r>
      <w:r>
        <w:rPr>
          <w:rFonts w:cs="Arial"/>
          <w:color w:val="000000"/>
        </w:rPr>
        <w:lastRenderedPageBreak/>
        <w:t>granting rehearing and reversing the unlawful order that prevented IEU-Ohio from demonstrating the double-recovery.</w:t>
      </w:r>
    </w:p>
    <w:p w:rsidR="00A14742" w:rsidRDefault="00AC7D53">
      <w:pPr>
        <w:pStyle w:val="Heading1"/>
      </w:pPr>
      <w:bookmarkStart w:id="8" w:name="_Toc390418264"/>
      <w:r>
        <w:t>conclusion</w:t>
      </w:r>
      <w:bookmarkEnd w:id="8"/>
    </w:p>
    <w:p w:rsidR="00A14742" w:rsidRDefault="00AC7D53">
      <w:pPr>
        <w:rPr>
          <w:rFonts w:eastAsia="Calibri"/>
        </w:rPr>
      </w:pPr>
      <w:r>
        <w:rPr>
          <w:rFonts w:eastAsia="Calibri"/>
        </w:rPr>
        <w:tab/>
        <w:t>For the reasons described herein, the Commission unlawfully and unreasonably prevented IEU-Ohio from introducing relevant evidence on the basis that the evidence was beyond the scope of what was addressed in the FAC Audit Reports and was therefore irrelevant.  This unlawful and unreasonable finding is contrary to Commission precedent and the Ohio Rules of Evidence.  The Commission’s action are also</w:t>
      </w:r>
      <w:r>
        <w:t xml:space="preserve"> unlawful and unreasonable and violate IEU-Ohio’s due process rights because the Commission arbitrarily and capriciously refused to admit and consider relevant evidence for the 2010 and 2011 FAC audits which demonstrates AEP-Ohio double-recovered approximately $200 million in capacity costs while holding that the same issue is relevant to the 2012 through 2014 FAC audits.  The Commission’s inconsistent, arbitrary, and capricious finding also violates Section 4903.09, Revised Code, because the Commission failed to provide a substantively reasonable explanation for its inconsistent findings that the OVEC and Lawrenceburg double-recovery is not relevant to the 2010 and 2011 FAC audits but is relevant to the 2012 through 2014 FAC audits.</w:t>
      </w:r>
      <w:r>
        <w:rPr>
          <w:rFonts w:eastAsia="Calibri"/>
        </w:rPr>
        <w:t xml:space="preserve"> </w:t>
      </w:r>
    </w:p>
    <w:p w:rsidR="00A14742" w:rsidRDefault="00AC7D53">
      <w:pPr>
        <w:ind w:firstLine="720"/>
        <w:rPr>
          <w:rFonts w:eastAsia="Calibri"/>
        </w:rPr>
      </w:pPr>
      <w:r>
        <w:rPr>
          <w:rFonts w:eastAsia="Calibri"/>
        </w:rPr>
        <w:t xml:space="preserve">Accordingly, the Commission should grant rehearing and provide IEU-Ohio an opportunity, either in a separate hearing held in these proceedings or in a future FAC audit proceeding, to present evidence demonstrating that AEP-Ohio double-recovered approximately $200 million through its FAC in 2010 and 2011.  If the Commission fails to grant rehearing, IEU-Ohio’s members and other customers of AEP-Ohio will never </w:t>
      </w:r>
      <w:r>
        <w:rPr>
          <w:rFonts w:eastAsia="Calibri"/>
        </w:rPr>
        <w:lastRenderedPageBreak/>
        <w:t>have an opportunity to argue their case on the merits and receive a credit for the $200 million that customers unlawfully paid to AEP-Ohio in 2010 and 2011.</w:t>
      </w:r>
    </w:p>
    <w:p w:rsidR="00A14742" w:rsidRDefault="00AC7D53">
      <w:pPr>
        <w:tabs>
          <w:tab w:val="left" w:pos="4320"/>
          <w:tab w:val="right" w:pos="8640"/>
        </w:tabs>
        <w:spacing w:line="240" w:lineRule="auto"/>
        <w:ind w:left="4320"/>
        <w:rPr>
          <w:rFonts w:cs="Arial"/>
        </w:rPr>
      </w:pPr>
      <w:r>
        <w:rPr>
          <w:rFonts w:cs="Arial"/>
        </w:rPr>
        <w:t>Respectfully submitted,</w:t>
      </w:r>
    </w:p>
    <w:p w:rsidR="00A14742" w:rsidRDefault="00A14742">
      <w:pPr>
        <w:tabs>
          <w:tab w:val="left" w:pos="4320"/>
          <w:tab w:val="right" w:pos="8640"/>
        </w:tabs>
        <w:spacing w:line="240" w:lineRule="auto"/>
        <w:ind w:left="4320"/>
        <w:rPr>
          <w:rFonts w:cs="Arial"/>
        </w:rPr>
      </w:pPr>
    </w:p>
    <w:p w:rsidR="00A14742" w:rsidRDefault="00A14742">
      <w:pPr>
        <w:tabs>
          <w:tab w:val="left" w:pos="4320"/>
          <w:tab w:val="right" w:pos="8640"/>
        </w:tabs>
        <w:spacing w:line="240" w:lineRule="auto"/>
        <w:ind w:left="4320"/>
        <w:rPr>
          <w:rFonts w:cs="Arial"/>
        </w:rPr>
      </w:pPr>
    </w:p>
    <w:p w:rsidR="00A14742" w:rsidRDefault="00AC7D53">
      <w:pPr>
        <w:tabs>
          <w:tab w:val="left" w:pos="4320"/>
          <w:tab w:val="right" w:pos="9360"/>
        </w:tabs>
        <w:spacing w:line="240" w:lineRule="auto"/>
        <w:ind w:left="4320"/>
        <w:rPr>
          <w:rFonts w:cs="Arial"/>
          <w:u w:val="single"/>
        </w:rPr>
      </w:pPr>
      <w:r>
        <w:rPr>
          <w:rFonts w:cs="Arial"/>
          <w:u w:val="single"/>
        </w:rPr>
        <w:t>/s/ Matthew R. Pritchard</w:t>
      </w:r>
      <w:r>
        <w:rPr>
          <w:rFonts w:cs="Arial"/>
          <w:u w:val="single"/>
        </w:rPr>
        <w:tab/>
      </w:r>
    </w:p>
    <w:p w:rsidR="00A14742" w:rsidRDefault="00AC7D53">
      <w:pPr>
        <w:tabs>
          <w:tab w:val="left" w:pos="4320"/>
          <w:tab w:val="right" w:pos="8640"/>
        </w:tabs>
        <w:spacing w:line="240" w:lineRule="auto"/>
        <w:ind w:left="4320"/>
        <w:rPr>
          <w:rFonts w:cs="Arial"/>
        </w:rPr>
      </w:pPr>
      <w:r>
        <w:rPr>
          <w:rFonts w:cs="Arial"/>
        </w:rPr>
        <w:t>Samuel C. Randazzo (Counsel of Record)</w:t>
      </w:r>
    </w:p>
    <w:p w:rsidR="00A14742" w:rsidRDefault="00AC7D53">
      <w:pPr>
        <w:tabs>
          <w:tab w:val="left" w:pos="4320"/>
          <w:tab w:val="right" w:pos="8640"/>
        </w:tabs>
        <w:spacing w:line="240" w:lineRule="auto"/>
        <w:ind w:left="4320"/>
        <w:rPr>
          <w:rFonts w:cs="Arial"/>
        </w:rPr>
      </w:pPr>
      <w:r>
        <w:rPr>
          <w:rFonts w:cs="Arial"/>
        </w:rPr>
        <w:t xml:space="preserve">  (Reg. No. 0016386)</w:t>
      </w:r>
    </w:p>
    <w:p w:rsidR="00A14742" w:rsidRDefault="00AC7D53">
      <w:pPr>
        <w:pStyle w:val="BodyText3"/>
        <w:widowControl w:val="0"/>
        <w:tabs>
          <w:tab w:val="left" w:pos="4320"/>
        </w:tabs>
        <w:spacing w:after="0"/>
        <w:ind w:left="4320"/>
        <w:jc w:val="both"/>
        <w:rPr>
          <w:rFonts w:cs="Arial"/>
          <w:bCs/>
          <w:sz w:val="24"/>
          <w:szCs w:val="24"/>
        </w:rPr>
      </w:pPr>
      <w:r>
        <w:rPr>
          <w:rFonts w:cs="Arial"/>
          <w:bCs/>
          <w:sz w:val="24"/>
          <w:szCs w:val="24"/>
        </w:rPr>
        <w:t>Frank P. Darr (Reg. No. 0025469)</w:t>
      </w:r>
    </w:p>
    <w:p w:rsidR="00A14742" w:rsidRDefault="00AC7D53">
      <w:pPr>
        <w:pStyle w:val="BodyText3"/>
        <w:widowControl w:val="0"/>
        <w:tabs>
          <w:tab w:val="left" w:pos="4320"/>
        </w:tabs>
        <w:spacing w:after="0"/>
        <w:ind w:left="4320"/>
        <w:jc w:val="both"/>
        <w:rPr>
          <w:rFonts w:cs="Arial"/>
          <w:b/>
          <w:bCs/>
          <w:sz w:val="24"/>
          <w:szCs w:val="24"/>
        </w:rPr>
      </w:pPr>
      <w:r>
        <w:rPr>
          <w:rFonts w:cs="Arial"/>
          <w:bCs/>
          <w:sz w:val="24"/>
          <w:szCs w:val="24"/>
        </w:rPr>
        <w:t>Matthew R. Pritchard (Reg. No. 0088070)</w:t>
      </w:r>
    </w:p>
    <w:p w:rsidR="00A14742" w:rsidRDefault="00AC7D53">
      <w:pPr>
        <w:pStyle w:val="BodyText3"/>
        <w:widowControl w:val="0"/>
        <w:tabs>
          <w:tab w:val="left" w:pos="4320"/>
        </w:tabs>
        <w:spacing w:after="0"/>
        <w:ind w:left="4320"/>
        <w:jc w:val="both"/>
        <w:rPr>
          <w:rFonts w:cs="Arial"/>
          <w:b/>
          <w:bCs/>
          <w:smallCaps/>
          <w:sz w:val="24"/>
          <w:szCs w:val="24"/>
        </w:rPr>
      </w:pPr>
      <w:r>
        <w:rPr>
          <w:rFonts w:cs="Arial"/>
          <w:bCs/>
          <w:smallCaps/>
          <w:sz w:val="24"/>
          <w:szCs w:val="24"/>
        </w:rPr>
        <w:t>McNees Wallace &amp; Nurick LLC</w:t>
      </w:r>
    </w:p>
    <w:p w:rsidR="00A14742" w:rsidRDefault="00AC7D53">
      <w:pPr>
        <w:pStyle w:val="BodyText3"/>
        <w:widowControl w:val="0"/>
        <w:tabs>
          <w:tab w:val="left" w:pos="4320"/>
        </w:tabs>
        <w:spacing w:after="0"/>
        <w:ind w:left="4320"/>
        <w:jc w:val="both"/>
        <w:rPr>
          <w:rFonts w:cs="Arial"/>
          <w:b/>
          <w:bCs/>
          <w:sz w:val="24"/>
          <w:szCs w:val="24"/>
        </w:rPr>
      </w:pPr>
      <w:r>
        <w:rPr>
          <w:rFonts w:cs="Arial"/>
          <w:bCs/>
          <w:sz w:val="24"/>
          <w:szCs w:val="24"/>
        </w:rPr>
        <w:t>21 East State Street, 17</w:t>
      </w:r>
      <w:r>
        <w:rPr>
          <w:rFonts w:cs="Arial"/>
          <w:bCs/>
          <w:sz w:val="24"/>
          <w:szCs w:val="24"/>
          <w:vertAlign w:val="superscript"/>
        </w:rPr>
        <w:t>TH</w:t>
      </w:r>
      <w:r>
        <w:rPr>
          <w:rFonts w:cs="Arial"/>
          <w:bCs/>
          <w:sz w:val="24"/>
          <w:szCs w:val="24"/>
        </w:rPr>
        <w:t xml:space="preserve"> Floor</w:t>
      </w:r>
    </w:p>
    <w:p w:rsidR="00A14742" w:rsidRDefault="00AC7D53">
      <w:pPr>
        <w:pStyle w:val="BodyText"/>
        <w:tabs>
          <w:tab w:val="left" w:pos="4320"/>
        </w:tabs>
        <w:ind w:left="4320"/>
        <w:rPr>
          <w:b w:val="0"/>
          <w:smallCaps w:val="0"/>
          <w:sz w:val="24"/>
          <w:szCs w:val="24"/>
        </w:rPr>
      </w:pPr>
      <w:r>
        <w:rPr>
          <w:b w:val="0"/>
          <w:smallCaps w:val="0"/>
          <w:sz w:val="24"/>
          <w:szCs w:val="24"/>
        </w:rPr>
        <w:t>Columbus, OH  43215</w:t>
      </w:r>
    </w:p>
    <w:p w:rsidR="00A14742" w:rsidRDefault="00AC7D53">
      <w:pPr>
        <w:pStyle w:val="BodyText"/>
        <w:tabs>
          <w:tab w:val="left" w:pos="4320"/>
        </w:tabs>
        <w:ind w:left="4320"/>
        <w:rPr>
          <w:b w:val="0"/>
          <w:smallCaps w:val="0"/>
          <w:sz w:val="24"/>
          <w:szCs w:val="24"/>
        </w:rPr>
      </w:pPr>
      <w:r>
        <w:rPr>
          <w:b w:val="0"/>
          <w:smallCaps w:val="0"/>
          <w:sz w:val="24"/>
          <w:szCs w:val="24"/>
        </w:rPr>
        <w:t>Telephone:  (614) 469-8000</w:t>
      </w:r>
    </w:p>
    <w:p w:rsidR="00A14742" w:rsidRDefault="00AC7D53">
      <w:pPr>
        <w:pStyle w:val="BodyText"/>
        <w:tabs>
          <w:tab w:val="left" w:pos="4320"/>
        </w:tabs>
        <w:ind w:left="4320"/>
        <w:rPr>
          <w:b w:val="0"/>
          <w:smallCaps w:val="0"/>
          <w:sz w:val="24"/>
          <w:szCs w:val="24"/>
        </w:rPr>
      </w:pPr>
      <w:r>
        <w:rPr>
          <w:b w:val="0"/>
          <w:smallCaps w:val="0"/>
          <w:sz w:val="24"/>
          <w:szCs w:val="24"/>
        </w:rPr>
        <w:t>Telecopier:  (614) 469-4653</w:t>
      </w:r>
    </w:p>
    <w:p w:rsidR="00A14742" w:rsidRDefault="00AC7D53">
      <w:pPr>
        <w:pStyle w:val="BodyText"/>
        <w:ind w:left="4320"/>
        <w:rPr>
          <w:b w:val="0"/>
          <w:smallCaps w:val="0"/>
          <w:sz w:val="24"/>
          <w:szCs w:val="24"/>
        </w:rPr>
      </w:pPr>
      <w:r>
        <w:rPr>
          <w:b w:val="0"/>
          <w:smallCaps w:val="0"/>
          <w:sz w:val="24"/>
          <w:szCs w:val="24"/>
        </w:rPr>
        <w:t>sam@mwncmh.com</w:t>
      </w:r>
    </w:p>
    <w:p w:rsidR="00A14742" w:rsidRDefault="00AC7D53">
      <w:pPr>
        <w:pStyle w:val="BodyText"/>
        <w:ind w:left="4320"/>
        <w:rPr>
          <w:b w:val="0"/>
          <w:smallCaps w:val="0"/>
          <w:sz w:val="24"/>
          <w:szCs w:val="24"/>
        </w:rPr>
      </w:pPr>
      <w:r>
        <w:rPr>
          <w:b w:val="0"/>
          <w:smallCaps w:val="0"/>
          <w:sz w:val="24"/>
          <w:szCs w:val="24"/>
        </w:rPr>
        <w:t>fdarr@mwncmh.com</w:t>
      </w:r>
    </w:p>
    <w:p w:rsidR="00A14742" w:rsidRDefault="00AC7D53">
      <w:pPr>
        <w:pStyle w:val="BodyText"/>
        <w:ind w:left="4320"/>
        <w:rPr>
          <w:rFonts w:cs="Arial"/>
          <w:b w:val="0"/>
          <w:sz w:val="24"/>
          <w:szCs w:val="24"/>
        </w:rPr>
      </w:pPr>
      <w:r>
        <w:rPr>
          <w:rFonts w:cs="Arial"/>
          <w:b w:val="0"/>
          <w:smallCaps w:val="0"/>
          <w:sz w:val="24"/>
          <w:szCs w:val="24"/>
        </w:rPr>
        <w:t>mpritchard@mwncmh.com</w:t>
      </w:r>
    </w:p>
    <w:p w:rsidR="00A14742" w:rsidRDefault="00A14742">
      <w:pPr>
        <w:ind w:firstLine="720"/>
        <w:rPr>
          <w:rFonts w:eastAsia="Calibri"/>
        </w:rPr>
        <w:sectPr w:rsidR="00A14742">
          <w:pgSz w:w="12240" w:h="15840" w:code="1"/>
          <w:pgMar w:top="1440" w:right="1440" w:bottom="1440" w:left="1440" w:header="720" w:footer="720" w:gutter="0"/>
          <w:cols w:space="720"/>
          <w:docGrid w:linePitch="360"/>
        </w:sectPr>
      </w:pPr>
    </w:p>
    <w:p w:rsidR="00A14742" w:rsidRDefault="00AC7D53">
      <w:pPr>
        <w:pStyle w:val="Heading4"/>
        <w:numPr>
          <w:ilvl w:val="0"/>
          <w:numId w:val="0"/>
        </w:numPr>
        <w:spacing w:after="0"/>
        <w:jc w:val="center"/>
        <w:rPr>
          <w:rFonts w:ascii="Arial Bold" w:hAnsi="Arial Bold"/>
          <w:i w:val="0"/>
          <w:smallCaps/>
          <w:sz w:val="28"/>
          <w:u w:val="single"/>
        </w:rPr>
      </w:pPr>
      <w:r>
        <w:rPr>
          <w:rFonts w:ascii="Arial Bold" w:hAnsi="Arial Bold"/>
          <w:i w:val="0"/>
          <w:smallCaps/>
          <w:sz w:val="28"/>
          <w:u w:val="single"/>
        </w:rPr>
        <w:lastRenderedPageBreak/>
        <w:t>Certificate of Service</w:t>
      </w:r>
    </w:p>
    <w:p w:rsidR="00A14742" w:rsidRDefault="00A14742">
      <w:pPr>
        <w:spacing w:line="240" w:lineRule="auto"/>
      </w:pPr>
    </w:p>
    <w:p w:rsidR="00A14742" w:rsidRDefault="00AC7D53">
      <w:pPr>
        <w:pStyle w:val="BodyText"/>
        <w:spacing w:line="480" w:lineRule="auto"/>
        <w:ind w:firstLine="720"/>
        <w:rPr>
          <w:b w:val="0"/>
          <w:smallCaps w:val="0"/>
          <w:sz w:val="24"/>
          <w:szCs w:val="24"/>
        </w:rPr>
      </w:pPr>
      <w:r>
        <w:rPr>
          <w:b w:val="0"/>
          <w:smallCaps w:val="0"/>
          <w:sz w:val="24"/>
          <w:szCs w:val="24"/>
        </w:rPr>
        <w:t xml:space="preserve">I hereby certify that a copy of the foregoing </w:t>
      </w:r>
      <w:r>
        <w:rPr>
          <w:b w:val="0"/>
          <w:i/>
          <w:smallCaps w:val="0"/>
          <w:sz w:val="24"/>
          <w:szCs w:val="24"/>
        </w:rPr>
        <w:t>Industrial Energy Users-Ohio’s Application for Rehearing and Memorandum in Support</w:t>
      </w:r>
      <w:r>
        <w:rPr>
          <w:b w:val="0"/>
          <w:smallCaps w:val="0"/>
          <w:sz w:val="24"/>
          <w:szCs w:val="24"/>
        </w:rPr>
        <w:t xml:space="preserve"> was served upon the following parties of record this 13</w:t>
      </w:r>
      <w:r>
        <w:rPr>
          <w:b w:val="0"/>
          <w:smallCaps w:val="0"/>
          <w:sz w:val="24"/>
          <w:szCs w:val="24"/>
          <w:vertAlign w:val="superscript"/>
        </w:rPr>
        <w:t>th</w:t>
      </w:r>
      <w:r>
        <w:rPr>
          <w:b w:val="0"/>
          <w:smallCaps w:val="0"/>
          <w:sz w:val="24"/>
          <w:szCs w:val="24"/>
        </w:rPr>
        <w:t xml:space="preserve"> day of June 2014, </w:t>
      </w:r>
      <w:r>
        <w:rPr>
          <w:b w:val="0"/>
          <w:i/>
          <w:smallCaps w:val="0"/>
          <w:sz w:val="24"/>
          <w:szCs w:val="24"/>
        </w:rPr>
        <w:t>via</w:t>
      </w:r>
      <w:r>
        <w:rPr>
          <w:b w:val="0"/>
          <w:smallCaps w:val="0"/>
          <w:sz w:val="24"/>
          <w:szCs w:val="24"/>
        </w:rPr>
        <w:t xml:space="preserve"> electronic transmission, hand-delivery or first class U.S. mail, postage prepaid.</w:t>
      </w:r>
    </w:p>
    <w:p w:rsidR="00A14742" w:rsidRDefault="00A14742">
      <w:pPr>
        <w:tabs>
          <w:tab w:val="left" w:pos="-1440"/>
          <w:tab w:val="left" w:pos="-720"/>
          <w:tab w:val="left" w:pos="5040"/>
          <w:tab w:val="center" w:pos="7200"/>
        </w:tabs>
        <w:spacing w:line="240" w:lineRule="auto"/>
        <w:rPr>
          <w:rFonts w:cs="Arial"/>
        </w:rPr>
      </w:pPr>
    </w:p>
    <w:p w:rsidR="00A14742" w:rsidRDefault="00AC7D53">
      <w:pPr>
        <w:tabs>
          <w:tab w:val="left" w:pos="-1440"/>
          <w:tab w:val="left" w:pos="-720"/>
          <w:tab w:val="left" w:pos="5040"/>
          <w:tab w:val="center" w:pos="7200"/>
          <w:tab w:val="right" w:pos="9360"/>
        </w:tabs>
        <w:spacing w:line="240" w:lineRule="auto"/>
        <w:ind w:firstLine="5040"/>
        <w:rPr>
          <w:rFonts w:cs="Arial"/>
        </w:rPr>
      </w:pPr>
      <w:r>
        <w:rPr>
          <w:rFonts w:cs="Arial"/>
          <w:u w:val="single"/>
        </w:rPr>
        <w:t>/s/ Matthew R. Pritchard</w:t>
      </w:r>
      <w:r>
        <w:rPr>
          <w:rFonts w:cs="Arial"/>
          <w:u w:val="single"/>
        </w:rPr>
        <w:tab/>
      </w:r>
    </w:p>
    <w:p w:rsidR="00A14742" w:rsidRDefault="00AC7D53">
      <w:pPr>
        <w:tabs>
          <w:tab w:val="left" w:pos="2160"/>
          <w:tab w:val="left" w:pos="2280"/>
        </w:tabs>
        <w:spacing w:line="240" w:lineRule="auto"/>
        <w:rPr>
          <w:rFonts w:cs="Arial"/>
        </w:rPr>
      </w:pPr>
      <w:r>
        <w:rPr>
          <w:rFonts w:cs="Arial"/>
        </w:rPr>
        <w:tab/>
      </w:r>
      <w:r>
        <w:rPr>
          <w:rFonts w:cs="Arial"/>
        </w:rPr>
        <w:tab/>
      </w:r>
      <w:r>
        <w:rPr>
          <w:rFonts w:cs="Arial"/>
        </w:rPr>
        <w:tab/>
      </w:r>
      <w:r>
        <w:rPr>
          <w:rFonts w:cs="Arial"/>
        </w:rPr>
        <w:tab/>
      </w:r>
      <w:r>
        <w:rPr>
          <w:rFonts w:cs="Arial"/>
        </w:rPr>
        <w:tab/>
      </w:r>
      <w:r>
        <w:rPr>
          <w:rFonts w:cs="Arial"/>
        </w:rPr>
        <w:tab/>
        <w:t>Matthew R. Pritchard</w:t>
      </w:r>
    </w:p>
    <w:p w:rsidR="00A14742" w:rsidRDefault="00A14742">
      <w:pPr>
        <w:tabs>
          <w:tab w:val="left" w:pos="2160"/>
          <w:tab w:val="left" w:pos="2280"/>
        </w:tabs>
        <w:spacing w:line="240" w:lineRule="auto"/>
        <w:rPr>
          <w:rFonts w:cs="Arial"/>
        </w:rPr>
      </w:pPr>
    </w:p>
    <w:p w:rsidR="00A14742" w:rsidRDefault="00A14742">
      <w:pPr>
        <w:tabs>
          <w:tab w:val="left" w:pos="2160"/>
          <w:tab w:val="left" w:pos="2280"/>
        </w:tabs>
        <w:spacing w:line="240" w:lineRule="auto"/>
        <w:rPr>
          <w:rFonts w:cs="Arial"/>
        </w:rPr>
      </w:pPr>
    </w:p>
    <w:p w:rsidR="00A14742" w:rsidRDefault="00A14742">
      <w:pPr>
        <w:tabs>
          <w:tab w:val="left" w:pos="2160"/>
          <w:tab w:val="left" w:pos="2280"/>
        </w:tabs>
        <w:spacing w:line="240" w:lineRule="auto"/>
        <w:rPr>
          <w:rFonts w:cs="Arial"/>
          <w:sz w:val="20"/>
          <w:szCs w:val="20"/>
        </w:rPr>
        <w:sectPr w:rsidR="00A14742">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141" w:left="1440" w:header="720" w:footer="720" w:gutter="0"/>
          <w:pgNumType w:start="1"/>
          <w:cols w:space="720"/>
          <w:titlePg/>
          <w:docGrid w:linePitch="326"/>
        </w:sectPr>
      </w:pPr>
    </w:p>
    <w:p w:rsidR="00A14742" w:rsidRDefault="00AC7D53">
      <w:pPr>
        <w:tabs>
          <w:tab w:val="left" w:pos="2160"/>
          <w:tab w:val="left" w:pos="2280"/>
        </w:tabs>
        <w:spacing w:line="240" w:lineRule="auto"/>
        <w:jc w:val="left"/>
        <w:rPr>
          <w:rFonts w:cs="Arial"/>
          <w:color w:val="000000" w:themeColor="text1"/>
          <w:sz w:val="22"/>
          <w:szCs w:val="22"/>
        </w:rPr>
      </w:pPr>
      <w:r>
        <w:rPr>
          <w:rFonts w:cs="Arial"/>
          <w:color w:val="000000" w:themeColor="text1"/>
          <w:sz w:val="22"/>
          <w:szCs w:val="22"/>
        </w:rPr>
        <w:lastRenderedPageBreak/>
        <w:t>Steven T. Nourse</w:t>
      </w:r>
    </w:p>
    <w:p w:rsidR="00A14742" w:rsidRDefault="00AC7D53">
      <w:pPr>
        <w:tabs>
          <w:tab w:val="left" w:pos="2160"/>
          <w:tab w:val="left" w:pos="2280"/>
        </w:tabs>
        <w:spacing w:line="240" w:lineRule="auto"/>
        <w:jc w:val="left"/>
        <w:rPr>
          <w:rFonts w:cs="Arial"/>
          <w:color w:val="000000" w:themeColor="text1"/>
          <w:sz w:val="22"/>
          <w:szCs w:val="22"/>
        </w:rPr>
      </w:pPr>
      <w:r>
        <w:rPr>
          <w:rFonts w:cs="Arial"/>
          <w:color w:val="000000" w:themeColor="text1"/>
          <w:sz w:val="22"/>
          <w:szCs w:val="22"/>
        </w:rPr>
        <w:t>Yazen Alami</w:t>
      </w:r>
    </w:p>
    <w:p w:rsidR="00A14742" w:rsidRDefault="00AC7D53">
      <w:pPr>
        <w:tabs>
          <w:tab w:val="left" w:pos="2160"/>
          <w:tab w:val="left" w:pos="2280"/>
        </w:tabs>
        <w:spacing w:line="240" w:lineRule="auto"/>
        <w:jc w:val="left"/>
        <w:rPr>
          <w:rFonts w:cs="Arial"/>
          <w:color w:val="000000" w:themeColor="text1"/>
          <w:sz w:val="22"/>
          <w:szCs w:val="22"/>
        </w:rPr>
      </w:pPr>
      <w:r>
        <w:rPr>
          <w:rFonts w:cs="Arial"/>
          <w:color w:val="000000" w:themeColor="text1"/>
          <w:sz w:val="22"/>
          <w:szCs w:val="22"/>
        </w:rPr>
        <w:t>Matthew J. Satterwhite</w:t>
      </w:r>
    </w:p>
    <w:p w:rsidR="00A14742" w:rsidRDefault="00AC7D53">
      <w:pPr>
        <w:tabs>
          <w:tab w:val="left" w:pos="2160"/>
          <w:tab w:val="left" w:pos="2280"/>
        </w:tabs>
        <w:spacing w:line="240" w:lineRule="auto"/>
        <w:jc w:val="left"/>
        <w:rPr>
          <w:rFonts w:cs="Arial"/>
          <w:color w:val="000000" w:themeColor="text1"/>
          <w:sz w:val="22"/>
          <w:szCs w:val="22"/>
        </w:rPr>
      </w:pPr>
      <w:r>
        <w:rPr>
          <w:rFonts w:cs="Arial"/>
          <w:color w:val="000000" w:themeColor="text1"/>
          <w:sz w:val="22"/>
          <w:szCs w:val="22"/>
        </w:rPr>
        <w:t>American Electric Power Service Corporation</w:t>
      </w:r>
    </w:p>
    <w:p w:rsidR="00A14742" w:rsidRDefault="00AC7D53">
      <w:pPr>
        <w:tabs>
          <w:tab w:val="left" w:pos="2160"/>
          <w:tab w:val="left" w:pos="2280"/>
        </w:tabs>
        <w:spacing w:line="240" w:lineRule="auto"/>
        <w:jc w:val="left"/>
        <w:rPr>
          <w:rFonts w:cs="Arial"/>
          <w:color w:val="000000" w:themeColor="text1"/>
          <w:sz w:val="22"/>
          <w:szCs w:val="22"/>
        </w:rPr>
      </w:pPr>
      <w:r>
        <w:rPr>
          <w:rFonts w:cs="Arial"/>
          <w:color w:val="000000" w:themeColor="text1"/>
          <w:sz w:val="22"/>
          <w:szCs w:val="22"/>
        </w:rPr>
        <w:t>1 Riverside Plaza, 29</w:t>
      </w:r>
      <w:r>
        <w:rPr>
          <w:rFonts w:cs="Arial"/>
          <w:color w:val="000000" w:themeColor="text1"/>
          <w:sz w:val="22"/>
          <w:szCs w:val="22"/>
          <w:vertAlign w:val="superscript"/>
        </w:rPr>
        <w:t>th</w:t>
      </w:r>
      <w:r>
        <w:rPr>
          <w:rFonts w:cs="Arial"/>
          <w:color w:val="000000" w:themeColor="text1"/>
          <w:sz w:val="22"/>
          <w:szCs w:val="22"/>
        </w:rPr>
        <w:t xml:space="preserve"> Floor</w:t>
      </w:r>
    </w:p>
    <w:p w:rsidR="00A14742" w:rsidRDefault="00AC7D53">
      <w:pPr>
        <w:tabs>
          <w:tab w:val="left" w:pos="2160"/>
          <w:tab w:val="left" w:pos="2280"/>
        </w:tabs>
        <w:spacing w:line="240" w:lineRule="auto"/>
        <w:jc w:val="left"/>
        <w:rPr>
          <w:rFonts w:cs="Arial"/>
          <w:color w:val="000000" w:themeColor="text1"/>
          <w:sz w:val="22"/>
          <w:szCs w:val="22"/>
        </w:rPr>
      </w:pPr>
      <w:r>
        <w:rPr>
          <w:rFonts w:cs="Arial"/>
          <w:color w:val="000000" w:themeColor="text1"/>
          <w:sz w:val="22"/>
          <w:szCs w:val="22"/>
        </w:rPr>
        <w:t>Columbus, OH  43215</w:t>
      </w:r>
    </w:p>
    <w:p w:rsidR="00A14742" w:rsidRDefault="00AC7D53">
      <w:pPr>
        <w:tabs>
          <w:tab w:val="left" w:pos="2160"/>
          <w:tab w:val="left" w:pos="2280"/>
        </w:tabs>
        <w:spacing w:line="240" w:lineRule="auto"/>
        <w:jc w:val="left"/>
        <w:rPr>
          <w:rFonts w:cs="Arial"/>
          <w:color w:val="000000" w:themeColor="text1"/>
          <w:sz w:val="22"/>
          <w:szCs w:val="22"/>
        </w:rPr>
      </w:pPr>
      <w:r w:rsidRPr="00AC7D53">
        <w:rPr>
          <w:rFonts w:cs="Arial"/>
          <w:sz w:val="22"/>
          <w:szCs w:val="22"/>
        </w:rPr>
        <w:t>stnourse@aep.com</w:t>
      </w:r>
    </w:p>
    <w:p w:rsidR="00A14742" w:rsidRDefault="00AC7D53">
      <w:pPr>
        <w:tabs>
          <w:tab w:val="left" w:pos="2160"/>
          <w:tab w:val="left" w:pos="2280"/>
        </w:tabs>
        <w:spacing w:line="240" w:lineRule="auto"/>
        <w:jc w:val="left"/>
        <w:rPr>
          <w:rFonts w:cs="Arial"/>
          <w:color w:val="000000" w:themeColor="text1"/>
          <w:sz w:val="22"/>
          <w:szCs w:val="22"/>
        </w:rPr>
      </w:pPr>
      <w:r>
        <w:rPr>
          <w:rFonts w:cs="Arial"/>
          <w:color w:val="000000" w:themeColor="text1"/>
          <w:sz w:val="22"/>
          <w:szCs w:val="22"/>
        </w:rPr>
        <w:t>yalami@aep.com</w:t>
      </w:r>
    </w:p>
    <w:p w:rsidR="00A14742" w:rsidRDefault="00AC7D53">
      <w:pPr>
        <w:tabs>
          <w:tab w:val="left" w:pos="2160"/>
          <w:tab w:val="left" w:pos="2280"/>
        </w:tabs>
        <w:spacing w:line="240" w:lineRule="auto"/>
        <w:jc w:val="left"/>
        <w:rPr>
          <w:rFonts w:cs="Arial"/>
          <w:color w:val="000000" w:themeColor="text1"/>
          <w:sz w:val="22"/>
          <w:szCs w:val="22"/>
        </w:rPr>
      </w:pPr>
      <w:r>
        <w:rPr>
          <w:rFonts w:cs="Arial"/>
          <w:color w:val="000000" w:themeColor="text1"/>
          <w:sz w:val="22"/>
          <w:szCs w:val="22"/>
        </w:rPr>
        <w:t>mjsatterwhite@aep.com</w:t>
      </w:r>
    </w:p>
    <w:p w:rsidR="00A14742" w:rsidRDefault="00A14742">
      <w:pPr>
        <w:tabs>
          <w:tab w:val="left" w:pos="2160"/>
          <w:tab w:val="left" w:pos="2280"/>
        </w:tabs>
        <w:spacing w:line="240" w:lineRule="auto"/>
        <w:jc w:val="left"/>
        <w:rPr>
          <w:rFonts w:cs="Arial"/>
          <w:color w:val="000000" w:themeColor="text1"/>
          <w:sz w:val="22"/>
          <w:szCs w:val="22"/>
        </w:rPr>
      </w:pPr>
    </w:p>
    <w:p w:rsidR="00A14742" w:rsidRDefault="00AC7D53">
      <w:pPr>
        <w:tabs>
          <w:tab w:val="left" w:pos="2160"/>
          <w:tab w:val="left" w:pos="2280"/>
        </w:tabs>
        <w:spacing w:line="240" w:lineRule="auto"/>
        <w:jc w:val="left"/>
        <w:rPr>
          <w:rFonts w:cs="Arial"/>
          <w:b/>
          <w:smallCaps/>
          <w:color w:val="000000" w:themeColor="text1"/>
          <w:sz w:val="22"/>
          <w:szCs w:val="22"/>
        </w:rPr>
      </w:pPr>
      <w:r>
        <w:rPr>
          <w:rFonts w:cs="Arial"/>
          <w:b/>
          <w:smallCaps/>
          <w:color w:val="000000" w:themeColor="text1"/>
          <w:sz w:val="22"/>
          <w:szCs w:val="22"/>
        </w:rPr>
        <w:t>Counsel for Columbus Southern Power Company and Ohio Power Company</w:t>
      </w:r>
    </w:p>
    <w:p w:rsidR="00A14742" w:rsidRDefault="00A14742">
      <w:pPr>
        <w:tabs>
          <w:tab w:val="left" w:pos="2160"/>
          <w:tab w:val="left" w:pos="2280"/>
        </w:tabs>
        <w:spacing w:line="240" w:lineRule="auto"/>
        <w:jc w:val="left"/>
        <w:rPr>
          <w:rFonts w:cs="Arial"/>
          <w:color w:val="000000" w:themeColor="text1"/>
          <w:sz w:val="22"/>
          <w:szCs w:val="22"/>
        </w:rPr>
      </w:pPr>
    </w:p>
    <w:p w:rsidR="00A14742" w:rsidRDefault="00AC7D53">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Terry L. Etter</w:t>
      </w:r>
    </w:p>
    <w:p w:rsidR="00A14742" w:rsidRDefault="00AC7D53">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Assistant Consumers’ Counsel</w:t>
      </w:r>
    </w:p>
    <w:p w:rsidR="00A14742" w:rsidRDefault="00AC7D53">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Office of the Ohio Consumers’ Counsel</w:t>
      </w:r>
    </w:p>
    <w:p w:rsidR="00A14742" w:rsidRDefault="00AC7D53">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10 West Broad Street, Suite 1800</w:t>
      </w:r>
    </w:p>
    <w:p w:rsidR="00A14742" w:rsidRDefault="00AC7D53">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Columbus, OH  43215-3485</w:t>
      </w:r>
    </w:p>
    <w:p w:rsidR="00A14742" w:rsidRDefault="00AC7D53">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etter@occ.state.oh.us</w:t>
      </w:r>
    </w:p>
    <w:p w:rsidR="00A14742" w:rsidRDefault="00A14742">
      <w:pPr>
        <w:tabs>
          <w:tab w:val="left" w:pos="2160"/>
          <w:tab w:val="left" w:pos="2280"/>
        </w:tabs>
        <w:spacing w:line="240" w:lineRule="auto"/>
        <w:jc w:val="left"/>
        <w:rPr>
          <w:rFonts w:cs="Arial"/>
          <w:color w:val="000000" w:themeColor="text1"/>
          <w:sz w:val="22"/>
          <w:szCs w:val="22"/>
        </w:rPr>
      </w:pPr>
    </w:p>
    <w:p w:rsidR="00A14742" w:rsidRDefault="00AC7D53">
      <w:pPr>
        <w:tabs>
          <w:tab w:val="left" w:pos="2160"/>
          <w:tab w:val="left" w:pos="2280"/>
        </w:tabs>
        <w:spacing w:line="240" w:lineRule="auto"/>
        <w:jc w:val="left"/>
        <w:rPr>
          <w:rFonts w:cs="Arial"/>
          <w:b/>
          <w:smallCaps/>
          <w:color w:val="000000" w:themeColor="text1"/>
          <w:sz w:val="22"/>
          <w:szCs w:val="22"/>
        </w:rPr>
      </w:pPr>
      <w:r>
        <w:rPr>
          <w:rFonts w:cs="Arial"/>
          <w:b/>
          <w:smallCaps/>
          <w:color w:val="000000" w:themeColor="text1"/>
          <w:sz w:val="22"/>
          <w:szCs w:val="22"/>
        </w:rPr>
        <w:t>Counsel for Office of the Ohio Consumers’ Counsel</w:t>
      </w:r>
    </w:p>
    <w:p w:rsidR="00A14742" w:rsidRDefault="00A14742">
      <w:pPr>
        <w:tabs>
          <w:tab w:val="left" w:pos="2160"/>
          <w:tab w:val="left" w:pos="2280"/>
        </w:tabs>
        <w:spacing w:line="240" w:lineRule="auto"/>
        <w:jc w:val="left"/>
        <w:rPr>
          <w:rFonts w:cs="Arial"/>
          <w:color w:val="000000" w:themeColor="text1"/>
          <w:sz w:val="22"/>
          <w:szCs w:val="22"/>
        </w:rPr>
      </w:pPr>
    </w:p>
    <w:p w:rsidR="00A14742" w:rsidRDefault="00AC7D53">
      <w:pPr>
        <w:tabs>
          <w:tab w:val="left" w:pos="2160"/>
          <w:tab w:val="left" w:pos="2280"/>
        </w:tabs>
        <w:spacing w:line="240" w:lineRule="auto"/>
        <w:jc w:val="left"/>
        <w:rPr>
          <w:rFonts w:cs="Arial"/>
          <w:color w:val="000000" w:themeColor="text1"/>
          <w:sz w:val="22"/>
          <w:szCs w:val="22"/>
        </w:rPr>
      </w:pPr>
      <w:r>
        <w:rPr>
          <w:rFonts w:cs="Arial"/>
          <w:color w:val="000000" w:themeColor="text1"/>
          <w:sz w:val="22"/>
          <w:szCs w:val="22"/>
        </w:rPr>
        <w:t>Rocco D’Ascenzo</w:t>
      </w:r>
    </w:p>
    <w:p w:rsidR="00A14742" w:rsidRDefault="00AC7D53">
      <w:pPr>
        <w:tabs>
          <w:tab w:val="left" w:pos="2160"/>
          <w:tab w:val="left" w:pos="2280"/>
        </w:tabs>
        <w:spacing w:line="240" w:lineRule="auto"/>
        <w:jc w:val="left"/>
        <w:rPr>
          <w:rFonts w:cs="Arial"/>
          <w:color w:val="000000" w:themeColor="text1"/>
          <w:sz w:val="22"/>
          <w:szCs w:val="22"/>
        </w:rPr>
      </w:pPr>
      <w:r>
        <w:rPr>
          <w:rFonts w:cs="Arial"/>
          <w:color w:val="000000" w:themeColor="text1"/>
          <w:sz w:val="22"/>
          <w:szCs w:val="22"/>
        </w:rPr>
        <w:t>Amy B. Spiller</w:t>
      </w:r>
    </w:p>
    <w:p w:rsidR="00A14742" w:rsidRDefault="00AC7D53">
      <w:pPr>
        <w:tabs>
          <w:tab w:val="left" w:pos="2160"/>
          <w:tab w:val="left" w:pos="2280"/>
        </w:tabs>
        <w:spacing w:line="240" w:lineRule="auto"/>
        <w:jc w:val="left"/>
        <w:rPr>
          <w:rFonts w:cs="Arial"/>
          <w:color w:val="000000" w:themeColor="text1"/>
          <w:sz w:val="22"/>
          <w:szCs w:val="22"/>
        </w:rPr>
      </w:pPr>
      <w:r>
        <w:rPr>
          <w:rFonts w:cs="Arial"/>
          <w:color w:val="000000" w:themeColor="text1"/>
          <w:sz w:val="22"/>
          <w:szCs w:val="22"/>
        </w:rPr>
        <w:t>Jeanne W. Kingery</w:t>
      </w:r>
    </w:p>
    <w:p w:rsidR="00A14742" w:rsidRDefault="00AC7D53">
      <w:pPr>
        <w:tabs>
          <w:tab w:val="left" w:pos="2160"/>
          <w:tab w:val="left" w:pos="2280"/>
        </w:tabs>
        <w:spacing w:line="240" w:lineRule="auto"/>
        <w:jc w:val="left"/>
        <w:rPr>
          <w:rFonts w:cs="Arial"/>
          <w:color w:val="000000" w:themeColor="text1"/>
          <w:sz w:val="22"/>
          <w:szCs w:val="22"/>
        </w:rPr>
      </w:pPr>
      <w:r>
        <w:rPr>
          <w:rFonts w:cs="Arial"/>
          <w:color w:val="000000" w:themeColor="text1"/>
          <w:sz w:val="22"/>
          <w:szCs w:val="22"/>
        </w:rPr>
        <w:t>Duke Energy Ohio, Inc.</w:t>
      </w:r>
    </w:p>
    <w:p w:rsidR="00A14742" w:rsidRDefault="00AC7D53">
      <w:pPr>
        <w:tabs>
          <w:tab w:val="left" w:pos="2160"/>
          <w:tab w:val="left" w:pos="2280"/>
        </w:tabs>
        <w:spacing w:line="240" w:lineRule="auto"/>
        <w:jc w:val="left"/>
        <w:rPr>
          <w:rFonts w:cs="Arial"/>
          <w:color w:val="000000" w:themeColor="text1"/>
          <w:sz w:val="22"/>
          <w:szCs w:val="22"/>
        </w:rPr>
      </w:pPr>
      <w:r>
        <w:rPr>
          <w:rFonts w:cs="Arial"/>
          <w:color w:val="000000" w:themeColor="text1"/>
          <w:sz w:val="22"/>
          <w:szCs w:val="22"/>
        </w:rPr>
        <w:t>139 E. Fourth Street, 1303-Main</w:t>
      </w:r>
    </w:p>
    <w:p w:rsidR="00A14742" w:rsidRDefault="00AC7D53">
      <w:pPr>
        <w:tabs>
          <w:tab w:val="left" w:pos="2160"/>
          <w:tab w:val="left" w:pos="2280"/>
        </w:tabs>
        <w:spacing w:line="240" w:lineRule="auto"/>
        <w:jc w:val="left"/>
        <w:rPr>
          <w:rFonts w:cs="Arial"/>
          <w:color w:val="000000" w:themeColor="text1"/>
          <w:sz w:val="22"/>
          <w:szCs w:val="22"/>
        </w:rPr>
      </w:pPr>
      <w:r>
        <w:rPr>
          <w:rFonts w:cs="Arial"/>
          <w:color w:val="000000" w:themeColor="text1"/>
          <w:sz w:val="22"/>
          <w:szCs w:val="22"/>
        </w:rPr>
        <w:t>Cincinnati, OH  45202</w:t>
      </w:r>
    </w:p>
    <w:p w:rsidR="00A14742" w:rsidRDefault="00AC7D53">
      <w:pPr>
        <w:tabs>
          <w:tab w:val="left" w:pos="2160"/>
          <w:tab w:val="left" w:pos="2280"/>
        </w:tabs>
        <w:spacing w:line="240" w:lineRule="auto"/>
        <w:jc w:val="left"/>
        <w:rPr>
          <w:rFonts w:cs="Arial"/>
          <w:color w:val="000000" w:themeColor="text1"/>
          <w:sz w:val="22"/>
          <w:szCs w:val="22"/>
        </w:rPr>
      </w:pPr>
      <w:r>
        <w:rPr>
          <w:rFonts w:cs="Arial"/>
          <w:color w:val="000000" w:themeColor="text1"/>
          <w:sz w:val="22"/>
          <w:szCs w:val="22"/>
        </w:rPr>
        <w:t>Rocco.d’ascenzo@duke-energy.com</w:t>
      </w:r>
    </w:p>
    <w:p w:rsidR="00A14742" w:rsidRDefault="00AC7D53">
      <w:pPr>
        <w:tabs>
          <w:tab w:val="left" w:pos="2160"/>
          <w:tab w:val="left" w:pos="2280"/>
        </w:tabs>
        <w:spacing w:line="240" w:lineRule="auto"/>
        <w:jc w:val="left"/>
        <w:rPr>
          <w:rFonts w:cs="Arial"/>
          <w:color w:val="000000" w:themeColor="text1"/>
          <w:sz w:val="22"/>
          <w:szCs w:val="22"/>
        </w:rPr>
      </w:pPr>
      <w:r w:rsidRPr="00AC7D53">
        <w:rPr>
          <w:rFonts w:cs="Arial"/>
          <w:sz w:val="22"/>
          <w:szCs w:val="22"/>
        </w:rPr>
        <w:t>Amy.Spiller@duke-energy.com</w:t>
      </w:r>
    </w:p>
    <w:p w:rsidR="00A14742" w:rsidRDefault="00AC7D53">
      <w:pPr>
        <w:tabs>
          <w:tab w:val="left" w:pos="2160"/>
          <w:tab w:val="left" w:pos="2280"/>
        </w:tabs>
        <w:spacing w:line="240" w:lineRule="auto"/>
        <w:jc w:val="left"/>
        <w:rPr>
          <w:rFonts w:cs="Arial"/>
          <w:color w:val="000000" w:themeColor="text1"/>
          <w:sz w:val="22"/>
          <w:szCs w:val="22"/>
        </w:rPr>
      </w:pPr>
      <w:r>
        <w:rPr>
          <w:rFonts w:cs="Arial"/>
          <w:color w:val="000000" w:themeColor="text1"/>
          <w:sz w:val="22"/>
          <w:szCs w:val="22"/>
        </w:rPr>
        <w:t>Jeanne.kingery@duke-energy.com</w:t>
      </w:r>
    </w:p>
    <w:p w:rsidR="00A14742" w:rsidRDefault="00A14742">
      <w:pPr>
        <w:tabs>
          <w:tab w:val="left" w:pos="2160"/>
          <w:tab w:val="left" w:pos="2280"/>
        </w:tabs>
        <w:spacing w:line="240" w:lineRule="auto"/>
        <w:jc w:val="left"/>
        <w:rPr>
          <w:rFonts w:cs="Arial"/>
          <w:color w:val="000000" w:themeColor="text1"/>
          <w:sz w:val="22"/>
          <w:szCs w:val="22"/>
        </w:rPr>
      </w:pPr>
    </w:p>
    <w:p w:rsidR="00A14742" w:rsidRDefault="00AC7D53">
      <w:pPr>
        <w:tabs>
          <w:tab w:val="left" w:pos="2160"/>
          <w:tab w:val="left" w:pos="2280"/>
        </w:tabs>
        <w:spacing w:line="240" w:lineRule="auto"/>
        <w:jc w:val="left"/>
        <w:rPr>
          <w:rFonts w:eastAsiaTheme="minorHAnsi" w:cs="Arial"/>
          <w:color w:val="000000" w:themeColor="text1"/>
          <w:sz w:val="22"/>
          <w:szCs w:val="22"/>
        </w:rPr>
      </w:pPr>
      <w:r>
        <w:rPr>
          <w:rFonts w:cs="Arial"/>
          <w:b/>
          <w:smallCaps/>
          <w:color w:val="000000" w:themeColor="text1"/>
          <w:sz w:val="22"/>
          <w:szCs w:val="22"/>
        </w:rPr>
        <w:t>Counsel for Duke Energy Ohio, Inc</w:t>
      </w:r>
      <w:proofErr w:type="gramStart"/>
      <w:r>
        <w:rPr>
          <w:rFonts w:cs="Arial"/>
          <w:b/>
          <w:smallCaps/>
          <w:color w:val="000000" w:themeColor="text1"/>
          <w:sz w:val="22"/>
          <w:szCs w:val="22"/>
        </w:rPr>
        <w:t>.</w:t>
      </w:r>
      <w:proofErr w:type="gramEnd"/>
      <w:r>
        <w:rPr>
          <w:rFonts w:cs="Arial"/>
          <w:b/>
          <w:smallCaps/>
          <w:color w:val="000000" w:themeColor="text1"/>
          <w:sz w:val="22"/>
          <w:szCs w:val="22"/>
        </w:rPr>
        <w:br w:type="column"/>
      </w:r>
      <w:r>
        <w:rPr>
          <w:rFonts w:eastAsiaTheme="minorHAnsi" w:cs="Arial"/>
          <w:color w:val="000000" w:themeColor="text1"/>
          <w:sz w:val="22"/>
          <w:szCs w:val="22"/>
        </w:rPr>
        <w:lastRenderedPageBreak/>
        <w:t xml:space="preserve">John J. Kulewicz </w:t>
      </w:r>
    </w:p>
    <w:p w:rsidR="00A14742" w:rsidRDefault="00AC7D53">
      <w:pPr>
        <w:autoSpaceDE w:val="0"/>
        <w:autoSpaceDN w:val="0"/>
        <w:adjustRightInd w:val="0"/>
        <w:spacing w:line="240" w:lineRule="auto"/>
        <w:jc w:val="left"/>
        <w:rPr>
          <w:rFonts w:eastAsiaTheme="minorHAnsi" w:cs="Arial"/>
          <w:color w:val="000000" w:themeColor="text1"/>
          <w:sz w:val="22"/>
          <w:szCs w:val="22"/>
        </w:rPr>
      </w:pPr>
      <w:r>
        <w:rPr>
          <w:rFonts w:eastAsiaTheme="minorHAnsi" w:cs="Arial"/>
          <w:color w:val="000000" w:themeColor="text1"/>
          <w:sz w:val="22"/>
          <w:szCs w:val="22"/>
        </w:rPr>
        <w:t xml:space="preserve">M. Howard Petricoff </w:t>
      </w:r>
    </w:p>
    <w:p w:rsidR="00A14742" w:rsidRDefault="00AC7D53">
      <w:pPr>
        <w:autoSpaceDE w:val="0"/>
        <w:autoSpaceDN w:val="0"/>
        <w:adjustRightInd w:val="0"/>
        <w:spacing w:line="240" w:lineRule="auto"/>
        <w:jc w:val="left"/>
        <w:rPr>
          <w:rFonts w:eastAsiaTheme="minorHAnsi" w:cs="Arial"/>
          <w:color w:val="000000" w:themeColor="text1"/>
          <w:sz w:val="22"/>
          <w:szCs w:val="22"/>
        </w:rPr>
      </w:pPr>
      <w:r>
        <w:rPr>
          <w:rFonts w:eastAsiaTheme="minorHAnsi" w:cs="Arial"/>
          <w:color w:val="000000" w:themeColor="text1"/>
          <w:sz w:val="22"/>
          <w:szCs w:val="22"/>
        </w:rPr>
        <w:t xml:space="preserve">Stephen M. Howard </w:t>
      </w:r>
    </w:p>
    <w:p w:rsidR="00A14742" w:rsidRDefault="00AC7D53">
      <w:pPr>
        <w:autoSpaceDE w:val="0"/>
        <w:autoSpaceDN w:val="0"/>
        <w:adjustRightInd w:val="0"/>
        <w:spacing w:line="240" w:lineRule="auto"/>
        <w:jc w:val="left"/>
        <w:rPr>
          <w:rFonts w:eastAsiaTheme="minorHAnsi" w:cs="Arial"/>
          <w:color w:val="000000" w:themeColor="text1"/>
          <w:sz w:val="22"/>
          <w:szCs w:val="22"/>
        </w:rPr>
      </w:pPr>
      <w:r>
        <w:rPr>
          <w:rFonts w:eastAsiaTheme="minorHAnsi" w:cs="Arial"/>
          <w:color w:val="000000" w:themeColor="text1"/>
          <w:sz w:val="22"/>
          <w:szCs w:val="22"/>
        </w:rPr>
        <w:t>Vorys, Sater, Seymour and Pease LLP</w:t>
      </w:r>
    </w:p>
    <w:p w:rsidR="00A14742" w:rsidRDefault="00AC7D53">
      <w:pPr>
        <w:autoSpaceDE w:val="0"/>
        <w:autoSpaceDN w:val="0"/>
        <w:adjustRightInd w:val="0"/>
        <w:spacing w:line="240" w:lineRule="auto"/>
        <w:jc w:val="left"/>
        <w:rPr>
          <w:rFonts w:eastAsiaTheme="minorHAnsi" w:cs="Arial"/>
          <w:color w:val="000000" w:themeColor="text1"/>
          <w:sz w:val="22"/>
          <w:szCs w:val="22"/>
        </w:rPr>
      </w:pPr>
      <w:r>
        <w:rPr>
          <w:rFonts w:eastAsiaTheme="minorHAnsi" w:cs="Arial"/>
          <w:color w:val="000000" w:themeColor="text1"/>
          <w:sz w:val="22"/>
          <w:szCs w:val="22"/>
        </w:rPr>
        <w:t>52 East Gay Street</w:t>
      </w:r>
    </w:p>
    <w:p w:rsidR="00A14742" w:rsidRDefault="00AC7D53">
      <w:pPr>
        <w:autoSpaceDE w:val="0"/>
        <w:autoSpaceDN w:val="0"/>
        <w:adjustRightInd w:val="0"/>
        <w:spacing w:line="240" w:lineRule="auto"/>
        <w:jc w:val="left"/>
        <w:rPr>
          <w:rFonts w:eastAsiaTheme="minorHAnsi" w:cs="Arial"/>
          <w:color w:val="000000" w:themeColor="text1"/>
          <w:sz w:val="22"/>
          <w:szCs w:val="22"/>
        </w:rPr>
      </w:pPr>
      <w:r>
        <w:rPr>
          <w:rFonts w:eastAsiaTheme="minorHAnsi" w:cs="Arial"/>
          <w:color w:val="000000" w:themeColor="text1"/>
          <w:sz w:val="22"/>
          <w:szCs w:val="22"/>
        </w:rPr>
        <w:t>P.O. Box 1008</w:t>
      </w:r>
    </w:p>
    <w:p w:rsidR="00A14742" w:rsidRDefault="00AC7D53">
      <w:pPr>
        <w:autoSpaceDE w:val="0"/>
        <w:autoSpaceDN w:val="0"/>
        <w:adjustRightInd w:val="0"/>
        <w:spacing w:line="240" w:lineRule="auto"/>
        <w:jc w:val="left"/>
        <w:rPr>
          <w:rFonts w:eastAsiaTheme="minorHAnsi" w:cs="Arial"/>
          <w:color w:val="000000" w:themeColor="text1"/>
          <w:sz w:val="22"/>
          <w:szCs w:val="22"/>
        </w:rPr>
      </w:pPr>
      <w:r>
        <w:rPr>
          <w:rFonts w:eastAsiaTheme="minorHAnsi" w:cs="Arial"/>
          <w:color w:val="000000" w:themeColor="text1"/>
          <w:sz w:val="22"/>
          <w:szCs w:val="22"/>
        </w:rPr>
        <w:t>Columbus, Ohio 43216-1008</w:t>
      </w:r>
    </w:p>
    <w:p w:rsidR="00A14742" w:rsidRDefault="00AC7D53">
      <w:pPr>
        <w:autoSpaceDE w:val="0"/>
        <w:autoSpaceDN w:val="0"/>
        <w:adjustRightInd w:val="0"/>
        <w:spacing w:line="240" w:lineRule="auto"/>
        <w:jc w:val="left"/>
        <w:rPr>
          <w:rFonts w:eastAsiaTheme="minorHAnsi" w:cs="Arial"/>
          <w:color w:val="000000" w:themeColor="text1"/>
          <w:sz w:val="22"/>
          <w:szCs w:val="22"/>
        </w:rPr>
      </w:pPr>
      <w:r>
        <w:rPr>
          <w:rFonts w:eastAsiaTheme="minorHAnsi" w:cs="Arial"/>
          <w:color w:val="000000" w:themeColor="text1"/>
          <w:sz w:val="22"/>
          <w:szCs w:val="22"/>
        </w:rPr>
        <w:t>jjkulewicz@vorys.com</w:t>
      </w:r>
    </w:p>
    <w:p w:rsidR="00A14742" w:rsidRDefault="00AC7D53">
      <w:pPr>
        <w:autoSpaceDE w:val="0"/>
        <w:autoSpaceDN w:val="0"/>
        <w:adjustRightInd w:val="0"/>
        <w:spacing w:line="240" w:lineRule="auto"/>
        <w:jc w:val="left"/>
        <w:rPr>
          <w:rFonts w:eastAsiaTheme="minorHAnsi" w:cs="Arial"/>
          <w:color w:val="000000" w:themeColor="text1"/>
          <w:sz w:val="22"/>
          <w:szCs w:val="22"/>
        </w:rPr>
      </w:pPr>
      <w:r>
        <w:rPr>
          <w:rFonts w:eastAsiaTheme="minorHAnsi" w:cs="Arial"/>
          <w:color w:val="000000" w:themeColor="text1"/>
          <w:sz w:val="22"/>
          <w:szCs w:val="22"/>
        </w:rPr>
        <w:t>mhpetricoff@vorys.com</w:t>
      </w:r>
    </w:p>
    <w:p w:rsidR="00A14742" w:rsidRDefault="00AC7D53">
      <w:pPr>
        <w:autoSpaceDE w:val="0"/>
        <w:autoSpaceDN w:val="0"/>
        <w:adjustRightInd w:val="0"/>
        <w:spacing w:line="240" w:lineRule="auto"/>
        <w:jc w:val="left"/>
        <w:rPr>
          <w:rFonts w:eastAsiaTheme="minorHAnsi" w:cs="Arial"/>
          <w:color w:val="000000" w:themeColor="text1"/>
          <w:sz w:val="22"/>
          <w:szCs w:val="22"/>
        </w:rPr>
      </w:pPr>
      <w:r>
        <w:rPr>
          <w:rFonts w:eastAsiaTheme="minorHAnsi" w:cs="Arial"/>
          <w:color w:val="000000" w:themeColor="text1"/>
          <w:sz w:val="22"/>
          <w:szCs w:val="22"/>
        </w:rPr>
        <w:t>smhoward@vorys.com</w:t>
      </w:r>
    </w:p>
    <w:p w:rsidR="00A14742" w:rsidRDefault="00A14742">
      <w:pPr>
        <w:autoSpaceDE w:val="0"/>
        <w:autoSpaceDN w:val="0"/>
        <w:adjustRightInd w:val="0"/>
        <w:spacing w:line="240" w:lineRule="auto"/>
        <w:jc w:val="left"/>
        <w:rPr>
          <w:rFonts w:eastAsiaTheme="minorHAnsi" w:cs="Arial"/>
          <w:color w:val="000000" w:themeColor="text1"/>
          <w:sz w:val="22"/>
          <w:szCs w:val="22"/>
        </w:rPr>
      </w:pPr>
    </w:p>
    <w:p w:rsidR="00A14742" w:rsidRDefault="00AC7D53">
      <w:pPr>
        <w:autoSpaceDE w:val="0"/>
        <w:autoSpaceDN w:val="0"/>
        <w:adjustRightInd w:val="0"/>
        <w:spacing w:line="240" w:lineRule="auto"/>
        <w:jc w:val="left"/>
        <w:rPr>
          <w:rFonts w:ascii="Arial Bold" w:eastAsiaTheme="minorHAnsi" w:hAnsi="Arial Bold" w:cs="Arial"/>
          <w:b/>
          <w:smallCaps/>
          <w:color w:val="000000" w:themeColor="text1"/>
          <w:sz w:val="22"/>
          <w:szCs w:val="22"/>
        </w:rPr>
      </w:pPr>
      <w:r>
        <w:rPr>
          <w:rFonts w:ascii="Arial Bold" w:eastAsiaTheme="minorHAnsi" w:hAnsi="Arial Bold" w:cs="Arial"/>
          <w:b/>
          <w:smallCaps/>
          <w:color w:val="000000" w:themeColor="text1"/>
          <w:sz w:val="22"/>
          <w:szCs w:val="22"/>
        </w:rPr>
        <w:t>Counsel for Buckingham Coal Company</w:t>
      </w:r>
    </w:p>
    <w:p w:rsidR="00A14742" w:rsidRDefault="00A14742">
      <w:pPr>
        <w:autoSpaceDE w:val="0"/>
        <w:autoSpaceDN w:val="0"/>
        <w:adjustRightInd w:val="0"/>
        <w:spacing w:line="240" w:lineRule="auto"/>
        <w:jc w:val="left"/>
        <w:rPr>
          <w:color w:val="000000" w:themeColor="text1"/>
          <w:sz w:val="22"/>
          <w:szCs w:val="22"/>
        </w:rPr>
      </w:pPr>
    </w:p>
    <w:p w:rsidR="00A14742" w:rsidRDefault="00AC7D53">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Colleen L. Mooney</w:t>
      </w:r>
    </w:p>
    <w:p w:rsidR="00A14742" w:rsidRDefault="00AC7D53">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Ohio Partners for Affordable Energy</w:t>
      </w:r>
    </w:p>
    <w:p w:rsidR="00A14742" w:rsidRDefault="00AC7D53">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231 West Lima Street</w:t>
      </w:r>
    </w:p>
    <w:p w:rsidR="00A14742" w:rsidRDefault="00AC7D53">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Findlay, OH  45839-1793</w:t>
      </w:r>
    </w:p>
    <w:p w:rsidR="00A14742" w:rsidRDefault="00AC7D53">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cmooney2@columbus.rr.com</w:t>
      </w:r>
    </w:p>
    <w:p w:rsidR="00A14742" w:rsidRDefault="00A14742">
      <w:pPr>
        <w:autoSpaceDE w:val="0"/>
        <w:autoSpaceDN w:val="0"/>
        <w:adjustRightInd w:val="0"/>
        <w:spacing w:line="240" w:lineRule="auto"/>
        <w:jc w:val="left"/>
        <w:rPr>
          <w:rFonts w:cs="Arial"/>
          <w:color w:val="000000" w:themeColor="text1"/>
          <w:sz w:val="22"/>
          <w:szCs w:val="22"/>
        </w:rPr>
      </w:pPr>
    </w:p>
    <w:p w:rsidR="00A14742" w:rsidRDefault="00AC7D53">
      <w:pPr>
        <w:autoSpaceDE w:val="0"/>
        <w:autoSpaceDN w:val="0"/>
        <w:adjustRightInd w:val="0"/>
        <w:spacing w:line="240" w:lineRule="auto"/>
        <w:jc w:val="left"/>
        <w:rPr>
          <w:rFonts w:cs="Arial"/>
          <w:b/>
          <w:smallCaps/>
          <w:color w:val="000000" w:themeColor="text1"/>
          <w:sz w:val="22"/>
          <w:szCs w:val="22"/>
        </w:rPr>
      </w:pPr>
      <w:r>
        <w:rPr>
          <w:rFonts w:cs="Arial"/>
          <w:b/>
          <w:smallCaps/>
          <w:color w:val="000000" w:themeColor="text1"/>
          <w:sz w:val="22"/>
          <w:szCs w:val="22"/>
        </w:rPr>
        <w:t>Counsel for the Ohio Partners for Affordable Energy</w:t>
      </w:r>
    </w:p>
    <w:p w:rsidR="00A14742" w:rsidRDefault="00A14742">
      <w:pPr>
        <w:autoSpaceDE w:val="0"/>
        <w:autoSpaceDN w:val="0"/>
        <w:adjustRightInd w:val="0"/>
        <w:spacing w:line="240" w:lineRule="auto"/>
        <w:jc w:val="left"/>
        <w:rPr>
          <w:rFonts w:eastAsiaTheme="minorHAnsi" w:cs="Arial"/>
          <w:color w:val="000000" w:themeColor="text1"/>
          <w:sz w:val="22"/>
          <w:szCs w:val="22"/>
        </w:rPr>
      </w:pPr>
    </w:p>
    <w:p w:rsidR="00A14742" w:rsidRDefault="00AC7D53">
      <w:pPr>
        <w:autoSpaceDE w:val="0"/>
        <w:autoSpaceDN w:val="0"/>
        <w:adjustRightInd w:val="0"/>
        <w:spacing w:line="240" w:lineRule="auto"/>
        <w:jc w:val="left"/>
        <w:rPr>
          <w:rFonts w:eastAsiaTheme="minorHAnsi" w:cs="Arial"/>
          <w:color w:val="000000" w:themeColor="text1"/>
          <w:sz w:val="22"/>
          <w:szCs w:val="22"/>
        </w:rPr>
      </w:pPr>
      <w:r>
        <w:rPr>
          <w:rFonts w:eastAsiaTheme="minorHAnsi" w:cs="Arial"/>
          <w:color w:val="000000" w:themeColor="text1"/>
          <w:sz w:val="22"/>
          <w:szCs w:val="22"/>
        </w:rPr>
        <w:t>Philip B. Sineneng</w:t>
      </w:r>
    </w:p>
    <w:p w:rsidR="00A14742" w:rsidRDefault="00AC7D53">
      <w:pPr>
        <w:autoSpaceDE w:val="0"/>
        <w:autoSpaceDN w:val="0"/>
        <w:adjustRightInd w:val="0"/>
        <w:spacing w:line="240" w:lineRule="auto"/>
        <w:jc w:val="left"/>
        <w:rPr>
          <w:rFonts w:eastAsiaTheme="minorHAnsi" w:cs="Arial"/>
          <w:color w:val="000000" w:themeColor="text1"/>
          <w:sz w:val="22"/>
          <w:szCs w:val="22"/>
        </w:rPr>
      </w:pPr>
      <w:r>
        <w:rPr>
          <w:rFonts w:eastAsiaTheme="minorHAnsi" w:cs="Arial"/>
          <w:color w:val="000000" w:themeColor="text1"/>
          <w:sz w:val="22"/>
          <w:szCs w:val="22"/>
        </w:rPr>
        <w:t>Thompson Hine LLP</w:t>
      </w:r>
    </w:p>
    <w:p w:rsidR="00A14742" w:rsidRDefault="00AC7D53">
      <w:pPr>
        <w:autoSpaceDE w:val="0"/>
        <w:autoSpaceDN w:val="0"/>
        <w:adjustRightInd w:val="0"/>
        <w:spacing w:line="240" w:lineRule="auto"/>
        <w:jc w:val="left"/>
        <w:rPr>
          <w:rFonts w:eastAsiaTheme="minorHAnsi" w:cs="Arial"/>
          <w:color w:val="000000" w:themeColor="text1"/>
          <w:sz w:val="22"/>
          <w:szCs w:val="22"/>
        </w:rPr>
      </w:pPr>
      <w:r>
        <w:rPr>
          <w:rFonts w:eastAsiaTheme="minorHAnsi" w:cs="Arial"/>
          <w:color w:val="000000" w:themeColor="text1"/>
          <w:sz w:val="22"/>
          <w:szCs w:val="22"/>
        </w:rPr>
        <w:t>41 S. High Street, Suite 1700</w:t>
      </w:r>
    </w:p>
    <w:p w:rsidR="00A14742" w:rsidRDefault="00AC7D53">
      <w:pPr>
        <w:autoSpaceDE w:val="0"/>
        <w:autoSpaceDN w:val="0"/>
        <w:adjustRightInd w:val="0"/>
        <w:spacing w:line="240" w:lineRule="auto"/>
        <w:jc w:val="left"/>
        <w:rPr>
          <w:rFonts w:eastAsiaTheme="minorHAnsi" w:cs="Arial"/>
          <w:color w:val="000000" w:themeColor="text1"/>
          <w:sz w:val="22"/>
          <w:szCs w:val="22"/>
        </w:rPr>
      </w:pPr>
      <w:r>
        <w:rPr>
          <w:rFonts w:eastAsiaTheme="minorHAnsi" w:cs="Arial"/>
          <w:color w:val="000000" w:themeColor="text1"/>
          <w:sz w:val="22"/>
          <w:szCs w:val="22"/>
        </w:rPr>
        <w:t>Columbus, OH  43215</w:t>
      </w:r>
    </w:p>
    <w:p w:rsidR="00A14742" w:rsidRDefault="00AC7D53">
      <w:pPr>
        <w:autoSpaceDE w:val="0"/>
        <w:autoSpaceDN w:val="0"/>
        <w:adjustRightInd w:val="0"/>
        <w:spacing w:line="240" w:lineRule="auto"/>
        <w:jc w:val="left"/>
        <w:rPr>
          <w:rFonts w:eastAsiaTheme="minorHAnsi" w:cs="Arial"/>
          <w:color w:val="000000" w:themeColor="text1"/>
          <w:sz w:val="22"/>
          <w:szCs w:val="22"/>
        </w:rPr>
      </w:pPr>
      <w:r>
        <w:rPr>
          <w:rFonts w:eastAsiaTheme="minorHAnsi" w:cs="Arial"/>
          <w:color w:val="000000" w:themeColor="text1"/>
          <w:sz w:val="22"/>
          <w:szCs w:val="22"/>
        </w:rPr>
        <w:t>Philip.sineneng@thompsonhine.com</w:t>
      </w:r>
    </w:p>
    <w:p w:rsidR="00A14742" w:rsidRDefault="00A14742">
      <w:pPr>
        <w:autoSpaceDE w:val="0"/>
        <w:autoSpaceDN w:val="0"/>
        <w:adjustRightInd w:val="0"/>
        <w:spacing w:line="240" w:lineRule="auto"/>
        <w:jc w:val="left"/>
        <w:rPr>
          <w:rFonts w:eastAsiaTheme="minorHAnsi" w:cs="Arial"/>
          <w:color w:val="000000" w:themeColor="text1"/>
          <w:sz w:val="22"/>
          <w:szCs w:val="22"/>
        </w:rPr>
      </w:pPr>
    </w:p>
    <w:p w:rsidR="00A14742" w:rsidRDefault="00AC7D53">
      <w:pPr>
        <w:autoSpaceDE w:val="0"/>
        <w:autoSpaceDN w:val="0"/>
        <w:adjustRightInd w:val="0"/>
        <w:spacing w:line="240" w:lineRule="auto"/>
        <w:jc w:val="left"/>
        <w:rPr>
          <w:rFonts w:cs="Arial"/>
          <w:b/>
          <w:smallCaps/>
          <w:color w:val="000000" w:themeColor="text1"/>
          <w:sz w:val="22"/>
          <w:szCs w:val="22"/>
        </w:rPr>
      </w:pPr>
      <w:r>
        <w:rPr>
          <w:rFonts w:cs="Arial"/>
          <w:b/>
          <w:smallCaps/>
          <w:color w:val="000000" w:themeColor="text1"/>
          <w:sz w:val="22"/>
          <w:szCs w:val="22"/>
        </w:rPr>
        <w:t>Counsel for Duke Energy Commercial Asset Management, Inc.</w:t>
      </w:r>
    </w:p>
    <w:p w:rsidR="00A14742" w:rsidRDefault="00AC7D53">
      <w:pPr>
        <w:spacing w:line="240" w:lineRule="auto"/>
        <w:jc w:val="left"/>
        <w:rPr>
          <w:rFonts w:eastAsiaTheme="minorHAnsi" w:cs="Arial"/>
          <w:color w:val="000000" w:themeColor="text1"/>
          <w:sz w:val="22"/>
          <w:szCs w:val="22"/>
        </w:rPr>
      </w:pPr>
      <w:r>
        <w:rPr>
          <w:rFonts w:eastAsiaTheme="minorHAnsi" w:cs="Arial"/>
          <w:color w:val="000000" w:themeColor="text1"/>
          <w:sz w:val="22"/>
          <w:szCs w:val="22"/>
        </w:rPr>
        <w:br w:type="page"/>
      </w:r>
    </w:p>
    <w:p w:rsidR="00A14742" w:rsidRDefault="00AC7D53">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lastRenderedPageBreak/>
        <w:t>Mallory M. Mohler</w:t>
      </w:r>
    </w:p>
    <w:p w:rsidR="00A14742" w:rsidRDefault="00AC7D53">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Carpenter Lipps &amp; Leland LLP</w:t>
      </w:r>
    </w:p>
    <w:p w:rsidR="00A14742" w:rsidRDefault="00AC7D53">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280 North High Street, Suite 1300</w:t>
      </w:r>
    </w:p>
    <w:p w:rsidR="00A14742" w:rsidRDefault="00AC7D53">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Columbus, OH  43215</w:t>
      </w:r>
    </w:p>
    <w:p w:rsidR="00A14742" w:rsidRDefault="00AC7D53">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mohler@carpenterlipps.com</w:t>
      </w:r>
    </w:p>
    <w:p w:rsidR="00A14742" w:rsidRDefault="00A14742">
      <w:pPr>
        <w:autoSpaceDE w:val="0"/>
        <w:autoSpaceDN w:val="0"/>
        <w:adjustRightInd w:val="0"/>
        <w:spacing w:line="240" w:lineRule="auto"/>
        <w:jc w:val="left"/>
        <w:rPr>
          <w:rFonts w:cs="Arial"/>
          <w:color w:val="000000" w:themeColor="text1"/>
          <w:sz w:val="22"/>
          <w:szCs w:val="22"/>
        </w:rPr>
      </w:pPr>
    </w:p>
    <w:p w:rsidR="00A14742" w:rsidRDefault="00AC7D53">
      <w:pPr>
        <w:autoSpaceDE w:val="0"/>
        <w:autoSpaceDN w:val="0"/>
        <w:adjustRightInd w:val="0"/>
        <w:spacing w:line="240" w:lineRule="auto"/>
        <w:jc w:val="left"/>
        <w:rPr>
          <w:rFonts w:ascii="Arial Bold" w:hAnsi="Arial Bold" w:cs="Arial"/>
          <w:b/>
          <w:smallCaps/>
          <w:color w:val="000000" w:themeColor="text1"/>
          <w:sz w:val="22"/>
          <w:szCs w:val="22"/>
        </w:rPr>
      </w:pPr>
      <w:r>
        <w:rPr>
          <w:rFonts w:ascii="Arial Bold" w:hAnsi="Arial Bold" w:cs="Arial"/>
          <w:b/>
          <w:smallCaps/>
          <w:color w:val="000000" w:themeColor="text1"/>
          <w:sz w:val="22"/>
          <w:szCs w:val="22"/>
        </w:rPr>
        <w:t>Counsel for OMA Energy Group</w:t>
      </w:r>
    </w:p>
    <w:p w:rsidR="00A14742" w:rsidRDefault="00A14742">
      <w:pPr>
        <w:autoSpaceDE w:val="0"/>
        <w:autoSpaceDN w:val="0"/>
        <w:adjustRightInd w:val="0"/>
        <w:spacing w:line="240" w:lineRule="auto"/>
        <w:jc w:val="left"/>
        <w:rPr>
          <w:rFonts w:cs="Arial"/>
          <w:color w:val="000000" w:themeColor="text1"/>
          <w:sz w:val="22"/>
          <w:szCs w:val="22"/>
        </w:rPr>
      </w:pPr>
    </w:p>
    <w:p w:rsidR="00A14742" w:rsidRDefault="00AC7D53">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Thomas McNamee</w:t>
      </w:r>
    </w:p>
    <w:p w:rsidR="00A14742" w:rsidRDefault="00AC7D53">
      <w:pPr>
        <w:autoSpaceDE w:val="0"/>
        <w:autoSpaceDN w:val="0"/>
        <w:adjustRightInd w:val="0"/>
        <w:spacing w:line="240" w:lineRule="auto"/>
        <w:jc w:val="left"/>
        <w:rPr>
          <w:rFonts w:cs="Arial"/>
          <w:color w:val="000000" w:themeColor="text1"/>
          <w:sz w:val="22"/>
          <w:szCs w:val="22"/>
        </w:rPr>
      </w:pPr>
      <w:r>
        <w:rPr>
          <w:rFonts w:cs="Arial"/>
          <w:color w:val="000000" w:themeColor="text1"/>
          <w:sz w:val="22"/>
          <w:szCs w:val="22"/>
        </w:rPr>
        <w:t>Steven Beeler</w:t>
      </w:r>
    </w:p>
    <w:p w:rsidR="00A14742" w:rsidRDefault="00AC7D53">
      <w:pPr>
        <w:tabs>
          <w:tab w:val="left" w:pos="2160"/>
          <w:tab w:val="left" w:pos="2280"/>
        </w:tabs>
        <w:spacing w:line="240" w:lineRule="auto"/>
        <w:jc w:val="left"/>
        <w:rPr>
          <w:rFonts w:cs="Arial"/>
          <w:color w:val="000000" w:themeColor="text1"/>
          <w:sz w:val="22"/>
          <w:szCs w:val="22"/>
        </w:rPr>
      </w:pPr>
      <w:r>
        <w:rPr>
          <w:rFonts w:cs="Arial"/>
          <w:color w:val="000000" w:themeColor="text1"/>
          <w:sz w:val="22"/>
          <w:szCs w:val="22"/>
        </w:rPr>
        <w:t>Assistant Attorneys General</w:t>
      </w:r>
    </w:p>
    <w:p w:rsidR="00A14742" w:rsidRDefault="00AC7D53">
      <w:pPr>
        <w:tabs>
          <w:tab w:val="left" w:pos="2160"/>
          <w:tab w:val="left" w:pos="2280"/>
        </w:tabs>
        <w:spacing w:line="240" w:lineRule="auto"/>
        <w:jc w:val="left"/>
        <w:rPr>
          <w:rFonts w:cs="Arial"/>
          <w:color w:val="000000" w:themeColor="text1"/>
          <w:sz w:val="22"/>
          <w:szCs w:val="22"/>
        </w:rPr>
      </w:pPr>
      <w:r>
        <w:rPr>
          <w:rFonts w:cs="Arial"/>
          <w:color w:val="000000" w:themeColor="text1"/>
          <w:sz w:val="22"/>
          <w:szCs w:val="22"/>
        </w:rPr>
        <w:t>Public Utilities Section</w:t>
      </w:r>
    </w:p>
    <w:p w:rsidR="00A14742" w:rsidRDefault="00AC7D53">
      <w:pPr>
        <w:tabs>
          <w:tab w:val="left" w:pos="2160"/>
          <w:tab w:val="left" w:pos="2280"/>
        </w:tabs>
        <w:spacing w:line="240" w:lineRule="auto"/>
        <w:jc w:val="left"/>
        <w:rPr>
          <w:rFonts w:cs="Arial"/>
          <w:color w:val="000000" w:themeColor="text1"/>
          <w:sz w:val="22"/>
          <w:szCs w:val="22"/>
        </w:rPr>
      </w:pPr>
      <w:r>
        <w:rPr>
          <w:rFonts w:cs="Arial"/>
          <w:color w:val="000000" w:themeColor="text1"/>
          <w:sz w:val="22"/>
          <w:szCs w:val="22"/>
        </w:rPr>
        <w:t>180 E. Broad Street, 6</w:t>
      </w:r>
      <w:r>
        <w:rPr>
          <w:rFonts w:cs="Arial"/>
          <w:color w:val="000000" w:themeColor="text1"/>
          <w:sz w:val="22"/>
          <w:szCs w:val="22"/>
          <w:vertAlign w:val="superscript"/>
        </w:rPr>
        <w:t>th</w:t>
      </w:r>
      <w:r>
        <w:rPr>
          <w:rFonts w:cs="Arial"/>
          <w:color w:val="000000" w:themeColor="text1"/>
          <w:sz w:val="22"/>
          <w:szCs w:val="22"/>
        </w:rPr>
        <w:t xml:space="preserve"> Floor</w:t>
      </w:r>
    </w:p>
    <w:p w:rsidR="00A14742" w:rsidRDefault="00AC7D53">
      <w:pPr>
        <w:tabs>
          <w:tab w:val="left" w:pos="2160"/>
          <w:tab w:val="left" w:pos="2280"/>
        </w:tabs>
        <w:spacing w:line="240" w:lineRule="auto"/>
        <w:jc w:val="left"/>
        <w:rPr>
          <w:rFonts w:cs="Arial"/>
          <w:color w:val="000000" w:themeColor="text1"/>
          <w:sz w:val="22"/>
          <w:szCs w:val="22"/>
        </w:rPr>
      </w:pPr>
      <w:r>
        <w:rPr>
          <w:rFonts w:cs="Arial"/>
          <w:color w:val="000000" w:themeColor="text1"/>
          <w:sz w:val="22"/>
          <w:szCs w:val="22"/>
        </w:rPr>
        <w:t>Columbus, OH  43215-3793</w:t>
      </w:r>
    </w:p>
    <w:p w:rsidR="00A14742" w:rsidRDefault="00AC7D53">
      <w:pPr>
        <w:tabs>
          <w:tab w:val="left" w:pos="2160"/>
          <w:tab w:val="left" w:pos="2280"/>
        </w:tabs>
        <w:spacing w:line="240" w:lineRule="auto"/>
        <w:jc w:val="left"/>
        <w:rPr>
          <w:rFonts w:cs="Arial"/>
          <w:color w:val="000000" w:themeColor="text1"/>
          <w:sz w:val="22"/>
          <w:szCs w:val="22"/>
        </w:rPr>
      </w:pPr>
      <w:r>
        <w:rPr>
          <w:rFonts w:cs="Arial"/>
          <w:color w:val="000000" w:themeColor="text1"/>
          <w:sz w:val="22"/>
          <w:szCs w:val="22"/>
        </w:rPr>
        <w:t>thomas.mcnamee@puc.state.oh.us</w:t>
      </w:r>
    </w:p>
    <w:p w:rsidR="00A14742" w:rsidRDefault="00AC7D53">
      <w:pPr>
        <w:tabs>
          <w:tab w:val="left" w:pos="2160"/>
          <w:tab w:val="left" w:pos="2280"/>
        </w:tabs>
        <w:spacing w:line="240" w:lineRule="auto"/>
        <w:jc w:val="left"/>
        <w:rPr>
          <w:rFonts w:cs="Arial"/>
          <w:color w:val="000000" w:themeColor="text1"/>
          <w:sz w:val="22"/>
          <w:szCs w:val="22"/>
        </w:rPr>
      </w:pPr>
      <w:r>
        <w:rPr>
          <w:rFonts w:cs="Arial"/>
          <w:color w:val="000000" w:themeColor="text1"/>
          <w:sz w:val="22"/>
          <w:szCs w:val="22"/>
        </w:rPr>
        <w:t>steven.beeler@puc.state.oh.us</w:t>
      </w:r>
    </w:p>
    <w:p w:rsidR="00A14742" w:rsidRDefault="00A14742">
      <w:pPr>
        <w:tabs>
          <w:tab w:val="left" w:pos="2160"/>
          <w:tab w:val="left" w:pos="2280"/>
        </w:tabs>
        <w:spacing w:line="240" w:lineRule="auto"/>
        <w:jc w:val="left"/>
        <w:rPr>
          <w:rFonts w:cs="Arial"/>
          <w:color w:val="000000" w:themeColor="text1"/>
          <w:sz w:val="22"/>
          <w:szCs w:val="22"/>
        </w:rPr>
      </w:pPr>
    </w:p>
    <w:p w:rsidR="00A14742" w:rsidRDefault="00AC7D53">
      <w:pPr>
        <w:tabs>
          <w:tab w:val="left" w:pos="2160"/>
          <w:tab w:val="left" w:pos="2280"/>
        </w:tabs>
        <w:spacing w:line="240" w:lineRule="auto"/>
        <w:jc w:val="left"/>
        <w:rPr>
          <w:rFonts w:cs="Arial"/>
          <w:b/>
          <w:smallCaps/>
          <w:color w:val="000000" w:themeColor="text1"/>
          <w:sz w:val="22"/>
          <w:szCs w:val="22"/>
        </w:rPr>
      </w:pPr>
      <w:r>
        <w:rPr>
          <w:rFonts w:cs="Arial"/>
          <w:b/>
          <w:smallCaps/>
          <w:color w:val="000000" w:themeColor="text1"/>
          <w:sz w:val="22"/>
          <w:szCs w:val="22"/>
        </w:rPr>
        <w:t>Counsel for the Staff of the Public Utilities Commission of Ohio</w:t>
      </w:r>
    </w:p>
    <w:p w:rsidR="00A14742" w:rsidRDefault="00A14742">
      <w:pPr>
        <w:spacing w:line="240" w:lineRule="auto"/>
        <w:jc w:val="left"/>
        <w:rPr>
          <w:rFonts w:cs="Arial"/>
          <w:color w:val="000000" w:themeColor="text1"/>
          <w:sz w:val="22"/>
          <w:szCs w:val="22"/>
        </w:rPr>
      </w:pPr>
    </w:p>
    <w:p w:rsidR="00A14742" w:rsidRDefault="00AC7D53">
      <w:pPr>
        <w:spacing w:line="240" w:lineRule="auto"/>
        <w:jc w:val="left"/>
        <w:rPr>
          <w:rFonts w:cs="Arial"/>
          <w:color w:val="000000" w:themeColor="text1"/>
          <w:sz w:val="22"/>
          <w:szCs w:val="22"/>
        </w:rPr>
      </w:pPr>
      <w:r>
        <w:rPr>
          <w:rFonts w:cs="Arial"/>
          <w:color w:val="000000" w:themeColor="text1"/>
          <w:sz w:val="22"/>
          <w:szCs w:val="22"/>
        </w:rPr>
        <w:t>Sarah Parrot</w:t>
      </w:r>
    </w:p>
    <w:p w:rsidR="00A14742" w:rsidRDefault="00AC7D53">
      <w:pPr>
        <w:spacing w:line="240" w:lineRule="auto"/>
        <w:jc w:val="left"/>
        <w:rPr>
          <w:rFonts w:cs="Arial"/>
          <w:color w:val="000000" w:themeColor="text1"/>
          <w:sz w:val="22"/>
          <w:szCs w:val="22"/>
        </w:rPr>
      </w:pPr>
      <w:r>
        <w:rPr>
          <w:rFonts w:cs="Arial"/>
          <w:color w:val="000000" w:themeColor="text1"/>
          <w:sz w:val="22"/>
          <w:szCs w:val="22"/>
        </w:rPr>
        <w:t>Greta See</w:t>
      </w:r>
    </w:p>
    <w:p w:rsidR="00A14742" w:rsidRDefault="00AC7D53">
      <w:pPr>
        <w:spacing w:line="240" w:lineRule="auto"/>
        <w:jc w:val="left"/>
        <w:rPr>
          <w:rFonts w:cs="Arial"/>
          <w:color w:val="000000" w:themeColor="text1"/>
          <w:sz w:val="22"/>
          <w:szCs w:val="22"/>
        </w:rPr>
      </w:pPr>
      <w:r>
        <w:rPr>
          <w:rFonts w:cs="Arial"/>
          <w:color w:val="000000" w:themeColor="text1"/>
          <w:sz w:val="22"/>
          <w:szCs w:val="22"/>
        </w:rPr>
        <w:t>Attorney Examiners</w:t>
      </w:r>
    </w:p>
    <w:p w:rsidR="00A14742" w:rsidRDefault="00AC7D53">
      <w:pPr>
        <w:spacing w:line="240" w:lineRule="auto"/>
        <w:jc w:val="left"/>
        <w:rPr>
          <w:rFonts w:cs="Arial"/>
          <w:color w:val="000000" w:themeColor="text1"/>
          <w:sz w:val="22"/>
          <w:szCs w:val="22"/>
        </w:rPr>
      </w:pPr>
      <w:r>
        <w:rPr>
          <w:rFonts w:cs="Arial"/>
          <w:color w:val="000000" w:themeColor="text1"/>
          <w:sz w:val="22"/>
          <w:szCs w:val="22"/>
        </w:rPr>
        <w:t>Public Utilities Commission of Ohio</w:t>
      </w:r>
    </w:p>
    <w:p w:rsidR="00A14742" w:rsidRDefault="00AC7D53">
      <w:pPr>
        <w:spacing w:line="240" w:lineRule="auto"/>
        <w:jc w:val="left"/>
        <w:rPr>
          <w:rFonts w:cs="Arial"/>
          <w:color w:val="000000" w:themeColor="text1"/>
          <w:sz w:val="22"/>
          <w:szCs w:val="22"/>
        </w:rPr>
      </w:pPr>
      <w:r>
        <w:rPr>
          <w:rFonts w:cs="Arial"/>
          <w:color w:val="000000" w:themeColor="text1"/>
          <w:sz w:val="22"/>
          <w:szCs w:val="22"/>
        </w:rPr>
        <w:t>180 East Broad Street</w:t>
      </w:r>
    </w:p>
    <w:p w:rsidR="00A14742" w:rsidRDefault="00AC7D53">
      <w:pPr>
        <w:spacing w:line="240" w:lineRule="auto"/>
        <w:jc w:val="left"/>
        <w:rPr>
          <w:rFonts w:cs="Arial"/>
          <w:color w:val="000000" w:themeColor="text1"/>
          <w:sz w:val="22"/>
          <w:szCs w:val="22"/>
        </w:rPr>
      </w:pPr>
      <w:r>
        <w:rPr>
          <w:rFonts w:cs="Arial"/>
          <w:color w:val="000000" w:themeColor="text1"/>
          <w:sz w:val="22"/>
          <w:szCs w:val="22"/>
        </w:rPr>
        <w:t>Columbus, OH  43215-3793</w:t>
      </w:r>
    </w:p>
    <w:p w:rsidR="00A14742" w:rsidRDefault="00AC7D53">
      <w:pPr>
        <w:spacing w:line="240" w:lineRule="auto"/>
        <w:jc w:val="left"/>
        <w:rPr>
          <w:rFonts w:cs="Arial"/>
          <w:color w:val="000000" w:themeColor="text1"/>
          <w:sz w:val="22"/>
          <w:szCs w:val="22"/>
        </w:rPr>
      </w:pPr>
      <w:r>
        <w:rPr>
          <w:rFonts w:cs="Arial"/>
          <w:color w:val="000000" w:themeColor="text1"/>
          <w:sz w:val="22"/>
          <w:szCs w:val="22"/>
        </w:rPr>
        <w:t>Sarah.parrot@puc.state.oh.us</w:t>
      </w:r>
    </w:p>
    <w:p w:rsidR="00A14742" w:rsidRDefault="00AC7D53">
      <w:pPr>
        <w:spacing w:line="240" w:lineRule="auto"/>
        <w:jc w:val="left"/>
        <w:rPr>
          <w:rFonts w:cs="Arial"/>
          <w:color w:val="000000" w:themeColor="text1"/>
          <w:sz w:val="22"/>
          <w:szCs w:val="22"/>
        </w:rPr>
      </w:pPr>
      <w:r>
        <w:rPr>
          <w:rFonts w:cs="Arial"/>
          <w:color w:val="000000" w:themeColor="text1"/>
          <w:sz w:val="22"/>
          <w:szCs w:val="22"/>
        </w:rPr>
        <w:t>Greta.see@puc.state.oh.us</w:t>
      </w:r>
    </w:p>
    <w:p w:rsidR="00A14742" w:rsidRDefault="00A14742">
      <w:pPr>
        <w:spacing w:line="240" w:lineRule="auto"/>
        <w:jc w:val="left"/>
        <w:rPr>
          <w:rFonts w:cs="Arial"/>
          <w:color w:val="000000" w:themeColor="text1"/>
          <w:sz w:val="22"/>
          <w:szCs w:val="22"/>
        </w:rPr>
      </w:pPr>
    </w:p>
    <w:p w:rsidR="00A14742" w:rsidRDefault="00AC7D53">
      <w:pPr>
        <w:spacing w:line="240" w:lineRule="auto"/>
        <w:jc w:val="left"/>
        <w:rPr>
          <w:rFonts w:ascii="Arial Bold" w:hAnsi="Arial Bold" w:cs="Arial"/>
          <w:b/>
          <w:smallCaps/>
          <w:color w:val="000000" w:themeColor="text1"/>
          <w:sz w:val="22"/>
          <w:szCs w:val="22"/>
        </w:rPr>
      </w:pPr>
      <w:r>
        <w:rPr>
          <w:rFonts w:ascii="Arial Bold" w:hAnsi="Arial Bold" w:cs="Arial"/>
          <w:b/>
          <w:smallCaps/>
          <w:color w:val="000000" w:themeColor="text1"/>
          <w:sz w:val="22"/>
          <w:szCs w:val="22"/>
        </w:rPr>
        <w:t>Attorney Examiners</w:t>
      </w:r>
    </w:p>
    <w:p w:rsidR="00A14742" w:rsidRDefault="00A14742">
      <w:pPr>
        <w:spacing w:line="240" w:lineRule="auto"/>
        <w:jc w:val="left"/>
        <w:rPr>
          <w:rFonts w:cs="Arial"/>
          <w:color w:val="000000" w:themeColor="text1"/>
          <w:sz w:val="22"/>
          <w:szCs w:val="22"/>
        </w:rPr>
      </w:pPr>
    </w:p>
    <w:p w:rsidR="00A14742" w:rsidRDefault="00A14742">
      <w:pPr>
        <w:rPr>
          <w:rFonts w:eastAsia="Calibri"/>
        </w:rPr>
      </w:pPr>
    </w:p>
    <w:sectPr w:rsidR="00A14742">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742" w:rsidRDefault="00AC7D53">
      <w:pPr>
        <w:spacing w:line="240" w:lineRule="auto"/>
      </w:pPr>
      <w:r>
        <w:separator/>
      </w:r>
    </w:p>
  </w:endnote>
  <w:endnote w:type="continuationSeparator" w:id="0">
    <w:p w:rsidR="00A14742" w:rsidRDefault="00AC7D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356" w:rsidRDefault="008963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742" w:rsidRDefault="00896356">
    <w:pPr>
      <w:pStyle w:val="Footer"/>
    </w:pPr>
    <w:r w:rsidRPr="00896356">
      <w:rPr>
        <w:noProof/>
        <w:sz w:val="16"/>
      </w:rPr>
      <w:t>{C43862:6 }</w:t>
    </w:r>
    <w:r w:rsidR="00AC7D53">
      <w:rPr>
        <w:noProof/>
        <w:sz w:val="16"/>
      </w:rPr>
      <w:tab/>
    </w:r>
    <w:r w:rsidR="00AC7D53">
      <w:rPr>
        <w:noProof/>
        <w:sz w:val="20"/>
        <w:szCs w:val="20"/>
      </w:rPr>
      <w:fldChar w:fldCharType="begin"/>
    </w:r>
    <w:r w:rsidR="00AC7D53">
      <w:rPr>
        <w:noProof/>
        <w:sz w:val="20"/>
        <w:szCs w:val="20"/>
      </w:rPr>
      <w:instrText xml:space="preserve"> PAGE   \* MERGEFORMAT </w:instrText>
    </w:r>
    <w:r w:rsidR="00AC7D53">
      <w:rPr>
        <w:noProof/>
        <w:sz w:val="20"/>
        <w:szCs w:val="20"/>
      </w:rPr>
      <w:fldChar w:fldCharType="separate"/>
    </w:r>
    <w:r w:rsidR="00AC7D53">
      <w:rPr>
        <w:noProof/>
        <w:sz w:val="20"/>
        <w:szCs w:val="20"/>
      </w:rPr>
      <w:t>1</w:t>
    </w:r>
    <w:r w:rsidR="00AC7D53">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742" w:rsidRDefault="00896356">
    <w:pPr>
      <w:pStyle w:val="Footer"/>
    </w:pPr>
    <w:r w:rsidRPr="00896356">
      <w:rPr>
        <w:noProof/>
        <w:sz w:val="16"/>
      </w:rPr>
      <w:t>{C43862:6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742" w:rsidRDefault="00A1474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742" w:rsidRDefault="00896356">
    <w:pPr>
      <w:pStyle w:val="Footer"/>
      <w:rPr>
        <w:sz w:val="22"/>
        <w:szCs w:val="22"/>
      </w:rPr>
    </w:pPr>
    <w:r w:rsidRPr="00896356">
      <w:rPr>
        <w:noProof/>
        <w:sz w:val="16"/>
      </w:rPr>
      <w:t>{C43862:6 }</w:t>
    </w:r>
    <w:r w:rsidR="00AC7D53">
      <w:rPr>
        <w:noProof/>
        <w:sz w:val="16"/>
      </w:rPr>
      <w:tab/>
    </w:r>
    <w:r w:rsidR="00AC7D53">
      <w:rPr>
        <w:noProof/>
        <w:sz w:val="22"/>
        <w:szCs w:val="22"/>
      </w:rPr>
      <w:fldChar w:fldCharType="begin"/>
    </w:r>
    <w:r w:rsidR="00AC7D53">
      <w:rPr>
        <w:noProof/>
        <w:sz w:val="22"/>
        <w:szCs w:val="22"/>
      </w:rPr>
      <w:instrText xml:space="preserve"> PAGE   \* MERGEFORMAT </w:instrText>
    </w:r>
    <w:r w:rsidR="00AC7D53">
      <w:rPr>
        <w:noProof/>
        <w:sz w:val="22"/>
        <w:szCs w:val="22"/>
      </w:rPr>
      <w:fldChar w:fldCharType="separate"/>
    </w:r>
    <w:r w:rsidR="00E34AC4">
      <w:rPr>
        <w:noProof/>
        <w:sz w:val="22"/>
        <w:szCs w:val="22"/>
      </w:rPr>
      <w:t>10</w:t>
    </w:r>
    <w:r w:rsidR="00AC7D53">
      <w:rPr>
        <w:noProof/>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742" w:rsidRDefault="00896356">
    <w:pPr>
      <w:pStyle w:val="Footer"/>
    </w:pPr>
    <w:r w:rsidRPr="00896356">
      <w:rPr>
        <w:noProof/>
        <w:sz w:val="16"/>
      </w:rPr>
      <w:t>{C43862:6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742" w:rsidRDefault="00A1474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742" w:rsidRDefault="00896356">
    <w:pPr>
      <w:pStyle w:val="Footer"/>
    </w:pPr>
    <w:r w:rsidRPr="00896356">
      <w:rPr>
        <w:noProof/>
        <w:sz w:val="16"/>
      </w:rPr>
      <w:t>{C43862:6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742" w:rsidRDefault="00896356">
    <w:pPr>
      <w:pStyle w:val="Footer"/>
      <w:rPr>
        <w:rFonts w:cs="Arial"/>
      </w:rPr>
    </w:pPr>
    <w:r w:rsidRPr="00896356">
      <w:rPr>
        <w:rFonts w:cs="Arial"/>
        <w:noProof/>
        <w:sz w:val="16"/>
      </w:rPr>
      <w:t>{C43862:6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742" w:rsidRDefault="00AC7D53">
      <w:pPr>
        <w:spacing w:line="240" w:lineRule="auto"/>
        <w:rPr>
          <w:noProof/>
        </w:rPr>
      </w:pPr>
      <w:r>
        <w:rPr>
          <w:noProof/>
        </w:rPr>
        <w:separator/>
      </w:r>
    </w:p>
  </w:footnote>
  <w:footnote w:type="continuationSeparator" w:id="0">
    <w:p w:rsidR="00A14742" w:rsidRDefault="00AC7D53">
      <w:pPr>
        <w:spacing w:line="240" w:lineRule="auto"/>
      </w:pPr>
      <w:r>
        <w:continuationSeparator/>
      </w:r>
    </w:p>
  </w:footnote>
  <w:footnote w:id="1">
    <w:p w:rsidR="00A14742" w:rsidRDefault="00AC7D53">
      <w:pPr>
        <w:pStyle w:val="FootnoteText"/>
      </w:pPr>
      <w:r>
        <w:rPr>
          <w:rStyle w:val="FootnoteReference"/>
        </w:rPr>
        <w:footnoteRef/>
      </w:r>
      <w:r>
        <w:t xml:space="preserve"> </w:t>
      </w:r>
      <w:proofErr w:type="gramStart"/>
      <w:r>
        <w:t>Section 4928.141, Revised Code.</w:t>
      </w:r>
      <w:proofErr w:type="gramEnd"/>
    </w:p>
  </w:footnote>
  <w:footnote w:id="2">
    <w:p w:rsidR="00A14742" w:rsidRDefault="00AC7D53">
      <w:pPr>
        <w:pStyle w:val="FootnoteText"/>
      </w:pPr>
      <w:r>
        <w:rPr>
          <w:rStyle w:val="FootnoteReference"/>
        </w:rPr>
        <w:footnoteRef/>
      </w:r>
      <w:r>
        <w:t xml:space="preserve"> </w:t>
      </w:r>
      <w:r>
        <w:rPr>
          <w:i/>
        </w:rPr>
        <w:t>In the Matter of the Application of Columbus Southern Power Company for Approval of its Electric Security Plan; an Amendment to its Corporate Separation Plan, and the Sale or Transfer of Certain Generating Assets,</w:t>
      </w:r>
      <w:r>
        <w:t xml:space="preserve"> Case Nos. 08-917-EL-SSO</w:t>
      </w:r>
      <w:r>
        <w:rPr>
          <w:i/>
        </w:rPr>
        <w:t xml:space="preserve">, et al., </w:t>
      </w:r>
      <w:r>
        <w:t xml:space="preserve">Opinion and Order (Mar. 18, 2009) (hereinafter referred to as </w:t>
      </w:r>
      <w:r>
        <w:rPr>
          <w:i/>
        </w:rPr>
        <w:t>"ESP I"</w:t>
      </w:r>
      <w:r>
        <w:t xml:space="preserve"> and the Opinion and Order is referred to as the “ESP I Order”).</w:t>
      </w:r>
    </w:p>
  </w:footnote>
  <w:footnote w:id="3">
    <w:p w:rsidR="00A14742" w:rsidRDefault="00AC7D53">
      <w:pPr>
        <w:pStyle w:val="FootnoteText"/>
      </w:pPr>
      <w:r>
        <w:rPr>
          <w:rStyle w:val="FootnoteReference"/>
        </w:rPr>
        <w:footnoteRef/>
      </w:r>
      <w:r>
        <w:t xml:space="preserve"> ESP I Order at 15.</w:t>
      </w:r>
    </w:p>
  </w:footnote>
  <w:footnote w:id="4">
    <w:p w:rsidR="00A14742" w:rsidRDefault="00AC7D53">
      <w:pPr>
        <w:pStyle w:val="FootnoteText"/>
        <w:rPr>
          <w:rFonts w:cs="Arial"/>
        </w:rPr>
      </w:pPr>
      <w:r>
        <w:rPr>
          <w:rStyle w:val="FootnoteReference"/>
          <w:rFonts w:cs="Arial"/>
        </w:rPr>
        <w:footnoteRef/>
      </w:r>
      <w:r>
        <w:rPr>
          <w:rFonts w:cs="Arial"/>
        </w:rPr>
        <w:t xml:space="preserve"> Tr. at 54-63 (IEU-Ohio Exs. 7-12).</w:t>
      </w:r>
    </w:p>
  </w:footnote>
  <w:footnote w:id="5">
    <w:p w:rsidR="00A14742" w:rsidRDefault="00AC7D53">
      <w:pPr>
        <w:pStyle w:val="FootnoteText"/>
      </w:pPr>
      <w:r>
        <w:rPr>
          <w:rStyle w:val="FootnoteReference"/>
        </w:rPr>
        <w:footnoteRef/>
      </w:r>
      <w:r>
        <w:t xml:space="preserve"> Tr. at 64, 67-68.  </w:t>
      </w:r>
    </w:p>
  </w:footnote>
  <w:footnote w:id="6">
    <w:p w:rsidR="00A14742" w:rsidRDefault="00AC7D53">
      <w:pPr>
        <w:pStyle w:val="FootnoteText"/>
      </w:pPr>
      <w:r>
        <w:rPr>
          <w:rStyle w:val="FootnoteReference"/>
        </w:rPr>
        <w:footnoteRef/>
      </w:r>
      <w:r>
        <w:t xml:space="preserve"> </w:t>
      </w:r>
      <w:r>
        <w:rPr>
          <w:i/>
        </w:rPr>
        <w:t>See In the Matter of the Application of Ohio Power Company to Establish a Competitive Bidding Process for Procurement of Energy to Support Its Standard Service Offer</w:t>
      </w:r>
      <w:r>
        <w:t>, Case No. 12-3254-EL-UNC, Opinion and Order at 15-16 (Nov. 13, 2013) (hereinafter the “</w:t>
      </w:r>
      <w:r>
        <w:rPr>
          <w:i/>
        </w:rPr>
        <w:t>CBP Case</w:t>
      </w:r>
      <w:r>
        <w:t>” or “CBP Order”).</w:t>
      </w:r>
    </w:p>
  </w:footnote>
  <w:footnote w:id="7">
    <w:p w:rsidR="00A14742" w:rsidRDefault="00AC7D53">
      <w:pPr>
        <w:pStyle w:val="FootnoteText"/>
        <w:rPr>
          <w:rFonts w:cs="Arial"/>
        </w:rPr>
      </w:pPr>
      <w:r>
        <w:rPr>
          <w:rStyle w:val="FootnoteReference"/>
          <w:rFonts w:cs="Arial"/>
        </w:rPr>
        <w:footnoteRef/>
      </w:r>
      <w:r>
        <w:rPr>
          <w:rFonts w:cs="Arial"/>
        </w:rPr>
        <w:t xml:space="preserve"> Tr. at 67-68 (emphasis added).  Mr. Smith further stated,</w:t>
      </w:r>
      <w:r>
        <w:rPr>
          <w:rFonts w:cs="Arial"/>
          <w:i/>
        </w:rPr>
        <w:t xml:space="preserve"> </w:t>
      </w:r>
      <w:r>
        <w:rPr>
          <w:rFonts w:cs="Arial"/>
        </w:rPr>
        <w:t xml:space="preserve">“I think I would agree with that, and I am aware of the statement to that effect in the current opinion, the order that was just released last week.  That seems like an appropriate way of dealing with it; direct a future auditor to review it in a subsequent round of FAC audits.”  Tr. at 68-69.   </w:t>
      </w:r>
    </w:p>
  </w:footnote>
  <w:footnote w:id="8">
    <w:p w:rsidR="00A14742" w:rsidRDefault="00AC7D53">
      <w:pPr>
        <w:pStyle w:val="FootnoteText"/>
        <w:rPr>
          <w:rFonts w:cs="Arial"/>
        </w:rPr>
      </w:pPr>
      <w:r>
        <w:rPr>
          <w:rStyle w:val="FootnoteReference"/>
          <w:rFonts w:cs="Arial"/>
        </w:rPr>
        <w:footnoteRef/>
      </w:r>
      <w:r>
        <w:rPr>
          <w:rFonts w:cs="Arial"/>
        </w:rPr>
        <w:t xml:space="preserve"> </w:t>
      </w:r>
      <w:proofErr w:type="gramStart"/>
      <w:r>
        <w:rPr>
          <w:rFonts w:cs="Arial"/>
        </w:rPr>
        <w:t>Tr. at 53.</w:t>
      </w:r>
      <w:proofErr w:type="gramEnd"/>
      <w:r>
        <w:rPr>
          <w:rFonts w:cs="Arial"/>
        </w:rPr>
        <w:t xml:space="preserve">  </w:t>
      </w:r>
      <w:r>
        <w:rPr>
          <w:rFonts w:cs="Arial"/>
          <w:i/>
        </w:rPr>
        <w:t xml:space="preserve">See also id. </w:t>
      </w:r>
      <w:proofErr w:type="gramStart"/>
      <w:r>
        <w:rPr>
          <w:rFonts w:cs="Arial"/>
        </w:rPr>
        <w:t>at</w:t>
      </w:r>
      <w:proofErr w:type="gramEnd"/>
      <w:r>
        <w:rPr>
          <w:rFonts w:cs="Arial"/>
        </w:rPr>
        <w:t xml:space="preserve"> 49-53.</w:t>
      </w:r>
    </w:p>
  </w:footnote>
  <w:footnote w:id="9">
    <w:p w:rsidR="00A14742" w:rsidRDefault="00AC7D53">
      <w:pPr>
        <w:pStyle w:val="FootnoteText"/>
        <w:rPr>
          <w:rFonts w:cs="Arial"/>
        </w:rPr>
      </w:pPr>
      <w:r>
        <w:rPr>
          <w:rStyle w:val="FootnoteReference"/>
          <w:rFonts w:cs="Arial"/>
        </w:rPr>
        <w:footnoteRef/>
      </w:r>
      <w:r>
        <w:rPr>
          <w:rFonts w:cs="Arial"/>
        </w:rPr>
        <w:t xml:space="preserve"> </w:t>
      </w:r>
      <w:proofErr w:type="gramStart"/>
      <w:r w:rsidR="00ED31F3" w:rsidRPr="00ED31F3">
        <w:rPr>
          <w:rFonts w:cs="Arial"/>
          <w:i/>
        </w:rPr>
        <w:t>Id</w:t>
      </w:r>
      <w:r>
        <w:rPr>
          <w:rFonts w:cs="Arial"/>
        </w:rPr>
        <w:t xml:space="preserve">. at 53, 65; </w:t>
      </w:r>
      <w:r w:rsidR="00ED31F3" w:rsidRPr="00ED31F3">
        <w:rPr>
          <w:rFonts w:cs="Arial"/>
          <w:i/>
        </w:rPr>
        <w:t>Id</w:t>
      </w:r>
      <w:r w:rsidR="00ED31F3">
        <w:rPr>
          <w:rFonts w:cs="Arial"/>
        </w:rPr>
        <w:t xml:space="preserve">. </w:t>
      </w:r>
      <w:r>
        <w:rPr>
          <w:rFonts w:cs="Arial"/>
        </w:rPr>
        <w:t xml:space="preserve">at 189-90; </w:t>
      </w:r>
      <w:r w:rsidR="00ED31F3" w:rsidRPr="00ED31F3">
        <w:rPr>
          <w:rFonts w:cs="Arial"/>
          <w:i/>
        </w:rPr>
        <w:t>Id</w:t>
      </w:r>
      <w:r w:rsidR="00ED31F3">
        <w:rPr>
          <w:rFonts w:cs="Arial"/>
        </w:rPr>
        <w:t xml:space="preserve">. </w:t>
      </w:r>
      <w:r>
        <w:rPr>
          <w:rFonts w:cs="Arial"/>
        </w:rPr>
        <w:t>at 194-95.</w:t>
      </w:r>
      <w:proofErr w:type="gramEnd"/>
    </w:p>
  </w:footnote>
  <w:footnote w:id="10">
    <w:p w:rsidR="00A14742" w:rsidRDefault="00AC7D53">
      <w:pPr>
        <w:pStyle w:val="FootnoteText"/>
        <w:rPr>
          <w:rFonts w:cs="Arial"/>
        </w:rPr>
      </w:pPr>
      <w:r>
        <w:rPr>
          <w:rStyle w:val="FootnoteReference"/>
          <w:rFonts w:cs="Arial"/>
        </w:rPr>
        <w:footnoteRef/>
      </w:r>
      <w:r>
        <w:rPr>
          <w:rFonts w:cs="Arial"/>
        </w:rPr>
        <w:t xml:space="preserve"> </w:t>
      </w:r>
      <w:r w:rsidR="00ED31F3" w:rsidRPr="00ED31F3">
        <w:rPr>
          <w:rFonts w:cs="Arial"/>
          <w:i/>
        </w:rPr>
        <w:t>Id</w:t>
      </w:r>
      <w:r w:rsidR="00ED31F3">
        <w:rPr>
          <w:rFonts w:cs="Arial"/>
        </w:rPr>
        <w:t xml:space="preserve">. </w:t>
      </w:r>
      <w:r>
        <w:rPr>
          <w:rFonts w:cs="Arial"/>
        </w:rPr>
        <w:t>at 54-63 (IEU-Ohio Exs. 7-12).</w:t>
      </w:r>
    </w:p>
  </w:footnote>
  <w:footnote w:id="11">
    <w:p w:rsidR="00A14742" w:rsidRDefault="00AC7D53">
      <w:pPr>
        <w:pStyle w:val="FootnoteText"/>
        <w:rPr>
          <w:rFonts w:cs="Arial"/>
        </w:rPr>
      </w:pPr>
      <w:r>
        <w:rPr>
          <w:rStyle w:val="FootnoteReference"/>
          <w:rFonts w:cs="Arial"/>
        </w:rPr>
        <w:footnoteRef/>
      </w:r>
      <w:r>
        <w:rPr>
          <w:rFonts w:cs="Arial"/>
        </w:rPr>
        <w:t xml:space="preserve"> IEU-Ohio Ex. 10-12.  </w:t>
      </w:r>
      <w:r>
        <w:rPr>
          <w:rFonts w:cs="Arial"/>
          <w:i/>
          <w:color w:val="202020"/>
        </w:rPr>
        <w:t>See also</w:t>
      </w:r>
      <w:r>
        <w:rPr>
          <w:rFonts w:cs="Arial"/>
          <w:color w:val="202020"/>
        </w:rPr>
        <w:t xml:space="preserve"> </w:t>
      </w:r>
      <w:r>
        <w:rPr>
          <w:rFonts w:cs="Arial"/>
          <w:i/>
        </w:rPr>
        <w:t>In the Matter of the Commission Review of the Capacity Charges of Ohio Power Company and Columbus Southern Power Company</w:t>
      </w:r>
      <w:r>
        <w:rPr>
          <w:rFonts w:cs="Arial"/>
        </w:rPr>
        <w:t>, Case No. 10-2929-EL-UNC, Opinion and Order at 25 (Jul. 2, 2012).  This case is hereinafter referred to as the “</w:t>
      </w:r>
      <w:r>
        <w:rPr>
          <w:rFonts w:cs="Arial"/>
          <w:i/>
        </w:rPr>
        <w:t>Capacity Case</w:t>
      </w:r>
      <w:r>
        <w:rPr>
          <w:rFonts w:cs="Arial"/>
        </w:rPr>
        <w:t xml:space="preserve">” and the Opinion and Order is hereinafter referred to as the “Capacity Case Order.” </w:t>
      </w:r>
    </w:p>
  </w:footnote>
  <w:footnote w:id="12">
    <w:p w:rsidR="00A14742" w:rsidRDefault="00AC7D53">
      <w:pPr>
        <w:pStyle w:val="FootnoteText"/>
      </w:pPr>
      <w:r>
        <w:rPr>
          <w:rStyle w:val="FootnoteReference"/>
        </w:rPr>
        <w:footnoteRef/>
      </w:r>
      <w:r>
        <w:t xml:space="preserve"> In 2010, the merger of Columbus Southern Power Company (“CSP”) into Ohio Power Company (“OPCo”) had not yet been completed and therefore, technically, Dr. Pearce relied on the separate FERC Form 1’s filed by </w:t>
      </w:r>
      <w:r w:rsidR="00ED31F3">
        <w:t xml:space="preserve">OPCo </w:t>
      </w:r>
      <w:r>
        <w:t xml:space="preserve">and </w:t>
      </w:r>
      <w:r w:rsidR="00ED31F3">
        <w:t>CSP</w:t>
      </w:r>
      <w:r>
        <w:t xml:space="preserve">.  This distinction is immaterial to this document as Dr. Pearce’s calculation of capacity costs was presented on a merged basis.  </w:t>
      </w:r>
    </w:p>
  </w:footnote>
  <w:footnote w:id="13">
    <w:p w:rsidR="00A14742" w:rsidRDefault="00AC7D53">
      <w:pPr>
        <w:pStyle w:val="FootnoteText"/>
        <w:rPr>
          <w:rFonts w:cs="Arial"/>
        </w:rPr>
      </w:pPr>
      <w:r>
        <w:rPr>
          <w:rStyle w:val="FootnoteReference"/>
          <w:rFonts w:cs="Arial"/>
        </w:rPr>
        <w:footnoteRef/>
      </w:r>
      <w:r>
        <w:rPr>
          <w:rFonts w:cs="Arial"/>
        </w:rPr>
        <w:t xml:space="preserve"> </w:t>
      </w:r>
      <w:proofErr w:type="gramStart"/>
      <w:r>
        <w:rPr>
          <w:rFonts w:cs="Arial"/>
        </w:rPr>
        <w:t>IEU-Ohio Exs.</w:t>
      </w:r>
      <w:proofErr w:type="gramEnd"/>
      <w:r>
        <w:rPr>
          <w:rFonts w:cs="Arial"/>
        </w:rPr>
        <w:t xml:space="preserve"> </w:t>
      </w:r>
      <w:proofErr w:type="gramStart"/>
      <w:r>
        <w:rPr>
          <w:rFonts w:cs="Arial"/>
        </w:rPr>
        <w:t>8 &amp; 9.</w:t>
      </w:r>
      <w:proofErr w:type="gramEnd"/>
    </w:p>
  </w:footnote>
  <w:footnote w:id="14">
    <w:p w:rsidR="00A14742" w:rsidRDefault="00AC7D53">
      <w:pPr>
        <w:pStyle w:val="FootnoteText"/>
        <w:rPr>
          <w:rFonts w:cs="Arial"/>
        </w:rPr>
      </w:pPr>
      <w:r>
        <w:rPr>
          <w:rStyle w:val="FootnoteReference"/>
          <w:rFonts w:cs="Arial"/>
        </w:rPr>
        <w:footnoteRef/>
      </w:r>
      <w:r>
        <w:rPr>
          <w:rFonts w:cs="Arial"/>
        </w:rPr>
        <w:t xml:space="preserve"> IEU-Ohio Ex. 7.  </w:t>
      </w:r>
      <w:r>
        <w:rPr>
          <w:rFonts w:cs="Arial"/>
          <w:i/>
        </w:rPr>
        <w:t xml:space="preserve">See also </w:t>
      </w:r>
      <w:r>
        <w:rPr>
          <w:rFonts w:cs="Arial"/>
        </w:rPr>
        <w:t>Capacity Case Order at 24-25.</w:t>
      </w:r>
    </w:p>
  </w:footnote>
  <w:footnote w:id="15">
    <w:p w:rsidR="00A14742" w:rsidRDefault="00AC7D53">
      <w:pPr>
        <w:pStyle w:val="FootnoteText"/>
        <w:rPr>
          <w:rFonts w:cs="Arial"/>
        </w:rPr>
      </w:pPr>
      <w:r>
        <w:rPr>
          <w:rStyle w:val="FootnoteReference"/>
          <w:rFonts w:cs="Arial"/>
        </w:rPr>
        <w:footnoteRef/>
      </w:r>
      <w:r>
        <w:rPr>
          <w:rFonts w:cs="Arial"/>
        </w:rPr>
        <w:t xml:space="preserve"> </w:t>
      </w:r>
      <w:proofErr w:type="gramStart"/>
      <w:r>
        <w:rPr>
          <w:rFonts w:cs="Arial"/>
        </w:rPr>
        <w:t xml:space="preserve">IEU-Ohio Ex. 7 at KDP-3 (Page 14, Line 11, Column 2); </w:t>
      </w:r>
      <w:r w:rsidR="0093249C" w:rsidRPr="00ED31F3">
        <w:rPr>
          <w:rFonts w:cs="Arial"/>
          <w:i/>
        </w:rPr>
        <w:t>Id</w:t>
      </w:r>
      <w:r w:rsidR="0093249C">
        <w:rPr>
          <w:rFonts w:cs="Arial"/>
        </w:rPr>
        <w:t xml:space="preserve">. </w:t>
      </w:r>
      <w:r>
        <w:rPr>
          <w:rFonts w:cs="Arial"/>
        </w:rPr>
        <w:t xml:space="preserve">at KPD-4 (Page 14, Line 11, Column 2); IEU-Ohio Ex. 9 at 326-327 (Line 1); </w:t>
      </w:r>
      <w:r w:rsidR="0093249C" w:rsidRPr="00ED31F3">
        <w:rPr>
          <w:rFonts w:cs="Arial"/>
          <w:i/>
        </w:rPr>
        <w:t>Id</w:t>
      </w:r>
      <w:r w:rsidR="0093249C">
        <w:rPr>
          <w:rFonts w:cs="Arial"/>
        </w:rPr>
        <w:t xml:space="preserve">. </w:t>
      </w:r>
      <w:r>
        <w:rPr>
          <w:rFonts w:cs="Arial"/>
        </w:rPr>
        <w:t>at 326.3-327.3 (Line 2); IEU-Ohio Ex. 8 at 326.3-327.3 (Line 2).</w:t>
      </w:r>
      <w:proofErr w:type="gramEnd"/>
    </w:p>
  </w:footnote>
  <w:footnote w:id="16">
    <w:p w:rsidR="00A14742" w:rsidRDefault="00AC7D53">
      <w:pPr>
        <w:pStyle w:val="FootnoteText"/>
      </w:pPr>
      <w:r>
        <w:rPr>
          <w:rStyle w:val="FootnoteReference"/>
        </w:rPr>
        <w:footnoteRef/>
      </w:r>
      <w:r>
        <w:t xml:space="preserve"> </w:t>
      </w:r>
      <w:proofErr w:type="gramStart"/>
      <w:r>
        <w:t>Capacity Case</w:t>
      </w:r>
      <w:r>
        <w:rPr>
          <w:i/>
        </w:rPr>
        <w:t xml:space="preserve"> </w:t>
      </w:r>
      <w:r>
        <w:t>Order at 25.</w:t>
      </w:r>
      <w:proofErr w:type="gramEnd"/>
    </w:p>
  </w:footnote>
  <w:footnote w:id="17">
    <w:p w:rsidR="00A14742" w:rsidRDefault="00AC7D53">
      <w:pPr>
        <w:pStyle w:val="FootnoteText"/>
        <w:rPr>
          <w:rFonts w:cs="Arial"/>
        </w:rPr>
      </w:pPr>
      <w:r>
        <w:rPr>
          <w:rStyle w:val="FootnoteReference"/>
          <w:rFonts w:cs="Arial"/>
        </w:rPr>
        <w:footnoteRef/>
      </w:r>
      <w:r>
        <w:rPr>
          <w:rFonts w:cs="Arial"/>
        </w:rPr>
        <w:t xml:space="preserve"> </w:t>
      </w:r>
      <w:proofErr w:type="gramStart"/>
      <w:r>
        <w:rPr>
          <w:rFonts w:cs="Arial"/>
        </w:rPr>
        <w:t>IEU-Ohio Exs.</w:t>
      </w:r>
      <w:proofErr w:type="gramEnd"/>
      <w:r>
        <w:rPr>
          <w:rFonts w:cs="Arial"/>
        </w:rPr>
        <w:t xml:space="preserve"> 1-6.</w:t>
      </w:r>
    </w:p>
  </w:footnote>
  <w:footnote w:id="18">
    <w:p w:rsidR="00A14742" w:rsidRDefault="00AC7D53">
      <w:pPr>
        <w:pStyle w:val="FootnoteText"/>
        <w:rPr>
          <w:rFonts w:cs="Arial"/>
        </w:rPr>
      </w:pPr>
      <w:r>
        <w:rPr>
          <w:rStyle w:val="FootnoteReference"/>
          <w:rFonts w:cs="Arial"/>
        </w:rPr>
        <w:footnoteRef/>
      </w:r>
      <w:r>
        <w:rPr>
          <w:rFonts w:cs="Arial"/>
        </w:rPr>
        <w:t xml:space="preserve"> IEU-Ohio Ex. 7 at KDP-3 (Page 2).</w:t>
      </w:r>
    </w:p>
  </w:footnote>
  <w:footnote w:id="19">
    <w:p w:rsidR="00A14742" w:rsidRDefault="00AC7D53">
      <w:pPr>
        <w:pStyle w:val="FootnoteText"/>
      </w:pPr>
      <w:r>
        <w:rPr>
          <w:rStyle w:val="FootnoteReference"/>
        </w:rPr>
        <w:footnoteRef/>
      </w:r>
      <w:r>
        <w:t xml:space="preserve"> Operation and Maintenance is hereinafter referred to as “O&amp;M”.</w:t>
      </w:r>
    </w:p>
  </w:footnote>
  <w:footnote w:id="20">
    <w:p w:rsidR="00A14742" w:rsidRDefault="00AC7D53">
      <w:pPr>
        <w:pStyle w:val="FootnoteText"/>
        <w:rPr>
          <w:rFonts w:cs="Arial"/>
        </w:rPr>
      </w:pPr>
      <w:r>
        <w:rPr>
          <w:rStyle w:val="FootnoteReference"/>
          <w:rFonts w:cs="Arial"/>
        </w:rPr>
        <w:footnoteRef/>
      </w:r>
      <w:r>
        <w:rPr>
          <w:rFonts w:cs="Arial"/>
        </w:rPr>
        <w:t xml:space="preserve"> IEU-Ohio Ex. 7 at KDP-3 (Page 4, Line 2).  </w:t>
      </w:r>
    </w:p>
  </w:footnote>
  <w:footnote w:id="21">
    <w:p w:rsidR="00A14742" w:rsidRDefault="00AC7D53">
      <w:pPr>
        <w:pStyle w:val="FootnoteText"/>
        <w:rPr>
          <w:rFonts w:cs="Arial"/>
        </w:rPr>
      </w:pPr>
      <w:r>
        <w:rPr>
          <w:rStyle w:val="FootnoteReference"/>
          <w:rFonts w:cs="Arial"/>
        </w:rPr>
        <w:footnoteRef/>
      </w:r>
      <w:r>
        <w:rPr>
          <w:rFonts w:cs="Arial"/>
        </w:rPr>
        <w:t xml:space="preserve"> </w:t>
      </w:r>
      <w:proofErr w:type="gramStart"/>
      <w:r w:rsidR="00F25E84" w:rsidRPr="00ED31F3">
        <w:rPr>
          <w:rFonts w:cs="Arial"/>
          <w:i/>
        </w:rPr>
        <w:t>Id</w:t>
      </w:r>
      <w:r w:rsidR="00F25E84">
        <w:rPr>
          <w:rFonts w:cs="Arial"/>
        </w:rPr>
        <w:t xml:space="preserve">. </w:t>
      </w:r>
      <w:r>
        <w:rPr>
          <w:rFonts w:cs="Arial"/>
        </w:rPr>
        <w:t>at KDP-3 (Page 14, Column 2, Line 11,).</w:t>
      </w:r>
      <w:proofErr w:type="gramEnd"/>
      <w:r>
        <w:rPr>
          <w:rFonts w:cs="Arial"/>
        </w:rPr>
        <w:t xml:space="preserve">  </w:t>
      </w:r>
    </w:p>
  </w:footnote>
  <w:footnote w:id="22">
    <w:p w:rsidR="00A14742" w:rsidRDefault="00AC7D53">
      <w:pPr>
        <w:pStyle w:val="FootnoteText"/>
        <w:rPr>
          <w:rFonts w:cs="Arial"/>
        </w:rPr>
      </w:pPr>
      <w:r>
        <w:rPr>
          <w:rStyle w:val="FootnoteReference"/>
          <w:rFonts w:cs="Arial"/>
        </w:rPr>
        <w:footnoteRef/>
      </w:r>
      <w:r>
        <w:rPr>
          <w:rFonts w:cs="Arial"/>
        </w:rPr>
        <w:t xml:space="preserve"> IEU-Ohio Ex. 9 at 326-327 (Line 1).</w:t>
      </w:r>
    </w:p>
  </w:footnote>
  <w:footnote w:id="23">
    <w:p w:rsidR="00A14742" w:rsidRDefault="00AC7D53">
      <w:pPr>
        <w:pStyle w:val="FootnoteText"/>
        <w:rPr>
          <w:rFonts w:cs="Arial"/>
        </w:rPr>
      </w:pPr>
      <w:r>
        <w:rPr>
          <w:rStyle w:val="FootnoteReference"/>
          <w:rFonts w:cs="Arial"/>
        </w:rPr>
        <w:footnoteRef/>
      </w:r>
      <w:r>
        <w:rPr>
          <w:rFonts w:cs="Arial"/>
        </w:rPr>
        <w:t xml:space="preserve"> </w:t>
      </w:r>
      <w:r w:rsidR="00F25E84" w:rsidRPr="00ED31F3">
        <w:rPr>
          <w:rFonts w:cs="Arial"/>
          <w:i/>
        </w:rPr>
        <w:t>Id</w:t>
      </w:r>
      <w:r w:rsidR="00F25E84">
        <w:rPr>
          <w:rFonts w:cs="Arial"/>
        </w:rPr>
        <w:t xml:space="preserve">. </w:t>
      </w:r>
      <w:r>
        <w:rPr>
          <w:rFonts w:cs="Arial"/>
        </w:rPr>
        <w:t>at 326.3-327.3.</w:t>
      </w:r>
    </w:p>
  </w:footnote>
  <w:footnote w:id="24">
    <w:p w:rsidR="00A14742" w:rsidRDefault="00AC7D53">
      <w:pPr>
        <w:pStyle w:val="FootnoteText"/>
        <w:rPr>
          <w:rFonts w:cs="Arial"/>
        </w:rPr>
      </w:pPr>
      <w:r>
        <w:rPr>
          <w:rStyle w:val="FootnoteReference"/>
          <w:rFonts w:cs="Arial"/>
        </w:rPr>
        <w:footnoteRef/>
      </w:r>
      <w:r>
        <w:rPr>
          <w:rFonts w:cs="Arial"/>
        </w:rPr>
        <w:t xml:space="preserve"> IEU-Ohio Ex. 1. CSP’s response may marginally overstate the amount of non-fuel costs AEP-Ohio recovered through the FAC, as CSP allocated O&amp;M expenses and taxes between SSO and non-SSO sales.  </w:t>
      </w:r>
      <w:r>
        <w:rPr>
          <w:rFonts w:cs="Arial"/>
          <w:i/>
        </w:rPr>
        <w:t xml:space="preserve">See </w:t>
      </w:r>
      <w:r>
        <w:rPr>
          <w:rFonts w:cs="Arial"/>
        </w:rPr>
        <w:t xml:space="preserve">IEU-Ohio Ex. 2; IEU-Ohio Ex. 4.  This allocation, however, only affects Accounts 5550046, 5500586, and 5550087 and reduces the amount of these accounts allocated to the FAC by approximately 12 percent.  </w:t>
      </w:r>
      <w:proofErr w:type="gramStart"/>
      <w:r>
        <w:rPr>
          <w:rFonts w:cs="Arial"/>
        </w:rPr>
        <w:t>IEU-Ohio Ex. 13 at 1-2 to 1-5; IEU-Ohio Ex</w:t>
      </w:r>
      <w:r w:rsidR="00F25E84">
        <w:rPr>
          <w:rFonts w:cs="Arial"/>
        </w:rPr>
        <w:t>s</w:t>
      </w:r>
      <w:r>
        <w:rPr>
          <w:rFonts w:cs="Arial"/>
        </w:rPr>
        <w:t>.</w:t>
      </w:r>
      <w:proofErr w:type="gramEnd"/>
      <w:r>
        <w:rPr>
          <w:rFonts w:cs="Arial"/>
        </w:rPr>
        <w:t xml:space="preserve"> </w:t>
      </w:r>
      <w:proofErr w:type="gramStart"/>
      <w:r>
        <w:rPr>
          <w:rFonts w:cs="Arial"/>
        </w:rPr>
        <w:t xml:space="preserve">2 </w:t>
      </w:r>
      <w:r w:rsidR="00F25E84">
        <w:rPr>
          <w:rFonts w:cs="Arial"/>
        </w:rPr>
        <w:t xml:space="preserve">&amp; </w:t>
      </w:r>
      <w:r>
        <w:rPr>
          <w:rFonts w:cs="Arial"/>
        </w:rPr>
        <w:t>4.</w:t>
      </w:r>
      <w:proofErr w:type="gramEnd"/>
      <w:r>
        <w:rPr>
          <w:rFonts w:cs="Arial"/>
        </w:rPr>
        <w:t xml:space="preserve">  The allocation process does not impact the $36 million in depreciation and capacity costs that CSP allocated to the FAC.  </w:t>
      </w:r>
      <w:proofErr w:type="gramStart"/>
      <w:r>
        <w:rPr>
          <w:rFonts w:cs="Arial"/>
        </w:rPr>
        <w:t>Tr. at 134.</w:t>
      </w:r>
      <w:proofErr w:type="gramEnd"/>
      <w:r>
        <w:rPr>
          <w:rFonts w:cs="Arial"/>
        </w:rPr>
        <w:t xml:space="preserve">  In total, CSP allocated approximately $58 million to the FAC related to Lawrenceburg for each year.  </w:t>
      </w:r>
      <w:proofErr w:type="gramStart"/>
      <w:r>
        <w:rPr>
          <w:rFonts w:cs="Arial"/>
        </w:rPr>
        <w:t>IEU-Ohio Ex</w:t>
      </w:r>
      <w:r w:rsidR="00F25E84">
        <w:rPr>
          <w:rFonts w:cs="Arial"/>
        </w:rPr>
        <w:t>s</w:t>
      </w:r>
      <w:r>
        <w:rPr>
          <w:rFonts w:cs="Arial"/>
        </w:rPr>
        <w:t>.</w:t>
      </w:r>
      <w:proofErr w:type="gramEnd"/>
      <w:r>
        <w:rPr>
          <w:rFonts w:cs="Arial"/>
        </w:rPr>
        <w:t xml:space="preserve"> </w:t>
      </w:r>
      <w:proofErr w:type="gramStart"/>
      <w:r>
        <w:rPr>
          <w:rFonts w:cs="Arial"/>
        </w:rPr>
        <w:t xml:space="preserve">1 </w:t>
      </w:r>
      <w:r w:rsidR="00F25E84">
        <w:rPr>
          <w:rFonts w:cs="Arial"/>
        </w:rPr>
        <w:t xml:space="preserve">&amp; </w:t>
      </w:r>
      <w:r>
        <w:rPr>
          <w:rFonts w:cs="Arial"/>
        </w:rPr>
        <w:t>3.</w:t>
      </w:r>
      <w:proofErr w:type="gramEnd"/>
      <w:r>
        <w:rPr>
          <w:rFonts w:cs="Arial"/>
        </w:rPr>
        <w:t xml:space="preserve">  </w:t>
      </w:r>
      <w:r>
        <w:rPr>
          <w:rFonts w:cs="Arial"/>
          <w:i/>
        </w:rPr>
        <w:t xml:space="preserve">See also </w:t>
      </w:r>
      <w:r>
        <w:rPr>
          <w:rFonts w:cs="Arial"/>
        </w:rPr>
        <w:t xml:space="preserve">IEU-Ohio Ex. 13 at 1-2 to 1-5. </w:t>
      </w:r>
    </w:p>
  </w:footnote>
  <w:footnote w:id="25">
    <w:p w:rsidR="00A14742" w:rsidRDefault="00AC7D53">
      <w:pPr>
        <w:pStyle w:val="FootnoteText"/>
        <w:rPr>
          <w:rFonts w:cs="Arial"/>
        </w:rPr>
      </w:pPr>
      <w:r>
        <w:rPr>
          <w:rStyle w:val="FootnoteReference"/>
          <w:rFonts w:cs="Arial"/>
        </w:rPr>
        <w:footnoteRef/>
      </w:r>
      <w:r>
        <w:rPr>
          <w:rFonts w:cs="Arial"/>
        </w:rPr>
        <w:t xml:space="preserve"> IEU-Ohio Ex. 5.</w:t>
      </w:r>
    </w:p>
  </w:footnote>
  <w:footnote w:id="26">
    <w:p w:rsidR="00A14742" w:rsidRDefault="00AC7D53">
      <w:pPr>
        <w:pStyle w:val="FootnoteText"/>
        <w:rPr>
          <w:rFonts w:cs="Arial"/>
        </w:rPr>
      </w:pPr>
      <w:r>
        <w:rPr>
          <w:rStyle w:val="FootnoteReference"/>
          <w:rFonts w:cs="Arial"/>
        </w:rPr>
        <w:footnoteRef/>
      </w:r>
      <w:r>
        <w:rPr>
          <w:rFonts w:cs="Arial"/>
        </w:rPr>
        <w:t xml:space="preserve"> IEU-Ohio Ex. 7 at KDP-4 (Page 2).</w:t>
      </w:r>
    </w:p>
  </w:footnote>
  <w:footnote w:id="27">
    <w:p w:rsidR="00A14742" w:rsidRDefault="00AC7D53">
      <w:pPr>
        <w:pStyle w:val="FootnoteText"/>
        <w:rPr>
          <w:rFonts w:cs="Arial"/>
        </w:rPr>
      </w:pPr>
      <w:r>
        <w:rPr>
          <w:rStyle w:val="FootnoteReference"/>
          <w:rFonts w:cs="Arial"/>
        </w:rPr>
        <w:footnoteRef/>
      </w:r>
      <w:r>
        <w:rPr>
          <w:rFonts w:cs="Arial"/>
        </w:rPr>
        <w:t xml:space="preserve"> </w:t>
      </w:r>
      <w:r w:rsidR="00F25E84" w:rsidRPr="00ED31F3">
        <w:rPr>
          <w:rFonts w:cs="Arial"/>
          <w:i/>
        </w:rPr>
        <w:t>Id</w:t>
      </w:r>
      <w:r w:rsidR="00F25E84">
        <w:rPr>
          <w:rFonts w:cs="Arial"/>
        </w:rPr>
        <w:t xml:space="preserve">.  </w:t>
      </w:r>
      <w:proofErr w:type="gramStart"/>
      <w:r w:rsidR="00F25E84">
        <w:rPr>
          <w:rFonts w:cs="Arial"/>
        </w:rPr>
        <w:t>at</w:t>
      </w:r>
      <w:proofErr w:type="gramEnd"/>
      <w:r w:rsidR="00F25E84">
        <w:rPr>
          <w:rFonts w:cs="Arial"/>
        </w:rPr>
        <w:t xml:space="preserve"> </w:t>
      </w:r>
      <w:r>
        <w:rPr>
          <w:rFonts w:cs="Arial"/>
        </w:rPr>
        <w:t xml:space="preserve">KDP-4 (Page 4, Line 2).  </w:t>
      </w:r>
    </w:p>
  </w:footnote>
  <w:footnote w:id="28">
    <w:p w:rsidR="00A14742" w:rsidRDefault="00AC7D53">
      <w:pPr>
        <w:pStyle w:val="FootnoteText"/>
        <w:rPr>
          <w:rFonts w:cs="Arial"/>
        </w:rPr>
      </w:pPr>
      <w:r>
        <w:rPr>
          <w:rStyle w:val="FootnoteReference"/>
          <w:rFonts w:cs="Arial"/>
        </w:rPr>
        <w:footnoteRef/>
      </w:r>
      <w:r>
        <w:rPr>
          <w:rFonts w:cs="Arial"/>
        </w:rPr>
        <w:t xml:space="preserve"> </w:t>
      </w:r>
      <w:r w:rsidR="00F25E84" w:rsidRPr="00ED31F3">
        <w:rPr>
          <w:rFonts w:cs="Arial"/>
          <w:i/>
        </w:rPr>
        <w:t>Id</w:t>
      </w:r>
      <w:r w:rsidR="00F25E84">
        <w:rPr>
          <w:rFonts w:cs="Arial"/>
        </w:rPr>
        <w:t xml:space="preserve">.  </w:t>
      </w:r>
      <w:proofErr w:type="gramStart"/>
      <w:r w:rsidR="00F25E84">
        <w:rPr>
          <w:rFonts w:cs="Arial"/>
        </w:rPr>
        <w:t>at</w:t>
      </w:r>
      <w:proofErr w:type="gramEnd"/>
      <w:r w:rsidR="00F25E84">
        <w:rPr>
          <w:rFonts w:cs="Arial"/>
        </w:rPr>
        <w:t xml:space="preserve"> </w:t>
      </w:r>
      <w:r>
        <w:rPr>
          <w:rFonts w:cs="Arial"/>
        </w:rPr>
        <w:t xml:space="preserve">KDP-4 </w:t>
      </w:r>
      <w:r w:rsidR="00F25E84">
        <w:rPr>
          <w:rFonts w:cs="Arial"/>
        </w:rPr>
        <w:t>(</w:t>
      </w:r>
      <w:r>
        <w:rPr>
          <w:rFonts w:cs="Arial"/>
        </w:rPr>
        <w:t>Page 14</w:t>
      </w:r>
      <w:r w:rsidR="00F25E84">
        <w:rPr>
          <w:rFonts w:cs="Arial"/>
        </w:rPr>
        <w:t>,</w:t>
      </w:r>
      <w:r>
        <w:rPr>
          <w:rFonts w:cs="Arial"/>
        </w:rPr>
        <w:t xml:space="preserve"> Line 11, Column 2).  </w:t>
      </w:r>
    </w:p>
  </w:footnote>
  <w:footnote w:id="29">
    <w:p w:rsidR="00A14742" w:rsidRDefault="00AC7D53">
      <w:pPr>
        <w:pStyle w:val="FootnoteText"/>
        <w:rPr>
          <w:rFonts w:cs="Arial"/>
        </w:rPr>
      </w:pPr>
      <w:r>
        <w:rPr>
          <w:rStyle w:val="FootnoteReference"/>
          <w:rFonts w:cs="Arial"/>
        </w:rPr>
        <w:footnoteRef/>
      </w:r>
      <w:r>
        <w:rPr>
          <w:rFonts w:cs="Arial"/>
        </w:rPr>
        <w:t xml:space="preserve"> IEU-Ohio Ex. 8 at 326.3-327.3.</w:t>
      </w:r>
    </w:p>
  </w:footnote>
  <w:footnote w:id="30">
    <w:p w:rsidR="00A14742" w:rsidRDefault="00AC7D53">
      <w:pPr>
        <w:spacing w:after="120" w:line="240" w:lineRule="auto"/>
        <w:rPr>
          <w:rFonts w:cs="Arial"/>
          <w:color w:val="000000"/>
          <w:sz w:val="20"/>
          <w:szCs w:val="20"/>
        </w:rPr>
      </w:pPr>
      <w:r>
        <w:rPr>
          <w:rStyle w:val="FootnoteReference"/>
          <w:rFonts w:cs="Arial"/>
          <w:sz w:val="20"/>
          <w:szCs w:val="20"/>
        </w:rPr>
        <w:footnoteRef/>
      </w:r>
      <w:r>
        <w:rPr>
          <w:rFonts w:cs="Arial"/>
          <w:sz w:val="20"/>
          <w:szCs w:val="20"/>
        </w:rPr>
        <w:t xml:space="preserve"> IEU-Ohio Ex. 5.  The difference between the FAC recovery and capacity formula is related to OPCo’s allocation of purchased power costs to Wheeling Power.  </w:t>
      </w:r>
      <w:proofErr w:type="gramStart"/>
      <w:r>
        <w:rPr>
          <w:rFonts w:cs="Arial"/>
          <w:sz w:val="20"/>
          <w:szCs w:val="20"/>
        </w:rPr>
        <w:t>Tr. at 179.</w:t>
      </w:r>
      <w:proofErr w:type="gramEnd"/>
      <w:r>
        <w:rPr>
          <w:rFonts w:cs="Arial"/>
          <w:sz w:val="20"/>
          <w:szCs w:val="20"/>
        </w:rPr>
        <w:t xml:space="preserve">  AEP-Ohio recovered </w:t>
      </w:r>
      <w:r>
        <w:rPr>
          <w:rFonts w:cs="Arial"/>
          <w:color w:val="000000"/>
          <w:sz w:val="20"/>
          <w:szCs w:val="20"/>
        </w:rPr>
        <w:t xml:space="preserve">$44,451,633 for OVEC through the FAC in 2011.  IEU-Ohio Ex. 6. </w:t>
      </w:r>
    </w:p>
  </w:footnote>
  <w:footnote w:id="31">
    <w:p w:rsidR="00A14742" w:rsidRDefault="00AC7D53">
      <w:pPr>
        <w:pStyle w:val="FootnoteText"/>
      </w:pPr>
      <w:r>
        <w:rPr>
          <w:rStyle w:val="FootnoteReference"/>
        </w:rPr>
        <w:footnoteRef/>
      </w:r>
      <w:r>
        <w:t xml:space="preserve"> IEU-Ohio Initial Brief at 9-16.</w:t>
      </w:r>
    </w:p>
  </w:footnote>
  <w:footnote w:id="32">
    <w:p w:rsidR="00A14742" w:rsidRDefault="00AC7D53">
      <w:pPr>
        <w:pStyle w:val="FootnoteText"/>
      </w:pPr>
      <w:r>
        <w:rPr>
          <w:rStyle w:val="FootnoteReference"/>
        </w:rPr>
        <w:footnoteRef/>
      </w:r>
      <w:r>
        <w:t xml:space="preserve"> FAC Order at 6 (emphasis added).</w:t>
      </w:r>
    </w:p>
  </w:footnote>
  <w:footnote w:id="33">
    <w:p w:rsidR="00A14742" w:rsidRDefault="00AC7D53">
      <w:pPr>
        <w:pStyle w:val="FootnoteText"/>
      </w:pPr>
      <w:r>
        <w:rPr>
          <w:rStyle w:val="FootnoteReference"/>
        </w:rPr>
        <w:footnoteRef/>
      </w:r>
      <w:r>
        <w:t xml:space="preserve"> </w:t>
      </w:r>
      <w:r>
        <w:rPr>
          <w:i/>
        </w:rPr>
        <w:t>In the Matter of the Complaint of</w:t>
      </w:r>
      <w:r>
        <w:t xml:space="preserve"> </w:t>
      </w:r>
      <w:r>
        <w:rPr>
          <w:bCs/>
          <w:i/>
        </w:rPr>
        <w:t xml:space="preserve">S.G. Foods, Inc., Pak Yan Lui, and John </w:t>
      </w:r>
      <w:proofErr w:type="gramStart"/>
      <w:r>
        <w:rPr>
          <w:bCs/>
          <w:i/>
        </w:rPr>
        <w:t>Summers  v</w:t>
      </w:r>
      <w:proofErr w:type="gramEnd"/>
      <w:r>
        <w:rPr>
          <w:bCs/>
          <w:i/>
        </w:rPr>
        <w:t xml:space="preserve">. FirstEnergy Corp., American Transmission Systems, Inc., Ohio Edison Company, and The Cleveland Electric Illuminating Company, </w:t>
      </w:r>
      <w:r>
        <w:rPr>
          <w:bCs/>
        </w:rPr>
        <w:t xml:space="preserve">Case Nos. 04-28-EL-CSS, </w:t>
      </w:r>
      <w:r>
        <w:rPr>
          <w:bCs/>
          <w:i/>
        </w:rPr>
        <w:t>et al</w:t>
      </w:r>
      <w:r>
        <w:rPr>
          <w:bCs/>
        </w:rPr>
        <w:t>., Entry on Rehearing at 6 (Apr. 26, 2006) (“While it is true that the Commission has the leeway to apply evidentiary rules as we think appropriate, the rules are certainly instructive.”).</w:t>
      </w:r>
    </w:p>
  </w:footnote>
  <w:footnote w:id="34">
    <w:p w:rsidR="00A14742" w:rsidRDefault="00AC7D53">
      <w:pPr>
        <w:pStyle w:val="FootnoteText"/>
        <w:rPr>
          <w:rFonts w:cs="Arial"/>
        </w:rPr>
      </w:pPr>
      <w:r>
        <w:rPr>
          <w:rStyle w:val="FootnoteReference"/>
          <w:rFonts w:cs="Arial"/>
        </w:rPr>
        <w:footnoteRef/>
      </w:r>
      <w:r>
        <w:rPr>
          <w:rFonts w:cs="Arial"/>
        </w:rPr>
        <w:t xml:space="preserve"> Although the Commission is not bound by the Ohio Rules of Evidence, they provide a useful guide to addressing evidentiary issues.</w:t>
      </w:r>
    </w:p>
  </w:footnote>
  <w:footnote w:id="35">
    <w:p w:rsidR="00A14742" w:rsidRDefault="00AC7D53">
      <w:pPr>
        <w:pStyle w:val="FootnoteText"/>
      </w:pPr>
      <w:r>
        <w:rPr>
          <w:rStyle w:val="FootnoteReference"/>
          <w:rFonts w:cs="Arial"/>
        </w:rPr>
        <w:footnoteRef/>
      </w:r>
      <w:r>
        <w:rPr>
          <w:rFonts w:cs="Arial"/>
        </w:rPr>
        <w:t xml:space="preserve"> R. Evid. 402.</w:t>
      </w:r>
    </w:p>
  </w:footnote>
  <w:footnote w:id="36">
    <w:p w:rsidR="00A14742" w:rsidRDefault="00AC7D53">
      <w:pPr>
        <w:pStyle w:val="FootnoteText"/>
        <w:rPr>
          <w:rFonts w:cs="Arial"/>
        </w:rPr>
      </w:pPr>
      <w:r>
        <w:rPr>
          <w:rStyle w:val="FootnoteReference"/>
          <w:rFonts w:cs="Arial"/>
        </w:rPr>
        <w:footnoteRef/>
      </w:r>
      <w:r>
        <w:rPr>
          <w:rFonts w:cs="Arial"/>
        </w:rPr>
        <w:t xml:space="preserve"> R. Evid. 401.  </w:t>
      </w:r>
    </w:p>
  </w:footnote>
  <w:footnote w:id="37">
    <w:p w:rsidR="00A14742" w:rsidRDefault="00AC7D53">
      <w:pPr>
        <w:pStyle w:val="FootnoteText"/>
        <w:rPr>
          <w:rFonts w:cs="Arial"/>
        </w:rPr>
      </w:pPr>
      <w:r>
        <w:rPr>
          <w:rStyle w:val="FootnoteReference"/>
          <w:rFonts w:cs="Arial"/>
        </w:rPr>
        <w:footnoteRef/>
      </w:r>
      <w:r>
        <w:rPr>
          <w:rFonts w:cs="Arial"/>
        </w:rPr>
        <w:t xml:space="preserve"> R. Evid. </w:t>
      </w:r>
      <w:proofErr w:type="gramStart"/>
      <w:r>
        <w:rPr>
          <w:rFonts w:cs="Arial"/>
        </w:rPr>
        <w:t>611(B).</w:t>
      </w:r>
      <w:proofErr w:type="gramEnd"/>
    </w:p>
  </w:footnote>
  <w:footnote w:id="38">
    <w:p w:rsidR="00A14742" w:rsidRDefault="00AC7D53">
      <w:pPr>
        <w:pStyle w:val="FootnoteText"/>
        <w:rPr>
          <w:rFonts w:cs="Arial"/>
        </w:rPr>
      </w:pPr>
      <w:r>
        <w:rPr>
          <w:rStyle w:val="FootnoteReference"/>
          <w:rFonts w:cs="Arial"/>
        </w:rPr>
        <w:footnoteRef/>
      </w:r>
      <w:r>
        <w:rPr>
          <w:rFonts w:cs="Arial"/>
        </w:rPr>
        <w:t xml:space="preserve"> </w:t>
      </w:r>
      <w:r>
        <w:rPr>
          <w:rFonts w:cs="Arial"/>
          <w:i/>
        </w:rPr>
        <w:t>In the Matter of the Application of the Fuel Adjustment Clauses for Columbus Southern Power Company and Ohio Power Company and Related Matters</w:t>
      </w:r>
      <w:r>
        <w:rPr>
          <w:rFonts w:cs="Arial"/>
        </w:rPr>
        <w:t xml:space="preserve">, Case Nos. 11-5906-EL-FAC, </w:t>
      </w:r>
      <w:r>
        <w:rPr>
          <w:rFonts w:cs="Arial"/>
          <w:i/>
        </w:rPr>
        <w:t>et al.</w:t>
      </w:r>
      <w:r>
        <w:rPr>
          <w:rFonts w:cs="Arial"/>
        </w:rPr>
        <w:t>, Entry at 3</w:t>
      </w:r>
      <w:r w:rsidR="00F25E84">
        <w:rPr>
          <w:rFonts w:cs="Arial"/>
        </w:rPr>
        <w:noBreakHyphen/>
      </w:r>
      <w:r>
        <w:rPr>
          <w:rFonts w:cs="Arial"/>
        </w:rPr>
        <w:t>4 (Dec. 4, 2013).</w:t>
      </w:r>
    </w:p>
  </w:footnote>
  <w:footnote w:id="39">
    <w:p w:rsidR="00A14742" w:rsidRDefault="00AC7D53">
      <w:pPr>
        <w:pStyle w:val="FootnoteText"/>
      </w:pPr>
      <w:r>
        <w:rPr>
          <w:rStyle w:val="FootnoteReference"/>
        </w:rPr>
        <w:footnoteRef/>
      </w:r>
      <w:r>
        <w:t xml:space="preserve"> </w:t>
      </w:r>
      <w:r>
        <w:rPr>
          <w:i/>
        </w:rPr>
        <w:t>In the Matter of the Application of Columbus Southern Power Company to Update its gridSMART Rider</w:t>
      </w:r>
      <w:r>
        <w:t>, Case No 11-1353-EL-RDR, Opinion and Order at 1, 4 (Aug. 24, 2011).</w:t>
      </w:r>
    </w:p>
  </w:footnote>
  <w:footnote w:id="40">
    <w:p w:rsidR="00A14742" w:rsidRDefault="00AC7D53">
      <w:pPr>
        <w:pStyle w:val="FootnoteText"/>
      </w:pPr>
      <w:r>
        <w:rPr>
          <w:rStyle w:val="FootnoteReference"/>
        </w:rPr>
        <w:footnoteRef/>
      </w:r>
      <w:r>
        <w:t xml:space="preserve"> </w:t>
      </w:r>
      <w:r>
        <w:rPr>
          <w:i/>
        </w:rPr>
        <w:t>Id.</w:t>
      </w:r>
      <w:r>
        <w:t xml:space="preserve">  </w:t>
      </w:r>
    </w:p>
  </w:footnote>
  <w:footnote w:id="41">
    <w:p w:rsidR="00A14742" w:rsidRDefault="00AC7D53">
      <w:pPr>
        <w:pStyle w:val="FootnoteText"/>
      </w:pPr>
      <w:r>
        <w:rPr>
          <w:rStyle w:val="FootnoteReference"/>
        </w:rPr>
        <w:footnoteRef/>
      </w:r>
      <w:r>
        <w:t xml:space="preserve"> </w:t>
      </w:r>
      <w:proofErr w:type="gramStart"/>
      <w:r>
        <w:rPr>
          <w:i/>
        </w:rPr>
        <w:t>Id.</w:t>
      </w:r>
      <w:r>
        <w:t xml:space="preserve"> at 4, n.5.</w:t>
      </w:r>
      <w:proofErr w:type="gramEnd"/>
    </w:p>
  </w:footnote>
  <w:footnote w:id="42">
    <w:p w:rsidR="00A14742" w:rsidRDefault="00AC7D53">
      <w:pPr>
        <w:pStyle w:val="FootnoteText"/>
        <w:rPr>
          <w:i/>
        </w:rPr>
      </w:pPr>
      <w:r>
        <w:rPr>
          <w:rStyle w:val="FootnoteReference"/>
        </w:rPr>
        <w:footnoteRef/>
      </w:r>
      <w:r>
        <w:t xml:space="preserve"> </w:t>
      </w:r>
      <w:r>
        <w:rPr>
          <w:i/>
        </w:rPr>
        <w:t>In the Matter of the Fuel Adjustment Clauses for Columbus Southern Power Company and Ohio Power Company</w:t>
      </w:r>
      <w:r>
        <w:t>, Case Nos.</w:t>
      </w:r>
      <w:r>
        <w:rPr>
          <w:i/>
        </w:rPr>
        <w:t xml:space="preserve"> </w:t>
      </w:r>
      <w:r>
        <w:t xml:space="preserve">09-872-EL-FAC, </w:t>
      </w:r>
      <w:r>
        <w:rPr>
          <w:i/>
        </w:rPr>
        <w:t>et al.</w:t>
      </w:r>
      <w:r>
        <w:t>, Opinion and Order at 13 (Jan. 23, 2012) (“2009 FAC Audit Order”).</w:t>
      </w:r>
    </w:p>
  </w:footnote>
  <w:footnote w:id="43">
    <w:p w:rsidR="00A14742" w:rsidRDefault="00AC7D53">
      <w:pPr>
        <w:pStyle w:val="FootnoteText"/>
      </w:pPr>
      <w:r>
        <w:rPr>
          <w:rStyle w:val="FootnoteReference"/>
        </w:rPr>
        <w:footnoteRef/>
      </w:r>
      <w:r>
        <w:t xml:space="preserve"> Beginning in 2012, the determination of AEP-Ohio’s real economic costs of the OVEC and Lawrenceburg capacity costs must also take into account the deferred capacity revenue authorized in the </w:t>
      </w:r>
      <w:r>
        <w:rPr>
          <w:i/>
        </w:rPr>
        <w:t>Capacity Case</w:t>
      </w:r>
      <w:r>
        <w:t xml:space="preserve"> and authorized for recovery through non-bypassable riders in Case Nos. 11-346-EL-SSO, </w:t>
      </w:r>
      <w:r>
        <w:rPr>
          <w:i/>
        </w:rPr>
        <w:t>et al.</w:t>
      </w:r>
    </w:p>
  </w:footnote>
  <w:footnote w:id="44">
    <w:p w:rsidR="00A14742" w:rsidRDefault="00AC7D53">
      <w:pPr>
        <w:pStyle w:val="FootnoteText"/>
      </w:pPr>
      <w:r>
        <w:rPr>
          <w:rStyle w:val="FootnoteReference"/>
        </w:rPr>
        <w:footnoteRef/>
      </w:r>
      <w:r>
        <w:t xml:space="preserve"> </w:t>
      </w:r>
      <w:proofErr w:type="gramStart"/>
      <w:r>
        <w:t>2009 FAC Audit Order at 13.</w:t>
      </w:r>
      <w:proofErr w:type="gramEnd"/>
    </w:p>
  </w:footnote>
  <w:footnote w:id="45">
    <w:p w:rsidR="00A14742" w:rsidRDefault="00AC7D53">
      <w:pPr>
        <w:pStyle w:val="FootnoteText"/>
      </w:pPr>
      <w:r>
        <w:rPr>
          <w:rStyle w:val="FootnoteReference"/>
        </w:rPr>
        <w:footnoteRef/>
      </w:r>
      <w:r>
        <w:t xml:space="preserve"> </w:t>
      </w:r>
      <w:r>
        <w:rPr>
          <w:i/>
        </w:rPr>
        <w:t>Id.</w:t>
      </w:r>
    </w:p>
  </w:footnote>
  <w:footnote w:id="46">
    <w:p w:rsidR="00A14742" w:rsidRDefault="00AC7D53">
      <w:pPr>
        <w:pStyle w:val="FootnoteText"/>
      </w:pPr>
      <w:r>
        <w:rPr>
          <w:rStyle w:val="FootnoteReference"/>
        </w:rPr>
        <w:footnoteRef/>
      </w:r>
      <w:r>
        <w:t xml:space="preserve"> CBP Order at 16 (the Commission identified that parties raised the double-recovery issue in the </w:t>
      </w:r>
      <w:r>
        <w:rPr>
          <w:i/>
        </w:rPr>
        <w:t>CBP Case</w:t>
      </w:r>
      <w:r>
        <w:t xml:space="preserve">); </w:t>
      </w:r>
      <w:r>
        <w:rPr>
          <w:i/>
        </w:rPr>
        <w:t>In the Matter of the Application of the Fuel Adjustment Clauses for Columbus Southern Power Company and Ohio Power Company and Related Matters</w:t>
      </w:r>
      <w:r>
        <w:t xml:space="preserve">, Case Nos. 11-5906-EL-FAC, </w:t>
      </w:r>
      <w:r>
        <w:rPr>
          <w:i/>
        </w:rPr>
        <w:t>et al.</w:t>
      </w:r>
      <w:r>
        <w:t xml:space="preserve">, Entry at 3-4 (Dec. 4, 2013) (directing the auditor to audit the double-recovery issue raised by parties in the </w:t>
      </w:r>
      <w:r>
        <w:rPr>
          <w:i/>
        </w:rPr>
        <w:t>CBP Case</w:t>
      </w:r>
      <w:r>
        <w:t>).</w:t>
      </w:r>
    </w:p>
  </w:footnote>
  <w:footnote w:id="47">
    <w:p w:rsidR="00A14742" w:rsidRDefault="00AC7D53">
      <w:pPr>
        <w:pStyle w:val="FootnoteText"/>
        <w:rPr>
          <w:rFonts w:cs="Arial"/>
        </w:rPr>
      </w:pPr>
      <w:r>
        <w:rPr>
          <w:rStyle w:val="FootnoteReference"/>
          <w:rFonts w:cs="Arial"/>
        </w:rPr>
        <w:footnoteRef/>
      </w:r>
      <w:r>
        <w:rPr>
          <w:rFonts w:cs="Arial"/>
        </w:rPr>
        <w:t xml:space="preserve"> </w:t>
      </w:r>
      <w:proofErr w:type="gramStart"/>
      <w:r w:rsidRPr="00AC7D53">
        <w:rPr>
          <w:rFonts w:cs="Arial"/>
          <w:i/>
        </w:rPr>
        <w:t>Vectren Energy Delivery of Ohio, Inc. v. Pub.</w:t>
      </w:r>
      <w:proofErr w:type="gramEnd"/>
      <w:r w:rsidRPr="00AC7D53">
        <w:rPr>
          <w:rFonts w:cs="Arial"/>
          <w:i/>
        </w:rPr>
        <w:t xml:space="preserve"> Util. Comm.</w:t>
      </w:r>
      <w:r w:rsidRPr="00F25E84">
        <w:rPr>
          <w:rStyle w:val="Hyperlink"/>
          <w:rFonts w:cs="Arial"/>
          <w:i/>
          <w:color w:val="000000" w:themeColor="text1"/>
          <w:u w:val="none"/>
        </w:rPr>
        <w:t>,</w:t>
      </w:r>
      <w:r>
        <w:rPr>
          <w:rFonts w:cs="Arial"/>
          <w:color w:val="000000" w:themeColor="text1"/>
        </w:rPr>
        <w:t xml:space="preserve"> </w:t>
      </w:r>
      <w:proofErr w:type="gramStart"/>
      <w:r>
        <w:rPr>
          <w:rFonts w:cs="Arial"/>
          <w:color w:val="000000" w:themeColor="text1"/>
        </w:rPr>
        <w:t>1</w:t>
      </w:r>
      <w:r>
        <w:rPr>
          <w:rFonts w:cs="Arial"/>
        </w:rPr>
        <w:t>13 Ohio St.3d 180,</w:t>
      </w:r>
      <w:proofErr w:type="gramEnd"/>
      <w:r>
        <w:rPr>
          <w:rFonts w:cs="Arial"/>
        </w:rPr>
        <w:t xml:space="preserve"> 863 N.E.2d 599; 2007-Ohio-1386 at ¶ 53.</w:t>
      </w:r>
    </w:p>
  </w:footnote>
  <w:footnote w:id="48">
    <w:p w:rsidR="00A14742" w:rsidRDefault="00AC7D53">
      <w:pPr>
        <w:pStyle w:val="FootnoteText"/>
        <w:rPr>
          <w:rFonts w:cs="Arial"/>
        </w:rPr>
      </w:pPr>
      <w:r>
        <w:rPr>
          <w:rStyle w:val="FootnoteReference"/>
          <w:rFonts w:cs="Arial"/>
        </w:rPr>
        <w:footnoteRef/>
      </w:r>
      <w:r>
        <w:rPr>
          <w:rFonts w:cs="Arial"/>
        </w:rPr>
        <w:t xml:space="preserve"> </w:t>
      </w:r>
      <w:proofErr w:type="gramStart"/>
      <w:r>
        <w:rPr>
          <w:rFonts w:cs="Arial"/>
          <w:bCs/>
          <w:i/>
          <w:color w:val="000000"/>
          <w:kern w:val="36"/>
        </w:rPr>
        <w:t>Ohio Bell Tel. Co. v. Public Utilities Commission of Ohio</w:t>
      </w:r>
      <w:r>
        <w:rPr>
          <w:rFonts w:cs="Arial"/>
          <w:color w:val="000000"/>
          <w:kern w:val="36"/>
        </w:rPr>
        <w:t>, 301 U.S. 292, 300 (1937).</w:t>
      </w:r>
      <w:proofErr w:type="gramEnd"/>
    </w:p>
  </w:footnote>
  <w:footnote w:id="49">
    <w:p w:rsidR="00A14742" w:rsidRDefault="00AC7D53">
      <w:pPr>
        <w:pStyle w:val="FootnoteText"/>
      </w:pPr>
      <w:r>
        <w:rPr>
          <w:rStyle w:val="FootnoteReference"/>
        </w:rPr>
        <w:footnoteRef/>
      </w:r>
      <w:r>
        <w:t xml:space="preserve"> </w:t>
      </w:r>
      <w:proofErr w:type="gramStart"/>
      <w:r>
        <w:rPr>
          <w:i/>
          <w:iCs/>
        </w:rPr>
        <w:t>In re Application of Columbus S. Power Co.</w:t>
      </w:r>
      <w:r>
        <w:t>, 128 Ohio St.3d 512, 2011-Ohio-1788 at ¶ 52 (internal citation omitted).</w:t>
      </w:r>
      <w:proofErr w:type="gramEnd"/>
    </w:p>
  </w:footnote>
  <w:footnote w:id="50">
    <w:p w:rsidR="00A14742" w:rsidRDefault="00AC7D53">
      <w:pPr>
        <w:pStyle w:val="FootnoteText"/>
      </w:pPr>
      <w:r>
        <w:rPr>
          <w:rStyle w:val="FootnoteReference"/>
        </w:rPr>
        <w:footnoteRef/>
      </w:r>
      <w:r>
        <w:t xml:space="preserve"> </w:t>
      </w:r>
      <w:proofErr w:type="gramStart"/>
      <w:r>
        <w:rPr>
          <w:i/>
        </w:rPr>
        <w:t>International Telepost Co. v. Pub.</w:t>
      </w:r>
      <w:proofErr w:type="gramEnd"/>
      <w:r>
        <w:rPr>
          <w:i/>
        </w:rPr>
        <w:t xml:space="preserve"> </w:t>
      </w:r>
      <w:proofErr w:type="gramStart"/>
      <w:r>
        <w:rPr>
          <w:i/>
        </w:rPr>
        <w:t>Util. Comm.</w:t>
      </w:r>
      <w:r>
        <w:t>, 119 Ohio St. 632, 642, 165 N.E. 528, 531 (1929).</w:t>
      </w:r>
      <w:proofErr w:type="gramEnd"/>
    </w:p>
  </w:footnote>
  <w:footnote w:id="51">
    <w:p w:rsidR="00A14742" w:rsidRDefault="00AC7D53">
      <w:pPr>
        <w:pStyle w:val="FootnoteText"/>
        <w:rPr>
          <w:rFonts w:cs="Arial"/>
        </w:rPr>
      </w:pPr>
      <w:r>
        <w:rPr>
          <w:rStyle w:val="FootnoteReference"/>
          <w:rFonts w:cs="Arial"/>
        </w:rPr>
        <w:footnoteRef/>
      </w:r>
      <w:r>
        <w:rPr>
          <w:rFonts w:cs="Arial"/>
        </w:rPr>
        <w:t xml:space="preserve"> </w:t>
      </w:r>
      <w:proofErr w:type="gramStart"/>
      <w:r>
        <w:rPr>
          <w:rFonts w:cs="Arial"/>
          <w:bCs/>
          <w:i/>
          <w:color w:val="000000"/>
          <w:kern w:val="36"/>
        </w:rPr>
        <w:t>Public Utilities Commission of District of Columbia v. Pollak</w:t>
      </w:r>
      <w:r>
        <w:rPr>
          <w:rFonts w:cs="Arial"/>
          <w:color w:val="000000"/>
          <w:kern w:val="36"/>
        </w:rPr>
        <w:t>, 343 U.S. 451, 465 (1952).</w:t>
      </w:r>
      <w:proofErr w:type="gramEnd"/>
    </w:p>
  </w:footnote>
  <w:footnote w:id="52">
    <w:p w:rsidR="00A14742" w:rsidRDefault="00AC7D53">
      <w:pPr>
        <w:pStyle w:val="FootnoteText"/>
      </w:pPr>
      <w:r>
        <w:rPr>
          <w:rStyle w:val="FootnoteReference"/>
        </w:rPr>
        <w:footnoteRef/>
      </w:r>
      <w:r>
        <w:t xml:space="preserve"> </w:t>
      </w:r>
      <w:r>
        <w:rPr>
          <w:i/>
        </w:rPr>
        <w:t xml:space="preserve">See </w:t>
      </w:r>
      <w:r>
        <w:rPr>
          <w:i/>
          <w:iCs/>
        </w:rPr>
        <w:t>In re Application of Columbus S. Power Co.</w:t>
      </w:r>
      <w:r>
        <w:t xml:space="preserve">, </w:t>
      </w:r>
      <w:proofErr w:type="gramStart"/>
      <w:r>
        <w:t>128 Ohio St.3d 512, 2011-Ohio-1788 at ¶ 71</w:t>
      </w:r>
      <w:proofErr w:type="gramEnd"/>
      <w:r>
        <w:t>.</w:t>
      </w:r>
    </w:p>
  </w:footnote>
  <w:footnote w:id="53">
    <w:p w:rsidR="00A14742" w:rsidRDefault="00AC7D53">
      <w:pPr>
        <w:pStyle w:val="FootnoteText"/>
      </w:pPr>
      <w:r>
        <w:rPr>
          <w:rStyle w:val="FootnoteReference"/>
        </w:rPr>
        <w:footnoteRef/>
      </w:r>
      <w:r>
        <w:t xml:space="preserve"> IEU-Ohio Initial Brief at 10-11; </w:t>
      </w:r>
      <w:r>
        <w:rPr>
          <w:i/>
        </w:rPr>
        <w:t>In the Matter of the Application of the Fuel Adjustment Clauses for Columbus Southern Power Company and Ohio Power Company and Related Matters</w:t>
      </w:r>
      <w:r w:rsidR="00F25E84">
        <w:t>, Case Nos. 11</w:t>
      </w:r>
      <w:r w:rsidR="00F25E84">
        <w:noBreakHyphen/>
      </w:r>
      <w:r>
        <w:t>5906</w:t>
      </w:r>
      <w:r w:rsidR="00F25E84">
        <w:noBreakHyphen/>
      </w:r>
      <w:r>
        <w:t>EL</w:t>
      </w:r>
      <w:r w:rsidR="00F25E84">
        <w:noBreakHyphen/>
      </w:r>
      <w:r>
        <w:t xml:space="preserve">FAC, </w:t>
      </w:r>
      <w:r>
        <w:rPr>
          <w:i/>
        </w:rPr>
        <w:t>et al.</w:t>
      </w:r>
      <w:r>
        <w:t>, Entry at 3-4 (Dec. 4,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356" w:rsidRDefault="008963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356" w:rsidRDefault="008963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356" w:rsidRDefault="008963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742" w:rsidRDefault="00A1474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742" w:rsidRDefault="00A1474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742" w:rsidRDefault="00A1474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742" w:rsidRDefault="00A1474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742" w:rsidRDefault="00A1474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742" w:rsidRDefault="00A147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03CCFE8"/>
    <w:lvl w:ilvl="0">
      <w:start w:val="1"/>
      <w:numFmt w:val="decimal"/>
      <w:pStyle w:val="ListNumber"/>
      <w:lvlText w:val="%1."/>
      <w:lvlJc w:val="left"/>
      <w:pPr>
        <w:tabs>
          <w:tab w:val="num" w:pos="1440"/>
        </w:tabs>
        <w:ind w:left="1440" w:hanging="720"/>
      </w:pPr>
      <w:rPr>
        <w:rFonts w:hint="default"/>
      </w:rPr>
    </w:lvl>
  </w:abstractNum>
  <w:abstractNum w:abstractNumId="1">
    <w:nsid w:val="FFFFFF89"/>
    <w:multiLevelType w:val="singleLevel"/>
    <w:tmpl w:val="4AC003AE"/>
    <w:lvl w:ilvl="0">
      <w:start w:val="1"/>
      <w:numFmt w:val="bullet"/>
      <w:lvlText w:val=""/>
      <w:lvlJc w:val="left"/>
      <w:pPr>
        <w:tabs>
          <w:tab w:val="num" w:pos="360"/>
        </w:tabs>
        <w:ind w:left="360" w:hanging="360"/>
      </w:pPr>
      <w:rPr>
        <w:rFonts w:ascii="Symbol" w:hAnsi="Symbol" w:hint="default"/>
      </w:rPr>
    </w:lvl>
  </w:abstractNum>
  <w:abstractNum w:abstractNumId="2">
    <w:nsid w:val="2C4628E6"/>
    <w:multiLevelType w:val="hybridMultilevel"/>
    <w:tmpl w:val="62E095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48553A"/>
    <w:multiLevelType w:val="hybridMultilevel"/>
    <w:tmpl w:val="B87864C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6384D28"/>
    <w:multiLevelType w:val="hybridMultilevel"/>
    <w:tmpl w:val="74927A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0C6724"/>
    <w:multiLevelType w:val="hybridMultilevel"/>
    <w:tmpl w:val="70B2FD68"/>
    <w:lvl w:ilvl="0" w:tplc="0E1E1934">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9C5D9A"/>
    <w:multiLevelType w:val="hybridMultilevel"/>
    <w:tmpl w:val="41DCDE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67B71568"/>
    <w:multiLevelType w:val="multilevel"/>
    <w:tmpl w:val="F95AA4FA"/>
    <w:name w:val="IEU Basic--PUCO"/>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abstractNum w:abstractNumId="8">
    <w:nsid w:val="74565DBE"/>
    <w:multiLevelType w:val="multilevel"/>
    <w:tmpl w:val="4D56650C"/>
    <w:lvl w:ilvl="0">
      <w:start w:val="1"/>
      <w:numFmt w:val="decimal"/>
      <w:lvlText w:val="%1-"/>
      <w:lvlJc w:val="left"/>
      <w:pPr>
        <w:ind w:left="405" w:hanging="40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7"/>
  </w:num>
  <w:num w:numId="3">
    <w:abstractNumId w:val="7"/>
  </w:num>
  <w:num w:numId="4">
    <w:abstractNumId w:val="7"/>
  </w:num>
  <w:num w:numId="5">
    <w:abstractNumId w:val="1"/>
  </w:num>
  <w:num w:numId="6">
    <w:abstractNumId w:val="5"/>
  </w:num>
  <w:num w:numId="7">
    <w:abstractNumId w:val="0"/>
  </w:num>
  <w:num w:numId="8">
    <w:abstractNumId w:val="0"/>
  </w:num>
  <w:num w:numId="9">
    <w:abstractNumId w:val="7"/>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7"/>
  </w:num>
  <w:num w:numId="16">
    <w:abstractNumId w:val="7"/>
  </w:num>
  <w:num w:numId="17">
    <w:abstractNumId w:val="4"/>
  </w:num>
  <w:num w:numId="18">
    <w:abstractNumId w:val="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742"/>
    <w:rsid w:val="005626C1"/>
    <w:rsid w:val="00896356"/>
    <w:rsid w:val="009031F5"/>
    <w:rsid w:val="0093249C"/>
    <w:rsid w:val="00A14742"/>
    <w:rsid w:val="00AC7D53"/>
    <w:rsid w:val="00E34AC4"/>
    <w:rsid w:val="00ED31F3"/>
    <w:rsid w:val="00F25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List Number" w:qFormat="1"/>
    <w:lsdException w:name="Title" w:semiHidden="0" w:uiPriority="3" w:unhideWhenUsed="0" w:qFormat="1"/>
    <w:lsdException w:name="Signature" w:uiPriority="3" w:qFormat="1"/>
    <w:lsdException w:name="Default Paragraph Font" w:uiPriority="1"/>
    <w:lsdException w:name="Body Text" w:uiPriority="0"/>
    <w:lsdException w:name="Subtitle" w:semiHidden="0" w:uiPriority="11" w:unhideWhenUsed="0"/>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480" w:lineRule="auto"/>
      <w:jc w:val="both"/>
    </w:pPr>
    <w:rPr>
      <w:rFonts w:ascii="Arial" w:hAnsi="Arial"/>
      <w:sz w:val="24"/>
      <w:szCs w:val="24"/>
    </w:rPr>
  </w:style>
  <w:style w:type="paragraph" w:styleId="Heading1">
    <w:name w:val="heading 1"/>
    <w:basedOn w:val="Normal"/>
    <w:next w:val="Normal"/>
    <w:link w:val="Heading1Char"/>
    <w:uiPriority w:val="9"/>
    <w:qFormat/>
    <w:rsid w:val="000A7E03"/>
    <w:pPr>
      <w:numPr>
        <w:numId w:val="13"/>
      </w:numPr>
      <w:tabs>
        <w:tab w:val="clear" w:pos="720"/>
      </w:tabs>
      <w:spacing w:before="240" w:after="240" w:line="240" w:lineRule="auto"/>
      <w:outlineLvl w:val="0"/>
    </w:pPr>
    <w:rPr>
      <w:rFonts w:eastAsia="Calibri" w:cs="Arial"/>
      <w:b/>
      <w:bCs/>
      <w:caps/>
      <w:szCs w:val="28"/>
      <w:u w:val="single"/>
    </w:rPr>
  </w:style>
  <w:style w:type="paragraph" w:styleId="Heading2">
    <w:name w:val="heading 2"/>
    <w:basedOn w:val="Normal"/>
    <w:next w:val="Normal"/>
    <w:link w:val="Heading2Char"/>
    <w:uiPriority w:val="9"/>
    <w:qFormat/>
    <w:rsid w:val="001E78FF"/>
    <w:pPr>
      <w:numPr>
        <w:ilvl w:val="1"/>
        <w:numId w:val="13"/>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qFormat/>
    <w:rsid w:val="001E78FF"/>
    <w:pPr>
      <w:numPr>
        <w:ilvl w:val="2"/>
        <w:numId w:val="13"/>
      </w:numPr>
      <w:spacing w:after="240" w:line="240" w:lineRule="auto"/>
      <w:outlineLvl w:val="2"/>
    </w:pPr>
    <w:rPr>
      <w:rFonts w:eastAsiaTheme="majorEastAsia" w:cs="Arial"/>
      <w:b/>
      <w:bCs/>
    </w:rPr>
  </w:style>
  <w:style w:type="paragraph" w:styleId="Heading4">
    <w:name w:val="heading 4"/>
    <w:basedOn w:val="Normal"/>
    <w:next w:val="Normal"/>
    <w:link w:val="Heading4Char"/>
    <w:uiPriority w:val="9"/>
    <w:unhideWhenUsed/>
    <w:qFormat/>
    <w:rsid w:val="001E78FF"/>
    <w:pPr>
      <w:numPr>
        <w:ilvl w:val="3"/>
        <w:numId w:val="13"/>
      </w:numPr>
      <w:spacing w:after="240" w:line="240" w:lineRule="auto"/>
      <w:outlineLvl w:val="3"/>
    </w:pPr>
    <w:rPr>
      <w:rFonts w:eastAsiaTheme="majorEastAsia" w:cs="Arial"/>
      <w:b/>
      <w:bCs/>
      <w:i/>
      <w:iCs/>
    </w:rPr>
  </w:style>
  <w:style w:type="paragraph" w:styleId="Heading5">
    <w:name w:val="heading 5"/>
    <w:basedOn w:val="Normal"/>
    <w:next w:val="Normal"/>
    <w:link w:val="Heading5Char"/>
    <w:uiPriority w:val="9"/>
    <w:semiHidden/>
    <w:unhideWhenUsed/>
    <w:rsid w:val="001E78FF"/>
    <w:pPr>
      <w:numPr>
        <w:ilvl w:val="4"/>
        <w:numId w:val="13"/>
      </w:numPr>
      <w:spacing w:after="240" w:line="240" w:lineRule="auto"/>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rsid w:val="001E78FF"/>
    <w:pPr>
      <w:numPr>
        <w:ilvl w:val="5"/>
        <w:numId w:val="13"/>
      </w:numPr>
      <w:spacing w:after="240" w:line="240" w:lineRule="auto"/>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rsid w:val="001E78FF"/>
    <w:pPr>
      <w:numPr>
        <w:ilvl w:val="6"/>
        <w:numId w:val="13"/>
      </w:numPr>
      <w:spacing w:after="240" w:line="240" w:lineRule="auto"/>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rsid w:val="001E78FF"/>
    <w:pPr>
      <w:numPr>
        <w:ilvl w:val="7"/>
        <w:numId w:val="13"/>
      </w:numPr>
      <w:spacing w:after="240" w:line="240" w:lineRule="auto"/>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rsid w:val="001E78FF"/>
    <w:pPr>
      <w:numPr>
        <w:ilvl w:val="8"/>
        <w:numId w:val="13"/>
      </w:numPr>
      <w:spacing w:after="240" w:line="240" w:lineRule="auto"/>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E03"/>
    <w:rPr>
      <w:rFonts w:ascii="Arial" w:eastAsia="Calibri" w:hAnsi="Arial" w:cs="Arial"/>
      <w:b/>
      <w:bCs/>
      <w:caps/>
      <w:sz w:val="24"/>
      <w:szCs w:val="28"/>
      <w:u w:val="single"/>
    </w:rPr>
  </w:style>
  <w:style w:type="character" w:customStyle="1" w:styleId="Heading2Char">
    <w:name w:val="Heading 2 Char"/>
    <w:basedOn w:val="DefaultParagraphFont"/>
    <w:link w:val="Heading2"/>
    <w:uiPriority w:val="9"/>
    <w:rsid w:val="001E78FF"/>
    <w:rPr>
      <w:rFonts w:ascii="Arial" w:eastAsiaTheme="majorEastAsia" w:hAnsi="Arial" w:cs="Arial"/>
      <w:b/>
      <w:bCs/>
      <w:sz w:val="24"/>
      <w:szCs w:val="26"/>
    </w:rPr>
  </w:style>
  <w:style w:type="character" w:customStyle="1" w:styleId="Heading3Char">
    <w:name w:val="Heading 3 Char"/>
    <w:basedOn w:val="DefaultParagraphFont"/>
    <w:link w:val="Heading3"/>
    <w:uiPriority w:val="9"/>
    <w:rsid w:val="001E78FF"/>
    <w:rPr>
      <w:rFonts w:ascii="Arial" w:eastAsiaTheme="majorEastAsia" w:hAnsi="Arial" w:cs="Arial"/>
      <w:b/>
      <w:bCs/>
      <w:sz w:val="24"/>
      <w:szCs w:val="24"/>
    </w:rPr>
  </w:style>
  <w:style w:type="character" w:customStyle="1" w:styleId="Heading4Char">
    <w:name w:val="Heading 4 Char"/>
    <w:basedOn w:val="DefaultParagraphFont"/>
    <w:link w:val="Heading4"/>
    <w:uiPriority w:val="9"/>
    <w:rsid w:val="001E78FF"/>
    <w:rPr>
      <w:rFonts w:ascii="Arial" w:eastAsiaTheme="majorEastAsia" w:hAnsi="Arial" w:cs="Arial"/>
      <w:b/>
      <w:bCs/>
      <w:i/>
      <w:iCs/>
      <w:sz w:val="24"/>
      <w:szCs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qFormat/>
    <w:pPr>
      <w:spacing w:after="120" w:line="240" w:lineRule="auto"/>
    </w:pPr>
    <w:rPr>
      <w:rFonts w:eastAsia="Calibri"/>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rFonts w:ascii="Arial" w:eastAsia="Calibri" w:hAnsi="Arial"/>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6"/>
      </w:numPr>
      <w:spacing w:after="240"/>
      <w:contextualSpacing/>
    </w:pPr>
  </w:style>
  <w:style w:type="paragraph" w:styleId="ListNumber">
    <w:name w:val="List Number"/>
    <w:basedOn w:val="Normal"/>
    <w:uiPriority w:val="99"/>
    <w:qFormat/>
    <w:pPr>
      <w:numPr>
        <w:numId w:val="8"/>
      </w:numPr>
      <w:spacing w:after="240"/>
      <w:contextualSpacing/>
    </w:pPr>
  </w:style>
  <w:style w:type="paragraph" w:styleId="Title">
    <w:name w:val="Title"/>
    <w:basedOn w:val="Normal"/>
    <w:link w:val="TitleChar"/>
    <w:uiPriority w:val="3"/>
    <w:qFormat/>
    <w:pPr>
      <w:spacing w:after="240"/>
      <w:jc w:val="center"/>
    </w:pPr>
    <w:rPr>
      <w:rFonts w:eastAsiaTheme="majorEastAsia" w:cstheme="majorBidi"/>
      <w:sz w:val="23"/>
      <w:szCs w:val="52"/>
    </w:rPr>
  </w:style>
  <w:style w:type="character" w:customStyle="1" w:styleId="TitleChar">
    <w:name w:val="Title Char"/>
    <w:basedOn w:val="DefaultParagraphFont"/>
    <w:link w:val="Title"/>
    <w:uiPriority w:val="3"/>
    <w:rPr>
      <w:rFonts w:ascii="Arial" w:eastAsiaTheme="majorEastAsia" w:hAnsi="Arial" w:cstheme="majorBidi"/>
      <w:sz w:val="23"/>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rFonts w:ascii="Arial" w:hAnsi="Arial"/>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style>
  <w:style w:type="paragraph" w:customStyle="1" w:styleId="LeftIndent">
    <w:name w:val="Left Indent"/>
    <w:aliases w:val="LeftInd"/>
    <w:basedOn w:val="Normal"/>
    <w:uiPriority w:val="11"/>
    <w:qFormat/>
    <w:pPr>
      <w:spacing w:after="240"/>
    </w:pPr>
  </w:style>
  <w:style w:type="paragraph" w:customStyle="1" w:styleId="FirstLineIndent">
    <w:name w:val="First Line Indent"/>
    <w:aliases w:val="FirstInd"/>
    <w:basedOn w:val="Normal"/>
    <w:uiPriority w:val="1"/>
    <w:qFormat/>
    <w:pPr>
      <w:spacing w:after="240"/>
      <w:ind w:firstLine="720"/>
    </w:pPr>
  </w:style>
  <w:style w:type="paragraph" w:customStyle="1" w:styleId="NoIndent">
    <w:name w:val="No Indent"/>
    <w:aliases w:val="NoInd"/>
    <w:basedOn w:val="Normal"/>
    <w:qFormat/>
    <w:pPr>
      <w:spacing w:after="240"/>
    </w:pPr>
  </w:style>
  <w:style w:type="paragraph" w:customStyle="1" w:styleId="DoubleIndent5">
    <w:name w:val="Double Indent .5"/>
    <w:aliases w:val="DblInd5"/>
    <w:basedOn w:val="Normal"/>
    <w:uiPriority w:val="2"/>
    <w:qFormat/>
    <w:pPr>
      <w:spacing w:after="240"/>
      <w:ind w:right="720"/>
    </w:pPr>
    <w:rPr>
      <w:iCs/>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Arial" w:hAnsi="Arial"/>
      <w:sz w:val="24"/>
      <w:szCs w:val="24"/>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hAnsi="Arial"/>
      <w:sz w:val="24"/>
      <w:szCs w:val="24"/>
    </w:rPr>
  </w:style>
  <w:style w:type="character" w:styleId="FootnoteReference">
    <w:name w:val="footnote reference"/>
    <w:aliases w:val="Style 42,o,fr,(NECG) Footnote Reference,Style 17,Style 20,Style 13,Style 12,o1,fr1,o2,fr2,o3,fr3,Style 15,Style 8,Style 9,Style 18,Style 7,Style 19,Style 28"/>
    <w:basedOn w:val="DefaultParagraphFont"/>
    <w:uiPriority w:val="99"/>
    <w:unhideWhenUsed/>
    <w:rPr>
      <w:vertAlign w:val="superscript"/>
    </w:rPr>
  </w:style>
  <w:style w:type="paragraph" w:customStyle="1" w:styleId="1definition">
    <w:name w:val="1definition"/>
    <w:basedOn w:val="Normal"/>
    <w:pPr>
      <w:suppressAutoHyphens/>
    </w:pPr>
    <w:rPr>
      <w:rFonts w:cs="Arial"/>
      <w:spacing w:val="-3"/>
    </w:rPr>
  </w:style>
  <w:style w:type="character" w:styleId="Hyperlink">
    <w:name w:val="Hyperlink"/>
    <w:basedOn w:val="DefaultParagraphFont"/>
    <w:uiPriority w:val="99"/>
    <w:unhideWhenUsed/>
    <w:rPr>
      <w:color w:val="0000FF" w:themeColor="hyperlink"/>
      <w:u w:val="single"/>
    </w:rPr>
  </w:style>
  <w:style w:type="paragraph" w:styleId="EndnoteText">
    <w:name w:val="endnote text"/>
    <w:basedOn w:val="Normal"/>
    <w:link w:val="EndnoteTextChar"/>
    <w:uiPriority w:val="99"/>
    <w:semiHidden/>
    <w:unhideWhenUsed/>
    <w:pPr>
      <w:spacing w:line="240" w:lineRule="auto"/>
      <w:jc w:val="left"/>
    </w:pPr>
    <w:rPr>
      <w:rFonts w:ascii="Times New Roman" w:hAnsi="Times New Roman"/>
      <w:sz w:val="20"/>
      <w:szCs w:val="20"/>
    </w:rPr>
  </w:style>
  <w:style w:type="character" w:customStyle="1" w:styleId="EndnoteTextChar">
    <w:name w:val="Endnote Text Char"/>
    <w:basedOn w:val="DefaultParagraphFont"/>
    <w:link w:val="EndnoteText"/>
    <w:uiPriority w:val="99"/>
    <w:semiHidden/>
  </w:style>
  <w:style w:type="table" w:styleId="TableGrid">
    <w:name w:val="Table Grid"/>
    <w:basedOn w:val="TableNormal"/>
    <w:uiPriority w:val="59"/>
    <w:pPr>
      <w:spacing w:after="0"/>
    </w:pPr>
    <w:rPr>
      <w:rFonts w:ascii="Arial" w:eastAsiaTheme="minorHAnsi" w:hAnsi="Arial"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jc w:val="left"/>
    </w:pPr>
    <w:rPr>
      <w:rFonts w:ascii="Times New Roman" w:hAnsi="Times New Roman"/>
    </w:rPr>
  </w:style>
  <w:style w:type="paragraph" w:styleId="ListParagraph">
    <w:name w:val="List Paragraph"/>
    <w:basedOn w:val="Normal"/>
    <w:uiPriority w:val="34"/>
    <w:pPr>
      <w:ind w:left="720"/>
      <w:contextualSpacing/>
    </w:pPr>
  </w:style>
  <w:style w:type="paragraph" w:styleId="BodyText">
    <w:name w:val="Body Text"/>
    <w:basedOn w:val="Normal"/>
    <w:link w:val="BodyTextChar"/>
    <w:rsid w:val="00C3106F"/>
    <w:pPr>
      <w:tabs>
        <w:tab w:val="left" w:pos="-1440"/>
        <w:tab w:val="left" w:pos="-720"/>
        <w:tab w:val="left" w:pos="5040"/>
        <w:tab w:val="center" w:pos="7200"/>
      </w:tabs>
      <w:overflowPunct w:val="0"/>
      <w:autoSpaceDE w:val="0"/>
      <w:autoSpaceDN w:val="0"/>
      <w:adjustRightInd w:val="0"/>
      <w:spacing w:line="240" w:lineRule="auto"/>
    </w:pPr>
    <w:rPr>
      <w:rFonts w:eastAsiaTheme="minorHAnsi" w:cstheme="minorBidi"/>
      <w:b/>
      <w:smallCaps/>
      <w:sz w:val="20"/>
      <w:szCs w:val="20"/>
    </w:rPr>
  </w:style>
  <w:style w:type="character" w:customStyle="1" w:styleId="BodyTextChar">
    <w:name w:val="Body Text Char"/>
    <w:basedOn w:val="DefaultParagraphFont"/>
    <w:link w:val="BodyText"/>
    <w:rsid w:val="00C3106F"/>
    <w:rPr>
      <w:rFonts w:ascii="Arial" w:eastAsiaTheme="minorHAnsi" w:hAnsi="Arial" w:cstheme="minorBidi"/>
      <w:b/>
      <w:smallCaps/>
    </w:rPr>
  </w:style>
  <w:style w:type="paragraph" w:styleId="BodyText3">
    <w:name w:val="Body Text 3"/>
    <w:basedOn w:val="Normal"/>
    <w:link w:val="BodyText3Char"/>
    <w:rsid w:val="00C3106F"/>
    <w:pPr>
      <w:spacing w:after="120" w:line="240" w:lineRule="auto"/>
      <w:jc w:val="left"/>
    </w:pPr>
    <w:rPr>
      <w:rFonts w:eastAsiaTheme="minorHAnsi" w:cstheme="minorBidi"/>
      <w:sz w:val="16"/>
      <w:szCs w:val="16"/>
    </w:rPr>
  </w:style>
  <w:style w:type="character" w:customStyle="1" w:styleId="BodyText3Char">
    <w:name w:val="Body Text 3 Char"/>
    <w:basedOn w:val="DefaultParagraphFont"/>
    <w:link w:val="BodyText3"/>
    <w:rsid w:val="00C3106F"/>
    <w:rPr>
      <w:rFonts w:ascii="Arial" w:eastAsiaTheme="minorHAnsi" w:hAnsi="Arial" w:cstheme="minorBidi"/>
      <w:sz w:val="16"/>
      <w:szCs w:val="16"/>
    </w:rPr>
  </w:style>
  <w:style w:type="character" w:customStyle="1" w:styleId="Heading5Char">
    <w:name w:val="Heading 5 Char"/>
    <w:basedOn w:val="DefaultParagraphFont"/>
    <w:link w:val="Heading5"/>
    <w:uiPriority w:val="9"/>
    <w:semiHidden/>
    <w:rsid w:val="001E78FF"/>
    <w:rPr>
      <w:rFonts w:asciiTheme="majorHAnsi" w:eastAsiaTheme="majorEastAsia" w:hAnsiTheme="majorHAnsi" w:cs="Arial"/>
      <w:color w:val="243F60" w:themeColor="accent1" w:themeShade="7F"/>
      <w:sz w:val="24"/>
      <w:szCs w:val="24"/>
    </w:rPr>
  </w:style>
  <w:style w:type="character" w:customStyle="1" w:styleId="Heading6Char">
    <w:name w:val="Heading 6 Char"/>
    <w:basedOn w:val="DefaultParagraphFont"/>
    <w:link w:val="Heading6"/>
    <w:uiPriority w:val="9"/>
    <w:semiHidden/>
    <w:rsid w:val="001E78FF"/>
    <w:rPr>
      <w:rFonts w:asciiTheme="majorHAnsi" w:eastAsiaTheme="majorEastAsia" w:hAnsiTheme="majorHAnsi" w:cs="Arial"/>
      <w:iCs/>
      <w:color w:val="243F60" w:themeColor="accent1" w:themeShade="7F"/>
      <w:sz w:val="24"/>
      <w:szCs w:val="24"/>
    </w:rPr>
  </w:style>
  <w:style w:type="character" w:customStyle="1" w:styleId="Heading7Char">
    <w:name w:val="Heading 7 Char"/>
    <w:basedOn w:val="DefaultParagraphFont"/>
    <w:link w:val="Heading7"/>
    <w:uiPriority w:val="9"/>
    <w:semiHidden/>
    <w:rsid w:val="001E78FF"/>
    <w:rPr>
      <w:rFonts w:asciiTheme="majorHAnsi" w:eastAsiaTheme="majorEastAsia" w:hAnsiTheme="majorHAnsi" w:cs="Arial"/>
      <w:iCs/>
      <w:color w:val="404040" w:themeColor="text1" w:themeTint="BF"/>
      <w:sz w:val="24"/>
      <w:szCs w:val="24"/>
    </w:rPr>
  </w:style>
  <w:style w:type="character" w:customStyle="1" w:styleId="Heading8Char">
    <w:name w:val="Heading 8 Char"/>
    <w:basedOn w:val="DefaultParagraphFont"/>
    <w:link w:val="Heading8"/>
    <w:uiPriority w:val="9"/>
    <w:semiHidden/>
    <w:rsid w:val="001E78FF"/>
    <w:rPr>
      <w:rFonts w:asciiTheme="majorHAnsi" w:eastAsiaTheme="majorEastAsia" w:hAnsiTheme="majorHAnsi" w:cs="Arial"/>
      <w:color w:val="404040" w:themeColor="text1" w:themeTint="BF"/>
      <w:sz w:val="24"/>
    </w:rPr>
  </w:style>
  <w:style w:type="character" w:customStyle="1" w:styleId="Heading9Char">
    <w:name w:val="Heading 9 Char"/>
    <w:basedOn w:val="DefaultParagraphFont"/>
    <w:link w:val="Heading9"/>
    <w:uiPriority w:val="9"/>
    <w:semiHidden/>
    <w:rsid w:val="001E78FF"/>
    <w:rPr>
      <w:rFonts w:asciiTheme="majorHAnsi" w:eastAsiaTheme="majorEastAsia" w:hAnsiTheme="majorHAnsi" w:cs="Arial"/>
      <w:iCs/>
      <w:color w:val="404040" w:themeColor="text1" w:themeTint="BF"/>
      <w:sz w:val="24"/>
    </w:rPr>
  </w:style>
  <w:style w:type="character" w:styleId="CommentReference">
    <w:name w:val="annotation reference"/>
    <w:basedOn w:val="DefaultParagraphFont"/>
    <w:uiPriority w:val="99"/>
    <w:semiHidden/>
    <w:unhideWhenUsed/>
    <w:rsid w:val="00D5618A"/>
    <w:rPr>
      <w:sz w:val="16"/>
      <w:szCs w:val="16"/>
    </w:rPr>
  </w:style>
  <w:style w:type="paragraph" w:styleId="CommentText">
    <w:name w:val="annotation text"/>
    <w:basedOn w:val="Normal"/>
    <w:link w:val="CommentTextChar"/>
    <w:uiPriority w:val="99"/>
    <w:semiHidden/>
    <w:unhideWhenUsed/>
    <w:rsid w:val="00D5618A"/>
    <w:pPr>
      <w:spacing w:line="240" w:lineRule="auto"/>
    </w:pPr>
    <w:rPr>
      <w:sz w:val="20"/>
      <w:szCs w:val="20"/>
    </w:rPr>
  </w:style>
  <w:style w:type="character" w:customStyle="1" w:styleId="CommentTextChar">
    <w:name w:val="Comment Text Char"/>
    <w:basedOn w:val="DefaultParagraphFont"/>
    <w:link w:val="CommentText"/>
    <w:uiPriority w:val="99"/>
    <w:semiHidden/>
    <w:rsid w:val="00D5618A"/>
    <w:rPr>
      <w:rFonts w:ascii="Arial" w:hAnsi="Arial"/>
    </w:rPr>
  </w:style>
  <w:style w:type="paragraph" w:styleId="CommentSubject">
    <w:name w:val="annotation subject"/>
    <w:basedOn w:val="CommentText"/>
    <w:next w:val="CommentText"/>
    <w:link w:val="CommentSubjectChar"/>
    <w:uiPriority w:val="99"/>
    <w:semiHidden/>
    <w:unhideWhenUsed/>
    <w:rsid w:val="00D5618A"/>
    <w:rPr>
      <w:b/>
      <w:bCs/>
    </w:rPr>
  </w:style>
  <w:style w:type="character" w:customStyle="1" w:styleId="CommentSubjectChar">
    <w:name w:val="Comment Subject Char"/>
    <w:basedOn w:val="CommentTextChar"/>
    <w:link w:val="CommentSubject"/>
    <w:uiPriority w:val="99"/>
    <w:semiHidden/>
    <w:rsid w:val="00D5618A"/>
    <w:rPr>
      <w:rFonts w:ascii="Arial" w:hAnsi="Arial"/>
      <w:b/>
      <w:bCs/>
    </w:rPr>
  </w:style>
  <w:style w:type="paragraph" w:styleId="Revision">
    <w:name w:val="Revision"/>
    <w:hidden/>
    <w:uiPriority w:val="99"/>
    <w:semiHidden/>
    <w:rsid w:val="00D5618A"/>
    <w:pPr>
      <w:spacing w:after="0"/>
    </w:pPr>
    <w:rPr>
      <w:rFonts w:ascii="Arial" w:hAnsi="Arial"/>
      <w:sz w:val="24"/>
      <w:szCs w:val="24"/>
    </w:rPr>
  </w:style>
  <w:style w:type="paragraph" w:styleId="BalloonText">
    <w:name w:val="Balloon Text"/>
    <w:basedOn w:val="Normal"/>
    <w:link w:val="BalloonTextChar"/>
    <w:uiPriority w:val="99"/>
    <w:semiHidden/>
    <w:unhideWhenUsed/>
    <w:rsid w:val="00D561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18A"/>
    <w:rPr>
      <w:rFonts w:ascii="Tahoma" w:hAnsi="Tahoma" w:cs="Tahoma"/>
      <w:sz w:val="16"/>
      <w:szCs w:val="16"/>
    </w:rPr>
  </w:style>
  <w:style w:type="paragraph" w:styleId="TOC2">
    <w:name w:val="toc 2"/>
    <w:basedOn w:val="Normal"/>
    <w:next w:val="Normal"/>
    <w:autoRedefine/>
    <w:uiPriority w:val="39"/>
    <w:unhideWhenUsed/>
    <w:rsid w:val="00BA0E96"/>
    <w:pPr>
      <w:tabs>
        <w:tab w:val="right" w:leader="dot" w:pos="9360"/>
      </w:tabs>
      <w:spacing w:after="180" w:line="240" w:lineRule="auto"/>
      <w:ind w:left="1440" w:right="720" w:hanging="720"/>
    </w:pPr>
  </w:style>
  <w:style w:type="paragraph" w:styleId="TOC1">
    <w:name w:val="toc 1"/>
    <w:basedOn w:val="Normal"/>
    <w:next w:val="Normal"/>
    <w:autoRedefine/>
    <w:uiPriority w:val="39"/>
    <w:unhideWhenUsed/>
    <w:rsid w:val="009278A6"/>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List Number" w:qFormat="1"/>
    <w:lsdException w:name="Title" w:semiHidden="0" w:uiPriority="3" w:unhideWhenUsed="0" w:qFormat="1"/>
    <w:lsdException w:name="Signature" w:uiPriority="3" w:qFormat="1"/>
    <w:lsdException w:name="Default Paragraph Font" w:uiPriority="1"/>
    <w:lsdException w:name="Body Text" w:uiPriority="0"/>
    <w:lsdException w:name="Subtitle" w:semiHidden="0" w:uiPriority="11" w:unhideWhenUsed="0"/>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480" w:lineRule="auto"/>
      <w:jc w:val="both"/>
    </w:pPr>
    <w:rPr>
      <w:rFonts w:ascii="Arial" w:hAnsi="Arial"/>
      <w:sz w:val="24"/>
      <w:szCs w:val="24"/>
    </w:rPr>
  </w:style>
  <w:style w:type="paragraph" w:styleId="Heading1">
    <w:name w:val="heading 1"/>
    <w:basedOn w:val="Normal"/>
    <w:next w:val="Normal"/>
    <w:link w:val="Heading1Char"/>
    <w:uiPriority w:val="9"/>
    <w:qFormat/>
    <w:rsid w:val="000A7E03"/>
    <w:pPr>
      <w:numPr>
        <w:numId w:val="13"/>
      </w:numPr>
      <w:tabs>
        <w:tab w:val="clear" w:pos="720"/>
      </w:tabs>
      <w:spacing w:before="240" w:after="240" w:line="240" w:lineRule="auto"/>
      <w:outlineLvl w:val="0"/>
    </w:pPr>
    <w:rPr>
      <w:rFonts w:eastAsia="Calibri" w:cs="Arial"/>
      <w:b/>
      <w:bCs/>
      <w:caps/>
      <w:szCs w:val="28"/>
      <w:u w:val="single"/>
    </w:rPr>
  </w:style>
  <w:style w:type="paragraph" w:styleId="Heading2">
    <w:name w:val="heading 2"/>
    <w:basedOn w:val="Normal"/>
    <w:next w:val="Normal"/>
    <w:link w:val="Heading2Char"/>
    <w:uiPriority w:val="9"/>
    <w:qFormat/>
    <w:rsid w:val="001E78FF"/>
    <w:pPr>
      <w:numPr>
        <w:ilvl w:val="1"/>
        <w:numId w:val="13"/>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qFormat/>
    <w:rsid w:val="001E78FF"/>
    <w:pPr>
      <w:numPr>
        <w:ilvl w:val="2"/>
        <w:numId w:val="13"/>
      </w:numPr>
      <w:spacing w:after="240" w:line="240" w:lineRule="auto"/>
      <w:outlineLvl w:val="2"/>
    </w:pPr>
    <w:rPr>
      <w:rFonts w:eastAsiaTheme="majorEastAsia" w:cs="Arial"/>
      <w:b/>
      <w:bCs/>
    </w:rPr>
  </w:style>
  <w:style w:type="paragraph" w:styleId="Heading4">
    <w:name w:val="heading 4"/>
    <w:basedOn w:val="Normal"/>
    <w:next w:val="Normal"/>
    <w:link w:val="Heading4Char"/>
    <w:uiPriority w:val="9"/>
    <w:unhideWhenUsed/>
    <w:qFormat/>
    <w:rsid w:val="001E78FF"/>
    <w:pPr>
      <w:numPr>
        <w:ilvl w:val="3"/>
        <w:numId w:val="13"/>
      </w:numPr>
      <w:spacing w:after="240" w:line="240" w:lineRule="auto"/>
      <w:outlineLvl w:val="3"/>
    </w:pPr>
    <w:rPr>
      <w:rFonts w:eastAsiaTheme="majorEastAsia" w:cs="Arial"/>
      <w:b/>
      <w:bCs/>
      <w:i/>
      <w:iCs/>
    </w:rPr>
  </w:style>
  <w:style w:type="paragraph" w:styleId="Heading5">
    <w:name w:val="heading 5"/>
    <w:basedOn w:val="Normal"/>
    <w:next w:val="Normal"/>
    <w:link w:val="Heading5Char"/>
    <w:uiPriority w:val="9"/>
    <w:semiHidden/>
    <w:unhideWhenUsed/>
    <w:rsid w:val="001E78FF"/>
    <w:pPr>
      <w:numPr>
        <w:ilvl w:val="4"/>
        <w:numId w:val="13"/>
      </w:numPr>
      <w:spacing w:after="240" w:line="240" w:lineRule="auto"/>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rsid w:val="001E78FF"/>
    <w:pPr>
      <w:numPr>
        <w:ilvl w:val="5"/>
        <w:numId w:val="13"/>
      </w:numPr>
      <w:spacing w:after="240" w:line="240" w:lineRule="auto"/>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rsid w:val="001E78FF"/>
    <w:pPr>
      <w:numPr>
        <w:ilvl w:val="6"/>
        <w:numId w:val="13"/>
      </w:numPr>
      <w:spacing w:after="240" w:line="240" w:lineRule="auto"/>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rsid w:val="001E78FF"/>
    <w:pPr>
      <w:numPr>
        <w:ilvl w:val="7"/>
        <w:numId w:val="13"/>
      </w:numPr>
      <w:spacing w:after="240" w:line="240" w:lineRule="auto"/>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rsid w:val="001E78FF"/>
    <w:pPr>
      <w:numPr>
        <w:ilvl w:val="8"/>
        <w:numId w:val="13"/>
      </w:numPr>
      <w:spacing w:after="240" w:line="240" w:lineRule="auto"/>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E03"/>
    <w:rPr>
      <w:rFonts w:ascii="Arial" w:eastAsia="Calibri" w:hAnsi="Arial" w:cs="Arial"/>
      <w:b/>
      <w:bCs/>
      <w:caps/>
      <w:sz w:val="24"/>
      <w:szCs w:val="28"/>
      <w:u w:val="single"/>
    </w:rPr>
  </w:style>
  <w:style w:type="character" w:customStyle="1" w:styleId="Heading2Char">
    <w:name w:val="Heading 2 Char"/>
    <w:basedOn w:val="DefaultParagraphFont"/>
    <w:link w:val="Heading2"/>
    <w:uiPriority w:val="9"/>
    <w:rsid w:val="001E78FF"/>
    <w:rPr>
      <w:rFonts w:ascii="Arial" w:eastAsiaTheme="majorEastAsia" w:hAnsi="Arial" w:cs="Arial"/>
      <w:b/>
      <w:bCs/>
      <w:sz w:val="24"/>
      <w:szCs w:val="26"/>
    </w:rPr>
  </w:style>
  <w:style w:type="character" w:customStyle="1" w:styleId="Heading3Char">
    <w:name w:val="Heading 3 Char"/>
    <w:basedOn w:val="DefaultParagraphFont"/>
    <w:link w:val="Heading3"/>
    <w:uiPriority w:val="9"/>
    <w:rsid w:val="001E78FF"/>
    <w:rPr>
      <w:rFonts w:ascii="Arial" w:eastAsiaTheme="majorEastAsia" w:hAnsi="Arial" w:cs="Arial"/>
      <w:b/>
      <w:bCs/>
      <w:sz w:val="24"/>
      <w:szCs w:val="24"/>
    </w:rPr>
  </w:style>
  <w:style w:type="character" w:customStyle="1" w:styleId="Heading4Char">
    <w:name w:val="Heading 4 Char"/>
    <w:basedOn w:val="DefaultParagraphFont"/>
    <w:link w:val="Heading4"/>
    <w:uiPriority w:val="9"/>
    <w:rsid w:val="001E78FF"/>
    <w:rPr>
      <w:rFonts w:ascii="Arial" w:eastAsiaTheme="majorEastAsia" w:hAnsi="Arial" w:cs="Arial"/>
      <w:b/>
      <w:bCs/>
      <w:i/>
      <w:iCs/>
      <w:sz w:val="24"/>
      <w:szCs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qFormat/>
    <w:pPr>
      <w:spacing w:after="120" w:line="240" w:lineRule="auto"/>
    </w:pPr>
    <w:rPr>
      <w:rFonts w:eastAsia="Calibri"/>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rFonts w:ascii="Arial" w:eastAsia="Calibri" w:hAnsi="Arial"/>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6"/>
      </w:numPr>
      <w:spacing w:after="240"/>
      <w:contextualSpacing/>
    </w:pPr>
  </w:style>
  <w:style w:type="paragraph" w:styleId="ListNumber">
    <w:name w:val="List Number"/>
    <w:basedOn w:val="Normal"/>
    <w:uiPriority w:val="99"/>
    <w:qFormat/>
    <w:pPr>
      <w:numPr>
        <w:numId w:val="8"/>
      </w:numPr>
      <w:spacing w:after="240"/>
      <w:contextualSpacing/>
    </w:pPr>
  </w:style>
  <w:style w:type="paragraph" w:styleId="Title">
    <w:name w:val="Title"/>
    <w:basedOn w:val="Normal"/>
    <w:link w:val="TitleChar"/>
    <w:uiPriority w:val="3"/>
    <w:qFormat/>
    <w:pPr>
      <w:spacing w:after="240"/>
      <w:jc w:val="center"/>
    </w:pPr>
    <w:rPr>
      <w:rFonts w:eastAsiaTheme="majorEastAsia" w:cstheme="majorBidi"/>
      <w:sz w:val="23"/>
      <w:szCs w:val="52"/>
    </w:rPr>
  </w:style>
  <w:style w:type="character" w:customStyle="1" w:styleId="TitleChar">
    <w:name w:val="Title Char"/>
    <w:basedOn w:val="DefaultParagraphFont"/>
    <w:link w:val="Title"/>
    <w:uiPriority w:val="3"/>
    <w:rPr>
      <w:rFonts w:ascii="Arial" w:eastAsiaTheme="majorEastAsia" w:hAnsi="Arial" w:cstheme="majorBidi"/>
      <w:sz w:val="23"/>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rFonts w:ascii="Arial" w:hAnsi="Arial"/>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style>
  <w:style w:type="paragraph" w:customStyle="1" w:styleId="LeftIndent">
    <w:name w:val="Left Indent"/>
    <w:aliases w:val="LeftInd"/>
    <w:basedOn w:val="Normal"/>
    <w:uiPriority w:val="11"/>
    <w:qFormat/>
    <w:pPr>
      <w:spacing w:after="240"/>
    </w:pPr>
  </w:style>
  <w:style w:type="paragraph" w:customStyle="1" w:styleId="FirstLineIndent">
    <w:name w:val="First Line Indent"/>
    <w:aliases w:val="FirstInd"/>
    <w:basedOn w:val="Normal"/>
    <w:uiPriority w:val="1"/>
    <w:qFormat/>
    <w:pPr>
      <w:spacing w:after="240"/>
      <w:ind w:firstLine="720"/>
    </w:pPr>
  </w:style>
  <w:style w:type="paragraph" w:customStyle="1" w:styleId="NoIndent">
    <w:name w:val="No Indent"/>
    <w:aliases w:val="NoInd"/>
    <w:basedOn w:val="Normal"/>
    <w:qFormat/>
    <w:pPr>
      <w:spacing w:after="240"/>
    </w:pPr>
  </w:style>
  <w:style w:type="paragraph" w:customStyle="1" w:styleId="DoubleIndent5">
    <w:name w:val="Double Indent .5"/>
    <w:aliases w:val="DblInd5"/>
    <w:basedOn w:val="Normal"/>
    <w:uiPriority w:val="2"/>
    <w:qFormat/>
    <w:pPr>
      <w:spacing w:after="240"/>
      <w:ind w:right="720"/>
    </w:pPr>
    <w:rPr>
      <w:iCs/>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Arial" w:hAnsi="Arial"/>
      <w:sz w:val="24"/>
      <w:szCs w:val="24"/>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hAnsi="Arial"/>
      <w:sz w:val="24"/>
      <w:szCs w:val="24"/>
    </w:rPr>
  </w:style>
  <w:style w:type="character" w:styleId="FootnoteReference">
    <w:name w:val="footnote reference"/>
    <w:aliases w:val="Style 42,o,fr,(NECG) Footnote Reference,Style 17,Style 20,Style 13,Style 12,o1,fr1,o2,fr2,o3,fr3,Style 15,Style 8,Style 9,Style 18,Style 7,Style 19,Style 28"/>
    <w:basedOn w:val="DefaultParagraphFont"/>
    <w:uiPriority w:val="99"/>
    <w:unhideWhenUsed/>
    <w:rPr>
      <w:vertAlign w:val="superscript"/>
    </w:rPr>
  </w:style>
  <w:style w:type="paragraph" w:customStyle="1" w:styleId="1definition">
    <w:name w:val="1definition"/>
    <w:basedOn w:val="Normal"/>
    <w:pPr>
      <w:suppressAutoHyphens/>
    </w:pPr>
    <w:rPr>
      <w:rFonts w:cs="Arial"/>
      <w:spacing w:val="-3"/>
    </w:rPr>
  </w:style>
  <w:style w:type="character" w:styleId="Hyperlink">
    <w:name w:val="Hyperlink"/>
    <w:basedOn w:val="DefaultParagraphFont"/>
    <w:uiPriority w:val="99"/>
    <w:unhideWhenUsed/>
    <w:rPr>
      <w:color w:val="0000FF" w:themeColor="hyperlink"/>
      <w:u w:val="single"/>
    </w:rPr>
  </w:style>
  <w:style w:type="paragraph" w:styleId="EndnoteText">
    <w:name w:val="endnote text"/>
    <w:basedOn w:val="Normal"/>
    <w:link w:val="EndnoteTextChar"/>
    <w:uiPriority w:val="99"/>
    <w:semiHidden/>
    <w:unhideWhenUsed/>
    <w:pPr>
      <w:spacing w:line="240" w:lineRule="auto"/>
      <w:jc w:val="left"/>
    </w:pPr>
    <w:rPr>
      <w:rFonts w:ascii="Times New Roman" w:hAnsi="Times New Roman"/>
      <w:sz w:val="20"/>
      <w:szCs w:val="20"/>
    </w:rPr>
  </w:style>
  <w:style w:type="character" w:customStyle="1" w:styleId="EndnoteTextChar">
    <w:name w:val="Endnote Text Char"/>
    <w:basedOn w:val="DefaultParagraphFont"/>
    <w:link w:val="EndnoteText"/>
    <w:uiPriority w:val="99"/>
    <w:semiHidden/>
  </w:style>
  <w:style w:type="table" w:styleId="TableGrid">
    <w:name w:val="Table Grid"/>
    <w:basedOn w:val="TableNormal"/>
    <w:uiPriority w:val="59"/>
    <w:pPr>
      <w:spacing w:after="0"/>
    </w:pPr>
    <w:rPr>
      <w:rFonts w:ascii="Arial" w:eastAsiaTheme="minorHAnsi" w:hAnsi="Arial"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jc w:val="left"/>
    </w:pPr>
    <w:rPr>
      <w:rFonts w:ascii="Times New Roman" w:hAnsi="Times New Roman"/>
    </w:rPr>
  </w:style>
  <w:style w:type="paragraph" w:styleId="ListParagraph">
    <w:name w:val="List Paragraph"/>
    <w:basedOn w:val="Normal"/>
    <w:uiPriority w:val="34"/>
    <w:pPr>
      <w:ind w:left="720"/>
      <w:contextualSpacing/>
    </w:pPr>
  </w:style>
  <w:style w:type="paragraph" w:styleId="BodyText">
    <w:name w:val="Body Text"/>
    <w:basedOn w:val="Normal"/>
    <w:link w:val="BodyTextChar"/>
    <w:rsid w:val="00C3106F"/>
    <w:pPr>
      <w:tabs>
        <w:tab w:val="left" w:pos="-1440"/>
        <w:tab w:val="left" w:pos="-720"/>
        <w:tab w:val="left" w:pos="5040"/>
        <w:tab w:val="center" w:pos="7200"/>
      </w:tabs>
      <w:overflowPunct w:val="0"/>
      <w:autoSpaceDE w:val="0"/>
      <w:autoSpaceDN w:val="0"/>
      <w:adjustRightInd w:val="0"/>
      <w:spacing w:line="240" w:lineRule="auto"/>
    </w:pPr>
    <w:rPr>
      <w:rFonts w:eastAsiaTheme="minorHAnsi" w:cstheme="minorBidi"/>
      <w:b/>
      <w:smallCaps/>
      <w:sz w:val="20"/>
      <w:szCs w:val="20"/>
    </w:rPr>
  </w:style>
  <w:style w:type="character" w:customStyle="1" w:styleId="BodyTextChar">
    <w:name w:val="Body Text Char"/>
    <w:basedOn w:val="DefaultParagraphFont"/>
    <w:link w:val="BodyText"/>
    <w:rsid w:val="00C3106F"/>
    <w:rPr>
      <w:rFonts w:ascii="Arial" w:eastAsiaTheme="minorHAnsi" w:hAnsi="Arial" w:cstheme="minorBidi"/>
      <w:b/>
      <w:smallCaps/>
    </w:rPr>
  </w:style>
  <w:style w:type="paragraph" w:styleId="BodyText3">
    <w:name w:val="Body Text 3"/>
    <w:basedOn w:val="Normal"/>
    <w:link w:val="BodyText3Char"/>
    <w:rsid w:val="00C3106F"/>
    <w:pPr>
      <w:spacing w:after="120" w:line="240" w:lineRule="auto"/>
      <w:jc w:val="left"/>
    </w:pPr>
    <w:rPr>
      <w:rFonts w:eastAsiaTheme="minorHAnsi" w:cstheme="minorBidi"/>
      <w:sz w:val="16"/>
      <w:szCs w:val="16"/>
    </w:rPr>
  </w:style>
  <w:style w:type="character" w:customStyle="1" w:styleId="BodyText3Char">
    <w:name w:val="Body Text 3 Char"/>
    <w:basedOn w:val="DefaultParagraphFont"/>
    <w:link w:val="BodyText3"/>
    <w:rsid w:val="00C3106F"/>
    <w:rPr>
      <w:rFonts w:ascii="Arial" w:eastAsiaTheme="minorHAnsi" w:hAnsi="Arial" w:cstheme="minorBidi"/>
      <w:sz w:val="16"/>
      <w:szCs w:val="16"/>
    </w:rPr>
  </w:style>
  <w:style w:type="character" w:customStyle="1" w:styleId="Heading5Char">
    <w:name w:val="Heading 5 Char"/>
    <w:basedOn w:val="DefaultParagraphFont"/>
    <w:link w:val="Heading5"/>
    <w:uiPriority w:val="9"/>
    <w:semiHidden/>
    <w:rsid w:val="001E78FF"/>
    <w:rPr>
      <w:rFonts w:asciiTheme="majorHAnsi" w:eastAsiaTheme="majorEastAsia" w:hAnsiTheme="majorHAnsi" w:cs="Arial"/>
      <w:color w:val="243F60" w:themeColor="accent1" w:themeShade="7F"/>
      <w:sz w:val="24"/>
      <w:szCs w:val="24"/>
    </w:rPr>
  </w:style>
  <w:style w:type="character" w:customStyle="1" w:styleId="Heading6Char">
    <w:name w:val="Heading 6 Char"/>
    <w:basedOn w:val="DefaultParagraphFont"/>
    <w:link w:val="Heading6"/>
    <w:uiPriority w:val="9"/>
    <w:semiHidden/>
    <w:rsid w:val="001E78FF"/>
    <w:rPr>
      <w:rFonts w:asciiTheme="majorHAnsi" w:eastAsiaTheme="majorEastAsia" w:hAnsiTheme="majorHAnsi" w:cs="Arial"/>
      <w:iCs/>
      <w:color w:val="243F60" w:themeColor="accent1" w:themeShade="7F"/>
      <w:sz w:val="24"/>
      <w:szCs w:val="24"/>
    </w:rPr>
  </w:style>
  <w:style w:type="character" w:customStyle="1" w:styleId="Heading7Char">
    <w:name w:val="Heading 7 Char"/>
    <w:basedOn w:val="DefaultParagraphFont"/>
    <w:link w:val="Heading7"/>
    <w:uiPriority w:val="9"/>
    <w:semiHidden/>
    <w:rsid w:val="001E78FF"/>
    <w:rPr>
      <w:rFonts w:asciiTheme="majorHAnsi" w:eastAsiaTheme="majorEastAsia" w:hAnsiTheme="majorHAnsi" w:cs="Arial"/>
      <w:iCs/>
      <w:color w:val="404040" w:themeColor="text1" w:themeTint="BF"/>
      <w:sz w:val="24"/>
      <w:szCs w:val="24"/>
    </w:rPr>
  </w:style>
  <w:style w:type="character" w:customStyle="1" w:styleId="Heading8Char">
    <w:name w:val="Heading 8 Char"/>
    <w:basedOn w:val="DefaultParagraphFont"/>
    <w:link w:val="Heading8"/>
    <w:uiPriority w:val="9"/>
    <w:semiHidden/>
    <w:rsid w:val="001E78FF"/>
    <w:rPr>
      <w:rFonts w:asciiTheme="majorHAnsi" w:eastAsiaTheme="majorEastAsia" w:hAnsiTheme="majorHAnsi" w:cs="Arial"/>
      <w:color w:val="404040" w:themeColor="text1" w:themeTint="BF"/>
      <w:sz w:val="24"/>
    </w:rPr>
  </w:style>
  <w:style w:type="character" w:customStyle="1" w:styleId="Heading9Char">
    <w:name w:val="Heading 9 Char"/>
    <w:basedOn w:val="DefaultParagraphFont"/>
    <w:link w:val="Heading9"/>
    <w:uiPriority w:val="9"/>
    <w:semiHidden/>
    <w:rsid w:val="001E78FF"/>
    <w:rPr>
      <w:rFonts w:asciiTheme="majorHAnsi" w:eastAsiaTheme="majorEastAsia" w:hAnsiTheme="majorHAnsi" w:cs="Arial"/>
      <w:iCs/>
      <w:color w:val="404040" w:themeColor="text1" w:themeTint="BF"/>
      <w:sz w:val="24"/>
    </w:rPr>
  </w:style>
  <w:style w:type="character" w:styleId="CommentReference">
    <w:name w:val="annotation reference"/>
    <w:basedOn w:val="DefaultParagraphFont"/>
    <w:uiPriority w:val="99"/>
    <w:semiHidden/>
    <w:unhideWhenUsed/>
    <w:rsid w:val="00D5618A"/>
    <w:rPr>
      <w:sz w:val="16"/>
      <w:szCs w:val="16"/>
    </w:rPr>
  </w:style>
  <w:style w:type="paragraph" w:styleId="CommentText">
    <w:name w:val="annotation text"/>
    <w:basedOn w:val="Normal"/>
    <w:link w:val="CommentTextChar"/>
    <w:uiPriority w:val="99"/>
    <w:semiHidden/>
    <w:unhideWhenUsed/>
    <w:rsid w:val="00D5618A"/>
    <w:pPr>
      <w:spacing w:line="240" w:lineRule="auto"/>
    </w:pPr>
    <w:rPr>
      <w:sz w:val="20"/>
      <w:szCs w:val="20"/>
    </w:rPr>
  </w:style>
  <w:style w:type="character" w:customStyle="1" w:styleId="CommentTextChar">
    <w:name w:val="Comment Text Char"/>
    <w:basedOn w:val="DefaultParagraphFont"/>
    <w:link w:val="CommentText"/>
    <w:uiPriority w:val="99"/>
    <w:semiHidden/>
    <w:rsid w:val="00D5618A"/>
    <w:rPr>
      <w:rFonts w:ascii="Arial" w:hAnsi="Arial"/>
    </w:rPr>
  </w:style>
  <w:style w:type="paragraph" w:styleId="CommentSubject">
    <w:name w:val="annotation subject"/>
    <w:basedOn w:val="CommentText"/>
    <w:next w:val="CommentText"/>
    <w:link w:val="CommentSubjectChar"/>
    <w:uiPriority w:val="99"/>
    <w:semiHidden/>
    <w:unhideWhenUsed/>
    <w:rsid w:val="00D5618A"/>
    <w:rPr>
      <w:b/>
      <w:bCs/>
    </w:rPr>
  </w:style>
  <w:style w:type="character" w:customStyle="1" w:styleId="CommentSubjectChar">
    <w:name w:val="Comment Subject Char"/>
    <w:basedOn w:val="CommentTextChar"/>
    <w:link w:val="CommentSubject"/>
    <w:uiPriority w:val="99"/>
    <w:semiHidden/>
    <w:rsid w:val="00D5618A"/>
    <w:rPr>
      <w:rFonts w:ascii="Arial" w:hAnsi="Arial"/>
      <w:b/>
      <w:bCs/>
    </w:rPr>
  </w:style>
  <w:style w:type="paragraph" w:styleId="Revision">
    <w:name w:val="Revision"/>
    <w:hidden/>
    <w:uiPriority w:val="99"/>
    <w:semiHidden/>
    <w:rsid w:val="00D5618A"/>
    <w:pPr>
      <w:spacing w:after="0"/>
    </w:pPr>
    <w:rPr>
      <w:rFonts w:ascii="Arial" w:hAnsi="Arial"/>
      <w:sz w:val="24"/>
      <w:szCs w:val="24"/>
    </w:rPr>
  </w:style>
  <w:style w:type="paragraph" w:styleId="BalloonText">
    <w:name w:val="Balloon Text"/>
    <w:basedOn w:val="Normal"/>
    <w:link w:val="BalloonTextChar"/>
    <w:uiPriority w:val="99"/>
    <w:semiHidden/>
    <w:unhideWhenUsed/>
    <w:rsid w:val="00D561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18A"/>
    <w:rPr>
      <w:rFonts w:ascii="Tahoma" w:hAnsi="Tahoma" w:cs="Tahoma"/>
      <w:sz w:val="16"/>
      <w:szCs w:val="16"/>
    </w:rPr>
  </w:style>
  <w:style w:type="paragraph" w:styleId="TOC2">
    <w:name w:val="toc 2"/>
    <w:basedOn w:val="Normal"/>
    <w:next w:val="Normal"/>
    <w:autoRedefine/>
    <w:uiPriority w:val="39"/>
    <w:unhideWhenUsed/>
    <w:rsid w:val="00BA0E96"/>
    <w:pPr>
      <w:tabs>
        <w:tab w:val="right" w:leader="dot" w:pos="9360"/>
      </w:tabs>
      <w:spacing w:after="180" w:line="240" w:lineRule="auto"/>
      <w:ind w:left="1440" w:right="720" w:hanging="720"/>
    </w:pPr>
  </w:style>
  <w:style w:type="paragraph" w:styleId="TOC1">
    <w:name w:val="toc 1"/>
    <w:basedOn w:val="Normal"/>
    <w:next w:val="Normal"/>
    <w:autoRedefine/>
    <w:uiPriority w:val="39"/>
    <w:unhideWhenUsed/>
    <w:rsid w:val="009278A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3255">
      <w:bodyDiv w:val="1"/>
      <w:marLeft w:val="0"/>
      <w:marRight w:val="0"/>
      <w:marTop w:val="0"/>
      <w:marBottom w:val="0"/>
      <w:divBdr>
        <w:top w:val="none" w:sz="0" w:space="0" w:color="auto"/>
        <w:left w:val="none" w:sz="0" w:space="0" w:color="auto"/>
        <w:bottom w:val="none" w:sz="0" w:space="0" w:color="auto"/>
        <w:right w:val="none" w:sz="0" w:space="0" w:color="auto"/>
      </w:divBdr>
    </w:div>
    <w:div w:id="287324891">
      <w:bodyDiv w:val="1"/>
      <w:marLeft w:val="0"/>
      <w:marRight w:val="0"/>
      <w:marTop w:val="0"/>
      <w:marBottom w:val="0"/>
      <w:divBdr>
        <w:top w:val="none" w:sz="0" w:space="0" w:color="auto"/>
        <w:left w:val="none" w:sz="0" w:space="0" w:color="auto"/>
        <w:bottom w:val="none" w:sz="0" w:space="0" w:color="auto"/>
        <w:right w:val="none" w:sz="0" w:space="0" w:color="auto"/>
      </w:divBdr>
    </w:div>
    <w:div w:id="423915218">
      <w:bodyDiv w:val="1"/>
      <w:marLeft w:val="0"/>
      <w:marRight w:val="0"/>
      <w:marTop w:val="0"/>
      <w:marBottom w:val="0"/>
      <w:divBdr>
        <w:top w:val="none" w:sz="0" w:space="0" w:color="auto"/>
        <w:left w:val="none" w:sz="0" w:space="0" w:color="auto"/>
        <w:bottom w:val="none" w:sz="0" w:space="0" w:color="auto"/>
        <w:right w:val="none" w:sz="0" w:space="0" w:color="auto"/>
      </w:divBdr>
    </w:div>
    <w:div w:id="746803789">
      <w:bodyDiv w:val="1"/>
      <w:marLeft w:val="0"/>
      <w:marRight w:val="0"/>
      <w:marTop w:val="0"/>
      <w:marBottom w:val="0"/>
      <w:divBdr>
        <w:top w:val="none" w:sz="0" w:space="0" w:color="auto"/>
        <w:left w:val="none" w:sz="0" w:space="0" w:color="auto"/>
        <w:bottom w:val="none" w:sz="0" w:space="0" w:color="auto"/>
        <w:right w:val="none" w:sz="0" w:space="0" w:color="auto"/>
      </w:divBdr>
      <w:divsChild>
        <w:div w:id="1923180803">
          <w:marLeft w:val="0"/>
          <w:marRight w:val="0"/>
          <w:marTop w:val="0"/>
          <w:marBottom w:val="0"/>
          <w:divBdr>
            <w:top w:val="none" w:sz="0" w:space="0" w:color="auto"/>
            <w:left w:val="none" w:sz="0" w:space="0" w:color="auto"/>
            <w:bottom w:val="none" w:sz="0" w:space="0" w:color="auto"/>
            <w:right w:val="none" w:sz="0" w:space="0" w:color="auto"/>
          </w:divBdr>
          <w:divsChild>
            <w:div w:id="170710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66359">
      <w:bodyDiv w:val="1"/>
      <w:marLeft w:val="0"/>
      <w:marRight w:val="0"/>
      <w:marTop w:val="0"/>
      <w:marBottom w:val="0"/>
      <w:divBdr>
        <w:top w:val="none" w:sz="0" w:space="0" w:color="auto"/>
        <w:left w:val="none" w:sz="0" w:space="0" w:color="auto"/>
        <w:bottom w:val="none" w:sz="0" w:space="0" w:color="auto"/>
        <w:right w:val="none" w:sz="0" w:space="0" w:color="auto"/>
      </w:divBdr>
    </w:div>
    <w:div w:id="1502115087">
      <w:bodyDiv w:val="1"/>
      <w:marLeft w:val="0"/>
      <w:marRight w:val="0"/>
      <w:marTop w:val="0"/>
      <w:marBottom w:val="0"/>
      <w:divBdr>
        <w:top w:val="none" w:sz="0" w:space="0" w:color="auto"/>
        <w:left w:val="none" w:sz="0" w:space="0" w:color="auto"/>
        <w:bottom w:val="none" w:sz="0" w:space="0" w:color="auto"/>
        <w:right w:val="none" w:sz="0" w:space="0" w:color="auto"/>
      </w:divBdr>
      <w:divsChild>
        <w:div w:id="1989897553">
          <w:marLeft w:val="0"/>
          <w:marRight w:val="0"/>
          <w:marTop w:val="0"/>
          <w:marBottom w:val="0"/>
          <w:divBdr>
            <w:top w:val="none" w:sz="0" w:space="0" w:color="auto"/>
            <w:left w:val="none" w:sz="0" w:space="0" w:color="auto"/>
            <w:bottom w:val="none" w:sz="0" w:space="0" w:color="auto"/>
            <w:right w:val="none" w:sz="0" w:space="0" w:color="auto"/>
          </w:divBdr>
          <w:divsChild>
            <w:div w:id="6171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45446">
      <w:bodyDiv w:val="1"/>
      <w:marLeft w:val="0"/>
      <w:marRight w:val="0"/>
      <w:marTop w:val="0"/>
      <w:marBottom w:val="0"/>
      <w:divBdr>
        <w:top w:val="none" w:sz="0" w:space="0" w:color="auto"/>
        <w:left w:val="none" w:sz="0" w:space="0" w:color="auto"/>
        <w:bottom w:val="none" w:sz="0" w:space="0" w:color="auto"/>
        <w:right w:val="none" w:sz="0" w:space="0" w:color="auto"/>
      </w:divBdr>
      <w:divsChild>
        <w:div w:id="273637502">
          <w:marLeft w:val="0"/>
          <w:marRight w:val="0"/>
          <w:marTop w:val="0"/>
          <w:marBottom w:val="0"/>
          <w:divBdr>
            <w:top w:val="none" w:sz="0" w:space="0" w:color="auto"/>
            <w:left w:val="none" w:sz="0" w:space="0" w:color="auto"/>
            <w:bottom w:val="none" w:sz="0" w:space="0" w:color="auto"/>
            <w:right w:val="none" w:sz="0" w:space="0" w:color="auto"/>
          </w:divBdr>
          <w:divsChild>
            <w:div w:id="17781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57544">
      <w:bodyDiv w:val="1"/>
      <w:marLeft w:val="0"/>
      <w:marRight w:val="0"/>
      <w:marTop w:val="0"/>
      <w:marBottom w:val="0"/>
      <w:divBdr>
        <w:top w:val="none" w:sz="0" w:space="0" w:color="auto"/>
        <w:left w:val="none" w:sz="0" w:space="0" w:color="auto"/>
        <w:bottom w:val="none" w:sz="0" w:space="0" w:color="auto"/>
        <w:right w:val="none" w:sz="0" w:space="0" w:color="auto"/>
      </w:divBdr>
    </w:div>
    <w:div w:id="1892686832">
      <w:bodyDiv w:val="1"/>
      <w:marLeft w:val="0"/>
      <w:marRight w:val="0"/>
      <w:marTop w:val="0"/>
      <w:marBottom w:val="0"/>
      <w:divBdr>
        <w:top w:val="none" w:sz="0" w:space="0" w:color="auto"/>
        <w:left w:val="none" w:sz="0" w:space="0" w:color="auto"/>
        <w:bottom w:val="none" w:sz="0" w:space="0" w:color="auto"/>
        <w:right w:val="none" w:sz="0" w:space="0" w:color="auto"/>
      </w:divBdr>
      <w:divsChild>
        <w:div w:id="700133192">
          <w:marLeft w:val="0"/>
          <w:marRight w:val="0"/>
          <w:marTop w:val="0"/>
          <w:marBottom w:val="0"/>
          <w:divBdr>
            <w:top w:val="none" w:sz="0" w:space="0" w:color="auto"/>
            <w:left w:val="none" w:sz="0" w:space="0" w:color="auto"/>
            <w:bottom w:val="none" w:sz="0" w:space="0" w:color="auto"/>
            <w:right w:val="none" w:sz="0" w:space="0" w:color="auto"/>
          </w:divBdr>
          <w:divsChild>
            <w:div w:id="16358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7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30AFD-C171-4E4A-8D60-EEF75E49F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4691</Words>
  <Characters>26832</Characters>
  <Application>Microsoft Office Word</Application>
  <DocSecurity>0</DocSecurity>
  <PresentationFormat/>
  <Lines>648</Lines>
  <Paragraphs>221</Paragraphs>
  <ScaleCrop>false</ScaleCrop>
  <HeadingPairs>
    <vt:vector size="2" baseType="variant">
      <vt:variant>
        <vt:lpstr>Title</vt:lpstr>
      </vt:variant>
      <vt:variant>
        <vt:i4>1</vt:i4>
      </vt:variant>
    </vt:vector>
  </HeadingPairs>
  <TitlesOfParts>
    <vt:vector size="1" baseType="lpstr">
      <vt:lpstr>Application for Rehearing re: AEP '10 &amp; '11 FAC (11-281) (C43862-6).DOCX</vt:lpstr>
    </vt:vector>
  </TitlesOfParts>
  <LinksUpToDate>false</LinksUpToDate>
  <CharactersWithSpaces>31450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Rehearing re: AEP '10 &amp; '11 FAC (11-281) (C43862-6).DOCX</dc:title>
  <dc:subject>C43862:6 /font=8</dc:subject>
  <dc:creator/>
  <cp:lastModifiedBy/>
  <cp:revision>1</cp:revision>
  <cp:lastPrinted>2014-06-13T13:41:00Z</cp:lastPrinted>
  <dcterms:created xsi:type="dcterms:W3CDTF">2014-06-13T17:04:00Z</dcterms:created>
  <dcterms:modified xsi:type="dcterms:W3CDTF">2014-06-13T17:04:00Z</dcterms:modified>
</cp:coreProperties>
</file>