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52A4D" w:rsidRPr="007B3311" w:rsidP="00A52A4D" w14:paraId="2FBF27BE" w14:textId="77777777">
      <w:pPr>
        <w:pStyle w:val="List"/>
        <w:ind w:left="0" w:firstLine="0"/>
        <w:jc w:val="center"/>
        <w:rPr>
          <w:b/>
          <w:szCs w:val="24"/>
        </w:rPr>
      </w:pPr>
      <w:r w:rsidRPr="007B3311">
        <w:rPr>
          <w:b/>
          <w:szCs w:val="24"/>
        </w:rPr>
        <w:t>BEFORE</w:t>
      </w:r>
    </w:p>
    <w:p w:rsidR="00A52A4D" w:rsidRPr="007B3311" w:rsidP="00A52A4D" w14:paraId="536483DB" w14:textId="77777777">
      <w:pPr>
        <w:pStyle w:val="List"/>
        <w:ind w:left="0" w:firstLine="0"/>
        <w:jc w:val="center"/>
        <w:rPr>
          <w:b/>
          <w:szCs w:val="24"/>
        </w:rPr>
      </w:pPr>
      <w:r w:rsidRPr="007B3311">
        <w:rPr>
          <w:b/>
          <w:szCs w:val="24"/>
        </w:rPr>
        <w:t>THE PUBLIC UTILITIES COMMISSION OF OHIO</w:t>
      </w:r>
    </w:p>
    <w:tbl>
      <w:tblPr>
        <w:tblW w:w="8730" w:type="dxa"/>
        <w:tblLook w:val="01E0"/>
      </w:tblPr>
      <w:tblGrid>
        <w:gridCol w:w="4320"/>
        <w:gridCol w:w="296"/>
        <w:gridCol w:w="4114"/>
      </w:tblGrid>
      <w:tr w14:paraId="36051A54" w14:textId="77777777" w:rsidTr="0035210D">
        <w:tblPrEx>
          <w:tblW w:w="8730" w:type="dxa"/>
          <w:tblLook w:val="01E0"/>
        </w:tblPrEx>
        <w:trPr>
          <w:trHeight w:val="807"/>
        </w:trPr>
        <w:tc>
          <w:tcPr>
            <w:tcW w:w="4320" w:type="dxa"/>
            <w:shd w:val="clear" w:color="auto" w:fill="auto"/>
          </w:tcPr>
          <w:p w:rsidR="00A52A4D" w:rsidRPr="007B3311" w:rsidP="0035210D" w14:paraId="2F8B9FA6" w14:textId="77777777">
            <w:pPr>
              <w:pStyle w:val="HTMLPreformatted"/>
              <w:rPr>
                <w:rFonts w:ascii="Times New Roman" w:hAnsi="Times New Roman" w:cs="Times New Roman"/>
                <w:sz w:val="24"/>
                <w:szCs w:val="24"/>
              </w:rPr>
            </w:pPr>
          </w:p>
          <w:p w:rsidR="00A52A4D" w:rsidRPr="007B3311" w:rsidP="0035210D" w14:paraId="1A786924"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In the Matter of the Application of the Dayton Power and Light Company to Increase its Rates for Electric Distribution.</w:t>
            </w:r>
          </w:p>
          <w:p w:rsidR="00A52A4D" w:rsidRPr="007B3311" w:rsidP="0035210D" w14:paraId="186648A5" w14:textId="77777777">
            <w:pPr>
              <w:pStyle w:val="HTMLPreformatted"/>
              <w:rPr>
                <w:rFonts w:ascii="Times New Roman" w:hAnsi="Times New Roman" w:cs="Times New Roman"/>
                <w:sz w:val="24"/>
                <w:szCs w:val="24"/>
              </w:rPr>
            </w:pPr>
          </w:p>
          <w:p w:rsidR="00A52A4D" w:rsidRPr="007B3311" w:rsidP="0035210D" w14:paraId="26FDAF1F"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In the Matter of the Application of the Dayton Power and Light Company for Accounting Authority.</w:t>
            </w:r>
          </w:p>
          <w:p w:rsidR="00A52A4D" w:rsidRPr="007B3311" w:rsidP="0035210D" w14:paraId="6D33EF2F" w14:textId="77777777">
            <w:pPr>
              <w:pStyle w:val="HTMLPreformatted"/>
              <w:rPr>
                <w:rFonts w:ascii="Times New Roman" w:hAnsi="Times New Roman" w:cs="Times New Roman"/>
                <w:sz w:val="24"/>
                <w:szCs w:val="24"/>
              </w:rPr>
            </w:pPr>
          </w:p>
          <w:p w:rsidR="00A52A4D" w:rsidRPr="007B3311" w:rsidP="0035210D" w14:paraId="7C6BBD61"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In the Matter of the Application of Dayton Power and Light Company for Approval of Revised Tariffs.</w:t>
            </w:r>
          </w:p>
        </w:tc>
        <w:tc>
          <w:tcPr>
            <w:tcW w:w="296" w:type="dxa"/>
            <w:shd w:val="clear" w:color="auto" w:fill="auto"/>
          </w:tcPr>
          <w:p w:rsidR="00A52A4D" w:rsidRPr="007B3311" w:rsidP="0035210D" w14:paraId="4C4D343D" w14:textId="77777777">
            <w:pPr>
              <w:pStyle w:val="HTMLPreformatted"/>
              <w:rPr>
                <w:rFonts w:ascii="Times New Roman" w:hAnsi="Times New Roman" w:cs="Times New Roman"/>
                <w:sz w:val="24"/>
                <w:szCs w:val="24"/>
              </w:rPr>
            </w:pPr>
          </w:p>
          <w:p w:rsidR="00A52A4D" w:rsidRPr="007B3311" w:rsidP="0035210D" w14:paraId="48D9E7B2"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6A9A61D7"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3FA86E91"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3BA67503"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7BE3C0BD" w14:textId="77777777">
            <w:pPr>
              <w:pStyle w:val="HTMLPreformatted"/>
              <w:rPr>
                <w:rFonts w:ascii="Times New Roman" w:hAnsi="Times New Roman" w:cs="Times New Roman"/>
                <w:sz w:val="24"/>
                <w:szCs w:val="24"/>
              </w:rPr>
            </w:pPr>
          </w:p>
          <w:p w:rsidR="00A52A4D" w:rsidRPr="007B3311" w:rsidP="0035210D" w14:paraId="6B660BE4"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44E32622"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593ACD60"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3FE5D2B6" w14:textId="77777777">
            <w:pPr>
              <w:pStyle w:val="HTMLPreformatted"/>
              <w:rPr>
                <w:rFonts w:ascii="Times New Roman" w:hAnsi="Times New Roman" w:cs="Times New Roman"/>
                <w:sz w:val="24"/>
                <w:szCs w:val="24"/>
              </w:rPr>
            </w:pPr>
          </w:p>
          <w:p w:rsidR="00A52A4D" w:rsidRPr="007B3311" w:rsidP="0035210D" w14:paraId="6ED16D1A"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7353683E"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A52A4D" w:rsidRPr="007B3311" w:rsidP="0035210D" w14:paraId="61D2FEA5"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tc>
        <w:tc>
          <w:tcPr>
            <w:tcW w:w="4114" w:type="dxa"/>
            <w:shd w:val="clear" w:color="auto" w:fill="auto"/>
          </w:tcPr>
          <w:p w:rsidR="00A52A4D" w:rsidRPr="007B3311" w:rsidP="0035210D" w14:paraId="767FDDF9" w14:textId="77777777">
            <w:pPr>
              <w:pStyle w:val="HTMLPreformatted"/>
              <w:rPr>
                <w:rFonts w:ascii="Times New Roman" w:hAnsi="Times New Roman" w:cs="Times New Roman"/>
                <w:sz w:val="24"/>
                <w:szCs w:val="24"/>
              </w:rPr>
            </w:pPr>
          </w:p>
          <w:p w:rsidR="00A52A4D" w:rsidRPr="007B3311" w:rsidP="0035210D" w14:paraId="22739817" w14:textId="77777777">
            <w:pPr>
              <w:pStyle w:val="HTMLPreformatted"/>
              <w:rPr>
                <w:rFonts w:ascii="Times New Roman" w:hAnsi="Times New Roman" w:cs="Times New Roman"/>
                <w:sz w:val="24"/>
                <w:szCs w:val="24"/>
              </w:rPr>
            </w:pPr>
          </w:p>
          <w:p w:rsidR="00A52A4D" w:rsidRPr="007B3311" w:rsidP="0035210D" w14:paraId="479E5CEF"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Case No. 20-1651-EL-AIR</w:t>
            </w:r>
          </w:p>
          <w:p w:rsidR="00A52A4D" w:rsidRPr="007B3311" w:rsidP="0035210D" w14:paraId="2160079B" w14:textId="77777777">
            <w:pPr>
              <w:pStyle w:val="HTMLPreformatted"/>
              <w:rPr>
                <w:rFonts w:ascii="Times New Roman" w:hAnsi="Times New Roman" w:cs="Times New Roman"/>
                <w:sz w:val="24"/>
                <w:szCs w:val="24"/>
              </w:rPr>
            </w:pPr>
          </w:p>
          <w:p w:rsidR="00A52A4D" w:rsidRPr="007B3311" w:rsidP="0035210D" w14:paraId="7C10836C" w14:textId="77777777">
            <w:pPr>
              <w:pStyle w:val="HTMLPreformatted"/>
              <w:rPr>
                <w:rFonts w:ascii="Times New Roman" w:hAnsi="Times New Roman" w:cs="Times New Roman"/>
                <w:sz w:val="24"/>
                <w:szCs w:val="24"/>
              </w:rPr>
            </w:pPr>
          </w:p>
          <w:p w:rsidR="00A52A4D" w:rsidRPr="007B3311" w:rsidP="0035210D" w14:paraId="208EB654" w14:textId="77777777">
            <w:pPr>
              <w:pStyle w:val="HTMLPreformatted"/>
              <w:rPr>
                <w:rFonts w:ascii="Times New Roman" w:hAnsi="Times New Roman" w:cs="Times New Roman"/>
                <w:sz w:val="24"/>
                <w:szCs w:val="24"/>
              </w:rPr>
            </w:pPr>
          </w:p>
          <w:p w:rsidR="00A52A4D" w:rsidRPr="007B3311" w:rsidP="0035210D" w14:paraId="1DF5842B" w14:textId="77777777">
            <w:pPr>
              <w:pStyle w:val="HTMLPreformatted"/>
              <w:rPr>
                <w:rFonts w:ascii="Times New Roman" w:hAnsi="Times New Roman" w:cs="Times New Roman"/>
                <w:sz w:val="24"/>
                <w:szCs w:val="24"/>
              </w:rPr>
            </w:pPr>
          </w:p>
          <w:p w:rsidR="00A52A4D" w:rsidRPr="007B3311" w:rsidP="0035210D" w14:paraId="6EDC1C51"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Case No. 20-1652-EL-AAM</w:t>
            </w:r>
          </w:p>
          <w:p w:rsidR="00A52A4D" w:rsidRPr="007B3311" w:rsidP="0035210D" w14:paraId="0D374032" w14:textId="77777777">
            <w:pPr>
              <w:pStyle w:val="HTMLPreformatted"/>
              <w:rPr>
                <w:rFonts w:ascii="Times New Roman" w:hAnsi="Times New Roman" w:cs="Times New Roman"/>
                <w:sz w:val="24"/>
                <w:szCs w:val="24"/>
              </w:rPr>
            </w:pPr>
          </w:p>
          <w:p w:rsidR="00A52A4D" w:rsidRPr="007B3311" w:rsidP="0035210D" w14:paraId="1BA67FE1" w14:textId="77777777">
            <w:pPr>
              <w:pStyle w:val="HTMLPreformatted"/>
              <w:rPr>
                <w:rFonts w:ascii="Times New Roman" w:hAnsi="Times New Roman" w:cs="Times New Roman"/>
                <w:sz w:val="24"/>
                <w:szCs w:val="24"/>
              </w:rPr>
            </w:pPr>
          </w:p>
          <w:p w:rsidR="00A52A4D" w:rsidRPr="007B3311" w:rsidP="0035210D" w14:paraId="5D8499AD" w14:textId="77777777">
            <w:pPr>
              <w:pStyle w:val="HTMLPreformatted"/>
              <w:rPr>
                <w:rFonts w:ascii="Times New Roman" w:hAnsi="Times New Roman" w:cs="Times New Roman"/>
                <w:sz w:val="24"/>
                <w:szCs w:val="24"/>
              </w:rPr>
            </w:pPr>
          </w:p>
          <w:p w:rsidR="00A52A4D" w:rsidRPr="007B3311" w:rsidP="0035210D" w14:paraId="430871DE"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Case No. 20-1653-EL-ATA</w:t>
            </w:r>
          </w:p>
        </w:tc>
      </w:tr>
    </w:tbl>
    <w:p w:rsidR="00A52A4D" w:rsidRPr="007B3311" w:rsidP="00A52A4D" w14:paraId="7CCFE9B2" w14:textId="77777777">
      <w:pPr>
        <w:pBdr>
          <w:bottom w:val="single" w:sz="12" w:space="1" w:color="auto"/>
        </w:pBdr>
        <w:rPr>
          <w:szCs w:val="24"/>
        </w:rPr>
      </w:pPr>
    </w:p>
    <w:p w:rsidR="00A52A4D" w:rsidRPr="007B3311" w:rsidP="00A52A4D" w14:paraId="4F45420E" w14:textId="77777777">
      <w:pPr>
        <w:rPr>
          <w:b/>
          <w:bCs/>
          <w:szCs w:val="24"/>
        </w:rPr>
      </w:pPr>
    </w:p>
    <w:p w:rsidR="00A52A4D" w:rsidRPr="007B3311" w:rsidP="00A52A4D" w14:paraId="474B7340" w14:textId="599E22C1">
      <w:pPr>
        <w:jc w:val="center"/>
        <w:rPr>
          <w:b/>
          <w:szCs w:val="24"/>
        </w:rPr>
      </w:pPr>
      <w:r w:rsidRPr="007B3311">
        <w:rPr>
          <w:b/>
          <w:szCs w:val="24"/>
        </w:rPr>
        <w:t>MEMORANDUM CONTRA</w:t>
      </w:r>
      <w:r w:rsidR="001D7268">
        <w:rPr>
          <w:b/>
          <w:szCs w:val="24"/>
        </w:rPr>
        <w:t xml:space="preserve"> </w:t>
      </w:r>
      <w:r w:rsidRPr="007B3311">
        <w:rPr>
          <w:b/>
          <w:szCs w:val="24"/>
        </w:rPr>
        <w:t xml:space="preserve">APPLICATIONS FOR REHEARING OF AES OHIO </w:t>
      </w:r>
    </w:p>
    <w:p w:rsidR="00A52A4D" w:rsidRPr="007B3311" w:rsidP="00A52A4D" w14:paraId="34912A27" w14:textId="77777777">
      <w:pPr>
        <w:jc w:val="center"/>
        <w:rPr>
          <w:b/>
          <w:szCs w:val="24"/>
        </w:rPr>
      </w:pPr>
      <w:r w:rsidRPr="007B3311">
        <w:rPr>
          <w:b/>
          <w:szCs w:val="24"/>
        </w:rPr>
        <w:t>AND INTERSTATE GAS SUPPLY, INC.</w:t>
      </w:r>
    </w:p>
    <w:p w:rsidR="00A52A4D" w:rsidRPr="007B3311" w:rsidP="00A52A4D" w14:paraId="400AF415" w14:textId="77777777">
      <w:pPr>
        <w:jc w:val="center"/>
        <w:rPr>
          <w:b/>
          <w:szCs w:val="24"/>
        </w:rPr>
      </w:pPr>
      <w:r w:rsidRPr="007B3311">
        <w:rPr>
          <w:b/>
          <w:szCs w:val="24"/>
        </w:rPr>
        <w:t>BY</w:t>
      </w:r>
    </w:p>
    <w:p w:rsidR="00A52A4D" w:rsidP="00A52A4D" w14:paraId="7F42A244" w14:textId="5C49DA14">
      <w:pPr>
        <w:pBdr>
          <w:bottom w:val="single" w:sz="12" w:space="1" w:color="auto"/>
        </w:pBdr>
        <w:jc w:val="center"/>
        <w:rPr>
          <w:b/>
          <w:szCs w:val="24"/>
        </w:rPr>
      </w:pPr>
      <w:r w:rsidRPr="007B3311">
        <w:rPr>
          <w:b/>
          <w:szCs w:val="24"/>
        </w:rPr>
        <w:t>OFFICE OF THE OHIO CONSUMERS’ COUNSEL</w:t>
      </w:r>
    </w:p>
    <w:p w:rsidR="00A52A4D" w:rsidP="00A52A4D" w14:paraId="3A580656" w14:textId="7935C599">
      <w:pPr>
        <w:pBdr>
          <w:bottom w:val="single" w:sz="12" w:space="1" w:color="auto"/>
        </w:pBdr>
        <w:spacing w:after="240"/>
        <w:jc w:val="center"/>
        <w:rPr>
          <w:b/>
          <w:bCs/>
          <w:szCs w:val="24"/>
        </w:rPr>
      </w:pPr>
    </w:p>
    <w:p w:rsidR="00A52A4D" w:rsidP="00A52A4D" w14:paraId="1BBF5E7D" w14:textId="77777777">
      <w:pPr>
        <w:pStyle w:val="ListParagraph"/>
        <w:ind w:left="4320"/>
      </w:pPr>
    </w:p>
    <w:p w:rsidR="00A52A4D" w:rsidP="00A52A4D" w14:paraId="57CA89A3" w14:textId="77777777">
      <w:pPr>
        <w:pStyle w:val="ListParagraph"/>
        <w:ind w:left="4320"/>
      </w:pPr>
    </w:p>
    <w:p w:rsidR="00A52A4D" w:rsidP="00A52A4D" w14:paraId="305BF813" w14:textId="77777777">
      <w:pPr>
        <w:pStyle w:val="ListParagraph"/>
        <w:ind w:left="4320"/>
      </w:pPr>
    </w:p>
    <w:p w:rsidR="00A52A4D" w:rsidP="00A52A4D" w14:paraId="260A8113" w14:textId="77777777">
      <w:pPr>
        <w:pStyle w:val="ListParagraph"/>
        <w:ind w:left="4320"/>
      </w:pPr>
    </w:p>
    <w:p w:rsidR="00A52A4D" w:rsidP="00A52A4D" w14:paraId="1FDCBF31" w14:textId="77777777">
      <w:pPr>
        <w:pStyle w:val="ListParagraph"/>
        <w:ind w:left="4320"/>
      </w:pPr>
    </w:p>
    <w:p w:rsidR="00A52A4D" w:rsidRPr="007B3311" w:rsidP="00A52A4D" w14:paraId="2179BFF3" w14:textId="7C067C55">
      <w:pPr>
        <w:pStyle w:val="ListParagraph"/>
        <w:ind w:left="4320"/>
      </w:pPr>
      <w:r w:rsidRPr="007B3311">
        <w:t xml:space="preserve">Bruce Weston (0016973) </w:t>
      </w:r>
      <w:r w:rsidRPr="007B3311">
        <w:br/>
        <w:t xml:space="preserve">Ohio Consumers’ Counsel </w:t>
      </w:r>
      <w:r w:rsidRPr="007B3311">
        <w:br/>
      </w:r>
    </w:p>
    <w:p w:rsidR="00A52A4D" w:rsidRPr="007B3311" w:rsidP="00A52A4D" w14:paraId="56C58A91" w14:textId="2C4F93E9">
      <w:pPr>
        <w:pStyle w:val="ListParagraph"/>
        <w:ind w:left="4320"/>
      </w:pPr>
      <w:r w:rsidRPr="007B3311">
        <w:t xml:space="preserve">John Finnigan (0018689) </w:t>
      </w:r>
      <w:r w:rsidRPr="007B3311">
        <w:br/>
        <w:t xml:space="preserve">Counsel of Record </w:t>
      </w:r>
      <w:r w:rsidRPr="007B3311">
        <w:br/>
        <w:t xml:space="preserve">Ambrosia E. Wilson (0096598) </w:t>
      </w:r>
      <w:r w:rsidRPr="007B3311">
        <w:br/>
        <w:t xml:space="preserve">Assistant Consumers' Counsel </w:t>
      </w:r>
    </w:p>
    <w:p w:rsidR="00A52A4D" w:rsidRPr="007B3311" w:rsidP="00A52A4D" w14:paraId="7361CCD7" w14:textId="77777777">
      <w:pPr>
        <w:pStyle w:val="ListParagraph"/>
        <w:ind w:left="4320"/>
      </w:pPr>
    </w:p>
    <w:p w:rsidR="00A52A4D" w:rsidRPr="007B3311" w:rsidP="00A52A4D" w14:paraId="09FC5117" w14:textId="77777777">
      <w:pPr>
        <w:pStyle w:val="ListParagraph"/>
        <w:ind w:left="4320"/>
      </w:pPr>
      <w:r w:rsidRPr="007B3311">
        <w:rPr>
          <w:b/>
          <w:bCs/>
        </w:rPr>
        <w:t>Office of the Ohio Consumers' Counsel</w:t>
      </w:r>
    </w:p>
    <w:p w:rsidR="00A52A4D" w:rsidRPr="007B3311" w:rsidP="00A52A4D" w14:paraId="2FBF91EF" w14:textId="77777777">
      <w:pPr>
        <w:pStyle w:val="ListParagraph"/>
        <w:ind w:left="4320"/>
      </w:pPr>
      <w:r w:rsidRPr="007B3311">
        <w:t xml:space="preserve">65 East State Street, Suite 700 </w:t>
      </w:r>
      <w:r w:rsidRPr="007B3311">
        <w:br/>
        <w:t xml:space="preserve">Columbus, Ohio 43215 </w:t>
      </w:r>
      <w:r w:rsidRPr="007B3311">
        <w:br/>
        <w:t xml:space="preserve">Telephone [Finnigan]: (614) 466-9585 </w:t>
      </w:r>
    </w:p>
    <w:p w:rsidR="00A52A4D" w:rsidRPr="007B3311" w:rsidP="00A52A4D" w14:paraId="634E489A" w14:textId="77777777">
      <w:pPr>
        <w:pStyle w:val="ListParagraph"/>
        <w:ind w:left="4320"/>
      </w:pPr>
      <w:r w:rsidRPr="007B3311">
        <w:t xml:space="preserve">Telephone [Wilson]: (614) 466-1292 </w:t>
      </w:r>
      <w:hyperlink r:id="rId6" w:history="1">
        <w:r w:rsidRPr="007B3311">
          <w:rPr>
            <w:rStyle w:val="Hyperlink"/>
            <w:color w:val="0000FF"/>
          </w:rPr>
          <w:t>john.finnigan@occ.ohio.gov</w:t>
        </w:r>
      </w:hyperlink>
      <w:r w:rsidRPr="007B3311">
        <w:rPr>
          <w:color w:val="0000FF"/>
        </w:rPr>
        <w:t xml:space="preserve"> </w:t>
      </w:r>
      <w:hyperlink r:id="rId7" w:history="1">
        <w:r w:rsidRPr="007B3311">
          <w:rPr>
            <w:rStyle w:val="Hyperlink"/>
            <w:color w:val="0000FF"/>
          </w:rPr>
          <w:t>ambrosia.wilson@occ.ohio.gov</w:t>
        </w:r>
      </w:hyperlink>
      <w:r w:rsidRPr="007B3311">
        <w:t xml:space="preserve"> </w:t>
      </w:r>
    </w:p>
    <w:p w:rsidR="00A52A4D" w:rsidRPr="007B3311" w:rsidP="00A52A4D" w14:paraId="4D44206C" w14:textId="112BC186">
      <w:r>
        <w:t>January 23, 2023</w:t>
      </w:r>
      <w:r>
        <w:tab/>
      </w:r>
      <w:r>
        <w:tab/>
      </w:r>
      <w:r>
        <w:tab/>
      </w:r>
      <w:r>
        <w:tab/>
      </w:r>
      <w:r w:rsidRPr="007B3311">
        <w:t>(willing to accept service by e-mail)</w:t>
      </w:r>
    </w:p>
    <w:p w:rsidR="00A52A4D" w:rsidRPr="007B3311" w:rsidP="00A52A4D" w14:paraId="499CBF54" w14:textId="03EA147C">
      <w:pPr>
        <w:rPr>
          <w:b/>
          <w:bCs/>
          <w:szCs w:val="24"/>
          <w:u w:val="single"/>
        </w:rPr>
      </w:pPr>
    </w:p>
    <w:p w:rsidR="00A52A4D" w:rsidP="007D0B73" w14:paraId="3351766F" w14:textId="77777777">
      <w:pPr>
        <w:pStyle w:val="List"/>
        <w:ind w:left="0" w:firstLine="0"/>
        <w:jc w:val="center"/>
        <w:rPr>
          <w:b/>
          <w:szCs w:val="24"/>
        </w:rPr>
        <w:sectPr w:rsidSect="00111344">
          <w:footerReference w:type="default" r:id="rId8"/>
          <w:pgSz w:w="12240" w:h="15840"/>
          <w:pgMar w:top="1440" w:right="1800" w:bottom="1440" w:left="1800" w:header="720" w:footer="720" w:gutter="0"/>
          <w:pgNumType w:start="1"/>
          <w:cols w:space="720"/>
          <w:docGrid w:linePitch="360"/>
        </w:sectPr>
      </w:pPr>
    </w:p>
    <w:p w:rsidR="00A52A4D" w:rsidP="007D0B73" w14:paraId="6996F0CE" w14:textId="77777777">
      <w:pPr>
        <w:pStyle w:val="List"/>
        <w:ind w:left="0" w:firstLine="0"/>
        <w:jc w:val="center"/>
        <w:rPr>
          <w:b/>
          <w:szCs w:val="24"/>
          <w:u w:val="single"/>
        </w:rPr>
      </w:pPr>
      <w:r w:rsidRPr="00A52A4D">
        <w:rPr>
          <w:b/>
          <w:szCs w:val="24"/>
          <w:u w:val="single"/>
        </w:rPr>
        <w:t>TABLE OF CONTENTS</w:t>
      </w:r>
    </w:p>
    <w:p w:rsidR="00A52A4D" w:rsidP="007D0B73" w14:paraId="6423E04B" w14:textId="77777777">
      <w:pPr>
        <w:pStyle w:val="List"/>
        <w:ind w:left="0" w:firstLine="0"/>
        <w:jc w:val="center"/>
        <w:rPr>
          <w:b/>
          <w:szCs w:val="24"/>
          <w:u w:val="single"/>
        </w:rPr>
      </w:pPr>
    </w:p>
    <w:p w:rsidR="00076134" w:rsidP="00A52A4D" w14:paraId="419C607D" w14:textId="318BC9F3">
      <w:pPr>
        <w:pStyle w:val="List"/>
        <w:ind w:left="0" w:firstLine="0"/>
        <w:jc w:val="right"/>
        <w:rPr>
          <w:b/>
          <w:szCs w:val="24"/>
        </w:rPr>
      </w:pPr>
      <w:r w:rsidRPr="00A52A4D">
        <w:rPr>
          <w:b/>
          <w:szCs w:val="24"/>
        </w:rPr>
        <w:t>PAGE</w:t>
      </w:r>
    </w:p>
    <w:p w:rsidR="00822A01" w:rsidP="00A52A4D" w14:paraId="5ACF3901" w14:textId="77777777">
      <w:pPr>
        <w:pStyle w:val="List"/>
        <w:ind w:left="0" w:firstLine="0"/>
        <w:jc w:val="right"/>
        <w:rPr>
          <w:b/>
          <w:szCs w:val="24"/>
        </w:rPr>
      </w:pPr>
    </w:p>
    <w:p w:rsidR="005D2B5D" w14:paraId="6A2D5FCF" w14:textId="6005D660">
      <w:pPr>
        <w:pStyle w:val="TOC1"/>
        <w:rPr>
          <w:rFonts w:asciiTheme="minorHAnsi" w:eastAsiaTheme="minorEastAsia" w:hAnsiTheme="minorHAnsi" w:cstheme="minorBidi"/>
          <w:noProof/>
          <w:color w:val="auto"/>
          <w:sz w:val="22"/>
          <w:szCs w:val="22"/>
        </w:rPr>
      </w:pPr>
      <w:r>
        <w:rPr>
          <w:b/>
          <w:szCs w:val="24"/>
        </w:rPr>
        <w:fldChar w:fldCharType="begin"/>
      </w:r>
      <w:r>
        <w:rPr>
          <w:b/>
          <w:szCs w:val="24"/>
        </w:rPr>
        <w:instrText xml:space="preserve"> TOC \o "1-3" \h \z \u </w:instrText>
      </w:r>
      <w:r>
        <w:rPr>
          <w:b/>
          <w:szCs w:val="24"/>
        </w:rPr>
        <w:fldChar w:fldCharType="separate"/>
      </w:r>
      <w:hyperlink w:anchor="_Toc125382126" w:history="1">
        <w:r w:rsidRPr="00E433E2">
          <w:rPr>
            <w:rStyle w:val="Hyperlink"/>
            <w:noProof/>
          </w:rPr>
          <w:t>I.</w:t>
        </w:r>
        <w:r>
          <w:rPr>
            <w:rFonts w:asciiTheme="minorHAnsi" w:eastAsiaTheme="minorEastAsia" w:hAnsiTheme="minorHAnsi" w:cstheme="minorBidi"/>
            <w:noProof/>
            <w:color w:val="auto"/>
            <w:sz w:val="22"/>
            <w:szCs w:val="22"/>
          </w:rPr>
          <w:tab/>
        </w:r>
        <w:r w:rsidRPr="00E433E2">
          <w:rPr>
            <w:rStyle w:val="Hyperlink"/>
            <w:noProof/>
          </w:rPr>
          <w:t>INTRODUCTION</w:t>
        </w:r>
        <w:r>
          <w:rPr>
            <w:noProof/>
            <w:webHidden/>
          </w:rPr>
          <w:tab/>
        </w:r>
        <w:r>
          <w:rPr>
            <w:noProof/>
            <w:webHidden/>
          </w:rPr>
          <w:fldChar w:fldCharType="begin"/>
        </w:r>
        <w:r>
          <w:rPr>
            <w:noProof/>
            <w:webHidden/>
          </w:rPr>
          <w:instrText xml:space="preserve"> PAGEREF _Toc125382126 \h </w:instrText>
        </w:r>
        <w:r>
          <w:rPr>
            <w:noProof/>
            <w:webHidden/>
          </w:rPr>
          <w:fldChar w:fldCharType="separate"/>
        </w:r>
        <w:r>
          <w:rPr>
            <w:noProof/>
            <w:webHidden/>
          </w:rPr>
          <w:t>1</w:t>
        </w:r>
        <w:r>
          <w:rPr>
            <w:noProof/>
            <w:webHidden/>
          </w:rPr>
          <w:fldChar w:fldCharType="end"/>
        </w:r>
      </w:hyperlink>
    </w:p>
    <w:p w:rsidR="005D2B5D" w14:paraId="69C17C09" w14:textId="681FD1BE">
      <w:pPr>
        <w:pStyle w:val="TOC1"/>
        <w:rPr>
          <w:rFonts w:asciiTheme="minorHAnsi" w:eastAsiaTheme="minorEastAsia" w:hAnsiTheme="minorHAnsi" w:cstheme="minorBidi"/>
          <w:noProof/>
          <w:color w:val="auto"/>
          <w:sz w:val="22"/>
          <w:szCs w:val="22"/>
        </w:rPr>
      </w:pPr>
      <w:hyperlink w:anchor="_Toc125382127" w:history="1">
        <w:r w:rsidRPr="00E433E2">
          <w:rPr>
            <w:rStyle w:val="Hyperlink"/>
            <w:noProof/>
          </w:rPr>
          <w:t>II.</w:t>
        </w:r>
        <w:r>
          <w:rPr>
            <w:rFonts w:asciiTheme="minorHAnsi" w:eastAsiaTheme="minorEastAsia" w:hAnsiTheme="minorHAnsi" w:cstheme="minorBidi"/>
            <w:noProof/>
            <w:color w:val="auto"/>
            <w:sz w:val="22"/>
            <w:szCs w:val="22"/>
          </w:rPr>
          <w:tab/>
        </w:r>
        <w:r w:rsidRPr="00E433E2">
          <w:rPr>
            <w:rStyle w:val="Hyperlink"/>
            <w:noProof/>
          </w:rPr>
          <w:t>ARGUMENT</w:t>
        </w:r>
        <w:r>
          <w:rPr>
            <w:noProof/>
            <w:webHidden/>
          </w:rPr>
          <w:tab/>
        </w:r>
        <w:r>
          <w:rPr>
            <w:noProof/>
            <w:webHidden/>
          </w:rPr>
          <w:fldChar w:fldCharType="begin"/>
        </w:r>
        <w:r>
          <w:rPr>
            <w:noProof/>
            <w:webHidden/>
          </w:rPr>
          <w:instrText xml:space="preserve"> PAGEREF _Toc125382127 \h </w:instrText>
        </w:r>
        <w:r>
          <w:rPr>
            <w:noProof/>
            <w:webHidden/>
          </w:rPr>
          <w:fldChar w:fldCharType="separate"/>
        </w:r>
        <w:r>
          <w:rPr>
            <w:noProof/>
            <w:webHidden/>
          </w:rPr>
          <w:t>2</w:t>
        </w:r>
        <w:r>
          <w:rPr>
            <w:noProof/>
            <w:webHidden/>
          </w:rPr>
          <w:fldChar w:fldCharType="end"/>
        </w:r>
      </w:hyperlink>
    </w:p>
    <w:p w:rsidR="005D2B5D" w14:paraId="3EC05E6E" w14:textId="0FFD7840">
      <w:pPr>
        <w:pStyle w:val="TOC2"/>
        <w:tabs>
          <w:tab w:val="left" w:pos="1440"/>
        </w:tabs>
        <w:rPr>
          <w:rFonts w:asciiTheme="minorHAnsi" w:eastAsiaTheme="minorEastAsia" w:hAnsiTheme="minorHAnsi" w:cstheme="minorBidi"/>
          <w:noProof/>
          <w:color w:val="auto"/>
          <w:sz w:val="22"/>
          <w:szCs w:val="22"/>
        </w:rPr>
      </w:pPr>
      <w:hyperlink w:anchor="_Toc125382128" w:history="1">
        <w:r w:rsidRPr="00E433E2">
          <w:rPr>
            <w:rStyle w:val="Hyperlink"/>
            <w:rFonts w:eastAsia="Times New Roman"/>
            <w:bCs/>
            <w:noProof/>
            <w:lang w:bidi="en-US"/>
          </w:rPr>
          <w:t>A.</w:t>
        </w:r>
        <w:r>
          <w:rPr>
            <w:rFonts w:asciiTheme="minorHAnsi" w:eastAsiaTheme="minorEastAsia" w:hAnsiTheme="minorHAnsi" w:cstheme="minorBidi"/>
            <w:noProof/>
            <w:color w:val="auto"/>
            <w:sz w:val="22"/>
            <w:szCs w:val="22"/>
          </w:rPr>
          <w:tab/>
        </w:r>
        <w:r w:rsidRPr="00E433E2">
          <w:rPr>
            <w:rStyle w:val="Hyperlink"/>
            <w:bCs/>
            <w:noProof/>
            <w:lang w:bidi="en-US"/>
          </w:rPr>
          <w:t xml:space="preserve">The PUCO correctly decided that DP&amp;L is subject to a rate </w:t>
        </w:r>
        <w:r>
          <w:rPr>
            <w:rStyle w:val="Hyperlink"/>
            <w:bCs/>
            <w:noProof/>
            <w:lang w:bidi="en-US"/>
          </w:rPr>
          <w:br/>
        </w:r>
        <w:r w:rsidRPr="00E433E2">
          <w:rPr>
            <w:rStyle w:val="Hyperlink"/>
            <w:bCs/>
            <w:noProof/>
            <w:lang w:bidi="en-US"/>
          </w:rPr>
          <w:t xml:space="preserve">freeze which precludes it from charging consumers new </w:t>
        </w:r>
        <w:r>
          <w:rPr>
            <w:rStyle w:val="Hyperlink"/>
            <w:bCs/>
            <w:noProof/>
            <w:lang w:bidi="en-US"/>
          </w:rPr>
          <w:br/>
        </w:r>
        <w:r w:rsidRPr="00E433E2">
          <w:rPr>
            <w:rStyle w:val="Hyperlink"/>
            <w:bCs/>
            <w:noProof/>
            <w:lang w:bidi="en-US"/>
          </w:rPr>
          <w:t>distribution rates until a new ESP is approved.</w:t>
        </w:r>
        <w:r>
          <w:rPr>
            <w:noProof/>
            <w:webHidden/>
          </w:rPr>
          <w:tab/>
        </w:r>
        <w:r>
          <w:rPr>
            <w:noProof/>
            <w:webHidden/>
          </w:rPr>
          <w:fldChar w:fldCharType="begin"/>
        </w:r>
        <w:r>
          <w:rPr>
            <w:noProof/>
            <w:webHidden/>
          </w:rPr>
          <w:instrText xml:space="preserve"> PAGEREF _Toc125382128 \h </w:instrText>
        </w:r>
        <w:r>
          <w:rPr>
            <w:noProof/>
            <w:webHidden/>
          </w:rPr>
          <w:fldChar w:fldCharType="separate"/>
        </w:r>
        <w:r>
          <w:rPr>
            <w:noProof/>
            <w:webHidden/>
          </w:rPr>
          <w:t>2</w:t>
        </w:r>
        <w:r>
          <w:rPr>
            <w:noProof/>
            <w:webHidden/>
          </w:rPr>
          <w:fldChar w:fldCharType="end"/>
        </w:r>
      </w:hyperlink>
    </w:p>
    <w:p w:rsidR="005D2B5D" w14:paraId="74F370C8" w14:textId="5DC1449B">
      <w:pPr>
        <w:pStyle w:val="TOC2"/>
        <w:tabs>
          <w:tab w:val="left" w:pos="1440"/>
        </w:tabs>
        <w:rPr>
          <w:rFonts w:asciiTheme="minorHAnsi" w:eastAsiaTheme="minorEastAsia" w:hAnsiTheme="minorHAnsi" w:cstheme="minorBidi"/>
          <w:noProof/>
          <w:color w:val="auto"/>
          <w:sz w:val="22"/>
          <w:szCs w:val="22"/>
        </w:rPr>
      </w:pPr>
      <w:hyperlink w:anchor="_Toc125382129" w:history="1">
        <w:r w:rsidRPr="00E433E2">
          <w:rPr>
            <w:rStyle w:val="Hyperlink"/>
            <w:rFonts w:eastAsia="Times New Roman"/>
            <w:bCs/>
            <w:noProof/>
            <w:lang w:bidi="en-US"/>
          </w:rPr>
          <w:t>B.</w:t>
        </w:r>
        <w:r>
          <w:rPr>
            <w:rFonts w:asciiTheme="minorHAnsi" w:eastAsiaTheme="minorEastAsia" w:hAnsiTheme="minorHAnsi" w:cstheme="minorBidi"/>
            <w:noProof/>
            <w:color w:val="auto"/>
            <w:sz w:val="22"/>
            <w:szCs w:val="22"/>
          </w:rPr>
          <w:tab/>
        </w:r>
        <w:r w:rsidRPr="00E433E2">
          <w:rPr>
            <w:rStyle w:val="Hyperlink"/>
            <w:bCs/>
            <w:noProof/>
            <w:lang w:bidi="en-US"/>
          </w:rPr>
          <w:t xml:space="preserve">The PUCO correctly excluded earnings-based incentive </w:t>
        </w:r>
        <w:r>
          <w:rPr>
            <w:rStyle w:val="Hyperlink"/>
            <w:bCs/>
            <w:noProof/>
            <w:lang w:bidi="en-US"/>
          </w:rPr>
          <w:br/>
        </w:r>
        <w:r w:rsidRPr="00E433E2">
          <w:rPr>
            <w:rStyle w:val="Hyperlink"/>
            <w:bCs/>
            <w:noProof/>
            <w:lang w:bidi="en-US"/>
          </w:rPr>
          <w:t xml:space="preserve">compensation from operating income and correctly ruled </w:t>
        </w:r>
        <w:r>
          <w:rPr>
            <w:rStyle w:val="Hyperlink"/>
            <w:bCs/>
            <w:noProof/>
            <w:lang w:bidi="en-US"/>
          </w:rPr>
          <w:br/>
        </w:r>
        <w:r w:rsidRPr="00E433E2">
          <w:rPr>
            <w:rStyle w:val="Hyperlink"/>
            <w:bCs/>
            <w:noProof/>
            <w:lang w:bidi="en-US"/>
          </w:rPr>
          <w:t xml:space="preserve">that earnings-based incentive compensation cannot be collected </w:t>
        </w:r>
        <w:r>
          <w:rPr>
            <w:rStyle w:val="Hyperlink"/>
            <w:bCs/>
            <w:noProof/>
            <w:lang w:bidi="en-US"/>
          </w:rPr>
          <w:br/>
        </w:r>
        <w:r w:rsidRPr="00E433E2">
          <w:rPr>
            <w:rStyle w:val="Hyperlink"/>
            <w:bCs/>
            <w:noProof/>
            <w:lang w:bidi="en-US"/>
          </w:rPr>
          <w:t xml:space="preserve">from consumers in operating income, plant-in-service or </w:t>
        </w:r>
        <w:r>
          <w:rPr>
            <w:rStyle w:val="Hyperlink"/>
            <w:bCs/>
            <w:noProof/>
            <w:lang w:bidi="en-US"/>
          </w:rPr>
          <w:br/>
        </w:r>
        <w:r w:rsidRPr="00E433E2">
          <w:rPr>
            <w:rStyle w:val="Hyperlink"/>
            <w:bCs/>
            <w:noProof/>
            <w:lang w:bidi="en-US"/>
          </w:rPr>
          <w:t>depreciation reserve in future rate cases.</w:t>
        </w:r>
        <w:r>
          <w:rPr>
            <w:noProof/>
            <w:webHidden/>
          </w:rPr>
          <w:tab/>
        </w:r>
        <w:r>
          <w:rPr>
            <w:noProof/>
            <w:webHidden/>
          </w:rPr>
          <w:fldChar w:fldCharType="begin"/>
        </w:r>
        <w:r>
          <w:rPr>
            <w:noProof/>
            <w:webHidden/>
          </w:rPr>
          <w:instrText xml:space="preserve"> PAGEREF _Toc125382129 \h </w:instrText>
        </w:r>
        <w:r>
          <w:rPr>
            <w:noProof/>
            <w:webHidden/>
          </w:rPr>
          <w:fldChar w:fldCharType="separate"/>
        </w:r>
        <w:r>
          <w:rPr>
            <w:noProof/>
            <w:webHidden/>
          </w:rPr>
          <w:t>5</w:t>
        </w:r>
        <w:r>
          <w:rPr>
            <w:noProof/>
            <w:webHidden/>
          </w:rPr>
          <w:fldChar w:fldCharType="end"/>
        </w:r>
      </w:hyperlink>
    </w:p>
    <w:p w:rsidR="005D2B5D" w14:paraId="3A3AAC28" w14:textId="5A71D15D">
      <w:pPr>
        <w:pStyle w:val="TOC2"/>
        <w:tabs>
          <w:tab w:val="left" w:pos="1440"/>
        </w:tabs>
        <w:rPr>
          <w:rFonts w:asciiTheme="minorHAnsi" w:eastAsiaTheme="minorEastAsia" w:hAnsiTheme="minorHAnsi" w:cstheme="minorBidi"/>
          <w:noProof/>
          <w:color w:val="auto"/>
          <w:sz w:val="22"/>
          <w:szCs w:val="22"/>
        </w:rPr>
      </w:pPr>
      <w:hyperlink w:anchor="_Toc125382130" w:history="1">
        <w:r w:rsidRPr="00E433E2">
          <w:rPr>
            <w:rStyle w:val="Hyperlink"/>
            <w:rFonts w:eastAsia="Times New Roman"/>
            <w:bCs/>
            <w:iCs/>
            <w:noProof/>
            <w:lang w:bidi="en-US"/>
          </w:rPr>
          <w:t>C.</w:t>
        </w:r>
        <w:r>
          <w:rPr>
            <w:rFonts w:asciiTheme="minorHAnsi" w:eastAsiaTheme="minorEastAsia" w:hAnsiTheme="minorHAnsi" w:cstheme="minorBidi"/>
            <w:noProof/>
            <w:color w:val="auto"/>
            <w:sz w:val="22"/>
            <w:szCs w:val="22"/>
          </w:rPr>
          <w:tab/>
        </w:r>
        <w:r w:rsidRPr="00E433E2">
          <w:rPr>
            <w:rStyle w:val="Hyperlink"/>
            <w:noProof/>
            <w:lang w:bidi="en-US"/>
          </w:rPr>
          <w:t xml:space="preserve">To protect consumers, the PUCO correctly used a 4.4 percent </w:t>
        </w:r>
        <w:r>
          <w:rPr>
            <w:rStyle w:val="Hyperlink"/>
            <w:noProof/>
            <w:lang w:bidi="en-US"/>
          </w:rPr>
          <w:br/>
        </w:r>
        <w:r w:rsidRPr="00E433E2">
          <w:rPr>
            <w:rStyle w:val="Hyperlink"/>
            <w:noProof/>
            <w:lang w:bidi="en-US"/>
          </w:rPr>
          <w:t>cost of debt in calculating DP&amp;L’s rate of return.</w:t>
        </w:r>
        <w:r>
          <w:rPr>
            <w:noProof/>
            <w:webHidden/>
          </w:rPr>
          <w:tab/>
        </w:r>
        <w:r>
          <w:rPr>
            <w:noProof/>
            <w:webHidden/>
          </w:rPr>
          <w:fldChar w:fldCharType="begin"/>
        </w:r>
        <w:r>
          <w:rPr>
            <w:noProof/>
            <w:webHidden/>
          </w:rPr>
          <w:instrText xml:space="preserve"> PAGEREF _Toc125382130 \h </w:instrText>
        </w:r>
        <w:r>
          <w:rPr>
            <w:noProof/>
            <w:webHidden/>
          </w:rPr>
          <w:fldChar w:fldCharType="separate"/>
        </w:r>
        <w:r>
          <w:rPr>
            <w:noProof/>
            <w:webHidden/>
          </w:rPr>
          <w:t>7</w:t>
        </w:r>
        <w:r>
          <w:rPr>
            <w:noProof/>
            <w:webHidden/>
          </w:rPr>
          <w:fldChar w:fldCharType="end"/>
        </w:r>
      </w:hyperlink>
    </w:p>
    <w:p w:rsidR="005D2B5D" w14:paraId="77EB4BFA" w14:textId="5B79BB91">
      <w:pPr>
        <w:pStyle w:val="TOC2"/>
        <w:tabs>
          <w:tab w:val="left" w:pos="1440"/>
        </w:tabs>
        <w:rPr>
          <w:rFonts w:asciiTheme="minorHAnsi" w:eastAsiaTheme="minorEastAsia" w:hAnsiTheme="minorHAnsi" w:cstheme="minorBidi"/>
          <w:noProof/>
          <w:color w:val="auto"/>
          <w:sz w:val="22"/>
          <w:szCs w:val="22"/>
        </w:rPr>
      </w:pPr>
      <w:hyperlink w:anchor="_Toc125382131" w:history="1">
        <w:r w:rsidRPr="00E433E2">
          <w:rPr>
            <w:rStyle w:val="Hyperlink"/>
            <w:rFonts w:eastAsia="Times New Roman"/>
            <w:bCs/>
            <w:iCs/>
            <w:noProof/>
            <w:lang w:bidi="en-US"/>
          </w:rPr>
          <w:t>D.</w:t>
        </w:r>
        <w:r>
          <w:rPr>
            <w:rFonts w:asciiTheme="minorHAnsi" w:eastAsiaTheme="minorEastAsia" w:hAnsiTheme="minorHAnsi" w:cstheme="minorBidi"/>
            <w:noProof/>
            <w:color w:val="auto"/>
            <w:sz w:val="22"/>
            <w:szCs w:val="22"/>
          </w:rPr>
          <w:tab/>
        </w:r>
        <w:r w:rsidRPr="00E433E2">
          <w:rPr>
            <w:rStyle w:val="Hyperlink"/>
            <w:noProof/>
            <w:lang w:bidi="en-US"/>
          </w:rPr>
          <w:t xml:space="preserve">To protect consumers, the PUCO correctly decided that </w:t>
        </w:r>
        <w:r>
          <w:rPr>
            <w:rStyle w:val="Hyperlink"/>
            <w:noProof/>
            <w:lang w:bidi="en-US"/>
          </w:rPr>
          <w:br/>
        </w:r>
        <w:r w:rsidRPr="00E433E2">
          <w:rPr>
            <w:rStyle w:val="Hyperlink"/>
            <w:noProof/>
            <w:lang w:bidi="en-US"/>
          </w:rPr>
          <w:t>customer deposits may be paid in three installments.</w:t>
        </w:r>
        <w:r>
          <w:rPr>
            <w:noProof/>
            <w:webHidden/>
          </w:rPr>
          <w:tab/>
        </w:r>
        <w:r>
          <w:rPr>
            <w:noProof/>
            <w:webHidden/>
          </w:rPr>
          <w:fldChar w:fldCharType="begin"/>
        </w:r>
        <w:r>
          <w:rPr>
            <w:noProof/>
            <w:webHidden/>
          </w:rPr>
          <w:instrText xml:space="preserve"> PAGEREF _Toc125382131 \h </w:instrText>
        </w:r>
        <w:r>
          <w:rPr>
            <w:noProof/>
            <w:webHidden/>
          </w:rPr>
          <w:fldChar w:fldCharType="separate"/>
        </w:r>
        <w:r>
          <w:rPr>
            <w:noProof/>
            <w:webHidden/>
          </w:rPr>
          <w:t>8</w:t>
        </w:r>
        <w:r>
          <w:rPr>
            <w:noProof/>
            <w:webHidden/>
          </w:rPr>
          <w:fldChar w:fldCharType="end"/>
        </w:r>
      </w:hyperlink>
    </w:p>
    <w:p w:rsidR="005D2B5D" w14:paraId="18CEA0AC" w14:textId="681DA142">
      <w:pPr>
        <w:pStyle w:val="TOC2"/>
        <w:tabs>
          <w:tab w:val="left" w:pos="1440"/>
        </w:tabs>
        <w:rPr>
          <w:rFonts w:asciiTheme="minorHAnsi" w:eastAsiaTheme="minorEastAsia" w:hAnsiTheme="minorHAnsi" w:cstheme="minorBidi"/>
          <w:noProof/>
          <w:color w:val="auto"/>
          <w:sz w:val="22"/>
          <w:szCs w:val="22"/>
        </w:rPr>
      </w:pPr>
      <w:hyperlink w:anchor="_Toc125382132" w:history="1">
        <w:r w:rsidRPr="00E433E2">
          <w:rPr>
            <w:rStyle w:val="Hyperlink"/>
            <w:rFonts w:eastAsia="Times New Roman"/>
            <w:bCs/>
            <w:noProof/>
            <w:lang w:bidi="en-US"/>
          </w:rPr>
          <w:t>E.</w:t>
        </w:r>
        <w:r>
          <w:rPr>
            <w:rFonts w:asciiTheme="minorHAnsi" w:eastAsiaTheme="minorEastAsia" w:hAnsiTheme="minorHAnsi" w:cstheme="minorBidi"/>
            <w:noProof/>
            <w:color w:val="auto"/>
            <w:sz w:val="22"/>
            <w:szCs w:val="22"/>
          </w:rPr>
          <w:tab/>
        </w:r>
        <w:r w:rsidRPr="00E433E2">
          <w:rPr>
            <w:rStyle w:val="Hyperlink"/>
            <w:noProof/>
            <w:lang w:bidi="en-US"/>
          </w:rPr>
          <w:t xml:space="preserve">The PUCO should reject DP&amp;L’s request for rehearing on the </w:t>
        </w:r>
        <w:r>
          <w:rPr>
            <w:rStyle w:val="Hyperlink"/>
            <w:noProof/>
            <w:lang w:bidi="en-US"/>
          </w:rPr>
          <w:br/>
        </w:r>
        <w:r w:rsidRPr="00E433E2">
          <w:rPr>
            <w:rStyle w:val="Hyperlink"/>
            <w:noProof/>
            <w:lang w:bidi="en-US"/>
          </w:rPr>
          <w:t>amount of the customer charge for residential consumers.</w:t>
        </w:r>
        <w:r>
          <w:rPr>
            <w:noProof/>
            <w:webHidden/>
          </w:rPr>
          <w:tab/>
        </w:r>
        <w:r>
          <w:rPr>
            <w:noProof/>
            <w:webHidden/>
          </w:rPr>
          <w:fldChar w:fldCharType="begin"/>
        </w:r>
        <w:r>
          <w:rPr>
            <w:noProof/>
            <w:webHidden/>
          </w:rPr>
          <w:instrText xml:space="preserve"> PAGEREF _Toc125382132 \h </w:instrText>
        </w:r>
        <w:r>
          <w:rPr>
            <w:noProof/>
            <w:webHidden/>
          </w:rPr>
          <w:fldChar w:fldCharType="separate"/>
        </w:r>
        <w:r>
          <w:rPr>
            <w:noProof/>
            <w:webHidden/>
          </w:rPr>
          <w:t>9</w:t>
        </w:r>
        <w:r>
          <w:rPr>
            <w:noProof/>
            <w:webHidden/>
          </w:rPr>
          <w:fldChar w:fldCharType="end"/>
        </w:r>
      </w:hyperlink>
    </w:p>
    <w:p w:rsidR="005D2B5D" w14:paraId="49F69ADC" w14:textId="71FDA78F">
      <w:pPr>
        <w:pStyle w:val="TOC2"/>
        <w:tabs>
          <w:tab w:val="left" w:pos="1440"/>
        </w:tabs>
        <w:rPr>
          <w:rFonts w:asciiTheme="minorHAnsi" w:eastAsiaTheme="minorEastAsia" w:hAnsiTheme="minorHAnsi" w:cstheme="minorBidi"/>
          <w:noProof/>
          <w:color w:val="auto"/>
          <w:sz w:val="22"/>
          <w:szCs w:val="22"/>
        </w:rPr>
      </w:pPr>
      <w:hyperlink w:anchor="_Toc125382133" w:history="1">
        <w:r w:rsidRPr="00E433E2">
          <w:rPr>
            <w:rStyle w:val="Hyperlink"/>
            <w:bCs/>
            <w:noProof/>
          </w:rPr>
          <w:t>F.</w:t>
        </w:r>
        <w:r>
          <w:rPr>
            <w:rFonts w:asciiTheme="minorHAnsi" w:eastAsiaTheme="minorEastAsia" w:hAnsiTheme="minorHAnsi" w:cstheme="minorBidi"/>
            <w:noProof/>
            <w:color w:val="auto"/>
            <w:sz w:val="22"/>
            <w:szCs w:val="22"/>
          </w:rPr>
          <w:tab/>
        </w:r>
        <w:r w:rsidRPr="00E433E2">
          <w:rPr>
            <w:rStyle w:val="Hyperlink"/>
            <w:bCs/>
            <w:noProof/>
          </w:rPr>
          <w:t xml:space="preserve">The PUCO lawfully, reasonably, and without discrimination </w:t>
        </w:r>
        <w:r>
          <w:rPr>
            <w:rStyle w:val="Hyperlink"/>
            <w:bCs/>
            <w:noProof/>
          </w:rPr>
          <w:br/>
        </w:r>
        <w:r w:rsidRPr="00E433E2">
          <w:rPr>
            <w:rStyle w:val="Hyperlink"/>
            <w:bCs/>
            <w:noProof/>
          </w:rPr>
          <w:t xml:space="preserve">authorized continuation of DP&amp;L’s $5 switching fee. The </w:t>
        </w:r>
        <w:r>
          <w:rPr>
            <w:rStyle w:val="Hyperlink"/>
            <w:bCs/>
            <w:noProof/>
          </w:rPr>
          <w:br/>
        </w:r>
        <w:r w:rsidRPr="00E433E2">
          <w:rPr>
            <w:rStyle w:val="Hyperlink"/>
            <w:bCs/>
            <w:noProof/>
          </w:rPr>
          <w:t xml:space="preserve">PUCO should not now modify its Opinion and Order to adopt </w:t>
        </w:r>
        <w:r>
          <w:rPr>
            <w:rStyle w:val="Hyperlink"/>
            <w:bCs/>
            <w:noProof/>
          </w:rPr>
          <w:br/>
        </w:r>
        <w:r w:rsidRPr="00E433E2">
          <w:rPr>
            <w:rStyle w:val="Hyperlink"/>
            <w:bCs/>
            <w:noProof/>
          </w:rPr>
          <w:t xml:space="preserve">IGS’ proposal to artificially increase rates—by adding a </w:t>
        </w:r>
        <w:r>
          <w:rPr>
            <w:rStyle w:val="Hyperlink"/>
            <w:bCs/>
            <w:noProof/>
          </w:rPr>
          <w:br/>
        </w:r>
        <w:r w:rsidRPr="00E433E2">
          <w:rPr>
            <w:rStyle w:val="Hyperlink"/>
            <w:bCs/>
            <w:noProof/>
          </w:rPr>
          <w:t xml:space="preserve">switching fee—for the standard service offer (“SSO”) charged </w:t>
        </w:r>
        <w:r>
          <w:rPr>
            <w:rStyle w:val="Hyperlink"/>
            <w:bCs/>
            <w:noProof/>
          </w:rPr>
          <w:br/>
        </w:r>
        <w:r w:rsidRPr="00E433E2">
          <w:rPr>
            <w:rStyle w:val="Hyperlink"/>
            <w:bCs/>
            <w:noProof/>
          </w:rPr>
          <w:t>to consumers.</w:t>
        </w:r>
        <w:r>
          <w:rPr>
            <w:noProof/>
            <w:webHidden/>
          </w:rPr>
          <w:tab/>
        </w:r>
        <w:r>
          <w:rPr>
            <w:noProof/>
            <w:webHidden/>
          </w:rPr>
          <w:fldChar w:fldCharType="begin"/>
        </w:r>
        <w:r>
          <w:rPr>
            <w:noProof/>
            <w:webHidden/>
          </w:rPr>
          <w:instrText xml:space="preserve"> PAGEREF _Toc125382133 \h </w:instrText>
        </w:r>
        <w:r>
          <w:rPr>
            <w:noProof/>
            <w:webHidden/>
          </w:rPr>
          <w:fldChar w:fldCharType="separate"/>
        </w:r>
        <w:r>
          <w:rPr>
            <w:noProof/>
            <w:webHidden/>
          </w:rPr>
          <w:t>10</w:t>
        </w:r>
        <w:r>
          <w:rPr>
            <w:noProof/>
            <w:webHidden/>
          </w:rPr>
          <w:fldChar w:fldCharType="end"/>
        </w:r>
      </w:hyperlink>
    </w:p>
    <w:p w:rsidR="005D2B5D" w14:paraId="149FC27D" w14:textId="1A498F54">
      <w:pPr>
        <w:pStyle w:val="TOC2"/>
        <w:tabs>
          <w:tab w:val="left" w:pos="1440"/>
        </w:tabs>
        <w:rPr>
          <w:rFonts w:asciiTheme="minorHAnsi" w:eastAsiaTheme="minorEastAsia" w:hAnsiTheme="minorHAnsi" w:cstheme="minorBidi"/>
          <w:noProof/>
          <w:color w:val="auto"/>
          <w:sz w:val="22"/>
          <w:szCs w:val="22"/>
        </w:rPr>
      </w:pPr>
      <w:hyperlink w:anchor="_Toc125382134" w:history="1">
        <w:r w:rsidRPr="00E433E2">
          <w:rPr>
            <w:rStyle w:val="Hyperlink"/>
            <w:bCs/>
            <w:noProof/>
          </w:rPr>
          <w:t>G.</w:t>
        </w:r>
        <w:r>
          <w:rPr>
            <w:rFonts w:asciiTheme="minorHAnsi" w:eastAsiaTheme="minorEastAsia" w:hAnsiTheme="minorHAnsi" w:cstheme="minorBidi"/>
            <w:noProof/>
            <w:color w:val="auto"/>
            <w:sz w:val="22"/>
            <w:szCs w:val="22"/>
          </w:rPr>
          <w:tab/>
        </w:r>
        <w:r w:rsidRPr="00E433E2">
          <w:rPr>
            <w:rStyle w:val="Hyperlink"/>
            <w:bCs/>
            <w:noProof/>
          </w:rPr>
          <w:t xml:space="preserve">The PUCO Order is neither unlawful nor unreasonable because </w:t>
        </w:r>
        <w:r>
          <w:rPr>
            <w:rStyle w:val="Hyperlink"/>
            <w:bCs/>
            <w:noProof/>
          </w:rPr>
          <w:br/>
        </w:r>
        <w:r w:rsidRPr="00E433E2">
          <w:rPr>
            <w:rStyle w:val="Hyperlink"/>
            <w:bCs/>
            <w:noProof/>
          </w:rPr>
          <w:t xml:space="preserve">it allocated DP&amp;L’s generation-related uncollectible expense </w:t>
        </w:r>
        <w:r>
          <w:rPr>
            <w:rStyle w:val="Hyperlink"/>
            <w:bCs/>
            <w:noProof/>
          </w:rPr>
          <w:br/>
        </w:r>
        <w:r w:rsidRPr="00E433E2">
          <w:rPr>
            <w:rStyle w:val="Hyperlink"/>
            <w:bCs/>
            <w:noProof/>
          </w:rPr>
          <w:t xml:space="preserve">to the default generation product (SSO), from which all </w:t>
        </w:r>
        <w:r>
          <w:rPr>
            <w:rStyle w:val="Hyperlink"/>
            <w:bCs/>
            <w:noProof/>
          </w:rPr>
          <w:br/>
        </w:r>
        <w:r w:rsidRPr="00E433E2">
          <w:rPr>
            <w:rStyle w:val="Hyperlink"/>
            <w:bCs/>
            <w:noProof/>
          </w:rPr>
          <w:t>consumers benefit.</w:t>
        </w:r>
        <w:r>
          <w:rPr>
            <w:noProof/>
            <w:webHidden/>
          </w:rPr>
          <w:tab/>
        </w:r>
        <w:r>
          <w:rPr>
            <w:noProof/>
            <w:webHidden/>
          </w:rPr>
          <w:fldChar w:fldCharType="begin"/>
        </w:r>
        <w:r>
          <w:rPr>
            <w:noProof/>
            <w:webHidden/>
          </w:rPr>
          <w:instrText xml:space="preserve"> PAGEREF _Toc125382134 \h </w:instrText>
        </w:r>
        <w:r>
          <w:rPr>
            <w:noProof/>
            <w:webHidden/>
          </w:rPr>
          <w:fldChar w:fldCharType="separate"/>
        </w:r>
        <w:r>
          <w:rPr>
            <w:noProof/>
            <w:webHidden/>
          </w:rPr>
          <w:t>15</w:t>
        </w:r>
        <w:r>
          <w:rPr>
            <w:noProof/>
            <w:webHidden/>
          </w:rPr>
          <w:fldChar w:fldCharType="end"/>
        </w:r>
      </w:hyperlink>
    </w:p>
    <w:p w:rsidR="005D2B5D" w14:paraId="4FF503B6" w14:textId="12D66D1D">
      <w:pPr>
        <w:pStyle w:val="TOC3"/>
        <w:tabs>
          <w:tab w:val="left" w:pos="2160"/>
        </w:tabs>
        <w:rPr>
          <w:rFonts w:asciiTheme="minorHAnsi" w:eastAsiaTheme="minorEastAsia" w:hAnsiTheme="minorHAnsi" w:cstheme="minorBidi"/>
          <w:noProof/>
          <w:color w:val="auto"/>
          <w:sz w:val="22"/>
          <w:szCs w:val="22"/>
        </w:rPr>
      </w:pPr>
      <w:hyperlink w:anchor="_Toc125382135" w:history="1">
        <w:r w:rsidRPr="00E433E2">
          <w:rPr>
            <w:rStyle w:val="Hyperlink"/>
            <w:bCs/>
            <w:noProof/>
          </w:rPr>
          <w:t>1.</w:t>
        </w:r>
        <w:r>
          <w:rPr>
            <w:rFonts w:asciiTheme="minorHAnsi" w:eastAsiaTheme="minorEastAsia" w:hAnsiTheme="minorHAnsi" w:cstheme="minorBidi"/>
            <w:noProof/>
            <w:color w:val="auto"/>
            <w:sz w:val="22"/>
            <w:szCs w:val="22"/>
          </w:rPr>
          <w:tab/>
        </w:r>
        <w:r w:rsidRPr="00E433E2">
          <w:rPr>
            <w:rStyle w:val="Hyperlink"/>
            <w:bCs/>
            <w:noProof/>
          </w:rPr>
          <w:t xml:space="preserve">Marketers, including IGS, have made the same proposal </w:t>
        </w:r>
        <w:r>
          <w:rPr>
            <w:rStyle w:val="Hyperlink"/>
            <w:bCs/>
            <w:noProof/>
          </w:rPr>
          <w:br/>
        </w:r>
        <w:r w:rsidRPr="00E433E2">
          <w:rPr>
            <w:rStyle w:val="Hyperlink"/>
            <w:bCs/>
            <w:noProof/>
          </w:rPr>
          <w:t xml:space="preserve">before, and the PUCO has protected consumers by </w:t>
        </w:r>
        <w:r>
          <w:rPr>
            <w:rStyle w:val="Hyperlink"/>
            <w:bCs/>
            <w:noProof/>
          </w:rPr>
          <w:br/>
        </w:r>
        <w:r w:rsidRPr="00E433E2">
          <w:rPr>
            <w:rStyle w:val="Hyperlink"/>
            <w:bCs/>
            <w:noProof/>
          </w:rPr>
          <w:t>rejecting it each time.</w:t>
        </w:r>
        <w:r>
          <w:rPr>
            <w:noProof/>
            <w:webHidden/>
          </w:rPr>
          <w:tab/>
        </w:r>
        <w:r>
          <w:rPr>
            <w:noProof/>
            <w:webHidden/>
          </w:rPr>
          <w:fldChar w:fldCharType="begin"/>
        </w:r>
        <w:r>
          <w:rPr>
            <w:noProof/>
            <w:webHidden/>
          </w:rPr>
          <w:instrText xml:space="preserve"> PAGEREF _Toc125382135 \h </w:instrText>
        </w:r>
        <w:r>
          <w:rPr>
            <w:noProof/>
            <w:webHidden/>
          </w:rPr>
          <w:fldChar w:fldCharType="separate"/>
        </w:r>
        <w:r>
          <w:rPr>
            <w:noProof/>
            <w:webHidden/>
          </w:rPr>
          <w:t>16</w:t>
        </w:r>
        <w:r>
          <w:rPr>
            <w:noProof/>
            <w:webHidden/>
          </w:rPr>
          <w:fldChar w:fldCharType="end"/>
        </w:r>
      </w:hyperlink>
    </w:p>
    <w:p w:rsidR="005D2B5D" w14:paraId="059C2FD8" w14:textId="6705D14A">
      <w:pPr>
        <w:pStyle w:val="TOC3"/>
        <w:tabs>
          <w:tab w:val="left" w:pos="2160"/>
        </w:tabs>
        <w:rPr>
          <w:rFonts w:asciiTheme="minorHAnsi" w:eastAsiaTheme="minorEastAsia" w:hAnsiTheme="minorHAnsi" w:cstheme="minorBidi"/>
          <w:noProof/>
          <w:color w:val="auto"/>
          <w:sz w:val="22"/>
          <w:szCs w:val="22"/>
        </w:rPr>
      </w:pPr>
      <w:hyperlink w:anchor="_Toc125382136" w:history="1">
        <w:r w:rsidRPr="00E433E2">
          <w:rPr>
            <w:rStyle w:val="Hyperlink"/>
            <w:bCs/>
            <w:noProof/>
          </w:rPr>
          <w:t>2.</w:t>
        </w:r>
        <w:r>
          <w:rPr>
            <w:rFonts w:asciiTheme="minorHAnsi" w:eastAsiaTheme="minorEastAsia" w:hAnsiTheme="minorHAnsi" w:cstheme="minorBidi"/>
            <w:noProof/>
            <w:color w:val="auto"/>
            <w:sz w:val="22"/>
            <w:szCs w:val="22"/>
          </w:rPr>
          <w:tab/>
        </w:r>
        <w:r w:rsidRPr="00E433E2">
          <w:rPr>
            <w:rStyle w:val="Hyperlink"/>
            <w:bCs/>
            <w:noProof/>
          </w:rPr>
          <w:t xml:space="preserve">All consumers benefit from the SSO, so all consumers </w:t>
        </w:r>
        <w:r>
          <w:rPr>
            <w:rStyle w:val="Hyperlink"/>
            <w:bCs/>
            <w:noProof/>
          </w:rPr>
          <w:br/>
        </w:r>
        <w:r w:rsidRPr="00E433E2">
          <w:rPr>
            <w:rStyle w:val="Hyperlink"/>
            <w:bCs/>
            <w:noProof/>
          </w:rPr>
          <w:t xml:space="preserve">should pay for costs that DP&amp;L incurs (if any) to </w:t>
        </w:r>
        <w:r>
          <w:rPr>
            <w:rStyle w:val="Hyperlink"/>
            <w:bCs/>
            <w:noProof/>
          </w:rPr>
          <w:br/>
        </w:r>
        <w:r w:rsidRPr="00E433E2">
          <w:rPr>
            <w:rStyle w:val="Hyperlink"/>
            <w:bCs/>
            <w:noProof/>
          </w:rPr>
          <w:t>provide the SSO.</w:t>
        </w:r>
        <w:r>
          <w:rPr>
            <w:noProof/>
            <w:webHidden/>
          </w:rPr>
          <w:tab/>
        </w:r>
        <w:r>
          <w:rPr>
            <w:noProof/>
            <w:webHidden/>
          </w:rPr>
          <w:fldChar w:fldCharType="begin"/>
        </w:r>
        <w:r>
          <w:rPr>
            <w:noProof/>
            <w:webHidden/>
          </w:rPr>
          <w:instrText xml:space="preserve"> PAGEREF _Toc125382136 \h </w:instrText>
        </w:r>
        <w:r>
          <w:rPr>
            <w:noProof/>
            <w:webHidden/>
          </w:rPr>
          <w:fldChar w:fldCharType="separate"/>
        </w:r>
        <w:r>
          <w:rPr>
            <w:noProof/>
            <w:webHidden/>
          </w:rPr>
          <w:t>18</w:t>
        </w:r>
        <w:r>
          <w:rPr>
            <w:noProof/>
            <w:webHidden/>
          </w:rPr>
          <w:fldChar w:fldCharType="end"/>
        </w:r>
      </w:hyperlink>
    </w:p>
    <w:p w:rsidR="005D2B5D" w14:paraId="53E412F6" w14:textId="4F26A066">
      <w:pPr>
        <w:pStyle w:val="TOC3"/>
        <w:tabs>
          <w:tab w:val="left" w:pos="2160"/>
        </w:tabs>
        <w:rPr>
          <w:rFonts w:asciiTheme="minorHAnsi" w:eastAsiaTheme="minorEastAsia" w:hAnsiTheme="minorHAnsi" w:cstheme="minorBidi"/>
          <w:noProof/>
          <w:color w:val="auto"/>
          <w:sz w:val="22"/>
          <w:szCs w:val="22"/>
        </w:rPr>
      </w:pPr>
      <w:hyperlink w:anchor="_Toc125382137" w:history="1">
        <w:r w:rsidRPr="00E433E2">
          <w:rPr>
            <w:rStyle w:val="Hyperlink"/>
            <w:bCs/>
            <w:noProof/>
          </w:rPr>
          <w:t>3.</w:t>
        </w:r>
        <w:r>
          <w:rPr>
            <w:rFonts w:asciiTheme="minorHAnsi" w:eastAsiaTheme="minorEastAsia" w:hAnsiTheme="minorHAnsi" w:cstheme="minorBidi"/>
            <w:noProof/>
            <w:color w:val="auto"/>
            <w:sz w:val="22"/>
            <w:szCs w:val="22"/>
          </w:rPr>
          <w:tab/>
        </w:r>
        <w:r w:rsidRPr="00E433E2">
          <w:rPr>
            <w:rStyle w:val="Hyperlink"/>
            <w:bCs/>
            <w:noProof/>
          </w:rPr>
          <w:t xml:space="preserve">The PUCO should reject IGS’ unbundling proposal </w:t>
        </w:r>
        <w:r>
          <w:rPr>
            <w:rStyle w:val="Hyperlink"/>
            <w:bCs/>
            <w:noProof/>
          </w:rPr>
          <w:br/>
        </w:r>
        <w:r w:rsidRPr="00E433E2">
          <w:rPr>
            <w:rStyle w:val="Hyperlink"/>
            <w:bCs/>
            <w:noProof/>
          </w:rPr>
          <w:t xml:space="preserve">because it would shift $30 million (27.6% of the costs) </w:t>
        </w:r>
        <w:r>
          <w:rPr>
            <w:rStyle w:val="Hyperlink"/>
            <w:bCs/>
            <w:noProof/>
          </w:rPr>
          <w:br/>
        </w:r>
        <w:r w:rsidRPr="00E433E2">
          <w:rPr>
            <w:rStyle w:val="Hyperlink"/>
            <w:bCs/>
            <w:noProof/>
          </w:rPr>
          <w:t xml:space="preserve">in costs from nonresidential to residential consumers, </w:t>
        </w:r>
        <w:r>
          <w:rPr>
            <w:rStyle w:val="Hyperlink"/>
            <w:bCs/>
            <w:noProof/>
          </w:rPr>
          <w:br/>
        </w:r>
        <w:r w:rsidRPr="00E433E2">
          <w:rPr>
            <w:rStyle w:val="Hyperlink"/>
            <w:bCs/>
            <w:noProof/>
          </w:rPr>
          <w:t xml:space="preserve">thus making residential consumers’ rates unjust and </w:t>
        </w:r>
        <w:r>
          <w:rPr>
            <w:rStyle w:val="Hyperlink"/>
            <w:bCs/>
            <w:noProof/>
          </w:rPr>
          <w:br/>
        </w:r>
        <w:r w:rsidRPr="00E433E2">
          <w:rPr>
            <w:rStyle w:val="Hyperlink"/>
            <w:bCs/>
            <w:noProof/>
          </w:rPr>
          <w:t>unreasonable.</w:t>
        </w:r>
        <w:r>
          <w:rPr>
            <w:noProof/>
            <w:webHidden/>
          </w:rPr>
          <w:tab/>
        </w:r>
        <w:r>
          <w:rPr>
            <w:noProof/>
            <w:webHidden/>
          </w:rPr>
          <w:fldChar w:fldCharType="begin"/>
        </w:r>
        <w:r>
          <w:rPr>
            <w:noProof/>
            <w:webHidden/>
          </w:rPr>
          <w:instrText xml:space="preserve"> PAGEREF _Toc125382137 \h </w:instrText>
        </w:r>
        <w:r>
          <w:rPr>
            <w:noProof/>
            <w:webHidden/>
          </w:rPr>
          <w:fldChar w:fldCharType="separate"/>
        </w:r>
        <w:r>
          <w:rPr>
            <w:noProof/>
            <w:webHidden/>
          </w:rPr>
          <w:t>19</w:t>
        </w:r>
        <w:r>
          <w:rPr>
            <w:noProof/>
            <w:webHidden/>
          </w:rPr>
          <w:fldChar w:fldCharType="end"/>
        </w:r>
      </w:hyperlink>
    </w:p>
    <w:p w:rsidR="005D2B5D" w14:paraId="6FB8489F" w14:textId="749522E8">
      <w:pPr>
        <w:pStyle w:val="TOC1"/>
        <w:rPr>
          <w:rFonts w:asciiTheme="minorHAnsi" w:eastAsiaTheme="minorEastAsia" w:hAnsiTheme="minorHAnsi" w:cstheme="minorBidi"/>
          <w:noProof/>
          <w:color w:val="auto"/>
          <w:sz w:val="22"/>
          <w:szCs w:val="22"/>
        </w:rPr>
      </w:pPr>
      <w:hyperlink w:anchor="_Toc125382138" w:history="1">
        <w:r w:rsidRPr="00E433E2">
          <w:rPr>
            <w:rStyle w:val="Hyperlink"/>
            <w:noProof/>
          </w:rPr>
          <w:t>III.</w:t>
        </w:r>
        <w:r>
          <w:rPr>
            <w:rFonts w:asciiTheme="minorHAnsi" w:eastAsiaTheme="minorEastAsia" w:hAnsiTheme="minorHAnsi" w:cstheme="minorBidi"/>
            <w:noProof/>
            <w:color w:val="auto"/>
            <w:sz w:val="22"/>
            <w:szCs w:val="22"/>
          </w:rPr>
          <w:tab/>
        </w:r>
        <w:r w:rsidRPr="00E433E2">
          <w:rPr>
            <w:rStyle w:val="Hyperlink"/>
            <w:noProof/>
          </w:rPr>
          <w:t>CONCLUSION</w:t>
        </w:r>
        <w:r>
          <w:rPr>
            <w:noProof/>
            <w:webHidden/>
          </w:rPr>
          <w:tab/>
        </w:r>
        <w:r>
          <w:rPr>
            <w:noProof/>
            <w:webHidden/>
          </w:rPr>
          <w:fldChar w:fldCharType="begin"/>
        </w:r>
        <w:r>
          <w:rPr>
            <w:noProof/>
            <w:webHidden/>
          </w:rPr>
          <w:instrText xml:space="preserve"> PAGEREF _Toc125382138 \h </w:instrText>
        </w:r>
        <w:r>
          <w:rPr>
            <w:noProof/>
            <w:webHidden/>
          </w:rPr>
          <w:fldChar w:fldCharType="separate"/>
        </w:r>
        <w:r>
          <w:rPr>
            <w:noProof/>
            <w:webHidden/>
          </w:rPr>
          <w:t>20</w:t>
        </w:r>
        <w:r>
          <w:rPr>
            <w:noProof/>
            <w:webHidden/>
          </w:rPr>
          <w:fldChar w:fldCharType="end"/>
        </w:r>
      </w:hyperlink>
    </w:p>
    <w:p w:rsidR="00A52A4D" w:rsidRPr="00A52A4D" w:rsidP="00A52A4D" w14:paraId="729F8D72" w14:textId="0BC6F320">
      <w:pPr>
        <w:pStyle w:val="List"/>
        <w:ind w:left="0" w:firstLine="0"/>
        <w:jc w:val="right"/>
        <w:rPr>
          <w:b/>
          <w:szCs w:val="24"/>
        </w:rPr>
        <w:sectPr w:rsidSect="00A52A4D">
          <w:footerReference w:type="default" r:id="rId9"/>
          <w:pgSz w:w="12240" w:h="15840"/>
          <w:pgMar w:top="1440" w:right="1800" w:bottom="1440" w:left="1800" w:header="720" w:footer="720" w:gutter="0"/>
          <w:pgNumType w:fmt="lowerRoman" w:start="1"/>
          <w:cols w:space="720"/>
          <w:docGrid w:linePitch="360"/>
        </w:sectPr>
      </w:pPr>
      <w:r>
        <w:rPr>
          <w:b/>
          <w:szCs w:val="24"/>
        </w:rPr>
        <w:fldChar w:fldCharType="end"/>
      </w:r>
    </w:p>
    <w:p w:rsidR="007D0B73" w:rsidRPr="007B3311" w:rsidP="007D0B73" w14:paraId="2FCB5712" w14:textId="77777777">
      <w:pPr>
        <w:pStyle w:val="List"/>
        <w:ind w:left="0" w:firstLine="0"/>
        <w:jc w:val="center"/>
        <w:rPr>
          <w:b/>
          <w:szCs w:val="24"/>
        </w:rPr>
      </w:pPr>
      <w:r w:rsidRPr="007B3311">
        <w:rPr>
          <w:b/>
          <w:szCs w:val="24"/>
        </w:rPr>
        <w:t>BEFORE</w:t>
      </w:r>
    </w:p>
    <w:p w:rsidR="007D0B73" w:rsidRPr="007B3311" w:rsidP="007D0B73" w14:paraId="26D80A3C" w14:textId="77777777">
      <w:pPr>
        <w:pStyle w:val="List"/>
        <w:ind w:left="0" w:firstLine="0"/>
        <w:jc w:val="center"/>
        <w:rPr>
          <w:b/>
          <w:szCs w:val="24"/>
        </w:rPr>
      </w:pPr>
      <w:r w:rsidRPr="007B3311">
        <w:rPr>
          <w:b/>
          <w:szCs w:val="24"/>
        </w:rPr>
        <w:t>THE PUBLIC UTILITIES COMMISSION OF OHIO</w:t>
      </w:r>
    </w:p>
    <w:p w:rsidR="007D0B73" w:rsidRPr="007B3311" w:rsidP="007D0B73" w14:paraId="490D5838" w14:textId="77777777">
      <w:pPr>
        <w:pStyle w:val="List"/>
        <w:ind w:left="0" w:firstLine="0"/>
        <w:jc w:val="center"/>
        <w:rPr>
          <w:b/>
          <w:szCs w:val="24"/>
        </w:rPr>
      </w:pPr>
    </w:p>
    <w:tbl>
      <w:tblPr>
        <w:tblW w:w="8730" w:type="dxa"/>
        <w:tblLook w:val="01E0"/>
      </w:tblPr>
      <w:tblGrid>
        <w:gridCol w:w="4320"/>
        <w:gridCol w:w="296"/>
        <w:gridCol w:w="4114"/>
      </w:tblGrid>
      <w:tr w14:paraId="54ECD3A0" w14:textId="77777777" w:rsidTr="005B1148">
        <w:tblPrEx>
          <w:tblW w:w="8730" w:type="dxa"/>
          <w:tblLook w:val="01E0"/>
        </w:tblPrEx>
        <w:trPr>
          <w:trHeight w:val="807"/>
        </w:trPr>
        <w:tc>
          <w:tcPr>
            <w:tcW w:w="4320" w:type="dxa"/>
            <w:shd w:val="clear" w:color="auto" w:fill="auto"/>
          </w:tcPr>
          <w:p w:rsidR="007D0B73" w:rsidRPr="007B3311" w:rsidP="005B1148" w14:paraId="7526E99E"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In the Matter of the Application of the Dayton Power and Light Company to Increase its Rates for Electric Distribution.</w:t>
            </w:r>
          </w:p>
          <w:p w:rsidR="007D0B73" w:rsidRPr="007B3311" w:rsidP="005B1148" w14:paraId="70DD3959" w14:textId="77777777">
            <w:pPr>
              <w:pStyle w:val="HTMLPreformatted"/>
              <w:rPr>
                <w:rFonts w:ascii="Times New Roman" w:hAnsi="Times New Roman" w:cs="Times New Roman"/>
                <w:sz w:val="24"/>
                <w:szCs w:val="24"/>
              </w:rPr>
            </w:pPr>
          </w:p>
          <w:p w:rsidR="007D0B73" w:rsidRPr="007B3311" w:rsidP="005B1148" w14:paraId="71EDFB59"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In the Matter of the Application of the Dayton Power and Light Company for Accounting Authority.</w:t>
            </w:r>
          </w:p>
          <w:p w:rsidR="007D0B73" w:rsidRPr="007B3311" w:rsidP="005B1148" w14:paraId="51D07473" w14:textId="77777777">
            <w:pPr>
              <w:pStyle w:val="HTMLPreformatted"/>
              <w:rPr>
                <w:rFonts w:ascii="Times New Roman" w:hAnsi="Times New Roman" w:cs="Times New Roman"/>
                <w:sz w:val="24"/>
                <w:szCs w:val="24"/>
              </w:rPr>
            </w:pPr>
          </w:p>
          <w:p w:rsidR="007D0B73" w:rsidRPr="007B3311" w:rsidP="005B1148" w14:paraId="45104801"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In the Matter of the Application of Dayton Power and Light Company for Approval of Revised Tariffs.</w:t>
            </w:r>
          </w:p>
        </w:tc>
        <w:tc>
          <w:tcPr>
            <w:tcW w:w="296" w:type="dxa"/>
            <w:shd w:val="clear" w:color="auto" w:fill="auto"/>
          </w:tcPr>
          <w:p w:rsidR="007D0B73" w:rsidRPr="007B3311" w:rsidP="005B1148" w14:paraId="51CCDAEF"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3AF7F29E"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55237189"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4BC78250"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3FDF2655" w14:textId="77777777">
            <w:pPr>
              <w:pStyle w:val="HTMLPreformatted"/>
              <w:rPr>
                <w:rFonts w:ascii="Times New Roman" w:hAnsi="Times New Roman" w:cs="Times New Roman"/>
                <w:sz w:val="24"/>
                <w:szCs w:val="24"/>
              </w:rPr>
            </w:pPr>
          </w:p>
          <w:p w:rsidR="007D0B73" w:rsidRPr="007B3311" w:rsidP="005B1148" w14:paraId="6ECE5A9A"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7D76A9F9"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4C63A22D"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255187C5" w14:textId="77777777">
            <w:pPr>
              <w:pStyle w:val="HTMLPreformatted"/>
              <w:rPr>
                <w:rFonts w:ascii="Times New Roman" w:hAnsi="Times New Roman" w:cs="Times New Roman"/>
                <w:sz w:val="24"/>
                <w:szCs w:val="24"/>
              </w:rPr>
            </w:pPr>
          </w:p>
          <w:p w:rsidR="007D0B73" w:rsidRPr="007B3311" w:rsidP="005B1148" w14:paraId="43D247DD"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751BC512"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p w:rsidR="007D0B73" w:rsidRPr="007B3311" w:rsidP="005B1148" w14:paraId="456430EF"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w:t>
            </w:r>
          </w:p>
        </w:tc>
        <w:tc>
          <w:tcPr>
            <w:tcW w:w="4114" w:type="dxa"/>
            <w:shd w:val="clear" w:color="auto" w:fill="auto"/>
          </w:tcPr>
          <w:p w:rsidR="007D0B73" w:rsidRPr="007B3311" w:rsidP="005B1148" w14:paraId="7949307E" w14:textId="77777777">
            <w:pPr>
              <w:pStyle w:val="HTMLPreformatted"/>
              <w:rPr>
                <w:rFonts w:ascii="Times New Roman" w:hAnsi="Times New Roman" w:cs="Times New Roman"/>
                <w:sz w:val="24"/>
                <w:szCs w:val="24"/>
              </w:rPr>
            </w:pPr>
          </w:p>
          <w:p w:rsidR="007D0B73" w:rsidRPr="007B3311" w:rsidP="005B1148" w14:paraId="07D65B6C"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Case No. 20-1651-EL-AIR</w:t>
            </w:r>
          </w:p>
          <w:p w:rsidR="007D0B73" w:rsidRPr="007B3311" w:rsidP="005B1148" w14:paraId="457DE546" w14:textId="77777777">
            <w:pPr>
              <w:pStyle w:val="HTMLPreformatted"/>
              <w:rPr>
                <w:rFonts w:ascii="Times New Roman" w:hAnsi="Times New Roman" w:cs="Times New Roman"/>
                <w:sz w:val="24"/>
                <w:szCs w:val="24"/>
              </w:rPr>
            </w:pPr>
          </w:p>
          <w:p w:rsidR="007D0B73" w:rsidRPr="007B3311" w:rsidP="005B1148" w14:paraId="09D17A43" w14:textId="77777777">
            <w:pPr>
              <w:pStyle w:val="HTMLPreformatted"/>
              <w:rPr>
                <w:rFonts w:ascii="Times New Roman" w:hAnsi="Times New Roman" w:cs="Times New Roman"/>
                <w:sz w:val="24"/>
                <w:szCs w:val="24"/>
              </w:rPr>
            </w:pPr>
          </w:p>
          <w:p w:rsidR="007D0B73" w:rsidRPr="007B3311" w:rsidP="005B1148" w14:paraId="444C08EC" w14:textId="77777777">
            <w:pPr>
              <w:pStyle w:val="HTMLPreformatted"/>
              <w:rPr>
                <w:rFonts w:ascii="Times New Roman" w:hAnsi="Times New Roman" w:cs="Times New Roman"/>
                <w:sz w:val="24"/>
                <w:szCs w:val="24"/>
              </w:rPr>
            </w:pPr>
          </w:p>
          <w:p w:rsidR="007D0B73" w:rsidRPr="007B3311" w:rsidP="005B1148" w14:paraId="33FF227F" w14:textId="77777777">
            <w:pPr>
              <w:pStyle w:val="HTMLPreformatted"/>
              <w:rPr>
                <w:rFonts w:ascii="Times New Roman" w:hAnsi="Times New Roman" w:cs="Times New Roman"/>
                <w:sz w:val="24"/>
                <w:szCs w:val="24"/>
              </w:rPr>
            </w:pPr>
          </w:p>
          <w:p w:rsidR="007D0B73" w:rsidRPr="007B3311" w:rsidP="005B1148" w14:paraId="5DDB3707"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Case No. 20-1652-EL-AAM</w:t>
            </w:r>
          </w:p>
          <w:p w:rsidR="007D0B73" w:rsidRPr="007B3311" w:rsidP="005B1148" w14:paraId="3DDB0007" w14:textId="77777777">
            <w:pPr>
              <w:pStyle w:val="HTMLPreformatted"/>
              <w:rPr>
                <w:rFonts w:ascii="Times New Roman" w:hAnsi="Times New Roman" w:cs="Times New Roman"/>
                <w:sz w:val="24"/>
                <w:szCs w:val="24"/>
              </w:rPr>
            </w:pPr>
          </w:p>
          <w:p w:rsidR="007D0B73" w:rsidRPr="007B3311" w:rsidP="005B1148" w14:paraId="159CE962" w14:textId="77777777">
            <w:pPr>
              <w:pStyle w:val="HTMLPreformatted"/>
              <w:rPr>
                <w:rFonts w:ascii="Times New Roman" w:hAnsi="Times New Roman" w:cs="Times New Roman"/>
                <w:sz w:val="24"/>
                <w:szCs w:val="24"/>
              </w:rPr>
            </w:pPr>
          </w:p>
          <w:p w:rsidR="007D0B73" w:rsidRPr="007B3311" w:rsidP="005B1148" w14:paraId="3FB20A1A" w14:textId="77777777">
            <w:pPr>
              <w:pStyle w:val="HTMLPreformatted"/>
              <w:rPr>
                <w:rFonts w:ascii="Times New Roman" w:hAnsi="Times New Roman" w:cs="Times New Roman"/>
                <w:sz w:val="24"/>
                <w:szCs w:val="24"/>
              </w:rPr>
            </w:pPr>
          </w:p>
          <w:p w:rsidR="007D0B73" w:rsidRPr="007B3311" w:rsidP="005B1148" w14:paraId="2C3A5572" w14:textId="77777777">
            <w:pPr>
              <w:pStyle w:val="HTMLPreformatted"/>
              <w:rPr>
                <w:rFonts w:ascii="Times New Roman" w:hAnsi="Times New Roman" w:cs="Times New Roman"/>
                <w:sz w:val="24"/>
                <w:szCs w:val="24"/>
              </w:rPr>
            </w:pPr>
            <w:r w:rsidRPr="007B3311">
              <w:rPr>
                <w:rFonts w:ascii="Times New Roman" w:hAnsi="Times New Roman" w:cs="Times New Roman"/>
                <w:sz w:val="24"/>
                <w:szCs w:val="24"/>
              </w:rPr>
              <w:t>Case No. 20-1653-EL-ATA</w:t>
            </w:r>
          </w:p>
        </w:tc>
      </w:tr>
    </w:tbl>
    <w:p w:rsidR="007D0B73" w:rsidRPr="007B3311" w:rsidP="007D0B73" w14:paraId="1C7F7978" w14:textId="77777777">
      <w:pPr>
        <w:pBdr>
          <w:bottom w:val="single" w:sz="12" w:space="1" w:color="auto"/>
        </w:pBdr>
        <w:rPr>
          <w:szCs w:val="24"/>
        </w:rPr>
      </w:pPr>
    </w:p>
    <w:p w:rsidR="007D0B73" w:rsidRPr="007B3311" w:rsidP="007D0B73" w14:paraId="6163A9FD" w14:textId="77777777">
      <w:pPr>
        <w:rPr>
          <w:b/>
          <w:bCs/>
          <w:szCs w:val="24"/>
        </w:rPr>
      </w:pPr>
    </w:p>
    <w:p w:rsidR="00144584" w:rsidRPr="007B3311" w:rsidP="007D0B73" w14:paraId="3CCA0A8A" w14:textId="01A6DF2B">
      <w:pPr>
        <w:jc w:val="center"/>
        <w:rPr>
          <w:b/>
          <w:szCs w:val="24"/>
        </w:rPr>
      </w:pPr>
      <w:r w:rsidRPr="007B3311">
        <w:rPr>
          <w:b/>
          <w:szCs w:val="24"/>
        </w:rPr>
        <w:t>MEMORANDUM CONTRA</w:t>
      </w:r>
      <w:r w:rsidR="00EA0710">
        <w:rPr>
          <w:b/>
          <w:szCs w:val="24"/>
        </w:rPr>
        <w:t xml:space="preserve"> </w:t>
      </w:r>
      <w:r w:rsidRPr="007B3311">
        <w:rPr>
          <w:b/>
          <w:szCs w:val="24"/>
        </w:rPr>
        <w:t>APPLICATIONS FOR REHEARING</w:t>
      </w:r>
      <w:r w:rsidRPr="007B3311" w:rsidR="001A01BF">
        <w:rPr>
          <w:b/>
          <w:szCs w:val="24"/>
        </w:rPr>
        <w:t xml:space="preserve"> OF AES OHIO</w:t>
      </w:r>
      <w:r w:rsidRPr="007B3311">
        <w:rPr>
          <w:b/>
          <w:szCs w:val="24"/>
        </w:rPr>
        <w:t xml:space="preserve"> </w:t>
      </w:r>
    </w:p>
    <w:p w:rsidR="007D0B73" w:rsidRPr="007B3311" w:rsidP="007D0B73" w14:paraId="477D2DFE" w14:textId="2D309B7E">
      <w:pPr>
        <w:jc w:val="center"/>
        <w:rPr>
          <w:b/>
          <w:szCs w:val="24"/>
        </w:rPr>
      </w:pPr>
      <w:r w:rsidRPr="007B3311">
        <w:rPr>
          <w:b/>
          <w:szCs w:val="24"/>
        </w:rPr>
        <w:t>AND INTERSTATE GAS SUPPLY, INC.</w:t>
      </w:r>
    </w:p>
    <w:p w:rsidR="007D0B73" w:rsidRPr="007B3311" w:rsidP="007D0B73" w14:paraId="285A565F" w14:textId="77777777">
      <w:pPr>
        <w:jc w:val="center"/>
        <w:rPr>
          <w:b/>
          <w:szCs w:val="24"/>
        </w:rPr>
      </w:pPr>
      <w:r w:rsidRPr="007B3311">
        <w:rPr>
          <w:b/>
          <w:szCs w:val="24"/>
        </w:rPr>
        <w:t>BY</w:t>
      </w:r>
    </w:p>
    <w:p w:rsidR="007D0B73" w:rsidRPr="007B3311" w:rsidP="007D0B73" w14:paraId="2CB03FF9" w14:textId="77777777">
      <w:pPr>
        <w:pBdr>
          <w:bottom w:val="single" w:sz="12" w:space="1" w:color="auto"/>
        </w:pBdr>
        <w:jc w:val="center"/>
        <w:rPr>
          <w:b/>
          <w:szCs w:val="24"/>
        </w:rPr>
      </w:pPr>
      <w:r w:rsidRPr="007B3311">
        <w:rPr>
          <w:b/>
          <w:szCs w:val="24"/>
        </w:rPr>
        <w:t>OFFICE OF THE OHIO CONSUMERS’ COUNSEL</w:t>
      </w:r>
    </w:p>
    <w:p w:rsidR="007D0B73" w:rsidRPr="007B3311" w:rsidP="00D30B09" w14:paraId="0092F58C" w14:textId="77777777">
      <w:pPr>
        <w:pBdr>
          <w:bottom w:val="single" w:sz="12" w:space="1" w:color="auto"/>
        </w:pBdr>
        <w:jc w:val="center"/>
        <w:rPr>
          <w:b/>
          <w:bCs/>
          <w:szCs w:val="24"/>
        </w:rPr>
      </w:pPr>
    </w:p>
    <w:p w:rsidR="007D0B73" w:rsidRPr="007B3311" w:rsidP="00390137" w14:paraId="5824388D" w14:textId="3706DC91">
      <w:pPr>
        <w:pStyle w:val="List"/>
        <w:ind w:left="0" w:firstLine="0"/>
        <w:jc w:val="center"/>
        <w:rPr>
          <w:b/>
          <w:szCs w:val="24"/>
        </w:rPr>
      </w:pPr>
    </w:p>
    <w:p w:rsidR="000D0AC9" w:rsidRPr="007B3311" w:rsidP="00052A34" w14:paraId="0C168678" w14:textId="17573C26">
      <w:pPr>
        <w:spacing w:line="480" w:lineRule="auto"/>
        <w:ind w:firstLine="720"/>
        <w:rPr>
          <w:szCs w:val="24"/>
        </w:rPr>
      </w:pPr>
      <w:r w:rsidRPr="007B3311">
        <w:rPr>
          <w:szCs w:val="24"/>
        </w:rPr>
        <w:t xml:space="preserve">The </w:t>
      </w:r>
      <w:r w:rsidRPr="007B3311" w:rsidR="008D127D">
        <w:rPr>
          <w:szCs w:val="24"/>
        </w:rPr>
        <w:t xml:space="preserve">Office of the Ohio Consumers’ Counsel (“OCC”) files this Memorandum Contra to </w:t>
      </w:r>
      <w:r w:rsidRPr="007B3311" w:rsidR="00144584">
        <w:rPr>
          <w:szCs w:val="24"/>
        </w:rPr>
        <w:t>AES Ohio’s</w:t>
      </w:r>
      <w:r w:rsidRPr="007B3311">
        <w:rPr>
          <w:szCs w:val="24"/>
        </w:rPr>
        <w:t xml:space="preserve"> (“DP&amp;L”) </w:t>
      </w:r>
      <w:r w:rsidRPr="007B3311" w:rsidR="00144584">
        <w:rPr>
          <w:szCs w:val="24"/>
        </w:rPr>
        <w:t xml:space="preserve">and Interstate Gas Supply, Inc.’s (“IGS”) </w:t>
      </w:r>
      <w:r w:rsidRPr="007B3311" w:rsidR="008D127D">
        <w:rPr>
          <w:szCs w:val="24"/>
        </w:rPr>
        <w:t>Application</w:t>
      </w:r>
      <w:r w:rsidRPr="007B3311" w:rsidR="00144584">
        <w:rPr>
          <w:szCs w:val="24"/>
        </w:rPr>
        <w:t>s</w:t>
      </w:r>
      <w:r w:rsidRPr="007B3311" w:rsidR="008D127D">
        <w:rPr>
          <w:szCs w:val="24"/>
        </w:rPr>
        <w:t xml:space="preserve"> for Rehearing.</w:t>
      </w:r>
    </w:p>
    <w:p w:rsidR="008D127D" w:rsidRPr="007B3311" w:rsidP="00076134" w14:paraId="152D4767" w14:textId="3C545411">
      <w:pPr>
        <w:pStyle w:val="Heading1"/>
      </w:pPr>
      <w:bookmarkStart w:id="0" w:name="_Toc125382126"/>
      <w:r w:rsidRPr="007B3311">
        <w:t>INTRODUCTION</w:t>
      </w:r>
      <w:bookmarkEnd w:id="0"/>
    </w:p>
    <w:p w:rsidR="000D0AC9" w:rsidRPr="007B3311" w:rsidP="002A293F" w14:paraId="2592D362" w14:textId="7318FC72">
      <w:pPr>
        <w:spacing w:line="480" w:lineRule="auto"/>
        <w:ind w:firstLine="720"/>
        <w:rPr>
          <w:szCs w:val="24"/>
        </w:rPr>
      </w:pPr>
      <w:r w:rsidRPr="007B3311">
        <w:rPr>
          <w:szCs w:val="24"/>
        </w:rPr>
        <w:t xml:space="preserve">The </w:t>
      </w:r>
      <w:r w:rsidRPr="007B3311" w:rsidR="00052A34">
        <w:rPr>
          <w:szCs w:val="24"/>
        </w:rPr>
        <w:t xml:space="preserve">Public Utilities Commission of Ohio (“PUCO”) </w:t>
      </w:r>
      <w:r w:rsidRPr="007B3311" w:rsidR="0022137E">
        <w:rPr>
          <w:szCs w:val="24"/>
        </w:rPr>
        <w:t xml:space="preserve">approved a rate increase of $75.6 million, or a </w:t>
      </w:r>
      <w:r w:rsidRPr="007B3311" w:rsidR="00866D7F">
        <w:rPr>
          <w:szCs w:val="24"/>
        </w:rPr>
        <w:t>3</w:t>
      </w:r>
      <w:r w:rsidRPr="007B3311" w:rsidR="008034D7">
        <w:rPr>
          <w:szCs w:val="24"/>
        </w:rPr>
        <w:t>0.8</w:t>
      </w:r>
      <w:r w:rsidRPr="007B3311" w:rsidR="0022137E">
        <w:rPr>
          <w:szCs w:val="24"/>
        </w:rPr>
        <w:t>% increase</w:t>
      </w:r>
      <w:r w:rsidRPr="007B3311" w:rsidR="00A95D77">
        <w:rPr>
          <w:szCs w:val="24"/>
        </w:rPr>
        <w:t>, for DP&amp;L</w:t>
      </w:r>
      <w:r w:rsidRPr="007B3311" w:rsidR="0022137E">
        <w:rPr>
          <w:szCs w:val="24"/>
        </w:rPr>
        <w:t>.</w:t>
      </w:r>
      <w:r>
        <w:rPr>
          <w:rStyle w:val="FootnoteReference"/>
          <w:szCs w:val="24"/>
        </w:rPr>
        <w:footnoteReference w:id="2"/>
      </w:r>
      <w:r w:rsidRPr="007B3311" w:rsidR="007D0B73">
        <w:rPr>
          <w:szCs w:val="24"/>
        </w:rPr>
        <w:t xml:space="preserve"> </w:t>
      </w:r>
      <w:r w:rsidRPr="007B3311" w:rsidR="0022137E">
        <w:rPr>
          <w:szCs w:val="24"/>
        </w:rPr>
        <w:t>The PUCO-approved increase is nearly double OCC’s recommendation and is well abo</w:t>
      </w:r>
      <w:r w:rsidRPr="007B3311" w:rsidR="0077540C">
        <w:rPr>
          <w:szCs w:val="24"/>
        </w:rPr>
        <w:t>ve</w:t>
      </w:r>
      <w:r w:rsidRPr="007B3311" w:rsidR="0022137E">
        <w:rPr>
          <w:szCs w:val="24"/>
        </w:rPr>
        <w:t xml:space="preserve"> </w:t>
      </w:r>
      <w:r w:rsidRPr="007B3311" w:rsidR="00F41675">
        <w:rPr>
          <w:szCs w:val="24"/>
        </w:rPr>
        <w:t xml:space="preserve">the </w:t>
      </w:r>
      <w:r w:rsidRPr="007B3311" w:rsidR="0077540C">
        <w:rPr>
          <w:szCs w:val="24"/>
        </w:rPr>
        <w:t xml:space="preserve">PUCO </w:t>
      </w:r>
      <w:r w:rsidRPr="007B3311" w:rsidR="0022137E">
        <w:rPr>
          <w:szCs w:val="24"/>
        </w:rPr>
        <w:t xml:space="preserve">Staff’s </w:t>
      </w:r>
      <w:r w:rsidRPr="007B3311" w:rsidR="00F41675">
        <w:rPr>
          <w:szCs w:val="24"/>
        </w:rPr>
        <w:t xml:space="preserve">own </w:t>
      </w:r>
      <w:r w:rsidRPr="007B3311" w:rsidR="0022137E">
        <w:rPr>
          <w:szCs w:val="24"/>
        </w:rPr>
        <w:t>recommendation.</w:t>
      </w:r>
      <w:r w:rsidR="00881FD2">
        <w:rPr>
          <w:szCs w:val="24"/>
        </w:rPr>
        <w:t xml:space="preserve"> </w:t>
      </w:r>
      <w:r w:rsidRPr="007B3311">
        <w:rPr>
          <w:szCs w:val="24"/>
        </w:rPr>
        <w:t>Nevertheless, DP&amp;L</w:t>
      </w:r>
      <w:r w:rsidRPr="007B3311" w:rsidR="00A95D77">
        <w:rPr>
          <w:szCs w:val="24"/>
        </w:rPr>
        <w:t xml:space="preserve"> seeks rehearing on several issues</w:t>
      </w:r>
      <w:r w:rsidRPr="007B3311" w:rsidR="006E216F">
        <w:rPr>
          <w:szCs w:val="24"/>
        </w:rPr>
        <w:t>.</w:t>
      </w:r>
      <w:r w:rsidR="00881FD2">
        <w:rPr>
          <w:szCs w:val="24"/>
        </w:rPr>
        <w:t xml:space="preserve"> </w:t>
      </w:r>
      <w:r w:rsidRPr="007B3311" w:rsidR="00144584">
        <w:rPr>
          <w:szCs w:val="24"/>
        </w:rPr>
        <w:t>IGS also seeks rehearing.</w:t>
      </w:r>
      <w:r w:rsidR="00881FD2">
        <w:rPr>
          <w:szCs w:val="24"/>
        </w:rPr>
        <w:t xml:space="preserve"> </w:t>
      </w:r>
      <w:r w:rsidRPr="007B3311" w:rsidR="006E216F">
        <w:rPr>
          <w:szCs w:val="24"/>
        </w:rPr>
        <w:t xml:space="preserve">DP&amp;L’s </w:t>
      </w:r>
      <w:r w:rsidRPr="007B3311" w:rsidR="00144584">
        <w:rPr>
          <w:szCs w:val="24"/>
        </w:rPr>
        <w:t xml:space="preserve">and IGS’s </w:t>
      </w:r>
      <w:r w:rsidRPr="007B3311" w:rsidR="006E216F">
        <w:rPr>
          <w:szCs w:val="24"/>
        </w:rPr>
        <w:t>Application</w:t>
      </w:r>
      <w:r w:rsidRPr="007B3311" w:rsidR="00144584">
        <w:rPr>
          <w:szCs w:val="24"/>
        </w:rPr>
        <w:t>s</w:t>
      </w:r>
      <w:r w:rsidRPr="007B3311" w:rsidR="006E216F">
        <w:rPr>
          <w:szCs w:val="24"/>
        </w:rPr>
        <w:t xml:space="preserve"> for Rehearing </w:t>
      </w:r>
      <w:r w:rsidRPr="007B3311" w:rsidR="00144584">
        <w:rPr>
          <w:szCs w:val="24"/>
        </w:rPr>
        <w:t>are</w:t>
      </w:r>
      <w:r w:rsidRPr="007B3311" w:rsidR="006E216F">
        <w:rPr>
          <w:szCs w:val="24"/>
        </w:rPr>
        <w:t xml:space="preserve"> without merit and should be denied.</w:t>
      </w:r>
    </w:p>
    <w:p w:rsidR="00423F6C" w:rsidRPr="007B3311" w:rsidP="00052A34" w14:paraId="0C835177" w14:textId="2050C74A">
      <w:pPr>
        <w:spacing w:line="480" w:lineRule="auto"/>
        <w:ind w:firstLine="720"/>
        <w:rPr>
          <w:szCs w:val="24"/>
        </w:rPr>
      </w:pPr>
      <w:r w:rsidRPr="007B3311">
        <w:rPr>
          <w:szCs w:val="24"/>
        </w:rPr>
        <w:t>First and foremost, DP&amp;L seeks to re-litigate the issue of when the rate increase should take effect.</w:t>
      </w:r>
      <w:r w:rsidR="00881FD2">
        <w:rPr>
          <w:szCs w:val="24"/>
        </w:rPr>
        <w:t xml:space="preserve"> </w:t>
      </w:r>
      <w:r w:rsidRPr="007B3311">
        <w:rPr>
          <w:szCs w:val="24"/>
        </w:rPr>
        <w:t>DP&amp;L wants the rate increase to take effect immediately.</w:t>
      </w:r>
      <w:r w:rsidR="00881FD2">
        <w:rPr>
          <w:szCs w:val="24"/>
        </w:rPr>
        <w:t xml:space="preserve"> </w:t>
      </w:r>
      <w:r w:rsidR="008A5C26">
        <w:rPr>
          <w:szCs w:val="24"/>
        </w:rPr>
        <w:t xml:space="preserve">However, </w:t>
      </w:r>
      <w:r w:rsidRPr="007B3311">
        <w:rPr>
          <w:szCs w:val="24"/>
        </w:rPr>
        <w:t>DP&amp;L is operating under Electric Security Plan (“ESP”) I, which provides for a rate freeze.</w:t>
      </w:r>
      <w:r w:rsidR="00881FD2">
        <w:rPr>
          <w:szCs w:val="24"/>
        </w:rPr>
        <w:t xml:space="preserve"> </w:t>
      </w:r>
      <w:r w:rsidRPr="007B3311">
        <w:rPr>
          <w:szCs w:val="24"/>
        </w:rPr>
        <w:t xml:space="preserve">The rate increase therefore </w:t>
      </w:r>
      <w:r w:rsidRPr="007B3311" w:rsidR="00A95D77">
        <w:rPr>
          <w:szCs w:val="24"/>
        </w:rPr>
        <w:t>cannot</w:t>
      </w:r>
      <w:r w:rsidRPr="007B3311">
        <w:rPr>
          <w:szCs w:val="24"/>
        </w:rPr>
        <w:t xml:space="preserve"> take effect until the PUCO approves a new ESP.</w:t>
      </w:r>
      <w:r w:rsidR="00881FD2">
        <w:rPr>
          <w:szCs w:val="24"/>
        </w:rPr>
        <w:t xml:space="preserve"> </w:t>
      </w:r>
      <w:r w:rsidRPr="007B3311">
        <w:rPr>
          <w:szCs w:val="24"/>
        </w:rPr>
        <w:t>DP&amp;L has a new ESP case pending and th</w:t>
      </w:r>
      <w:r w:rsidRPr="007B3311" w:rsidR="00A95D77">
        <w:rPr>
          <w:szCs w:val="24"/>
        </w:rPr>
        <w:t>at</w:t>
      </w:r>
      <w:r w:rsidRPr="007B3311">
        <w:rPr>
          <w:szCs w:val="24"/>
        </w:rPr>
        <w:t xml:space="preserve"> case is scheduled for hearing in March.</w:t>
      </w:r>
      <w:r>
        <w:rPr>
          <w:rStyle w:val="FootnoteReference"/>
          <w:szCs w:val="24"/>
        </w:rPr>
        <w:footnoteReference w:id="3"/>
      </w:r>
      <w:r w:rsidR="00881FD2">
        <w:rPr>
          <w:szCs w:val="24"/>
        </w:rPr>
        <w:t xml:space="preserve"> </w:t>
      </w:r>
      <w:r w:rsidRPr="007B3311" w:rsidR="00C47967">
        <w:rPr>
          <w:szCs w:val="24"/>
        </w:rPr>
        <w:t>T</w:t>
      </w:r>
      <w:r w:rsidRPr="007B3311">
        <w:rPr>
          <w:szCs w:val="24"/>
        </w:rPr>
        <w:t>he PUCO</w:t>
      </w:r>
      <w:r w:rsidR="00711028">
        <w:rPr>
          <w:szCs w:val="24"/>
        </w:rPr>
        <w:t>, after considering the arguments DP&amp;L raised,</w:t>
      </w:r>
      <w:r w:rsidR="00F041CB">
        <w:rPr>
          <w:szCs w:val="24"/>
        </w:rPr>
        <w:t xml:space="preserve"> </w:t>
      </w:r>
      <w:r w:rsidRPr="007B3311" w:rsidR="0077540C">
        <w:rPr>
          <w:szCs w:val="24"/>
        </w:rPr>
        <w:t>correctly decid</w:t>
      </w:r>
      <w:r w:rsidRPr="007B3311" w:rsidR="00A95D77">
        <w:rPr>
          <w:szCs w:val="24"/>
        </w:rPr>
        <w:t>ed</w:t>
      </w:r>
      <w:r w:rsidRPr="007B3311">
        <w:rPr>
          <w:szCs w:val="24"/>
        </w:rPr>
        <w:t xml:space="preserve"> that DP&amp;L “is precluded from implementing an increase in rates during the period of its rate freeze…”</w:t>
      </w:r>
      <w:r>
        <w:rPr>
          <w:rStyle w:val="FootnoteReference"/>
          <w:szCs w:val="24"/>
        </w:rPr>
        <w:footnoteReference w:id="4"/>
      </w:r>
      <w:r w:rsidRPr="007B3311" w:rsidR="007D0B73">
        <w:rPr>
          <w:szCs w:val="24"/>
        </w:rPr>
        <w:t xml:space="preserve"> </w:t>
      </w:r>
      <w:r w:rsidR="00711028">
        <w:rPr>
          <w:szCs w:val="24"/>
        </w:rPr>
        <w:t>DP&amp;L has not raised any new issues.</w:t>
      </w:r>
      <w:r w:rsidR="00F041CB">
        <w:rPr>
          <w:szCs w:val="24"/>
        </w:rPr>
        <w:t xml:space="preserve"> </w:t>
      </w:r>
      <w:r w:rsidR="00711028">
        <w:rPr>
          <w:szCs w:val="24"/>
        </w:rPr>
        <w:t xml:space="preserve"> </w:t>
      </w:r>
      <w:r w:rsidRPr="007B3311" w:rsidR="00C47967">
        <w:rPr>
          <w:szCs w:val="24"/>
        </w:rPr>
        <w:t>The PUCO should therefore reject DP&amp;L’s request for rehearing on this issue.</w:t>
      </w:r>
    </w:p>
    <w:p w:rsidR="00881FD2" w:rsidP="00060E8B" w14:paraId="351822F6" w14:textId="47645530">
      <w:pPr>
        <w:spacing w:line="480" w:lineRule="auto"/>
        <w:ind w:firstLine="720"/>
        <w:rPr>
          <w:szCs w:val="24"/>
        </w:rPr>
      </w:pPr>
      <w:r w:rsidRPr="007B3311">
        <w:rPr>
          <w:szCs w:val="24"/>
        </w:rPr>
        <w:t xml:space="preserve">DP&amp;L </w:t>
      </w:r>
      <w:r w:rsidRPr="007B3311" w:rsidR="00144584">
        <w:rPr>
          <w:szCs w:val="24"/>
        </w:rPr>
        <w:t xml:space="preserve">and IGS </w:t>
      </w:r>
      <w:r w:rsidRPr="007B3311">
        <w:rPr>
          <w:szCs w:val="24"/>
        </w:rPr>
        <w:t>also seek rehearing on several other issues i</w:t>
      </w:r>
      <w:r w:rsidR="005820C2">
        <w:rPr>
          <w:szCs w:val="24"/>
        </w:rPr>
        <w:t>n</w:t>
      </w:r>
      <w:r w:rsidRPr="007B3311">
        <w:rPr>
          <w:szCs w:val="24"/>
        </w:rPr>
        <w:t xml:space="preserve"> the PUCO’s Opinion and </w:t>
      </w:r>
      <w:r w:rsidRPr="007B3311" w:rsidR="00052A34">
        <w:rPr>
          <w:szCs w:val="24"/>
        </w:rPr>
        <w:t xml:space="preserve">Order </w:t>
      </w:r>
      <w:r w:rsidRPr="007B3311">
        <w:rPr>
          <w:szCs w:val="24"/>
        </w:rPr>
        <w:t xml:space="preserve">(“Order”) of </w:t>
      </w:r>
      <w:r w:rsidRPr="007B3311" w:rsidR="00052A34">
        <w:rPr>
          <w:szCs w:val="24"/>
        </w:rPr>
        <w:t xml:space="preserve">December 14, 2022. </w:t>
      </w:r>
      <w:r w:rsidRPr="007B3311">
        <w:rPr>
          <w:szCs w:val="24"/>
        </w:rPr>
        <w:t xml:space="preserve">DP&amp;L’s </w:t>
      </w:r>
      <w:r w:rsidRPr="007B3311" w:rsidR="00144584">
        <w:rPr>
          <w:szCs w:val="24"/>
        </w:rPr>
        <w:t xml:space="preserve">and IGS’s </w:t>
      </w:r>
      <w:r w:rsidRPr="007B3311">
        <w:rPr>
          <w:szCs w:val="24"/>
        </w:rPr>
        <w:t>arguments for rehearing are without merit and</w:t>
      </w:r>
      <w:r w:rsidRPr="007B3311" w:rsidR="00144584">
        <w:rPr>
          <w:szCs w:val="24"/>
        </w:rPr>
        <w:t xml:space="preserve"> their</w:t>
      </w:r>
      <w:r w:rsidRPr="007B3311">
        <w:rPr>
          <w:szCs w:val="24"/>
        </w:rPr>
        <w:t xml:space="preserve"> Application</w:t>
      </w:r>
      <w:r w:rsidRPr="007B3311" w:rsidR="00144584">
        <w:rPr>
          <w:szCs w:val="24"/>
        </w:rPr>
        <w:t>s</w:t>
      </w:r>
      <w:r w:rsidRPr="007B3311">
        <w:rPr>
          <w:szCs w:val="24"/>
        </w:rPr>
        <w:t xml:space="preserve"> for Rehearing should be denied.</w:t>
      </w:r>
      <w:bookmarkStart w:id="1" w:name="_Toc260397337"/>
      <w:bookmarkStart w:id="2" w:name="_Toc273102569"/>
      <w:bookmarkStart w:id="3" w:name="_Toc332365649"/>
      <w:bookmarkStart w:id="4" w:name="_Toc374366161"/>
      <w:bookmarkStart w:id="5" w:name="_Toc374707414"/>
      <w:bookmarkStart w:id="6" w:name="_Toc374707567"/>
      <w:bookmarkStart w:id="7" w:name="_Toc123045781"/>
      <w:bookmarkStart w:id="8" w:name="_Toc124239361"/>
    </w:p>
    <w:p w:rsidR="00060E8B" w:rsidRPr="00060E8B" w:rsidP="00060E8B" w14:paraId="5BC33CE0" w14:textId="77777777">
      <w:pPr>
        <w:ind w:firstLine="720"/>
        <w:rPr>
          <w:szCs w:val="24"/>
        </w:rPr>
      </w:pPr>
    </w:p>
    <w:p w:rsidR="00191DFA" w:rsidRPr="007B3311" w:rsidP="00076134" w14:paraId="2FE02954" w14:textId="4415F50C">
      <w:pPr>
        <w:pStyle w:val="Heading1"/>
      </w:pPr>
      <w:bookmarkStart w:id="9" w:name="_Toc125382127"/>
      <w:r w:rsidRPr="007B3311">
        <w:t>ARGUMENT</w:t>
      </w:r>
      <w:bookmarkEnd w:id="1"/>
      <w:bookmarkEnd w:id="2"/>
      <w:bookmarkEnd w:id="3"/>
      <w:bookmarkEnd w:id="4"/>
      <w:bookmarkEnd w:id="5"/>
      <w:bookmarkEnd w:id="6"/>
      <w:bookmarkEnd w:id="7"/>
      <w:bookmarkEnd w:id="8"/>
      <w:bookmarkEnd w:id="9"/>
    </w:p>
    <w:p w:rsidR="00B406F5" w:rsidRPr="00881FD2" w:rsidP="00BC7A5B" w14:paraId="03296DC1" w14:textId="6F24F770">
      <w:pPr>
        <w:pStyle w:val="ListParagraph"/>
        <w:numPr>
          <w:ilvl w:val="0"/>
          <w:numId w:val="1"/>
        </w:numPr>
        <w:ind w:left="1440" w:hanging="720"/>
        <w:rPr>
          <w:rStyle w:val="Heading2Char"/>
          <w:rFonts w:ascii="Times New Roman" w:eastAsia="Times New Roman" w:hAnsi="Times New Roman" w:cs="Times New Roman"/>
          <w:b w:val="0"/>
          <w:bCs/>
          <w:szCs w:val="24"/>
        </w:rPr>
      </w:pPr>
      <w:bookmarkStart w:id="10" w:name="_Toc125382128"/>
      <w:r w:rsidRPr="007B3311">
        <w:rPr>
          <w:rStyle w:val="Heading2Char"/>
          <w:rFonts w:ascii="Times New Roman" w:hAnsi="Times New Roman" w:cs="Times New Roman"/>
          <w:bCs/>
          <w:szCs w:val="24"/>
        </w:rPr>
        <w:t>The PUCO correctly de</w:t>
      </w:r>
      <w:r w:rsidRPr="007B3311" w:rsidR="00A95D77">
        <w:rPr>
          <w:rStyle w:val="Heading2Char"/>
          <w:rFonts w:ascii="Times New Roman" w:hAnsi="Times New Roman" w:cs="Times New Roman"/>
          <w:bCs/>
          <w:szCs w:val="24"/>
        </w:rPr>
        <w:t>cid</w:t>
      </w:r>
      <w:r w:rsidRPr="007B3311">
        <w:rPr>
          <w:rStyle w:val="Heading2Char"/>
          <w:rFonts w:ascii="Times New Roman" w:hAnsi="Times New Roman" w:cs="Times New Roman"/>
          <w:bCs/>
          <w:szCs w:val="24"/>
        </w:rPr>
        <w:t xml:space="preserve">ed that DP&amp;L is subject to a rate freeze which precludes it from </w:t>
      </w:r>
      <w:r w:rsidR="008A5C26">
        <w:rPr>
          <w:rStyle w:val="Heading2Char"/>
          <w:rFonts w:ascii="Times New Roman" w:hAnsi="Times New Roman" w:cs="Times New Roman"/>
          <w:bCs/>
          <w:szCs w:val="24"/>
        </w:rPr>
        <w:t>charging consumers</w:t>
      </w:r>
      <w:r w:rsidRPr="007B3311">
        <w:rPr>
          <w:rStyle w:val="Heading2Char"/>
          <w:rFonts w:ascii="Times New Roman" w:hAnsi="Times New Roman" w:cs="Times New Roman"/>
          <w:bCs/>
          <w:szCs w:val="24"/>
        </w:rPr>
        <w:t xml:space="preserve"> new distribution rates until a new ESP is approved.</w:t>
      </w:r>
      <w:bookmarkEnd w:id="10"/>
    </w:p>
    <w:p w:rsidR="00881FD2" w:rsidRPr="00881FD2" w:rsidP="00881FD2" w14:paraId="6E928FF5" w14:textId="77777777">
      <w:pPr>
        <w:pStyle w:val="ListParagraph"/>
        <w:ind w:left="1440"/>
        <w:rPr>
          <w:rStyle w:val="Heading2Char"/>
          <w:rFonts w:ascii="Times New Roman" w:eastAsia="Times New Roman" w:hAnsi="Times New Roman" w:cs="Times New Roman"/>
          <w:b w:val="0"/>
          <w:bCs/>
          <w:szCs w:val="24"/>
        </w:rPr>
      </w:pPr>
    </w:p>
    <w:p w:rsidR="00881FD2" w:rsidRPr="00BD59BB" w:rsidP="00060E8B" w14:paraId="31E24A7D" w14:textId="135A97FA">
      <w:pPr>
        <w:spacing w:line="480" w:lineRule="auto"/>
        <w:ind w:firstLine="720"/>
      </w:pPr>
      <w:bookmarkStart w:id="11" w:name="_Hlk125359452"/>
      <w:r w:rsidRPr="00BD59BB">
        <w:t xml:space="preserve">In its </w:t>
      </w:r>
      <w:r w:rsidR="005820C2">
        <w:t>A</w:t>
      </w:r>
      <w:r w:rsidRPr="00BD59BB">
        <w:t xml:space="preserve">pplication for </w:t>
      </w:r>
      <w:r w:rsidR="005820C2">
        <w:t>R</w:t>
      </w:r>
      <w:r w:rsidRPr="00BD59BB">
        <w:t xml:space="preserve">ehearing, DP&amp;L argues that the distribution rate freeze expired on December 31, 2012 under the 2009 </w:t>
      </w:r>
      <w:r w:rsidR="005820C2">
        <w:t>S</w:t>
      </w:r>
      <w:r w:rsidRPr="00BD59BB">
        <w:t>tipulation.</w:t>
      </w:r>
      <w:r>
        <w:t xml:space="preserve"> </w:t>
      </w:r>
      <w:r w:rsidRPr="00BD59BB">
        <w:t>As part of its argument, DP&amp;L avers the rate freeze term from the 2009 Stipulation was “never a provision</w:t>
      </w:r>
      <w:r w:rsidR="005820C2">
        <w:t>,</w:t>
      </w:r>
      <w:r w:rsidRPr="00BD59BB">
        <w:t xml:space="preserve"> term or condition of ESP I.”</w:t>
      </w:r>
      <w:r>
        <w:rPr>
          <w:rStyle w:val="FootnoteReference"/>
        </w:rPr>
        <w:footnoteReference w:id="5"/>
      </w:r>
      <w:r>
        <w:t xml:space="preserve"> </w:t>
      </w:r>
      <w:r w:rsidRPr="00BD59BB">
        <w:t>In this respect it argues that a rate freeze is not “specifically authorized” under the ESP statute (under R.C. 4928.143(B)(2)(h)</w:t>
      </w:r>
      <w:r w:rsidR="005820C2">
        <w:t>)</w:t>
      </w:r>
      <w:r w:rsidRPr="00BD59BB">
        <w:t>.</w:t>
      </w:r>
      <w:r>
        <w:t xml:space="preserve"> </w:t>
      </w:r>
      <w:r w:rsidRPr="00BD59BB">
        <w:t>According to DP&amp;L, because it was not specifically authorized, it cannot be authorized under a general grant of authority.</w:t>
      </w:r>
      <w:r>
        <w:rPr>
          <w:rStyle w:val="FootnoteReference"/>
        </w:rPr>
        <w:footnoteReference w:id="6"/>
      </w:r>
      <w:r>
        <w:t xml:space="preserve"> </w:t>
      </w:r>
      <w:r w:rsidRPr="00BD59BB">
        <w:t>Additionally, DP&amp;L argues that the PUCO found its rates were insufficient and under such a finding, it is required to implement new rates.</w:t>
      </w:r>
      <w:r>
        <w:rPr>
          <w:rStyle w:val="FootnoteReference"/>
        </w:rPr>
        <w:footnoteReference w:id="7"/>
      </w:r>
      <w:r w:rsidRPr="00BD59BB">
        <w:t xml:space="preserve"> DP&amp;L also alleges that it would be unconstitutional for the PUCO to implement a rate freeze.</w:t>
      </w:r>
      <w:r>
        <w:rPr>
          <w:rStyle w:val="FootnoteReference"/>
        </w:rPr>
        <w:footnoteReference w:id="8"/>
      </w:r>
      <w:r>
        <w:t xml:space="preserve"> </w:t>
      </w:r>
      <w:r w:rsidRPr="00BD59BB">
        <w:t>DP&amp;L also asserts that the intervenors waived any right they had to assert that DP&amp;L was subject to a rate freeze while under ESP I.</w:t>
      </w:r>
      <w:r>
        <w:rPr>
          <w:rStyle w:val="FootnoteReference"/>
        </w:rPr>
        <w:footnoteReference w:id="9"/>
      </w:r>
      <w:r w:rsidRPr="00BD59BB">
        <w:t xml:space="preserve"> </w:t>
      </w:r>
    </w:p>
    <w:p w:rsidR="00881FD2" w:rsidRPr="00BD59BB" w:rsidP="00060E8B" w14:paraId="51507A19" w14:textId="790919F3">
      <w:pPr>
        <w:spacing w:line="480" w:lineRule="auto"/>
        <w:ind w:firstLine="720"/>
      </w:pPr>
      <w:r w:rsidRPr="00BD59BB">
        <w:t xml:space="preserve">These very same arguments were presented to the PUCO in numerous pleadings in this case </w:t>
      </w:r>
      <w:r w:rsidR="008A5C26">
        <w:t xml:space="preserve">(and in an oral argument to the PUCO Commissioners requested by DP&amp;L) </w:t>
      </w:r>
      <w:r w:rsidRPr="00BD59BB">
        <w:t>and in Case No. 08-1094-EL-SSO</w:t>
      </w:r>
      <w:r w:rsidR="00711028">
        <w:t>.</w:t>
      </w:r>
      <w:r w:rsidR="00F041CB">
        <w:t xml:space="preserve"> </w:t>
      </w:r>
      <w:r w:rsidRPr="00BD59BB">
        <w:t xml:space="preserve">DP&amp;L has raised nothing new that warrants further consideration in its </w:t>
      </w:r>
      <w:r w:rsidR="005820C2">
        <w:t>A</w:t>
      </w:r>
      <w:r w:rsidRPr="00BD59BB">
        <w:t xml:space="preserve">pplication for </w:t>
      </w:r>
      <w:r w:rsidR="005820C2">
        <w:t>R</w:t>
      </w:r>
      <w:r w:rsidRPr="00BD59BB">
        <w:t>ehearing.</w:t>
      </w:r>
    </w:p>
    <w:p w:rsidR="00881FD2" w:rsidRPr="00BD59BB" w:rsidP="00060E8B" w14:paraId="1768DF03" w14:textId="77777777">
      <w:pPr>
        <w:spacing w:line="480" w:lineRule="auto"/>
        <w:ind w:firstLine="720"/>
      </w:pPr>
      <w:r w:rsidRPr="00BD59BB">
        <w:t>The PUCO in its Opinion and Order fully addressed and rejected DPL’s claims.</w:t>
      </w:r>
      <w:r>
        <w:t xml:space="preserve"> </w:t>
      </w:r>
      <w:r w:rsidRPr="00BD59BB">
        <w:t>The PUCO agreed with OCC and other intervenors and the PUCO Staff that the rate freeze was a provision, term or condition of ESP I.</w:t>
      </w:r>
      <w:r>
        <w:rPr>
          <w:rStyle w:val="FootnoteReference"/>
        </w:rPr>
        <w:footnoteReference w:id="10"/>
      </w:r>
      <w:r>
        <w:t xml:space="preserve"> </w:t>
      </w:r>
      <w:r w:rsidRPr="00BD59BB">
        <w:t>And the PUCO found that DP&amp;L’s arguments regarding waiver to be “unpersuasive.”</w:t>
      </w:r>
      <w:r>
        <w:rPr>
          <w:rStyle w:val="FootnoteReference"/>
        </w:rPr>
        <w:footnoteReference w:id="11"/>
      </w:r>
      <w:r>
        <w:t xml:space="preserve"> </w:t>
      </w:r>
      <w:r w:rsidRPr="00BD59BB">
        <w:t>Instead it concluded that “the rate freeze can and should be enforced in this proceeding.”</w:t>
      </w:r>
      <w:r>
        <w:rPr>
          <w:rStyle w:val="FootnoteReference"/>
        </w:rPr>
        <w:footnoteReference w:id="12"/>
      </w:r>
      <w:r>
        <w:t xml:space="preserve"> </w:t>
      </w:r>
    </w:p>
    <w:p w:rsidR="00D80A2F" w:rsidP="00060E8B" w14:paraId="2BC031F7" w14:textId="77777777">
      <w:pPr>
        <w:spacing w:line="480" w:lineRule="auto"/>
        <w:ind w:firstLine="720"/>
      </w:pPr>
      <w:r w:rsidRPr="00BD59BB">
        <w:t>The PUCO was “not persuaded that the rate freeze was simply a term of a settlement agreement and not a provision of the SSO approved as ESP I.”</w:t>
      </w:r>
      <w:r>
        <w:rPr>
          <w:rStyle w:val="FootnoteReference"/>
        </w:rPr>
        <w:footnoteReference w:id="13"/>
      </w:r>
      <w:r>
        <w:t xml:space="preserve"> </w:t>
      </w:r>
      <w:r w:rsidRPr="00BD59BB">
        <w:t>The PUCO found that a provision freezing base distribution rates is permitted under R.C. 4928.143(B)(2)(h), noting three prior occasions where the PUCO had ruled that a rate freeze is a provision permitted under the statute.</w:t>
      </w:r>
      <w:r>
        <w:rPr>
          <w:rStyle w:val="FootnoteReference"/>
        </w:rPr>
        <w:footnoteReference w:id="14"/>
      </w:r>
      <w:r w:rsidRPr="00BD59BB">
        <w:t xml:space="preserve"> </w:t>
      </w:r>
    </w:p>
    <w:p w:rsidR="00881FD2" w:rsidRPr="00BD59BB" w:rsidP="00060E8B" w14:paraId="2D4025F8" w14:textId="1FF165C2">
      <w:pPr>
        <w:spacing w:line="480" w:lineRule="auto"/>
        <w:ind w:firstLine="720"/>
      </w:pPr>
      <w:r w:rsidRPr="00BD59BB">
        <w:t>Additionally, the PUCO found DP&amp;L’s constitutional arguments “unavailing.”</w:t>
      </w:r>
      <w:r>
        <w:rPr>
          <w:rStyle w:val="FootnoteReference"/>
        </w:rPr>
        <w:footnoteReference w:id="15"/>
      </w:r>
      <w:r>
        <w:t xml:space="preserve"> </w:t>
      </w:r>
      <w:r w:rsidRPr="00BD59BB">
        <w:t>In this regard</w:t>
      </w:r>
      <w:r w:rsidR="005820C2">
        <w:t>,</w:t>
      </w:r>
      <w:r w:rsidRPr="00BD59BB">
        <w:t xml:space="preserve"> the PUCO found that the statute was not ambiguous and thus “there is no call to determine whether our interpretation of the statute is violative of the constitution.”</w:t>
      </w:r>
      <w:r>
        <w:rPr>
          <w:rStyle w:val="FootnoteReference"/>
        </w:rPr>
        <w:footnoteReference w:id="16"/>
      </w:r>
      <w:r>
        <w:t xml:space="preserve"> </w:t>
      </w:r>
      <w:r w:rsidRPr="00BD59BB">
        <w:t>The PUCO further found that authorizing the rate freeze does not amount to an unconstitutional taking as DP&amp;L voluntarily agreed to freeze its rates. And the PUCO found that even if the earnings “were somehow deemed so just and unreasonable that a constitutional claim was colorable (which they are not),” DP&amp;L had two different “escape mechanisms:” file for emergency rate relief or seek to operate under</w:t>
      </w:r>
      <w:r>
        <w:t xml:space="preserve"> </w:t>
      </w:r>
      <w:r w:rsidR="005820C2">
        <w:t xml:space="preserve">a </w:t>
      </w:r>
      <w:r w:rsidRPr="00BD59BB">
        <w:t>new SSO.</w:t>
      </w:r>
      <w:r>
        <w:rPr>
          <w:rStyle w:val="FootnoteReference"/>
        </w:rPr>
        <w:footnoteReference w:id="17"/>
      </w:r>
      <w:r w:rsidRPr="00BD59BB">
        <w:t xml:space="preserve"> </w:t>
      </w:r>
    </w:p>
    <w:p w:rsidR="00D80A2F" w:rsidP="00060E8B" w14:paraId="2C17FE9C" w14:textId="691E59CE">
      <w:pPr>
        <w:spacing w:line="480" w:lineRule="auto"/>
        <w:ind w:firstLine="720"/>
      </w:pPr>
      <w:r w:rsidRPr="00BD59BB">
        <w:t xml:space="preserve">In ruling against DP&amp;L’s claims that parties had waived the right to enforce the rate freeze, the PUCO found that when </w:t>
      </w:r>
      <w:r w:rsidR="00CC453B">
        <w:t>DP&amp;L’s plan was</w:t>
      </w:r>
      <w:r w:rsidRPr="00BD59BB">
        <w:t xml:space="preserve"> extended or reverted to, all portions of the plan continued unless explicitly modified.</w:t>
      </w:r>
      <w:r>
        <w:rPr>
          <w:rStyle w:val="FootnoteReference"/>
        </w:rPr>
        <w:footnoteReference w:id="18"/>
      </w:r>
      <w:r w:rsidRPr="00BD59BB">
        <w:t xml:space="preserve"> The PUCO also found that DP&amp;L’s argument that the rate freeze was eliminated when the PUCO approved DP&amp;L’s 2015 rate case to be “without merit.”</w:t>
      </w:r>
      <w:r>
        <w:rPr>
          <w:rStyle w:val="FootnoteReference"/>
        </w:rPr>
        <w:footnoteReference w:id="19"/>
      </w:r>
      <w:r>
        <w:t xml:space="preserve"> </w:t>
      </w:r>
      <w:r w:rsidRPr="00BD59BB">
        <w:t>The PUCO found th</w:t>
      </w:r>
      <w:r w:rsidR="005820C2">
        <w:t>at</w:t>
      </w:r>
      <w:r w:rsidRPr="00BD59BB">
        <w:t xml:space="preserve"> “nothing in R.C. 4909.15 prohibits the enforcement of the distribution rate freeze.”</w:t>
      </w:r>
      <w:r>
        <w:rPr>
          <w:rStyle w:val="FootnoteReference"/>
        </w:rPr>
        <w:footnoteReference w:id="20"/>
      </w:r>
      <w:r>
        <w:t xml:space="preserve"> </w:t>
      </w:r>
      <w:r w:rsidRPr="00BD59BB">
        <w:t xml:space="preserve">It noted that R.C. 4909.15(E) requires the PUCO to give “‘due regard to all such other matters as are proper, according </w:t>
      </w:r>
      <w:r w:rsidR="00A52A4D">
        <w:t xml:space="preserve">to </w:t>
      </w:r>
      <w:r w:rsidRPr="00BD59BB">
        <w:t>the facts in each case.’”</w:t>
      </w:r>
      <w:r>
        <w:rPr>
          <w:rStyle w:val="FootnoteReference"/>
        </w:rPr>
        <w:footnoteReference w:id="21"/>
      </w:r>
      <w:r>
        <w:t xml:space="preserve"> </w:t>
      </w:r>
      <w:r w:rsidRPr="00BD59BB">
        <w:t>The 2009 rate freeze commitment is such a consideration, according to the PUCO.</w:t>
      </w:r>
      <w:r>
        <w:t xml:space="preserve"> </w:t>
      </w:r>
    </w:p>
    <w:p w:rsidR="00881FD2" w:rsidRPr="00BD59BB" w:rsidP="00060E8B" w14:paraId="10FD778F" w14:textId="0F00C87C">
      <w:pPr>
        <w:spacing w:line="480" w:lineRule="auto"/>
        <w:ind w:firstLine="720"/>
      </w:pPr>
      <w:r w:rsidRPr="00BD59BB">
        <w:t>Notably, the PUCO found “unavailing” DP&amp;L’s pleas to not enforce the rate freeze because of the alleged deleterious effects it would have on the utility’s ability to provide reliable service.</w:t>
      </w:r>
      <w:r>
        <w:rPr>
          <w:rStyle w:val="FootnoteReference"/>
        </w:rPr>
        <w:footnoteReference w:id="22"/>
      </w:r>
      <w:r>
        <w:t xml:space="preserve"> </w:t>
      </w:r>
      <w:r w:rsidRPr="00BD59BB">
        <w:t>The PUCO ruled that it “may not unilaterally modify the terms of the approved ESP or choose not to implement those terms simply because their enforcement will present a financial hardship for the utility.”</w:t>
      </w:r>
      <w:r>
        <w:rPr>
          <w:rStyle w:val="FootnoteReference"/>
        </w:rPr>
        <w:footnoteReference w:id="23"/>
      </w:r>
      <w:r>
        <w:t xml:space="preserve"> </w:t>
      </w:r>
      <w:r w:rsidRPr="00BD59BB">
        <w:t>Importantly, the PUCO found “it bears repeating that AES Ohio is statutorily obligated to furnish necessary and adequate service.”</w:t>
      </w:r>
      <w:r>
        <w:rPr>
          <w:rStyle w:val="FootnoteReference"/>
        </w:rPr>
        <w:footnoteReference w:id="24"/>
      </w:r>
      <w:r w:rsidRPr="00BD59BB">
        <w:t xml:space="preserve"> </w:t>
      </w:r>
    </w:p>
    <w:p w:rsidR="00881FD2" w:rsidRPr="00BD59BB" w:rsidP="00060E8B" w14:paraId="66E061F8" w14:textId="3FAD0042">
      <w:pPr>
        <w:spacing w:line="480" w:lineRule="auto"/>
        <w:ind w:firstLine="720"/>
      </w:pPr>
      <w:r w:rsidRPr="00BD59BB">
        <w:t xml:space="preserve">Since nothing new was raised by DP&amp;L in its </w:t>
      </w:r>
      <w:r w:rsidR="00240D0E">
        <w:t>Application for R</w:t>
      </w:r>
      <w:r w:rsidRPr="00BD59BB">
        <w:t xml:space="preserve">ehearing and the PUCO thoroughly addressed these same issues in its Order, rehearing should be denied. </w:t>
      </w:r>
    </w:p>
    <w:p w:rsidR="005007DE" w:rsidRPr="007B3311" w:rsidP="00240D0E" w14:paraId="602F2DED" w14:textId="128E62E2">
      <w:pPr>
        <w:pStyle w:val="ListParagraph"/>
        <w:numPr>
          <w:ilvl w:val="0"/>
          <w:numId w:val="1"/>
        </w:numPr>
        <w:ind w:left="1440" w:hanging="720"/>
        <w:rPr>
          <w:rStyle w:val="Heading2Char"/>
          <w:rFonts w:ascii="Times New Roman" w:eastAsia="Times New Roman" w:hAnsi="Times New Roman" w:cs="Times New Roman"/>
          <w:b w:val="0"/>
          <w:bCs/>
          <w:szCs w:val="24"/>
        </w:rPr>
      </w:pPr>
      <w:bookmarkStart w:id="12" w:name="_Toc125382129"/>
      <w:bookmarkEnd w:id="11"/>
      <w:r w:rsidRPr="007B3311">
        <w:rPr>
          <w:rStyle w:val="Heading2Char"/>
          <w:rFonts w:ascii="Times New Roman" w:hAnsi="Times New Roman" w:cs="Times New Roman"/>
          <w:bCs/>
          <w:szCs w:val="24"/>
        </w:rPr>
        <w:t xml:space="preserve">The PUCO </w:t>
      </w:r>
      <w:r w:rsidRPr="007B3311" w:rsidR="005E22A8">
        <w:rPr>
          <w:rStyle w:val="Heading2Char"/>
          <w:rFonts w:ascii="Times New Roman" w:hAnsi="Times New Roman" w:cs="Times New Roman"/>
          <w:bCs/>
          <w:szCs w:val="24"/>
        </w:rPr>
        <w:t>correctly excluded</w:t>
      </w:r>
      <w:r w:rsidRPr="007B3311">
        <w:rPr>
          <w:rStyle w:val="Heading2Char"/>
          <w:rFonts w:ascii="Times New Roman" w:hAnsi="Times New Roman" w:cs="Times New Roman"/>
          <w:bCs/>
          <w:szCs w:val="24"/>
        </w:rPr>
        <w:t xml:space="preserve"> earnings-based incentive compensation from operating income and </w:t>
      </w:r>
      <w:r w:rsidRPr="007B3311" w:rsidR="005E22A8">
        <w:rPr>
          <w:rStyle w:val="Heading2Char"/>
          <w:rFonts w:ascii="Times New Roman" w:hAnsi="Times New Roman" w:cs="Times New Roman"/>
          <w:bCs/>
          <w:szCs w:val="24"/>
        </w:rPr>
        <w:t>correctly ruled</w:t>
      </w:r>
      <w:r w:rsidRPr="007B3311">
        <w:rPr>
          <w:rStyle w:val="Heading2Char"/>
          <w:rFonts w:ascii="Times New Roman" w:hAnsi="Times New Roman" w:cs="Times New Roman"/>
          <w:bCs/>
          <w:szCs w:val="24"/>
        </w:rPr>
        <w:t xml:space="preserve"> that earnings-based incentive compensation cannot be collected from</w:t>
      </w:r>
      <w:r w:rsidR="00F05E89">
        <w:rPr>
          <w:rStyle w:val="Heading2Char"/>
          <w:rFonts w:ascii="Times New Roman" w:hAnsi="Times New Roman" w:cs="Times New Roman"/>
          <w:bCs/>
          <w:szCs w:val="24"/>
        </w:rPr>
        <w:t xml:space="preserve"> consumers in</w:t>
      </w:r>
      <w:r w:rsidRPr="007B3311">
        <w:rPr>
          <w:rStyle w:val="Heading2Char"/>
          <w:rFonts w:ascii="Times New Roman" w:hAnsi="Times New Roman" w:cs="Times New Roman"/>
          <w:bCs/>
          <w:szCs w:val="24"/>
        </w:rPr>
        <w:t xml:space="preserve"> operating income, plant-in-service or depreciation reserve in future rate cases.</w:t>
      </w:r>
      <w:bookmarkEnd w:id="12"/>
    </w:p>
    <w:p w:rsidR="005007DE" w:rsidRPr="007B3311" w:rsidP="005007DE" w14:paraId="1607A489" w14:textId="77777777">
      <w:pPr>
        <w:pStyle w:val="ListParagraph"/>
        <w:ind w:left="1440"/>
        <w:rPr>
          <w:rStyle w:val="Heading2Char"/>
          <w:rFonts w:ascii="Times New Roman" w:hAnsi="Times New Roman" w:cs="Times New Roman"/>
          <w:bCs/>
          <w:szCs w:val="24"/>
        </w:rPr>
      </w:pPr>
    </w:p>
    <w:p w:rsidR="00D01983" w:rsidP="00D01983" w14:paraId="546E12A6" w14:textId="46FBF66A">
      <w:pPr>
        <w:spacing w:line="480" w:lineRule="auto"/>
        <w:ind w:firstLine="720"/>
        <w:rPr>
          <w:szCs w:val="24"/>
        </w:rPr>
      </w:pPr>
      <w:r w:rsidRPr="007B3311">
        <w:rPr>
          <w:szCs w:val="24"/>
        </w:rPr>
        <w:t xml:space="preserve">DP&amp;L argues that the PUCO erred by excluding earnings-based incentive compensation from operating income and by ruling that such costs cannot be collected from </w:t>
      </w:r>
      <w:r w:rsidR="00F05E89">
        <w:rPr>
          <w:szCs w:val="24"/>
        </w:rPr>
        <w:t xml:space="preserve">consumers in </w:t>
      </w:r>
      <w:r w:rsidRPr="007B3311" w:rsidR="00654896">
        <w:rPr>
          <w:szCs w:val="24"/>
        </w:rPr>
        <w:t>rate base</w:t>
      </w:r>
      <w:r w:rsidRPr="007B3311">
        <w:rPr>
          <w:szCs w:val="24"/>
        </w:rPr>
        <w:t xml:space="preserve"> in future rate cases.</w:t>
      </w:r>
      <w:r>
        <w:rPr>
          <w:rStyle w:val="FootnoteReference"/>
          <w:szCs w:val="24"/>
        </w:rPr>
        <w:footnoteReference w:id="25"/>
      </w:r>
      <w:r w:rsidR="00881FD2">
        <w:rPr>
          <w:szCs w:val="24"/>
        </w:rPr>
        <w:t xml:space="preserve"> </w:t>
      </w:r>
      <w:r w:rsidRPr="007B3311" w:rsidR="00186EAF">
        <w:rPr>
          <w:szCs w:val="24"/>
        </w:rPr>
        <w:t>The PUCO, however, correctly decided this issue and followed its long-standing practice by excluding these costs from operating income.</w:t>
      </w:r>
      <w:r w:rsidR="00881FD2">
        <w:rPr>
          <w:szCs w:val="24"/>
        </w:rPr>
        <w:t xml:space="preserve"> </w:t>
      </w:r>
    </w:p>
    <w:p w:rsidR="00372341" w:rsidRPr="007B3311" w:rsidP="00D01983" w14:paraId="501B6E9A" w14:textId="51D7874A">
      <w:pPr>
        <w:spacing w:line="480" w:lineRule="auto"/>
        <w:ind w:firstLine="720"/>
        <w:rPr>
          <w:szCs w:val="24"/>
        </w:rPr>
      </w:pPr>
      <w:r w:rsidRPr="007B3311">
        <w:rPr>
          <w:szCs w:val="24"/>
        </w:rPr>
        <w:t xml:space="preserve">The PUCO erred, however, by not going far enough </w:t>
      </w:r>
      <w:r w:rsidRPr="007B3311" w:rsidR="00654896">
        <w:rPr>
          <w:szCs w:val="24"/>
        </w:rPr>
        <w:t>– the PUCO should have excluded</w:t>
      </w:r>
      <w:r w:rsidR="00881FD2">
        <w:rPr>
          <w:szCs w:val="24"/>
        </w:rPr>
        <w:t xml:space="preserve"> </w:t>
      </w:r>
      <w:r w:rsidRPr="007B3311">
        <w:rPr>
          <w:szCs w:val="24"/>
        </w:rPr>
        <w:t>these costs from rate base</w:t>
      </w:r>
      <w:r w:rsidRPr="007B3311" w:rsidR="00654896">
        <w:rPr>
          <w:szCs w:val="24"/>
        </w:rPr>
        <w:t xml:space="preserve"> in the current case</w:t>
      </w:r>
      <w:r w:rsidRPr="007B3311">
        <w:rPr>
          <w:szCs w:val="24"/>
        </w:rPr>
        <w:t>.</w:t>
      </w:r>
      <w:r w:rsidR="00881FD2">
        <w:rPr>
          <w:szCs w:val="24"/>
        </w:rPr>
        <w:t xml:space="preserve"> </w:t>
      </w:r>
      <w:r w:rsidRPr="007B3311">
        <w:rPr>
          <w:szCs w:val="24"/>
        </w:rPr>
        <w:t xml:space="preserve">The PUCO ruled that DP&amp;L only needed to remove earnings-based incentive compensation from </w:t>
      </w:r>
      <w:r w:rsidRPr="007B3311" w:rsidR="00654896">
        <w:rPr>
          <w:szCs w:val="24"/>
        </w:rPr>
        <w:t>rate base (</w:t>
      </w:r>
      <w:r w:rsidRPr="007B3311">
        <w:rPr>
          <w:szCs w:val="24"/>
        </w:rPr>
        <w:t>plant-in-service and depreciation reserve</w:t>
      </w:r>
      <w:r w:rsidRPr="007B3311" w:rsidR="00654896">
        <w:rPr>
          <w:szCs w:val="24"/>
        </w:rPr>
        <w:t>)</w:t>
      </w:r>
      <w:r w:rsidRPr="007B3311">
        <w:rPr>
          <w:szCs w:val="24"/>
        </w:rPr>
        <w:t xml:space="preserve"> on a going-forward basis, but not for the present case.</w:t>
      </w:r>
      <w:r w:rsidR="00881FD2">
        <w:rPr>
          <w:szCs w:val="24"/>
        </w:rPr>
        <w:t xml:space="preserve"> </w:t>
      </w:r>
      <w:r w:rsidRPr="007B3311">
        <w:rPr>
          <w:szCs w:val="24"/>
        </w:rPr>
        <w:t>OCC filed an Application for Rehearing arguing that the PUCO erred by not excluding these costs from plant-in-service and depreciation reserve in the present case.</w:t>
      </w:r>
      <w:r>
        <w:rPr>
          <w:rStyle w:val="FootnoteReference"/>
          <w:szCs w:val="24"/>
        </w:rPr>
        <w:footnoteReference w:id="26"/>
      </w:r>
    </w:p>
    <w:p w:rsidR="00396CE2" w:rsidRPr="007B3311" w:rsidP="0075470C" w14:paraId="5FAFCEBE" w14:textId="7AFB936E">
      <w:pPr>
        <w:spacing w:line="480" w:lineRule="auto"/>
        <w:ind w:firstLine="720"/>
        <w:rPr>
          <w:bCs/>
          <w:iCs/>
          <w:szCs w:val="24"/>
        </w:rPr>
      </w:pPr>
      <w:r w:rsidRPr="007B3311">
        <w:rPr>
          <w:szCs w:val="24"/>
        </w:rPr>
        <w:t>The PUCO</w:t>
      </w:r>
      <w:r w:rsidRPr="007B3311" w:rsidR="00186EAF">
        <w:rPr>
          <w:szCs w:val="24"/>
        </w:rPr>
        <w:t>’s Order</w:t>
      </w:r>
      <w:r w:rsidRPr="007B3311">
        <w:rPr>
          <w:szCs w:val="24"/>
        </w:rPr>
        <w:t xml:space="preserve"> removed earnings</w:t>
      </w:r>
      <w:r w:rsidRPr="007B3311" w:rsidR="001F2851">
        <w:rPr>
          <w:szCs w:val="24"/>
        </w:rPr>
        <w:t>-</w:t>
      </w:r>
      <w:r w:rsidRPr="007B3311">
        <w:rPr>
          <w:szCs w:val="24"/>
        </w:rPr>
        <w:t>based incentive compensation from DP&amp;L’s operating expenses</w:t>
      </w:r>
      <w:r w:rsidRPr="007B3311" w:rsidR="00186EAF">
        <w:rPr>
          <w:szCs w:val="24"/>
        </w:rPr>
        <w:t>.</w:t>
      </w:r>
      <w:r>
        <w:rPr>
          <w:rStyle w:val="FootnoteReference"/>
          <w:szCs w:val="24"/>
        </w:rPr>
        <w:footnoteReference w:id="27"/>
      </w:r>
      <w:r w:rsidR="00F041CB">
        <w:rPr>
          <w:szCs w:val="24"/>
        </w:rPr>
        <w:t xml:space="preserve"> </w:t>
      </w:r>
      <w:r w:rsidRPr="007B3311" w:rsidR="00186EAF">
        <w:rPr>
          <w:szCs w:val="24"/>
        </w:rPr>
        <w:t xml:space="preserve">For the sake of consistency, the PUCO should have also excluded these costs </w:t>
      </w:r>
      <w:r w:rsidRPr="007B3311" w:rsidR="001F2851">
        <w:rPr>
          <w:szCs w:val="24"/>
        </w:rPr>
        <w:t xml:space="preserve">from plant-in-service </w:t>
      </w:r>
      <w:r w:rsidRPr="007B3311" w:rsidR="00E00782">
        <w:rPr>
          <w:szCs w:val="24"/>
        </w:rPr>
        <w:t>and</w:t>
      </w:r>
      <w:r w:rsidRPr="007B3311" w:rsidR="001F2851">
        <w:rPr>
          <w:szCs w:val="24"/>
        </w:rPr>
        <w:t xml:space="preserve"> depreciation reserve.</w:t>
      </w:r>
      <w:r w:rsidR="00881FD2">
        <w:rPr>
          <w:szCs w:val="24"/>
        </w:rPr>
        <w:t xml:space="preserve"> </w:t>
      </w:r>
      <w:r w:rsidRPr="007B3311" w:rsidR="00186EAF">
        <w:rPr>
          <w:szCs w:val="24"/>
        </w:rPr>
        <w:t>OCC</w:t>
      </w:r>
      <w:r w:rsidRPr="007B3311" w:rsidR="00E00782">
        <w:rPr>
          <w:szCs w:val="24"/>
        </w:rPr>
        <w:t>’s</w:t>
      </w:r>
      <w:r w:rsidRPr="007B3311" w:rsidR="00186EAF">
        <w:rPr>
          <w:szCs w:val="24"/>
        </w:rPr>
        <w:t xml:space="preserve"> Application for Rehearing</w:t>
      </w:r>
      <w:r w:rsidRPr="007B3311" w:rsidR="00E00782">
        <w:rPr>
          <w:szCs w:val="24"/>
        </w:rPr>
        <w:t xml:space="preserve"> argues</w:t>
      </w:r>
      <w:r w:rsidRPr="007B3311" w:rsidR="00186EAF">
        <w:rPr>
          <w:szCs w:val="24"/>
        </w:rPr>
        <w:t xml:space="preserve"> that the PUCO has consistently excluded these costs from both operating income and rate base</w:t>
      </w:r>
      <w:r w:rsidRPr="007B3311" w:rsidR="00BB0C89">
        <w:rPr>
          <w:szCs w:val="24"/>
        </w:rPr>
        <w:t xml:space="preserve"> in other cases</w:t>
      </w:r>
      <w:r w:rsidRPr="007B3311" w:rsidR="00186EAF">
        <w:rPr>
          <w:szCs w:val="24"/>
        </w:rPr>
        <w:t>.</w:t>
      </w:r>
      <w:r>
        <w:rPr>
          <w:rStyle w:val="FootnoteReference"/>
          <w:szCs w:val="24"/>
        </w:rPr>
        <w:footnoteReference w:id="28"/>
      </w:r>
      <w:r w:rsidR="00881FD2">
        <w:rPr>
          <w:szCs w:val="24"/>
        </w:rPr>
        <w:t xml:space="preserve"> </w:t>
      </w:r>
      <w:r w:rsidRPr="007B3311" w:rsidR="003805DF">
        <w:rPr>
          <w:szCs w:val="24"/>
        </w:rPr>
        <w:t>The PUCO’s reasoning is that “</w:t>
      </w:r>
      <w:r w:rsidRPr="007B3311">
        <w:rPr>
          <w:bCs/>
          <w:iCs/>
          <w:szCs w:val="24"/>
        </w:rPr>
        <w:t xml:space="preserve">to the extent that a public utility awards financial incentives to its employees for achieving financial goals, shareholders are the primary beneficiary and, therefore, that portion of the incentive compensation </w:t>
      </w:r>
      <w:r w:rsidR="00F05E89">
        <w:rPr>
          <w:bCs/>
          <w:iCs/>
          <w:szCs w:val="24"/>
        </w:rPr>
        <w:t xml:space="preserve">should not be </w:t>
      </w:r>
      <w:r w:rsidRPr="007B3311" w:rsidR="003805DF">
        <w:rPr>
          <w:bCs/>
          <w:iCs/>
          <w:szCs w:val="24"/>
        </w:rPr>
        <w:t>recovered from ratepayers</w:t>
      </w:r>
      <w:r w:rsidRPr="007B3311">
        <w:rPr>
          <w:bCs/>
          <w:iCs/>
          <w:szCs w:val="24"/>
        </w:rPr>
        <w:t>.</w:t>
      </w:r>
      <w:r w:rsidRPr="007B3311" w:rsidR="003805DF">
        <w:rPr>
          <w:bCs/>
          <w:iCs/>
          <w:szCs w:val="24"/>
        </w:rPr>
        <w:t>”</w:t>
      </w:r>
      <w:r>
        <w:rPr>
          <w:rStyle w:val="FootnoteReference"/>
          <w:bCs/>
          <w:iCs/>
          <w:szCs w:val="24"/>
        </w:rPr>
        <w:footnoteReference w:id="29"/>
      </w:r>
      <w:r w:rsidRPr="007B3311">
        <w:rPr>
          <w:bCs/>
          <w:iCs/>
          <w:szCs w:val="24"/>
        </w:rPr>
        <w:t xml:space="preserve"> </w:t>
      </w:r>
    </w:p>
    <w:p w:rsidR="00060E8B" w:rsidP="0075470C" w14:paraId="3E282ABD" w14:textId="5710F282">
      <w:pPr>
        <w:spacing w:line="480" w:lineRule="auto"/>
        <w:ind w:firstLine="720"/>
        <w:rPr>
          <w:bCs/>
          <w:iCs/>
          <w:szCs w:val="24"/>
        </w:rPr>
      </w:pPr>
      <w:r w:rsidRPr="007B3311">
        <w:rPr>
          <w:bCs/>
          <w:iCs/>
          <w:szCs w:val="24"/>
        </w:rPr>
        <w:t>The PUCO’s logic for excluding these costs is sound.</w:t>
      </w:r>
      <w:r w:rsidR="00881FD2">
        <w:rPr>
          <w:bCs/>
          <w:iCs/>
          <w:szCs w:val="24"/>
        </w:rPr>
        <w:t xml:space="preserve"> </w:t>
      </w:r>
      <w:r w:rsidRPr="007B3311">
        <w:rPr>
          <w:bCs/>
          <w:iCs/>
          <w:szCs w:val="24"/>
        </w:rPr>
        <w:t>DP&amp;L’s Application for Rehearing on this ground should be denied.</w:t>
      </w:r>
    </w:p>
    <w:p w:rsidR="0075214C" w:rsidRPr="007B3311" w:rsidP="00060E8B" w14:paraId="76713DFF" w14:textId="4A1BAD6C">
      <w:pPr>
        <w:pStyle w:val="ListParagraph"/>
        <w:numPr>
          <w:ilvl w:val="0"/>
          <w:numId w:val="1"/>
        </w:numPr>
        <w:ind w:left="1440" w:hanging="720"/>
        <w:rPr>
          <w:b/>
          <w:iCs/>
        </w:rPr>
      </w:pPr>
      <w:bookmarkStart w:id="13" w:name="_Toc125382130"/>
      <w:r w:rsidRPr="00060E8B">
        <w:rPr>
          <w:rStyle w:val="Heading2Char"/>
        </w:rPr>
        <w:t>T</w:t>
      </w:r>
      <w:r w:rsidR="00F05E89">
        <w:rPr>
          <w:rStyle w:val="Heading2Char"/>
        </w:rPr>
        <w:t>o protect consumers, t</w:t>
      </w:r>
      <w:r w:rsidRPr="00060E8B">
        <w:rPr>
          <w:rStyle w:val="Heading2Char"/>
        </w:rPr>
        <w:t xml:space="preserve">he PUCO </w:t>
      </w:r>
      <w:r w:rsidRPr="00060E8B" w:rsidR="00D52E83">
        <w:rPr>
          <w:rStyle w:val="Heading2Char"/>
        </w:rPr>
        <w:t xml:space="preserve">correctly used a 4.4 percent </w:t>
      </w:r>
      <w:r w:rsidRPr="00060E8B">
        <w:rPr>
          <w:rStyle w:val="Heading2Char"/>
        </w:rPr>
        <w:t>cost of debt in calculating DP&amp;L’s rate of return.</w:t>
      </w:r>
      <w:bookmarkEnd w:id="13"/>
    </w:p>
    <w:p w:rsidR="0075214C" w:rsidRPr="007B3311" w:rsidP="0075214C" w14:paraId="0E99AA51" w14:textId="450E1DD9">
      <w:pPr>
        <w:rPr>
          <w:b/>
          <w:iCs/>
          <w:szCs w:val="24"/>
        </w:rPr>
      </w:pPr>
    </w:p>
    <w:p w:rsidR="004D337E" w:rsidP="0075214C" w14:paraId="2B03894B" w14:textId="0373331A">
      <w:pPr>
        <w:spacing w:line="480" w:lineRule="auto"/>
        <w:ind w:firstLine="720"/>
        <w:rPr>
          <w:bCs/>
          <w:iCs/>
          <w:szCs w:val="24"/>
        </w:rPr>
      </w:pPr>
      <w:r w:rsidRPr="007B3311">
        <w:rPr>
          <w:bCs/>
          <w:iCs/>
          <w:szCs w:val="24"/>
        </w:rPr>
        <w:t>DP&amp;L’s Application for Rehearing includes a request “that the Commission clarify that the approved cost of debt is 4.44 percent.”</w:t>
      </w:r>
      <w:r>
        <w:rPr>
          <w:rStyle w:val="FootnoteReference"/>
          <w:bCs/>
          <w:iCs/>
          <w:szCs w:val="24"/>
        </w:rPr>
        <w:footnoteReference w:id="30"/>
      </w:r>
      <w:r w:rsidR="00881FD2">
        <w:rPr>
          <w:bCs/>
          <w:iCs/>
          <w:szCs w:val="24"/>
        </w:rPr>
        <w:t xml:space="preserve"> </w:t>
      </w:r>
      <w:r w:rsidRPr="007B3311" w:rsidR="00A37B71">
        <w:rPr>
          <w:bCs/>
          <w:iCs/>
          <w:szCs w:val="24"/>
        </w:rPr>
        <w:t>DP&amp;L argues that the record supports a 4.44 percent cost of long-term debt, yet the PUCO’s Order states that the cost of long-term debt is 4.4 percent.</w:t>
      </w:r>
      <w:r>
        <w:rPr>
          <w:rStyle w:val="FootnoteReference"/>
          <w:bCs/>
          <w:iCs/>
          <w:szCs w:val="24"/>
        </w:rPr>
        <w:footnoteReference w:id="31"/>
      </w:r>
      <w:r w:rsidR="00881FD2">
        <w:rPr>
          <w:bCs/>
          <w:iCs/>
          <w:szCs w:val="24"/>
        </w:rPr>
        <w:t xml:space="preserve"> </w:t>
      </w:r>
      <w:r w:rsidRPr="007B3311" w:rsidR="00A37B71">
        <w:rPr>
          <w:bCs/>
          <w:iCs/>
          <w:szCs w:val="24"/>
        </w:rPr>
        <w:t>It is unclear what sort of “clarification” DP&amp;L seeks on this issue.</w:t>
      </w:r>
      <w:r w:rsidR="00F041CB">
        <w:rPr>
          <w:bCs/>
          <w:iCs/>
          <w:szCs w:val="24"/>
        </w:rPr>
        <w:t xml:space="preserve"> </w:t>
      </w:r>
      <w:r>
        <w:rPr>
          <w:bCs/>
          <w:iCs/>
          <w:szCs w:val="24"/>
        </w:rPr>
        <w:t>In any event, R.C. allows for rehearing only if the applicant establishes that a PUCO order is unreasonable or unlawful.</w:t>
      </w:r>
      <w:r>
        <w:rPr>
          <w:rStyle w:val="FootnoteReference"/>
          <w:bCs/>
          <w:iCs/>
          <w:szCs w:val="24"/>
        </w:rPr>
        <w:footnoteReference w:id="32"/>
      </w:r>
      <w:r w:rsidR="00F041CB">
        <w:rPr>
          <w:bCs/>
          <w:iCs/>
          <w:szCs w:val="24"/>
        </w:rPr>
        <w:t xml:space="preserve"> </w:t>
      </w:r>
      <w:r>
        <w:rPr>
          <w:bCs/>
          <w:iCs/>
          <w:szCs w:val="24"/>
        </w:rPr>
        <w:t xml:space="preserve">DP&amp;L does not allege the PUCO’s Order on this issue is unreasonable or unlawful, and the statute does not </w:t>
      </w:r>
      <w:r w:rsidR="003B0133">
        <w:rPr>
          <w:bCs/>
          <w:iCs/>
          <w:szCs w:val="24"/>
        </w:rPr>
        <w:t>provide for rehearing to seek “clarification,” so the PUCO should dismiss DP&amp;L’s Application for Rehearing on this issue.</w:t>
      </w:r>
    </w:p>
    <w:p w:rsidR="008605CC" w:rsidP="0075214C" w14:paraId="499BF755" w14:textId="78BACDBE">
      <w:pPr>
        <w:spacing w:line="480" w:lineRule="auto"/>
        <w:ind w:firstLine="720"/>
        <w:rPr>
          <w:bCs/>
          <w:iCs/>
          <w:szCs w:val="24"/>
        </w:rPr>
      </w:pPr>
      <w:r w:rsidRPr="007B3311">
        <w:rPr>
          <w:bCs/>
          <w:iCs/>
          <w:szCs w:val="24"/>
        </w:rPr>
        <w:t xml:space="preserve">To the extent that DP&amp;L is arguing that the PUCO-approved rate of return is too low, then OCC opposes DP&amp;L’s request </w:t>
      </w:r>
      <w:r w:rsidRPr="007B3311" w:rsidR="009B226A">
        <w:rPr>
          <w:bCs/>
          <w:iCs/>
          <w:szCs w:val="24"/>
        </w:rPr>
        <w:t xml:space="preserve">for “clarification” </w:t>
      </w:r>
      <w:r w:rsidRPr="007B3311">
        <w:rPr>
          <w:bCs/>
          <w:iCs/>
          <w:szCs w:val="24"/>
        </w:rPr>
        <w:t xml:space="preserve">because the PUCO-approved rate of return is </w:t>
      </w:r>
      <w:r w:rsidRPr="007B3311" w:rsidR="00D52E83">
        <w:rPr>
          <w:bCs/>
          <w:iCs/>
          <w:szCs w:val="24"/>
        </w:rPr>
        <w:t xml:space="preserve">actually </w:t>
      </w:r>
      <w:r w:rsidRPr="007B3311">
        <w:rPr>
          <w:bCs/>
          <w:iCs/>
          <w:szCs w:val="24"/>
        </w:rPr>
        <w:t>too high.</w:t>
      </w:r>
      <w:r w:rsidR="00881FD2">
        <w:rPr>
          <w:bCs/>
          <w:iCs/>
          <w:szCs w:val="24"/>
        </w:rPr>
        <w:t xml:space="preserve"> </w:t>
      </w:r>
      <w:r w:rsidRPr="007B3311">
        <w:rPr>
          <w:bCs/>
          <w:iCs/>
          <w:szCs w:val="24"/>
        </w:rPr>
        <w:t>OCC incorporates the arguments contained in its Application for Rehearing that the PUCO set the return on equity too high, which result</w:t>
      </w:r>
      <w:r w:rsidRPr="007B3311" w:rsidR="009B226A">
        <w:rPr>
          <w:bCs/>
          <w:iCs/>
          <w:szCs w:val="24"/>
        </w:rPr>
        <w:t>ed</w:t>
      </w:r>
      <w:r w:rsidRPr="007B3311">
        <w:rPr>
          <w:bCs/>
          <w:iCs/>
          <w:szCs w:val="24"/>
        </w:rPr>
        <w:t xml:space="preserve"> in an unjust and unreasonable rate of return.</w:t>
      </w:r>
      <w:r>
        <w:rPr>
          <w:rStyle w:val="FootnoteReference"/>
          <w:bCs/>
          <w:iCs/>
          <w:szCs w:val="24"/>
        </w:rPr>
        <w:footnoteReference w:id="33"/>
      </w:r>
    </w:p>
    <w:p w:rsidR="008605CC" w14:paraId="3173DA53" w14:textId="77777777">
      <w:pPr>
        <w:rPr>
          <w:bCs/>
          <w:iCs/>
          <w:szCs w:val="24"/>
        </w:rPr>
      </w:pPr>
      <w:r>
        <w:rPr>
          <w:bCs/>
          <w:iCs/>
          <w:szCs w:val="24"/>
        </w:rPr>
        <w:br w:type="page"/>
      </w:r>
    </w:p>
    <w:p w:rsidR="00190C2D" w:rsidRPr="007B3311" w:rsidP="00060E8B" w14:paraId="55E760B3" w14:textId="5685365A">
      <w:pPr>
        <w:pStyle w:val="ListParagraph"/>
        <w:numPr>
          <w:ilvl w:val="0"/>
          <w:numId w:val="1"/>
        </w:numPr>
        <w:ind w:left="1440" w:hanging="720"/>
        <w:rPr>
          <w:b/>
          <w:iCs/>
        </w:rPr>
      </w:pPr>
      <w:bookmarkStart w:id="14" w:name="_Toc125382131"/>
      <w:r w:rsidRPr="00060E8B">
        <w:rPr>
          <w:rStyle w:val="Heading2Char"/>
        </w:rPr>
        <w:t>T</w:t>
      </w:r>
      <w:r w:rsidR="008F78CD">
        <w:rPr>
          <w:rStyle w:val="Heading2Char"/>
        </w:rPr>
        <w:t>o protect consumers, t</w:t>
      </w:r>
      <w:r w:rsidRPr="00060E8B">
        <w:rPr>
          <w:rStyle w:val="Heading2Char"/>
        </w:rPr>
        <w:t>he PUCO correctly decided that customer deposits may be paid in three installments.</w:t>
      </w:r>
      <w:bookmarkEnd w:id="14"/>
    </w:p>
    <w:p w:rsidR="00D52E83" w:rsidRPr="007B3311" w:rsidP="00190C2D" w14:paraId="76F6D0F3" w14:textId="725AC2EB">
      <w:pPr>
        <w:pStyle w:val="ListParagraph"/>
        <w:ind w:left="1080"/>
        <w:rPr>
          <w:b/>
          <w:iCs/>
        </w:rPr>
      </w:pPr>
    </w:p>
    <w:p w:rsidR="00D52E83" w:rsidRPr="007B3311" w:rsidP="00190C2D" w14:paraId="0B9D9BA0" w14:textId="15C1F4D1">
      <w:pPr>
        <w:spacing w:line="480" w:lineRule="auto"/>
        <w:ind w:firstLine="720"/>
        <w:rPr>
          <w:bCs/>
          <w:iCs/>
          <w:szCs w:val="24"/>
        </w:rPr>
      </w:pPr>
      <w:r w:rsidRPr="007B3311">
        <w:rPr>
          <w:bCs/>
          <w:iCs/>
          <w:szCs w:val="24"/>
        </w:rPr>
        <w:t>DP&amp;L seeks rehearing on the PUCO’s ruling that customer deposits may be paid in three installments.</w:t>
      </w:r>
      <w:r w:rsidR="00881FD2">
        <w:rPr>
          <w:bCs/>
          <w:iCs/>
          <w:szCs w:val="24"/>
        </w:rPr>
        <w:t xml:space="preserve"> </w:t>
      </w:r>
      <w:r w:rsidRPr="007B3311">
        <w:rPr>
          <w:bCs/>
          <w:iCs/>
          <w:szCs w:val="24"/>
        </w:rPr>
        <w:t>DP&amp;L argues that the law does not require a utility to offer installment plans for customer deposits.</w:t>
      </w:r>
      <w:r>
        <w:rPr>
          <w:rStyle w:val="FootnoteReference"/>
          <w:bCs/>
          <w:iCs/>
          <w:szCs w:val="24"/>
        </w:rPr>
        <w:footnoteReference w:id="34"/>
      </w:r>
      <w:r w:rsidR="00881FD2">
        <w:rPr>
          <w:bCs/>
          <w:iCs/>
          <w:szCs w:val="24"/>
        </w:rPr>
        <w:t xml:space="preserve"> </w:t>
      </w:r>
      <w:r w:rsidRPr="007B3311" w:rsidR="007673A2">
        <w:rPr>
          <w:bCs/>
          <w:iCs/>
          <w:szCs w:val="24"/>
        </w:rPr>
        <w:t>The PUCO should deny this ground for rehearing.</w:t>
      </w:r>
    </w:p>
    <w:p w:rsidR="007673A2" w:rsidRPr="007B3311" w:rsidP="00190C2D" w14:paraId="442FEDDD" w14:textId="5A5121FC">
      <w:pPr>
        <w:spacing w:line="480" w:lineRule="auto"/>
        <w:ind w:firstLine="720"/>
        <w:rPr>
          <w:bCs/>
          <w:iCs/>
          <w:szCs w:val="24"/>
        </w:rPr>
      </w:pPr>
      <w:r w:rsidRPr="007B3311">
        <w:rPr>
          <w:bCs/>
          <w:iCs/>
          <w:szCs w:val="24"/>
        </w:rPr>
        <w:t>The PUCO required DPL&amp;L to make customer deposits payable in three installments based on PUCO Staff’s recommendation.</w:t>
      </w:r>
      <w:r>
        <w:rPr>
          <w:rStyle w:val="FootnoteReference"/>
          <w:bCs/>
          <w:iCs/>
          <w:szCs w:val="24"/>
        </w:rPr>
        <w:footnoteReference w:id="35"/>
      </w:r>
      <w:r w:rsidR="00881FD2">
        <w:rPr>
          <w:bCs/>
          <w:iCs/>
          <w:szCs w:val="24"/>
        </w:rPr>
        <w:t xml:space="preserve"> </w:t>
      </w:r>
      <w:r w:rsidRPr="007B3311">
        <w:rPr>
          <w:bCs/>
          <w:iCs/>
          <w:szCs w:val="24"/>
        </w:rPr>
        <w:t>Staff made this recommendation because customer complaints about DP&amp;L’s deposit requirements were “increasing” and “unusually high.”</w:t>
      </w:r>
      <w:r>
        <w:rPr>
          <w:rStyle w:val="FootnoteReference"/>
          <w:bCs/>
          <w:iCs/>
          <w:szCs w:val="24"/>
        </w:rPr>
        <w:footnoteReference w:id="36"/>
      </w:r>
      <w:r w:rsidR="00881FD2">
        <w:rPr>
          <w:bCs/>
          <w:iCs/>
          <w:szCs w:val="24"/>
        </w:rPr>
        <w:t xml:space="preserve"> </w:t>
      </w:r>
      <w:r w:rsidRPr="007B3311" w:rsidR="000E5A81">
        <w:rPr>
          <w:bCs/>
          <w:iCs/>
          <w:szCs w:val="24"/>
        </w:rPr>
        <w:t>Staff pointed out that two natural gas local distribution companies provide installment plans for customer deposits.</w:t>
      </w:r>
      <w:r>
        <w:rPr>
          <w:rStyle w:val="FootnoteReference"/>
          <w:bCs/>
          <w:iCs/>
          <w:szCs w:val="24"/>
        </w:rPr>
        <w:footnoteReference w:id="37"/>
      </w:r>
      <w:r w:rsidR="00881FD2">
        <w:rPr>
          <w:bCs/>
          <w:iCs/>
          <w:szCs w:val="24"/>
        </w:rPr>
        <w:t xml:space="preserve"> </w:t>
      </w:r>
      <w:r w:rsidRPr="007B3311" w:rsidR="000E5A81">
        <w:rPr>
          <w:bCs/>
          <w:iCs/>
          <w:szCs w:val="24"/>
        </w:rPr>
        <w:t>The PUCO also noted that this requirement would not materially impact DP&amp;L’s finances.</w:t>
      </w:r>
      <w:r>
        <w:rPr>
          <w:rStyle w:val="FootnoteReference"/>
          <w:bCs/>
          <w:iCs/>
          <w:szCs w:val="24"/>
        </w:rPr>
        <w:footnoteReference w:id="38"/>
      </w:r>
      <w:r w:rsidRPr="007B3311" w:rsidR="000E5A81">
        <w:rPr>
          <w:bCs/>
          <w:iCs/>
          <w:szCs w:val="24"/>
        </w:rPr>
        <w:t xml:space="preserve"> </w:t>
      </w:r>
    </w:p>
    <w:p w:rsidR="000E5A81" w:rsidRPr="007B3311" w:rsidP="00190C2D" w14:paraId="1320C32C" w14:textId="0C9A0A00">
      <w:pPr>
        <w:spacing w:line="480" w:lineRule="auto"/>
        <w:ind w:firstLine="720"/>
        <w:rPr>
          <w:szCs w:val="24"/>
        </w:rPr>
      </w:pPr>
      <w:r w:rsidRPr="007B3311">
        <w:rPr>
          <w:bCs/>
          <w:iCs/>
          <w:szCs w:val="24"/>
        </w:rPr>
        <w:t>Both the PUCO and the PUCO Staff provided sound logic for requiring DP&amp;L to allow consumers to pay deposits in three installments.</w:t>
      </w:r>
      <w:r w:rsidR="00881FD2">
        <w:rPr>
          <w:bCs/>
          <w:iCs/>
          <w:szCs w:val="24"/>
        </w:rPr>
        <w:t xml:space="preserve"> </w:t>
      </w:r>
      <w:r w:rsidRPr="007B3311">
        <w:rPr>
          <w:bCs/>
          <w:iCs/>
          <w:szCs w:val="24"/>
        </w:rPr>
        <w:t xml:space="preserve">As OCC noted in its Application for Rehearing: </w:t>
      </w:r>
      <w:r w:rsidRPr="007B3311">
        <w:rPr>
          <w:szCs w:val="24"/>
        </w:rPr>
        <w:t>“[e]nergy prices, inflation and unemployment are soaring. The stock market is crashing. A recession is looming.”</w:t>
      </w:r>
      <w:r>
        <w:rPr>
          <w:rStyle w:val="FootnoteReference"/>
          <w:szCs w:val="24"/>
        </w:rPr>
        <w:footnoteReference w:id="39"/>
      </w:r>
      <w:r w:rsidR="00881FD2">
        <w:rPr>
          <w:szCs w:val="24"/>
        </w:rPr>
        <w:t xml:space="preserve"> </w:t>
      </w:r>
      <w:r w:rsidRPr="007B3311">
        <w:rPr>
          <w:szCs w:val="24"/>
        </w:rPr>
        <w:t>The PUCO</w:t>
      </w:r>
      <w:r w:rsidRPr="007B3311" w:rsidR="009B226A">
        <w:rPr>
          <w:szCs w:val="24"/>
        </w:rPr>
        <w:t>’s Order</w:t>
      </w:r>
      <w:r w:rsidRPr="007B3311">
        <w:rPr>
          <w:szCs w:val="24"/>
        </w:rPr>
        <w:t xml:space="preserve"> approved a rate increase of $75.6 million, or a 30.8% increase.</w:t>
      </w:r>
      <w:r>
        <w:rPr>
          <w:rStyle w:val="FootnoteReference"/>
          <w:szCs w:val="24"/>
        </w:rPr>
        <w:footnoteReference w:id="40"/>
      </w:r>
      <w:r w:rsidR="00881FD2">
        <w:rPr>
          <w:szCs w:val="24"/>
        </w:rPr>
        <w:t xml:space="preserve"> </w:t>
      </w:r>
      <w:r w:rsidRPr="007B3311">
        <w:rPr>
          <w:szCs w:val="24"/>
        </w:rPr>
        <w:t>It is ironic</w:t>
      </w:r>
      <w:r w:rsidRPr="007B3311" w:rsidR="00716CAB">
        <w:rPr>
          <w:szCs w:val="24"/>
        </w:rPr>
        <w:t xml:space="preserve"> and insensitive for </w:t>
      </w:r>
      <w:r w:rsidRPr="007B3311">
        <w:rPr>
          <w:szCs w:val="24"/>
        </w:rPr>
        <w:t>DP&amp;L</w:t>
      </w:r>
      <w:r w:rsidRPr="007B3311" w:rsidR="00716CAB">
        <w:rPr>
          <w:szCs w:val="24"/>
        </w:rPr>
        <w:t>, having</w:t>
      </w:r>
      <w:r w:rsidRPr="007B3311">
        <w:rPr>
          <w:szCs w:val="24"/>
        </w:rPr>
        <w:t xml:space="preserve"> just received a 30.8% rate hike</w:t>
      </w:r>
      <w:r w:rsidRPr="007B3311" w:rsidR="00716CAB">
        <w:rPr>
          <w:szCs w:val="24"/>
        </w:rPr>
        <w:t>, to oppose the PUCO’s requirement that consumers be allowed to pay their deposits in three installments.</w:t>
      </w:r>
      <w:r w:rsidR="00881FD2">
        <w:rPr>
          <w:szCs w:val="24"/>
        </w:rPr>
        <w:t xml:space="preserve"> </w:t>
      </w:r>
      <w:r w:rsidRPr="007B3311" w:rsidR="00716CAB">
        <w:rPr>
          <w:szCs w:val="24"/>
        </w:rPr>
        <w:t>Customer complaints about DP&amp;L’s deposit requirement were “unusually high” even before the 30.8% rate hike.</w:t>
      </w:r>
      <w:r w:rsidR="00881FD2">
        <w:rPr>
          <w:szCs w:val="24"/>
        </w:rPr>
        <w:t xml:space="preserve"> </w:t>
      </w:r>
    </w:p>
    <w:p w:rsidR="00076134" w:rsidP="00222ADF" w14:paraId="1F9E7599" w14:textId="6B40DFD1">
      <w:pPr>
        <w:spacing w:line="480" w:lineRule="auto"/>
        <w:ind w:firstLine="720"/>
        <w:rPr>
          <w:szCs w:val="24"/>
        </w:rPr>
      </w:pPr>
      <w:r w:rsidRPr="007B3311">
        <w:rPr>
          <w:szCs w:val="24"/>
        </w:rPr>
        <w:t>The PUCO acted reasonably by requiring that DP&amp;L allow consumers to pay deposits in three installments.</w:t>
      </w:r>
      <w:r w:rsidR="00881FD2">
        <w:rPr>
          <w:szCs w:val="24"/>
        </w:rPr>
        <w:t xml:space="preserve"> </w:t>
      </w:r>
      <w:r w:rsidRPr="007B3311">
        <w:rPr>
          <w:szCs w:val="24"/>
        </w:rPr>
        <w:t>The PUCO should overrule this ground for rehearing.</w:t>
      </w:r>
    </w:p>
    <w:p w:rsidR="00716CAB" w:rsidRPr="007B3311" w:rsidP="00060E8B" w14:paraId="7A4B475D" w14:textId="10A7093B">
      <w:pPr>
        <w:pStyle w:val="ListParagraph"/>
        <w:numPr>
          <w:ilvl w:val="0"/>
          <w:numId w:val="1"/>
        </w:numPr>
        <w:ind w:left="1440" w:hanging="720"/>
        <w:rPr>
          <w:b/>
          <w:bCs/>
        </w:rPr>
      </w:pPr>
      <w:bookmarkStart w:id="15" w:name="_Toc125382132"/>
      <w:r w:rsidRPr="00060E8B">
        <w:rPr>
          <w:rStyle w:val="Heading2Char"/>
        </w:rPr>
        <w:t>The PUCO should reject DP&amp;L’s request for rehearing on the amount of the customer charge for residential consumers.</w:t>
      </w:r>
      <w:bookmarkEnd w:id="15"/>
    </w:p>
    <w:p w:rsidR="006D37EC" w:rsidRPr="007B3311" w:rsidP="006D37EC" w14:paraId="7319D201" w14:textId="72662CD7">
      <w:pPr>
        <w:rPr>
          <w:b/>
          <w:bCs/>
          <w:szCs w:val="24"/>
        </w:rPr>
      </w:pPr>
    </w:p>
    <w:p w:rsidR="006D37EC" w:rsidRPr="007B3311" w:rsidP="006D37EC" w14:paraId="54D33295" w14:textId="2103BEFD">
      <w:pPr>
        <w:spacing w:line="480" w:lineRule="auto"/>
        <w:ind w:firstLine="720"/>
        <w:rPr>
          <w:szCs w:val="24"/>
        </w:rPr>
      </w:pPr>
      <w:r w:rsidRPr="007B3311">
        <w:rPr>
          <w:szCs w:val="24"/>
        </w:rPr>
        <w:t>DP&amp;L’s current customer charge for residential consumers is $7.00.</w:t>
      </w:r>
      <w:r>
        <w:rPr>
          <w:rStyle w:val="FootnoteReference"/>
          <w:szCs w:val="24"/>
        </w:rPr>
        <w:footnoteReference w:id="41"/>
      </w:r>
      <w:r w:rsidR="00881FD2">
        <w:rPr>
          <w:szCs w:val="24"/>
        </w:rPr>
        <w:t xml:space="preserve"> </w:t>
      </w:r>
      <w:r w:rsidRPr="007B3311">
        <w:rPr>
          <w:szCs w:val="24"/>
        </w:rPr>
        <w:t>The PUCO’s Order allows DP&amp;L to increase its residential customer charge to $9.75.</w:t>
      </w:r>
      <w:r>
        <w:rPr>
          <w:rStyle w:val="FootnoteReference"/>
          <w:szCs w:val="24"/>
        </w:rPr>
        <w:footnoteReference w:id="42"/>
      </w:r>
      <w:r w:rsidR="00881FD2">
        <w:rPr>
          <w:szCs w:val="24"/>
        </w:rPr>
        <w:t xml:space="preserve"> </w:t>
      </w:r>
      <w:r w:rsidRPr="007B3311">
        <w:rPr>
          <w:szCs w:val="24"/>
        </w:rPr>
        <w:t>DP&amp;L argues that the PUCO should have approved a residential customer charge of $15.66.</w:t>
      </w:r>
      <w:r>
        <w:rPr>
          <w:rStyle w:val="FootnoteReference"/>
          <w:szCs w:val="24"/>
        </w:rPr>
        <w:footnoteReference w:id="43"/>
      </w:r>
      <w:r w:rsidR="00881FD2">
        <w:rPr>
          <w:szCs w:val="24"/>
        </w:rPr>
        <w:t xml:space="preserve"> </w:t>
      </w:r>
      <w:r w:rsidRPr="007B3311">
        <w:rPr>
          <w:szCs w:val="24"/>
        </w:rPr>
        <w:t xml:space="preserve">DP&amp;L’s arguments have no </w:t>
      </w:r>
      <w:r w:rsidRPr="007B3311" w:rsidR="00222ADF">
        <w:rPr>
          <w:szCs w:val="24"/>
        </w:rPr>
        <w:t>merit,</w:t>
      </w:r>
      <w:r w:rsidRPr="007B3311">
        <w:rPr>
          <w:szCs w:val="24"/>
        </w:rPr>
        <w:t xml:space="preserve"> and the PUCO should deny rehearing on this issue.</w:t>
      </w:r>
    </w:p>
    <w:p w:rsidR="006D37EC" w:rsidRPr="007B3311" w:rsidP="006D37EC" w14:paraId="27E0EDBA" w14:textId="20AB2F60">
      <w:pPr>
        <w:spacing w:line="480" w:lineRule="auto"/>
        <w:ind w:firstLine="720"/>
        <w:rPr>
          <w:szCs w:val="24"/>
        </w:rPr>
      </w:pPr>
      <w:r w:rsidRPr="007B3311">
        <w:rPr>
          <w:szCs w:val="24"/>
        </w:rPr>
        <w:t>OCC argued that the residential customer charge increase should be no greater than $8.25.</w:t>
      </w:r>
      <w:r>
        <w:rPr>
          <w:rStyle w:val="FootnoteReference"/>
          <w:szCs w:val="24"/>
        </w:rPr>
        <w:footnoteReference w:id="44"/>
      </w:r>
      <w:r w:rsidR="00881FD2">
        <w:rPr>
          <w:szCs w:val="24"/>
        </w:rPr>
        <w:t xml:space="preserve"> </w:t>
      </w:r>
      <w:r w:rsidRPr="007B3311">
        <w:rPr>
          <w:szCs w:val="24"/>
        </w:rPr>
        <w:t>OCC witness Mr. Robert Fortney presented the following reasons for this position: (1) the cost for transformers should not be included in the residential customer charge; (2) PUCO Staff’s recommendation for a higher customer charge was based on an unreasonably high carrying cost of 26.35</w:t>
      </w:r>
      <w:r w:rsidRPr="007B3311" w:rsidR="009B226A">
        <w:rPr>
          <w:szCs w:val="24"/>
        </w:rPr>
        <w:t>%</w:t>
      </w:r>
      <w:r w:rsidRPr="007B3311">
        <w:rPr>
          <w:szCs w:val="24"/>
        </w:rPr>
        <w:t>; and (3) the regulatory principle of gradualism call</w:t>
      </w:r>
      <w:r w:rsidRPr="007B3311" w:rsidR="009B226A">
        <w:rPr>
          <w:szCs w:val="24"/>
        </w:rPr>
        <w:t>s</w:t>
      </w:r>
      <w:r w:rsidRPr="007B3311">
        <w:rPr>
          <w:szCs w:val="24"/>
        </w:rPr>
        <w:t xml:space="preserve"> for a smaller increase.</w:t>
      </w:r>
      <w:r>
        <w:rPr>
          <w:rStyle w:val="FootnoteReference"/>
          <w:szCs w:val="24"/>
        </w:rPr>
        <w:footnoteReference w:id="45"/>
      </w:r>
    </w:p>
    <w:p w:rsidR="00716CAB" w:rsidRPr="007B3311" w:rsidP="00190C2D" w14:paraId="06799C63" w14:textId="09282204">
      <w:pPr>
        <w:spacing w:line="480" w:lineRule="auto"/>
        <w:ind w:firstLine="720"/>
        <w:rPr>
          <w:szCs w:val="24"/>
        </w:rPr>
      </w:pPr>
      <w:r w:rsidRPr="007B3311">
        <w:rPr>
          <w:bCs/>
          <w:iCs/>
          <w:szCs w:val="24"/>
        </w:rPr>
        <w:t>The PUCO adopted PUCO Staff’s recommendation for a residential customer charge of $9.75.</w:t>
      </w:r>
      <w:r>
        <w:rPr>
          <w:rStyle w:val="FootnoteReference"/>
          <w:bCs/>
          <w:iCs/>
          <w:szCs w:val="24"/>
        </w:rPr>
        <w:footnoteReference w:id="46"/>
      </w:r>
      <w:r w:rsidR="00881FD2">
        <w:rPr>
          <w:szCs w:val="24"/>
        </w:rPr>
        <w:t xml:space="preserve"> </w:t>
      </w:r>
      <w:r w:rsidRPr="007B3311" w:rsidR="002D50AE">
        <w:rPr>
          <w:szCs w:val="24"/>
        </w:rPr>
        <w:t>DP&amp;L’s request to increase the residential customer charge to $15.66 is patently unreasonable.</w:t>
      </w:r>
      <w:r w:rsidR="00881FD2">
        <w:rPr>
          <w:szCs w:val="24"/>
        </w:rPr>
        <w:t xml:space="preserve"> </w:t>
      </w:r>
      <w:r w:rsidRPr="007B3311" w:rsidR="002D50AE">
        <w:rPr>
          <w:szCs w:val="24"/>
        </w:rPr>
        <w:t xml:space="preserve">This would more than double the current customer charge of $7.00, </w:t>
      </w:r>
      <w:r w:rsidRPr="007B3311" w:rsidR="009B226A">
        <w:rPr>
          <w:szCs w:val="24"/>
        </w:rPr>
        <w:t>clearly violating</w:t>
      </w:r>
      <w:r w:rsidRPr="007B3311" w:rsidR="002D50AE">
        <w:rPr>
          <w:szCs w:val="24"/>
        </w:rPr>
        <w:t xml:space="preserve"> the regulatory principle of gradualism.</w:t>
      </w:r>
      <w:r w:rsidR="00881FD2">
        <w:rPr>
          <w:szCs w:val="24"/>
        </w:rPr>
        <w:t xml:space="preserve"> </w:t>
      </w:r>
    </w:p>
    <w:p w:rsidR="00060E8B" w:rsidP="00190C2D" w14:paraId="71B71FC9" w14:textId="599FB993">
      <w:pPr>
        <w:spacing w:line="480" w:lineRule="auto"/>
        <w:ind w:firstLine="720"/>
        <w:rPr>
          <w:szCs w:val="24"/>
        </w:rPr>
      </w:pPr>
      <w:r w:rsidRPr="007B3311">
        <w:rPr>
          <w:szCs w:val="24"/>
        </w:rPr>
        <w:t>One of the few tools consumers have to limit their energy bills is to reduce their energy usage.</w:t>
      </w:r>
      <w:r w:rsidR="00881FD2">
        <w:rPr>
          <w:szCs w:val="24"/>
        </w:rPr>
        <w:t xml:space="preserve"> </w:t>
      </w:r>
      <w:r w:rsidRPr="007B3311">
        <w:rPr>
          <w:szCs w:val="24"/>
        </w:rPr>
        <w:t>Increasing the customer charge reduces consumers’ control o</w:t>
      </w:r>
      <w:r w:rsidRPr="007B3311" w:rsidR="009B226A">
        <w:rPr>
          <w:szCs w:val="24"/>
        </w:rPr>
        <w:t>ver</w:t>
      </w:r>
      <w:r w:rsidRPr="007B3311">
        <w:rPr>
          <w:szCs w:val="24"/>
        </w:rPr>
        <w:t xml:space="preserve"> their energy bills.</w:t>
      </w:r>
      <w:r w:rsidR="00881FD2">
        <w:rPr>
          <w:szCs w:val="24"/>
        </w:rPr>
        <w:t xml:space="preserve"> </w:t>
      </w:r>
      <w:r w:rsidRPr="007B3311">
        <w:rPr>
          <w:szCs w:val="24"/>
        </w:rPr>
        <w:t>With DP&amp;L’s 30.8% rate hike, consumers will need all the tools at their disposal to control their</w:t>
      </w:r>
      <w:r w:rsidR="008F78CD">
        <w:rPr>
          <w:szCs w:val="24"/>
        </w:rPr>
        <w:t xml:space="preserve"> increasing</w:t>
      </w:r>
      <w:r w:rsidRPr="007B3311">
        <w:rPr>
          <w:szCs w:val="24"/>
        </w:rPr>
        <w:t xml:space="preserve"> energy bills.</w:t>
      </w:r>
      <w:r w:rsidR="00881FD2">
        <w:rPr>
          <w:szCs w:val="24"/>
        </w:rPr>
        <w:t xml:space="preserve"> </w:t>
      </w:r>
      <w:r w:rsidRPr="007B3311">
        <w:rPr>
          <w:szCs w:val="24"/>
        </w:rPr>
        <w:t>The PUCO should therefore deny this ground for rehearing.</w:t>
      </w:r>
    </w:p>
    <w:p w:rsidR="00473D3A" w:rsidRPr="007B3311" w:rsidP="00060E8B" w14:paraId="7FE9188D" w14:textId="382EB7E5">
      <w:pPr>
        <w:pStyle w:val="Heading2"/>
        <w:numPr>
          <w:ilvl w:val="0"/>
          <w:numId w:val="7"/>
        </w:numPr>
        <w:ind w:hanging="720"/>
        <w:rPr>
          <w:rFonts w:ascii="Times New Roman" w:hAnsi="Times New Roman" w:cs="Times New Roman"/>
          <w:b w:val="0"/>
          <w:bCs/>
          <w:szCs w:val="24"/>
        </w:rPr>
      </w:pPr>
      <w:bookmarkStart w:id="16" w:name="_Toc125382133"/>
      <w:r w:rsidRPr="007B3311">
        <w:rPr>
          <w:rFonts w:ascii="Times New Roman" w:hAnsi="Times New Roman" w:cs="Times New Roman"/>
          <w:bCs/>
          <w:szCs w:val="24"/>
        </w:rPr>
        <w:t>The PUCO lawfully, reasonably, and without discrimination authorized continuation of DP&amp;L’s $5 switching fee</w:t>
      </w:r>
      <w:r w:rsidR="008F78CD">
        <w:rPr>
          <w:rFonts w:ascii="Times New Roman" w:hAnsi="Times New Roman" w:cs="Times New Roman"/>
          <w:bCs/>
          <w:szCs w:val="24"/>
        </w:rPr>
        <w:t>.</w:t>
      </w:r>
      <w:r w:rsidR="00F041CB">
        <w:rPr>
          <w:rFonts w:ascii="Times New Roman" w:hAnsi="Times New Roman" w:cs="Times New Roman"/>
          <w:bCs/>
          <w:szCs w:val="24"/>
        </w:rPr>
        <w:t xml:space="preserve"> </w:t>
      </w:r>
      <w:r w:rsidR="008F78CD">
        <w:rPr>
          <w:rFonts w:ascii="Times New Roman" w:hAnsi="Times New Roman" w:cs="Times New Roman"/>
          <w:bCs/>
          <w:szCs w:val="24"/>
        </w:rPr>
        <w:t>T</w:t>
      </w:r>
      <w:r w:rsidRPr="007B3311">
        <w:rPr>
          <w:rFonts w:ascii="Times New Roman" w:hAnsi="Times New Roman" w:cs="Times New Roman"/>
          <w:bCs/>
          <w:szCs w:val="24"/>
        </w:rPr>
        <w:t>he PUCO should not now modify its Opinion and Order to adopt IGS’ proposal to artificially increase rates—by adding a switching fee—for the standard service offer (“SSO”) charged to consumers.</w:t>
      </w:r>
      <w:bookmarkEnd w:id="16"/>
      <w:r w:rsidRPr="007B3311">
        <w:rPr>
          <w:rFonts w:ascii="Times New Roman" w:hAnsi="Times New Roman" w:cs="Times New Roman"/>
          <w:bCs/>
          <w:szCs w:val="24"/>
        </w:rPr>
        <w:t xml:space="preserve"> </w:t>
      </w:r>
    </w:p>
    <w:p w:rsidR="00473D3A" w:rsidRPr="007B3311" w:rsidP="00473D3A" w14:paraId="74CBB4D7" w14:textId="77777777">
      <w:pPr>
        <w:pStyle w:val="ListParagraph"/>
        <w:spacing w:line="480" w:lineRule="auto"/>
        <w:ind w:left="0" w:firstLine="720"/>
        <w:rPr>
          <w:rFonts w:eastAsiaTheme="minorHAnsi"/>
        </w:rPr>
      </w:pPr>
      <w:r w:rsidRPr="007B3311">
        <w:t>In its December 14, 2022 Opinion and Order, the PUCO lawfully and reasonably authorized the continuation of DP&amp;L’s $5 switching fee charged to marketers.</w:t>
      </w:r>
      <w:r>
        <w:rPr>
          <w:rStyle w:val="FootnoteReference"/>
        </w:rPr>
        <w:footnoteReference w:id="47"/>
      </w:r>
      <w:r w:rsidRPr="007B3311">
        <w:t xml:space="preserve"> But IGS wants the PUCO to reverse its decision.</w:t>
      </w:r>
      <w:r>
        <w:rPr>
          <w:rStyle w:val="FootnoteReference"/>
        </w:rPr>
        <w:footnoteReference w:id="48"/>
      </w:r>
      <w:r w:rsidRPr="007B3311">
        <w:t xml:space="preserve"> This is because </w:t>
      </w:r>
      <w:r w:rsidRPr="007B3311">
        <w:rPr>
          <w:rFonts w:eastAsiaTheme="minorHAnsi"/>
        </w:rPr>
        <w:t>energy marketer IGS wants DP&amp;L to charge consumers who wish to move back to the SSO from a marketer offer the same as consumers who choose to switch to the marketer.</w:t>
      </w:r>
      <w:r>
        <w:rPr>
          <w:rFonts w:eastAsiaTheme="minorHAnsi"/>
          <w:vertAlign w:val="superscript"/>
        </w:rPr>
        <w:footnoteReference w:id="49"/>
      </w:r>
      <w:r w:rsidRPr="007B3311">
        <w:rPr>
          <w:rFonts w:eastAsiaTheme="minorHAnsi"/>
        </w:rPr>
        <w:t xml:space="preserve"> </w:t>
      </w:r>
    </w:p>
    <w:p w:rsidR="00473D3A" w:rsidRPr="007B3311" w:rsidP="00473D3A" w14:paraId="45E599FC" w14:textId="4DC0D905">
      <w:pPr>
        <w:pStyle w:val="ListParagraph"/>
        <w:spacing w:line="480" w:lineRule="auto"/>
        <w:ind w:left="0" w:firstLine="720"/>
        <w:rPr>
          <w:b/>
          <w:bCs/>
        </w:rPr>
      </w:pPr>
      <w:r w:rsidRPr="007B3311">
        <w:rPr>
          <w:rFonts w:eastAsiaTheme="minorHAnsi"/>
        </w:rPr>
        <w:t xml:space="preserve">IGS argues that the PUCO unlawfully and unreasonably and discriminatorily authorized continuation of DP&amp;L’s switching fee in violation of </w:t>
      </w:r>
      <w:r w:rsidRPr="007B3311">
        <w:rPr>
          <w:color w:val="212121"/>
        </w:rPr>
        <w:t xml:space="preserve">R.C. 4903.09 and </w:t>
      </w:r>
      <w:r w:rsidRPr="007B3311">
        <w:rPr>
          <w:i/>
          <w:iCs/>
          <w:color w:val="212121"/>
        </w:rPr>
        <w:t>Tongren</w:t>
      </w:r>
      <w:r w:rsidRPr="007B3311">
        <w:rPr>
          <w:color w:val="212121"/>
        </w:rPr>
        <w:t xml:space="preserve"> </w:t>
      </w:r>
      <w:r w:rsidRPr="007B3311">
        <w:rPr>
          <w:i/>
          <w:iCs/>
          <w:color w:val="212121"/>
        </w:rPr>
        <w:t>v. PUCO</w:t>
      </w:r>
      <w:r w:rsidRPr="007B3311">
        <w:rPr>
          <w:color w:val="212121"/>
        </w:rPr>
        <w:t>, 85 Ohio St.3d 87 (1998).</w:t>
      </w:r>
      <w:r>
        <w:rPr>
          <w:rStyle w:val="FootnoteReference"/>
          <w:color w:val="212121"/>
        </w:rPr>
        <w:footnoteReference w:id="50"/>
      </w:r>
      <w:r w:rsidRPr="007B3311">
        <w:rPr>
          <w:rFonts w:eastAsiaTheme="minorHAnsi"/>
        </w:rPr>
        <w:t xml:space="preserve"> IGS is wrong. </w:t>
      </w:r>
      <w:r w:rsidRPr="007B3311">
        <w:rPr>
          <w:color w:val="212121"/>
        </w:rPr>
        <w:t>Similarly, IGS’ assertion that the application of the switching fee</w:t>
      </w:r>
      <w:r w:rsidRPr="007B3311">
        <w:rPr>
          <w:rStyle w:val="apple-converted-space"/>
          <w:color w:val="212121"/>
        </w:rPr>
        <w:t> </w:t>
      </w:r>
      <w:r w:rsidRPr="007B3311">
        <w:rPr>
          <w:color w:val="212121"/>
        </w:rPr>
        <w:t>is contrary to the state policy in</w:t>
      </w:r>
      <w:r w:rsidRPr="007B3311">
        <w:rPr>
          <w:rStyle w:val="apple-converted-space"/>
          <w:color w:val="212121"/>
        </w:rPr>
        <w:t> </w:t>
      </w:r>
      <w:r w:rsidRPr="007B3311">
        <w:rPr>
          <w:color w:val="212121"/>
          <w:bdr w:val="none" w:sz="0" w:space="0" w:color="auto" w:frame="1"/>
        </w:rPr>
        <w:t>R.C. 4928.02(H)</w:t>
      </w:r>
      <w:r w:rsidRPr="007B3311">
        <w:rPr>
          <w:rStyle w:val="apple-converted-space"/>
          <w:color w:val="212121"/>
        </w:rPr>
        <w:t> </w:t>
      </w:r>
      <w:r w:rsidRPr="007B3311">
        <w:rPr>
          <w:color w:val="212121"/>
        </w:rPr>
        <w:t>and (I) is wrong.</w:t>
      </w:r>
      <w:r>
        <w:rPr>
          <w:rStyle w:val="FootnoteReference"/>
          <w:color w:val="212121"/>
        </w:rPr>
        <w:footnoteReference w:id="51"/>
      </w:r>
      <w:r w:rsidRPr="007B3311">
        <w:rPr>
          <w:color w:val="212121"/>
        </w:rPr>
        <w:t xml:space="preserve"> </w:t>
      </w:r>
      <w:r w:rsidRPr="007B3311">
        <w:rPr>
          <w:rFonts w:eastAsiaTheme="minorHAnsi"/>
        </w:rPr>
        <w:t xml:space="preserve">IGS and other marketers have made this argument before, and the PUCO </w:t>
      </w:r>
      <w:r w:rsidR="00343D20">
        <w:rPr>
          <w:rFonts w:eastAsiaTheme="minorHAnsi"/>
        </w:rPr>
        <w:t xml:space="preserve">has </w:t>
      </w:r>
      <w:r w:rsidRPr="007B3311">
        <w:rPr>
          <w:rFonts w:eastAsiaTheme="minorHAnsi"/>
        </w:rPr>
        <w:t>reject</w:t>
      </w:r>
      <w:r w:rsidR="00343D20">
        <w:rPr>
          <w:rFonts w:eastAsiaTheme="minorHAnsi"/>
        </w:rPr>
        <w:t>ed</w:t>
      </w:r>
      <w:r w:rsidRPr="007B3311">
        <w:rPr>
          <w:rFonts w:eastAsiaTheme="minorHAnsi"/>
        </w:rPr>
        <w:t xml:space="preserve"> it each time.</w:t>
      </w:r>
      <w:r>
        <w:rPr>
          <w:rStyle w:val="FootnoteReference"/>
          <w:rFonts w:eastAsiaTheme="minorHAnsi"/>
        </w:rPr>
        <w:footnoteReference w:id="52"/>
      </w:r>
      <w:r w:rsidRPr="007B3311">
        <w:t xml:space="preserve"> The PUCO should </w:t>
      </w:r>
      <w:r w:rsidR="00343D20">
        <w:t xml:space="preserve">again </w:t>
      </w:r>
      <w:r w:rsidRPr="007B3311">
        <w:t>follow its precedent and reject IGS’ arguments as they have no merit.</w:t>
      </w:r>
    </w:p>
    <w:p w:rsidR="00473D3A" w:rsidRPr="007B3311" w:rsidP="00473D3A" w14:paraId="14513862" w14:textId="18A09B87">
      <w:pPr>
        <w:spacing w:line="480" w:lineRule="auto"/>
        <w:ind w:right="-180" w:firstLine="720"/>
        <w:rPr>
          <w:color w:val="212121"/>
          <w:szCs w:val="24"/>
        </w:rPr>
      </w:pPr>
      <w:r w:rsidRPr="007B3311">
        <w:rPr>
          <w:color w:val="212121"/>
          <w:szCs w:val="24"/>
        </w:rPr>
        <w:t xml:space="preserve">In its Application for </w:t>
      </w:r>
      <w:r w:rsidR="003B0133">
        <w:rPr>
          <w:color w:val="212121"/>
          <w:szCs w:val="24"/>
        </w:rPr>
        <w:t>R</w:t>
      </w:r>
      <w:r w:rsidRPr="007B3311">
        <w:rPr>
          <w:color w:val="212121"/>
          <w:szCs w:val="24"/>
        </w:rPr>
        <w:t>ehearing filed in this case, IGS argues that the PUCO Opinion and Order unlawfully and unreasonably and discriminatorily authorized AES Ohio’s $5 switching fee (the fee a consumer pays when switching from the SSO to a marketer).</w:t>
      </w:r>
      <w:r>
        <w:rPr>
          <w:rStyle w:val="FootnoteReference"/>
          <w:color w:val="212121"/>
          <w:szCs w:val="24"/>
        </w:rPr>
        <w:footnoteReference w:id="53"/>
      </w:r>
      <w:r w:rsidRPr="007B3311">
        <w:rPr>
          <w:color w:val="212121"/>
          <w:szCs w:val="24"/>
        </w:rPr>
        <w:t xml:space="preserve"> IGS bases its argument on several factors, none of which are compelling. </w:t>
      </w:r>
    </w:p>
    <w:p w:rsidR="00473D3A" w:rsidRPr="007B3311" w:rsidP="00473D3A" w14:paraId="0AECC74B" w14:textId="7A526211">
      <w:pPr>
        <w:spacing w:line="480" w:lineRule="auto"/>
        <w:ind w:right="-180" w:firstLine="720"/>
        <w:rPr>
          <w:color w:val="212121"/>
          <w:szCs w:val="24"/>
        </w:rPr>
      </w:pPr>
      <w:r w:rsidRPr="007B3311">
        <w:rPr>
          <w:color w:val="212121"/>
          <w:szCs w:val="24"/>
        </w:rPr>
        <w:t xml:space="preserve">First, IGS argues that the Opinion and Order impermissibly authorized the fee without rendering findings of fact and conclusions of law based upon the record in violation of R.C. 4903.09 and </w:t>
      </w:r>
      <w:r w:rsidRPr="007B3311">
        <w:rPr>
          <w:i/>
          <w:iCs/>
          <w:color w:val="212121"/>
          <w:szCs w:val="24"/>
        </w:rPr>
        <w:t>Tongren</w:t>
      </w:r>
      <w:r w:rsidRPr="007B3311">
        <w:rPr>
          <w:color w:val="212121"/>
          <w:szCs w:val="24"/>
        </w:rPr>
        <w:t xml:space="preserve"> </w:t>
      </w:r>
      <w:r w:rsidRPr="007B3311">
        <w:rPr>
          <w:i/>
          <w:iCs/>
          <w:color w:val="212121"/>
          <w:szCs w:val="24"/>
        </w:rPr>
        <w:t>v. PUCO</w:t>
      </w:r>
      <w:r w:rsidRPr="007B3311">
        <w:rPr>
          <w:color w:val="212121"/>
          <w:szCs w:val="24"/>
        </w:rPr>
        <w:t>, 85 Ohio St.3d 87 (1998).</w:t>
      </w:r>
      <w:r>
        <w:rPr>
          <w:rStyle w:val="FootnoteReference"/>
          <w:color w:val="212121"/>
          <w:szCs w:val="24"/>
        </w:rPr>
        <w:footnoteReference w:id="54"/>
      </w:r>
      <w:r w:rsidRPr="007B3311">
        <w:rPr>
          <w:color w:val="212121"/>
          <w:szCs w:val="24"/>
        </w:rPr>
        <w:t xml:space="preserve"> This is incorrect. </w:t>
      </w:r>
      <w:r w:rsidRPr="007B3311">
        <w:rPr>
          <w:i/>
          <w:iCs/>
          <w:color w:val="212121"/>
          <w:szCs w:val="24"/>
        </w:rPr>
        <w:t xml:space="preserve">Tongren </w:t>
      </w:r>
      <w:r w:rsidRPr="007B3311">
        <w:rPr>
          <w:color w:val="212121"/>
          <w:szCs w:val="24"/>
        </w:rPr>
        <w:t xml:space="preserve">doesn’t apply in this case because the switching fee was set in another case, and because DP&amp;L did not propose changing the fees in this case. </w:t>
      </w:r>
    </w:p>
    <w:p w:rsidR="00473D3A" w:rsidRPr="007B3311" w:rsidP="00473D3A" w14:paraId="38A64ADC" w14:textId="77777777">
      <w:pPr>
        <w:spacing w:line="480" w:lineRule="auto"/>
        <w:ind w:right="-180" w:firstLine="720"/>
        <w:rPr>
          <w:color w:val="212121"/>
          <w:szCs w:val="24"/>
        </w:rPr>
      </w:pPr>
      <w:r w:rsidRPr="007B3311">
        <w:rPr>
          <w:color w:val="212121"/>
          <w:szCs w:val="24"/>
        </w:rPr>
        <w:t>The PUCO properly found and concluded (and the record supports) that switching fees set outside the rate case should not be changed in a rate case, especially when DP&amp;L did not propose changing the fee. Accordingly, the PUCO should reject IGS’ argument.</w:t>
      </w:r>
    </w:p>
    <w:p w:rsidR="00473D3A" w:rsidRPr="007B3311" w:rsidP="00473D3A" w14:paraId="5E929FC1" w14:textId="5C3778F9">
      <w:pPr>
        <w:spacing w:line="480" w:lineRule="auto"/>
        <w:ind w:right="-180" w:firstLine="720"/>
        <w:rPr>
          <w:color w:val="212121"/>
          <w:szCs w:val="24"/>
        </w:rPr>
      </w:pPr>
      <w:r w:rsidRPr="007B3311">
        <w:rPr>
          <w:color w:val="212121"/>
          <w:szCs w:val="24"/>
        </w:rPr>
        <w:t>IGS also argues that the switching fee is discriminatory (it’s not), violates state policy (it doesn’t) and violates PUCO precedent (it doesn’t) because DP&amp;L assesses the fee to shopping consumers while providing the same service for free to consumers that take service under the SSO.</w:t>
      </w:r>
      <w:r>
        <w:rPr>
          <w:rStyle w:val="FootnoteReference"/>
          <w:color w:val="212121"/>
          <w:szCs w:val="24"/>
        </w:rPr>
        <w:footnoteReference w:id="55"/>
      </w:r>
      <w:r w:rsidRPr="007B3311">
        <w:rPr>
          <w:color w:val="212121"/>
          <w:szCs w:val="24"/>
        </w:rPr>
        <w:t xml:space="preserve"> The</w:t>
      </w:r>
      <w:r w:rsidRPr="007B3311">
        <w:rPr>
          <w:szCs w:val="24"/>
        </w:rPr>
        <w:t xml:space="preserve"> PUCO should reject IGS’ proposal</w:t>
      </w:r>
      <w:r w:rsidR="003B0133">
        <w:rPr>
          <w:szCs w:val="24"/>
        </w:rPr>
        <w:t>,</w:t>
      </w:r>
      <w:r w:rsidRPr="007B3311">
        <w:rPr>
          <w:szCs w:val="24"/>
        </w:rPr>
        <w:t xml:space="preserve"> which would artificially increase rates for SSO consumers who </w:t>
      </w:r>
      <w:r w:rsidR="00C826BF">
        <w:rPr>
          <w:szCs w:val="24"/>
        </w:rPr>
        <w:t>choose not</w:t>
      </w:r>
      <w:r w:rsidR="00F041CB">
        <w:rPr>
          <w:szCs w:val="24"/>
        </w:rPr>
        <w:t xml:space="preserve"> </w:t>
      </w:r>
      <w:r w:rsidRPr="007B3311">
        <w:rPr>
          <w:szCs w:val="24"/>
        </w:rPr>
        <w:t>to shop (these consumers are not the cost causers).</w:t>
      </w:r>
    </w:p>
    <w:p w:rsidR="00473D3A" w:rsidRPr="007B3311" w:rsidP="00FF6773" w14:paraId="3A07940B" w14:textId="54E8CA4B">
      <w:pPr>
        <w:spacing w:line="480" w:lineRule="auto"/>
        <w:ind w:firstLine="720"/>
        <w:rPr>
          <w:color w:val="212121"/>
          <w:szCs w:val="24"/>
        </w:rPr>
      </w:pPr>
      <w:r w:rsidRPr="007B3311">
        <w:rPr>
          <w:color w:val="212121"/>
          <w:szCs w:val="24"/>
        </w:rPr>
        <w:t>IGS argues that switching fees are related to DP&amp;L’s revenue requirement and should have been investigated like any other rate or charge to ensure that they are just and reasonable.</w:t>
      </w:r>
      <w:r>
        <w:rPr>
          <w:rStyle w:val="FootnoteReference"/>
          <w:color w:val="212121"/>
          <w:szCs w:val="24"/>
        </w:rPr>
        <w:footnoteReference w:id="56"/>
      </w:r>
      <w:r w:rsidRPr="007B3311">
        <w:rPr>
          <w:color w:val="212121"/>
          <w:szCs w:val="24"/>
        </w:rPr>
        <w:t xml:space="preserve"> But IGS forgets that the switching fee was decided outside this case, and DP&amp;L did not propose changing it in this case. This issue is just not ripe for consideration in this case, which the PUCO recognized.</w:t>
      </w:r>
      <w:r>
        <w:rPr>
          <w:rStyle w:val="FootnoteReference"/>
          <w:color w:val="212121"/>
          <w:szCs w:val="24"/>
        </w:rPr>
        <w:footnoteReference w:id="57"/>
      </w:r>
      <w:r w:rsidRPr="007B3311">
        <w:rPr>
          <w:color w:val="212121"/>
          <w:szCs w:val="24"/>
        </w:rPr>
        <w:t xml:space="preserve"> This is why the PUCO recommended that the accuracy of the fee should be considered in a separate proceeding.</w:t>
      </w:r>
      <w:r>
        <w:rPr>
          <w:rStyle w:val="FootnoteReference"/>
          <w:color w:val="212121"/>
          <w:szCs w:val="24"/>
        </w:rPr>
        <w:footnoteReference w:id="58"/>
      </w:r>
      <w:r w:rsidRPr="007B3311">
        <w:rPr>
          <w:color w:val="212121"/>
          <w:szCs w:val="24"/>
        </w:rPr>
        <w:t xml:space="preserve"> The PUCO is correct and should not modify its decision.</w:t>
      </w:r>
      <w:r w:rsidR="00F041CB">
        <w:rPr>
          <w:color w:val="212121"/>
          <w:szCs w:val="24"/>
        </w:rPr>
        <w:t xml:space="preserve"> </w:t>
      </w:r>
      <w:r w:rsidR="00F37D03">
        <w:rPr>
          <w:color w:val="212121"/>
          <w:szCs w:val="24"/>
        </w:rPr>
        <w:t>Moreover, the PUCO’s prior ruling approving the $5 switching fee is res judicata and cannot be re-litigated in this case.</w:t>
      </w:r>
    </w:p>
    <w:p w:rsidR="00473D3A" w:rsidRPr="007B3311" w:rsidP="00FF6773" w14:paraId="4FC7372C" w14:textId="77777777">
      <w:pPr>
        <w:spacing w:line="480" w:lineRule="auto"/>
        <w:ind w:firstLine="720"/>
        <w:rPr>
          <w:color w:val="212121"/>
          <w:szCs w:val="24"/>
        </w:rPr>
      </w:pPr>
      <w:r w:rsidRPr="007B3311">
        <w:rPr>
          <w:color w:val="212121"/>
          <w:szCs w:val="24"/>
        </w:rPr>
        <w:t>There is nothing unreasonable nor unlawful nor discriminatory about this switching fee and how it is administered. The PUCO accepted PUCO Staff’s arguments in support of maintaining the $5 switching fee because it is not discriminatory, and because it is reasonably related to the costs of returning consumers to SSO service.</w:t>
      </w:r>
      <w:r>
        <w:rPr>
          <w:rStyle w:val="FootnoteReference"/>
          <w:color w:val="212121"/>
          <w:szCs w:val="24"/>
        </w:rPr>
        <w:footnoteReference w:id="59"/>
      </w:r>
      <w:r w:rsidRPr="007B3311">
        <w:rPr>
          <w:color w:val="212121"/>
          <w:szCs w:val="24"/>
        </w:rPr>
        <w:t xml:space="preserve"> Moreover, these costs wouldn’t exist if the EDU wasn’t required to switch consumers back and forth. The switching costs exist solely because marketers exist. If marketers don’t want their consumers to pay this fee, they can always provide a bill credit to its subscribers. But the marketers won’t do this because the more charges that can be passed to the EDU and SSO consumers, the more money that marketers can make. </w:t>
      </w:r>
    </w:p>
    <w:p w:rsidR="00473D3A" w:rsidRPr="007B3311" w:rsidP="00473D3A" w14:paraId="289C7046" w14:textId="77346B44">
      <w:pPr>
        <w:spacing w:line="480" w:lineRule="auto"/>
        <w:ind w:right="-180" w:firstLine="720"/>
        <w:rPr>
          <w:color w:val="212121"/>
          <w:szCs w:val="24"/>
        </w:rPr>
      </w:pPr>
      <w:r w:rsidRPr="007B3311">
        <w:rPr>
          <w:color w:val="212121"/>
          <w:szCs w:val="24"/>
        </w:rPr>
        <w:t>DP&amp;L’s switching fee is PUCO</w:t>
      </w:r>
      <w:r w:rsidR="00F37D03">
        <w:rPr>
          <w:color w:val="212121"/>
          <w:szCs w:val="24"/>
        </w:rPr>
        <w:t>-</w:t>
      </w:r>
      <w:r w:rsidRPr="007B3311">
        <w:rPr>
          <w:color w:val="212121"/>
          <w:szCs w:val="24"/>
        </w:rPr>
        <w:t>approved and nothing in this case or IGS’ arguments justify imposing this fee on SSO consumers. In fact, the opposite is true. Approving IGS’ request would be unlawful and unreasonable because it would violate the principles of cost causation. Under the principles of cost causation, the marketer or its consumers should bear the cost of a switching to marketer service from the SSO since the marketer and switching consumer are the cost causers. Consumers that wish to remain on the SSO should not be required to subsidize the cost incurred by the marketer or its consumers that choose to switch. Moreover, the PUCO Staff is correct that the $5 switching fee reasonably reflects the costs associated with a consumer’s switch to SSO service.</w:t>
      </w:r>
      <w:r>
        <w:rPr>
          <w:rStyle w:val="FootnoteReference"/>
          <w:color w:val="212121"/>
          <w:szCs w:val="24"/>
        </w:rPr>
        <w:footnoteReference w:id="60"/>
      </w:r>
      <w:r w:rsidRPr="007B3311">
        <w:rPr>
          <w:color w:val="212121"/>
          <w:szCs w:val="24"/>
        </w:rPr>
        <w:t xml:space="preserve"> </w:t>
      </w:r>
    </w:p>
    <w:p w:rsidR="00473D3A" w:rsidRPr="007B3311" w:rsidP="00FF6773" w14:paraId="5611CC83" w14:textId="2FD00104">
      <w:pPr>
        <w:spacing w:line="480" w:lineRule="auto"/>
        <w:ind w:firstLine="720"/>
        <w:rPr>
          <w:color w:val="212121"/>
          <w:szCs w:val="24"/>
        </w:rPr>
      </w:pPr>
      <w:r w:rsidRPr="007B3311">
        <w:rPr>
          <w:color w:val="212121"/>
          <w:szCs w:val="24"/>
        </w:rPr>
        <w:t>Another reason for the PUCO to reject modifying the fee is that DP&amp;L did not propose to amend or discontinue its switching, registration, or other fees assessed to marketers. The PUCO has previously</w:t>
      </w:r>
      <w:r w:rsidRPr="007B3311">
        <w:rPr>
          <w:rStyle w:val="apple-converted-space"/>
          <w:color w:val="212121"/>
          <w:szCs w:val="24"/>
        </w:rPr>
        <w:t> </w:t>
      </w:r>
      <w:r w:rsidRPr="007B3311">
        <w:rPr>
          <w:rFonts w:eastAsia="Times New Roman"/>
          <w:color w:val="212121"/>
          <w:szCs w:val="24"/>
          <w:shd w:val="clear" w:color="auto" w:fill="FFFFFF"/>
        </w:rPr>
        <w:t>rejected IGS’ arguments and other marketers</w:t>
      </w:r>
      <w:r w:rsidR="00C826BF">
        <w:rPr>
          <w:rFonts w:eastAsia="Times New Roman"/>
          <w:color w:val="212121"/>
          <w:szCs w:val="24"/>
          <w:shd w:val="clear" w:color="auto" w:fill="FFFFFF"/>
        </w:rPr>
        <w:t>’</w:t>
      </w:r>
      <w:r w:rsidRPr="007B3311">
        <w:rPr>
          <w:rFonts w:eastAsia="Times New Roman"/>
          <w:color w:val="212121"/>
          <w:szCs w:val="24"/>
          <w:shd w:val="clear" w:color="auto" w:fill="FFFFFF"/>
        </w:rPr>
        <w:t xml:space="preserve"> arguments in rate cases involving AEP Ohio (Case No. 20-585-EL-AIR); Duke Energy Ohio, Inc. (Case No. 17-32-EL-AIR, et al.); and the Dayton Power and Light Company (Case No. 15-1830-EL-AIR, et al.). IGS has again failed to offer any change in circumstances or other evidence that would justify a departure from the PUCO's previous decisions approving the</w:t>
      </w:r>
      <w:r w:rsidRPr="007B3311">
        <w:rPr>
          <w:rStyle w:val="apple-converted-space"/>
          <w:rFonts w:eastAsia="Times New Roman"/>
          <w:color w:val="212121"/>
          <w:szCs w:val="24"/>
          <w:shd w:val="clear" w:color="auto" w:fill="FFFFFF"/>
        </w:rPr>
        <w:t xml:space="preserve"> fees </w:t>
      </w:r>
      <w:r w:rsidRPr="007B3311">
        <w:rPr>
          <w:rFonts w:eastAsia="Times New Roman"/>
          <w:color w:val="212121"/>
          <w:szCs w:val="24"/>
          <w:shd w:val="clear" w:color="auto" w:fill="FFFFFF"/>
        </w:rPr>
        <w:t xml:space="preserve">and DP&amp;L’s tariffs. </w:t>
      </w:r>
      <w:r w:rsidRPr="007B3311">
        <w:rPr>
          <w:color w:val="212121"/>
          <w:szCs w:val="24"/>
        </w:rPr>
        <w:t>Consequently, the PUCO’s prior determination in DP&amp;L’s last base distribution rate case as to these fees should be maintained.</w:t>
      </w:r>
      <w:r>
        <w:rPr>
          <w:rStyle w:val="FootnoteReference"/>
          <w:color w:val="212121"/>
          <w:szCs w:val="24"/>
        </w:rPr>
        <w:footnoteReference w:id="61"/>
      </w:r>
      <w:r w:rsidR="00881FD2">
        <w:rPr>
          <w:color w:val="212121"/>
          <w:szCs w:val="24"/>
        </w:rPr>
        <w:t xml:space="preserve"> </w:t>
      </w:r>
    </w:p>
    <w:p w:rsidR="00473D3A" w:rsidRPr="007B3311" w:rsidP="00FF6773" w14:paraId="03DF9D0D" w14:textId="77777777">
      <w:pPr>
        <w:spacing w:line="480" w:lineRule="auto"/>
        <w:ind w:firstLine="720"/>
        <w:rPr>
          <w:color w:val="212121"/>
          <w:szCs w:val="24"/>
        </w:rPr>
      </w:pPr>
      <w:r w:rsidRPr="007B3311">
        <w:rPr>
          <w:color w:val="212121"/>
          <w:szCs w:val="24"/>
        </w:rPr>
        <w:t>Further, PUCO Staff asserted that the process of switching to and from a marketer and SSO service is not comparable, particularly in relation to consumers who default to the SSO, such that the fee reflects a reasonable difference in rates and charges based upon actual service differences.</w:t>
      </w:r>
      <w:r>
        <w:rPr>
          <w:rStyle w:val="FootnoteReference"/>
          <w:color w:val="212121"/>
          <w:szCs w:val="24"/>
        </w:rPr>
        <w:footnoteReference w:id="62"/>
      </w:r>
      <w:r w:rsidRPr="007B3311">
        <w:rPr>
          <w:color w:val="212121"/>
          <w:szCs w:val="24"/>
        </w:rPr>
        <w:t xml:space="preserve"> And DP&amp;L relied on PUCO Staff’s arguments in support of maintaining the $5 switching fee asserting that the fee is not discriminatory as it is typical among Ohio utilities and reasonably relates to the costs of returning consumers to SSO service.</w:t>
      </w:r>
      <w:r>
        <w:rPr>
          <w:rStyle w:val="FootnoteReference"/>
          <w:color w:val="212121"/>
          <w:szCs w:val="24"/>
        </w:rPr>
        <w:footnoteReference w:id="63"/>
      </w:r>
      <w:r w:rsidRPr="007B3311">
        <w:rPr>
          <w:color w:val="212121"/>
          <w:szCs w:val="24"/>
        </w:rPr>
        <w:t xml:space="preserve"> </w:t>
      </w:r>
    </w:p>
    <w:p w:rsidR="00473D3A" w:rsidRPr="007B3311" w:rsidP="00FF6773" w14:paraId="3498BEEF" w14:textId="3104124E">
      <w:pPr>
        <w:spacing w:line="480" w:lineRule="auto"/>
        <w:ind w:firstLine="720"/>
        <w:rPr>
          <w:color w:val="212121"/>
          <w:szCs w:val="24"/>
        </w:rPr>
      </w:pPr>
      <w:r w:rsidRPr="007B3311">
        <w:rPr>
          <w:color w:val="212121"/>
          <w:szCs w:val="24"/>
        </w:rPr>
        <w:t>IGS also maintains that because DP&amp;L did not identify any support or cost basis for the $5 switching fee, it failed to sustain its burden of proof under</w:t>
      </w:r>
      <w:r w:rsidRPr="007B3311">
        <w:rPr>
          <w:rStyle w:val="apple-converted-space"/>
          <w:color w:val="212121"/>
          <w:szCs w:val="24"/>
        </w:rPr>
        <w:t> </w:t>
      </w:r>
      <w:r w:rsidRPr="007B3311">
        <w:rPr>
          <w:color w:val="212121"/>
          <w:szCs w:val="24"/>
          <w:bdr w:val="none" w:sz="0" w:space="0" w:color="auto" w:frame="1"/>
        </w:rPr>
        <w:t>R.C. 4909.18</w:t>
      </w:r>
      <w:r w:rsidRPr="007B3311">
        <w:rPr>
          <w:rStyle w:val="apple-converted-space"/>
          <w:color w:val="212121"/>
          <w:szCs w:val="24"/>
        </w:rPr>
        <w:t> </w:t>
      </w:r>
      <w:r w:rsidRPr="007B3311">
        <w:rPr>
          <w:color w:val="212121"/>
          <w:szCs w:val="24"/>
        </w:rPr>
        <w:t>and</w:t>
      </w:r>
      <w:r w:rsidRPr="007B3311">
        <w:rPr>
          <w:rStyle w:val="apple-converted-space"/>
          <w:color w:val="212121"/>
          <w:szCs w:val="24"/>
        </w:rPr>
        <w:t> </w:t>
      </w:r>
      <w:r w:rsidRPr="007B3311">
        <w:rPr>
          <w:color w:val="212121"/>
          <w:szCs w:val="24"/>
          <w:bdr w:val="none" w:sz="0" w:space="0" w:color="auto" w:frame="1"/>
        </w:rPr>
        <w:t>4909.19</w:t>
      </w:r>
      <w:r w:rsidRPr="007B3311">
        <w:rPr>
          <w:rStyle w:val="apple-converted-space"/>
          <w:color w:val="212121"/>
          <w:szCs w:val="24"/>
        </w:rPr>
        <w:t> </w:t>
      </w:r>
      <w:r w:rsidRPr="007B3311">
        <w:rPr>
          <w:color w:val="212121"/>
          <w:szCs w:val="24"/>
        </w:rPr>
        <w:t>to show that its proposed rates and charges are just and reasonable.</w:t>
      </w:r>
      <w:r>
        <w:rPr>
          <w:rStyle w:val="FootnoteReference"/>
          <w:color w:val="212121"/>
          <w:szCs w:val="24"/>
        </w:rPr>
        <w:footnoteReference w:id="64"/>
      </w:r>
      <w:r w:rsidRPr="007B3311">
        <w:rPr>
          <w:rStyle w:val="apple-converted-space"/>
          <w:color w:val="212121"/>
          <w:szCs w:val="24"/>
        </w:rPr>
        <w:t> The PUCO agreed with this assertion in the AEP Ohio case, but clarified that “</w:t>
      </w:r>
      <w:r w:rsidRPr="007B3311">
        <w:rPr>
          <w:rFonts w:eastAsia="Times New Roman"/>
          <w:color w:val="212121"/>
          <w:szCs w:val="24"/>
          <w:shd w:val="clear" w:color="auto" w:fill="FFFFFF"/>
        </w:rPr>
        <w:t>although AEP Ohio bears the burden of proof in these proceedings, IGS and Direct Energy must nonetheless support their objections with evidence.”</w:t>
      </w:r>
      <w:r>
        <w:rPr>
          <w:rStyle w:val="FootnoteReference"/>
          <w:rFonts w:eastAsia="Times New Roman"/>
          <w:color w:val="212121"/>
          <w:szCs w:val="24"/>
          <w:shd w:val="clear" w:color="auto" w:fill="FFFFFF"/>
        </w:rPr>
        <w:footnoteReference w:id="65"/>
      </w:r>
      <w:r w:rsidRPr="007B3311">
        <w:rPr>
          <w:rFonts w:eastAsia="Times New Roman"/>
          <w:color w:val="212121"/>
          <w:szCs w:val="24"/>
          <w:shd w:val="clear" w:color="auto" w:fill="FFFFFF"/>
        </w:rPr>
        <w:t xml:space="preserve"> </w:t>
      </w:r>
      <w:r w:rsidR="00343D20">
        <w:rPr>
          <w:rFonts w:eastAsia="Times New Roman"/>
          <w:color w:val="212121"/>
          <w:szCs w:val="24"/>
          <w:shd w:val="clear" w:color="auto" w:fill="FFFFFF"/>
        </w:rPr>
        <w:t xml:space="preserve">Thus, </w:t>
      </w:r>
      <w:r w:rsidRPr="007B3311">
        <w:rPr>
          <w:color w:val="212121"/>
          <w:szCs w:val="24"/>
        </w:rPr>
        <w:t>IGS is the party responsible for providing evidence that the switching fee is unjust or unreasonable</w:t>
      </w:r>
      <w:r w:rsidR="00343D20">
        <w:rPr>
          <w:color w:val="212121"/>
          <w:szCs w:val="24"/>
        </w:rPr>
        <w:t>, and that evidence was not provided</w:t>
      </w:r>
      <w:r w:rsidRPr="007B3311">
        <w:rPr>
          <w:color w:val="212121"/>
          <w:szCs w:val="24"/>
        </w:rPr>
        <w:t xml:space="preserve">. </w:t>
      </w:r>
    </w:p>
    <w:p w:rsidR="00473D3A" w:rsidRPr="007B3311" w:rsidP="00473D3A" w14:paraId="374987D3" w14:textId="77777777">
      <w:pPr>
        <w:spacing w:line="480" w:lineRule="auto"/>
        <w:ind w:right="-180" w:firstLine="720"/>
        <w:rPr>
          <w:color w:val="212121"/>
          <w:szCs w:val="24"/>
        </w:rPr>
      </w:pPr>
      <w:r w:rsidRPr="007B3311">
        <w:rPr>
          <w:color w:val="212121"/>
          <w:szCs w:val="24"/>
        </w:rPr>
        <w:t>The PUCO should reject IGS’ argument that DP&amp;L failed to sustain its burden of proof that its rates are just and reasonable. If IGS wanted to fairly argue its point, it should have objected to the tariff filing when it was made.</w:t>
      </w:r>
    </w:p>
    <w:p w:rsidR="00473D3A" w:rsidRPr="007B3311" w:rsidP="00C54706" w14:paraId="1AEC7D93" w14:textId="37EF7E51">
      <w:pPr>
        <w:pStyle w:val="Heading2"/>
        <w:numPr>
          <w:ilvl w:val="0"/>
          <w:numId w:val="7"/>
        </w:numPr>
        <w:ind w:hanging="720"/>
        <w:rPr>
          <w:rFonts w:ascii="Times New Roman" w:hAnsi="Times New Roman" w:cs="Times New Roman"/>
          <w:b w:val="0"/>
          <w:bCs/>
          <w:szCs w:val="24"/>
        </w:rPr>
      </w:pPr>
      <w:bookmarkStart w:id="17" w:name="_Toc125382134"/>
      <w:r w:rsidRPr="007B3311">
        <w:rPr>
          <w:rFonts w:ascii="Times New Roman" w:hAnsi="Times New Roman" w:cs="Times New Roman"/>
          <w:bCs/>
          <w:szCs w:val="24"/>
        </w:rPr>
        <w:t>The PUCO Order is neither unlawful nor unreasonable because it allocated DP&amp;L’s generation-related uncollectible expense to the default generation product (SSO), from which all consumers benefit.</w:t>
      </w:r>
      <w:bookmarkEnd w:id="17"/>
    </w:p>
    <w:p w:rsidR="00473D3A" w:rsidRPr="007B3311" w:rsidP="00473D3A" w14:paraId="7D9A34A9" w14:textId="51739DCB">
      <w:pPr>
        <w:spacing w:before="240" w:line="480" w:lineRule="auto"/>
        <w:ind w:right="-180" w:firstLine="720"/>
        <w:rPr>
          <w:szCs w:val="24"/>
        </w:rPr>
      </w:pPr>
      <w:r w:rsidRPr="007B3311">
        <w:rPr>
          <w:szCs w:val="24"/>
        </w:rPr>
        <w:t xml:space="preserve">IGS argues that the PUCO should reconsider permitting DP&amp;L to recover a portion of its uncollectible expenses using a bypassable rider, rather than permitting the </w:t>
      </w:r>
      <w:r>
        <w:rPr>
          <w:szCs w:val="24"/>
        </w:rPr>
        <w:t>collection of these costs from all consumers</w:t>
      </w:r>
      <w:r w:rsidRPr="007B3311">
        <w:rPr>
          <w:szCs w:val="24"/>
        </w:rPr>
        <w:t xml:space="preserve"> through base distribution rates.</w:t>
      </w:r>
      <w:r>
        <w:rPr>
          <w:rStyle w:val="FootnoteReference"/>
          <w:szCs w:val="24"/>
        </w:rPr>
        <w:footnoteReference w:id="66"/>
      </w:r>
      <w:r>
        <w:rPr>
          <w:szCs w:val="24"/>
        </w:rPr>
        <w:t xml:space="preserve"> </w:t>
      </w:r>
      <w:r w:rsidRPr="007B3311">
        <w:rPr>
          <w:szCs w:val="24"/>
        </w:rPr>
        <w:t>IGS wants standard service offer (“SSO”) consumers to pay more to DP&amp;L, and marketers’ consumers to pay less, so that the marketers can gain an unfair competitive advantage over the SSO.</w:t>
      </w:r>
      <w:r>
        <w:rPr>
          <w:rStyle w:val="FootnoteReference"/>
          <w:szCs w:val="24"/>
        </w:rPr>
        <w:footnoteReference w:id="67"/>
      </w:r>
      <w:r w:rsidRPr="007B3311">
        <w:rPr>
          <w:szCs w:val="24"/>
        </w:rPr>
        <w:t xml:space="preserve"> This is because, as IGS claims, a portion of SSO uncollectible expenses is generation</w:t>
      </w:r>
      <w:r w:rsidR="00F54153">
        <w:rPr>
          <w:szCs w:val="24"/>
        </w:rPr>
        <w:t>-</w:t>
      </w:r>
      <w:r w:rsidRPr="007B3311">
        <w:rPr>
          <w:szCs w:val="24"/>
        </w:rPr>
        <w:t>related, and thus ineligible for base rate recovery.</w:t>
      </w:r>
      <w:r>
        <w:rPr>
          <w:rStyle w:val="FootnoteReference"/>
          <w:szCs w:val="24"/>
        </w:rPr>
        <w:footnoteReference w:id="68"/>
      </w:r>
      <w:r w:rsidR="00881FD2">
        <w:rPr>
          <w:szCs w:val="24"/>
        </w:rPr>
        <w:t xml:space="preserve"> </w:t>
      </w:r>
    </w:p>
    <w:p w:rsidR="00473D3A" w:rsidRPr="007B3311" w:rsidP="00473D3A" w14:paraId="1FE32372" w14:textId="3F81BC6D">
      <w:pPr>
        <w:spacing w:line="480" w:lineRule="auto"/>
        <w:ind w:right="-180" w:firstLine="720"/>
        <w:rPr>
          <w:szCs w:val="24"/>
        </w:rPr>
      </w:pPr>
      <w:r w:rsidRPr="007B3311">
        <w:rPr>
          <w:szCs w:val="24"/>
        </w:rPr>
        <w:t>Further, IGS argues that by allowing DP&amp;L to recover these expenses from consumers in base rates, marketer consumers unfairly subsidize uncollectible amounts that are attributable to SSO consumers.</w:t>
      </w:r>
      <w:r>
        <w:rPr>
          <w:rStyle w:val="FootnoteReference"/>
          <w:szCs w:val="24"/>
        </w:rPr>
        <w:footnoteReference w:id="69"/>
      </w:r>
      <w:r w:rsidR="00881FD2">
        <w:rPr>
          <w:szCs w:val="24"/>
        </w:rPr>
        <w:t xml:space="preserve"> </w:t>
      </w:r>
      <w:r w:rsidRPr="007B3311">
        <w:rPr>
          <w:szCs w:val="24"/>
        </w:rPr>
        <w:t>To remedy this result, IGS proposes that a portion (27.6 percent) of AES Ohio’s uncollectible expenses be recovered through a bypassable rider.</w:t>
      </w:r>
      <w:r>
        <w:rPr>
          <w:rStyle w:val="FootnoteReference"/>
          <w:szCs w:val="24"/>
        </w:rPr>
        <w:footnoteReference w:id="70"/>
      </w:r>
      <w:r w:rsidRPr="007B3311">
        <w:rPr>
          <w:szCs w:val="24"/>
        </w:rPr>
        <w:t xml:space="preserve"> In other words, IGS seeks to push costs onto SSO consumers instead of shopping consumers.</w:t>
      </w:r>
    </w:p>
    <w:p w:rsidR="00473D3A" w:rsidRPr="007B3311" w:rsidP="00473D3A" w14:paraId="67D37D31" w14:textId="45AA0113">
      <w:pPr>
        <w:spacing w:line="480" w:lineRule="auto"/>
        <w:ind w:firstLine="720"/>
        <w:rPr>
          <w:szCs w:val="24"/>
        </w:rPr>
      </w:pPr>
      <w:r w:rsidRPr="007B3311">
        <w:rPr>
          <w:szCs w:val="24"/>
        </w:rPr>
        <w:t>The PUCO should reject IGS’ proposal—just as it has each time that marketers have previously argued for the same unfair consumer treatment.</w:t>
      </w:r>
      <w:r w:rsidR="00F041CB">
        <w:rPr>
          <w:szCs w:val="24"/>
        </w:rPr>
        <w:t xml:space="preserve"> </w:t>
      </w:r>
      <w:r w:rsidR="00783B88">
        <w:rPr>
          <w:szCs w:val="24"/>
        </w:rPr>
        <w:t>The fallacies of IGS’s proposal outlined below.</w:t>
      </w:r>
    </w:p>
    <w:p w:rsidR="00473D3A" w:rsidRPr="007B3311" w:rsidP="00C54706" w14:paraId="3776A428" w14:textId="794F53A3">
      <w:pPr>
        <w:pStyle w:val="Heading3"/>
        <w:numPr>
          <w:ilvl w:val="0"/>
          <w:numId w:val="8"/>
        </w:numPr>
        <w:ind w:left="2160" w:hanging="720"/>
        <w:rPr>
          <w:rFonts w:ascii="Times New Roman" w:hAnsi="Times New Roman" w:cs="Times New Roman"/>
          <w:b w:val="0"/>
          <w:bCs/>
        </w:rPr>
      </w:pPr>
      <w:bookmarkStart w:id="18" w:name="_Toc75882269"/>
      <w:bookmarkStart w:id="19" w:name="_Toc76478370"/>
      <w:bookmarkStart w:id="20" w:name="_Toc125382135"/>
      <w:r w:rsidRPr="007B3311">
        <w:rPr>
          <w:rFonts w:ascii="Times New Roman" w:hAnsi="Times New Roman" w:cs="Times New Roman"/>
          <w:bCs/>
        </w:rPr>
        <w:t>Marketers, including IGS, have made the same proposal before, and the PUCO has protected consumers by rejecting it each time.</w:t>
      </w:r>
      <w:bookmarkEnd w:id="18"/>
      <w:bookmarkEnd w:id="19"/>
      <w:bookmarkEnd w:id="20"/>
    </w:p>
    <w:p w:rsidR="00473D3A" w:rsidRPr="007B3311" w:rsidP="00473D3A" w14:paraId="5D8466D3" w14:textId="6A4E57E2">
      <w:pPr>
        <w:spacing w:before="240" w:line="480" w:lineRule="auto"/>
        <w:ind w:firstLine="720"/>
        <w:rPr>
          <w:szCs w:val="24"/>
        </w:rPr>
      </w:pPr>
      <w:r w:rsidRPr="007B3311">
        <w:rPr>
          <w:szCs w:val="24"/>
        </w:rPr>
        <w:t xml:space="preserve">This is not the first time that a marketer has proposed an artificial rate increase for SSO consumers </w:t>
      </w:r>
      <w:r w:rsidR="00783B88">
        <w:rPr>
          <w:szCs w:val="24"/>
        </w:rPr>
        <w:t xml:space="preserve">only </w:t>
      </w:r>
      <w:r w:rsidRPr="007B3311">
        <w:rPr>
          <w:szCs w:val="24"/>
        </w:rPr>
        <w:t>like the one being proposed by IGS here. And each time the argument has been raised in the past, the PUCO rejected it.</w:t>
      </w:r>
    </w:p>
    <w:p w:rsidR="00473D3A" w:rsidRPr="007B3311" w:rsidP="00473D3A" w14:paraId="3B6993C1" w14:textId="77777777">
      <w:pPr>
        <w:spacing w:line="480" w:lineRule="auto"/>
        <w:ind w:firstLine="720"/>
        <w:rPr>
          <w:szCs w:val="24"/>
        </w:rPr>
      </w:pPr>
      <w:r w:rsidRPr="007B3311">
        <w:rPr>
          <w:szCs w:val="24"/>
        </w:rPr>
        <w:t>In DP&amp;L’s previous base rate case, parties (including OCC, the PUCO Staff, and the utility), signed a settlement.</w:t>
      </w:r>
      <w:r>
        <w:rPr>
          <w:rStyle w:val="FootnoteReference"/>
          <w:szCs w:val="24"/>
        </w:rPr>
        <w:footnoteReference w:id="71"/>
      </w:r>
      <w:r w:rsidRPr="007B3311">
        <w:rPr>
          <w:szCs w:val="24"/>
        </w:rPr>
        <w:t xml:space="preserve"> IGS and other marketers opposed the settlement on the same basis as IGS now opposes the PUCO Order. They argued that the settlement should be rejected because it failed to adopt their “unbundling” recommendation to increase rates paid by SSO consumers and decrease rates paid by marketers’ consumers.</w:t>
      </w:r>
      <w:r>
        <w:rPr>
          <w:rStyle w:val="FootnoteReference"/>
          <w:szCs w:val="24"/>
        </w:rPr>
        <w:footnoteReference w:id="72"/>
      </w:r>
      <w:r w:rsidRPr="007B3311">
        <w:rPr>
          <w:szCs w:val="24"/>
        </w:rPr>
        <w:t xml:space="preserve"> The PUCO rejected the proposal and approved the DP&amp;L settlement.</w:t>
      </w:r>
      <w:r>
        <w:rPr>
          <w:rStyle w:val="FootnoteReference"/>
          <w:szCs w:val="24"/>
        </w:rPr>
        <w:footnoteReference w:id="73"/>
      </w:r>
    </w:p>
    <w:p w:rsidR="00473D3A" w:rsidRPr="007B3311" w:rsidP="00473D3A" w14:paraId="5C562A8E" w14:textId="77777777">
      <w:pPr>
        <w:spacing w:line="480" w:lineRule="auto"/>
        <w:ind w:firstLine="720"/>
        <w:rPr>
          <w:szCs w:val="24"/>
        </w:rPr>
      </w:pPr>
      <w:r w:rsidRPr="007B3311">
        <w:rPr>
          <w:szCs w:val="24"/>
        </w:rPr>
        <w:t>In Duke Energy’s most recent electric security plan (“ESP”) case, marketers, including IGS and RESA, again proposed “unbundling” to increase SSO consumer rates and decrease shopping consumer rates.</w:t>
      </w:r>
      <w:r>
        <w:rPr>
          <w:rStyle w:val="FootnoteReference"/>
          <w:szCs w:val="24"/>
        </w:rPr>
        <w:footnoteReference w:id="74"/>
      </w:r>
      <w:r w:rsidRPr="007B3311">
        <w:rPr>
          <w:szCs w:val="24"/>
        </w:rPr>
        <w:t xml:space="preserve"> And again, the PUCO declined to adopt their proposal.</w:t>
      </w:r>
      <w:r>
        <w:rPr>
          <w:rStyle w:val="FootnoteReference"/>
          <w:szCs w:val="24"/>
        </w:rPr>
        <w:footnoteReference w:id="75"/>
      </w:r>
    </w:p>
    <w:p w:rsidR="00473D3A" w:rsidRPr="007B3311" w:rsidP="00473D3A" w14:paraId="70AB6273" w14:textId="77777777">
      <w:pPr>
        <w:spacing w:line="480" w:lineRule="auto"/>
        <w:ind w:firstLine="720"/>
        <w:rPr>
          <w:szCs w:val="24"/>
        </w:rPr>
      </w:pPr>
      <w:r w:rsidRPr="007B3311">
        <w:rPr>
          <w:szCs w:val="24"/>
        </w:rPr>
        <w:t>In an earlier case involving Duke Energy, IGS proposed “unbundling,” making the same argument that the utility was improperly charging consumers for SSO costs through its distribution rates.</w:t>
      </w:r>
      <w:r>
        <w:rPr>
          <w:rStyle w:val="FootnoteReference"/>
          <w:szCs w:val="24"/>
        </w:rPr>
        <w:footnoteReference w:id="76"/>
      </w:r>
      <w:r w:rsidRPr="007B3311">
        <w:rPr>
          <w:szCs w:val="24"/>
        </w:rPr>
        <w:t xml:space="preserve"> The PUCO declined to adopt IGS’s proposal.</w:t>
      </w:r>
      <w:r>
        <w:rPr>
          <w:rStyle w:val="FootnoteReference"/>
          <w:szCs w:val="24"/>
        </w:rPr>
        <w:footnoteReference w:id="77"/>
      </w:r>
    </w:p>
    <w:p w:rsidR="00473D3A" w:rsidRPr="007B3311" w:rsidP="00473D3A" w14:paraId="79ECBFF3" w14:textId="77777777">
      <w:pPr>
        <w:spacing w:line="480" w:lineRule="auto"/>
        <w:ind w:firstLine="720"/>
        <w:rPr>
          <w:szCs w:val="24"/>
        </w:rPr>
      </w:pPr>
      <w:r w:rsidRPr="007B3311">
        <w:rPr>
          <w:szCs w:val="24"/>
        </w:rPr>
        <w:t>In AEP Ohio’s most recent base rate case, IGS and other marketers proposed a $64 million offsetting credit to all consumers (both SSO and shopping) through AEP Ohio’s “SSO Credit Rider.”</w:t>
      </w:r>
      <w:r>
        <w:rPr>
          <w:rStyle w:val="FootnoteReference"/>
          <w:szCs w:val="24"/>
        </w:rPr>
        <w:footnoteReference w:id="78"/>
      </w:r>
      <w:r w:rsidRPr="007B3311">
        <w:rPr>
          <w:szCs w:val="24"/>
        </w:rPr>
        <w:t xml:space="preserve"> Under the Marketers’ proposal in this AEP case (which they sometimes refer to as “unbundling”), a typical residential SSO consumer would pay an extra $4.20 per month—more than $50 per year.</w:t>
      </w:r>
      <w:r>
        <w:rPr>
          <w:rStyle w:val="FootnoteReference"/>
          <w:szCs w:val="24"/>
        </w:rPr>
        <w:footnoteReference w:id="79"/>
      </w:r>
      <w:r w:rsidRPr="007B3311">
        <w:rPr>
          <w:szCs w:val="24"/>
        </w:rPr>
        <w:t xml:space="preserve"> In contrast, a typical residential marketer consumer would get a </w:t>
      </w:r>
      <w:r w:rsidRPr="007B3311">
        <w:rPr>
          <w:i/>
          <w:iCs/>
          <w:szCs w:val="24"/>
        </w:rPr>
        <w:t>credit</w:t>
      </w:r>
      <w:r w:rsidRPr="007B3311">
        <w:rPr>
          <w:szCs w:val="24"/>
        </w:rPr>
        <w:t xml:space="preserve"> of $1.50 per month, or $18 per year.</w:t>
      </w:r>
      <w:r>
        <w:rPr>
          <w:rStyle w:val="FootnoteReference"/>
          <w:szCs w:val="24"/>
        </w:rPr>
        <w:footnoteReference w:id="80"/>
      </w:r>
      <w:r w:rsidRPr="007B3311">
        <w:rPr>
          <w:szCs w:val="24"/>
        </w:rPr>
        <w:t xml:space="preserve"> In other words, the Marketers effectively wanted each residential SSO consumer to pay a $68 annual penalty for choosing the SSO.</w:t>
      </w:r>
      <w:r>
        <w:rPr>
          <w:rStyle w:val="FootnoteReference"/>
          <w:szCs w:val="24"/>
        </w:rPr>
        <w:footnoteReference w:id="81"/>
      </w:r>
      <w:r w:rsidRPr="007B3311">
        <w:rPr>
          <w:szCs w:val="24"/>
        </w:rPr>
        <w:t xml:space="preserve"> This would make residential consumers’ rates unjust and unreasonable.</w:t>
      </w:r>
      <w:r>
        <w:rPr>
          <w:rStyle w:val="FootnoteReference"/>
          <w:szCs w:val="24"/>
        </w:rPr>
        <w:footnoteReference w:id="82"/>
      </w:r>
      <w:r w:rsidRPr="007B3311">
        <w:rPr>
          <w:szCs w:val="24"/>
        </w:rPr>
        <w:t xml:space="preserve"> Again, the PUCO declined to adopt IGS’ and the other marketers’ proposal.</w:t>
      </w:r>
      <w:r>
        <w:rPr>
          <w:rStyle w:val="FootnoteReference"/>
          <w:szCs w:val="24"/>
        </w:rPr>
        <w:footnoteReference w:id="83"/>
      </w:r>
      <w:r w:rsidRPr="007B3311">
        <w:rPr>
          <w:szCs w:val="24"/>
        </w:rPr>
        <w:t xml:space="preserve"> It should do so here.</w:t>
      </w:r>
    </w:p>
    <w:p w:rsidR="00473D3A" w:rsidRPr="007B3311" w:rsidP="00473D3A" w14:paraId="0A8CB5F5" w14:textId="5B794598">
      <w:pPr>
        <w:spacing w:line="480" w:lineRule="auto"/>
        <w:ind w:firstLine="720"/>
        <w:rPr>
          <w:szCs w:val="24"/>
        </w:rPr>
      </w:pPr>
      <w:r w:rsidRPr="007B3311">
        <w:rPr>
          <w:szCs w:val="24"/>
        </w:rPr>
        <w:t>In reading IGS’</w:t>
      </w:r>
      <w:r w:rsidR="00711B15">
        <w:rPr>
          <w:szCs w:val="24"/>
        </w:rPr>
        <w:t>s</w:t>
      </w:r>
      <w:r w:rsidRPr="007B3311">
        <w:rPr>
          <w:szCs w:val="24"/>
        </w:rPr>
        <w:t xml:space="preserve"> arguments, one might think that this precedent does not exist—IGS </w:t>
      </w:r>
      <w:r w:rsidR="00711B15">
        <w:rPr>
          <w:szCs w:val="24"/>
        </w:rPr>
        <w:t>fails to</w:t>
      </w:r>
      <w:r w:rsidRPr="007B3311">
        <w:rPr>
          <w:szCs w:val="24"/>
        </w:rPr>
        <w:t xml:space="preserve"> mention it. IGS’</w:t>
      </w:r>
      <w:r w:rsidR="00711B15">
        <w:rPr>
          <w:szCs w:val="24"/>
        </w:rPr>
        <w:t>s</w:t>
      </w:r>
      <w:r w:rsidRPr="007B3311">
        <w:rPr>
          <w:szCs w:val="24"/>
        </w:rPr>
        <w:t xml:space="preserve"> only mention of precedent in its AFR is “IGS urges the Commission to avoid violating the law and contradicting recent precedent and reject the notion of re-bundling uncollectible expenses…directly associated with providing the [SSO].”</w:t>
      </w:r>
      <w:r>
        <w:rPr>
          <w:rStyle w:val="FootnoteReference"/>
          <w:szCs w:val="24"/>
        </w:rPr>
        <w:footnoteReference w:id="84"/>
      </w:r>
      <w:r w:rsidRPr="007B3311">
        <w:rPr>
          <w:szCs w:val="24"/>
        </w:rPr>
        <w:t xml:space="preserve"> But IGS never stated what the precedent is, nor did it provide any citation. But the precedent does exist (as discussed above), and the PUCO should respect and follow it, as the Ohio Supreme Court has instructed it to do: “We have instructed the commission to ‘respect its own precedents in its decisions to assure the predictability, which is essential in all areas of law, including administrative law.”</w:t>
      </w:r>
      <w:r>
        <w:rPr>
          <w:rStyle w:val="FootnoteReference"/>
          <w:szCs w:val="24"/>
        </w:rPr>
        <w:footnoteReference w:id="85"/>
      </w:r>
      <w:r w:rsidRPr="007B3311">
        <w:rPr>
          <w:szCs w:val="24"/>
        </w:rPr>
        <w:t xml:space="preserve"> </w:t>
      </w:r>
    </w:p>
    <w:p w:rsidR="00473D3A" w:rsidRPr="007B3311" w:rsidP="00473D3A" w14:paraId="532D220A" w14:textId="59104693">
      <w:pPr>
        <w:spacing w:line="480" w:lineRule="auto"/>
        <w:ind w:firstLine="720"/>
        <w:rPr>
          <w:szCs w:val="24"/>
        </w:rPr>
      </w:pPr>
      <w:r w:rsidRPr="007B3311">
        <w:rPr>
          <w:szCs w:val="24"/>
        </w:rPr>
        <w:t>The PUCO should again decline IGS’</w:t>
      </w:r>
      <w:r w:rsidR="00711B15">
        <w:rPr>
          <w:szCs w:val="24"/>
        </w:rPr>
        <w:t>s</w:t>
      </w:r>
      <w:r w:rsidRPr="007B3311">
        <w:rPr>
          <w:szCs w:val="24"/>
        </w:rPr>
        <w:t xml:space="preserve"> attempt to force an artificial rate increase for SSO consumers.</w:t>
      </w:r>
    </w:p>
    <w:p w:rsidR="00473D3A" w:rsidRPr="007B3311" w:rsidP="00C54706" w14:paraId="057FAFA8" w14:textId="67D3A528">
      <w:pPr>
        <w:pStyle w:val="Heading3"/>
        <w:numPr>
          <w:ilvl w:val="0"/>
          <w:numId w:val="8"/>
        </w:numPr>
        <w:ind w:left="2160" w:hanging="720"/>
        <w:rPr>
          <w:rFonts w:ascii="Times New Roman" w:hAnsi="Times New Roman" w:cs="Times New Roman"/>
          <w:b w:val="0"/>
          <w:bCs/>
        </w:rPr>
      </w:pPr>
      <w:bookmarkStart w:id="21" w:name="_Toc75882271"/>
      <w:bookmarkStart w:id="22" w:name="_Toc76478372"/>
      <w:bookmarkStart w:id="23" w:name="_Toc125382136"/>
      <w:r w:rsidRPr="007B3311">
        <w:rPr>
          <w:rFonts w:ascii="Times New Roman" w:hAnsi="Times New Roman" w:cs="Times New Roman"/>
          <w:bCs/>
        </w:rPr>
        <w:t>All consumers benefit from the SSO, so all consumers should pay for costs that DP&amp;L incurs (if any) to provide the SSO.</w:t>
      </w:r>
      <w:bookmarkEnd w:id="21"/>
      <w:bookmarkEnd w:id="22"/>
      <w:bookmarkEnd w:id="23"/>
    </w:p>
    <w:p w:rsidR="00473D3A" w:rsidRPr="007B3311" w:rsidP="00473D3A" w14:paraId="0E82613A" w14:textId="77777777">
      <w:pPr>
        <w:spacing w:before="240" w:line="480" w:lineRule="auto"/>
        <w:ind w:firstLine="720"/>
        <w:rPr>
          <w:szCs w:val="24"/>
        </w:rPr>
      </w:pPr>
      <w:r w:rsidRPr="007B3311">
        <w:rPr>
          <w:szCs w:val="24"/>
        </w:rPr>
        <w:t>Under R.C. 4928.141, DP&amp;L “shall provide consumers ... a standard service offer.” When a consumer that shops with a marketer is no longer able to receive service from that marketer (for example, if the marketer goes out of business), the consumer reverts to the SSO to make certain that the consumer continues to receive electricity.</w:t>
      </w:r>
      <w:r>
        <w:rPr>
          <w:rStyle w:val="FootnoteReference"/>
          <w:szCs w:val="24"/>
        </w:rPr>
        <w:footnoteReference w:id="86"/>
      </w:r>
      <w:r w:rsidRPr="007B3311">
        <w:rPr>
          <w:szCs w:val="24"/>
        </w:rPr>
        <w:t xml:space="preserve"> In other words, even consumers that do not </w:t>
      </w:r>
      <w:r w:rsidRPr="007B3311">
        <w:rPr>
          <w:i/>
          <w:iCs/>
          <w:szCs w:val="24"/>
        </w:rPr>
        <w:t>currently</w:t>
      </w:r>
      <w:r w:rsidRPr="007B3311">
        <w:rPr>
          <w:szCs w:val="24"/>
        </w:rPr>
        <w:t xml:space="preserve"> take service under the SSO benefit from the SSO because the SSO stands ready and able to serve them at any time, if necessary. </w:t>
      </w:r>
    </w:p>
    <w:p w:rsidR="00473D3A" w:rsidRPr="007B3311" w:rsidP="00473D3A" w14:paraId="3AD8B374" w14:textId="77777777">
      <w:pPr>
        <w:spacing w:line="480" w:lineRule="auto"/>
        <w:ind w:firstLine="720"/>
        <w:rPr>
          <w:szCs w:val="24"/>
        </w:rPr>
      </w:pPr>
      <w:r w:rsidRPr="007B3311">
        <w:rPr>
          <w:szCs w:val="24"/>
        </w:rPr>
        <w:t>In an earlier case involving Duke Energy, IGS made arguments similar to the ones it makes now with respect to DP&amp;L, namely, that certain alleged SSO costs should be “unbundled” from distribution rates and paid only by SSO consumers.</w:t>
      </w:r>
      <w:r>
        <w:rPr>
          <w:rStyle w:val="FootnoteReference"/>
          <w:szCs w:val="24"/>
        </w:rPr>
        <w:footnoteReference w:id="87"/>
      </w:r>
      <w:r w:rsidRPr="007B3311">
        <w:rPr>
          <w:szCs w:val="24"/>
        </w:rPr>
        <w:t xml:space="preserve"> The PUCO rejected IGS’s argument for several reasons. Among those reasons was that “all consumers benefit from Duke’s ability to provide the SSO.”</w:t>
      </w:r>
      <w:r>
        <w:rPr>
          <w:rStyle w:val="FootnoteReference"/>
          <w:szCs w:val="24"/>
        </w:rPr>
        <w:footnoteReference w:id="88"/>
      </w:r>
    </w:p>
    <w:p w:rsidR="00473D3A" w:rsidRPr="007B3311" w:rsidP="00473D3A" w14:paraId="26694AA0" w14:textId="3264811A">
      <w:pPr>
        <w:spacing w:line="480" w:lineRule="auto"/>
        <w:ind w:firstLine="720"/>
        <w:rPr>
          <w:szCs w:val="24"/>
        </w:rPr>
      </w:pPr>
      <w:r w:rsidRPr="007B3311">
        <w:rPr>
          <w:szCs w:val="24"/>
        </w:rPr>
        <w:t>Indeed, here, IGS agreed with the general proposition that when something benefits all consumers, all consumers should pay for it.</w:t>
      </w:r>
      <w:r>
        <w:rPr>
          <w:rStyle w:val="FootnoteReference"/>
          <w:szCs w:val="24"/>
        </w:rPr>
        <w:footnoteReference w:id="89"/>
      </w:r>
      <w:r w:rsidRPr="007B3311">
        <w:rPr>
          <w:szCs w:val="24"/>
        </w:rPr>
        <w:t xml:space="preserve"> IGS’s stance is that all consumers benefit from the ability to shop, so all consumers should pay for any costs related to shopping.</w:t>
      </w:r>
      <w:r>
        <w:rPr>
          <w:rStyle w:val="FootnoteReference"/>
          <w:szCs w:val="24"/>
        </w:rPr>
        <w:footnoteReference w:id="90"/>
      </w:r>
      <w:r w:rsidRPr="007B3311">
        <w:rPr>
          <w:szCs w:val="24"/>
        </w:rPr>
        <w:t xml:space="preserve"> But this is backwards. Not all consumers benefit from shopping, but all consumers </w:t>
      </w:r>
      <w:r w:rsidR="00711B15">
        <w:rPr>
          <w:szCs w:val="24"/>
        </w:rPr>
        <w:t xml:space="preserve">do </w:t>
      </w:r>
      <w:r w:rsidRPr="007B3311">
        <w:rPr>
          <w:szCs w:val="24"/>
        </w:rPr>
        <w:t>benefit from the SSO default service. This means that is it reasonable for all consumers to pay SSO expenses.</w:t>
      </w:r>
      <w:r w:rsidR="00881FD2">
        <w:rPr>
          <w:szCs w:val="24"/>
        </w:rPr>
        <w:t xml:space="preserve"> </w:t>
      </w:r>
    </w:p>
    <w:p w:rsidR="00473D3A" w:rsidRPr="007B3311" w:rsidP="00C54706" w14:paraId="30609BAA" w14:textId="32E31CE1">
      <w:pPr>
        <w:pStyle w:val="Heading3"/>
        <w:numPr>
          <w:ilvl w:val="0"/>
          <w:numId w:val="8"/>
        </w:numPr>
        <w:ind w:left="2160" w:hanging="720"/>
        <w:rPr>
          <w:rFonts w:ascii="Times New Roman" w:hAnsi="Times New Roman" w:cs="Times New Roman"/>
          <w:b w:val="0"/>
          <w:bCs/>
        </w:rPr>
      </w:pPr>
      <w:bookmarkStart w:id="24" w:name="_Toc75882273"/>
      <w:bookmarkStart w:id="25" w:name="_Toc76478374"/>
      <w:bookmarkStart w:id="26" w:name="_Toc125382137"/>
      <w:r w:rsidRPr="007B3311">
        <w:rPr>
          <w:rFonts w:ascii="Times New Roman" w:hAnsi="Times New Roman" w:cs="Times New Roman"/>
          <w:bCs/>
        </w:rPr>
        <w:t>The PUCO should reject IGS’ unbundling proposal because it would shift $30 million (27.6% of the costs) in costs from nonresidential to residential consumers, thus making residential consumers’ rates unjust and unreasonable.</w:t>
      </w:r>
      <w:bookmarkEnd w:id="24"/>
      <w:bookmarkEnd w:id="25"/>
      <w:bookmarkEnd w:id="26"/>
    </w:p>
    <w:p w:rsidR="00473D3A" w:rsidRPr="007B3311" w:rsidP="00473D3A" w14:paraId="0540A3CD" w14:textId="3AAE7012">
      <w:pPr>
        <w:spacing w:before="240" w:line="480" w:lineRule="auto"/>
        <w:ind w:firstLine="720"/>
        <w:rPr>
          <w:szCs w:val="24"/>
        </w:rPr>
      </w:pPr>
      <w:r w:rsidRPr="007B3311">
        <w:rPr>
          <w:szCs w:val="24"/>
        </w:rPr>
        <w:t xml:space="preserve">The PUCO adopted PUCO Staff’s recommendation to “at this time to include SSO uncollectible expenses in base </w:t>
      </w:r>
      <w:r w:rsidR="00376F1C">
        <w:rPr>
          <w:szCs w:val="24"/>
        </w:rPr>
        <w:t xml:space="preserve">distribution </w:t>
      </w:r>
      <w:r w:rsidRPr="007B3311">
        <w:rPr>
          <w:szCs w:val="24"/>
        </w:rPr>
        <w:t>rate</w:t>
      </w:r>
      <w:r w:rsidR="00376F1C">
        <w:rPr>
          <w:szCs w:val="24"/>
        </w:rPr>
        <w:t>s</w:t>
      </w:r>
      <w:r w:rsidRPr="007B3311">
        <w:rPr>
          <w:szCs w:val="24"/>
        </w:rPr>
        <w:t xml:space="preserve"> instead of providing for the collection of a portion of these amounts </w:t>
      </w:r>
      <w:r w:rsidR="00376F1C">
        <w:rPr>
          <w:szCs w:val="24"/>
        </w:rPr>
        <w:t>through</w:t>
      </w:r>
      <w:r w:rsidRPr="007B3311">
        <w:rPr>
          <w:szCs w:val="24"/>
        </w:rPr>
        <w:t xml:space="preserve"> a bypassable rider.”</w:t>
      </w:r>
      <w:r>
        <w:rPr>
          <w:rStyle w:val="FootnoteReference"/>
          <w:szCs w:val="24"/>
        </w:rPr>
        <w:footnoteReference w:id="91"/>
      </w:r>
      <w:r w:rsidRPr="007B3311">
        <w:rPr>
          <w:szCs w:val="24"/>
        </w:rPr>
        <w:t xml:space="preserve"> IGS disagrees with the PUCO decision.</w:t>
      </w:r>
      <w:r>
        <w:rPr>
          <w:rStyle w:val="FootnoteReference"/>
          <w:szCs w:val="24"/>
        </w:rPr>
        <w:footnoteReference w:id="92"/>
      </w:r>
      <w:r w:rsidR="00881FD2">
        <w:rPr>
          <w:szCs w:val="24"/>
        </w:rPr>
        <w:t xml:space="preserve"> </w:t>
      </w:r>
      <w:r w:rsidRPr="007B3311">
        <w:rPr>
          <w:szCs w:val="24"/>
        </w:rPr>
        <w:t xml:space="preserve">However, the PUCO believes that this question should be revisited by </w:t>
      </w:r>
      <w:r w:rsidR="00F54153">
        <w:rPr>
          <w:szCs w:val="24"/>
        </w:rPr>
        <w:t xml:space="preserve">the </w:t>
      </w:r>
      <w:r w:rsidRPr="007B3311">
        <w:rPr>
          <w:szCs w:val="24"/>
        </w:rPr>
        <w:t>parties in AES Ohio’s pending ESP proceeding where issues regarding facilitating competition in the market are more appropriate for consideration than a distribution rate case.</w:t>
      </w:r>
      <w:r>
        <w:rPr>
          <w:rStyle w:val="FootnoteReference"/>
          <w:szCs w:val="24"/>
        </w:rPr>
        <w:footnoteReference w:id="93"/>
      </w:r>
      <w:r w:rsidRPr="007B3311">
        <w:rPr>
          <w:szCs w:val="24"/>
        </w:rPr>
        <w:t xml:space="preserve"> OCC agrees.</w:t>
      </w:r>
      <w:r w:rsidR="00F041CB">
        <w:rPr>
          <w:szCs w:val="24"/>
        </w:rPr>
        <w:t xml:space="preserve"> </w:t>
      </w:r>
      <w:r w:rsidR="00EA0981">
        <w:rPr>
          <w:szCs w:val="24"/>
        </w:rPr>
        <w:t>Moreover, IGS’ proposal would improperly allocate additional uncollectible costs to residential consumers.</w:t>
      </w:r>
    </w:p>
    <w:p w:rsidR="00473D3A" w:rsidRPr="007B3311" w:rsidP="00473D3A" w14:paraId="1BD89730" w14:textId="77777777">
      <w:pPr>
        <w:spacing w:line="480" w:lineRule="auto"/>
        <w:ind w:firstLine="720"/>
        <w:rPr>
          <w:szCs w:val="24"/>
        </w:rPr>
      </w:pPr>
      <w:r w:rsidRPr="007B3311">
        <w:rPr>
          <w:szCs w:val="24"/>
        </w:rPr>
        <w:t>To protect consumers who choose not to shop, the PUCO should not adopt IGS’s flawed “unbundling” proposal.</w:t>
      </w:r>
    </w:p>
    <w:p w:rsidR="00473D3A" w:rsidRPr="007B3311" w:rsidP="00473D3A" w14:paraId="5F2CCA40" w14:textId="77777777">
      <w:pPr>
        <w:pStyle w:val="ListParagraph"/>
        <w:rPr>
          <w:b/>
          <w:bCs/>
        </w:rPr>
      </w:pPr>
    </w:p>
    <w:p w:rsidR="00B27935" w:rsidRPr="007B3311" w:rsidP="00076134" w14:paraId="11DCACD5" w14:textId="231E2F80">
      <w:pPr>
        <w:pStyle w:val="Heading1"/>
      </w:pPr>
      <w:bookmarkStart w:id="27" w:name="_Toc124239369"/>
      <w:bookmarkStart w:id="28" w:name="_Toc125382138"/>
      <w:r w:rsidRPr="007B3311">
        <w:t>CONCLUSION</w:t>
      </w:r>
      <w:bookmarkEnd w:id="27"/>
      <w:bookmarkEnd w:id="28"/>
    </w:p>
    <w:p w:rsidR="00076134" w:rsidP="00BB2FB0" w14:paraId="48692FA6" w14:textId="30392DFD">
      <w:pPr>
        <w:spacing w:line="480" w:lineRule="auto"/>
        <w:rPr>
          <w:rFonts w:eastAsia="Times New Roman"/>
          <w:color w:val="auto"/>
          <w:szCs w:val="24"/>
          <w:lang w:bidi="en-US"/>
        </w:rPr>
      </w:pPr>
      <w:r w:rsidRPr="007B3311">
        <w:rPr>
          <w:szCs w:val="24"/>
        </w:rPr>
        <w:tab/>
        <w:t xml:space="preserve">Based on the foregoing, OCC respectfully requests that the PUCO </w:t>
      </w:r>
      <w:r w:rsidRPr="007B3311" w:rsidR="0075214C">
        <w:rPr>
          <w:szCs w:val="24"/>
        </w:rPr>
        <w:t xml:space="preserve">deny DP&amp;L’s </w:t>
      </w:r>
      <w:r w:rsidRPr="007B3311" w:rsidR="00144584">
        <w:rPr>
          <w:szCs w:val="24"/>
        </w:rPr>
        <w:t xml:space="preserve">and IGS’s </w:t>
      </w:r>
      <w:r w:rsidRPr="007B3311" w:rsidR="0075214C">
        <w:rPr>
          <w:szCs w:val="24"/>
        </w:rPr>
        <w:t>Application</w:t>
      </w:r>
      <w:r w:rsidRPr="007B3311" w:rsidR="00144584">
        <w:rPr>
          <w:szCs w:val="24"/>
        </w:rPr>
        <w:t>s</w:t>
      </w:r>
      <w:r w:rsidRPr="007B3311" w:rsidR="0075214C">
        <w:rPr>
          <w:szCs w:val="24"/>
        </w:rPr>
        <w:t xml:space="preserve"> for Rehearing</w:t>
      </w:r>
      <w:r w:rsidRPr="007B3311">
        <w:rPr>
          <w:szCs w:val="24"/>
        </w:rPr>
        <w:t xml:space="preserve"> on the issues discussed above.</w:t>
      </w:r>
    </w:p>
    <w:p w:rsidR="00D748A1" w:rsidRPr="007B3311" w:rsidP="00D748A1" w14:paraId="56698431" w14:textId="09A2DF9D">
      <w:pPr>
        <w:pStyle w:val="ListParagraph"/>
        <w:ind w:left="4320"/>
      </w:pPr>
      <w:r w:rsidRPr="007B3311">
        <w:t xml:space="preserve">Respectfully submitted, </w:t>
      </w:r>
    </w:p>
    <w:p w:rsidR="00D748A1" w:rsidRPr="007B3311" w:rsidP="00D748A1" w14:paraId="29013CA5" w14:textId="77777777">
      <w:pPr>
        <w:pStyle w:val="ListParagraph"/>
        <w:ind w:left="4320"/>
      </w:pPr>
    </w:p>
    <w:p w:rsidR="00D748A1" w:rsidRPr="007B3311" w:rsidP="00D748A1" w14:paraId="2F804E8C" w14:textId="77777777">
      <w:pPr>
        <w:pStyle w:val="ListParagraph"/>
        <w:ind w:left="4320"/>
      </w:pPr>
      <w:r w:rsidRPr="007B3311">
        <w:t xml:space="preserve">Bruce Weston (0016973) </w:t>
      </w:r>
      <w:r w:rsidRPr="007B3311">
        <w:br/>
        <w:t xml:space="preserve">Ohio Consumers’ Counsel </w:t>
      </w:r>
      <w:r w:rsidRPr="007B3311">
        <w:br/>
      </w:r>
    </w:p>
    <w:p w:rsidR="00D748A1" w:rsidRPr="007B3311" w:rsidP="00D748A1" w14:paraId="68522B12" w14:textId="403FB5A5">
      <w:pPr>
        <w:pStyle w:val="ListParagraph"/>
        <w:ind w:left="4320"/>
      </w:pPr>
      <w:r w:rsidRPr="007B3311">
        <w:rPr>
          <w:i/>
          <w:iCs/>
          <w:u w:val="single"/>
        </w:rPr>
        <w:t>/s/</w:t>
      </w:r>
      <w:r w:rsidRPr="007B3311">
        <w:rPr>
          <w:u w:val="single"/>
        </w:rPr>
        <w:t xml:space="preserve"> </w:t>
      </w:r>
      <w:r w:rsidRPr="007B3311">
        <w:rPr>
          <w:i/>
          <w:iCs/>
          <w:u w:val="single"/>
        </w:rPr>
        <w:t>John Finnigan</w:t>
      </w:r>
      <w:r w:rsidRPr="007B3311">
        <w:rPr>
          <w:i/>
          <w:iCs/>
          <w:u w:val="single"/>
        </w:rPr>
        <w:tab/>
      </w:r>
      <w:r w:rsidRPr="007B3311">
        <w:t xml:space="preserve"> </w:t>
      </w:r>
      <w:r w:rsidRPr="007B3311">
        <w:br/>
        <w:t xml:space="preserve">John Finnigan (0018689) </w:t>
      </w:r>
      <w:r w:rsidRPr="007B3311">
        <w:br/>
        <w:t xml:space="preserve">Counsel of Record </w:t>
      </w:r>
      <w:r w:rsidRPr="007B3311">
        <w:br/>
        <w:t xml:space="preserve">Ambrosia E. Wilson (0096598) </w:t>
      </w:r>
      <w:r w:rsidRPr="007B3311">
        <w:br/>
        <w:t xml:space="preserve">Assistant Consumers' Counsel </w:t>
      </w:r>
    </w:p>
    <w:p w:rsidR="00D748A1" w:rsidRPr="007B3311" w:rsidP="00D748A1" w14:paraId="334B460E" w14:textId="77777777">
      <w:pPr>
        <w:pStyle w:val="ListParagraph"/>
        <w:ind w:left="4320"/>
      </w:pPr>
    </w:p>
    <w:p w:rsidR="00D748A1" w:rsidRPr="007B3311" w:rsidP="00D748A1" w14:paraId="69CB4BDE" w14:textId="77777777">
      <w:pPr>
        <w:pStyle w:val="ListParagraph"/>
        <w:ind w:left="4320"/>
      </w:pPr>
      <w:r w:rsidRPr="007B3311">
        <w:rPr>
          <w:b/>
          <w:bCs/>
        </w:rPr>
        <w:t>Office of the Ohio Consumers' Counsel</w:t>
      </w:r>
    </w:p>
    <w:p w:rsidR="00D748A1" w:rsidRPr="007B3311" w:rsidP="00D748A1" w14:paraId="372A7A1C" w14:textId="77777777">
      <w:pPr>
        <w:pStyle w:val="ListParagraph"/>
        <w:ind w:left="4320"/>
      </w:pPr>
      <w:r w:rsidRPr="007B3311">
        <w:t xml:space="preserve">65 East State Street, Suite 700 </w:t>
      </w:r>
      <w:r w:rsidRPr="007B3311">
        <w:br/>
        <w:t xml:space="preserve">Columbus, Ohio 43215 </w:t>
      </w:r>
      <w:r w:rsidRPr="007B3311">
        <w:br/>
        <w:t xml:space="preserve">Telephone [Finnigan]: (614) 466-9585 </w:t>
      </w:r>
    </w:p>
    <w:p w:rsidR="00D748A1" w:rsidRPr="007B3311" w:rsidP="00D748A1" w14:paraId="739B64AD" w14:textId="77777777">
      <w:pPr>
        <w:pStyle w:val="ListParagraph"/>
        <w:ind w:left="4320"/>
      </w:pPr>
      <w:r w:rsidRPr="007B3311">
        <w:t xml:space="preserve">Telephone [Wilson]: (614) 466-1292 </w:t>
      </w:r>
      <w:hyperlink r:id="rId6" w:history="1">
        <w:r w:rsidRPr="007B3311">
          <w:rPr>
            <w:rStyle w:val="Hyperlink"/>
            <w:color w:val="0000FF"/>
          </w:rPr>
          <w:t>john.finnigan@occ.ohio.gov</w:t>
        </w:r>
      </w:hyperlink>
      <w:r w:rsidRPr="007B3311">
        <w:rPr>
          <w:color w:val="0000FF"/>
        </w:rPr>
        <w:t xml:space="preserve"> </w:t>
      </w:r>
      <w:hyperlink r:id="rId7" w:history="1">
        <w:r w:rsidRPr="007B3311">
          <w:rPr>
            <w:rStyle w:val="Hyperlink"/>
            <w:color w:val="0000FF"/>
          </w:rPr>
          <w:t>ambrosia.wilson@occ.ohio.gov</w:t>
        </w:r>
      </w:hyperlink>
      <w:r w:rsidRPr="007B3311">
        <w:t xml:space="preserve"> </w:t>
      </w:r>
    </w:p>
    <w:p w:rsidR="00D748A1" w:rsidRPr="007B3311" w:rsidP="00D748A1" w14:paraId="2B723F41" w14:textId="77777777">
      <w:pPr>
        <w:pStyle w:val="ListParagraph"/>
        <w:ind w:left="4320"/>
      </w:pPr>
      <w:r w:rsidRPr="007B3311">
        <w:t>(willing to accept service by e-mail)</w:t>
      </w:r>
    </w:p>
    <w:p w:rsidR="00C77AB9" w:rsidRPr="007B3311" w14:paraId="11558885" w14:textId="77777777">
      <w:pPr>
        <w:rPr>
          <w:b/>
          <w:bCs/>
          <w:szCs w:val="24"/>
          <w:u w:val="single"/>
        </w:rPr>
      </w:pPr>
      <w:r w:rsidRPr="007B3311">
        <w:rPr>
          <w:b/>
          <w:bCs/>
          <w:szCs w:val="24"/>
          <w:u w:val="single"/>
        </w:rPr>
        <w:br w:type="page"/>
      </w:r>
    </w:p>
    <w:p w:rsidR="00C77AB9" w:rsidRPr="007B3311" w:rsidP="00C77AB9" w14:paraId="11AC6160" w14:textId="48E4EC99">
      <w:pPr>
        <w:jc w:val="center"/>
        <w:rPr>
          <w:b/>
          <w:bCs/>
          <w:szCs w:val="24"/>
          <w:u w:val="single"/>
        </w:rPr>
      </w:pPr>
      <w:r w:rsidRPr="007B3311">
        <w:rPr>
          <w:b/>
          <w:bCs/>
          <w:szCs w:val="24"/>
          <w:u w:val="single"/>
        </w:rPr>
        <w:t>CERTIFICATE OF SERVICE</w:t>
      </w:r>
    </w:p>
    <w:p w:rsidR="00C77AB9" w:rsidRPr="007B3311" w:rsidP="00C77AB9" w14:paraId="1D205F31" w14:textId="7417763E">
      <w:pPr>
        <w:spacing w:line="480" w:lineRule="atLeast"/>
        <w:rPr>
          <w:szCs w:val="24"/>
        </w:rPr>
      </w:pPr>
      <w:r w:rsidRPr="007B3311">
        <w:rPr>
          <w:szCs w:val="24"/>
        </w:rPr>
        <w:tab/>
        <w:t xml:space="preserve">I hereby certify that a copy of this </w:t>
      </w:r>
      <w:r w:rsidR="005B4DFA">
        <w:t xml:space="preserve">Memorandum Contra Applications for Rehearing of AES Ohio and Interstate Gas Supply, Inc. </w:t>
      </w:r>
      <w:r w:rsidRPr="007B3311">
        <w:rPr>
          <w:szCs w:val="24"/>
        </w:rPr>
        <w:t xml:space="preserve">was served on the persons stated below </w:t>
      </w:r>
      <w:r w:rsidRPr="00F81FE1">
        <w:rPr>
          <w:iCs/>
          <w:szCs w:val="24"/>
        </w:rPr>
        <w:t>via</w:t>
      </w:r>
      <w:r w:rsidRPr="007B3311">
        <w:rPr>
          <w:szCs w:val="24"/>
        </w:rPr>
        <w:t xml:space="preserve"> electronic transmission, this </w:t>
      </w:r>
      <w:r w:rsidRPr="007B3311" w:rsidR="00A66FBF">
        <w:rPr>
          <w:szCs w:val="24"/>
        </w:rPr>
        <w:t>23</w:t>
      </w:r>
      <w:r w:rsidRPr="00F81FE1" w:rsidR="00F81FE1">
        <w:rPr>
          <w:szCs w:val="24"/>
          <w:vertAlign w:val="superscript"/>
        </w:rPr>
        <w:t>rd</w:t>
      </w:r>
      <w:r w:rsidR="00F81FE1">
        <w:rPr>
          <w:szCs w:val="24"/>
        </w:rPr>
        <w:t xml:space="preserve"> </w:t>
      </w:r>
      <w:r w:rsidRPr="007B3311">
        <w:rPr>
          <w:szCs w:val="24"/>
        </w:rPr>
        <w:t>day of J</w:t>
      </w:r>
      <w:r w:rsidRPr="007B3311" w:rsidR="001B31DB">
        <w:rPr>
          <w:szCs w:val="24"/>
        </w:rPr>
        <w:t>anuary</w:t>
      </w:r>
      <w:r w:rsidRPr="007B3311">
        <w:rPr>
          <w:szCs w:val="24"/>
        </w:rPr>
        <w:t xml:space="preserve"> 202</w:t>
      </w:r>
      <w:r w:rsidRPr="007B3311" w:rsidR="001B31DB">
        <w:rPr>
          <w:szCs w:val="24"/>
        </w:rPr>
        <w:t>3</w:t>
      </w:r>
      <w:r w:rsidRPr="007B3311">
        <w:rPr>
          <w:szCs w:val="24"/>
        </w:rPr>
        <w:t>.</w:t>
      </w:r>
    </w:p>
    <w:p w:rsidR="00C77AB9" w:rsidRPr="007B3311" w:rsidP="00C77AB9" w14:paraId="7DF0A0EE" w14:textId="77777777">
      <w:pPr>
        <w:tabs>
          <w:tab w:val="left" w:pos="4320"/>
        </w:tabs>
        <w:rPr>
          <w:szCs w:val="24"/>
        </w:rPr>
      </w:pPr>
      <w:r w:rsidRPr="007B3311">
        <w:rPr>
          <w:szCs w:val="24"/>
        </w:rPr>
        <w:tab/>
      </w:r>
    </w:p>
    <w:p w:rsidR="00C77AB9" w:rsidRPr="007B3311" w:rsidP="00C77AB9" w14:paraId="135ACB44" w14:textId="223B5C0A">
      <w:pPr>
        <w:tabs>
          <w:tab w:val="left" w:pos="4320"/>
        </w:tabs>
        <w:rPr>
          <w:i/>
          <w:szCs w:val="24"/>
          <w:u w:val="single"/>
        </w:rPr>
      </w:pPr>
      <w:r w:rsidRPr="007B3311">
        <w:rPr>
          <w:szCs w:val="24"/>
        </w:rPr>
        <w:tab/>
      </w:r>
      <w:r w:rsidRPr="007B3311">
        <w:rPr>
          <w:i/>
          <w:szCs w:val="24"/>
          <w:u w:val="single"/>
        </w:rPr>
        <w:t>/s/ John Finnigan</w:t>
      </w:r>
    </w:p>
    <w:p w:rsidR="00C77AB9" w:rsidRPr="007B3311" w:rsidP="00C77AB9" w14:paraId="1D34AC79" w14:textId="2766E590">
      <w:pPr>
        <w:tabs>
          <w:tab w:val="left" w:pos="4320"/>
        </w:tabs>
        <w:rPr>
          <w:szCs w:val="24"/>
        </w:rPr>
      </w:pPr>
      <w:r w:rsidRPr="007B3311">
        <w:rPr>
          <w:szCs w:val="24"/>
        </w:rPr>
        <w:tab/>
        <w:t>John Finnigan</w:t>
      </w:r>
    </w:p>
    <w:p w:rsidR="00C77AB9" w:rsidRPr="007B3311" w:rsidP="00C77AB9" w14:paraId="08C95D5A" w14:textId="77777777">
      <w:pPr>
        <w:tabs>
          <w:tab w:val="left" w:pos="4320"/>
        </w:tabs>
        <w:rPr>
          <w:szCs w:val="24"/>
        </w:rPr>
      </w:pPr>
      <w:r w:rsidRPr="007B3311">
        <w:rPr>
          <w:szCs w:val="24"/>
        </w:rPr>
        <w:tab/>
        <w:t>Assistant Consumers’ Counsel</w:t>
      </w:r>
    </w:p>
    <w:p w:rsidR="00C77AB9" w:rsidRPr="007B3311" w:rsidP="00C77AB9" w14:paraId="300EEC6F" w14:textId="77777777">
      <w:pPr>
        <w:pStyle w:val="CommentSubject"/>
        <w:rPr>
          <w:sz w:val="24"/>
          <w:szCs w:val="24"/>
        </w:rPr>
      </w:pPr>
    </w:p>
    <w:p w:rsidR="00C77AB9" w:rsidRPr="007B3311" w:rsidP="00C77AB9" w14:paraId="479134A4" w14:textId="77777777">
      <w:pPr>
        <w:pStyle w:val="CommentText"/>
        <w:rPr>
          <w:sz w:val="24"/>
          <w:szCs w:val="24"/>
        </w:rPr>
      </w:pPr>
      <w:r w:rsidRPr="007B3311">
        <w:rPr>
          <w:sz w:val="24"/>
          <w:szCs w:val="24"/>
        </w:rPr>
        <w:t>The PUCO’s e-filing system will electronically serve notice of the filing of this document on the following parties:</w:t>
      </w:r>
    </w:p>
    <w:p w:rsidR="00C77AB9" w:rsidRPr="007B3311" w:rsidP="00C77AB9" w14:paraId="289D5B02" w14:textId="77777777">
      <w:pPr>
        <w:pStyle w:val="CommentText"/>
        <w:rPr>
          <w:sz w:val="24"/>
          <w:szCs w:val="24"/>
        </w:rPr>
      </w:pPr>
    </w:p>
    <w:p w:rsidR="00C77AB9" w:rsidRPr="007B3311" w:rsidP="00C77AB9" w14:paraId="37B936FD" w14:textId="77777777">
      <w:pPr>
        <w:pStyle w:val="CommentText"/>
        <w:jc w:val="center"/>
        <w:rPr>
          <w:b/>
          <w:bCs/>
          <w:sz w:val="24"/>
          <w:szCs w:val="24"/>
          <w:u w:val="single"/>
        </w:rPr>
      </w:pPr>
      <w:r w:rsidRPr="007B3311">
        <w:rPr>
          <w:b/>
          <w:bCs/>
          <w:sz w:val="24"/>
          <w:szCs w:val="24"/>
          <w:u w:val="single"/>
        </w:rPr>
        <w:t>SERVICE LIST</w:t>
      </w:r>
    </w:p>
    <w:p w:rsidR="009E5D80" w:rsidRPr="009E5D80" w:rsidP="009E5D80" w14:paraId="33317F8C" w14:textId="77777777">
      <w:pPr>
        <w:rPr>
          <w:rFonts w:ascii="Calibri" w:eastAsia="Calibri" w:hAnsi="Calibri" w:cs="Calibri"/>
          <w:color w:val="auto"/>
          <w:sz w:val="22"/>
          <w:szCs w:val="22"/>
        </w:rPr>
      </w:pPr>
    </w:p>
    <w:tbl>
      <w:tblPr>
        <w:tblW w:w="0" w:type="auto"/>
        <w:tblCellMar>
          <w:left w:w="0" w:type="dxa"/>
          <w:right w:w="0" w:type="dxa"/>
        </w:tblCellMar>
        <w:tblLook w:val="04A0"/>
      </w:tblPr>
      <w:tblGrid>
        <w:gridCol w:w="4285"/>
        <w:gridCol w:w="4355"/>
      </w:tblGrid>
      <w:tr w14:paraId="7F25777B" w14:textId="77777777" w:rsidTr="009E5D80">
        <w:tblPrEx>
          <w:tblW w:w="0" w:type="auto"/>
          <w:tblCellMar>
            <w:left w:w="0" w:type="dxa"/>
            <w:right w:w="0" w:type="dxa"/>
          </w:tblCellMar>
          <w:tblLook w:val="04A0"/>
        </w:tblPrEx>
        <w:tc>
          <w:tcPr>
            <w:tcW w:w="4428" w:type="dxa"/>
            <w:tcMar>
              <w:top w:w="0" w:type="dxa"/>
              <w:left w:w="108" w:type="dxa"/>
              <w:bottom w:w="0" w:type="dxa"/>
              <w:right w:w="108" w:type="dxa"/>
            </w:tcMar>
          </w:tcPr>
          <w:p w:rsidR="009E5D80" w:rsidRPr="009E5D80" w:rsidP="009E5D80" w14:paraId="0CF6F5D4" w14:textId="77777777">
            <w:pPr>
              <w:autoSpaceDE w:val="0"/>
              <w:autoSpaceDN w:val="0"/>
              <w:rPr>
                <w:rFonts w:eastAsia="Calibri"/>
                <w:color w:val="0000FF"/>
                <w:szCs w:val="24"/>
                <w:u w:val="single"/>
              </w:rPr>
            </w:pPr>
            <w:hyperlink r:id="rId10" w:history="1">
              <w:r w:rsidRPr="009E5D80">
                <w:rPr>
                  <w:rFonts w:eastAsia="Calibri"/>
                  <w:color w:val="0000FF"/>
                  <w:szCs w:val="24"/>
                  <w:u w:val="single"/>
                </w:rPr>
                <w:t>jodi.bair@ohioAGO.gov</w:t>
              </w:r>
            </w:hyperlink>
          </w:p>
          <w:p w:rsidR="009E5D80" w:rsidRPr="009E5D80" w:rsidP="009E5D80" w14:paraId="794182EE" w14:textId="77777777">
            <w:pPr>
              <w:autoSpaceDE w:val="0"/>
              <w:autoSpaceDN w:val="0"/>
              <w:rPr>
                <w:rFonts w:eastAsia="Calibri"/>
                <w:color w:val="0000FF"/>
                <w:szCs w:val="24"/>
                <w:u w:val="single"/>
              </w:rPr>
            </w:pPr>
            <w:hyperlink r:id="rId11" w:history="1">
              <w:r w:rsidRPr="009E5D80">
                <w:rPr>
                  <w:rFonts w:eastAsia="Calibri"/>
                  <w:color w:val="0000FF"/>
                  <w:szCs w:val="24"/>
                  <w:u w:val="single"/>
                </w:rPr>
                <w:t>kyle.kern@ohioAGO.gov</w:t>
              </w:r>
            </w:hyperlink>
          </w:p>
          <w:p w:rsidR="009E5D80" w:rsidRPr="009E5D80" w:rsidP="009E5D80" w14:paraId="6148D826" w14:textId="77777777">
            <w:pPr>
              <w:autoSpaceDE w:val="0"/>
              <w:autoSpaceDN w:val="0"/>
              <w:rPr>
                <w:rFonts w:eastAsia="Calibri"/>
                <w:color w:val="0000FF"/>
                <w:szCs w:val="24"/>
                <w:u w:val="single"/>
              </w:rPr>
            </w:pPr>
            <w:hyperlink r:id="rId12" w:history="1">
              <w:r w:rsidRPr="009E5D80">
                <w:rPr>
                  <w:rFonts w:eastAsia="Calibri"/>
                  <w:color w:val="0000FF"/>
                  <w:szCs w:val="24"/>
                  <w:u w:val="single"/>
                </w:rPr>
                <w:t>werner.margard@ohioAGO.gov</w:t>
              </w:r>
            </w:hyperlink>
          </w:p>
          <w:p w:rsidR="009E5D80" w:rsidRPr="009E5D80" w:rsidP="009E5D80" w14:paraId="42991507" w14:textId="77777777">
            <w:pPr>
              <w:autoSpaceDE w:val="0"/>
              <w:autoSpaceDN w:val="0"/>
              <w:rPr>
                <w:rFonts w:eastAsia="Calibri"/>
                <w:color w:val="0000FF"/>
                <w:szCs w:val="24"/>
                <w:u w:val="single"/>
              </w:rPr>
            </w:pPr>
            <w:hyperlink r:id="rId13" w:history="1">
              <w:r w:rsidRPr="009E5D80">
                <w:rPr>
                  <w:rFonts w:eastAsia="Calibri"/>
                  <w:color w:val="0000FF"/>
                  <w:szCs w:val="24"/>
                  <w:u w:val="single"/>
                </w:rPr>
                <w:t>chelsea.fletcher@ohioAGO.gov</w:t>
              </w:r>
            </w:hyperlink>
          </w:p>
          <w:p w:rsidR="009E5D80" w:rsidRPr="009E5D80" w:rsidP="009E5D80" w14:paraId="05C8849D" w14:textId="77777777">
            <w:pPr>
              <w:jc w:val="both"/>
              <w:rPr>
                <w:rFonts w:eastAsia="Calibri"/>
                <w:color w:val="0000FF"/>
                <w:szCs w:val="24"/>
                <w:u w:val="single"/>
              </w:rPr>
            </w:pPr>
            <w:hyperlink r:id="rId14" w:history="1">
              <w:r w:rsidRPr="009E5D80">
                <w:rPr>
                  <w:rFonts w:eastAsia="Calibri"/>
                  <w:color w:val="0000FF"/>
                  <w:szCs w:val="24"/>
                  <w:u w:val="single"/>
                </w:rPr>
                <w:t>dparram@bricker.com</w:t>
              </w:r>
            </w:hyperlink>
          </w:p>
          <w:p w:rsidR="009E5D80" w:rsidRPr="009E5D80" w:rsidP="009E5D80" w14:paraId="7894310E" w14:textId="77777777">
            <w:pPr>
              <w:jc w:val="both"/>
              <w:rPr>
                <w:rFonts w:eastAsia="Calibri"/>
                <w:color w:val="0000FF"/>
                <w:szCs w:val="24"/>
                <w:u w:val="single"/>
              </w:rPr>
            </w:pPr>
            <w:hyperlink r:id="rId15" w:history="1">
              <w:r w:rsidRPr="009E5D80">
                <w:rPr>
                  <w:rFonts w:eastAsia="Calibri"/>
                  <w:color w:val="0000FF"/>
                  <w:szCs w:val="24"/>
                  <w:u w:val="single"/>
                </w:rPr>
                <w:t>rmains@bricker.com</w:t>
              </w:r>
            </w:hyperlink>
          </w:p>
          <w:p w:rsidR="009E5D80" w:rsidRPr="009E5D80" w:rsidP="009E5D80" w14:paraId="682AE4DD" w14:textId="77777777">
            <w:pPr>
              <w:jc w:val="both"/>
              <w:rPr>
                <w:rFonts w:eastAsia="Calibri"/>
                <w:color w:val="0000FF"/>
                <w:szCs w:val="24"/>
                <w:u w:val="single"/>
              </w:rPr>
            </w:pPr>
            <w:hyperlink r:id="rId16" w:history="1">
              <w:r w:rsidRPr="009E5D80">
                <w:rPr>
                  <w:rFonts w:eastAsia="Calibri"/>
                  <w:color w:val="0000FF"/>
                  <w:szCs w:val="24"/>
                  <w:u w:val="single"/>
                </w:rPr>
                <w:t>khernstein@bricker.com</w:t>
              </w:r>
            </w:hyperlink>
          </w:p>
          <w:p w:rsidR="009E5D80" w:rsidRPr="009E5D80" w:rsidP="009E5D80" w14:paraId="509AD903" w14:textId="77777777">
            <w:pPr>
              <w:jc w:val="both"/>
              <w:rPr>
                <w:rFonts w:eastAsia="Calibri"/>
                <w:color w:val="0000FF"/>
                <w:szCs w:val="24"/>
                <w:u w:val="single"/>
              </w:rPr>
            </w:pPr>
            <w:hyperlink r:id="rId17" w:history="1">
              <w:r w:rsidRPr="009E5D80">
                <w:rPr>
                  <w:rFonts w:eastAsia="Calibri"/>
                  <w:color w:val="0000FF"/>
                  <w:szCs w:val="24"/>
                  <w:u w:val="single"/>
                </w:rPr>
                <w:t>mwarnock@bricker.com</w:t>
              </w:r>
            </w:hyperlink>
          </w:p>
          <w:p w:rsidR="009E5D80" w:rsidRPr="009E5D80" w:rsidP="009E5D80" w14:paraId="5F84230D" w14:textId="77777777">
            <w:pPr>
              <w:jc w:val="both"/>
              <w:rPr>
                <w:rFonts w:eastAsia="Calibri"/>
                <w:color w:val="0000FF"/>
                <w:szCs w:val="24"/>
                <w:u w:val="single"/>
              </w:rPr>
            </w:pPr>
            <w:hyperlink r:id="rId18" w:history="1">
              <w:r w:rsidRPr="009E5D80">
                <w:rPr>
                  <w:rFonts w:eastAsia="Calibri"/>
                  <w:color w:val="0000FF"/>
                  <w:szCs w:val="24"/>
                  <w:u w:val="single"/>
                </w:rPr>
                <w:t>dborchers@bricker.com</w:t>
              </w:r>
            </w:hyperlink>
          </w:p>
          <w:p w:rsidR="009E5D80" w:rsidRPr="009E5D80" w:rsidP="009E5D80" w14:paraId="6B419731" w14:textId="77777777">
            <w:pPr>
              <w:jc w:val="both"/>
              <w:rPr>
                <w:rFonts w:eastAsia="Calibri"/>
                <w:color w:val="0000FF"/>
                <w:szCs w:val="24"/>
                <w:u w:val="single"/>
              </w:rPr>
            </w:pPr>
            <w:hyperlink r:id="rId19" w:history="1">
              <w:r w:rsidRPr="009E5D80">
                <w:rPr>
                  <w:rFonts w:eastAsia="Calibri"/>
                  <w:color w:val="0000FF"/>
                  <w:szCs w:val="24"/>
                  <w:u w:val="single"/>
                </w:rPr>
                <w:t>little@litohio.com</w:t>
              </w:r>
            </w:hyperlink>
          </w:p>
          <w:p w:rsidR="009E5D80" w:rsidRPr="009E5D80" w:rsidP="009E5D80" w14:paraId="4E521B1A" w14:textId="77777777">
            <w:pPr>
              <w:jc w:val="both"/>
              <w:rPr>
                <w:rFonts w:eastAsia="Calibri"/>
                <w:color w:val="0000FF"/>
                <w:szCs w:val="24"/>
                <w:u w:val="single"/>
              </w:rPr>
            </w:pPr>
            <w:hyperlink r:id="rId20" w:history="1">
              <w:r w:rsidRPr="009E5D80">
                <w:rPr>
                  <w:rFonts w:eastAsia="Calibri"/>
                  <w:color w:val="0000FF"/>
                  <w:szCs w:val="24"/>
                  <w:u w:val="single"/>
                </w:rPr>
                <w:t>hogan@litohio.com</w:t>
              </w:r>
            </w:hyperlink>
          </w:p>
          <w:p w:rsidR="009E5D80" w:rsidRPr="009E5D80" w:rsidP="009E5D80" w14:paraId="3EE6884A" w14:textId="77777777">
            <w:pPr>
              <w:jc w:val="both"/>
              <w:rPr>
                <w:rFonts w:eastAsia="Calibri"/>
                <w:color w:val="0000FF"/>
                <w:szCs w:val="24"/>
                <w:u w:val="single"/>
              </w:rPr>
            </w:pPr>
            <w:hyperlink r:id="rId21" w:history="1">
              <w:r w:rsidRPr="009E5D80">
                <w:rPr>
                  <w:rFonts w:eastAsia="Calibri"/>
                  <w:color w:val="0000FF"/>
                  <w:szCs w:val="24"/>
                  <w:u w:val="single"/>
                </w:rPr>
                <w:t>ktreadway@oneenergyllc.com</w:t>
              </w:r>
            </w:hyperlink>
          </w:p>
          <w:p w:rsidR="009E5D80" w:rsidRPr="009E5D80" w:rsidP="009E5D80" w14:paraId="2D07628A" w14:textId="77777777">
            <w:pPr>
              <w:jc w:val="both"/>
              <w:rPr>
                <w:rFonts w:eastAsia="Calibri"/>
                <w:color w:val="0000FF"/>
                <w:szCs w:val="24"/>
                <w:u w:val="single"/>
              </w:rPr>
            </w:pPr>
            <w:hyperlink r:id="rId22" w:history="1">
              <w:r w:rsidRPr="009E5D80">
                <w:rPr>
                  <w:rFonts w:eastAsia="Calibri"/>
                  <w:color w:val="0000FF"/>
                  <w:szCs w:val="24"/>
                  <w:u w:val="single"/>
                </w:rPr>
                <w:t>jdunn@oneenergyllc.com</w:t>
              </w:r>
            </w:hyperlink>
          </w:p>
          <w:p w:rsidR="009E5D80" w:rsidRPr="009E5D80" w:rsidP="009E5D80" w14:paraId="0F5C11F1" w14:textId="77777777">
            <w:pPr>
              <w:jc w:val="both"/>
              <w:rPr>
                <w:rFonts w:eastAsia="Calibri"/>
                <w:color w:val="0000FF"/>
                <w:szCs w:val="24"/>
                <w:u w:val="single"/>
              </w:rPr>
            </w:pPr>
            <w:hyperlink r:id="rId23" w:history="1">
              <w:r w:rsidRPr="009E5D80">
                <w:rPr>
                  <w:rFonts w:eastAsia="Calibri"/>
                  <w:color w:val="0000FF"/>
                  <w:szCs w:val="24"/>
                  <w:u w:val="single"/>
                </w:rPr>
                <w:t>whitt@whitt-sturtevant.com</w:t>
              </w:r>
            </w:hyperlink>
          </w:p>
          <w:p w:rsidR="009E5D80" w:rsidRPr="009E5D80" w:rsidP="009E5D80" w14:paraId="5A28FACE" w14:textId="77777777">
            <w:pPr>
              <w:autoSpaceDE w:val="0"/>
              <w:autoSpaceDN w:val="0"/>
              <w:rPr>
                <w:rFonts w:eastAsia="Calibri"/>
                <w:color w:val="0000FF"/>
                <w:szCs w:val="24"/>
                <w:u w:val="single"/>
              </w:rPr>
            </w:pPr>
            <w:hyperlink r:id="rId24" w:history="1">
              <w:r w:rsidRPr="009E5D80">
                <w:rPr>
                  <w:rFonts w:eastAsia="Calibri"/>
                  <w:color w:val="0000FF"/>
                  <w:szCs w:val="24"/>
                  <w:u w:val="single"/>
                </w:rPr>
                <w:t>rhartley@fbtlaw.com</w:t>
              </w:r>
            </w:hyperlink>
          </w:p>
          <w:p w:rsidR="009E5D80" w:rsidRPr="009E5D80" w:rsidP="009E5D80" w14:paraId="712A89C6" w14:textId="77777777">
            <w:pPr>
              <w:autoSpaceDE w:val="0"/>
              <w:autoSpaceDN w:val="0"/>
              <w:rPr>
                <w:rFonts w:eastAsia="Calibri"/>
                <w:color w:val="0000FF"/>
                <w:szCs w:val="24"/>
                <w:u w:val="single"/>
              </w:rPr>
            </w:pPr>
            <w:hyperlink r:id="rId25" w:history="1">
              <w:r w:rsidRPr="009E5D80">
                <w:rPr>
                  <w:rFonts w:eastAsia="Calibri"/>
                  <w:color w:val="0000FF"/>
                  <w:szCs w:val="24"/>
                  <w:u w:val="single"/>
                </w:rPr>
                <w:t>dcraig@fbtlaw.com</w:t>
              </w:r>
            </w:hyperlink>
          </w:p>
          <w:p w:rsidR="009E5D80" w:rsidRPr="009E5D80" w:rsidP="009E5D80" w14:paraId="07F46213" w14:textId="77777777">
            <w:pPr>
              <w:autoSpaceDE w:val="0"/>
              <w:autoSpaceDN w:val="0"/>
              <w:rPr>
                <w:rFonts w:eastAsia="Calibri"/>
                <w:color w:val="0000FF"/>
                <w:szCs w:val="24"/>
                <w:u w:val="single"/>
              </w:rPr>
            </w:pPr>
            <w:hyperlink r:id="rId26" w:history="1">
              <w:r w:rsidRPr="009E5D80">
                <w:rPr>
                  <w:rFonts w:eastAsia="Calibri"/>
                  <w:color w:val="0000FF"/>
                  <w:szCs w:val="24"/>
                  <w:u w:val="single"/>
                </w:rPr>
                <w:t>cwieg@fbtlaw.com</w:t>
              </w:r>
            </w:hyperlink>
          </w:p>
          <w:p w:rsidR="009E5D80" w:rsidRPr="009E5D80" w:rsidP="009E5D80" w14:paraId="4563312B" w14:textId="77777777">
            <w:pPr>
              <w:autoSpaceDE w:val="0"/>
              <w:autoSpaceDN w:val="0"/>
              <w:rPr>
                <w:rFonts w:eastAsia="Calibri"/>
                <w:color w:val="0000FF"/>
                <w:szCs w:val="24"/>
                <w:u w:val="single"/>
              </w:rPr>
            </w:pPr>
            <w:hyperlink r:id="rId27" w:history="1">
              <w:r w:rsidRPr="009E5D80">
                <w:rPr>
                  <w:rFonts w:eastAsia="Calibri"/>
                  <w:color w:val="0000FF"/>
                  <w:szCs w:val="24"/>
                  <w:u w:val="single"/>
                </w:rPr>
                <w:t>talexander@beneschlaw.com</w:t>
              </w:r>
            </w:hyperlink>
          </w:p>
          <w:p w:rsidR="009E5D80" w:rsidRPr="009E5D80" w:rsidP="009E5D80" w14:paraId="0962164A" w14:textId="77777777">
            <w:pPr>
              <w:autoSpaceDE w:val="0"/>
              <w:autoSpaceDN w:val="0"/>
              <w:rPr>
                <w:rFonts w:eastAsia="Calibri"/>
                <w:color w:val="0000FF"/>
                <w:szCs w:val="24"/>
                <w:u w:val="single"/>
              </w:rPr>
            </w:pPr>
            <w:hyperlink r:id="rId28" w:history="1">
              <w:r w:rsidRPr="009E5D80">
                <w:rPr>
                  <w:rFonts w:eastAsia="Calibri"/>
                  <w:color w:val="0000FF"/>
                  <w:szCs w:val="24"/>
                  <w:u w:val="single"/>
                </w:rPr>
                <w:t>khehmeyer@beneschlaw.com</w:t>
              </w:r>
            </w:hyperlink>
          </w:p>
          <w:p w:rsidR="009E5D80" w:rsidRPr="009E5D80" w:rsidP="009E5D80" w14:paraId="12FDDC4B" w14:textId="77777777">
            <w:pPr>
              <w:autoSpaceDE w:val="0"/>
              <w:autoSpaceDN w:val="0"/>
              <w:rPr>
                <w:rFonts w:eastAsia="Calibri"/>
                <w:color w:val="0000FF"/>
                <w:szCs w:val="24"/>
                <w:u w:val="single"/>
              </w:rPr>
            </w:pPr>
            <w:hyperlink r:id="rId29" w:history="1">
              <w:r w:rsidRPr="009E5D80">
                <w:rPr>
                  <w:rFonts w:eastAsia="Calibri"/>
                  <w:color w:val="0000FF"/>
                  <w:szCs w:val="24"/>
                  <w:u w:val="single"/>
                </w:rPr>
                <w:t>jweber@elpc.org</w:t>
              </w:r>
            </w:hyperlink>
          </w:p>
          <w:p w:rsidR="009E5D80" w:rsidRPr="009E5D80" w:rsidP="009E5D80" w14:paraId="2FF8E0B2" w14:textId="77777777">
            <w:pPr>
              <w:autoSpaceDE w:val="0"/>
              <w:autoSpaceDN w:val="0"/>
              <w:rPr>
                <w:rFonts w:eastAsia="Calibri"/>
                <w:color w:val="0000FF"/>
                <w:szCs w:val="24"/>
                <w:u w:val="single"/>
              </w:rPr>
            </w:pPr>
          </w:p>
          <w:p w:rsidR="009E5D80" w:rsidRPr="009E5D80" w:rsidP="009E5D80" w14:paraId="79D0D005" w14:textId="77777777">
            <w:pPr>
              <w:rPr>
                <w:rFonts w:eastAsia="Calibri"/>
                <w:color w:val="auto"/>
                <w:szCs w:val="24"/>
              </w:rPr>
            </w:pPr>
            <w:r w:rsidRPr="009E5D80">
              <w:rPr>
                <w:rFonts w:eastAsia="Calibri"/>
                <w:color w:val="auto"/>
                <w:szCs w:val="24"/>
              </w:rPr>
              <w:t>Attorney Examiners:</w:t>
            </w:r>
          </w:p>
          <w:p w:rsidR="009E5D80" w:rsidRPr="009E5D80" w:rsidP="009E5D80" w14:paraId="5AC95B55" w14:textId="77777777">
            <w:pPr>
              <w:rPr>
                <w:rFonts w:eastAsia="Calibri"/>
                <w:color w:val="0000FF"/>
                <w:szCs w:val="24"/>
                <w:u w:val="single"/>
              </w:rPr>
            </w:pPr>
            <w:hyperlink r:id="rId30" w:history="1">
              <w:r w:rsidRPr="009E5D80">
                <w:rPr>
                  <w:rFonts w:eastAsia="Calibri"/>
                  <w:color w:val="0000FF"/>
                  <w:szCs w:val="24"/>
                  <w:u w:val="single"/>
                </w:rPr>
                <w:t>patricia.schabo@puco.ohio.gov</w:t>
              </w:r>
            </w:hyperlink>
          </w:p>
          <w:p w:rsidR="009E5D80" w:rsidRPr="009E5D80" w:rsidP="009E5D80" w14:paraId="79C1AE1B" w14:textId="77777777">
            <w:pPr>
              <w:rPr>
                <w:rFonts w:eastAsia="Calibri"/>
                <w:color w:val="0000FF"/>
                <w:szCs w:val="24"/>
                <w:u w:val="single"/>
              </w:rPr>
            </w:pPr>
            <w:hyperlink r:id="rId31" w:history="1">
              <w:r w:rsidRPr="009E5D80">
                <w:rPr>
                  <w:rFonts w:eastAsia="Calibri"/>
                  <w:color w:val="0000FF"/>
                  <w:szCs w:val="24"/>
                  <w:u w:val="single"/>
                </w:rPr>
                <w:t>michael.williams@puco.ohio.gov</w:t>
              </w:r>
            </w:hyperlink>
          </w:p>
        </w:tc>
        <w:tc>
          <w:tcPr>
            <w:tcW w:w="4428" w:type="dxa"/>
            <w:tcMar>
              <w:top w:w="0" w:type="dxa"/>
              <w:left w:w="108" w:type="dxa"/>
              <w:bottom w:w="0" w:type="dxa"/>
              <w:right w:w="108" w:type="dxa"/>
            </w:tcMar>
          </w:tcPr>
          <w:p w:rsidR="009E5D80" w:rsidRPr="009E5D80" w:rsidP="009E5D80" w14:paraId="16414709" w14:textId="77777777">
            <w:pPr>
              <w:jc w:val="both"/>
              <w:rPr>
                <w:rFonts w:eastAsia="Calibri"/>
                <w:color w:val="0000FF"/>
                <w:szCs w:val="24"/>
                <w:u w:val="single"/>
              </w:rPr>
            </w:pPr>
            <w:hyperlink r:id="rId32" w:history="1">
              <w:r w:rsidRPr="009E5D80">
                <w:rPr>
                  <w:rFonts w:eastAsia="Calibri"/>
                  <w:color w:val="0000FF"/>
                  <w:szCs w:val="24"/>
                  <w:u w:val="single"/>
                </w:rPr>
                <w:t>bojko@carpenterlipps.com</w:t>
              </w:r>
            </w:hyperlink>
          </w:p>
          <w:p w:rsidR="009E5D80" w:rsidRPr="009E5D80" w:rsidP="009E5D80" w14:paraId="614ED63F" w14:textId="77777777">
            <w:pPr>
              <w:jc w:val="both"/>
              <w:rPr>
                <w:rFonts w:eastAsia="Calibri"/>
                <w:color w:val="0000FF"/>
                <w:szCs w:val="24"/>
                <w:u w:val="single"/>
              </w:rPr>
            </w:pPr>
            <w:hyperlink r:id="rId33" w:history="1">
              <w:r w:rsidRPr="009E5D80">
                <w:rPr>
                  <w:rFonts w:eastAsia="Calibri"/>
                  <w:color w:val="0000FF"/>
                  <w:szCs w:val="24"/>
                  <w:u w:val="single"/>
                </w:rPr>
                <w:t>paul@carpenterlipps.com</w:t>
              </w:r>
            </w:hyperlink>
          </w:p>
          <w:p w:rsidR="009E5D80" w:rsidRPr="009E5D80" w:rsidP="009E5D80" w14:paraId="287E0EA6" w14:textId="77777777">
            <w:pPr>
              <w:jc w:val="both"/>
              <w:rPr>
                <w:rFonts w:eastAsia="Calibri"/>
                <w:color w:val="0000FF"/>
                <w:szCs w:val="24"/>
                <w:u w:val="single"/>
              </w:rPr>
            </w:pPr>
            <w:hyperlink r:id="rId34" w:history="1">
              <w:r w:rsidRPr="009E5D80">
                <w:rPr>
                  <w:rFonts w:eastAsia="Calibri"/>
                  <w:color w:val="0000FF"/>
                  <w:szCs w:val="24"/>
                  <w:u w:val="single"/>
                </w:rPr>
                <w:t>wygonski@carpenterlipps.com</w:t>
              </w:r>
            </w:hyperlink>
          </w:p>
          <w:p w:rsidR="009E5D80" w:rsidRPr="009E5D80" w:rsidP="009E5D80" w14:paraId="0704AF07" w14:textId="77777777">
            <w:pPr>
              <w:autoSpaceDE w:val="0"/>
              <w:autoSpaceDN w:val="0"/>
              <w:rPr>
                <w:rFonts w:eastAsia="Calibri"/>
                <w:color w:val="0000FF"/>
                <w:szCs w:val="24"/>
                <w:u w:val="single"/>
              </w:rPr>
            </w:pPr>
            <w:hyperlink r:id="rId35" w:history="1">
              <w:r w:rsidRPr="009E5D80">
                <w:rPr>
                  <w:rFonts w:eastAsia="Calibri"/>
                  <w:color w:val="0000FF"/>
                  <w:szCs w:val="24"/>
                  <w:u w:val="single"/>
                </w:rPr>
                <w:t>jsharkey@ficlaw.com</w:t>
              </w:r>
            </w:hyperlink>
          </w:p>
          <w:p w:rsidR="009E5D80" w:rsidRPr="009E5D80" w:rsidP="009E5D80" w14:paraId="59BB6646" w14:textId="77777777">
            <w:pPr>
              <w:autoSpaceDE w:val="0"/>
              <w:autoSpaceDN w:val="0"/>
              <w:rPr>
                <w:rFonts w:eastAsia="Calibri"/>
                <w:color w:val="0000FF"/>
                <w:szCs w:val="24"/>
                <w:u w:val="single"/>
              </w:rPr>
            </w:pPr>
            <w:hyperlink r:id="rId36" w:history="1">
              <w:r w:rsidRPr="009E5D80">
                <w:rPr>
                  <w:rFonts w:eastAsia="Calibri"/>
                  <w:color w:val="0000FF"/>
                  <w:szCs w:val="24"/>
                  <w:u w:val="single"/>
                </w:rPr>
                <w:t>djireland@ficlaw.com</w:t>
              </w:r>
            </w:hyperlink>
          </w:p>
          <w:p w:rsidR="009E5D80" w:rsidRPr="009E5D80" w:rsidP="009E5D80" w14:paraId="054F7741" w14:textId="77777777">
            <w:pPr>
              <w:autoSpaceDE w:val="0"/>
              <w:autoSpaceDN w:val="0"/>
              <w:rPr>
                <w:rFonts w:eastAsia="Calibri"/>
                <w:color w:val="0000FF"/>
                <w:szCs w:val="24"/>
                <w:u w:val="single"/>
              </w:rPr>
            </w:pPr>
            <w:hyperlink r:id="rId37" w:history="1">
              <w:r w:rsidRPr="009E5D80">
                <w:rPr>
                  <w:rFonts w:eastAsia="Calibri"/>
                  <w:color w:val="0000FF"/>
                  <w:szCs w:val="24"/>
                  <w:u w:val="single"/>
                </w:rPr>
                <w:t>mwatt@ficlaw.com</w:t>
              </w:r>
            </w:hyperlink>
          </w:p>
          <w:p w:rsidR="009E5D80" w:rsidRPr="009E5D80" w:rsidP="009E5D80" w14:paraId="549EBAB3" w14:textId="77777777">
            <w:pPr>
              <w:autoSpaceDE w:val="0"/>
              <w:autoSpaceDN w:val="0"/>
              <w:rPr>
                <w:rFonts w:eastAsia="Calibri"/>
                <w:color w:val="0000FF"/>
                <w:szCs w:val="24"/>
                <w:u w:val="single"/>
              </w:rPr>
            </w:pPr>
            <w:hyperlink r:id="rId38" w:history="1">
              <w:r w:rsidRPr="009E5D80">
                <w:rPr>
                  <w:rFonts w:eastAsia="Calibri"/>
                  <w:color w:val="0000FF"/>
                  <w:szCs w:val="24"/>
                  <w:u w:val="single"/>
                </w:rPr>
                <w:t>christopher.hollon@aes.com</w:t>
              </w:r>
            </w:hyperlink>
          </w:p>
          <w:p w:rsidR="009E5D80" w:rsidRPr="009E5D80" w:rsidP="009E5D80" w14:paraId="686D46CE" w14:textId="77777777">
            <w:pPr>
              <w:autoSpaceDE w:val="0"/>
              <w:autoSpaceDN w:val="0"/>
              <w:rPr>
                <w:rFonts w:eastAsia="Calibri"/>
                <w:color w:val="0000FF"/>
                <w:szCs w:val="24"/>
                <w:u w:val="single"/>
              </w:rPr>
            </w:pPr>
            <w:hyperlink r:id="rId39" w:history="1">
              <w:r w:rsidRPr="009E5D80">
                <w:rPr>
                  <w:rFonts w:eastAsia="Calibri"/>
                  <w:color w:val="0000FF"/>
                  <w:szCs w:val="24"/>
                  <w:u w:val="single"/>
                </w:rPr>
                <w:t>mkurtz@BKLlawfirm.com</w:t>
              </w:r>
            </w:hyperlink>
          </w:p>
          <w:p w:rsidR="009E5D80" w:rsidRPr="009E5D80" w:rsidP="009E5D80" w14:paraId="43424E9D" w14:textId="77777777">
            <w:pPr>
              <w:autoSpaceDE w:val="0"/>
              <w:autoSpaceDN w:val="0"/>
              <w:rPr>
                <w:rFonts w:eastAsia="Calibri"/>
                <w:color w:val="0000FF"/>
                <w:szCs w:val="24"/>
                <w:u w:val="single"/>
              </w:rPr>
            </w:pPr>
            <w:hyperlink r:id="rId40" w:history="1">
              <w:r w:rsidRPr="009E5D80">
                <w:rPr>
                  <w:rFonts w:eastAsia="Calibri"/>
                  <w:color w:val="0000FF"/>
                  <w:szCs w:val="24"/>
                  <w:u w:val="single"/>
                </w:rPr>
                <w:t>kboehm@BKLlawfirm.com</w:t>
              </w:r>
            </w:hyperlink>
          </w:p>
          <w:p w:rsidR="009E5D80" w:rsidRPr="009E5D80" w:rsidP="009E5D80" w14:paraId="61CEA796" w14:textId="77777777">
            <w:pPr>
              <w:jc w:val="both"/>
              <w:rPr>
                <w:rFonts w:eastAsia="Calibri"/>
                <w:color w:val="0000FF"/>
                <w:szCs w:val="24"/>
                <w:u w:val="single"/>
              </w:rPr>
            </w:pPr>
            <w:hyperlink r:id="rId41" w:history="1">
              <w:r w:rsidRPr="009E5D80">
                <w:rPr>
                  <w:rFonts w:eastAsia="Calibri"/>
                  <w:color w:val="0000FF"/>
                  <w:szCs w:val="24"/>
                  <w:u w:val="single"/>
                </w:rPr>
                <w:t>jkylercohn@BKLlawfirm.com</w:t>
              </w:r>
            </w:hyperlink>
          </w:p>
          <w:p w:rsidR="009E5D80" w:rsidRPr="009E5D80" w:rsidP="009E5D80" w14:paraId="50001B6E" w14:textId="77777777">
            <w:pPr>
              <w:jc w:val="both"/>
              <w:rPr>
                <w:rFonts w:eastAsia="Calibri"/>
                <w:color w:val="0000FF"/>
                <w:szCs w:val="24"/>
                <w:u w:val="single"/>
              </w:rPr>
            </w:pPr>
            <w:hyperlink r:id="rId42" w:history="1">
              <w:r w:rsidRPr="009E5D80">
                <w:rPr>
                  <w:rFonts w:eastAsia="Calibri"/>
                  <w:color w:val="0000FF"/>
                  <w:szCs w:val="24"/>
                  <w:u w:val="single"/>
                </w:rPr>
                <w:t>bethany.allen@igs.com</w:t>
              </w:r>
            </w:hyperlink>
          </w:p>
          <w:p w:rsidR="009E5D80" w:rsidRPr="009E5D80" w:rsidP="009E5D80" w14:paraId="2F29210E" w14:textId="77777777">
            <w:pPr>
              <w:jc w:val="both"/>
              <w:rPr>
                <w:rFonts w:eastAsia="Calibri"/>
                <w:color w:val="0000FF"/>
                <w:szCs w:val="24"/>
                <w:u w:val="single"/>
              </w:rPr>
            </w:pPr>
            <w:hyperlink r:id="rId43" w:history="1">
              <w:r w:rsidRPr="009E5D80">
                <w:rPr>
                  <w:rFonts w:eastAsia="Calibri"/>
                  <w:color w:val="0000FF"/>
                  <w:szCs w:val="24"/>
                  <w:u w:val="single"/>
                </w:rPr>
                <w:t>Joe.oliker@igs.com</w:t>
              </w:r>
            </w:hyperlink>
          </w:p>
          <w:p w:rsidR="009E5D80" w:rsidRPr="009E5D80" w:rsidP="009E5D80" w14:paraId="57E5E49C" w14:textId="77777777">
            <w:pPr>
              <w:jc w:val="both"/>
              <w:rPr>
                <w:rFonts w:eastAsia="Calibri"/>
                <w:color w:val="0000FF"/>
                <w:szCs w:val="24"/>
                <w:u w:val="single"/>
              </w:rPr>
            </w:pPr>
            <w:hyperlink r:id="rId44" w:history="1">
              <w:r w:rsidRPr="009E5D80">
                <w:rPr>
                  <w:rFonts w:eastAsia="Calibri"/>
                  <w:color w:val="0000FF"/>
                  <w:szCs w:val="24"/>
                  <w:u w:val="single"/>
                </w:rPr>
                <w:t>Michael.nugent@igs.com</w:t>
              </w:r>
            </w:hyperlink>
          </w:p>
          <w:p w:rsidR="009E5D80" w:rsidRPr="009E5D80" w:rsidP="009E5D80" w14:paraId="29801C4D" w14:textId="77777777">
            <w:pPr>
              <w:jc w:val="both"/>
              <w:rPr>
                <w:rFonts w:eastAsia="Calibri"/>
                <w:color w:val="0000FF"/>
                <w:szCs w:val="24"/>
                <w:u w:val="single"/>
              </w:rPr>
            </w:pPr>
            <w:hyperlink r:id="rId45" w:history="1">
              <w:r w:rsidRPr="009E5D80">
                <w:rPr>
                  <w:rFonts w:eastAsia="Calibri"/>
                  <w:color w:val="0000FF"/>
                  <w:szCs w:val="24"/>
                  <w:u w:val="single"/>
                </w:rPr>
                <w:t>Evan.betterton@igs.com</w:t>
              </w:r>
            </w:hyperlink>
          </w:p>
          <w:p w:rsidR="009E5D80" w:rsidRPr="009E5D80" w:rsidP="009E5D80" w14:paraId="32CA7178" w14:textId="77777777">
            <w:pPr>
              <w:jc w:val="both"/>
              <w:rPr>
                <w:rFonts w:eastAsia="Calibri"/>
                <w:color w:val="0000FF"/>
                <w:szCs w:val="24"/>
                <w:u w:val="single"/>
              </w:rPr>
            </w:pPr>
            <w:hyperlink r:id="rId46" w:history="1">
              <w:r w:rsidRPr="009E5D80">
                <w:rPr>
                  <w:rFonts w:eastAsia="Calibri"/>
                  <w:color w:val="0000FF"/>
                  <w:szCs w:val="24"/>
                  <w:u w:val="single"/>
                </w:rPr>
                <w:t>Stephanie.chmiel@thompsonhine.com</w:t>
              </w:r>
            </w:hyperlink>
          </w:p>
          <w:p w:rsidR="009E5D80" w:rsidRPr="009E5D80" w:rsidP="009E5D80" w14:paraId="1B6FC49D" w14:textId="77777777">
            <w:pPr>
              <w:jc w:val="both"/>
              <w:rPr>
                <w:rFonts w:eastAsia="Calibri"/>
                <w:color w:val="0000FF"/>
                <w:szCs w:val="24"/>
                <w:u w:val="single"/>
              </w:rPr>
            </w:pPr>
            <w:hyperlink r:id="rId47" w:history="1">
              <w:r w:rsidRPr="009E5D80">
                <w:rPr>
                  <w:rFonts w:eastAsia="Calibri"/>
                  <w:color w:val="0000FF"/>
                  <w:szCs w:val="24"/>
                  <w:u w:val="single"/>
                </w:rPr>
                <w:t>Kevin.oles@thompsonhine.com</w:t>
              </w:r>
            </w:hyperlink>
          </w:p>
          <w:p w:rsidR="009E5D80" w:rsidRPr="009E5D80" w:rsidP="009E5D80" w14:paraId="29D68178" w14:textId="77777777">
            <w:pPr>
              <w:jc w:val="both"/>
              <w:rPr>
                <w:rFonts w:eastAsia="Calibri"/>
                <w:color w:val="0000FF"/>
                <w:szCs w:val="24"/>
                <w:u w:val="single"/>
              </w:rPr>
            </w:pPr>
            <w:hyperlink r:id="rId48" w:history="1">
              <w:r w:rsidRPr="009E5D80">
                <w:rPr>
                  <w:rFonts w:eastAsia="Calibri"/>
                  <w:color w:val="0000FF"/>
                  <w:szCs w:val="24"/>
                  <w:u w:val="single"/>
                </w:rPr>
                <w:t>rdove@keglerbrown.com</w:t>
              </w:r>
            </w:hyperlink>
          </w:p>
          <w:p w:rsidR="009E5D80" w:rsidRPr="009E5D80" w:rsidP="009E5D80" w14:paraId="2531A88B" w14:textId="77777777">
            <w:pPr>
              <w:jc w:val="both"/>
              <w:rPr>
                <w:rFonts w:eastAsia="Calibri"/>
                <w:color w:val="0000FF"/>
                <w:szCs w:val="24"/>
                <w:u w:val="single"/>
              </w:rPr>
            </w:pPr>
            <w:hyperlink r:id="rId49" w:history="1">
              <w:r w:rsidRPr="009E5D80">
                <w:rPr>
                  <w:rFonts w:eastAsia="Calibri"/>
                  <w:color w:val="0000FF"/>
                  <w:szCs w:val="24"/>
                  <w:u w:val="single"/>
                </w:rPr>
                <w:t>cgrundmann@spilmanlaw.com</w:t>
              </w:r>
            </w:hyperlink>
          </w:p>
          <w:p w:rsidR="009E5D80" w:rsidRPr="009E5D80" w:rsidP="009E5D80" w14:paraId="7D1BAF10" w14:textId="77777777">
            <w:pPr>
              <w:jc w:val="both"/>
              <w:rPr>
                <w:rFonts w:eastAsia="Calibri"/>
                <w:color w:val="0000FF"/>
                <w:szCs w:val="24"/>
                <w:u w:val="single"/>
              </w:rPr>
            </w:pPr>
            <w:hyperlink r:id="rId50" w:history="1">
              <w:r w:rsidRPr="009E5D80">
                <w:rPr>
                  <w:rFonts w:eastAsia="Calibri"/>
                  <w:color w:val="0000FF"/>
                  <w:szCs w:val="24"/>
                  <w:u w:val="single"/>
                </w:rPr>
                <w:t>dwilliamson@spilmanlaw.com</w:t>
              </w:r>
            </w:hyperlink>
          </w:p>
          <w:p w:rsidR="009E5D80" w:rsidRPr="009E5D80" w:rsidP="009E5D80" w14:paraId="2A17FF76" w14:textId="77777777">
            <w:pPr>
              <w:jc w:val="both"/>
              <w:rPr>
                <w:rFonts w:eastAsia="Calibri"/>
                <w:color w:val="0000FF"/>
                <w:szCs w:val="24"/>
                <w:u w:val="single"/>
              </w:rPr>
            </w:pPr>
            <w:hyperlink r:id="rId51" w:history="1">
              <w:r w:rsidRPr="009E5D80">
                <w:rPr>
                  <w:rFonts w:eastAsia="Calibri"/>
                  <w:color w:val="0000FF"/>
                  <w:szCs w:val="24"/>
                  <w:u w:val="single"/>
                </w:rPr>
                <w:t>ctavenor@theOEC.org</w:t>
              </w:r>
            </w:hyperlink>
          </w:p>
          <w:p w:rsidR="009E5D80" w:rsidRPr="009E5D80" w:rsidP="009E5D80" w14:paraId="75B01513" w14:textId="77777777">
            <w:pPr>
              <w:jc w:val="both"/>
              <w:rPr>
                <w:rFonts w:eastAsia="Calibri"/>
                <w:color w:val="0000FF"/>
                <w:szCs w:val="24"/>
                <w:u w:val="single"/>
              </w:rPr>
            </w:pPr>
          </w:p>
        </w:tc>
      </w:tr>
    </w:tbl>
    <w:p w:rsidR="00C77AB9" w:rsidRPr="007B3311" w:rsidP="00C77AB9" w14:paraId="4703828D" w14:textId="77777777">
      <w:pPr>
        <w:rPr>
          <w:szCs w:val="24"/>
        </w:rPr>
      </w:pPr>
    </w:p>
    <w:p w:rsidR="00AA2AA1" w:rsidRPr="007B3311" w:rsidP="00C77AB9" w14:paraId="2F4C627E" w14:textId="5C757AC3">
      <w:pPr>
        <w:jc w:val="center"/>
        <w:rPr>
          <w:b/>
          <w:bCs/>
          <w:szCs w:val="24"/>
          <w:u w:val="single"/>
        </w:rPr>
      </w:pPr>
    </w:p>
    <w:sectPr w:rsidSect="0011134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36E" w14:paraId="77A85578" w14:textId="4F5682D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455652"/>
      <w:docPartObj>
        <w:docPartGallery w:val="Page Numbers (Bottom of Page)"/>
        <w:docPartUnique/>
      </w:docPartObj>
    </w:sdtPr>
    <w:sdtEndPr>
      <w:rPr>
        <w:noProof/>
      </w:rPr>
    </w:sdtEndPr>
    <w:sdtContent>
      <w:p w:rsidR="00A52A4D" w14:paraId="35A7BD4A" w14:textId="3AD0E8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16AA" w:rsidP="00AA2AA1" w14:paraId="3CCBFEC5" w14:textId="77777777">
      <w:r>
        <w:separator/>
      </w:r>
    </w:p>
  </w:footnote>
  <w:footnote w:type="continuationSeparator" w:id="1">
    <w:p w:rsidR="003216AA" w:rsidP="00AA2AA1" w14:paraId="1C59B7CF" w14:textId="77777777">
      <w:r>
        <w:continuationSeparator/>
      </w:r>
    </w:p>
  </w:footnote>
  <w:footnote w:id="2">
    <w:p w:rsidR="00225588" w:rsidRPr="00B470DD" w:rsidP="00B470DD" w14:paraId="0906D2E6" w14:textId="7133FD91">
      <w:pPr>
        <w:pStyle w:val="FootnoteText"/>
        <w:spacing w:after="120"/>
        <w:rPr>
          <w:i/>
          <w:iCs/>
        </w:rPr>
      </w:pPr>
      <w:r w:rsidRPr="00B470DD">
        <w:rPr>
          <w:rStyle w:val="FootnoteReference"/>
        </w:rPr>
        <w:footnoteRef/>
      </w:r>
      <w:r w:rsidRPr="00B470DD">
        <w:t xml:space="preserve"> </w:t>
      </w:r>
      <w:r w:rsidRPr="00B470DD">
        <w:rPr>
          <w:i/>
          <w:iCs/>
        </w:rPr>
        <w:t xml:space="preserve">Id. </w:t>
      </w:r>
      <w:r w:rsidRPr="00B470DD">
        <w:t>at ¶ 227.</w:t>
      </w:r>
    </w:p>
  </w:footnote>
  <w:footnote w:id="3">
    <w:p w:rsidR="006E216F" w:rsidRPr="00B470DD" w:rsidP="00B470DD" w14:paraId="7CD95690" w14:textId="0A5B0A1B">
      <w:pPr>
        <w:pStyle w:val="FootnoteText"/>
        <w:spacing w:after="120"/>
      </w:pPr>
      <w:r w:rsidRPr="00B470DD">
        <w:rPr>
          <w:rStyle w:val="FootnoteReference"/>
        </w:rPr>
        <w:footnoteRef/>
      </w:r>
      <w:r w:rsidRPr="00B470DD">
        <w:t xml:space="preserve"> </w:t>
      </w:r>
      <w:r w:rsidRPr="00B470DD">
        <w:rPr>
          <w:i/>
          <w:iCs/>
        </w:rPr>
        <w:t xml:space="preserve">In re DP&amp;L ESP, </w:t>
      </w:r>
      <w:r w:rsidRPr="00B470DD">
        <w:t>Case No. 22-900-EL-SSO, Entry (Nov</w:t>
      </w:r>
      <w:r w:rsidR="0097188A">
        <w:t>ember</w:t>
      </w:r>
      <w:r w:rsidRPr="00B470DD">
        <w:t xml:space="preserve"> 21, 2022).</w:t>
      </w:r>
    </w:p>
  </w:footnote>
  <w:footnote w:id="4">
    <w:p w:rsidR="00423F6C" w:rsidRPr="00B470DD" w:rsidP="00B470DD" w14:paraId="161F5408" w14:textId="46B3213D">
      <w:pPr>
        <w:pStyle w:val="FootnoteText"/>
        <w:spacing w:after="120"/>
      </w:pPr>
      <w:r w:rsidRPr="00B470DD">
        <w:rPr>
          <w:rStyle w:val="FootnoteReference"/>
        </w:rPr>
        <w:footnoteRef/>
      </w:r>
      <w:r w:rsidRPr="00B470DD">
        <w:t xml:space="preserve"> </w:t>
      </w:r>
      <w:r w:rsidRPr="00B470DD" w:rsidR="00C47967">
        <w:t>Opinion and Order</w:t>
      </w:r>
      <w:r w:rsidRPr="00B470DD">
        <w:rPr>
          <w:i/>
          <w:iCs/>
        </w:rPr>
        <w:t xml:space="preserve"> </w:t>
      </w:r>
      <w:r w:rsidRPr="00B470DD">
        <w:t>at ¶ 225</w:t>
      </w:r>
      <w:r w:rsidRPr="00B470DD" w:rsidR="00C47967">
        <w:t xml:space="preserve"> (Dec</w:t>
      </w:r>
      <w:r w:rsidR="0097188A">
        <w:t>ember</w:t>
      </w:r>
      <w:r w:rsidRPr="00B470DD" w:rsidR="00C47967">
        <w:t xml:space="preserve"> 14, 2022).</w:t>
      </w:r>
    </w:p>
  </w:footnote>
  <w:footnote w:id="5">
    <w:p w:rsidR="00881FD2" w:rsidRPr="00B470DD" w:rsidP="00B470DD" w14:paraId="36E7335E" w14:textId="592C6196">
      <w:pPr>
        <w:pStyle w:val="FootnoteText"/>
        <w:spacing w:after="120"/>
      </w:pPr>
      <w:r w:rsidRPr="00B470DD">
        <w:rPr>
          <w:rStyle w:val="FootnoteReference"/>
        </w:rPr>
        <w:footnoteRef/>
      </w:r>
      <w:r w:rsidRPr="00B470DD">
        <w:t xml:space="preserve"> DP&amp;L </w:t>
      </w:r>
      <w:r w:rsidRPr="00B470DD" w:rsidR="00D80A2F">
        <w:t xml:space="preserve">Application for </w:t>
      </w:r>
      <w:r w:rsidRPr="00B470DD" w:rsidR="00F041CB">
        <w:t>Rehearing at</w:t>
      </w:r>
      <w:r w:rsidRPr="00B470DD">
        <w:t xml:space="preserve"> 1-2 (</w:t>
      </w:r>
      <w:r w:rsidRPr="00B470DD" w:rsidR="00D80A2F">
        <w:t>Jan</w:t>
      </w:r>
      <w:r w:rsidR="0097188A">
        <w:t>uary</w:t>
      </w:r>
      <w:r w:rsidRPr="00B470DD" w:rsidR="00D80A2F">
        <w:t xml:space="preserve"> 13, 2023</w:t>
      </w:r>
      <w:r w:rsidRPr="00B470DD">
        <w:t>).</w:t>
      </w:r>
    </w:p>
  </w:footnote>
  <w:footnote w:id="6">
    <w:p w:rsidR="00881FD2" w:rsidRPr="00B470DD" w:rsidP="00B470DD" w14:paraId="5EAA60BB" w14:textId="77777777">
      <w:pPr>
        <w:pStyle w:val="FootnoteText"/>
        <w:spacing w:after="120"/>
      </w:pPr>
      <w:r w:rsidRPr="00B470DD">
        <w:rPr>
          <w:rStyle w:val="FootnoteReference"/>
        </w:rPr>
        <w:footnoteRef/>
      </w:r>
      <w:r w:rsidRPr="00B470DD">
        <w:t xml:space="preserve"> </w:t>
      </w:r>
      <w:r w:rsidRPr="00B470DD">
        <w:rPr>
          <w:i/>
          <w:iCs/>
        </w:rPr>
        <w:t>Id</w:t>
      </w:r>
      <w:r w:rsidRPr="00B470DD">
        <w:t>.</w:t>
      </w:r>
    </w:p>
  </w:footnote>
  <w:footnote w:id="7">
    <w:p w:rsidR="00881FD2" w:rsidRPr="00B470DD" w:rsidP="00B470DD" w14:paraId="494DDFFE"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w:t>
      </w:r>
    </w:p>
  </w:footnote>
  <w:footnote w:id="8">
    <w:p w:rsidR="00881FD2" w:rsidRPr="00B470DD" w:rsidP="00B470DD" w14:paraId="4B96E8FE" w14:textId="77777777">
      <w:pPr>
        <w:pStyle w:val="FootnoteText"/>
        <w:spacing w:after="120"/>
      </w:pPr>
      <w:r w:rsidRPr="00B470DD">
        <w:rPr>
          <w:rStyle w:val="FootnoteReference"/>
        </w:rPr>
        <w:footnoteRef/>
      </w:r>
      <w:r w:rsidRPr="00B470DD">
        <w:t xml:space="preserve"> DP&amp;L Memorandum Contra at 2. </w:t>
      </w:r>
    </w:p>
  </w:footnote>
  <w:footnote w:id="9">
    <w:p w:rsidR="00881FD2" w:rsidRPr="00B470DD" w:rsidP="00B470DD" w14:paraId="77752A51"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at 3. </w:t>
      </w:r>
    </w:p>
  </w:footnote>
  <w:footnote w:id="10">
    <w:p w:rsidR="00881FD2" w:rsidRPr="00B470DD" w:rsidP="00B470DD" w14:paraId="64E561A8" w14:textId="5CFE1327">
      <w:pPr>
        <w:pStyle w:val="FootnoteText"/>
        <w:spacing w:after="120"/>
      </w:pPr>
      <w:r w:rsidRPr="00B470DD">
        <w:rPr>
          <w:rStyle w:val="FootnoteReference"/>
        </w:rPr>
        <w:footnoteRef/>
      </w:r>
      <w:r w:rsidRPr="00B470DD">
        <w:t xml:space="preserve"> </w:t>
      </w:r>
      <w:r w:rsidRPr="00B470DD">
        <w:rPr>
          <w:i/>
          <w:iCs/>
        </w:rPr>
        <w:t>In the Matter of the Application of the Dayton Power and Light Company to Increase Its Rates for Electric Distribution.,</w:t>
      </w:r>
      <w:r w:rsidRPr="00B470DD">
        <w:t xml:space="preserve"> Case No. 20-1651-EL-AIR, Opinion and Order at ¶ 208 (</w:t>
      </w:r>
      <w:r w:rsidRPr="00B470DD" w:rsidR="00D01983">
        <w:t>Dec</w:t>
      </w:r>
      <w:r w:rsidR="00BA5253">
        <w:t>ember</w:t>
      </w:r>
      <w:r w:rsidRPr="00B470DD" w:rsidR="00D01983">
        <w:t xml:space="preserve"> 14, 2022</w:t>
      </w:r>
      <w:r w:rsidRPr="00B470DD">
        <w:t xml:space="preserve">). </w:t>
      </w:r>
    </w:p>
  </w:footnote>
  <w:footnote w:id="11">
    <w:p w:rsidR="00881FD2" w:rsidRPr="00B470DD" w:rsidP="00B470DD" w14:paraId="4EE04A2A" w14:textId="77777777">
      <w:pPr>
        <w:pStyle w:val="FootnoteText"/>
        <w:spacing w:after="120"/>
      </w:pPr>
      <w:r w:rsidRPr="00B470DD">
        <w:rPr>
          <w:rStyle w:val="FootnoteReference"/>
        </w:rPr>
        <w:footnoteRef/>
      </w:r>
      <w:r w:rsidRPr="00B470DD">
        <w:t xml:space="preserve"> </w:t>
      </w:r>
      <w:r w:rsidRPr="00B470DD">
        <w:rPr>
          <w:i/>
          <w:iCs/>
        </w:rPr>
        <w:t>Id</w:t>
      </w:r>
      <w:r w:rsidRPr="00B470DD">
        <w:t>. at ¶ 221.</w:t>
      </w:r>
    </w:p>
  </w:footnote>
  <w:footnote w:id="12">
    <w:p w:rsidR="00881FD2" w:rsidRPr="00B470DD" w:rsidP="00B470DD" w14:paraId="0D8A08D3"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w:t>
      </w:r>
    </w:p>
  </w:footnote>
  <w:footnote w:id="13">
    <w:p w:rsidR="00881FD2" w:rsidRPr="00B470DD" w:rsidP="00B470DD" w14:paraId="038138C9"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w:t>
      </w:r>
    </w:p>
  </w:footnote>
  <w:footnote w:id="14">
    <w:p w:rsidR="00881FD2" w:rsidRPr="00B470DD" w:rsidP="00B470DD" w14:paraId="0F6C17FE"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at ¶ 209. </w:t>
      </w:r>
    </w:p>
  </w:footnote>
  <w:footnote w:id="15">
    <w:p w:rsidR="00881FD2" w:rsidRPr="00B470DD" w:rsidP="00B470DD" w14:paraId="40E11BC1"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at ¶ 210. </w:t>
      </w:r>
    </w:p>
  </w:footnote>
  <w:footnote w:id="16">
    <w:p w:rsidR="00881FD2" w:rsidRPr="00B470DD" w:rsidP="00B470DD" w14:paraId="16F28299" w14:textId="77777777">
      <w:pPr>
        <w:pStyle w:val="FootnoteText"/>
        <w:spacing w:after="120"/>
      </w:pPr>
      <w:r w:rsidRPr="00B470DD">
        <w:rPr>
          <w:rStyle w:val="FootnoteReference"/>
        </w:rPr>
        <w:footnoteRef/>
      </w:r>
      <w:r w:rsidRPr="00B470DD">
        <w:t xml:space="preserve"> </w:t>
      </w:r>
      <w:r w:rsidRPr="00B470DD">
        <w:rPr>
          <w:i/>
          <w:iCs/>
        </w:rPr>
        <w:t>Id</w:t>
      </w:r>
      <w:r w:rsidRPr="00B470DD">
        <w:t>.</w:t>
      </w:r>
    </w:p>
  </w:footnote>
  <w:footnote w:id="17">
    <w:p w:rsidR="00881FD2" w:rsidRPr="00B470DD" w:rsidP="00B470DD" w14:paraId="7088E5FF"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w:t>
      </w:r>
    </w:p>
  </w:footnote>
  <w:footnote w:id="18">
    <w:p w:rsidR="00881FD2" w:rsidRPr="00B470DD" w:rsidP="00B470DD" w14:paraId="4EEC4D3D"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at ¶ 221. </w:t>
      </w:r>
    </w:p>
  </w:footnote>
  <w:footnote w:id="19">
    <w:p w:rsidR="00881FD2" w:rsidRPr="00B470DD" w:rsidP="00B470DD" w14:paraId="5A5C02B0"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w:t>
      </w:r>
    </w:p>
  </w:footnote>
  <w:footnote w:id="20">
    <w:p w:rsidR="00881FD2" w:rsidRPr="00B470DD" w:rsidP="00B470DD" w14:paraId="16DFF880"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at ¶ 222. </w:t>
      </w:r>
    </w:p>
  </w:footnote>
  <w:footnote w:id="21">
    <w:p w:rsidR="00881FD2" w:rsidRPr="00B470DD" w:rsidP="00B470DD" w14:paraId="294D02D2"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w:t>
      </w:r>
    </w:p>
  </w:footnote>
  <w:footnote w:id="22">
    <w:p w:rsidR="00881FD2" w:rsidRPr="00B470DD" w:rsidP="00B470DD" w14:paraId="0A71EE3C" w14:textId="77777777">
      <w:pPr>
        <w:pStyle w:val="FootnoteText"/>
        <w:spacing w:after="120"/>
      </w:pPr>
      <w:r w:rsidRPr="00B470DD">
        <w:rPr>
          <w:rStyle w:val="FootnoteReference"/>
        </w:rPr>
        <w:footnoteRef/>
      </w:r>
      <w:r w:rsidRPr="00B470DD">
        <w:t xml:space="preserve"> </w:t>
      </w:r>
      <w:r w:rsidRPr="00B470DD">
        <w:rPr>
          <w:i/>
          <w:iCs/>
        </w:rPr>
        <w:t xml:space="preserve">Id. at </w:t>
      </w:r>
      <w:r w:rsidRPr="00B470DD">
        <w:t xml:space="preserve">¶ 223. </w:t>
      </w:r>
    </w:p>
  </w:footnote>
  <w:footnote w:id="23">
    <w:p w:rsidR="00881FD2" w:rsidRPr="00B470DD" w:rsidP="00B470DD" w14:paraId="4FCD3343"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w:t>
      </w:r>
    </w:p>
  </w:footnote>
  <w:footnote w:id="24">
    <w:p w:rsidR="00881FD2" w:rsidRPr="00B470DD" w:rsidP="00B470DD" w14:paraId="0E34656A"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w:t>
      </w:r>
    </w:p>
  </w:footnote>
  <w:footnote w:id="25">
    <w:p w:rsidR="00372341" w:rsidRPr="00B470DD" w:rsidP="00B470DD" w14:paraId="54C41A93" w14:textId="281E481E">
      <w:pPr>
        <w:pStyle w:val="FootnoteText"/>
        <w:spacing w:after="120"/>
      </w:pPr>
      <w:r w:rsidRPr="00B470DD">
        <w:rPr>
          <w:rStyle w:val="FootnoteReference"/>
        </w:rPr>
        <w:footnoteRef/>
      </w:r>
      <w:r w:rsidRPr="00B470DD">
        <w:t xml:space="preserve"> DP&amp;L Application for Rehearing at 22-24 (Jan</w:t>
      </w:r>
      <w:r w:rsidRPr="00B470DD" w:rsidR="003E0E3B">
        <w:t>uary</w:t>
      </w:r>
      <w:r w:rsidRPr="00B470DD">
        <w:t xml:space="preserve"> 13, 2023).</w:t>
      </w:r>
    </w:p>
  </w:footnote>
  <w:footnote w:id="26">
    <w:p w:rsidR="00186EAF" w:rsidRPr="00B470DD" w:rsidP="00B470DD" w14:paraId="60002274" w14:textId="63991027">
      <w:pPr>
        <w:pStyle w:val="FootnoteText"/>
        <w:spacing w:after="120"/>
      </w:pPr>
      <w:r w:rsidRPr="00B470DD">
        <w:rPr>
          <w:rStyle w:val="FootnoteReference"/>
        </w:rPr>
        <w:footnoteRef/>
      </w:r>
      <w:r w:rsidRPr="00B470DD">
        <w:t xml:space="preserve"> OCC Application for Rehearing at 3-7 (Jan</w:t>
      </w:r>
      <w:r w:rsidR="00BA5253">
        <w:t>uary</w:t>
      </w:r>
      <w:r w:rsidRPr="00B470DD">
        <w:t xml:space="preserve"> 13, 2023).</w:t>
      </w:r>
    </w:p>
  </w:footnote>
  <w:footnote w:id="27">
    <w:p w:rsidR="003875BD" w:rsidRPr="00B470DD" w:rsidP="00B470DD" w14:paraId="4494F841" w14:textId="796CEA8C">
      <w:pPr>
        <w:pStyle w:val="FootnoteText"/>
        <w:spacing w:after="120"/>
      </w:pPr>
      <w:r w:rsidRPr="00B470DD">
        <w:rPr>
          <w:rStyle w:val="FootnoteReference"/>
        </w:rPr>
        <w:footnoteRef/>
      </w:r>
      <w:r w:rsidRPr="00B470DD">
        <w:t xml:space="preserve"> Opinion and Order at ¶</w:t>
      </w:r>
      <w:r w:rsidRPr="00B470DD" w:rsidR="00396CE2">
        <w:t>¶</w:t>
      </w:r>
      <w:r w:rsidRPr="00B470DD">
        <w:t xml:space="preserve"> </w:t>
      </w:r>
      <w:r w:rsidRPr="00B470DD" w:rsidR="00396CE2">
        <w:t>65-68</w:t>
      </w:r>
      <w:r w:rsidRPr="00B470DD">
        <w:t xml:space="preserve"> (Dec</w:t>
      </w:r>
      <w:r w:rsidR="00BA5253">
        <w:t>ember</w:t>
      </w:r>
      <w:r w:rsidRPr="00B470DD">
        <w:t xml:space="preserve"> 14, 2022).</w:t>
      </w:r>
    </w:p>
  </w:footnote>
  <w:footnote w:id="28">
    <w:p w:rsidR="00186EAF" w:rsidRPr="00B470DD" w:rsidP="00B470DD" w14:paraId="06B308E1" w14:textId="7C308F9F">
      <w:pPr>
        <w:pStyle w:val="FootnoteText"/>
        <w:spacing w:after="120"/>
      </w:pPr>
      <w:r w:rsidRPr="00B470DD">
        <w:rPr>
          <w:rStyle w:val="FootnoteReference"/>
        </w:rPr>
        <w:footnoteRef/>
      </w:r>
      <w:r w:rsidRPr="00B470DD">
        <w:t xml:space="preserve"> OCC Application for Rehearing at 3-7 (Jan</w:t>
      </w:r>
      <w:r w:rsidR="00BA5253">
        <w:t>uary</w:t>
      </w:r>
      <w:r w:rsidRPr="00B470DD">
        <w:t xml:space="preserve"> 13, 2023).</w:t>
      </w:r>
    </w:p>
  </w:footnote>
  <w:footnote w:id="29">
    <w:p w:rsidR="00396CE2" w:rsidRPr="00B470DD" w:rsidP="00B470DD" w14:paraId="608A0A50" w14:textId="79F7B2BF">
      <w:pPr>
        <w:pStyle w:val="FootnoteText"/>
        <w:spacing w:after="120"/>
      </w:pPr>
      <w:r w:rsidRPr="00B470DD">
        <w:rPr>
          <w:rStyle w:val="FootnoteReference"/>
          <w:rFonts w:eastAsiaTheme="majorEastAsia"/>
        </w:rPr>
        <w:footnoteRef/>
      </w:r>
      <w:r w:rsidRPr="00B470DD">
        <w:t xml:space="preserve"> </w:t>
      </w:r>
      <w:r w:rsidRPr="00B470DD" w:rsidR="003805DF">
        <w:rPr>
          <w:i/>
          <w:iCs/>
        </w:rPr>
        <w:t>In the Matter of the 2016</w:t>
      </w:r>
      <w:r w:rsidRPr="00B470DD" w:rsidR="00240D0E">
        <w:rPr>
          <w:i/>
          <w:iCs/>
        </w:rPr>
        <w:t xml:space="preserve"> </w:t>
      </w:r>
      <w:r w:rsidRPr="00B470DD" w:rsidR="003805DF">
        <w:rPr>
          <w:i/>
          <w:iCs/>
        </w:rPr>
        <w:t>Review of the Distribution Investment Rider Contained</w:t>
      </w:r>
      <w:r w:rsidRPr="00B470DD" w:rsidR="00881FD2">
        <w:rPr>
          <w:i/>
          <w:iCs/>
        </w:rPr>
        <w:t xml:space="preserve"> </w:t>
      </w:r>
      <w:r w:rsidRPr="00B470DD" w:rsidR="003805DF">
        <w:rPr>
          <w:i/>
          <w:iCs/>
        </w:rPr>
        <w:t xml:space="preserve">in the Tariff of Ohio Power Company, </w:t>
      </w:r>
      <w:r w:rsidRPr="00B470DD" w:rsidR="003805DF">
        <w:t>Case No. 17-38-EL-RDR, Opinion and Order at ¶ 47 (</w:t>
      </w:r>
      <w:r w:rsidRPr="00B470DD">
        <w:t>June 17, 2020</w:t>
      </w:r>
      <w:r w:rsidRPr="00B470DD" w:rsidR="003805DF">
        <w:t xml:space="preserve">), </w:t>
      </w:r>
      <w:r w:rsidRPr="00B470DD" w:rsidR="003805DF">
        <w:rPr>
          <w:i/>
          <w:iCs/>
        </w:rPr>
        <w:t>citing</w:t>
      </w:r>
      <w:r w:rsidRPr="00B470DD">
        <w:t xml:space="preserve"> </w:t>
      </w:r>
      <w:r w:rsidRPr="00B470DD">
        <w:rPr>
          <w:bCs/>
          <w:i/>
        </w:rPr>
        <w:t>In re Duke Energy Ohio, Inc.,</w:t>
      </w:r>
      <w:r w:rsidRPr="00B470DD">
        <w:rPr>
          <w:bCs/>
          <w:iCs/>
        </w:rPr>
        <w:t xml:space="preserve"> Case No. 18-397-EL-RDR, Finding and Order (July 31, 2019) at ¶ 17</w:t>
      </w:r>
      <w:r w:rsidRPr="00B470DD">
        <w:rPr>
          <w:bCs/>
          <w:i/>
        </w:rPr>
        <w:t>; In re Duke Energy Ohio, Inc</w:t>
      </w:r>
      <w:r w:rsidRPr="00B470DD">
        <w:rPr>
          <w:bCs/>
          <w:iCs/>
        </w:rPr>
        <w:t xml:space="preserve">., Case No. 16-664-EL-RDR, Finding and Order (May 15, 2019) at ¶ 16; </w:t>
      </w:r>
      <w:r w:rsidRPr="00B470DD">
        <w:rPr>
          <w:bCs/>
          <w:i/>
        </w:rPr>
        <w:t>In re Duke Energy Ohio, Inc</w:t>
      </w:r>
      <w:r w:rsidRPr="00B470DD">
        <w:rPr>
          <w:bCs/>
          <w:iCs/>
        </w:rPr>
        <w:t>., Case No. 15-534-EL-RDR, Opinion and Order (Oct</w:t>
      </w:r>
      <w:r w:rsidR="00BA5253">
        <w:rPr>
          <w:bCs/>
          <w:iCs/>
        </w:rPr>
        <w:t>ober</w:t>
      </w:r>
      <w:r w:rsidRPr="00B470DD">
        <w:rPr>
          <w:bCs/>
          <w:iCs/>
        </w:rPr>
        <w:t xml:space="preserve"> 26, 2016) at ¶¶ 20, 44</w:t>
      </w:r>
      <w:r w:rsidRPr="00B470DD">
        <w:rPr>
          <w:bCs/>
          <w:i/>
        </w:rPr>
        <w:t>; In re Ohio American Water Co</w:t>
      </w:r>
      <w:r w:rsidRPr="00B470DD">
        <w:rPr>
          <w:bCs/>
          <w:iCs/>
        </w:rPr>
        <w:t xml:space="preserve">., Case No. 09-391-WS-AIR, Opinion and Order (May 5, 2010) at 20-22, Entry on Rehearing (June 23, 2010) at 11-12; </w:t>
      </w:r>
      <w:r w:rsidRPr="00B470DD">
        <w:rPr>
          <w:bCs/>
          <w:i/>
        </w:rPr>
        <w:t xml:space="preserve">In re Ohio Edison Co., </w:t>
      </w:r>
      <w:r w:rsidR="007B135F">
        <w:rPr>
          <w:bCs/>
          <w:i/>
        </w:rPr>
        <w:t>t</w:t>
      </w:r>
      <w:r w:rsidRPr="00B470DD">
        <w:rPr>
          <w:bCs/>
          <w:i/>
        </w:rPr>
        <w:t xml:space="preserve">he Cleveland Electric Illuminating Co., and </w:t>
      </w:r>
      <w:r w:rsidR="007B135F">
        <w:rPr>
          <w:bCs/>
          <w:i/>
        </w:rPr>
        <w:t>t</w:t>
      </w:r>
      <w:r w:rsidRPr="00B470DD">
        <w:rPr>
          <w:bCs/>
          <w:i/>
        </w:rPr>
        <w:t>he Toledo Edison Co</w:t>
      </w:r>
      <w:r w:rsidRPr="00B470DD">
        <w:rPr>
          <w:bCs/>
          <w:iCs/>
        </w:rPr>
        <w:t>., Case No. 07-551-EL-AIR, et al., Opinion and Order (Jan</w:t>
      </w:r>
      <w:r w:rsidR="00FF5B3F">
        <w:rPr>
          <w:bCs/>
          <w:iCs/>
        </w:rPr>
        <w:t>uary</w:t>
      </w:r>
      <w:r w:rsidRPr="00B470DD">
        <w:rPr>
          <w:bCs/>
          <w:iCs/>
        </w:rPr>
        <w:t xml:space="preserve"> 21, 2009) at 17, Entry on Rehearing (Feb</w:t>
      </w:r>
      <w:r w:rsidR="00FF5B3F">
        <w:rPr>
          <w:bCs/>
          <w:iCs/>
        </w:rPr>
        <w:t>ruary</w:t>
      </w:r>
      <w:r w:rsidRPr="00B470DD">
        <w:rPr>
          <w:bCs/>
          <w:iCs/>
        </w:rPr>
        <w:t xml:space="preserve"> 2, 2011) at 4-5.</w:t>
      </w:r>
    </w:p>
  </w:footnote>
  <w:footnote w:id="30">
    <w:p w:rsidR="0075214C" w:rsidRPr="00B470DD" w:rsidP="00B470DD" w14:paraId="7ED8E4CE" w14:textId="62F2BB60">
      <w:pPr>
        <w:pStyle w:val="FootnoteText"/>
        <w:spacing w:after="120"/>
      </w:pPr>
      <w:r w:rsidRPr="00B470DD">
        <w:rPr>
          <w:rStyle w:val="FootnoteReference"/>
        </w:rPr>
        <w:footnoteRef/>
      </w:r>
      <w:r w:rsidRPr="00B470DD">
        <w:t xml:space="preserve"> DP&amp;L Application for Rehearing at 2</w:t>
      </w:r>
      <w:r w:rsidRPr="00B470DD" w:rsidR="00A37B71">
        <w:t>5</w:t>
      </w:r>
      <w:r w:rsidRPr="00B470DD">
        <w:t xml:space="preserve"> (Jan</w:t>
      </w:r>
      <w:r w:rsidR="00FF5B3F">
        <w:t>uary</w:t>
      </w:r>
      <w:r w:rsidRPr="00B470DD">
        <w:t xml:space="preserve"> 13, 2023).</w:t>
      </w:r>
    </w:p>
  </w:footnote>
  <w:footnote w:id="31">
    <w:p w:rsidR="00A37B71" w:rsidRPr="00B470DD" w:rsidP="00B470DD" w14:paraId="30D42599" w14:textId="7380A503">
      <w:pPr>
        <w:pStyle w:val="FootnoteText"/>
        <w:spacing w:after="120"/>
        <w:rPr>
          <w:i/>
          <w:iCs/>
        </w:rPr>
      </w:pPr>
      <w:r w:rsidRPr="00B470DD">
        <w:rPr>
          <w:rStyle w:val="FootnoteReference"/>
        </w:rPr>
        <w:footnoteRef/>
      </w:r>
      <w:r w:rsidRPr="00B470DD">
        <w:t xml:space="preserve"> </w:t>
      </w:r>
      <w:r w:rsidRPr="00B470DD">
        <w:rPr>
          <w:i/>
          <w:iCs/>
        </w:rPr>
        <w:t>Id.</w:t>
      </w:r>
    </w:p>
  </w:footnote>
  <w:footnote w:id="32">
    <w:p w:rsidR="004D337E" w:rsidRPr="00B470DD" w:rsidP="00B470DD" w14:paraId="128966BE" w14:textId="5021B9E9">
      <w:pPr>
        <w:pStyle w:val="FootnoteText"/>
        <w:spacing w:after="120"/>
      </w:pPr>
      <w:r w:rsidRPr="00B470DD">
        <w:rPr>
          <w:rStyle w:val="FootnoteReference"/>
        </w:rPr>
        <w:footnoteRef/>
      </w:r>
      <w:r w:rsidRPr="00B470DD">
        <w:t xml:space="preserve"> R.C. 4903.10.</w:t>
      </w:r>
    </w:p>
  </w:footnote>
  <w:footnote w:id="33">
    <w:p w:rsidR="00A37B71" w:rsidRPr="00B470DD" w:rsidP="00B470DD" w14:paraId="40E5D72D" w14:textId="7A605722">
      <w:pPr>
        <w:pStyle w:val="FootnoteText"/>
        <w:spacing w:after="120"/>
      </w:pPr>
      <w:r w:rsidRPr="00B470DD">
        <w:rPr>
          <w:rStyle w:val="FootnoteReference"/>
        </w:rPr>
        <w:footnoteRef/>
      </w:r>
      <w:r w:rsidRPr="00B470DD">
        <w:t xml:space="preserve"> OCC Application for Rehearing at 18-24 (Jan</w:t>
      </w:r>
      <w:r w:rsidR="00FF5B3F">
        <w:t>uary</w:t>
      </w:r>
      <w:r w:rsidRPr="00B470DD">
        <w:t xml:space="preserve"> 13, 2023).</w:t>
      </w:r>
    </w:p>
  </w:footnote>
  <w:footnote w:id="34">
    <w:p w:rsidR="00190C2D" w:rsidRPr="00B470DD" w:rsidP="00B470DD" w14:paraId="7755479D" w14:textId="1A265059">
      <w:pPr>
        <w:pStyle w:val="FootnoteText"/>
        <w:spacing w:after="120"/>
      </w:pPr>
      <w:r w:rsidRPr="00B470DD">
        <w:rPr>
          <w:rStyle w:val="FootnoteReference"/>
        </w:rPr>
        <w:footnoteRef/>
      </w:r>
      <w:r w:rsidRPr="00B470DD">
        <w:t xml:space="preserve"> DP&amp;L Application for Rehearing at 25 (Jan</w:t>
      </w:r>
      <w:r w:rsidR="00FF5B3F">
        <w:t>uary</w:t>
      </w:r>
      <w:r w:rsidRPr="00B470DD">
        <w:t xml:space="preserve"> 13, 2023).</w:t>
      </w:r>
    </w:p>
  </w:footnote>
  <w:footnote w:id="35">
    <w:p w:rsidR="007673A2" w:rsidRPr="00B470DD" w:rsidP="00B470DD" w14:paraId="38979E34" w14:textId="4A608B90">
      <w:pPr>
        <w:pStyle w:val="FootnoteText"/>
        <w:spacing w:after="120"/>
      </w:pPr>
      <w:r w:rsidRPr="00B470DD">
        <w:rPr>
          <w:rStyle w:val="FootnoteReference"/>
        </w:rPr>
        <w:footnoteRef/>
      </w:r>
      <w:r w:rsidRPr="00B470DD">
        <w:t xml:space="preserve"> Opinion and Order at ¶ 179 (Dec</w:t>
      </w:r>
      <w:r w:rsidR="00FF5B3F">
        <w:t>ember</w:t>
      </w:r>
      <w:r w:rsidRPr="00B470DD">
        <w:t xml:space="preserve"> 14, 2022).</w:t>
      </w:r>
    </w:p>
  </w:footnote>
  <w:footnote w:id="36">
    <w:p w:rsidR="007673A2" w:rsidRPr="00B470DD" w:rsidP="00B470DD" w14:paraId="6DC44E4F" w14:textId="1CB04F0A">
      <w:pPr>
        <w:pStyle w:val="FootnoteText"/>
        <w:spacing w:after="120"/>
        <w:rPr>
          <w:i/>
          <w:iCs/>
        </w:rPr>
      </w:pPr>
      <w:r w:rsidRPr="00B470DD">
        <w:rPr>
          <w:rStyle w:val="FootnoteReference"/>
        </w:rPr>
        <w:footnoteRef/>
      </w:r>
      <w:r w:rsidRPr="00B470DD">
        <w:t xml:space="preserve"> </w:t>
      </w:r>
      <w:r w:rsidRPr="00B470DD">
        <w:rPr>
          <w:i/>
          <w:iCs/>
        </w:rPr>
        <w:t>Id.</w:t>
      </w:r>
    </w:p>
  </w:footnote>
  <w:footnote w:id="37">
    <w:p w:rsidR="000E5A81" w:rsidRPr="00B470DD" w:rsidP="00B470DD" w14:paraId="51603E7F" w14:textId="576815B8">
      <w:pPr>
        <w:pStyle w:val="FootnoteText"/>
        <w:spacing w:after="120"/>
        <w:rPr>
          <w:i/>
          <w:iCs/>
        </w:rPr>
      </w:pPr>
      <w:r w:rsidRPr="00B470DD">
        <w:rPr>
          <w:rStyle w:val="FootnoteReference"/>
        </w:rPr>
        <w:footnoteRef/>
      </w:r>
      <w:r w:rsidRPr="00B470DD">
        <w:t xml:space="preserve"> </w:t>
      </w:r>
      <w:r w:rsidRPr="00B470DD">
        <w:rPr>
          <w:i/>
          <w:iCs/>
        </w:rPr>
        <w:t>Id.</w:t>
      </w:r>
    </w:p>
  </w:footnote>
  <w:footnote w:id="38">
    <w:p w:rsidR="000E5A81" w:rsidRPr="00B470DD" w:rsidP="00B470DD" w14:paraId="5B039CB9" w14:textId="2B776D32">
      <w:pPr>
        <w:pStyle w:val="FootnoteText"/>
        <w:spacing w:after="120"/>
        <w:rPr>
          <w:i/>
          <w:iCs/>
        </w:rPr>
      </w:pPr>
      <w:r w:rsidRPr="00B470DD">
        <w:rPr>
          <w:rStyle w:val="FootnoteReference"/>
        </w:rPr>
        <w:footnoteRef/>
      </w:r>
      <w:r w:rsidRPr="00B470DD">
        <w:t xml:space="preserve"> </w:t>
      </w:r>
      <w:r w:rsidRPr="00B470DD">
        <w:rPr>
          <w:i/>
          <w:iCs/>
        </w:rPr>
        <w:t>Id.</w:t>
      </w:r>
    </w:p>
  </w:footnote>
  <w:footnote w:id="39">
    <w:p w:rsidR="000E5A81" w:rsidRPr="00B470DD" w:rsidP="00B470DD" w14:paraId="1FC91ABC" w14:textId="7B5B4B0E">
      <w:pPr>
        <w:pStyle w:val="FootnoteText"/>
        <w:spacing w:after="120"/>
      </w:pPr>
      <w:r w:rsidRPr="00B470DD">
        <w:rPr>
          <w:rStyle w:val="FootnoteReference"/>
        </w:rPr>
        <w:footnoteRef/>
      </w:r>
      <w:r w:rsidRPr="00B470DD">
        <w:t xml:space="preserve"> OCC Application for Rehearing at 18-24 (Jan</w:t>
      </w:r>
      <w:r w:rsidR="00FF5B3F">
        <w:t>uary</w:t>
      </w:r>
      <w:r w:rsidRPr="00B470DD">
        <w:t xml:space="preserve"> 13, 2023). (Citations omitted.)</w:t>
      </w:r>
    </w:p>
  </w:footnote>
  <w:footnote w:id="40">
    <w:p w:rsidR="000E5A81" w:rsidRPr="00B470DD" w:rsidP="00B470DD" w14:paraId="0656F811" w14:textId="58F54268">
      <w:pPr>
        <w:pStyle w:val="FootnoteText"/>
        <w:spacing w:after="120"/>
      </w:pPr>
      <w:r w:rsidRPr="00B470DD">
        <w:rPr>
          <w:rStyle w:val="FootnoteReference"/>
        </w:rPr>
        <w:footnoteRef/>
      </w:r>
      <w:r w:rsidRPr="00B470DD">
        <w:t xml:space="preserve"> Opinion and Order at ¶ 227 (Dec</w:t>
      </w:r>
      <w:r w:rsidR="00FF5B3F">
        <w:t>ember</w:t>
      </w:r>
      <w:r w:rsidRPr="00B470DD">
        <w:t xml:space="preserve"> 14, 2022).</w:t>
      </w:r>
    </w:p>
  </w:footnote>
  <w:footnote w:id="41">
    <w:p w:rsidR="006D37EC" w:rsidRPr="00B470DD" w:rsidP="00B470DD" w14:paraId="1F98BAAC" w14:textId="325A8282">
      <w:pPr>
        <w:pStyle w:val="FootnoteText"/>
        <w:spacing w:after="120"/>
      </w:pPr>
      <w:r w:rsidRPr="00B470DD">
        <w:rPr>
          <w:rStyle w:val="FootnoteReference"/>
        </w:rPr>
        <w:footnoteRef/>
      </w:r>
      <w:r w:rsidRPr="00B470DD">
        <w:t xml:space="preserve"> DP&amp;L Application for Rehearing at 26 (Jan</w:t>
      </w:r>
      <w:r w:rsidR="00FF5B3F">
        <w:t>uary</w:t>
      </w:r>
      <w:r w:rsidRPr="00B470DD">
        <w:t xml:space="preserve"> 13, 2023).</w:t>
      </w:r>
    </w:p>
  </w:footnote>
  <w:footnote w:id="42">
    <w:p w:rsidR="006D37EC" w:rsidRPr="00B470DD" w:rsidP="00B470DD" w14:paraId="58831BA7" w14:textId="07E46A00">
      <w:pPr>
        <w:pStyle w:val="FootnoteText"/>
        <w:spacing w:after="120"/>
      </w:pPr>
      <w:r w:rsidRPr="00B470DD">
        <w:rPr>
          <w:rStyle w:val="FootnoteReference"/>
        </w:rPr>
        <w:footnoteRef/>
      </w:r>
      <w:r w:rsidRPr="00B470DD">
        <w:t xml:space="preserve"> Opinion and Order at ¶ 157 (Dec</w:t>
      </w:r>
      <w:r w:rsidR="00FF5B3F">
        <w:t>ember</w:t>
      </w:r>
      <w:r w:rsidRPr="00B470DD">
        <w:t xml:space="preserve"> 14, 2022).</w:t>
      </w:r>
    </w:p>
  </w:footnote>
  <w:footnote w:id="43">
    <w:p w:rsidR="006D37EC" w:rsidRPr="00B470DD" w:rsidP="00B470DD" w14:paraId="5AC8D8D7" w14:textId="050AC9EC">
      <w:pPr>
        <w:pStyle w:val="FootnoteText"/>
        <w:spacing w:after="120"/>
      </w:pPr>
      <w:r w:rsidRPr="00B470DD">
        <w:rPr>
          <w:rStyle w:val="FootnoteReference"/>
        </w:rPr>
        <w:footnoteRef/>
      </w:r>
      <w:r w:rsidRPr="00B470DD">
        <w:t xml:space="preserve"> DP&amp;L Application for Rehearing at 26 (Jan</w:t>
      </w:r>
      <w:r w:rsidR="00FF5B3F">
        <w:t>uary</w:t>
      </w:r>
      <w:r w:rsidRPr="00B470DD">
        <w:t xml:space="preserve"> 13, 2023).</w:t>
      </w:r>
    </w:p>
  </w:footnote>
  <w:footnote w:id="44">
    <w:p w:rsidR="00AB6829" w:rsidRPr="00B470DD" w:rsidP="00B470DD" w14:paraId="217A738C" w14:textId="3D194125">
      <w:pPr>
        <w:pStyle w:val="FootnoteText"/>
        <w:spacing w:after="120"/>
      </w:pPr>
      <w:r w:rsidRPr="00B470DD">
        <w:rPr>
          <w:rStyle w:val="FootnoteReference"/>
        </w:rPr>
        <w:footnoteRef/>
      </w:r>
      <w:r w:rsidRPr="00B470DD">
        <w:t xml:space="preserve"> Testimony of OCC Witness Robert Fortney, OCC Ex. 4 at 8-11.</w:t>
      </w:r>
    </w:p>
  </w:footnote>
  <w:footnote w:id="45">
    <w:p w:rsidR="00AB6829" w:rsidRPr="00B470DD" w:rsidP="00B470DD" w14:paraId="53AA8EF8" w14:textId="14A1F782">
      <w:pPr>
        <w:pStyle w:val="FootnoteText"/>
        <w:spacing w:after="120"/>
        <w:rPr>
          <w:i/>
          <w:iCs/>
        </w:rPr>
      </w:pPr>
      <w:r w:rsidRPr="00B470DD">
        <w:rPr>
          <w:rStyle w:val="FootnoteReference"/>
        </w:rPr>
        <w:footnoteRef/>
      </w:r>
      <w:r w:rsidRPr="00B470DD">
        <w:t xml:space="preserve"> </w:t>
      </w:r>
      <w:r w:rsidRPr="00B470DD">
        <w:rPr>
          <w:i/>
          <w:iCs/>
        </w:rPr>
        <w:t>Id.</w:t>
      </w:r>
    </w:p>
  </w:footnote>
  <w:footnote w:id="46">
    <w:p w:rsidR="00AB6829" w:rsidRPr="00B470DD" w:rsidP="00B470DD" w14:paraId="1EC8E1AE" w14:textId="121D1371">
      <w:pPr>
        <w:pStyle w:val="FootnoteText"/>
        <w:spacing w:after="120"/>
      </w:pPr>
      <w:r w:rsidRPr="00B470DD">
        <w:rPr>
          <w:rStyle w:val="FootnoteReference"/>
        </w:rPr>
        <w:footnoteRef/>
      </w:r>
      <w:r w:rsidRPr="00B470DD">
        <w:t xml:space="preserve"> Opinion and Order at ¶ 157 (Dec</w:t>
      </w:r>
      <w:r w:rsidR="00FF5B3F">
        <w:t>ember</w:t>
      </w:r>
      <w:r w:rsidRPr="00B470DD">
        <w:t xml:space="preserve"> 14, 2022).</w:t>
      </w:r>
    </w:p>
  </w:footnote>
  <w:footnote w:id="47">
    <w:p w:rsidR="00473D3A" w:rsidRPr="00B470DD" w:rsidP="00B470DD" w14:paraId="14FD0728" w14:textId="24D471DD">
      <w:pPr>
        <w:pStyle w:val="FootnoteText"/>
        <w:spacing w:after="120"/>
      </w:pPr>
      <w:r w:rsidRPr="00B470DD">
        <w:rPr>
          <w:rStyle w:val="FootnoteReference"/>
        </w:rPr>
        <w:footnoteRef/>
      </w:r>
      <w:r w:rsidRPr="00B470DD">
        <w:t xml:space="preserve"> Opinion and Order (December 14, 2022) at ¶</w:t>
      </w:r>
      <w:r w:rsidRPr="00B470DD" w:rsidR="003E0E3B">
        <w:t xml:space="preserve"> </w:t>
      </w:r>
      <w:r w:rsidRPr="00B470DD">
        <w:t>44 and Tr. 1238-44.</w:t>
      </w:r>
    </w:p>
  </w:footnote>
  <w:footnote w:id="48">
    <w:p w:rsidR="00473D3A" w:rsidRPr="00B470DD" w:rsidP="00B470DD" w14:paraId="4A083BA8" w14:textId="77777777">
      <w:pPr>
        <w:pStyle w:val="FootnoteText"/>
        <w:spacing w:after="120"/>
      </w:pPr>
      <w:r w:rsidRPr="00B470DD">
        <w:rPr>
          <w:rStyle w:val="FootnoteReference"/>
        </w:rPr>
        <w:footnoteRef/>
      </w:r>
      <w:r w:rsidRPr="00B470DD">
        <w:t xml:space="preserve"> IGS Application for Rehearing (January 13, 2023) at 8 (“IGS AFR”).</w:t>
      </w:r>
    </w:p>
  </w:footnote>
  <w:footnote w:id="49">
    <w:p w:rsidR="00473D3A" w:rsidRPr="00B470DD" w:rsidP="00B470DD" w14:paraId="38E589BA" w14:textId="77777777">
      <w:pPr>
        <w:pStyle w:val="FootnoteText"/>
        <w:spacing w:after="120"/>
      </w:pPr>
      <w:r w:rsidRPr="00B470DD">
        <w:rPr>
          <w:rStyle w:val="FootnoteReference"/>
        </w:rPr>
        <w:footnoteRef/>
      </w:r>
      <w:r w:rsidRPr="00B470DD">
        <w:t xml:space="preserve"> </w:t>
      </w:r>
      <w:r w:rsidRPr="00B470DD">
        <w:rPr>
          <w:i/>
          <w:iCs/>
        </w:rPr>
        <w:t>Id.</w:t>
      </w:r>
    </w:p>
  </w:footnote>
  <w:footnote w:id="50">
    <w:p w:rsidR="00473D3A" w:rsidRPr="00B470DD" w:rsidP="00B470DD" w14:paraId="58E17B69" w14:textId="77777777">
      <w:pPr>
        <w:pStyle w:val="FootnoteText"/>
        <w:spacing w:after="120"/>
      </w:pPr>
      <w:r w:rsidRPr="00B470DD">
        <w:rPr>
          <w:rStyle w:val="FootnoteReference"/>
        </w:rPr>
        <w:footnoteRef/>
      </w:r>
      <w:r w:rsidRPr="00B470DD">
        <w:t xml:space="preserve"> </w:t>
      </w:r>
      <w:r w:rsidRPr="00B470DD">
        <w:rPr>
          <w:i/>
          <w:iCs/>
        </w:rPr>
        <w:t>Id.</w:t>
      </w:r>
    </w:p>
  </w:footnote>
  <w:footnote w:id="51">
    <w:p w:rsidR="00473D3A" w:rsidRPr="00B470DD" w:rsidP="00B470DD" w14:paraId="5D4858FD"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at 23.</w:t>
      </w:r>
    </w:p>
  </w:footnote>
  <w:footnote w:id="52">
    <w:p w:rsidR="00473D3A" w:rsidRPr="00B470DD" w:rsidP="00B470DD" w14:paraId="3B8AC6B0" w14:textId="4660AA28">
      <w:pPr>
        <w:pStyle w:val="FootnoteText"/>
        <w:spacing w:after="120"/>
      </w:pPr>
      <w:r w:rsidRPr="00B470DD">
        <w:rPr>
          <w:rStyle w:val="FootnoteReference"/>
        </w:rPr>
        <w:footnoteRef/>
      </w:r>
      <w:r w:rsidRPr="00B470DD">
        <w:t xml:space="preserve"> </w:t>
      </w:r>
      <w:r w:rsidRPr="00B470DD">
        <w:rPr>
          <w:i/>
          <w:iCs/>
        </w:rPr>
        <w:t>See</w:t>
      </w:r>
      <w:r w:rsidRPr="00B470DD">
        <w:t xml:space="preserve"> Case No. 20-585-EL-AIR (AEP Ohio) and 17-1263-EL-SSO (Duke), Opinion &amp; Order (Dec</w:t>
      </w:r>
      <w:r w:rsidR="00FF5B3F">
        <w:t>ember</w:t>
      </w:r>
      <w:r w:rsidRPr="00B470DD">
        <w:t xml:space="preserve"> 19, 2018); </w:t>
      </w:r>
      <w:r w:rsidRPr="00B470DD">
        <w:rPr>
          <w:i/>
          <w:iCs/>
        </w:rPr>
        <w:t>see also</w:t>
      </w:r>
      <w:r w:rsidRPr="00B470DD">
        <w:t xml:space="preserve"> </w:t>
      </w:r>
      <w:r w:rsidRPr="00B470DD">
        <w:rPr>
          <w:i/>
          <w:iCs/>
        </w:rPr>
        <w:t>Id.</w:t>
      </w:r>
      <w:r w:rsidRPr="00B470DD">
        <w:t xml:space="preserve"> ¶ 231; s</w:t>
      </w:r>
      <w:r w:rsidRPr="00B470DD">
        <w:rPr>
          <w:i/>
          <w:iCs/>
        </w:rPr>
        <w:t>ee also</w:t>
      </w:r>
      <w:r w:rsidRPr="00B470DD">
        <w:t xml:space="preserve"> Case No. 17-1263-EL-SSO, Second Entry on Rehearing ¶¶ 30-32 (July 27, 2019) (denying the same argument on rehearing).</w:t>
      </w:r>
    </w:p>
  </w:footnote>
  <w:footnote w:id="53">
    <w:p w:rsidR="00473D3A" w:rsidRPr="00B470DD" w:rsidP="00B470DD" w14:paraId="55F5338A" w14:textId="77777777">
      <w:pPr>
        <w:pStyle w:val="FootnoteText"/>
        <w:spacing w:after="120"/>
      </w:pPr>
      <w:r w:rsidRPr="00B470DD">
        <w:rPr>
          <w:rStyle w:val="FootnoteReference"/>
        </w:rPr>
        <w:footnoteRef/>
      </w:r>
      <w:r w:rsidRPr="00B470DD">
        <w:t xml:space="preserve"> IGS AFR at 8.</w:t>
      </w:r>
    </w:p>
  </w:footnote>
  <w:footnote w:id="54">
    <w:p w:rsidR="00473D3A" w:rsidRPr="00B470DD" w:rsidP="00B470DD" w14:paraId="3AC71AA9" w14:textId="77777777">
      <w:pPr>
        <w:pStyle w:val="FootnoteText"/>
        <w:spacing w:after="120"/>
      </w:pPr>
      <w:r w:rsidRPr="00B470DD">
        <w:rPr>
          <w:rStyle w:val="FootnoteReference"/>
        </w:rPr>
        <w:footnoteRef/>
      </w:r>
      <w:r w:rsidRPr="00B470DD">
        <w:t xml:space="preserve"> </w:t>
      </w:r>
      <w:r w:rsidRPr="00B470DD">
        <w:rPr>
          <w:i/>
          <w:iCs/>
        </w:rPr>
        <w:t>Id.</w:t>
      </w:r>
    </w:p>
  </w:footnote>
  <w:footnote w:id="55">
    <w:p w:rsidR="00473D3A" w:rsidRPr="00B470DD" w:rsidP="00B470DD" w14:paraId="0356A3F5" w14:textId="77777777">
      <w:pPr>
        <w:pStyle w:val="FootnoteText"/>
        <w:spacing w:after="120"/>
      </w:pPr>
      <w:r w:rsidRPr="00B470DD">
        <w:rPr>
          <w:rStyle w:val="FootnoteReference"/>
        </w:rPr>
        <w:footnoteRef/>
      </w:r>
      <w:r w:rsidRPr="00B470DD">
        <w:t xml:space="preserve"> </w:t>
      </w:r>
      <w:r w:rsidRPr="00B470DD">
        <w:rPr>
          <w:i/>
          <w:iCs/>
        </w:rPr>
        <w:t>Id.</w:t>
      </w:r>
    </w:p>
  </w:footnote>
  <w:footnote w:id="56">
    <w:p w:rsidR="00473D3A" w:rsidRPr="00B470DD" w:rsidP="00B470DD" w14:paraId="2DDCAA53"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at 23.</w:t>
      </w:r>
    </w:p>
  </w:footnote>
  <w:footnote w:id="57">
    <w:p w:rsidR="00473D3A" w:rsidRPr="00B470DD" w:rsidP="00B470DD" w14:paraId="057EEE19" w14:textId="77777777">
      <w:pPr>
        <w:pStyle w:val="FootnoteText"/>
        <w:spacing w:after="120"/>
      </w:pPr>
      <w:r w:rsidRPr="00B470DD">
        <w:rPr>
          <w:rStyle w:val="FootnoteReference"/>
        </w:rPr>
        <w:footnoteRef/>
      </w:r>
      <w:r w:rsidRPr="00B470DD">
        <w:t xml:space="preserve"> Opinion and Order at ¶ 47.</w:t>
      </w:r>
    </w:p>
  </w:footnote>
  <w:footnote w:id="58">
    <w:p w:rsidR="00473D3A" w:rsidRPr="00B470DD" w:rsidP="00B470DD" w14:paraId="7180F48B" w14:textId="77777777">
      <w:pPr>
        <w:pStyle w:val="FootnoteText"/>
        <w:spacing w:after="120"/>
      </w:pPr>
      <w:r w:rsidRPr="00B470DD">
        <w:rPr>
          <w:rStyle w:val="FootnoteReference"/>
        </w:rPr>
        <w:footnoteRef/>
      </w:r>
      <w:r w:rsidRPr="00B470DD">
        <w:t xml:space="preserve"> </w:t>
      </w:r>
      <w:r w:rsidRPr="00B470DD">
        <w:rPr>
          <w:i/>
          <w:iCs/>
        </w:rPr>
        <w:t>Id.</w:t>
      </w:r>
    </w:p>
  </w:footnote>
  <w:footnote w:id="59">
    <w:p w:rsidR="00473D3A" w:rsidRPr="00B470DD" w:rsidP="00B470DD" w14:paraId="7B3272ED" w14:textId="77777777">
      <w:pPr>
        <w:pStyle w:val="FootnoteText"/>
        <w:spacing w:after="120"/>
      </w:pPr>
      <w:r w:rsidRPr="00B470DD">
        <w:rPr>
          <w:rStyle w:val="FootnoteReference"/>
        </w:rPr>
        <w:footnoteRef/>
      </w:r>
      <w:r w:rsidRPr="00B470DD">
        <w:t xml:space="preserve"> </w:t>
      </w:r>
      <w:r w:rsidRPr="00B470DD">
        <w:rPr>
          <w:i/>
          <w:iCs/>
        </w:rPr>
        <w:t>Id.</w:t>
      </w:r>
    </w:p>
  </w:footnote>
  <w:footnote w:id="60">
    <w:p w:rsidR="00473D3A" w:rsidRPr="00B470DD" w:rsidP="00B470DD" w14:paraId="596FE6CE"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at ¶ 45-46; </w:t>
      </w:r>
      <w:r w:rsidRPr="00B470DD">
        <w:rPr>
          <w:i/>
          <w:iCs/>
        </w:rPr>
        <w:t>see also</w:t>
      </w:r>
      <w:r w:rsidRPr="00B470DD">
        <w:t xml:space="preserve"> </w:t>
      </w:r>
      <w:r w:rsidRPr="00B470DD">
        <w:rPr>
          <w:color w:val="212121"/>
        </w:rPr>
        <w:t xml:space="preserve">PUCO Staff Brief at 11-12; PUCO Staff Reply Brief at 39-40; PUCO Staff Ex. 8 at 6. </w:t>
      </w:r>
    </w:p>
  </w:footnote>
  <w:footnote w:id="61">
    <w:p w:rsidR="00473D3A" w:rsidRPr="00B470DD" w:rsidP="00B470DD" w14:paraId="34F65EA7" w14:textId="77777777">
      <w:pPr>
        <w:pStyle w:val="FootnoteText"/>
        <w:spacing w:after="120"/>
      </w:pPr>
      <w:r w:rsidRPr="00B470DD">
        <w:rPr>
          <w:rStyle w:val="FootnoteReference"/>
        </w:rPr>
        <w:footnoteRef/>
      </w:r>
      <w:r w:rsidRPr="00B470DD">
        <w:t xml:space="preserve"> </w:t>
      </w:r>
      <w:r w:rsidRPr="00B470DD">
        <w:rPr>
          <w:i/>
          <w:iCs/>
        </w:rPr>
        <w:t>Id</w:t>
      </w:r>
      <w:r w:rsidRPr="00B470DD">
        <w:t>.</w:t>
      </w:r>
    </w:p>
  </w:footnote>
  <w:footnote w:id="62">
    <w:p w:rsidR="00473D3A" w:rsidRPr="00B470DD" w:rsidP="00B470DD" w14:paraId="6A9A0322" w14:textId="77777777">
      <w:pPr>
        <w:pStyle w:val="FootnoteText"/>
        <w:spacing w:after="120"/>
      </w:pPr>
      <w:r w:rsidRPr="00B470DD">
        <w:rPr>
          <w:rStyle w:val="FootnoteReference"/>
        </w:rPr>
        <w:footnoteRef/>
      </w:r>
      <w:r w:rsidRPr="00B470DD">
        <w:t xml:space="preserve"> </w:t>
      </w:r>
      <w:r w:rsidRPr="00B470DD">
        <w:rPr>
          <w:i/>
          <w:iCs/>
        </w:rPr>
        <w:t>Id.</w:t>
      </w:r>
    </w:p>
  </w:footnote>
  <w:footnote w:id="63">
    <w:p w:rsidR="00473D3A" w:rsidRPr="00B470DD" w:rsidP="00B470DD" w14:paraId="317720B8" w14:textId="77777777">
      <w:pPr>
        <w:pStyle w:val="FootnoteText"/>
        <w:spacing w:after="120"/>
      </w:pPr>
      <w:r w:rsidRPr="00B470DD">
        <w:rPr>
          <w:rStyle w:val="FootnoteReference"/>
        </w:rPr>
        <w:footnoteRef/>
      </w:r>
      <w:r w:rsidRPr="00B470DD">
        <w:t xml:space="preserve"> DP&amp;L Brief at 68.</w:t>
      </w:r>
    </w:p>
  </w:footnote>
  <w:footnote w:id="64">
    <w:p w:rsidR="00473D3A" w:rsidRPr="00B470DD" w:rsidP="00B470DD" w14:paraId="422F05DD" w14:textId="77777777">
      <w:pPr>
        <w:pStyle w:val="FootnoteText"/>
        <w:spacing w:after="120"/>
      </w:pPr>
      <w:r w:rsidRPr="00B470DD">
        <w:rPr>
          <w:rStyle w:val="FootnoteReference"/>
        </w:rPr>
        <w:footnoteRef/>
      </w:r>
      <w:r w:rsidRPr="00B470DD">
        <w:t xml:space="preserve"> IGS AFR at 9-10.</w:t>
      </w:r>
    </w:p>
  </w:footnote>
  <w:footnote w:id="65">
    <w:p w:rsidR="00473D3A" w:rsidRPr="00B470DD" w:rsidP="00B470DD" w14:paraId="2100D304" w14:textId="0520E5F5">
      <w:pPr>
        <w:pStyle w:val="FootnoteText"/>
        <w:spacing w:after="120"/>
      </w:pPr>
      <w:r w:rsidRPr="00B470DD">
        <w:rPr>
          <w:rStyle w:val="FootnoteReference"/>
        </w:rPr>
        <w:footnoteRef/>
      </w:r>
      <w:r w:rsidRPr="00B470DD">
        <w:t xml:space="preserve"> Case No. 20-585-EL-AIR, Opinion and Order (November 17, 2021) at ¶</w:t>
      </w:r>
      <w:r w:rsidRPr="00B470DD" w:rsidR="003E0E3B">
        <w:t xml:space="preserve"> </w:t>
      </w:r>
      <w:r w:rsidRPr="00B470DD">
        <w:t>190.</w:t>
      </w:r>
    </w:p>
  </w:footnote>
  <w:footnote w:id="66">
    <w:p w:rsidR="001851D6" w:rsidRPr="00B470DD" w:rsidP="00B470DD" w14:paraId="5F653057" w14:textId="77777777">
      <w:pPr>
        <w:pStyle w:val="FootnoteText"/>
        <w:spacing w:after="120"/>
        <w:rPr>
          <w:i/>
          <w:iCs/>
        </w:rPr>
      </w:pPr>
      <w:r w:rsidRPr="00B470DD">
        <w:rPr>
          <w:rStyle w:val="FootnoteReference"/>
        </w:rPr>
        <w:footnoteRef/>
      </w:r>
      <w:r w:rsidRPr="00B470DD">
        <w:t xml:space="preserve"> </w:t>
      </w:r>
      <w:r w:rsidRPr="00B470DD">
        <w:rPr>
          <w:i/>
          <w:iCs/>
        </w:rPr>
        <w:t>Id.</w:t>
      </w:r>
    </w:p>
  </w:footnote>
  <w:footnote w:id="67">
    <w:p w:rsidR="00473D3A" w:rsidRPr="00B470DD" w:rsidP="00B470DD" w14:paraId="0923A5EA" w14:textId="77777777">
      <w:pPr>
        <w:pStyle w:val="FootnoteText"/>
        <w:spacing w:after="120"/>
      </w:pPr>
      <w:r w:rsidRPr="00B470DD">
        <w:rPr>
          <w:rStyle w:val="FootnoteReference"/>
        </w:rPr>
        <w:footnoteRef/>
      </w:r>
      <w:r w:rsidRPr="00B470DD">
        <w:t xml:space="preserve"> IGS AFR at 15-16.</w:t>
      </w:r>
    </w:p>
  </w:footnote>
  <w:footnote w:id="68">
    <w:p w:rsidR="00473D3A" w:rsidRPr="00B470DD" w:rsidP="00B470DD" w14:paraId="2E58E573" w14:textId="77777777">
      <w:pPr>
        <w:pStyle w:val="FootnoteText"/>
        <w:spacing w:after="120"/>
        <w:rPr>
          <w:i/>
          <w:iCs/>
        </w:rPr>
      </w:pPr>
      <w:r w:rsidRPr="00B470DD">
        <w:rPr>
          <w:rStyle w:val="FootnoteReference"/>
        </w:rPr>
        <w:footnoteRef/>
      </w:r>
      <w:r w:rsidRPr="00B470DD">
        <w:t xml:space="preserve"> </w:t>
      </w:r>
      <w:r w:rsidRPr="00B470DD">
        <w:rPr>
          <w:i/>
          <w:iCs/>
        </w:rPr>
        <w:t>Id.</w:t>
      </w:r>
    </w:p>
  </w:footnote>
  <w:footnote w:id="69">
    <w:p w:rsidR="00473D3A" w:rsidRPr="00B470DD" w:rsidP="00B470DD" w14:paraId="23673443" w14:textId="77777777">
      <w:pPr>
        <w:pStyle w:val="FootnoteText"/>
        <w:spacing w:after="120"/>
      </w:pPr>
      <w:r w:rsidRPr="00B470DD">
        <w:rPr>
          <w:rStyle w:val="FootnoteReference"/>
        </w:rPr>
        <w:footnoteRef/>
      </w:r>
      <w:r w:rsidRPr="00B470DD">
        <w:t xml:space="preserve"> </w:t>
      </w:r>
      <w:r w:rsidRPr="00B470DD">
        <w:rPr>
          <w:i/>
          <w:iCs/>
        </w:rPr>
        <w:t>Id.</w:t>
      </w:r>
    </w:p>
  </w:footnote>
  <w:footnote w:id="70">
    <w:p w:rsidR="00473D3A" w:rsidRPr="00B470DD" w:rsidP="00B470DD" w14:paraId="494CACC1" w14:textId="77777777">
      <w:pPr>
        <w:pStyle w:val="FootnoteText"/>
        <w:spacing w:after="120"/>
      </w:pPr>
      <w:r w:rsidRPr="00B470DD">
        <w:rPr>
          <w:rStyle w:val="FootnoteReference"/>
        </w:rPr>
        <w:footnoteRef/>
      </w:r>
      <w:r w:rsidRPr="00B470DD">
        <w:t xml:space="preserve"> </w:t>
      </w:r>
      <w:r w:rsidRPr="00B470DD">
        <w:rPr>
          <w:i/>
          <w:iCs/>
        </w:rPr>
        <w:t>Id.</w:t>
      </w:r>
    </w:p>
  </w:footnote>
  <w:footnote w:id="71">
    <w:p w:rsidR="00473D3A" w:rsidRPr="00B470DD" w:rsidP="00B470DD" w14:paraId="1D8C4DB8" w14:textId="3F3FBA9C">
      <w:pPr>
        <w:pStyle w:val="FootnoteText"/>
        <w:spacing w:after="120"/>
      </w:pPr>
      <w:r w:rsidRPr="00B470DD">
        <w:rPr>
          <w:rStyle w:val="FootnoteReference"/>
        </w:rPr>
        <w:footnoteRef/>
      </w:r>
      <w:r w:rsidRPr="00B470DD">
        <w:t xml:space="preserve"> </w:t>
      </w:r>
      <w:r w:rsidRPr="00B470DD">
        <w:rPr>
          <w:i/>
          <w:iCs/>
        </w:rPr>
        <w:t>In re Application of the Dayton Power &amp; Light Co. for an Increase in its Elec. Dist. Rates</w:t>
      </w:r>
      <w:r w:rsidRPr="00B470DD">
        <w:t>, Case No. 15-1830-EL-AIR, Opinion &amp; Order ¶ 12 (Sept</w:t>
      </w:r>
      <w:r w:rsidR="00EB3C59">
        <w:t>ember</w:t>
      </w:r>
      <w:r w:rsidRPr="00B470DD">
        <w:t xml:space="preserve"> 26, 2018) (the “DP&amp;L Rate Case Order”).</w:t>
      </w:r>
    </w:p>
  </w:footnote>
  <w:footnote w:id="72">
    <w:p w:rsidR="00473D3A" w:rsidRPr="00B470DD" w:rsidP="00B470DD" w14:paraId="2A8E4B03" w14:textId="77777777">
      <w:pPr>
        <w:pStyle w:val="FootnoteText"/>
        <w:spacing w:after="120"/>
      </w:pPr>
      <w:r w:rsidRPr="00B470DD">
        <w:rPr>
          <w:rStyle w:val="FootnoteReference"/>
        </w:rPr>
        <w:footnoteRef/>
      </w:r>
      <w:r w:rsidRPr="00B470DD">
        <w:t xml:space="preserve"> DP&amp;L Rate Case Order at ¶¶ 17-22.</w:t>
      </w:r>
    </w:p>
  </w:footnote>
  <w:footnote w:id="73">
    <w:p w:rsidR="00473D3A" w:rsidRPr="00B470DD" w:rsidP="00B470DD" w14:paraId="2FE06A4A" w14:textId="77777777">
      <w:pPr>
        <w:pStyle w:val="FootnoteText"/>
        <w:spacing w:after="120"/>
      </w:pPr>
      <w:r w:rsidRPr="00B470DD">
        <w:rPr>
          <w:rStyle w:val="FootnoteReference"/>
        </w:rPr>
        <w:footnoteRef/>
      </w:r>
      <w:r w:rsidRPr="00B470DD">
        <w:t xml:space="preserve"> </w:t>
      </w:r>
      <w:r w:rsidRPr="00B470DD">
        <w:rPr>
          <w:i/>
          <w:iCs/>
        </w:rPr>
        <w:t xml:space="preserve">Id. </w:t>
      </w:r>
      <w:r w:rsidRPr="00B470DD">
        <w:t>at ¶¶ 28-31.</w:t>
      </w:r>
    </w:p>
  </w:footnote>
  <w:footnote w:id="74">
    <w:p w:rsidR="00473D3A" w:rsidRPr="00B470DD" w:rsidP="00B470DD" w14:paraId="4F5A5533" w14:textId="63F6A6A7">
      <w:pPr>
        <w:pStyle w:val="FootnoteText"/>
        <w:spacing w:after="120"/>
      </w:pPr>
      <w:r w:rsidRPr="00B470DD">
        <w:rPr>
          <w:rStyle w:val="FootnoteReference"/>
        </w:rPr>
        <w:footnoteRef/>
      </w:r>
      <w:r w:rsidRPr="00B470DD">
        <w:t xml:space="preserve"> </w:t>
      </w:r>
      <w:r w:rsidRPr="00B470DD">
        <w:rPr>
          <w:i/>
          <w:iCs/>
        </w:rPr>
        <w:t>In re Application of Duke Energy Ohio, Inc. for Authority to Establish a Standard Service Offer</w:t>
      </w:r>
      <w:r w:rsidRPr="00B470DD">
        <w:t>, Case No. 17-1263-EL-SSO, Opinion &amp; Order (Dec</w:t>
      </w:r>
      <w:r w:rsidR="002C2EEA">
        <w:t>ember</w:t>
      </w:r>
      <w:r w:rsidRPr="00B470DD">
        <w:t xml:space="preserve"> 19, 2018).</w:t>
      </w:r>
    </w:p>
  </w:footnote>
  <w:footnote w:id="75">
    <w:p w:rsidR="00473D3A" w:rsidRPr="00B470DD" w:rsidP="00B470DD" w14:paraId="578367D5"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 231. </w:t>
      </w:r>
      <w:r w:rsidRPr="00B470DD">
        <w:rPr>
          <w:i/>
          <w:iCs/>
        </w:rPr>
        <w:t>See also</w:t>
      </w:r>
      <w:r w:rsidRPr="00B470DD">
        <w:t xml:space="preserve"> </w:t>
      </w:r>
      <w:r w:rsidRPr="00B470DD">
        <w:rPr>
          <w:i/>
          <w:iCs/>
        </w:rPr>
        <w:t>In re Application of Duke Energy Ohio, Inc. for Authority to Establish a Standard Service Offer</w:t>
      </w:r>
      <w:r w:rsidRPr="00B470DD">
        <w:t>, Case No. 17-1263-EL-SSO, Second Entry on Rehearing ¶¶ 30-32 (July 27, 2019) (denying the same argument on rehearing).</w:t>
      </w:r>
    </w:p>
  </w:footnote>
  <w:footnote w:id="76">
    <w:p w:rsidR="00473D3A" w:rsidRPr="00B470DD" w:rsidP="00B470DD" w14:paraId="67333C34" w14:textId="103797FD">
      <w:pPr>
        <w:pStyle w:val="FootnoteText"/>
        <w:spacing w:after="120"/>
      </w:pPr>
      <w:r w:rsidRPr="00B470DD">
        <w:rPr>
          <w:rStyle w:val="FootnoteReference"/>
        </w:rPr>
        <w:footnoteRef/>
      </w:r>
      <w:r w:rsidRPr="00B470DD">
        <w:t xml:space="preserve"> </w:t>
      </w:r>
      <w:r w:rsidRPr="00B470DD">
        <w:rPr>
          <w:i/>
          <w:iCs/>
        </w:rPr>
        <w:t>In re Application of Duke Energy Ohio, Inc. for Authority to Establish a Standard Service Offer</w:t>
      </w:r>
      <w:r w:rsidRPr="00B470DD">
        <w:t>, Case No. 14-841-EL-SSO, Opinion &amp; Order at 86 (Apr</w:t>
      </w:r>
      <w:r w:rsidR="000A7E95">
        <w:t>il</w:t>
      </w:r>
      <w:r w:rsidRPr="00B470DD">
        <w:t xml:space="preserve"> 2, 2015).</w:t>
      </w:r>
    </w:p>
  </w:footnote>
  <w:footnote w:id="77">
    <w:p w:rsidR="00473D3A" w:rsidRPr="00B470DD" w:rsidP="00B470DD" w14:paraId="33999153" w14:textId="77777777">
      <w:pPr>
        <w:pStyle w:val="FootnoteText"/>
        <w:spacing w:after="120"/>
      </w:pPr>
      <w:r w:rsidRPr="00B470DD">
        <w:rPr>
          <w:rStyle w:val="FootnoteReference"/>
        </w:rPr>
        <w:footnoteRef/>
      </w:r>
      <w:r w:rsidRPr="00B470DD">
        <w:t xml:space="preserve"> </w:t>
      </w:r>
      <w:r w:rsidRPr="00B470DD">
        <w:rPr>
          <w:i/>
          <w:iCs/>
        </w:rPr>
        <w:t>Id.</w:t>
      </w:r>
    </w:p>
  </w:footnote>
  <w:footnote w:id="78">
    <w:p w:rsidR="00473D3A" w:rsidRPr="00B470DD" w:rsidP="00B470DD" w14:paraId="2568EF5A" w14:textId="5A22A418">
      <w:pPr>
        <w:pStyle w:val="FootnoteText"/>
        <w:spacing w:after="120"/>
      </w:pPr>
      <w:r w:rsidRPr="00B470DD">
        <w:rPr>
          <w:rStyle w:val="FootnoteReference"/>
        </w:rPr>
        <w:footnoteRef/>
      </w:r>
      <w:r w:rsidRPr="00B470DD">
        <w:t xml:space="preserve"> AEP Ohio Rate Case,</w:t>
      </w:r>
      <w:r w:rsidRPr="00B470DD" w:rsidR="00881FD2">
        <w:t xml:space="preserve"> </w:t>
      </w:r>
      <w:r w:rsidRPr="00B470DD">
        <w:t>Opinion and Order at ¶¶ 174-183</w:t>
      </w:r>
      <w:r w:rsidRPr="00B470DD" w:rsidR="003E0E3B">
        <w:t xml:space="preserve"> </w:t>
      </w:r>
      <w:r w:rsidRPr="00B470DD">
        <w:t>(November 17, 2021).</w:t>
      </w:r>
      <w:r w:rsidRPr="00B470DD" w:rsidR="00881FD2">
        <w:t xml:space="preserve"> </w:t>
      </w:r>
    </w:p>
  </w:footnote>
  <w:footnote w:id="79">
    <w:p w:rsidR="00473D3A" w:rsidRPr="00B470DD" w:rsidP="00B470DD" w14:paraId="45B30D23" w14:textId="77777777">
      <w:pPr>
        <w:pStyle w:val="FootnoteText"/>
        <w:spacing w:after="120"/>
      </w:pPr>
      <w:r w:rsidRPr="00B470DD">
        <w:rPr>
          <w:rStyle w:val="FootnoteReference"/>
        </w:rPr>
        <w:footnoteRef/>
      </w:r>
      <w:r w:rsidRPr="00B470DD">
        <w:t xml:space="preserve"> </w:t>
      </w:r>
      <w:r w:rsidRPr="00B470DD">
        <w:rPr>
          <w:i/>
          <w:iCs/>
        </w:rPr>
        <w:t xml:space="preserve">Id. </w:t>
      </w:r>
      <w:r w:rsidRPr="00B470DD">
        <w:t xml:space="preserve">(Assuming typical usage of 1,000 kWh per month and the Marketers’ proposed rate of $0.0042 per kWh for SSO customers. </w:t>
      </w:r>
      <w:r w:rsidRPr="00B470DD">
        <w:rPr>
          <w:i/>
          <w:iCs/>
        </w:rPr>
        <w:t>See</w:t>
      </w:r>
      <w:r w:rsidRPr="00B470DD">
        <w:t xml:space="preserve"> Tr. Vol. V at 1058:23 – 1059:1 (Marketer witness Lacey testifying that under their proposal, SSO customers would pay $0.0042 per kWh)).</w:t>
      </w:r>
    </w:p>
  </w:footnote>
  <w:footnote w:id="80">
    <w:p w:rsidR="00473D3A" w:rsidRPr="00B470DD" w:rsidP="00B470DD" w14:paraId="010BCF76" w14:textId="77777777">
      <w:pPr>
        <w:pStyle w:val="FootnoteText"/>
        <w:spacing w:after="120"/>
      </w:pPr>
      <w:r w:rsidRPr="00B470DD">
        <w:rPr>
          <w:rStyle w:val="FootnoteReference"/>
        </w:rPr>
        <w:footnoteRef/>
      </w:r>
      <w:r w:rsidRPr="00B470DD">
        <w:t xml:space="preserve"> </w:t>
      </w:r>
      <w:r w:rsidRPr="00B470DD">
        <w:rPr>
          <w:i/>
          <w:iCs/>
        </w:rPr>
        <w:t>See</w:t>
      </w:r>
      <w:r w:rsidRPr="00B470DD">
        <w:t xml:space="preserve"> </w:t>
      </w:r>
      <w:r w:rsidRPr="00B470DD">
        <w:rPr>
          <w:i/>
          <w:iCs/>
        </w:rPr>
        <w:t xml:space="preserve">Id., </w:t>
      </w:r>
      <w:r w:rsidRPr="00B470DD">
        <w:t>Tr. Vol. V at 1059:2-5 (Marketer witness Lacey testifying that under their proposal, customers of marketers, sometimes called “shopping” customers, would get a credit of $0.0015 per kWh).</w:t>
      </w:r>
    </w:p>
  </w:footnote>
  <w:footnote w:id="81">
    <w:p w:rsidR="00473D3A" w:rsidRPr="00B470DD" w:rsidP="00B470DD" w14:paraId="3D2289E1" w14:textId="77777777">
      <w:pPr>
        <w:pStyle w:val="FootnoteText"/>
        <w:spacing w:after="120"/>
      </w:pPr>
      <w:r w:rsidRPr="00B470DD">
        <w:rPr>
          <w:rStyle w:val="FootnoteReference"/>
        </w:rPr>
        <w:footnoteRef/>
      </w:r>
      <w:r w:rsidRPr="00B470DD">
        <w:t xml:space="preserve"> </w:t>
      </w:r>
      <w:r w:rsidRPr="00B470DD">
        <w:rPr>
          <w:i/>
          <w:iCs/>
        </w:rPr>
        <w:t xml:space="preserve">Id. </w:t>
      </w:r>
      <w:r w:rsidRPr="00B470DD">
        <w:t>(The difference between a $50 charge and an $18 credit).</w:t>
      </w:r>
    </w:p>
  </w:footnote>
  <w:footnote w:id="82">
    <w:p w:rsidR="00473D3A" w:rsidRPr="00B470DD" w:rsidP="00B470DD" w14:paraId="7110566D" w14:textId="007B55BA">
      <w:pPr>
        <w:pStyle w:val="FootnoteText"/>
        <w:spacing w:after="120"/>
      </w:pPr>
      <w:r w:rsidRPr="00B470DD">
        <w:rPr>
          <w:rStyle w:val="FootnoteReference"/>
        </w:rPr>
        <w:footnoteRef/>
      </w:r>
      <w:r w:rsidRPr="00B470DD">
        <w:t xml:space="preserve"> AEP Ohio Rate Case,</w:t>
      </w:r>
      <w:r w:rsidRPr="00B470DD" w:rsidR="00881FD2">
        <w:t xml:space="preserve"> </w:t>
      </w:r>
      <w:r w:rsidRPr="00B470DD">
        <w:t>Opinion and Order at ¶ 183.</w:t>
      </w:r>
    </w:p>
  </w:footnote>
  <w:footnote w:id="83">
    <w:p w:rsidR="00473D3A" w:rsidRPr="00B470DD" w:rsidP="00B470DD" w14:paraId="1AD0892A" w14:textId="77777777">
      <w:pPr>
        <w:pStyle w:val="FootnoteText"/>
        <w:spacing w:after="120"/>
        <w:rPr>
          <w:i/>
          <w:iCs/>
        </w:rPr>
      </w:pPr>
      <w:r w:rsidRPr="00B470DD">
        <w:rPr>
          <w:rStyle w:val="FootnoteReference"/>
        </w:rPr>
        <w:footnoteRef/>
      </w:r>
      <w:r w:rsidRPr="00B470DD">
        <w:t xml:space="preserve"> </w:t>
      </w:r>
      <w:r w:rsidRPr="00B470DD">
        <w:rPr>
          <w:i/>
          <w:iCs/>
        </w:rPr>
        <w:t>Id.</w:t>
      </w:r>
    </w:p>
  </w:footnote>
  <w:footnote w:id="84">
    <w:p w:rsidR="00473D3A" w:rsidRPr="00B470DD" w:rsidP="00B470DD" w14:paraId="4D2AC395" w14:textId="77777777">
      <w:pPr>
        <w:pStyle w:val="FootnoteText"/>
        <w:spacing w:after="120"/>
      </w:pPr>
      <w:r w:rsidRPr="00B470DD">
        <w:rPr>
          <w:rStyle w:val="FootnoteReference"/>
        </w:rPr>
        <w:footnoteRef/>
      </w:r>
      <w:r w:rsidRPr="00B470DD">
        <w:t xml:space="preserve"> IGS AFR at 3, 19.</w:t>
      </w:r>
    </w:p>
  </w:footnote>
  <w:footnote w:id="85">
    <w:p w:rsidR="00473D3A" w:rsidRPr="00B470DD" w:rsidP="00B470DD" w14:paraId="7C9E1539" w14:textId="458918D1">
      <w:pPr>
        <w:pStyle w:val="FootnoteText"/>
        <w:spacing w:after="120"/>
      </w:pPr>
      <w:r w:rsidRPr="00B470DD">
        <w:rPr>
          <w:rStyle w:val="FootnoteReference"/>
        </w:rPr>
        <w:footnoteRef/>
      </w:r>
      <w:r w:rsidRPr="00B470DD">
        <w:t xml:space="preserve"> </w:t>
      </w:r>
      <w:r w:rsidRPr="00B470DD">
        <w:rPr>
          <w:i/>
          <w:iCs/>
        </w:rPr>
        <w:t>In re Ohio Power Co.</w:t>
      </w:r>
      <w:r w:rsidRPr="00B470DD">
        <w:t xml:space="preserve">, 2015-Ohio-2056, ¶ 16 (quoting </w:t>
      </w:r>
      <w:r w:rsidRPr="00B470DD">
        <w:rPr>
          <w:i/>
          <w:iCs/>
        </w:rPr>
        <w:t>Cleveland Elec. Illuminating Co. v. PUCO</w:t>
      </w:r>
      <w:r w:rsidRPr="00B470DD">
        <w:t>, 42 Ohio St.2d 403 (1975)).</w:t>
      </w:r>
    </w:p>
  </w:footnote>
  <w:footnote w:id="86">
    <w:p w:rsidR="00473D3A" w:rsidRPr="00B470DD" w:rsidP="00B470DD" w14:paraId="57A133B3" w14:textId="77777777">
      <w:pPr>
        <w:pStyle w:val="FootnoteText"/>
        <w:spacing w:after="120"/>
      </w:pPr>
      <w:r w:rsidRPr="00B470DD">
        <w:rPr>
          <w:rStyle w:val="FootnoteReference"/>
        </w:rPr>
        <w:footnoteRef/>
      </w:r>
      <w:r w:rsidRPr="00B470DD">
        <w:t xml:space="preserve"> R.C. 4928.141.</w:t>
      </w:r>
    </w:p>
  </w:footnote>
  <w:footnote w:id="87">
    <w:p w:rsidR="00473D3A" w:rsidRPr="00B470DD" w:rsidP="00B470DD" w14:paraId="5E494DF1" w14:textId="77777777">
      <w:pPr>
        <w:pStyle w:val="FootnoteText"/>
        <w:spacing w:after="120"/>
      </w:pPr>
      <w:r w:rsidRPr="00B470DD">
        <w:rPr>
          <w:rStyle w:val="FootnoteReference"/>
        </w:rPr>
        <w:footnoteRef/>
      </w:r>
      <w:r w:rsidRPr="00B470DD">
        <w:t xml:space="preserve"> </w:t>
      </w:r>
      <w:r w:rsidRPr="00B470DD">
        <w:rPr>
          <w:i/>
          <w:iCs/>
        </w:rPr>
        <w:t>In re Application of Duke Energy Ohio, Inc. for Authority to Establish a Standard Service Offer</w:t>
      </w:r>
      <w:r w:rsidRPr="00B470DD">
        <w:t>, Case No. 17-1263-EL-SSO, Second Entry on Rehearing ¶¶ 30-32 (July 27, 2019).</w:t>
      </w:r>
    </w:p>
  </w:footnote>
  <w:footnote w:id="88">
    <w:p w:rsidR="00473D3A" w:rsidRPr="00B470DD" w:rsidP="00B470DD" w14:paraId="3D3FF051" w14:textId="77777777">
      <w:pPr>
        <w:pStyle w:val="FootnoteText"/>
        <w:spacing w:after="120"/>
      </w:pPr>
      <w:r w:rsidRPr="00B470DD">
        <w:rPr>
          <w:rStyle w:val="FootnoteReference"/>
        </w:rPr>
        <w:footnoteRef/>
      </w:r>
      <w:r w:rsidRPr="00B470DD">
        <w:t xml:space="preserve"> </w:t>
      </w:r>
      <w:r w:rsidRPr="00B470DD">
        <w:rPr>
          <w:i/>
          <w:iCs/>
        </w:rPr>
        <w:t>Id.</w:t>
      </w:r>
      <w:r w:rsidRPr="00B470DD">
        <w:t xml:space="preserve"> ¶ 32.</w:t>
      </w:r>
    </w:p>
  </w:footnote>
  <w:footnote w:id="89">
    <w:p w:rsidR="00473D3A" w:rsidRPr="00B470DD" w:rsidP="00B470DD" w14:paraId="58F31E21" w14:textId="77777777">
      <w:pPr>
        <w:pStyle w:val="FootnoteText"/>
        <w:spacing w:after="120"/>
      </w:pPr>
      <w:r w:rsidRPr="00B470DD">
        <w:rPr>
          <w:rStyle w:val="FootnoteReference"/>
        </w:rPr>
        <w:footnoteRef/>
      </w:r>
      <w:r w:rsidRPr="00B470DD">
        <w:t xml:space="preserve"> IGS AFR at 15.</w:t>
      </w:r>
    </w:p>
  </w:footnote>
  <w:footnote w:id="90">
    <w:p w:rsidR="00473D3A" w:rsidRPr="00B470DD" w:rsidP="00B470DD" w14:paraId="01D7B581" w14:textId="77777777">
      <w:pPr>
        <w:pStyle w:val="FootnoteText"/>
        <w:spacing w:after="120"/>
        <w:rPr>
          <w:i/>
          <w:iCs/>
        </w:rPr>
      </w:pPr>
      <w:r w:rsidRPr="00B470DD">
        <w:rPr>
          <w:rStyle w:val="FootnoteReference"/>
        </w:rPr>
        <w:footnoteRef/>
      </w:r>
      <w:r w:rsidRPr="00B470DD">
        <w:t xml:space="preserve"> </w:t>
      </w:r>
      <w:r w:rsidRPr="00B470DD">
        <w:rPr>
          <w:i/>
          <w:iCs/>
        </w:rPr>
        <w:t>Id.</w:t>
      </w:r>
    </w:p>
  </w:footnote>
  <w:footnote w:id="91">
    <w:p w:rsidR="00473D3A" w:rsidRPr="00B470DD" w:rsidP="00B470DD" w14:paraId="4B5ABD5A" w14:textId="77777777">
      <w:pPr>
        <w:pStyle w:val="FootnoteText"/>
        <w:spacing w:after="120"/>
      </w:pPr>
      <w:r w:rsidRPr="00B470DD">
        <w:rPr>
          <w:rStyle w:val="FootnoteReference"/>
        </w:rPr>
        <w:footnoteRef/>
      </w:r>
      <w:r w:rsidRPr="00B470DD">
        <w:t xml:space="preserve"> Opinion and Order at ¶ 172.</w:t>
      </w:r>
    </w:p>
  </w:footnote>
  <w:footnote w:id="92">
    <w:p w:rsidR="00473D3A" w:rsidRPr="00B470DD" w:rsidP="00B470DD" w14:paraId="731EF4F8" w14:textId="77777777">
      <w:pPr>
        <w:pStyle w:val="FootnoteText"/>
        <w:spacing w:after="120"/>
      </w:pPr>
      <w:r w:rsidRPr="00B470DD">
        <w:rPr>
          <w:rStyle w:val="FootnoteReference"/>
        </w:rPr>
        <w:footnoteRef/>
      </w:r>
      <w:r w:rsidRPr="00B470DD">
        <w:t xml:space="preserve"> IGS AFR at 13-14.</w:t>
      </w:r>
    </w:p>
  </w:footnote>
  <w:footnote w:id="93">
    <w:p w:rsidR="00473D3A" w:rsidRPr="00B470DD" w:rsidP="00B470DD" w14:paraId="05A8C5AF" w14:textId="77777777">
      <w:pPr>
        <w:pStyle w:val="FootnoteText"/>
        <w:spacing w:after="120"/>
      </w:pPr>
      <w:r w:rsidRPr="00B470DD">
        <w:rPr>
          <w:rStyle w:val="FootnoteReference"/>
        </w:rPr>
        <w:footnoteRef/>
      </w:r>
      <w:r w:rsidRPr="00B470DD">
        <w:t xml:space="preserve"> Opinion and Order at ¶ 172.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48024B"/>
    <w:multiLevelType w:val="hybridMultilevel"/>
    <w:tmpl w:val="4874D8DE"/>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4094326"/>
    <w:multiLevelType w:val="hybridMultilevel"/>
    <w:tmpl w:val="799828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E253ACE"/>
    <w:multiLevelType w:val="hybridMultilevel"/>
    <w:tmpl w:val="93DE4DE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D1054C"/>
    <w:multiLevelType w:val="hybridMultilevel"/>
    <w:tmpl w:val="CD92131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BE1651"/>
    <w:multiLevelType w:val="hybridMultilevel"/>
    <w:tmpl w:val="5824B8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C235D72"/>
    <w:multiLevelType w:val="hybridMultilevel"/>
    <w:tmpl w:val="052CCE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600760B"/>
    <w:multiLevelType w:val="hybridMultilevel"/>
    <w:tmpl w:val="1D409148"/>
    <w:lvl w:ilvl="0">
      <w:start w:val="6"/>
      <w:numFmt w:val="upp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41F0C52"/>
    <w:multiLevelType w:val="hybridMultilevel"/>
    <w:tmpl w:val="DC52CFE6"/>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7B640110"/>
    <w:multiLevelType w:val="hybridMultilevel"/>
    <w:tmpl w:val="0900C7A4"/>
    <w:lvl w:ilvl="0">
      <w:start w:val="1"/>
      <w:numFmt w:val="decimal"/>
      <w:lvlText w:val="%1."/>
      <w:lvlJc w:val="left"/>
      <w:pPr>
        <w:ind w:left="1800" w:hanging="360"/>
      </w:pPr>
      <w:rPr>
        <w:rFonts w:hint="default"/>
        <w:b w:val="0"/>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4"/>
  </w:num>
  <w:num w:numId="3">
    <w:abstractNumId w:val="5"/>
  </w:num>
  <w:num w:numId="4">
    <w:abstractNumId w:val="1"/>
  </w:num>
  <w:num w:numId="5">
    <w:abstractNumId w:val="8"/>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A1"/>
    <w:rsid w:val="0000173C"/>
    <w:rsid w:val="00004590"/>
    <w:rsid w:val="00006B69"/>
    <w:rsid w:val="00031CD2"/>
    <w:rsid w:val="00036888"/>
    <w:rsid w:val="00037137"/>
    <w:rsid w:val="0004353C"/>
    <w:rsid w:val="00052A34"/>
    <w:rsid w:val="00060E8B"/>
    <w:rsid w:val="0006250B"/>
    <w:rsid w:val="000625E9"/>
    <w:rsid w:val="00065BE3"/>
    <w:rsid w:val="00076134"/>
    <w:rsid w:val="00080880"/>
    <w:rsid w:val="00080A00"/>
    <w:rsid w:val="00081D24"/>
    <w:rsid w:val="00082F5F"/>
    <w:rsid w:val="000846BD"/>
    <w:rsid w:val="00090EA8"/>
    <w:rsid w:val="00094B86"/>
    <w:rsid w:val="00096AA2"/>
    <w:rsid w:val="000A0619"/>
    <w:rsid w:val="000A7E95"/>
    <w:rsid w:val="000B55A6"/>
    <w:rsid w:val="000B7FD3"/>
    <w:rsid w:val="000D0AC9"/>
    <w:rsid w:val="000D2D75"/>
    <w:rsid w:val="000D3BFA"/>
    <w:rsid w:val="000D6FBE"/>
    <w:rsid w:val="000E10F0"/>
    <w:rsid w:val="000E5A81"/>
    <w:rsid w:val="000F102C"/>
    <w:rsid w:val="000F123F"/>
    <w:rsid w:val="000F7719"/>
    <w:rsid w:val="001037BD"/>
    <w:rsid w:val="00104DE6"/>
    <w:rsid w:val="00117F07"/>
    <w:rsid w:val="00120D88"/>
    <w:rsid w:val="0012117B"/>
    <w:rsid w:val="00137E4B"/>
    <w:rsid w:val="00143972"/>
    <w:rsid w:val="00144584"/>
    <w:rsid w:val="00157173"/>
    <w:rsid w:val="0015796A"/>
    <w:rsid w:val="001633AC"/>
    <w:rsid w:val="0018151B"/>
    <w:rsid w:val="0018272A"/>
    <w:rsid w:val="001851D6"/>
    <w:rsid w:val="00186EAF"/>
    <w:rsid w:val="00190C2D"/>
    <w:rsid w:val="00191DFA"/>
    <w:rsid w:val="001A01BF"/>
    <w:rsid w:val="001A179F"/>
    <w:rsid w:val="001A4581"/>
    <w:rsid w:val="001A773F"/>
    <w:rsid w:val="001B31DB"/>
    <w:rsid w:val="001B728F"/>
    <w:rsid w:val="001C1EEC"/>
    <w:rsid w:val="001C32BD"/>
    <w:rsid w:val="001D4BBD"/>
    <w:rsid w:val="001D7268"/>
    <w:rsid w:val="001F2851"/>
    <w:rsid w:val="001F4E7E"/>
    <w:rsid w:val="0020449B"/>
    <w:rsid w:val="00207046"/>
    <w:rsid w:val="0022137E"/>
    <w:rsid w:val="00222936"/>
    <w:rsid w:val="00222ADF"/>
    <w:rsid w:val="00225588"/>
    <w:rsid w:val="00235378"/>
    <w:rsid w:val="002403D2"/>
    <w:rsid w:val="00240D0E"/>
    <w:rsid w:val="0024143D"/>
    <w:rsid w:val="00251FF0"/>
    <w:rsid w:val="00252695"/>
    <w:rsid w:val="002558AF"/>
    <w:rsid w:val="002645BB"/>
    <w:rsid w:val="00266E6F"/>
    <w:rsid w:val="00273DC6"/>
    <w:rsid w:val="002909E5"/>
    <w:rsid w:val="00293A06"/>
    <w:rsid w:val="002A1C15"/>
    <w:rsid w:val="002A293F"/>
    <w:rsid w:val="002A436B"/>
    <w:rsid w:val="002C2EEA"/>
    <w:rsid w:val="002D50AE"/>
    <w:rsid w:val="002D7D49"/>
    <w:rsid w:val="002E6E09"/>
    <w:rsid w:val="002F32A5"/>
    <w:rsid w:val="00311403"/>
    <w:rsid w:val="003216AA"/>
    <w:rsid w:val="00321963"/>
    <w:rsid w:val="003373A5"/>
    <w:rsid w:val="00340480"/>
    <w:rsid w:val="00340B4F"/>
    <w:rsid w:val="00343D20"/>
    <w:rsid w:val="00345910"/>
    <w:rsid w:val="0035210D"/>
    <w:rsid w:val="00363DA3"/>
    <w:rsid w:val="003648F8"/>
    <w:rsid w:val="00372341"/>
    <w:rsid w:val="00372D59"/>
    <w:rsid w:val="00374A6D"/>
    <w:rsid w:val="00376F1C"/>
    <w:rsid w:val="003805DF"/>
    <w:rsid w:val="003875BD"/>
    <w:rsid w:val="00387F02"/>
    <w:rsid w:val="00390137"/>
    <w:rsid w:val="00391EBC"/>
    <w:rsid w:val="00396CE2"/>
    <w:rsid w:val="003B0133"/>
    <w:rsid w:val="003B7567"/>
    <w:rsid w:val="003D152F"/>
    <w:rsid w:val="003E0E3B"/>
    <w:rsid w:val="003E6CCF"/>
    <w:rsid w:val="003E6D18"/>
    <w:rsid w:val="003F0404"/>
    <w:rsid w:val="003F4E77"/>
    <w:rsid w:val="00401CCF"/>
    <w:rsid w:val="00423E3A"/>
    <w:rsid w:val="00423F6C"/>
    <w:rsid w:val="00425D83"/>
    <w:rsid w:val="0043250F"/>
    <w:rsid w:val="00437363"/>
    <w:rsid w:val="00473D3A"/>
    <w:rsid w:val="004740AF"/>
    <w:rsid w:val="004744FA"/>
    <w:rsid w:val="004769BF"/>
    <w:rsid w:val="00495DCE"/>
    <w:rsid w:val="004A313A"/>
    <w:rsid w:val="004A7CC7"/>
    <w:rsid w:val="004A7F30"/>
    <w:rsid w:val="004C33E3"/>
    <w:rsid w:val="004D09DD"/>
    <w:rsid w:val="004D337E"/>
    <w:rsid w:val="005007DE"/>
    <w:rsid w:val="005367A3"/>
    <w:rsid w:val="00557EC5"/>
    <w:rsid w:val="00564001"/>
    <w:rsid w:val="0057608B"/>
    <w:rsid w:val="00576FF4"/>
    <w:rsid w:val="005820C2"/>
    <w:rsid w:val="00582D00"/>
    <w:rsid w:val="005B1148"/>
    <w:rsid w:val="005B485F"/>
    <w:rsid w:val="005B4DFA"/>
    <w:rsid w:val="005B59B0"/>
    <w:rsid w:val="005B62E5"/>
    <w:rsid w:val="005D2B5D"/>
    <w:rsid w:val="005E22A8"/>
    <w:rsid w:val="005E3D43"/>
    <w:rsid w:val="00600AAC"/>
    <w:rsid w:val="00602F52"/>
    <w:rsid w:val="00603125"/>
    <w:rsid w:val="006032CD"/>
    <w:rsid w:val="006135A2"/>
    <w:rsid w:val="00615122"/>
    <w:rsid w:val="00620482"/>
    <w:rsid w:val="00632A4D"/>
    <w:rsid w:val="0063601E"/>
    <w:rsid w:val="0064110D"/>
    <w:rsid w:val="00645FE2"/>
    <w:rsid w:val="006530FE"/>
    <w:rsid w:val="00654896"/>
    <w:rsid w:val="00657595"/>
    <w:rsid w:val="006633E3"/>
    <w:rsid w:val="00673F29"/>
    <w:rsid w:val="00676D4B"/>
    <w:rsid w:val="006830A8"/>
    <w:rsid w:val="00685E57"/>
    <w:rsid w:val="00691D24"/>
    <w:rsid w:val="006A1FCA"/>
    <w:rsid w:val="006B22E8"/>
    <w:rsid w:val="006B2355"/>
    <w:rsid w:val="006B7684"/>
    <w:rsid w:val="006C019B"/>
    <w:rsid w:val="006C0D75"/>
    <w:rsid w:val="006C5631"/>
    <w:rsid w:val="006D37EC"/>
    <w:rsid w:val="006D41AF"/>
    <w:rsid w:val="006D6A32"/>
    <w:rsid w:val="006D7898"/>
    <w:rsid w:val="006E0F91"/>
    <w:rsid w:val="006E216F"/>
    <w:rsid w:val="006E4DBB"/>
    <w:rsid w:val="006F7620"/>
    <w:rsid w:val="00706722"/>
    <w:rsid w:val="00711028"/>
    <w:rsid w:val="00711B15"/>
    <w:rsid w:val="00715B0F"/>
    <w:rsid w:val="00716CAB"/>
    <w:rsid w:val="00724CEB"/>
    <w:rsid w:val="00731034"/>
    <w:rsid w:val="00736EB5"/>
    <w:rsid w:val="0074568A"/>
    <w:rsid w:val="0075214C"/>
    <w:rsid w:val="0075470C"/>
    <w:rsid w:val="0075747D"/>
    <w:rsid w:val="007673A2"/>
    <w:rsid w:val="0077540C"/>
    <w:rsid w:val="00783B88"/>
    <w:rsid w:val="00784076"/>
    <w:rsid w:val="007853B3"/>
    <w:rsid w:val="007A4FC2"/>
    <w:rsid w:val="007B135F"/>
    <w:rsid w:val="007B3311"/>
    <w:rsid w:val="007B5874"/>
    <w:rsid w:val="007D0B73"/>
    <w:rsid w:val="007D36A9"/>
    <w:rsid w:val="007E100E"/>
    <w:rsid w:val="007E13C1"/>
    <w:rsid w:val="008034D7"/>
    <w:rsid w:val="00816525"/>
    <w:rsid w:val="00817A83"/>
    <w:rsid w:val="008223F2"/>
    <w:rsid w:val="00822A01"/>
    <w:rsid w:val="00826EE6"/>
    <w:rsid w:val="00857115"/>
    <w:rsid w:val="008605CC"/>
    <w:rsid w:val="0086224D"/>
    <w:rsid w:val="00866D7F"/>
    <w:rsid w:val="0087373E"/>
    <w:rsid w:val="00881FD2"/>
    <w:rsid w:val="00890DEE"/>
    <w:rsid w:val="00893F99"/>
    <w:rsid w:val="008A5C26"/>
    <w:rsid w:val="008B1E43"/>
    <w:rsid w:val="008C29A8"/>
    <w:rsid w:val="008C30A1"/>
    <w:rsid w:val="008C47F7"/>
    <w:rsid w:val="008D0550"/>
    <w:rsid w:val="008D127D"/>
    <w:rsid w:val="008D4507"/>
    <w:rsid w:val="008F0818"/>
    <w:rsid w:val="008F61B3"/>
    <w:rsid w:val="008F78CD"/>
    <w:rsid w:val="00920440"/>
    <w:rsid w:val="00925319"/>
    <w:rsid w:val="009328BA"/>
    <w:rsid w:val="00935174"/>
    <w:rsid w:val="00935C21"/>
    <w:rsid w:val="00937E6C"/>
    <w:rsid w:val="009431E2"/>
    <w:rsid w:val="0095278F"/>
    <w:rsid w:val="0097188A"/>
    <w:rsid w:val="009777B1"/>
    <w:rsid w:val="00982F77"/>
    <w:rsid w:val="00983926"/>
    <w:rsid w:val="009847DE"/>
    <w:rsid w:val="009858F9"/>
    <w:rsid w:val="009B0EBD"/>
    <w:rsid w:val="009B113E"/>
    <w:rsid w:val="009B13E0"/>
    <w:rsid w:val="009B226A"/>
    <w:rsid w:val="009B343E"/>
    <w:rsid w:val="009C32B6"/>
    <w:rsid w:val="009C32D8"/>
    <w:rsid w:val="009C6D95"/>
    <w:rsid w:val="009C75AC"/>
    <w:rsid w:val="009C7BE1"/>
    <w:rsid w:val="009D02C9"/>
    <w:rsid w:val="009D3C63"/>
    <w:rsid w:val="009D5CCE"/>
    <w:rsid w:val="009E036E"/>
    <w:rsid w:val="009E3FFF"/>
    <w:rsid w:val="009E5D80"/>
    <w:rsid w:val="009F1473"/>
    <w:rsid w:val="009F3F5D"/>
    <w:rsid w:val="00A37B71"/>
    <w:rsid w:val="00A52A4D"/>
    <w:rsid w:val="00A56335"/>
    <w:rsid w:val="00A63C4A"/>
    <w:rsid w:val="00A66A5F"/>
    <w:rsid w:val="00A66D3D"/>
    <w:rsid w:val="00A66FBF"/>
    <w:rsid w:val="00A74233"/>
    <w:rsid w:val="00A93E42"/>
    <w:rsid w:val="00A95D77"/>
    <w:rsid w:val="00AA2AA1"/>
    <w:rsid w:val="00AA2BD6"/>
    <w:rsid w:val="00AA4D66"/>
    <w:rsid w:val="00AB6829"/>
    <w:rsid w:val="00AC2934"/>
    <w:rsid w:val="00AF7558"/>
    <w:rsid w:val="00B039C3"/>
    <w:rsid w:val="00B16F71"/>
    <w:rsid w:val="00B27935"/>
    <w:rsid w:val="00B31959"/>
    <w:rsid w:val="00B406F5"/>
    <w:rsid w:val="00B470DD"/>
    <w:rsid w:val="00B54757"/>
    <w:rsid w:val="00B64C27"/>
    <w:rsid w:val="00B6529E"/>
    <w:rsid w:val="00B7618B"/>
    <w:rsid w:val="00B81B2E"/>
    <w:rsid w:val="00B85923"/>
    <w:rsid w:val="00BA5253"/>
    <w:rsid w:val="00BB0C89"/>
    <w:rsid w:val="00BB1D3F"/>
    <w:rsid w:val="00BB2FB0"/>
    <w:rsid w:val="00BC7A5B"/>
    <w:rsid w:val="00BD59BB"/>
    <w:rsid w:val="00BE5177"/>
    <w:rsid w:val="00C10085"/>
    <w:rsid w:val="00C22CCB"/>
    <w:rsid w:val="00C24EE9"/>
    <w:rsid w:val="00C27221"/>
    <w:rsid w:val="00C3165A"/>
    <w:rsid w:val="00C35734"/>
    <w:rsid w:val="00C44EA5"/>
    <w:rsid w:val="00C47967"/>
    <w:rsid w:val="00C51B85"/>
    <w:rsid w:val="00C54706"/>
    <w:rsid w:val="00C70A3E"/>
    <w:rsid w:val="00C77AB9"/>
    <w:rsid w:val="00C826BF"/>
    <w:rsid w:val="00CA3793"/>
    <w:rsid w:val="00CB1DC7"/>
    <w:rsid w:val="00CB252B"/>
    <w:rsid w:val="00CC453B"/>
    <w:rsid w:val="00CF65CD"/>
    <w:rsid w:val="00D01983"/>
    <w:rsid w:val="00D248C1"/>
    <w:rsid w:val="00D25539"/>
    <w:rsid w:val="00D30B09"/>
    <w:rsid w:val="00D37E5C"/>
    <w:rsid w:val="00D514E6"/>
    <w:rsid w:val="00D51FE5"/>
    <w:rsid w:val="00D52E83"/>
    <w:rsid w:val="00D54276"/>
    <w:rsid w:val="00D543D2"/>
    <w:rsid w:val="00D63539"/>
    <w:rsid w:val="00D748A1"/>
    <w:rsid w:val="00D80A2F"/>
    <w:rsid w:val="00DB2E2F"/>
    <w:rsid w:val="00DC3D60"/>
    <w:rsid w:val="00DD3CB0"/>
    <w:rsid w:val="00DD50C8"/>
    <w:rsid w:val="00DE4364"/>
    <w:rsid w:val="00E00782"/>
    <w:rsid w:val="00E01570"/>
    <w:rsid w:val="00E1212C"/>
    <w:rsid w:val="00E16D3C"/>
    <w:rsid w:val="00E31CA8"/>
    <w:rsid w:val="00E31DA6"/>
    <w:rsid w:val="00E32B0F"/>
    <w:rsid w:val="00E433E2"/>
    <w:rsid w:val="00E530BA"/>
    <w:rsid w:val="00E82620"/>
    <w:rsid w:val="00EA03A7"/>
    <w:rsid w:val="00EA0710"/>
    <w:rsid w:val="00EA0981"/>
    <w:rsid w:val="00EB3C59"/>
    <w:rsid w:val="00EB5BB6"/>
    <w:rsid w:val="00EC1741"/>
    <w:rsid w:val="00EF618B"/>
    <w:rsid w:val="00EF62BD"/>
    <w:rsid w:val="00F01771"/>
    <w:rsid w:val="00F041CB"/>
    <w:rsid w:val="00F05E89"/>
    <w:rsid w:val="00F25D3A"/>
    <w:rsid w:val="00F37D03"/>
    <w:rsid w:val="00F41675"/>
    <w:rsid w:val="00F4788E"/>
    <w:rsid w:val="00F54153"/>
    <w:rsid w:val="00F549BB"/>
    <w:rsid w:val="00F65677"/>
    <w:rsid w:val="00F657D3"/>
    <w:rsid w:val="00F70FDD"/>
    <w:rsid w:val="00F81FE1"/>
    <w:rsid w:val="00F87244"/>
    <w:rsid w:val="00FA1D2F"/>
    <w:rsid w:val="00FB512F"/>
    <w:rsid w:val="00FE7DBD"/>
    <w:rsid w:val="00FF5B3F"/>
    <w:rsid w:val="00FF6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4D"/>
    <w:rPr>
      <w:rFonts w:ascii="Times New Roman" w:hAnsi="Times New Roman" w:cs="Times New Roman"/>
      <w:color w:val="000000"/>
      <w:szCs w:val="19"/>
    </w:rPr>
  </w:style>
  <w:style w:type="paragraph" w:styleId="Heading1">
    <w:name w:val="heading 1"/>
    <w:basedOn w:val="Normal"/>
    <w:next w:val="Normal"/>
    <w:link w:val="Heading1Char"/>
    <w:autoRedefine/>
    <w:qFormat/>
    <w:rsid w:val="00076134"/>
    <w:pPr>
      <w:keepNext/>
      <w:numPr>
        <w:numId w:val="9"/>
      </w:numPr>
      <w:spacing w:after="240"/>
      <w:ind w:left="720"/>
      <w:outlineLvl w:val="0"/>
    </w:pPr>
    <w:rPr>
      <w:rFonts w:ascii="Times New Roman Bold" w:eastAsia="Times New Roman" w:hAnsi="Times New Roman Bold"/>
      <w:b/>
      <w:caps/>
      <w:color w:val="auto"/>
      <w:szCs w:val="24"/>
    </w:rPr>
  </w:style>
  <w:style w:type="paragraph" w:styleId="Heading2">
    <w:name w:val="heading 2"/>
    <w:basedOn w:val="Normal"/>
    <w:next w:val="Normal"/>
    <w:link w:val="Heading2Char"/>
    <w:uiPriority w:val="9"/>
    <w:unhideWhenUsed/>
    <w:qFormat/>
    <w:rsid w:val="004769BF"/>
    <w:pPr>
      <w:keepNext/>
      <w:keepLines/>
      <w:spacing w:after="240"/>
      <w:ind w:left="1440" w:hanging="720"/>
      <w:outlineLvl w:val="1"/>
    </w:pPr>
    <w:rPr>
      <w:rFonts w:ascii="Times New Roman Bold" w:hAnsi="Times New Roman Bold" w:eastAsiaTheme="majorEastAsia" w:cstheme="majorBidi"/>
      <w:b/>
      <w:color w:val="auto"/>
      <w:szCs w:val="26"/>
    </w:rPr>
  </w:style>
  <w:style w:type="paragraph" w:styleId="Heading3">
    <w:name w:val="heading 3"/>
    <w:basedOn w:val="Normal"/>
    <w:next w:val="Normal"/>
    <w:link w:val="Heading3Char"/>
    <w:uiPriority w:val="9"/>
    <w:unhideWhenUsed/>
    <w:qFormat/>
    <w:rsid w:val="000F7719"/>
    <w:pPr>
      <w:keepNext/>
      <w:keepLines/>
      <w:spacing w:after="24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
    <w:basedOn w:val="Normal"/>
    <w:link w:val="FootnoteTextChar"/>
    <w:uiPriority w:val="99"/>
    <w:unhideWhenUsed/>
    <w:qFormat/>
    <w:rsid w:val="00AA2AA1"/>
    <w:rPr>
      <w:sz w:val="20"/>
      <w:szCs w:val="20"/>
    </w:rPr>
  </w:style>
  <w:style w:type="character" w:customStyle="1" w:styleId="FootnoteTextChar">
    <w:name w:val="Footnote Text Char"/>
    <w:aliases w:val="ALTS FOOTNOTE Char,Footnote Text Cha Char,Footnote Text Char Char Char Char Char1,Footnote Text Char Char Char1,Footnote Text Char1 Char Char1 Char Char Char Char1,Footnote Text Char1 Char Char1 Char1,Footnote Text Char1 Char1"/>
    <w:basedOn w:val="DefaultParagraphFont"/>
    <w:link w:val="FootnoteText"/>
    <w:uiPriority w:val="99"/>
    <w:rsid w:val="00AA2AA1"/>
    <w:rPr>
      <w:rFonts w:ascii="Times New Roman" w:hAnsi="Times New Roman" w:cs="Times New Roman"/>
      <w:color w:val="000000"/>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basedOn w:val="DefaultParagraphFont"/>
    <w:uiPriority w:val="99"/>
    <w:unhideWhenUsed/>
    <w:qFormat/>
    <w:rsid w:val="00AA2AA1"/>
    <w:rPr>
      <w:vertAlign w:val="superscript"/>
    </w:rPr>
  </w:style>
  <w:style w:type="paragraph" w:styleId="Footer">
    <w:name w:val="footer"/>
    <w:basedOn w:val="Normal"/>
    <w:link w:val="FooterChar"/>
    <w:uiPriority w:val="99"/>
    <w:unhideWhenUsed/>
    <w:rsid w:val="00AA2AA1"/>
    <w:pPr>
      <w:tabs>
        <w:tab w:val="center" w:pos="4680"/>
        <w:tab w:val="right" w:pos="9360"/>
      </w:tabs>
    </w:pPr>
  </w:style>
  <w:style w:type="character" w:customStyle="1" w:styleId="FooterChar">
    <w:name w:val="Footer Char"/>
    <w:basedOn w:val="DefaultParagraphFont"/>
    <w:link w:val="Footer"/>
    <w:uiPriority w:val="99"/>
    <w:rsid w:val="00AA2AA1"/>
    <w:rPr>
      <w:rFonts w:ascii="Times New Roman" w:hAnsi="Times New Roman" w:cs="Times New Roman"/>
      <w:color w:val="000000"/>
      <w:szCs w:val="19"/>
    </w:rPr>
  </w:style>
  <w:style w:type="paragraph" w:styleId="NormalWeb">
    <w:name w:val="Normal (Web)"/>
    <w:basedOn w:val="Normal"/>
    <w:uiPriority w:val="99"/>
    <w:unhideWhenUsed/>
    <w:rsid w:val="00600AAC"/>
    <w:pPr>
      <w:spacing w:before="100" w:beforeAutospacing="1" w:after="100" w:afterAutospacing="1"/>
    </w:pPr>
    <w:rPr>
      <w:rFonts w:eastAsia="Times New Roman"/>
      <w:color w:val="auto"/>
      <w:szCs w:val="24"/>
    </w:rPr>
  </w:style>
  <w:style w:type="character" w:styleId="CommentReference">
    <w:name w:val="annotation reference"/>
    <w:basedOn w:val="DefaultParagraphFont"/>
    <w:uiPriority w:val="99"/>
    <w:semiHidden/>
    <w:unhideWhenUsed/>
    <w:rsid w:val="00390137"/>
    <w:rPr>
      <w:sz w:val="16"/>
      <w:szCs w:val="16"/>
    </w:rPr>
  </w:style>
  <w:style w:type="paragraph" w:styleId="CommentText">
    <w:name w:val="annotation text"/>
    <w:basedOn w:val="Normal"/>
    <w:link w:val="CommentTextChar"/>
    <w:uiPriority w:val="99"/>
    <w:unhideWhenUsed/>
    <w:rsid w:val="00390137"/>
    <w:rPr>
      <w:sz w:val="20"/>
      <w:szCs w:val="20"/>
    </w:rPr>
  </w:style>
  <w:style w:type="character" w:customStyle="1" w:styleId="CommentTextChar">
    <w:name w:val="Comment Text Char"/>
    <w:basedOn w:val="DefaultParagraphFont"/>
    <w:link w:val="CommentText"/>
    <w:uiPriority w:val="99"/>
    <w:rsid w:val="00390137"/>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0137"/>
    <w:rPr>
      <w:b/>
      <w:bCs/>
    </w:rPr>
  </w:style>
  <w:style w:type="character" w:customStyle="1" w:styleId="CommentSubjectChar">
    <w:name w:val="Comment Subject Char"/>
    <w:basedOn w:val="CommentTextChar"/>
    <w:link w:val="CommentSubject"/>
    <w:uiPriority w:val="99"/>
    <w:semiHidden/>
    <w:rsid w:val="00390137"/>
    <w:rPr>
      <w:rFonts w:ascii="Times New Roman" w:hAnsi="Times New Roman" w:cs="Times New Roman"/>
      <w:b/>
      <w:bCs/>
      <w:color w:val="000000"/>
      <w:sz w:val="20"/>
      <w:szCs w:val="20"/>
    </w:rPr>
  </w:style>
  <w:style w:type="character" w:styleId="Hyperlink">
    <w:name w:val="Hyperlink"/>
    <w:basedOn w:val="DefaultParagraphFont"/>
    <w:uiPriority w:val="99"/>
    <w:unhideWhenUsed/>
    <w:rsid w:val="00390137"/>
    <w:rPr>
      <w:color w:val="0563C1" w:themeColor="hyperlink"/>
      <w:u w:val="single"/>
    </w:rPr>
  </w:style>
  <w:style w:type="paragraph" w:styleId="ListParagraph">
    <w:name w:val="List Paragraph"/>
    <w:basedOn w:val="Normal"/>
    <w:uiPriority w:val="34"/>
    <w:qFormat/>
    <w:rsid w:val="00390137"/>
    <w:pPr>
      <w:ind w:left="720"/>
      <w:contextualSpacing/>
    </w:pPr>
    <w:rPr>
      <w:rFonts w:eastAsia="Times New Roman"/>
      <w:color w:val="auto"/>
      <w:szCs w:val="24"/>
      <w:lang w:bidi="en-US"/>
    </w:rPr>
  </w:style>
  <w:style w:type="paragraph" w:styleId="HTMLPreformatted">
    <w:name w:val="HTML Preformatted"/>
    <w:basedOn w:val="Normal"/>
    <w:link w:val="HTMLPreformattedChar"/>
    <w:rsid w:val="0039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color w:val="auto"/>
      <w:sz w:val="20"/>
      <w:szCs w:val="20"/>
    </w:rPr>
  </w:style>
  <w:style w:type="character" w:customStyle="1" w:styleId="HTMLPreformattedChar">
    <w:name w:val="HTML Preformatted Char"/>
    <w:basedOn w:val="DefaultParagraphFont"/>
    <w:link w:val="HTMLPreformatted"/>
    <w:rsid w:val="00390137"/>
    <w:rPr>
      <w:rFonts w:ascii="Courier New" w:eastAsia="Courier New" w:hAnsi="Courier New" w:cs="Courier New"/>
      <w:bCs/>
      <w:sz w:val="20"/>
      <w:szCs w:val="20"/>
    </w:rPr>
  </w:style>
  <w:style w:type="paragraph" w:styleId="List">
    <w:name w:val="List"/>
    <w:basedOn w:val="Normal"/>
    <w:rsid w:val="00390137"/>
    <w:pPr>
      <w:ind w:left="360" w:hanging="360"/>
    </w:pPr>
    <w:rPr>
      <w:rFonts w:eastAsia="Times New Roman"/>
      <w:bCs/>
      <w:color w:val="auto"/>
      <w:szCs w:val="20"/>
    </w:rPr>
  </w:style>
  <w:style w:type="character" w:customStyle="1" w:styleId="sssh">
    <w:name w:val="ss_sh"/>
    <w:basedOn w:val="DefaultParagraphFont"/>
    <w:rsid w:val="00391EBC"/>
  </w:style>
  <w:style w:type="paragraph" w:styleId="Revision">
    <w:name w:val="Revision"/>
    <w:hidden/>
    <w:uiPriority w:val="99"/>
    <w:semiHidden/>
    <w:rsid w:val="00B81B2E"/>
    <w:rPr>
      <w:rFonts w:ascii="Times New Roman" w:hAnsi="Times New Roman" w:cs="Times New Roman"/>
      <w:color w:val="000000"/>
      <w:szCs w:val="19"/>
    </w:rPr>
  </w:style>
  <w:style w:type="paragraph" w:styleId="BodyText">
    <w:name w:val="Body Text"/>
    <w:basedOn w:val="Normal"/>
    <w:link w:val="BodyTextChar"/>
    <w:rsid w:val="00C77AB9"/>
    <w:pPr>
      <w:jc w:val="both"/>
    </w:pPr>
    <w:rPr>
      <w:rFonts w:eastAsia="Times New Roman"/>
      <w:color w:val="auto"/>
      <w:szCs w:val="20"/>
    </w:rPr>
  </w:style>
  <w:style w:type="character" w:customStyle="1" w:styleId="BodyTextChar">
    <w:name w:val="Body Text Char"/>
    <w:basedOn w:val="DefaultParagraphFont"/>
    <w:link w:val="BodyText"/>
    <w:rsid w:val="00C77AB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D3C63"/>
    <w:rPr>
      <w:sz w:val="18"/>
      <w:szCs w:val="18"/>
    </w:rPr>
  </w:style>
  <w:style w:type="character" w:customStyle="1" w:styleId="BalloonTextChar">
    <w:name w:val="Balloon Text Char"/>
    <w:basedOn w:val="DefaultParagraphFont"/>
    <w:link w:val="BalloonText"/>
    <w:uiPriority w:val="99"/>
    <w:semiHidden/>
    <w:rsid w:val="009D3C63"/>
    <w:rPr>
      <w:rFonts w:ascii="Times New Roman" w:hAnsi="Times New Roman" w:cs="Times New Roman"/>
      <w:color w:val="000000"/>
      <w:sz w:val="18"/>
      <w:szCs w:val="18"/>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locked/>
    <w:rsid w:val="00052A34"/>
    <w:rPr>
      <w:lang w:val="en-US" w:eastAsia="en-US" w:bidi="ar-SA"/>
    </w:rPr>
  </w:style>
  <w:style w:type="character" w:customStyle="1" w:styleId="Heading1Char">
    <w:name w:val="Heading 1 Char"/>
    <w:basedOn w:val="DefaultParagraphFont"/>
    <w:link w:val="Heading1"/>
    <w:rsid w:val="00076134"/>
    <w:rPr>
      <w:rFonts w:ascii="Times New Roman Bold" w:eastAsia="Times New Roman" w:hAnsi="Times New Roman Bold" w:cs="Times New Roman"/>
      <w:b/>
      <w:caps/>
    </w:rPr>
  </w:style>
  <w:style w:type="character" w:customStyle="1" w:styleId="Heading2Char">
    <w:name w:val="Heading 2 Char"/>
    <w:basedOn w:val="DefaultParagraphFont"/>
    <w:link w:val="Heading2"/>
    <w:uiPriority w:val="9"/>
    <w:rsid w:val="004769BF"/>
    <w:rPr>
      <w:rFonts w:ascii="Times New Roman Bold" w:hAnsi="Times New Roman Bold" w:eastAsiaTheme="majorEastAsia" w:cstheme="majorBidi"/>
      <w:b/>
      <w:szCs w:val="26"/>
    </w:rPr>
  </w:style>
  <w:style w:type="paragraph" w:styleId="BodyTextIndent3">
    <w:name w:val="Body Text Indent 3"/>
    <w:basedOn w:val="Normal"/>
    <w:link w:val="BodyTextIndent3Char"/>
    <w:uiPriority w:val="99"/>
    <w:semiHidden/>
    <w:unhideWhenUsed/>
    <w:rsid w:val="00191D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DFA"/>
    <w:rPr>
      <w:rFonts w:ascii="Times New Roman" w:hAnsi="Times New Roman" w:cs="Times New Roman"/>
      <w:color w:val="000000"/>
      <w:sz w:val="16"/>
      <w:szCs w:val="16"/>
    </w:rPr>
  </w:style>
  <w:style w:type="character" w:customStyle="1" w:styleId="et03">
    <w:name w:val="et03"/>
    <w:basedOn w:val="DefaultParagraphFont"/>
    <w:rsid w:val="00F87244"/>
  </w:style>
  <w:style w:type="table" w:styleId="TableGrid">
    <w:name w:val="Table Grid"/>
    <w:basedOn w:val="TableNormal"/>
    <w:uiPriority w:val="59"/>
    <w:rsid w:val="003114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it">
    <w:name w:val="ss_it"/>
    <w:basedOn w:val="DefaultParagraphFont"/>
    <w:rsid w:val="00080A00"/>
  </w:style>
  <w:style w:type="paragraph" w:styleId="Header">
    <w:name w:val="header"/>
    <w:basedOn w:val="Normal"/>
    <w:link w:val="HeaderChar"/>
    <w:uiPriority w:val="99"/>
    <w:unhideWhenUsed/>
    <w:rsid w:val="009E036E"/>
    <w:pPr>
      <w:tabs>
        <w:tab w:val="center" w:pos="4680"/>
        <w:tab w:val="right" w:pos="9360"/>
      </w:tabs>
    </w:pPr>
  </w:style>
  <w:style w:type="character" w:customStyle="1" w:styleId="HeaderChar">
    <w:name w:val="Header Char"/>
    <w:basedOn w:val="DefaultParagraphFont"/>
    <w:link w:val="Header"/>
    <w:uiPriority w:val="99"/>
    <w:rsid w:val="009E036E"/>
    <w:rPr>
      <w:rFonts w:ascii="Times New Roman" w:hAnsi="Times New Roman" w:cs="Times New Roman"/>
      <w:color w:val="000000"/>
      <w:szCs w:val="19"/>
    </w:rPr>
  </w:style>
  <w:style w:type="character" w:customStyle="1" w:styleId="Heading3Char">
    <w:name w:val="Heading 3 Char"/>
    <w:basedOn w:val="DefaultParagraphFont"/>
    <w:link w:val="Heading3"/>
    <w:uiPriority w:val="9"/>
    <w:rsid w:val="000F7719"/>
    <w:rPr>
      <w:rFonts w:ascii="Times New Roman Bold" w:hAnsi="Times New Roman Bold" w:eastAsiaTheme="majorEastAsia" w:cstheme="majorBidi"/>
      <w:b/>
    </w:rPr>
  </w:style>
  <w:style w:type="paragraph" w:styleId="TOC1">
    <w:name w:val="toc 1"/>
    <w:basedOn w:val="Normal"/>
    <w:next w:val="Normal"/>
    <w:autoRedefine/>
    <w:uiPriority w:val="39"/>
    <w:unhideWhenUsed/>
    <w:rsid w:val="00C54706"/>
    <w:pPr>
      <w:tabs>
        <w:tab w:val="decimal" w:leader="dot" w:pos="9360"/>
      </w:tabs>
      <w:spacing w:after="240"/>
      <w:ind w:left="720" w:hanging="720"/>
    </w:pPr>
  </w:style>
  <w:style w:type="paragraph" w:styleId="TOC2">
    <w:name w:val="toc 2"/>
    <w:basedOn w:val="Normal"/>
    <w:next w:val="Normal"/>
    <w:autoRedefine/>
    <w:uiPriority w:val="39"/>
    <w:unhideWhenUsed/>
    <w:rsid w:val="00C54706"/>
    <w:pPr>
      <w:tabs>
        <w:tab w:val="decimal" w:leader="dot" w:pos="9360"/>
      </w:tabs>
      <w:spacing w:after="240"/>
      <w:ind w:left="1440" w:hanging="720"/>
    </w:pPr>
  </w:style>
  <w:style w:type="paragraph" w:styleId="TOC3">
    <w:name w:val="toc 3"/>
    <w:basedOn w:val="Normal"/>
    <w:next w:val="Normal"/>
    <w:autoRedefine/>
    <w:uiPriority w:val="39"/>
    <w:unhideWhenUsed/>
    <w:rsid w:val="00C54706"/>
    <w:pPr>
      <w:tabs>
        <w:tab w:val="decimal" w:leader="dot" w:pos="9360"/>
      </w:tabs>
      <w:spacing w:after="240"/>
      <w:ind w:left="2160" w:hanging="720"/>
    </w:pPr>
  </w:style>
  <w:style w:type="character" w:customStyle="1" w:styleId="cf01">
    <w:name w:val="cf01"/>
    <w:basedOn w:val="DefaultParagraphFont"/>
    <w:rsid w:val="00715B0F"/>
    <w:rPr>
      <w:rFonts w:ascii="Segoe UI" w:hAnsi="Segoe UI" w:cs="Segoe UI" w:hint="default"/>
      <w:sz w:val="18"/>
      <w:szCs w:val="18"/>
    </w:rPr>
  </w:style>
  <w:style w:type="character" w:customStyle="1" w:styleId="apple-converted-space">
    <w:name w:val="apple-converted-space"/>
    <w:basedOn w:val="DefaultParagraphFont"/>
    <w:rsid w:val="0047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di.bair@ohioAGO.gov" TargetMode="External" /><Relationship Id="rId11" Type="http://schemas.openxmlformats.org/officeDocument/2006/relationships/hyperlink" Target="mailto:kyle.kern@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chelsea.fletcher@ohioAGO.gov" TargetMode="External" /><Relationship Id="rId14" Type="http://schemas.openxmlformats.org/officeDocument/2006/relationships/hyperlink" Target="mailto:dparram@bricker.com" TargetMode="External" /><Relationship Id="rId15" Type="http://schemas.openxmlformats.org/officeDocument/2006/relationships/hyperlink" Target="mailto:rmains@bricker.com" TargetMode="External" /><Relationship Id="rId16" Type="http://schemas.openxmlformats.org/officeDocument/2006/relationships/hyperlink" Target="mailto:khernstein@bricker.com" TargetMode="External" /><Relationship Id="rId17" Type="http://schemas.openxmlformats.org/officeDocument/2006/relationships/hyperlink" Target="mailto:mwarnock@bricker.com" TargetMode="External" /><Relationship Id="rId18" Type="http://schemas.openxmlformats.org/officeDocument/2006/relationships/hyperlink" Target="mailto:dborchers@bricker.com" TargetMode="External" /><Relationship Id="rId19" Type="http://schemas.openxmlformats.org/officeDocument/2006/relationships/hyperlink" Target="mailto:little@litohio.com" TargetMode="External" /><Relationship Id="rId2" Type="http://schemas.openxmlformats.org/officeDocument/2006/relationships/settings" Target="settings.xml" /><Relationship Id="rId20" Type="http://schemas.openxmlformats.org/officeDocument/2006/relationships/hyperlink" Target="mailto:hogan@litohio.com" TargetMode="External" /><Relationship Id="rId21" Type="http://schemas.openxmlformats.org/officeDocument/2006/relationships/hyperlink" Target="mailto:ktreadway@oneenergyllc.com" TargetMode="External" /><Relationship Id="rId22" Type="http://schemas.openxmlformats.org/officeDocument/2006/relationships/hyperlink" Target="mailto:jdunn@oneenergyllc.com" TargetMode="External" /><Relationship Id="rId23" Type="http://schemas.openxmlformats.org/officeDocument/2006/relationships/hyperlink" Target="mailto:whitt@whitt-sturtevant.com" TargetMode="External" /><Relationship Id="rId24" Type="http://schemas.openxmlformats.org/officeDocument/2006/relationships/hyperlink" Target="mailto:rhartley@fbtlaw.com" TargetMode="External" /><Relationship Id="rId25" Type="http://schemas.openxmlformats.org/officeDocument/2006/relationships/hyperlink" Target="mailto:dcraig@fbtlaw.com" TargetMode="External" /><Relationship Id="rId26" Type="http://schemas.openxmlformats.org/officeDocument/2006/relationships/hyperlink" Target="mailto:cwieg@fbtlaw.com" TargetMode="External" /><Relationship Id="rId27" Type="http://schemas.openxmlformats.org/officeDocument/2006/relationships/hyperlink" Target="mailto:talexander@beneschlaw.com" TargetMode="External" /><Relationship Id="rId28" Type="http://schemas.openxmlformats.org/officeDocument/2006/relationships/hyperlink" Target="mailto:khehmeyer@beneschlaw.com" TargetMode="External" /><Relationship Id="rId29" Type="http://schemas.openxmlformats.org/officeDocument/2006/relationships/hyperlink" Target="mailto:jweber@elpc.org" TargetMode="External" /><Relationship Id="rId3" Type="http://schemas.openxmlformats.org/officeDocument/2006/relationships/webSettings" Target="webSettings.xml" /><Relationship Id="rId30" Type="http://schemas.openxmlformats.org/officeDocument/2006/relationships/hyperlink" Target="mailto:patricia.schabo@puco.ohio.gov" TargetMode="External" /><Relationship Id="rId31" Type="http://schemas.openxmlformats.org/officeDocument/2006/relationships/hyperlink" Target="mailto:michael.williams@puco.ohio.gov" TargetMode="External" /><Relationship Id="rId32" Type="http://schemas.openxmlformats.org/officeDocument/2006/relationships/hyperlink" Target="mailto:bojko@carpenterlipps.com" TargetMode="External" /><Relationship Id="rId33" Type="http://schemas.openxmlformats.org/officeDocument/2006/relationships/hyperlink" Target="mailto:paul@carpenterlipps.com" TargetMode="External" /><Relationship Id="rId34" Type="http://schemas.openxmlformats.org/officeDocument/2006/relationships/hyperlink" Target="mailto:wygonski@carpenterlipps.com" TargetMode="External" /><Relationship Id="rId35" Type="http://schemas.openxmlformats.org/officeDocument/2006/relationships/hyperlink" Target="mailto:jsharkey@ficlaw.com" TargetMode="External" /><Relationship Id="rId36" Type="http://schemas.openxmlformats.org/officeDocument/2006/relationships/hyperlink" Target="mailto:djireland@ficlaw.com" TargetMode="External" /><Relationship Id="rId37" Type="http://schemas.openxmlformats.org/officeDocument/2006/relationships/hyperlink" Target="mailto:mwatt@ficlaw.com" TargetMode="External" /><Relationship Id="rId38" Type="http://schemas.openxmlformats.org/officeDocument/2006/relationships/hyperlink" Target="mailto:christopher.hollon@aes.com" TargetMode="External" /><Relationship Id="rId39" Type="http://schemas.openxmlformats.org/officeDocument/2006/relationships/hyperlink" Target="mailto:mkurtz@BKLlawfirm.com" TargetMode="External" /><Relationship Id="rId4" Type="http://schemas.openxmlformats.org/officeDocument/2006/relationships/fontTable" Target="fontTable.xml" /><Relationship Id="rId40" Type="http://schemas.openxmlformats.org/officeDocument/2006/relationships/hyperlink" Target="mailto:kboehm@BKLlawfirm.com" TargetMode="External" /><Relationship Id="rId41" Type="http://schemas.openxmlformats.org/officeDocument/2006/relationships/hyperlink" Target="mailto:jkylercohn@BKLlawfirm.com" TargetMode="External" /><Relationship Id="rId42" Type="http://schemas.openxmlformats.org/officeDocument/2006/relationships/hyperlink" Target="mailto:bethany.allen@igs.com" TargetMode="External" /><Relationship Id="rId43" Type="http://schemas.openxmlformats.org/officeDocument/2006/relationships/hyperlink" Target="mailto:Joe.oliker@igs.com" TargetMode="External" /><Relationship Id="rId44" Type="http://schemas.openxmlformats.org/officeDocument/2006/relationships/hyperlink" Target="mailto:Michael.nugent@igs.com" TargetMode="External" /><Relationship Id="rId45" Type="http://schemas.openxmlformats.org/officeDocument/2006/relationships/hyperlink" Target="mailto:Evan.betterton@igs.com" TargetMode="External" /><Relationship Id="rId46" Type="http://schemas.openxmlformats.org/officeDocument/2006/relationships/hyperlink" Target="mailto:Stephanie.chmiel@thompsonhine.com" TargetMode="External" /><Relationship Id="rId47" Type="http://schemas.openxmlformats.org/officeDocument/2006/relationships/hyperlink" Target="mailto:Kevin.oles@thompsonhine.com" TargetMode="External" /><Relationship Id="rId48" Type="http://schemas.openxmlformats.org/officeDocument/2006/relationships/hyperlink" Target="mailto:rdove@keglerbrown.com" TargetMode="External" /><Relationship Id="rId49" Type="http://schemas.openxmlformats.org/officeDocument/2006/relationships/hyperlink" Target="mailto:cgrundmann@spilmanlaw.com" TargetMode="External" /><Relationship Id="rId5" Type="http://schemas.openxmlformats.org/officeDocument/2006/relationships/customXml" Target="../customXml/item1.xml" /><Relationship Id="rId50" Type="http://schemas.openxmlformats.org/officeDocument/2006/relationships/hyperlink" Target="mailto:dwilliamson@spilmanlaw.com" TargetMode="External" /><Relationship Id="rId51" Type="http://schemas.openxmlformats.org/officeDocument/2006/relationships/hyperlink" Target="mailto:ctavenor@theOEC.org" TargetMode="Externa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hyperlink" Target="mailto:john.finniga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9331-AE72-4DA0-B6D1-A70B4DEC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2023-01-23T21:04:26Z</dcterms:created>
  <dcterms:modified xsi:type="dcterms:W3CDTF">2023-01-23T21:04:26Z</dcterms:modified>
</cp:coreProperties>
</file>