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FD6610">
      <w:pPr>
        <w:widowControl w:val="0"/>
        <w:autoSpaceDE w:val="0"/>
        <w:autoSpaceDN w:val="0"/>
        <w:adjustRightInd w:val="0"/>
        <w:spacing w:after="0" w:line="240" w:lineRule="auto"/>
        <w:contextualSpacing/>
        <w:jc w:val="center"/>
        <w:rPr>
          <w:rFonts w:cs="Times New Roman"/>
          <w:b/>
          <w:bCs/>
          <w:szCs w:val="24"/>
        </w:rPr>
      </w:pPr>
      <w:bookmarkStart w:id="0" w:name="_GoBack"/>
      <w:bookmarkEnd w:id="0"/>
      <w:r w:rsidRPr="00B51413">
        <w:rPr>
          <w:rFonts w:cs="Times New Roman"/>
          <w:b/>
          <w:bCs/>
          <w:szCs w:val="24"/>
        </w:rPr>
        <w:t>BEFORE</w:t>
      </w:r>
    </w:p>
    <w:p w:rsidR="005E25BB" w:rsidRDefault="00B51413" w:rsidP="00FD6610">
      <w:pPr>
        <w:widowControl w:val="0"/>
        <w:autoSpaceDE w:val="0"/>
        <w:autoSpaceDN w:val="0"/>
        <w:adjustRightInd w:val="0"/>
        <w:spacing w:after="0" w:line="240" w:lineRule="auto"/>
        <w:contextualSpacing/>
        <w:jc w:val="center"/>
        <w:rPr>
          <w:rFonts w:cs="Times New Roman"/>
          <w:b/>
          <w:bCs/>
          <w:szCs w:val="24"/>
        </w:rPr>
      </w:pPr>
      <w:r w:rsidRPr="00B51413">
        <w:rPr>
          <w:rFonts w:cs="Times New Roman"/>
          <w:b/>
          <w:bCs/>
          <w:szCs w:val="24"/>
        </w:rPr>
        <w:t>THE PUBLIC UTILITIES COMMISSION OF OHIO</w:t>
      </w:r>
    </w:p>
    <w:p w:rsidR="00094FA8" w:rsidRDefault="00094FA8" w:rsidP="00FD6610">
      <w:pPr>
        <w:widowControl w:val="0"/>
        <w:autoSpaceDE w:val="0"/>
        <w:autoSpaceDN w:val="0"/>
        <w:adjustRightInd w:val="0"/>
        <w:spacing w:after="0" w:line="240" w:lineRule="auto"/>
        <w:contextualSpacing/>
        <w:jc w:val="center"/>
        <w:rPr>
          <w:rFonts w:cs="Times New Roman"/>
          <w:b/>
          <w:bCs/>
          <w:szCs w:val="24"/>
        </w:rPr>
      </w:pPr>
    </w:p>
    <w:p w:rsidR="00E36C0F" w:rsidRDefault="00E36C0F" w:rsidP="00FD6610">
      <w:pPr>
        <w:widowControl w:val="0"/>
        <w:autoSpaceDE w:val="0"/>
        <w:autoSpaceDN w:val="0"/>
        <w:adjustRightInd w:val="0"/>
        <w:spacing w:after="0" w:line="240" w:lineRule="auto"/>
        <w:contextualSpacing/>
        <w:rPr>
          <w:rFonts w:cs="Times New Roman"/>
          <w:szCs w:val="24"/>
        </w:rPr>
      </w:pPr>
    </w:p>
    <w:tbl>
      <w:tblPr>
        <w:tblW w:w="8556" w:type="dxa"/>
        <w:tblLook w:val="04A0" w:firstRow="1" w:lastRow="0" w:firstColumn="1" w:lastColumn="0" w:noHBand="0" w:noVBand="1"/>
      </w:tblPr>
      <w:tblGrid>
        <w:gridCol w:w="8556"/>
      </w:tblGrid>
      <w:tr w:rsidR="00A075A6" w:rsidRPr="00A075A6" w:rsidTr="0072735C">
        <w:tc>
          <w:tcPr>
            <w:tcW w:w="8556" w:type="dxa"/>
          </w:tcPr>
          <w:tbl>
            <w:tblPr>
              <w:tblW w:w="7872" w:type="dxa"/>
              <w:tblLook w:val="04A0" w:firstRow="1" w:lastRow="0" w:firstColumn="1" w:lastColumn="0" w:noHBand="0" w:noVBand="1"/>
            </w:tblPr>
            <w:tblGrid>
              <w:gridCol w:w="4230"/>
              <w:gridCol w:w="450"/>
              <w:gridCol w:w="3192"/>
            </w:tblGrid>
            <w:tr w:rsidR="00A075A6" w:rsidRPr="00A075A6" w:rsidTr="00C3650E">
              <w:tc>
                <w:tcPr>
                  <w:tcW w:w="4230" w:type="dxa"/>
                  <w:hideMark/>
                </w:tcPr>
                <w:p w:rsidR="00C3650E" w:rsidRDefault="00A075A6" w:rsidP="00FD6610">
                  <w:pPr>
                    <w:widowControl w:val="0"/>
                    <w:suppressLineNumbers/>
                    <w:tabs>
                      <w:tab w:val="left" w:pos="4770"/>
                    </w:tabs>
                    <w:spacing w:after="0"/>
                    <w:ind w:right="342"/>
                    <w:contextualSpacing/>
                    <w:jc w:val="both"/>
                    <w:rPr>
                      <w:rFonts w:eastAsia="Times New Roman" w:cs="Times New Roman"/>
                      <w:bCs/>
                      <w:szCs w:val="24"/>
                    </w:rPr>
                  </w:pPr>
                  <w:r w:rsidRPr="00A075A6">
                    <w:rPr>
                      <w:rFonts w:eastAsia="Times New Roman" w:cs="Times New Roman"/>
                      <w:bCs/>
                      <w:szCs w:val="24"/>
                    </w:rPr>
                    <w:t xml:space="preserve">In the Matter of the Complaint of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bCs/>
                      <w:szCs w:val="24"/>
                    </w:rPr>
                  </w:pPr>
                  <w:r w:rsidRPr="00A075A6">
                    <w:rPr>
                      <w:rFonts w:eastAsia="Times New Roman" w:cs="Times New Roman"/>
                      <w:bCs/>
                      <w:szCs w:val="24"/>
                    </w:rPr>
                    <w:t xml:space="preserve">Jeffrey Pitzer,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bCs/>
                      <w:szCs w:val="24"/>
                    </w:rPr>
                  </w:pPr>
                </w:p>
                <w:p w:rsidR="00A075A6" w:rsidRPr="00A075A6" w:rsidRDefault="00A075A6" w:rsidP="00C3650E">
                  <w:pPr>
                    <w:widowControl w:val="0"/>
                    <w:suppressLineNumbers/>
                    <w:tabs>
                      <w:tab w:val="left" w:pos="4770"/>
                    </w:tabs>
                    <w:spacing w:after="0"/>
                    <w:ind w:left="2160" w:right="342"/>
                    <w:contextualSpacing/>
                    <w:jc w:val="both"/>
                    <w:rPr>
                      <w:rFonts w:eastAsia="Times New Roman" w:cs="Times New Roman"/>
                      <w:szCs w:val="24"/>
                    </w:rPr>
                  </w:pPr>
                  <w:r w:rsidRPr="00A075A6">
                    <w:rPr>
                      <w:rFonts w:eastAsia="Times New Roman" w:cs="Times New Roman"/>
                      <w:szCs w:val="24"/>
                    </w:rPr>
                    <w:t xml:space="preserve">   Complainant,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r w:rsidRPr="00A075A6">
                    <w:rPr>
                      <w:rFonts w:eastAsia="Times New Roman" w:cs="Times New Roman"/>
                      <w:szCs w:val="24"/>
                    </w:rPr>
                    <w:t>v.</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r w:rsidRPr="00A075A6">
                    <w:rPr>
                      <w:rFonts w:eastAsia="Times New Roman" w:cs="Times New Roman"/>
                      <w:szCs w:val="24"/>
                    </w:rPr>
                    <w:t xml:space="preserve">Duke Energy Ohio, Inc.,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72735C" w:rsidP="00C3650E">
                  <w:pPr>
                    <w:widowControl w:val="0"/>
                    <w:suppressLineNumbers/>
                    <w:tabs>
                      <w:tab w:val="left" w:pos="4770"/>
                    </w:tabs>
                    <w:spacing w:after="0"/>
                    <w:ind w:left="2160" w:right="342"/>
                    <w:contextualSpacing/>
                    <w:jc w:val="both"/>
                    <w:rPr>
                      <w:rFonts w:eastAsia="Times New Roman" w:cs="Times New Roman"/>
                      <w:szCs w:val="24"/>
                    </w:rPr>
                  </w:pPr>
                  <w:r>
                    <w:rPr>
                      <w:rFonts w:eastAsia="Times New Roman" w:cs="Times New Roman"/>
                      <w:szCs w:val="24"/>
                    </w:rPr>
                    <w:t xml:space="preserve">   </w:t>
                  </w:r>
                  <w:r w:rsidR="00A075A6" w:rsidRPr="00A075A6">
                    <w:rPr>
                      <w:rFonts w:eastAsia="Times New Roman" w:cs="Times New Roman"/>
                      <w:szCs w:val="24"/>
                    </w:rPr>
                    <w:t>Respondent.</w:t>
                  </w:r>
                </w:p>
              </w:tc>
              <w:tc>
                <w:tcPr>
                  <w:tcW w:w="450" w:type="dxa"/>
                </w:tcPr>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r w:rsidRPr="00A075A6">
                    <w:rPr>
                      <w:rFonts w:eastAsia="Times New Roman" w:cs="Times New Roman"/>
                      <w:szCs w:val="24"/>
                    </w:rPr>
                    <w:br/>
                    <w:t>)</w:t>
                  </w:r>
                  <w:r w:rsidRPr="00A075A6">
                    <w:rPr>
                      <w:rFonts w:eastAsia="Times New Roman" w:cs="Times New Roman"/>
                      <w:szCs w:val="24"/>
                    </w:rPr>
                    <w:b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tc>
              <w:tc>
                <w:tcPr>
                  <w:tcW w:w="3192" w:type="dxa"/>
                </w:tcPr>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p>
                <w:p w:rsidR="00275EA5" w:rsidRDefault="00275EA5" w:rsidP="00FD6610">
                  <w:pPr>
                    <w:widowControl w:val="0"/>
                    <w:suppressLineNumbers/>
                    <w:tabs>
                      <w:tab w:val="left" w:pos="4770"/>
                    </w:tabs>
                    <w:spacing w:after="0"/>
                    <w:contextualSpacing/>
                    <w:jc w:val="both"/>
                    <w:rPr>
                      <w:rFonts w:eastAsia="Times New Roman" w:cs="Times New Roman"/>
                      <w:szCs w:val="24"/>
                    </w:rPr>
                  </w:pPr>
                </w:p>
                <w:p w:rsidR="00275EA5" w:rsidRDefault="00275EA5" w:rsidP="00FD6610">
                  <w:pPr>
                    <w:widowControl w:val="0"/>
                    <w:suppressLineNumbers/>
                    <w:tabs>
                      <w:tab w:val="left" w:pos="4770"/>
                    </w:tabs>
                    <w:spacing w:after="0"/>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Case No.</w:t>
                  </w:r>
                  <w:r w:rsidR="00367935">
                    <w:rPr>
                      <w:rFonts w:eastAsia="Times New Roman" w:cs="Times New Roman"/>
                      <w:szCs w:val="24"/>
                    </w:rPr>
                    <w:t xml:space="preserve"> </w:t>
                  </w:r>
                  <w:r w:rsidRPr="00A075A6">
                    <w:rPr>
                      <w:rFonts w:eastAsia="Times New Roman" w:cs="Times New Roman"/>
                      <w:szCs w:val="24"/>
                    </w:rPr>
                    <w:t xml:space="preserve">15-298-GE-CSS </w:t>
                  </w:r>
                </w:p>
              </w:tc>
            </w:tr>
          </w:tbl>
          <w:p w:rsidR="00A075A6" w:rsidRPr="00A075A6" w:rsidRDefault="00A075A6" w:rsidP="00FD6610">
            <w:pPr>
              <w:widowControl w:val="0"/>
              <w:autoSpaceDE w:val="0"/>
              <w:autoSpaceDN w:val="0"/>
              <w:adjustRightInd w:val="0"/>
              <w:spacing w:after="0" w:line="240" w:lineRule="auto"/>
              <w:contextualSpacing/>
              <w:rPr>
                <w:rFonts w:eastAsia="Times New Roman" w:cs="Times New Roman"/>
                <w:sz w:val="20"/>
                <w:szCs w:val="20"/>
              </w:rPr>
            </w:pPr>
          </w:p>
        </w:tc>
      </w:tr>
    </w:tbl>
    <w:p w:rsidR="00A075A6" w:rsidRPr="00B51413" w:rsidRDefault="00A075A6" w:rsidP="00FD6610">
      <w:pPr>
        <w:widowControl w:val="0"/>
        <w:autoSpaceDE w:val="0"/>
        <w:autoSpaceDN w:val="0"/>
        <w:adjustRightInd w:val="0"/>
        <w:spacing w:after="0" w:line="240" w:lineRule="auto"/>
        <w:contextualSpacing/>
        <w:rPr>
          <w:rFonts w:cs="Times New Roman"/>
          <w:szCs w:val="24"/>
        </w:rPr>
      </w:pPr>
    </w:p>
    <w:p w:rsidR="004C4E05" w:rsidRDefault="00B51413" w:rsidP="00FD6610">
      <w:pPr>
        <w:widowControl w:val="0"/>
        <w:autoSpaceDE w:val="0"/>
        <w:autoSpaceDN w:val="0"/>
        <w:adjustRightInd w:val="0"/>
        <w:spacing w:after="0" w:line="240" w:lineRule="auto"/>
        <w:contextualSpacing/>
        <w:rPr>
          <w:rFonts w:cs="Times New Roman"/>
          <w:szCs w:val="24"/>
        </w:rPr>
      </w:pPr>
      <w:r>
        <w:rPr>
          <w:rFonts w:cs="Times New Roman"/>
          <w:szCs w:val="24"/>
        </w:rPr>
        <w:t>_______________________________</w:t>
      </w:r>
      <w:r w:rsidR="00380423">
        <w:rPr>
          <w:rFonts w:cs="Times New Roman"/>
          <w:szCs w:val="24"/>
        </w:rPr>
        <w:t>______</w:t>
      </w:r>
      <w:r>
        <w:rPr>
          <w:rFonts w:cs="Times New Roman"/>
          <w:szCs w:val="24"/>
        </w:rPr>
        <w:t>_________________________________</w:t>
      </w:r>
      <w:r w:rsidR="00E36C0F">
        <w:rPr>
          <w:rFonts w:cs="Times New Roman"/>
          <w:szCs w:val="24"/>
        </w:rPr>
        <w:t>__</w:t>
      </w:r>
    </w:p>
    <w:p w:rsidR="00B51413" w:rsidRDefault="00B51413" w:rsidP="00275EA5">
      <w:pPr>
        <w:widowControl w:val="0"/>
        <w:autoSpaceDE w:val="0"/>
        <w:autoSpaceDN w:val="0"/>
        <w:adjustRightInd w:val="0"/>
        <w:spacing w:after="0" w:line="240" w:lineRule="auto"/>
        <w:contextualSpacing/>
        <w:jc w:val="center"/>
        <w:rPr>
          <w:rFonts w:cs="Times New Roman"/>
          <w:szCs w:val="24"/>
        </w:rPr>
      </w:pPr>
    </w:p>
    <w:p w:rsidR="006F4F56" w:rsidRDefault="00275EA5"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 xml:space="preserve">MEMORANDUM </w:t>
      </w:r>
      <w:r w:rsidR="00AD114F">
        <w:rPr>
          <w:rFonts w:cs="Times New Roman"/>
          <w:b/>
          <w:szCs w:val="24"/>
        </w:rPr>
        <w:t>CONTRA</w:t>
      </w:r>
      <w:r w:rsidR="00F634F7">
        <w:rPr>
          <w:rFonts w:cs="Times New Roman"/>
          <w:b/>
          <w:szCs w:val="24"/>
        </w:rPr>
        <w:t xml:space="preserve"> </w:t>
      </w:r>
      <w:r w:rsidR="0072735C">
        <w:rPr>
          <w:rFonts w:cs="Times New Roman"/>
          <w:b/>
          <w:szCs w:val="24"/>
        </w:rPr>
        <w:t xml:space="preserve">DUKE’S </w:t>
      </w:r>
      <w:r w:rsidR="00AD114F">
        <w:rPr>
          <w:rFonts w:cs="Times New Roman"/>
          <w:b/>
          <w:szCs w:val="24"/>
        </w:rPr>
        <w:t>MOTION</w:t>
      </w:r>
      <w:r w:rsidR="00C3650E">
        <w:rPr>
          <w:rFonts w:cs="Times New Roman"/>
          <w:b/>
          <w:szCs w:val="24"/>
        </w:rPr>
        <w:t>S</w:t>
      </w:r>
      <w:r w:rsidR="00AD114F">
        <w:rPr>
          <w:rFonts w:cs="Times New Roman"/>
          <w:b/>
          <w:szCs w:val="24"/>
        </w:rPr>
        <w:t xml:space="preserve"> </w:t>
      </w:r>
      <w:r w:rsidR="0042690F">
        <w:rPr>
          <w:rFonts w:cs="Times New Roman"/>
          <w:b/>
          <w:szCs w:val="24"/>
        </w:rPr>
        <w:t xml:space="preserve">FOR </w:t>
      </w:r>
      <w:r w:rsidR="002C141A">
        <w:rPr>
          <w:rFonts w:cs="Times New Roman"/>
          <w:b/>
          <w:szCs w:val="24"/>
        </w:rPr>
        <w:t xml:space="preserve">PROTECTIVE </w:t>
      </w:r>
      <w:r w:rsidR="000A4577">
        <w:rPr>
          <w:rFonts w:cs="Times New Roman"/>
          <w:b/>
          <w:szCs w:val="24"/>
        </w:rPr>
        <w:t>ORDER</w:t>
      </w:r>
      <w:r w:rsidR="00C3650E">
        <w:rPr>
          <w:rFonts w:cs="Times New Roman"/>
          <w:b/>
          <w:szCs w:val="24"/>
        </w:rPr>
        <w:t>S</w:t>
      </w:r>
      <w:r w:rsidR="000A4577">
        <w:rPr>
          <w:rFonts w:cs="Times New Roman"/>
          <w:b/>
          <w:szCs w:val="24"/>
        </w:rPr>
        <w:t xml:space="preserve"> REGARDING </w:t>
      </w:r>
      <w:r w:rsidR="00C3650E">
        <w:rPr>
          <w:rFonts w:cs="Times New Roman"/>
          <w:b/>
          <w:szCs w:val="24"/>
        </w:rPr>
        <w:t>ITS BRIEF AND THE HEARING TRANSCRIPT FROM THE CONFIDENTIAL SESSIONS</w:t>
      </w:r>
    </w:p>
    <w:p w:rsidR="00EF5167" w:rsidRDefault="00EF5167"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BY</w:t>
      </w:r>
    </w:p>
    <w:p w:rsidR="00976EE6" w:rsidRDefault="00976EE6"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THE OFFICE OF THE OHIO CONSUMERS’ COUNSEL</w:t>
      </w:r>
    </w:p>
    <w:p w:rsidR="00B51413" w:rsidRDefault="00B51413" w:rsidP="00FD6610">
      <w:pPr>
        <w:widowControl w:val="0"/>
        <w:autoSpaceDE w:val="0"/>
        <w:autoSpaceDN w:val="0"/>
        <w:adjustRightInd w:val="0"/>
        <w:spacing w:after="0" w:line="240" w:lineRule="auto"/>
        <w:contextualSpacing/>
        <w:rPr>
          <w:rFonts w:cs="Times New Roman"/>
          <w:szCs w:val="24"/>
        </w:rPr>
      </w:pPr>
      <w:r>
        <w:rPr>
          <w:rFonts w:cs="Times New Roman"/>
          <w:szCs w:val="24"/>
        </w:rPr>
        <w:t>________________________________________________________________________</w:t>
      </w:r>
    </w:p>
    <w:p w:rsidR="00B51413" w:rsidRDefault="00B51413" w:rsidP="00FD6610">
      <w:pPr>
        <w:widowControl w:val="0"/>
        <w:autoSpaceDE w:val="0"/>
        <w:autoSpaceDN w:val="0"/>
        <w:adjustRightInd w:val="0"/>
        <w:spacing w:after="0" w:line="240" w:lineRule="auto"/>
        <w:contextualSpacing/>
        <w:rPr>
          <w:rFonts w:cs="Times New Roman"/>
          <w:b/>
          <w:bCs/>
          <w:szCs w:val="24"/>
        </w:rPr>
      </w:pPr>
    </w:p>
    <w:p w:rsidR="0042690F" w:rsidRPr="001047CE" w:rsidRDefault="00275EA5" w:rsidP="001047CE">
      <w:pPr>
        <w:pStyle w:val="Heading1"/>
      </w:pPr>
      <w:r w:rsidRPr="001047CE">
        <w:t xml:space="preserve">I. </w:t>
      </w:r>
      <w:r w:rsidRPr="001047CE">
        <w:tab/>
      </w:r>
      <w:r w:rsidR="0042690F" w:rsidRPr="001047CE">
        <w:t>INTRODUCTION</w:t>
      </w:r>
    </w:p>
    <w:p w:rsidR="00A075A6" w:rsidRDefault="0072735C" w:rsidP="00C3650E">
      <w:pPr>
        <w:spacing w:after="0" w:line="480" w:lineRule="auto"/>
        <w:ind w:firstLine="720"/>
        <w:contextualSpacing/>
        <w:rPr>
          <w:rFonts w:cs="Times New Roman"/>
          <w:bCs/>
          <w:color w:val="000000"/>
          <w:szCs w:val="24"/>
        </w:rPr>
      </w:pPr>
      <w:r w:rsidRPr="0072735C">
        <w:rPr>
          <w:rFonts w:cs="Times New Roman"/>
          <w:bCs/>
          <w:color w:val="000000"/>
          <w:szCs w:val="24"/>
        </w:rPr>
        <w:t>In the interest of furthering policies favoring transparency in proceedings at the Public</w:t>
      </w:r>
      <w:r w:rsidR="00C84946">
        <w:rPr>
          <w:rFonts w:cs="Times New Roman"/>
          <w:bCs/>
          <w:color w:val="000000"/>
          <w:szCs w:val="24"/>
        </w:rPr>
        <w:t xml:space="preserve"> Utilities Commission of Ohio (</w:t>
      </w:r>
      <w:r w:rsidR="009764FC">
        <w:rPr>
          <w:rFonts w:cs="Times New Roman"/>
          <w:bCs/>
          <w:color w:val="000000"/>
          <w:szCs w:val="24"/>
        </w:rPr>
        <w:t>“</w:t>
      </w:r>
      <w:r w:rsidRPr="0072735C">
        <w:rPr>
          <w:rFonts w:cs="Times New Roman"/>
          <w:bCs/>
          <w:color w:val="000000"/>
          <w:szCs w:val="24"/>
        </w:rPr>
        <w:t>PUCO</w:t>
      </w:r>
      <w:r w:rsidR="009764FC">
        <w:rPr>
          <w:rFonts w:cs="Times New Roman"/>
          <w:bCs/>
          <w:color w:val="000000"/>
          <w:szCs w:val="24"/>
        </w:rPr>
        <w:t>”</w:t>
      </w:r>
      <w:r w:rsidRPr="0072735C">
        <w:rPr>
          <w:rFonts w:cs="Times New Roman"/>
          <w:bCs/>
          <w:color w:val="000000"/>
          <w:szCs w:val="24"/>
        </w:rPr>
        <w:t>), the Office of the Ohio Consumers’ Counse</w:t>
      </w:r>
      <w:r w:rsidR="00C84946">
        <w:rPr>
          <w:rFonts w:cs="Times New Roman"/>
          <w:bCs/>
          <w:color w:val="000000"/>
          <w:szCs w:val="24"/>
        </w:rPr>
        <w:t>l (</w:t>
      </w:r>
      <w:r w:rsidR="009764FC">
        <w:rPr>
          <w:rFonts w:cs="Times New Roman"/>
          <w:bCs/>
          <w:color w:val="000000"/>
          <w:szCs w:val="24"/>
        </w:rPr>
        <w:t>“</w:t>
      </w:r>
      <w:r w:rsidRPr="0072735C">
        <w:rPr>
          <w:rFonts w:cs="Times New Roman"/>
          <w:bCs/>
          <w:color w:val="000000"/>
          <w:szCs w:val="24"/>
        </w:rPr>
        <w:t>OCC</w:t>
      </w:r>
      <w:r w:rsidR="009764FC">
        <w:rPr>
          <w:rFonts w:cs="Times New Roman"/>
          <w:bCs/>
          <w:color w:val="000000"/>
          <w:szCs w:val="24"/>
        </w:rPr>
        <w:t>”</w:t>
      </w:r>
      <w:r w:rsidRPr="0072735C">
        <w:rPr>
          <w:rFonts w:cs="Times New Roman"/>
          <w:bCs/>
          <w:color w:val="000000"/>
          <w:szCs w:val="24"/>
        </w:rPr>
        <w:t xml:space="preserve">) files this Memorandum Contra to </w:t>
      </w:r>
      <w:r w:rsidR="009764FC">
        <w:rPr>
          <w:rFonts w:cs="Times New Roman"/>
          <w:bCs/>
          <w:color w:val="000000"/>
          <w:szCs w:val="24"/>
        </w:rPr>
        <w:t xml:space="preserve">the </w:t>
      </w:r>
      <w:r w:rsidRPr="0072735C">
        <w:rPr>
          <w:rFonts w:cs="Times New Roman"/>
          <w:bCs/>
          <w:color w:val="000000"/>
          <w:szCs w:val="24"/>
        </w:rPr>
        <w:t>motion</w:t>
      </w:r>
      <w:r w:rsidR="00C3650E">
        <w:rPr>
          <w:rFonts w:cs="Times New Roman"/>
          <w:bCs/>
          <w:color w:val="000000"/>
          <w:szCs w:val="24"/>
        </w:rPr>
        <w:t>s</w:t>
      </w:r>
      <w:r w:rsidRPr="0072735C">
        <w:rPr>
          <w:rFonts w:cs="Times New Roman"/>
          <w:bCs/>
          <w:color w:val="000000"/>
          <w:szCs w:val="24"/>
        </w:rPr>
        <w:t xml:space="preserve"> for protective order</w:t>
      </w:r>
      <w:r w:rsidR="00C3650E">
        <w:rPr>
          <w:rFonts w:cs="Times New Roman"/>
          <w:bCs/>
          <w:color w:val="000000"/>
          <w:szCs w:val="24"/>
        </w:rPr>
        <w:t>s</w:t>
      </w:r>
      <w:r w:rsidRPr="0072735C">
        <w:rPr>
          <w:rFonts w:cs="Times New Roman"/>
          <w:bCs/>
          <w:color w:val="000000"/>
          <w:szCs w:val="24"/>
        </w:rPr>
        <w:t xml:space="preserve"> filed on </w:t>
      </w:r>
      <w:r w:rsidR="00C3650E">
        <w:rPr>
          <w:rFonts w:cs="Times New Roman"/>
          <w:bCs/>
          <w:color w:val="000000"/>
          <w:szCs w:val="24"/>
        </w:rPr>
        <w:t>February</w:t>
      </w:r>
      <w:r w:rsidRPr="0072735C">
        <w:rPr>
          <w:rFonts w:cs="Times New Roman"/>
          <w:bCs/>
          <w:color w:val="000000"/>
          <w:szCs w:val="24"/>
        </w:rPr>
        <w:t xml:space="preserve"> </w:t>
      </w:r>
      <w:r w:rsidR="00C3650E">
        <w:rPr>
          <w:rFonts w:cs="Times New Roman"/>
          <w:bCs/>
          <w:color w:val="000000"/>
          <w:szCs w:val="24"/>
        </w:rPr>
        <w:t>11</w:t>
      </w:r>
      <w:r w:rsidRPr="0072735C">
        <w:rPr>
          <w:rFonts w:cs="Times New Roman"/>
          <w:bCs/>
          <w:color w:val="000000"/>
          <w:szCs w:val="24"/>
        </w:rPr>
        <w:t>, 2</w:t>
      </w:r>
      <w:r w:rsidR="00C84946">
        <w:rPr>
          <w:rFonts w:cs="Times New Roman"/>
          <w:bCs/>
          <w:color w:val="000000"/>
          <w:szCs w:val="24"/>
        </w:rPr>
        <w:t>016 by Duke Energy Ohio, Inc. (</w:t>
      </w:r>
      <w:r w:rsidR="009764FC">
        <w:rPr>
          <w:rFonts w:cs="Times New Roman"/>
          <w:bCs/>
          <w:color w:val="000000"/>
          <w:szCs w:val="24"/>
        </w:rPr>
        <w:t>“</w:t>
      </w:r>
      <w:r w:rsidRPr="0072735C">
        <w:rPr>
          <w:rFonts w:cs="Times New Roman"/>
          <w:bCs/>
          <w:color w:val="000000"/>
          <w:szCs w:val="24"/>
        </w:rPr>
        <w:t>Duke</w:t>
      </w:r>
      <w:r w:rsidR="009764FC">
        <w:rPr>
          <w:rFonts w:cs="Times New Roman"/>
          <w:bCs/>
          <w:color w:val="000000"/>
          <w:szCs w:val="24"/>
        </w:rPr>
        <w:t>”</w:t>
      </w:r>
      <w:r w:rsidRPr="0072735C">
        <w:rPr>
          <w:rFonts w:cs="Times New Roman"/>
          <w:bCs/>
          <w:color w:val="000000"/>
          <w:szCs w:val="24"/>
        </w:rPr>
        <w:t>) in this significant case for Ohio’s residential utility customers.</w:t>
      </w:r>
      <w:r w:rsidR="00C3650E">
        <w:rPr>
          <w:rStyle w:val="FootnoteReference"/>
          <w:rFonts w:cs="Times New Roman"/>
          <w:bCs/>
          <w:color w:val="000000"/>
          <w:szCs w:val="24"/>
        </w:rPr>
        <w:footnoteReference w:id="1"/>
      </w:r>
      <w:r w:rsidRPr="0072735C">
        <w:rPr>
          <w:rFonts w:cs="Times New Roman"/>
          <w:bCs/>
          <w:color w:val="000000"/>
          <w:szCs w:val="24"/>
        </w:rPr>
        <w:t xml:space="preserve">  Ohio utilities must adhere to the intent and requirements of the PUCO’s winter reconnect orders.</w:t>
      </w:r>
      <w:r w:rsidR="00A075A6" w:rsidRPr="000642AE">
        <w:rPr>
          <w:rStyle w:val="FootnoteReference"/>
          <w:rFonts w:cs="Times New Roman"/>
          <w:bCs/>
          <w:color w:val="000000"/>
          <w:szCs w:val="24"/>
        </w:rPr>
        <w:footnoteReference w:id="2"/>
      </w:r>
      <w:r w:rsidR="00B426DD">
        <w:rPr>
          <w:rFonts w:cs="Times New Roman"/>
          <w:bCs/>
          <w:color w:val="000000"/>
          <w:szCs w:val="24"/>
        </w:rPr>
        <w:t xml:space="preserve"> </w:t>
      </w:r>
      <w:r w:rsidR="00C3650E">
        <w:rPr>
          <w:rFonts w:cs="Times New Roman"/>
          <w:bCs/>
          <w:color w:val="000000"/>
          <w:szCs w:val="24"/>
        </w:rPr>
        <w:t xml:space="preserve"> </w:t>
      </w:r>
      <w:r w:rsidRPr="0072735C">
        <w:rPr>
          <w:rFonts w:cs="Times New Roman"/>
          <w:bCs/>
          <w:color w:val="000000"/>
          <w:szCs w:val="24"/>
        </w:rPr>
        <w:t xml:space="preserve">This case is about whether Duke </w:t>
      </w:r>
      <w:r w:rsidRPr="0072735C">
        <w:rPr>
          <w:rFonts w:cs="Times New Roman"/>
          <w:bCs/>
          <w:color w:val="000000"/>
          <w:szCs w:val="24"/>
        </w:rPr>
        <w:lastRenderedPageBreak/>
        <w:t>unlawfully and unreasonably disconnected electrical service at a residence in November 2011.  Two Ohioans died.</w:t>
      </w:r>
    </w:p>
    <w:p w:rsidR="00275EA5" w:rsidRDefault="008A1096" w:rsidP="00C3650E">
      <w:pPr>
        <w:spacing w:after="0" w:line="480" w:lineRule="auto"/>
        <w:ind w:firstLine="720"/>
        <w:contextualSpacing/>
        <w:rPr>
          <w:rFonts w:cs="Times New Roman"/>
          <w:szCs w:val="24"/>
        </w:rPr>
      </w:pPr>
      <w:r>
        <w:rPr>
          <w:rFonts w:cs="Times New Roman"/>
          <w:bCs/>
          <w:color w:val="000000"/>
          <w:szCs w:val="24"/>
        </w:rPr>
        <w:t xml:space="preserve">On </w:t>
      </w:r>
      <w:r w:rsidR="001936C7">
        <w:rPr>
          <w:rFonts w:cs="Times New Roman"/>
          <w:bCs/>
          <w:color w:val="000000"/>
          <w:szCs w:val="24"/>
        </w:rPr>
        <w:t>February 11</w:t>
      </w:r>
      <w:r>
        <w:rPr>
          <w:rFonts w:cs="Times New Roman"/>
          <w:bCs/>
          <w:color w:val="000000"/>
          <w:szCs w:val="24"/>
        </w:rPr>
        <w:t xml:space="preserve">, 2016, Duke </w:t>
      </w:r>
      <w:r w:rsidR="001936C7">
        <w:rPr>
          <w:rFonts w:cs="Times New Roman"/>
          <w:bCs/>
          <w:color w:val="000000"/>
          <w:szCs w:val="24"/>
        </w:rPr>
        <w:t>filed a confidential version of its post-hearing brief in this case.</w:t>
      </w:r>
      <w:r w:rsidR="001936C7">
        <w:rPr>
          <w:rStyle w:val="FootnoteReference"/>
          <w:rFonts w:cs="Times New Roman"/>
          <w:bCs/>
          <w:color w:val="000000"/>
          <w:szCs w:val="24"/>
        </w:rPr>
        <w:footnoteReference w:id="3"/>
      </w:r>
      <w:r w:rsidR="001936C7">
        <w:rPr>
          <w:rFonts w:cs="Times New Roman"/>
          <w:bCs/>
          <w:color w:val="000000"/>
          <w:szCs w:val="24"/>
        </w:rPr>
        <w:t xml:space="preserve">  On the same day, the court reporter, Armstrong and Okey, Inc., filed under seal the transcript from the confidential sessions of the hearing.  Concurrently, Duke </w:t>
      </w:r>
      <w:r>
        <w:rPr>
          <w:rFonts w:cs="Times New Roman"/>
          <w:bCs/>
          <w:color w:val="000000"/>
          <w:szCs w:val="24"/>
        </w:rPr>
        <w:t xml:space="preserve">filed </w:t>
      </w:r>
      <w:r w:rsidR="001936C7">
        <w:rPr>
          <w:rFonts w:cs="Times New Roman"/>
          <w:bCs/>
          <w:color w:val="000000"/>
          <w:szCs w:val="24"/>
        </w:rPr>
        <w:t>m</w:t>
      </w:r>
      <w:r>
        <w:rPr>
          <w:rFonts w:cs="Times New Roman"/>
          <w:bCs/>
          <w:color w:val="000000"/>
          <w:szCs w:val="24"/>
        </w:rPr>
        <w:t>otion</w:t>
      </w:r>
      <w:r w:rsidR="001936C7">
        <w:rPr>
          <w:rFonts w:cs="Times New Roman"/>
          <w:bCs/>
          <w:color w:val="000000"/>
          <w:szCs w:val="24"/>
        </w:rPr>
        <w:t>s</w:t>
      </w:r>
      <w:r>
        <w:rPr>
          <w:rFonts w:cs="Times New Roman"/>
          <w:bCs/>
          <w:color w:val="000000"/>
          <w:szCs w:val="24"/>
        </w:rPr>
        <w:t xml:space="preserve"> for </w:t>
      </w:r>
      <w:r w:rsidR="001936C7">
        <w:rPr>
          <w:rFonts w:cs="Times New Roman"/>
          <w:bCs/>
          <w:color w:val="000000"/>
          <w:szCs w:val="24"/>
        </w:rPr>
        <w:t>p</w:t>
      </w:r>
      <w:r>
        <w:rPr>
          <w:rFonts w:cs="Times New Roman"/>
          <w:bCs/>
          <w:color w:val="000000"/>
          <w:szCs w:val="24"/>
        </w:rPr>
        <w:t xml:space="preserve">rotective </w:t>
      </w:r>
      <w:r w:rsidR="001936C7">
        <w:rPr>
          <w:rFonts w:cs="Times New Roman"/>
          <w:bCs/>
          <w:color w:val="000000"/>
          <w:szCs w:val="24"/>
        </w:rPr>
        <w:t>o</w:t>
      </w:r>
      <w:r>
        <w:rPr>
          <w:rFonts w:cs="Times New Roman"/>
          <w:bCs/>
          <w:color w:val="000000"/>
          <w:szCs w:val="24"/>
        </w:rPr>
        <w:t>rder</w:t>
      </w:r>
      <w:r w:rsidR="001936C7">
        <w:rPr>
          <w:rFonts w:cs="Times New Roman"/>
          <w:bCs/>
          <w:color w:val="000000"/>
          <w:szCs w:val="24"/>
        </w:rPr>
        <w:t>s</w:t>
      </w:r>
      <w:r>
        <w:rPr>
          <w:rFonts w:cs="Times New Roman"/>
          <w:bCs/>
          <w:color w:val="000000"/>
          <w:szCs w:val="24"/>
        </w:rPr>
        <w:t xml:space="preserve"> regarding </w:t>
      </w:r>
      <w:r w:rsidR="001936C7">
        <w:rPr>
          <w:rFonts w:cs="Times New Roman"/>
          <w:bCs/>
          <w:color w:val="000000"/>
          <w:szCs w:val="24"/>
        </w:rPr>
        <w:t xml:space="preserve">the confidential version of its post-hearing brief </w:t>
      </w:r>
      <w:r w:rsidR="00127062">
        <w:rPr>
          <w:rFonts w:cs="Times New Roman"/>
          <w:bCs/>
          <w:color w:val="000000"/>
          <w:szCs w:val="24"/>
        </w:rPr>
        <w:t xml:space="preserve">(“Brief Motion”) </w:t>
      </w:r>
      <w:r w:rsidR="001936C7">
        <w:rPr>
          <w:rFonts w:cs="Times New Roman"/>
          <w:bCs/>
          <w:color w:val="000000"/>
          <w:szCs w:val="24"/>
        </w:rPr>
        <w:t>and the transcript from the hearing’s confidential sessions</w:t>
      </w:r>
      <w:r w:rsidR="00127062">
        <w:rPr>
          <w:rFonts w:cs="Times New Roman"/>
          <w:bCs/>
          <w:color w:val="000000"/>
          <w:szCs w:val="24"/>
        </w:rPr>
        <w:t xml:space="preserve"> (“Transcript Motion”) (collectively, “motions”)</w:t>
      </w:r>
      <w:r>
        <w:rPr>
          <w:rFonts w:cs="Times New Roman"/>
          <w:bCs/>
          <w:color w:val="000000"/>
          <w:szCs w:val="24"/>
        </w:rPr>
        <w:t>.</w:t>
      </w:r>
      <w:r w:rsidR="009764FC">
        <w:rPr>
          <w:rFonts w:cs="Times New Roman"/>
          <w:bCs/>
          <w:color w:val="000000"/>
          <w:szCs w:val="24"/>
        </w:rPr>
        <w:t xml:space="preserve">  </w:t>
      </w:r>
      <w:r w:rsidR="001936C7">
        <w:rPr>
          <w:rFonts w:cs="Times New Roman"/>
          <w:bCs/>
          <w:color w:val="000000"/>
          <w:szCs w:val="24"/>
        </w:rPr>
        <w:t xml:space="preserve">Duke makes </w:t>
      </w:r>
      <w:r w:rsidR="008E479C">
        <w:rPr>
          <w:rFonts w:cs="Times New Roman"/>
          <w:bCs/>
          <w:color w:val="000000"/>
          <w:szCs w:val="24"/>
        </w:rPr>
        <w:t xml:space="preserve">nearly </w:t>
      </w:r>
      <w:r w:rsidR="00ED342A">
        <w:rPr>
          <w:rFonts w:cs="Times New Roman"/>
          <w:bCs/>
          <w:color w:val="000000"/>
          <w:szCs w:val="24"/>
        </w:rPr>
        <w:t xml:space="preserve">identical </w:t>
      </w:r>
      <w:r w:rsidR="001936C7">
        <w:rPr>
          <w:rFonts w:cs="Times New Roman"/>
          <w:bCs/>
          <w:color w:val="000000"/>
          <w:szCs w:val="24"/>
        </w:rPr>
        <w:t xml:space="preserve">arguments in both motions.  </w:t>
      </w:r>
      <w:r w:rsidR="009764FC">
        <w:rPr>
          <w:rFonts w:cs="Times New Roman"/>
          <w:bCs/>
          <w:color w:val="000000"/>
          <w:szCs w:val="24"/>
        </w:rPr>
        <w:t xml:space="preserve">In this Memorandum Contra, </w:t>
      </w:r>
      <w:r w:rsidR="0050433A" w:rsidRPr="00490300">
        <w:rPr>
          <w:rFonts w:cs="Times New Roman"/>
          <w:szCs w:val="24"/>
        </w:rPr>
        <w:t>OCC</w:t>
      </w:r>
      <w:r w:rsidR="005F48A5">
        <w:rPr>
          <w:rFonts w:cs="Times New Roman"/>
          <w:szCs w:val="24"/>
        </w:rPr>
        <w:t xml:space="preserve"> opposes </w:t>
      </w:r>
      <w:r w:rsidR="0072735C">
        <w:rPr>
          <w:rFonts w:cs="Times New Roman"/>
          <w:szCs w:val="24"/>
        </w:rPr>
        <w:t>Duke</w:t>
      </w:r>
      <w:r w:rsidR="00563E94">
        <w:rPr>
          <w:rFonts w:cs="Times New Roman"/>
          <w:szCs w:val="24"/>
        </w:rPr>
        <w:t>’s</w:t>
      </w:r>
      <w:r w:rsidR="005F48A5">
        <w:rPr>
          <w:rFonts w:cs="Times New Roman"/>
          <w:szCs w:val="24"/>
        </w:rPr>
        <w:t xml:space="preserve"> motion</w:t>
      </w:r>
      <w:r w:rsidR="001936C7">
        <w:rPr>
          <w:rFonts w:cs="Times New Roman"/>
          <w:szCs w:val="24"/>
        </w:rPr>
        <w:t>s</w:t>
      </w:r>
      <w:r w:rsidR="005F48A5">
        <w:rPr>
          <w:rFonts w:cs="Times New Roman"/>
          <w:szCs w:val="24"/>
        </w:rPr>
        <w:t xml:space="preserve"> for protective order</w:t>
      </w:r>
      <w:r w:rsidR="001936C7">
        <w:rPr>
          <w:rFonts w:cs="Times New Roman"/>
          <w:szCs w:val="24"/>
        </w:rPr>
        <w:t>s</w:t>
      </w:r>
      <w:r w:rsidR="005F48A5">
        <w:rPr>
          <w:rFonts w:cs="Times New Roman"/>
          <w:szCs w:val="24"/>
        </w:rPr>
        <w:t>.</w:t>
      </w:r>
      <w:r w:rsidR="009764FC">
        <w:rPr>
          <w:rStyle w:val="FootnoteReference"/>
          <w:rFonts w:cs="Times New Roman"/>
          <w:szCs w:val="24"/>
        </w:rPr>
        <w:footnoteReference w:id="4"/>
      </w:r>
      <w:r w:rsidR="005F48A5">
        <w:rPr>
          <w:rFonts w:cs="Times New Roman"/>
          <w:szCs w:val="24"/>
        </w:rPr>
        <w:t xml:space="preserve">  </w:t>
      </w:r>
      <w:r w:rsidR="00563E94">
        <w:rPr>
          <w:rFonts w:cs="Times New Roman"/>
          <w:szCs w:val="24"/>
        </w:rPr>
        <w:t xml:space="preserve">The </w:t>
      </w:r>
      <w:r w:rsidR="0015151A">
        <w:rPr>
          <w:rFonts w:cs="Times New Roman"/>
          <w:szCs w:val="24"/>
        </w:rPr>
        <w:t xml:space="preserve">information </w:t>
      </w:r>
      <w:r w:rsidR="001936C7">
        <w:rPr>
          <w:rFonts w:cs="Times New Roman"/>
          <w:szCs w:val="24"/>
        </w:rPr>
        <w:t>for which Duke seeks confidential treatment</w:t>
      </w:r>
      <w:r w:rsidR="0072735C">
        <w:rPr>
          <w:rFonts w:cs="Times New Roman"/>
          <w:szCs w:val="24"/>
        </w:rPr>
        <w:t xml:space="preserve"> </w:t>
      </w:r>
      <w:r w:rsidR="0015151A">
        <w:rPr>
          <w:rFonts w:cs="Times New Roman"/>
          <w:szCs w:val="24"/>
        </w:rPr>
        <w:t xml:space="preserve">fails to </w:t>
      </w:r>
      <w:r w:rsidR="0072735C">
        <w:rPr>
          <w:rFonts w:cs="Times New Roman"/>
          <w:szCs w:val="24"/>
        </w:rPr>
        <w:t>qualif</w:t>
      </w:r>
      <w:r w:rsidR="0015151A">
        <w:rPr>
          <w:rFonts w:cs="Times New Roman"/>
          <w:szCs w:val="24"/>
        </w:rPr>
        <w:t>y</w:t>
      </w:r>
      <w:r w:rsidR="0072735C">
        <w:rPr>
          <w:rFonts w:cs="Times New Roman"/>
          <w:szCs w:val="24"/>
        </w:rPr>
        <w:t xml:space="preserve"> as a “trade secret” under Ohio law</w:t>
      </w:r>
      <w:r w:rsidR="00790878">
        <w:rPr>
          <w:rFonts w:cs="Times New Roman"/>
          <w:szCs w:val="24"/>
        </w:rPr>
        <w:t xml:space="preserve"> and</w:t>
      </w:r>
      <w:r w:rsidR="00563E94">
        <w:t xml:space="preserve"> </w:t>
      </w:r>
      <w:r w:rsidR="0015151A">
        <w:t>the PUCO’s rules.</w:t>
      </w:r>
      <w:r w:rsidR="0015151A">
        <w:rPr>
          <w:rStyle w:val="FootnoteReference"/>
        </w:rPr>
        <w:footnoteReference w:id="5"/>
      </w:r>
      <w:r w:rsidR="0015151A">
        <w:t xml:space="preserve">  Therefore, t</w:t>
      </w:r>
      <w:r w:rsidR="00E54048" w:rsidRPr="00490300">
        <w:rPr>
          <w:rFonts w:cs="Times New Roman"/>
          <w:szCs w:val="24"/>
        </w:rPr>
        <w:t xml:space="preserve">he </w:t>
      </w:r>
      <w:r w:rsidR="00D540F5">
        <w:rPr>
          <w:rFonts w:cs="Times New Roman"/>
          <w:szCs w:val="24"/>
        </w:rPr>
        <w:t xml:space="preserve">PUCO </w:t>
      </w:r>
      <w:r w:rsidR="00E54048" w:rsidRPr="00490300">
        <w:rPr>
          <w:rFonts w:cs="Times New Roman"/>
          <w:szCs w:val="24"/>
        </w:rPr>
        <w:t xml:space="preserve">should </w:t>
      </w:r>
      <w:r w:rsidR="00D540F5">
        <w:rPr>
          <w:rFonts w:cs="Times New Roman"/>
          <w:szCs w:val="24"/>
        </w:rPr>
        <w:t xml:space="preserve">deny </w:t>
      </w:r>
      <w:r w:rsidR="00F84A95">
        <w:rPr>
          <w:rFonts w:cs="Times New Roman"/>
          <w:szCs w:val="24"/>
        </w:rPr>
        <w:t>both</w:t>
      </w:r>
      <w:r w:rsidR="00D540F5">
        <w:rPr>
          <w:rFonts w:cs="Times New Roman"/>
          <w:szCs w:val="24"/>
        </w:rPr>
        <w:t xml:space="preserve"> motion</w:t>
      </w:r>
      <w:r w:rsidR="001936C7">
        <w:rPr>
          <w:rFonts w:cs="Times New Roman"/>
          <w:szCs w:val="24"/>
        </w:rPr>
        <w:t>s</w:t>
      </w:r>
      <w:r w:rsidR="000B1DF0" w:rsidRPr="00490300">
        <w:rPr>
          <w:rFonts w:cs="Times New Roman"/>
          <w:szCs w:val="24"/>
        </w:rPr>
        <w:t>.</w:t>
      </w:r>
    </w:p>
    <w:p w:rsidR="0042690F" w:rsidRPr="00490300" w:rsidRDefault="00275EA5" w:rsidP="00F84A95">
      <w:pPr>
        <w:pStyle w:val="Heading1"/>
      </w:pPr>
      <w:r>
        <w:t xml:space="preserve">II. </w:t>
      </w:r>
      <w:r w:rsidRPr="001047CE">
        <w:tab/>
      </w:r>
      <w:r w:rsidR="00D01D77" w:rsidRPr="001047CE">
        <w:t>APPLICABLE LAW</w:t>
      </w:r>
    </w:p>
    <w:p w:rsidR="00C3650E" w:rsidRDefault="0072735C" w:rsidP="00C3650E">
      <w:pPr>
        <w:pStyle w:val="BodyTextIndent3"/>
        <w:spacing w:line="480" w:lineRule="auto"/>
        <w:ind w:firstLine="720"/>
        <w:rPr>
          <w:szCs w:val="24"/>
        </w:rPr>
      </w:pPr>
      <w:r w:rsidRPr="0072735C">
        <w:rPr>
          <w:szCs w:val="24"/>
        </w:rPr>
        <w:t xml:space="preserve">The </w:t>
      </w:r>
      <w:r w:rsidR="00025875">
        <w:rPr>
          <w:szCs w:val="24"/>
        </w:rPr>
        <w:t>fundamental</w:t>
      </w:r>
      <w:r w:rsidRPr="0072735C">
        <w:rPr>
          <w:szCs w:val="24"/>
        </w:rPr>
        <w:t xml:space="preserve"> principle of the PUCO’s rules regarding protective orders is not to conceal information, but to make information public.  The PUCO </w:t>
      </w:r>
      <w:r w:rsidR="00367935">
        <w:rPr>
          <w:szCs w:val="24"/>
        </w:rPr>
        <w:t>has a long-</w:t>
      </w:r>
      <w:r w:rsidRPr="0072735C">
        <w:rPr>
          <w:szCs w:val="24"/>
        </w:rPr>
        <w:t>established policy that confidential treatment is to be given only under extraordinary circumstances.</w:t>
      </w:r>
      <w:r>
        <w:rPr>
          <w:rStyle w:val="FootnoteReference"/>
          <w:szCs w:val="24"/>
        </w:rPr>
        <w:footnoteReference w:id="6"/>
      </w:r>
      <w:r w:rsidRPr="0072735C">
        <w:rPr>
          <w:szCs w:val="24"/>
        </w:rPr>
        <w:t xml:space="preserve">  Ohio Adm. Code 4901-1-24(D) specifies that a protective order “shall minimize the amount of information protected from public disclosure.”</w:t>
      </w:r>
    </w:p>
    <w:p w:rsidR="0072735C" w:rsidRDefault="0072735C" w:rsidP="00C3650E">
      <w:pPr>
        <w:pStyle w:val="BodyTextIndent3"/>
        <w:spacing w:line="480" w:lineRule="auto"/>
        <w:ind w:firstLine="720"/>
        <w:rPr>
          <w:szCs w:val="24"/>
        </w:rPr>
      </w:pPr>
      <w:r w:rsidRPr="0072735C">
        <w:rPr>
          <w:szCs w:val="24"/>
        </w:rPr>
        <w:lastRenderedPageBreak/>
        <w:t xml:space="preserve">The PUCO </w:t>
      </w:r>
      <w:r w:rsidR="00790878">
        <w:rPr>
          <w:szCs w:val="24"/>
        </w:rPr>
        <w:t xml:space="preserve">has </w:t>
      </w:r>
      <w:r w:rsidRPr="0072735C">
        <w:rPr>
          <w:szCs w:val="24"/>
        </w:rPr>
        <w:t xml:space="preserve">emphasized the importance of the public records laws and has noted that “Ohio public records law is intended to be liberally construed to ‘ensure that governmental records be open and made available to the public … subject to only a very </w:t>
      </w:r>
      <w:r w:rsidR="00993F4F">
        <w:rPr>
          <w:szCs w:val="24"/>
        </w:rPr>
        <w:t>few limited exceptions.’”</w:t>
      </w:r>
      <w:r w:rsidR="00993F4F">
        <w:rPr>
          <w:rStyle w:val="FootnoteReference"/>
          <w:szCs w:val="24"/>
        </w:rPr>
        <w:footnoteReference w:id="7"/>
      </w:r>
      <w:r w:rsidRPr="0072735C">
        <w:rPr>
          <w:szCs w:val="24"/>
        </w:rPr>
        <w:t xml:space="preserve">  The PUCO has noted that “[a]ll proceedings at the Commission and all documents and records in its possession are public records, except as provided in Ohio’s public records law (149.43, Revised Code) and as consistent with the purposes of</w:t>
      </w:r>
      <w:r w:rsidR="00993F4F">
        <w:rPr>
          <w:szCs w:val="24"/>
        </w:rPr>
        <w:t xml:space="preserve"> Title 49 of the Revised Code.”</w:t>
      </w:r>
      <w:r w:rsidR="00993F4F">
        <w:rPr>
          <w:rStyle w:val="FootnoteReference"/>
          <w:szCs w:val="24"/>
        </w:rPr>
        <w:footnoteReference w:id="8"/>
      </w:r>
      <w:r w:rsidRPr="0072735C">
        <w:rPr>
          <w:szCs w:val="24"/>
        </w:rPr>
        <w:t xml:space="preserve">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w:t>
      </w:r>
      <w:r w:rsidR="00F0183E">
        <w:rPr>
          <w:szCs w:val="24"/>
        </w:rPr>
        <w:t xml:space="preserve"> </w:t>
      </w:r>
      <w:r w:rsidRPr="0072735C">
        <w:rPr>
          <w:szCs w:val="24"/>
        </w:rPr>
        <w:t xml:space="preserve">The PUCO also </w:t>
      </w:r>
      <w:r w:rsidR="00790878">
        <w:rPr>
          <w:szCs w:val="24"/>
        </w:rPr>
        <w:t xml:space="preserve">has </w:t>
      </w:r>
      <w:r w:rsidRPr="0072735C">
        <w:rPr>
          <w:szCs w:val="24"/>
        </w:rPr>
        <w:t>noted that R.C. 4901.12 and R.C. 4905.07 “provide a strong presumption in favor of disclosure, which the party claiming protecti</w:t>
      </w:r>
      <w:r w:rsidR="00D7251D">
        <w:rPr>
          <w:szCs w:val="24"/>
        </w:rPr>
        <w:t>ve status must overcome.”</w:t>
      </w:r>
      <w:r w:rsidR="00993F4F">
        <w:rPr>
          <w:rStyle w:val="FootnoteReference"/>
          <w:szCs w:val="24"/>
        </w:rPr>
        <w:footnoteReference w:id="9"/>
      </w:r>
    </w:p>
    <w:p w:rsidR="00993F4F" w:rsidRPr="00993F4F" w:rsidRDefault="00993F4F" w:rsidP="00C3650E">
      <w:pPr>
        <w:pStyle w:val="BodyTextIndent3"/>
        <w:spacing w:line="480" w:lineRule="auto"/>
        <w:ind w:firstLine="720"/>
        <w:contextualSpacing/>
        <w:rPr>
          <w:szCs w:val="24"/>
        </w:rPr>
      </w:pPr>
      <w:r w:rsidRPr="00993F4F">
        <w:rPr>
          <w:szCs w:val="24"/>
        </w:rPr>
        <w:t>R.C. 149.43 broadly defines public records to include records kept at any state</w:t>
      </w:r>
      <w:r>
        <w:rPr>
          <w:szCs w:val="24"/>
        </w:rPr>
        <w:t xml:space="preserve"> </w:t>
      </w:r>
      <w:r w:rsidRPr="00993F4F">
        <w:rPr>
          <w:szCs w:val="24"/>
        </w:rPr>
        <w:t>office but excludes or exempts from the definition of public records those records “whose</w:t>
      </w:r>
      <w:r>
        <w:rPr>
          <w:szCs w:val="24"/>
        </w:rPr>
        <w:t xml:space="preserve"> </w:t>
      </w:r>
      <w:r w:rsidRPr="00993F4F">
        <w:rPr>
          <w:szCs w:val="24"/>
        </w:rPr>
        <w:t>release is prohi</w:t>
      </w:r>
      <w:r>
        <w:rPr>
          <w:szCs w:val="24"/>
        </w:rPr>
        <w:t>bited by state or federal law.”</w:t>
      </w:r>
      <w:r>
        <w:rPr>
          <w:rStyle w:val="FootnoteReference"/>
          <w:szCs w:val="24"/>
        </w:rPr>
        <w:footnoteReference w:id="10"/>
      </w:r>
      <w:r w:rsidRPr="00993F4F">
        <w:rPr>
          <w:szCs w:val="24"/>
        </w:rPr>
        <w:t xml:space="preserve">  R.C. 149.43 prohibits the PUCO and other public agencies from releasing public documents that qualify as trade secrets.</w:t>
      </w:r>
    </w:p>
    <w:p w:rsidR="00993F4F" w:rsidRDefault="00993F4F" w:rsidP="00C3650E">
      <w:pPr>
        <w:pStyle w:val="BodyTextIndent3"/>
        <w:spacing w:line="480" w:lineRule="auto"/>
        <w:ind w:firstLine="720"/>
        <w:contextualSpacing/>
        <w:rPr>
          <w:szCs w:val="24"/>
        </w:rPr>
      </w:pPr>
      <w:r w:rsidRPr="00993F4F">
        <w:rPr>
          <w:szCs w:val="24"/>
        </w:rPr>
        <w:t xml:space="preserve">Ohio has adopted the Uniform Trade Secrets Act, and has codified the definition of “trade secrets.” </w:t>
      </w:r>
      <w:r w:rsidR="00025875">
        <w:rPr>
          <w:szCs w:val="24"/>
        </w:rPr>
        <w:t xml:space="preserve"> In </w:t>
      </w:r>
      <w:r w:rsidRPr="00993F4F">
        <w:rPr>
          <w:szCs w:val="24"/>
        </w:rPr>
        <w:t>R.C. 133</w:t>
      </w:r>
      <w:r w:rsidR="00025875">
        <w:rPr>
          <w:szCs w:val="24"/>
        </w:rPr>
        <w:t>3</w:t>
      </w:r>
      <w:r w:rsidRPr="00993F4F">
        <w:rPr>
          <w:szCs w:val="24"/>
        </w:rPr>
        <w:t>.61(D)</w:t>
      </w:r>
      <w:r w:rsidR="00025875">
        <w:rPr>
          <w:szCs w:val="24"/>
        </w:rPr>
        <w:t>,</w:t>
      </w:r>
      <w:r w:rsidRPr="00993F4F">
        <w:rPr>
          <w:szCs w:val="24"/>
        </w:rPr>
        <w:t xml:space="preserve"> a </w:t>
      </w:r>
      <w:r w:rsidR="00025875">
        <w:rPr>
          <w:szCs w:val="24"/>
        </w:rPr>
        <w:t>“</w:t>
      </w:r>
      <w:r w:rsidRPr="00993F4F">
        <w:rPr>
          <w:szCs w:val="24"/>
        </w:rPr>
        <w:t>trade secret</w:t>
      </w:r>
      <w:r w:rsidR="00025875">
        <w:rPr>
          <w:szCs w:val="24"/>
        </w:rPr>
        <w:t>” is defined</w:t>
      </w:r>
      <w:r w:rsidRPr="00993F4F">
        <w:rPr>
          <w:szCs w:val="24"/>
        </w:rPr>
        <w:t xml:space="preserve"> as:</w:t>
      </w:r>
    </w:p>
    <w:p w:rsidR="00993F4F" w:rsidRPr="00993F4F" w:rsidRDefault="00921D62" w:rsidP="001047CE">
      <w:pPr>
        <w:pStyle w:val="BodyTextIndent3"/>
        <w:spacing w:after="240"/>
        <w:ind w:left="1440" w:right="720"/>
        <w:rPr>
          <w:szCs w:val="24"/>
        </w:rPr>
      </w:pPr>
      <w:r>
        <w:rPr>
          <w:szCs w:val="24"/>
        </w:rPr>
        <w:t>[I]</w:t>
      </w:r>
      <w:r w:rsidR="00993F4F" w:rsidRPr="00993F4F">
        <w:rPr>
          <w:szCs w:val="24"/>
        </w:rPr>
        <w:t>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993F4F" w:rsidRPr="00993F4F" w:rsidRDefault="00993F4F" w:rsidP="001047CE">
      <w:pPr>
        <w:pStyle w:val="BodyTextIndent3"/>
        <w:spacing w:after="240"/>
        <w:ind w:left="1440" w:right="720"/>
        <w:rPr>
          <w:szCs w:val="24"/>
        </w:rPr>
      </w:pPr>
      <w:r w:rsidRPr="00993F4F">
        <w:rPr>
          <w:szCs w:val="24"/>
        </w:rPr>
        <w:t>(1) It derives independent economic value, actual or potential, from not being generally known to, and not being readily ascertainable by proper means by, other persons who can obtain economic value from its disclosure or use.</w:t>
      </w:r>
    </w:p>
    <w:p w:rsidR="00993F4F" w:rsidRDefault="00993F4F" w:rsidP="001047CE">
      <w:pPr>
        <w:pStyle w:val="BodyTextIndent3"/>
        <w:spacing w:after="240"/>
        <w:ind w:left="1440" w:right="720"/>
        <w:rPr>
          <w:szCs w:val="24"/>
        </w:rPr>
      </w:pPr>
      <w:r w:rsidRPr="00993F4F">
        <w:rPr>
          <w:szCs w:val="24"/>
        </w:rPr>
        <w:t>(2) It is the subject of efforts that are reasonable under the circumstances to maintain its secrecy.</w:t>
      </w:r>
    </w:p>
    <w:p w:rsidR="00275EA5" w:rsidRPr="00993F4F" w:rsidRDefault="00993F4F" w:rsidP="00C3650E">
      <w:pPr>
        <w:pStyle w:val="BodyTextIndent3"/>
        <w:spacing w:line="480" w:lineRule="auto"/>
        <w:ind w:firstLine="720"/>
        <w:contextualSpacing/>
        <w:rPr>
          <w:szCs w:val="24"/>
        </w:rPr>
      </w:pPr>
      <w:r w:rsidRPr="00993F4F">
        <w:rPr>
          <w:szCs w:val="24"/>
        </w:rPr>
        <w:t>Thus, to qualify as a trade secret under R.C. 133</w:t>
      </w:r>
      <w:r w:rsidR="00367935">
        <w:rPr>
          <w:szCs w:val="24"/>
        </w:rPr>
        <w:t>3</w:t>
      </w:r>
      <w:r w:rsidRPr="00993F4F">
        <w:rPr>
          <w:szCs w:val="24"/>
        </w:rPr>
        <w:t>.61(D), information must be shown to fall within the definition of a trade secret and must satisfy two requirements: it must have “independent economic value” and it must have been kept under circumstances that maintain its secrecy.</w:t>
      </w:r>
    </w:p>
    <w:p w:rsidR="00993F4F" w:rsidRPr="008A3E7F" w:rsidRDefault="00275EA5" w:rsidP="001047CE">
      <w:pPr>
        <w:pStyle w:val="Heading1"/>
      </w:pPr>
      <w:r>
        <w:t xml:space="preserve">III. </w:t>
      </w:r>
      <w:r>
        <w:tab/>
      </w:r>
      <w:r w:rsidR="00025875">
        <w:t>DISCUSSION</w:t>
      </w:r>
    </w:p>
    <w:p w:rsidR="003B14C1" w:rsidRDefault="00993F4F" w:rsidP="00C3650E">
      <w:pPr>
        <w:pStyle w:val="BodyTextIndent3"/>
        <w:spacing w:line="480" w:lineRule="auto"/>
        <w:ind w:firstLine="720"/>
        <w:rPr>
          <w:szCs w:val="24"/>
        </w:rPr>
      </w:pPr>
      <w:r w:rsidRPr="00993F4F">
        <w:rPr>
          <w:szCs w:val="24"/>
        </w:rPr>
        <w:t>Ohio Adm. Code 4901-1-24(D) provides that the PU</w:t>
      </w:r>
      <w:r w:rsidR="00FE7EBF">
        <w:rPr>
          <w:szCs w:val="24"/>
        </w:rPr>
        <w:t>CO may issue a protective order:</w:t>
      </w:r>
    </w:p>
    <w:p w:rsidR="00993F4F" w:rsidRPr="00993F4F" w:rsidRDefault="00993F4F" w:rsidP="001047CE">
      <w:pPr>
        <w:pStyle w:val="BodyTextIndent3"/>
        <w:spacing w:after="240"/>
        <w:ind w:left="1440" w:right="720"/>
        <w:rPr>
          <w:szCs w:val="24"/>
        </w:rPr>
      </w:pPr>
      <w:r w:rsidRPr="00993F4F">
        <w:rPr>
          <w:szCs w:val="24"/>
        </w:rPr>
        <w:t>to protect the confidentiality of information contained in the document, to the extent that state or federal law prohibits release of the information, including where the information is deemed by the commission, the legal director, the deputy legal director, or the attorney examiner to constitute a trade secret under Ohio law, and where nondisclosure of the information is not inconsistent with the purposes o</w:t>
      </w:r>
      <w:r w:rsidR="003B14C1">
        <w:rPr>
          <w:szCs w:val="24"/>
        </w:rPr>
        <w:t>f Title 49 of the Revised Code.</w:t>
      </w:r>
      <w:r w:rsidRPr="00993F4F">
        <w:rPr>
          <w:szCs w:val="24"/>
        </w:rPr>
        <w:t xml:space="preserve">  </w:t>
      </w:r>
    </w:p>
    <w:p w:rsidR="00127062" w:rsidRDefault="00367935" w:rsidP="00C3650E">
      <w:pPr>
        <w:pStyle w:val="BodyTextIndent3"/>
        <w:spacing w:line="480" w:lineRule="auto"/>
        <w:ind w:firstLine="720"/>
        <w:contextualSpacing/>
        <w:rPr>
          <w:szCs w:val="24"/>
        </w:rPr>
      </w:pPr>
      <w:r>
        <w:rPr>
          <w:szCs w:val="24"/>
        </w:rPr>
        <w:t xml:space="preserve">In its motions, </w:t>
      </w:r>
      <w:r w:rsidR="00127062">
        <w:rPr>
          <w:szCs w:val="24"/>
        </w:rPr>
        <w:t>Duke seeks to protect information regarding its “internal account system, specific customer transactions, and account detail.”</w:t>
      </w:r>
      <w:r w:rsidR="00127062">
        <w:rPr>
          <w:rStyle w:val="FootnoteReference"/>
          <w:szCs w:val="24"/>
        </w:rPr>
        <w:footnoteReference w:id="11"/>
      </w:r>
      <w:r w:rsidR="00127062">
        <w:rPr>
          <w:szCs w:val="24"/>
        </w:rPr>
        <w:t xml:space="preserve">  Duke also asks that information concerning the processes it follows for “customer mailings, payments, noti</w:t>
      </w:r>
      <w:r w:rsidR="00F84A95">
        <w:rPr>
          <w:szCs w:val="24"/>
        </w:rPr>
        <w:t>ces, and termination of service</w:t>
      </w:r>
      <w:r w:rsidR="00127062">
        <w:rPr>
          <w:szCs w:val="24"/>
        </w:rPr>
        <w:t>”</w:t>
      </w:r>
      <w:r w:rsidR="00F84A95">
        <w:rPr>
          <w:szCs w:val="24"/>
        </w:rPr>
        <w:t xml:space="preserve"> not be disclosed.</w:t>
      </w:r>
      <w:r w:rsidR="00127062">
        <w:rPr>
          <w:rStyle w:val="FootnoteReference"/>
          <w:szCs w:val="24"/>
        </w:rPr>
        <w:footnoteReference w:id="12"/>
      </w:r>
      <w:r w:rsidR="00ED342A">
        <w:rPr>
          <w:szCs w:val="24"/>
        </w:rPr>
        <w:t xml:space="preserve">  The PUCO should reject Duke’s arguments for preventing disclosure of the information.</w:t>
      </w:r>
    </w:p>
    <w:p w:rsidR="00ED342A" w:rsidRPr="00367935" w:rsidRDefault="006D2F9C" w:rsidP="00ED342A">
      <w:pPr>
        <w:spacing w:after="0" w:line="480" w:lineRule="auto"/>
        <w:ind w:firstLine="720"/>
        <w:rPr>
          <w:rFonts w:eastAsia="Times New Roman" w:cs="Times New Roman"/>
          <w:szCs w:val="24"/>
        </w:rPr>
      </w:pPr>
      <w:r>
        <w:rPr>
          <w:rFonts w:eastAsia="Times New Roman" w:cs="Times New Roman"/>
          <w:szCs w:val="24"/>
        </w:rPr>
        <w:t>Regarding its policies and procedures for disconnection of residential service</w:t>
      </w:r>
      <w:r w:rsidR="00ED342A">
        <w:rPr>
          <w:rFonts w:eastAsia="Times New Roman" w:cs="Times New Roman"/>
          <w:szCs w:val="24"/>
        </w:rPr>
        <w:t xml:space="preserve">, </w:t>
      </w:r>
      <w:r w:rsidR="00ED342A" w:rsidRPr="00367935">
        <w:rPr>
          <w:rFonts w:eastAsia="Times New Roman" w:cs="Times New Roman"/>
          <w:szCs w:val="24"/>
        </w:rPr>
        <w:t xml:space="preserve">Duke </w:t>
      </w:r>
      <w:r w:rsidR="00ED342A">
        <w:rPr>
          <w:rFonts w:eastAsia="Times New Roman" w:cs="Times New Roman"/>
          <w:szCs w:val="24"/>
        </w:rPr>
        <w:t xml:space="preserve">claims </w:t>
      </w:r>
      <w:r w:rsidR="00ED342A" w:rsidRPr="00367935">
        <w:rPr>
          <w:rFonts w:eastAsia="Times New Roman" w:cs="Times New Roman"/>
          <w:szCs w:val="24"/>
        </w:rPr>
        <w:t xml:space="preserve">that </w:t>
      </w:r>
      <w:r>
        <w:rPr>
          <w:rFonts w:eastAsia="Times New Roman" w:cs="Times New Roman"/>
          <w:szCs w:val="24"/>
        </w:rPr>
        <w:t>“</w:t>
      </w:r>
      <w:r w:rsidR="00ED342A" w:rsidRPr="00367935">
        <w:rPr>
          <w:rFonts w:eastAsia="Times New Roman" w:cs="Times New Roman"/>
          <w:szCs w:val="24"/>
        </w:rPr>
        <w:t xml:space="preserve">public disclosure </w:t>
      </w:r>
      <w:r>
        <w:rPr>
          <w:rFonts w:eastAsia="Times New Roman" w:cs="Times New Roman"/>
          <w:szCs w:val="24"/>
        </w:rPr>
        <w:t>to others would allow them to benefit unfairly from the Company’s efforts</w:t>
      </w:r>
      <w:r w:rsidR="00ED342A" w:rsidRPr="00367935">
        <w:rPr>
          <w:rFonts w:eastAsia="Times New Roman" w:cs="Times New Roman"/>
          <w:szCs w:val="24"/>
        </w:rPr>
        <w:t>.”</w:t>
      </w:r>
      <w:r w:rsidR="00ED342A" w:rsidRPr="00367935">
        <w:rPr>
          <w:rFonts w:eastAsia="Times New Roman" w:cs="Times New Roman"/>
          <w:szCs w:val="24"/>
          <w:vertAlign w:val="superscript"/>
        </w:rPr>
        <w:footnoteReference w:id="13"/>
      </w:r>
      <w:r w:rsidR="00ED342A" w:rsidRPr="00367935">
        <w:rPr>
          <w:rFonts w:eastAsia="Times New Roman" w:cs="Times New Roman"/>
          <w:szCs w:val="24"/>
        </w:rPr>
        <w:t xml:space="preserve">  </w:t>
      </w:r>
      <w:r>
        <w:rPr>
          <w:rFonts w:eastAsia="Times New Roman" w:cs="Times New Roman"/>
          <w:szCs w:val="24"/>
        </w:rPr>
        <w:t>Duke contends that customers could avoid the criteria for disconnection, which would harm Duke financially.</w:t>
      </w:r>
      <w:r>
        <w:rPr>
          <w:rStyle w:val="FootnoteReference"/>
          <w:rFonts w:eastAsia="Times New Roman" w:cs="Times New Roman"/>
          <w:szCs w:val="24"/>
        </w:rPr>
        <w:footnoteReference w:id="14"/>
      </w:r>
      <w:r>
        <w:rPr>
          <w:rFonts w:eastAsia="Times New Roman" w:cs="Times New Roman"/>
          <w:szCs w:val="24"/>
        </w:rPr>
        <w:t xml:space="preserve">  The PUCO rejected</w:t>
      </w:r>
      <w:r w:rsidR="00F84A95">
        <w:rPr>
          <w:rFonts w:eastAsia="Times New Roman" w:cs="Times New Roman"/>
          <w:szCs w:val="24"/>
        </w:rPr>
        <w:t xml:space="preserve"> these arguments by Duke</w:t>
      </w:r>
      <w:r>
        <w:rPr>
          <w:rFonts w:eastAsia="Times New Roman" w:cs="Times New Roman"/>
          <w:szCs w:val="24"/>
        </w:rPr>
        <w:t xml:space="preserve"> six years ago.</w:t>
      </w:r>
    </w:p>
    <w:p w:rsidR="00ED342A" w:rsidRPr="00367935" w:rsidRDefault="008E479C" w:rsidP="00ED342A">
      <w:pPr>
        <w:spacing w:after="0" w:line="480" w:lineRule="auto"/>
        <w:ind w:firstLine="720"/>
        <w:rPr>
          <w:rFonts w:cs="Times New Roman"/>
          <w:szCs w:val="24"/>
        </w:rPr>
      </w:pPr>
      <w:r>
        <w:rPr>
          <w:rFonts w:eastAsia="Times New Roman" w:cs="Times New Roman"/>
          <w:szCs w:val="24"/>
        </w:rPr>
        <w:t xml:space="preserve">At that time, </w:t>
      </w:r>
      <w:r w:rsidR="00ED342A" w:rsidRPr="00367935">
        <w:rPr>
          <w:rFonts w:eastAsia="Times New Roman" w:cs="Times New Roman"/>
          <w:szCs w:val="24"/>
        </w:rPr>
        <w:t>the PUCO</w:t>
      </w:r>
      <w:r>
        <w:rPr>
          <w:rFonts w:eastAsia="Times New Roman" w:cs="Times New Roman"/>
          <w:szCs w:val="24"/>
        </w:rPr>
        <w:t xml:space="preserve"> wa</w:t>
      </w:r>
      <w:r w:rsidR="00ED342A" w:rsidRPr="00367935">
        <w:rPr>
          <w:rFonts w:eastAsia="Times New Roman" w:cs="Times New Roman"/>
          <w:szCs w:val="24"/>
        </w:rPr>
        <w:t>s review</w:t>
      </w:r>
      <w:r>
        <w:rPr>
          <w:rFonts w:eastAsia="Times New Roman" w:cs="Times New Roman"/>
          <w:szCs w:val="24"/>
        </w:rPr>
        <w:t>ing</w:t>
      </w:r>
      <w:r w:rsidR="00ED342A" w:rsidRPr="00367935">
        <w:rPr>
          <w:rFonts w:eastAsia="Times New Roman" w:cs="Times New Roman"/>
          <w:szCs w:val="24"/>
        </w:rPr>
        <w:t xml:space="preserve"> natural gas companies’ policies and practices concerning their riders for uncollectible accounts</w:t>
      </w:r>
      <w:r w:rsidR="00F84A95">
        <w:rPr>
          <w:rFonts w:eastAsia="Times New Roman" w:cs="Times New Roman"/>
          <w:szCs w:val="24"/>
        </w:rPr>
        <w:t>.</w:t>
      </w:r>
      <w:r w:rsidR="00ED342A" w:rsidRPr="00367935">
        <w:rPr>
          <w:rFonts w:eastAsia="Times New Roman" w:cs="Times New Roman"/>
          <w:szCs w:val="24"/>
          <w:vertAlign w:val="superscript"/>
        </w:rPr>
        <w:footnoteReference w:id="15"/>
      </w:r>
      <w:r w:rsidR="00ED342A" w:rsidRPr="00367935">
        <w:rPr>
          <w:rFonts w:eastAsia="Times New Roman" w:cs="Times New Roman"/>
          <w:szCs w:val="24"/>
        </w:rPr>
        <w:t xml:space="preserve"> </w:t>
      </w:r>
      <w:r w:rsidR="00F84A95">
        <w:rPr>
          <w:rFonts w:eastAsia="Times New Roman" w:cs="Times New Roman"/>
          <w:szCs w:val="24"/>
        </w:rPr>
        <w:t xml:space="preserve"> There, </w:t>
      </w:r>
      <w:r w:rsidR="00ED342A" w:rsidRPr="00367935">
        <w:rPr>
          <w:rFonts w:eastAsia="Times New Roman" w:cs="Times New Roman"/>
          <w:szCs w:val="24"/>
        </w:rPr>
        <w:t>Duke sought a protective order concerning its practices regarding disconnection of service and payment arrangements for natural gas customers.</w:t>
      </w:r>
      <w:r w:rsidR="00ED342A" w:rsidRPr="00367935">
        <w:rPr>
          <w:rFonts w:eastAsia="Times New Roman" w:cs="Times New Roman"/>
          <w:szCs w:val="24"/>
          <w:vertAlign w:val="superscript"/>
        </w:rPr>
        <w:footnoteReference w:id="16"/>
      </w:r>
      <w:r w:rsidR="00ED342A" w:rsidRPr="00367935">
        <w:rPr>
          <w:rFonts w:eastAsia="Times New Roman" w:cs="Times New Roman"/>
          <w:szCs w:val="24"/>
        </w:rPr>
        <w:t xml:space="preserve">  Duke claimed that the information “</w:t>
      </w:r>
      <w:r w:rsidR="00ED342A" w:rsidRPr="00367935">
        <w:rPr>
          <w:rFonts w:cs="Times New Roman"/>
          <w:szCs w:val="24"/>
        </w:rPr>
        <w:t>would be of value to customers seeking to understand the parameters of the Company’s collection practices and to avoid responsibility for payment of their bills.  This would increase the amount of bad debt which Duke Energy Ohio would necessarily accrue and could substantially exacerbate the uncollectible problem.”</w:t>
      </w:r>
      <w:r w:rsidR="00ED342A" w:rsidRPr="00367935">
        <w:rPr>
          <w:rFonts w:cs="Times New Roman"/>
          <w:szCs w:val="24"/>
          <w:vertAlign w:val="superscript"/>
        </w:rPr>
        <w:footnoteReference w:id="17"/>
      </w:r>
      <w:r w:rsidR="00ED342A" w:rsidRPr="00367935">
        <w:rPr>
          <w:rFonts w:cs="Times New Roman"/>
          <w:szCs w:val="24"/>
        </w:rPr>
        <w:t xml:space="preserve">  Duke went on to argue that if the information is disclosed, Duke “will be placed at a disadvantage, in among other things, reducing its ability to terminate service and make payment arrangements for those customers who are delinquent in payments and gaming the system.”</w:t>
      </w:r>
      <w:r w:rsidR="00ED342A" w:rsidRPr="00367935">
        <w:rPr>
          <w:rFonts w:cs="Times New Roman"/>
          <w:szCs w:val="24"/>
          <w:vertAlign w:val="superscript"/>
        </w:rPr>
        <w:footnoteReference w:id="18"/>
      </w:r>
      <w:r w:rsidR="00ED342A" w:rsidRPr="00367935">
        <w:rPr>
          <w:rFonts w:cs="Times New Roman"/>
          <w:szCs w:val="24"/>
        </w:rPr>
        <w:t xml:space="preserve">  Duke also claimed that a customer accessing the information “could take actions that, in the absence of this information, it would not otherwise take.”</w:t>
      </w:r>
      <w:r w:rsidR="00ED342A" w:rsidRPr="00367935">
        <w:rPr>
          <w:rFonts w:cs="Times New Roman"/>
          <w:szCs w:val="24"/>
          <w:vertAlign w:val="superscript"/>
        </w:rPr>
        <w:footnoteReference w:id="19"/>
      </w:r>
    </w:p>
    <w:p w:rsidR="008E479C" w:rsidRPr="00367935" w:rsidRDefault="006D2F9C" w:rsidP="008E479C">
      <w:pPr>
        <w:spacing w:after="0" w:line="480" w:lineRule="auto"/>
        <w:ind w:firstLine="720"/>
        <w:rPr>
          <w:rFonts w:eastAsia="Times New Roman" w:cs="Times New Roman"/>
          <w:szCs w:val="24"/>
        </w:rPr>
      </w:pPr>
      <w:r>
        <w:rPr>
          <w:rFonts w:cs="Times New Roman"/>
          <w:szCs w:val="24"/>
        </w:rPr>
        <w:t xml:space="preserve">In that case, </w:t>
      </w:r>
      <w:r w:rsidR="00ED342A" w:rsidRPr="00367935">
        <w:rPr>
          <w:rFonts w:cs="Times New Roman"/>
          <w:szCs w:val="24"/>
        </w:rPr>
        <w:t>OCC opposed Duke’s effort to conceal information regarding its processes and policies for disconnecting customers for nonpayment.  The PUCO agreed with OCC that the information does not constitute a trade secret and denied Duke’s motion in its entirety.</w:t>
      </w:r>
      <w:r w:rsidR="00ED342A" w:rsidRPr="00367935">
        <w:rPr>
          <w:rFonts w:cs="Times New Roman"/>
          <w:szCs w:val="24"/>
          <w:vertAlign w:val="superscript"/>
        </w:rPr>
        <w:footnoteReference w:id="20"/>
      </w:r>
      <w:r w:rsidR="008E479C">
        <w:rPr>
          <w:rFonts w:cs="Times New Roman"/>
          <w:szCs w:val="24"/>
        </w:rPr>
        <w:t xml:space="preserve">  The PUCO should, consistent with its precedent, hold that the same information in this case, does not constitute a trade secret.</w:t>
      </w:r>
    </w:p>
    <w:p w:rsidR="00ED342A" w:rsidRPr="00367935" w:rsidRDefault="00ED342A" w:rsidP="00ED342A">
      <w:pPr>
        <w:spacing w:after="0" w:line="480" w:lineRule="auto"/>
        <w:ind w:firstLine="720"/>
        <w:rPr>
          <w:rFonts w:eastAsia="Times New Roman" w:cs="Times New Roman"/>
          <w:szCs w:val="24"/>
        </w:rPr>
      </w:pPr>
      <w:r w:rsidRPr="00367935">
        <w:rPr>
          <w:rFonts w:eastAsia="Times New Roman" w:cs="Times New Roman"/>
          <w:szCs w:val="24"/>
        </w:rPr>
        <w:t>Further, disclosing the information would allow the public to know what Duke’s (a public utility) policies and procedures are</w:t>
      </w:r>
      <w:r w:rsidR="008E479C">
        <w:rPr>
          <w:rFonts w:eastAsia="Times New Roman" w:cs="Times New Roman"/>
          <w:szCs w:val="24"/>
        </w:rPr>
        <w:t>.  Informing customers of this information would educate them</w:t>
      </w:r>
      <w:r w:rsidRPr="00367935">
        <w:rPr>
          <w:rFonts w:eastAsia="Times New Roman" w:cs="Times New Roman"/>
          <w:szCs w:val="24"/>
        </w:rPr>
        <w:t xml:space="preserve"> as to such policies and procedures.  </w:t>
      </w:r>
      <w:r w:rsidR="008E479C">
        <w:rPr>
          <w:rFonts w:eastAsia="Times New Roman" w:cs="Times New Roman"/>
          <w:szCs w:val="24"/>
        </w:rPr>
        <w:t>This is a good thing, not a bad thing as Duke profess</w:t>
      </w:r>
      <w:r w:rsidR="00F84A95">
        <w:rPr>
          <w:rFonts w:eastAsia="Times New Roman" w:cs="Times New Roman"/>
          <w:szCs w:val="24"/>
        </w:rPr>
        <w:t>es</w:t>
      </w:r>
      <w:r w:rsidR="008E479C">
        <w:rPr>
          <w:rFonts w:eastAsia="Times New Roman" w:cs="Times New Roman"/>
          <w:szCs w:val="24"/>
        </w:rPr>
        <w:t>.  T</w:t>
      </w:r>
      <w:r w:rsidRPr="00367935">
        <w:rPr>
          <w:rFonts w:eastAsia="Times New Roman" w:cs="Times New Roman"/>
          <w:szCs w:val="24"/>
        </w:rPr>
        <w:t xml:space="preserve">he PUCO </w:t>
      </w:r>
      <w:r w:rsidR="008E479C">
        <w:rPr>
          <w:rFonts w:eastAsia="Times New Roman" w:cs="Times New Roman"/>
          <w:szCs w:val="24"/>
        </w:rPr>
        <w:t xml:space="preserve">too </w:t>
      </w:r>
      <w:r w:rsidRPr="00367935">
        <w:rPr>
          <w:rFonts w:eastAsia="Times New Roman" w:cs="Times New Roman"/>
          <w:szCs w:val="24"/>
        </w:rPr>
        <w:t xml:space="preserve">should be aware of Duke’s stated positions.  This </w:t>
      </w:r>
      <w:r w:rsidR="00F84A95">
        <w:rPr>
          <w:rFonts w:eastAsia="Times New Roman" w:cs="Times New Roman"/>
          <w:szCs w:val="24"/>
        </w:rPr>
        <w:t>is</w:t>
      </w:r>
      <w:r w:rsidRPr="00367935">
        <w:rPr>
          <w:rFonts w:eastAsia="Times New Roman" w:cs="Times New Roman"/>
          <w:szCs w:val="24"/>
        </w:rPr>
        <w:t xml:space="preserve"> a reason in favor of </w:t>
      </w:r>
      <w:r w:rsidR="008E479C" w:rsidRPr="00367935">
        <w:rPr>
          <w:rFonts w:eastAsia="Times New Roman" w:cs="Times New Roman"/>
          <w:szCs w:val="24"/>
        </w:rPr>
        <w:t>d</w:t>
      </w:r>
      <w:r w:rsidR="008E479C">
        <w:rPr>
          <w:rFonts w:eastAsia="Times New Roman" w:cs="Times New Roman"/>
          <w:szCs w:val="24"/>
        </w:rPr>
        <w:t>enying Duke’s motion to keep such information secret</w:t>
      </w:r>
      <w:r w:rsidRPr="00367935">
        <w:rPr>
          <w:rFonts w:eastAsia="Times New Roman" w:cs="Times New Roman"/>
          <w:szCs w:val="24"/>
        </w:rPr>
        <w:t>.</w:t>
      </w:r>
    </w:p>
    <w:p w:rsidR="00B800C6" w:rsidRDefault="00ED342A" w:rsidP="008E479C">
      <w:pPr>
        <w:pStyle w:val="BodyTextIndent3"/>
        <w:spacing w:line="480" w:lineRule="auto"/>
        <w:ind w:firstLine="720"/>
        <w:contextualSpacing/>
        <w:rPr>
          <w:szCs w:val="24"/>
        </w:rPr>
      </w:pPr>
      <w:r w:rsidRPr="00367935">
        <w:rPr>
          <w:szCs w:val="24"/>
        </w:rPr>
        <w:t xml:space="preserve">  </w:t>
      </w:r>
      <w:r w:rsidR="00CA48A4">
        <w:rPr>
          <w:szCs w:val="24"/>
        </w:rPr>
        <w:t>Duke also claims that disclosure of the allegedly confidential information in the brief and the hearing transcript would “compromise the Company’s internal procedures and its status as an entity that procured competitive contracts.”</w:t>
      </w:r>
      <w:r w:rsidR="00CA48A4">
        <w:rPr>
          <w:rStyle w:val="FootnoteReference"/>
          <w:szCs w:val="24"/>
        </w:rPr>
        <w:footnoteReference w:id="21"/>
      </w:r>
      <w:r w:rsidR="00B800C6">
        <w:rPr>
          <w:szCs w:val="24"/>
        </w:rPr>
        <w:t xml:space="preserve">  </w:t>
      </w:r>
      <w:r w:rsidR="00DA009A">
        <w:rPr>
          <w:szCs w:val="24"/>
        </w:rPr>
        <w:t>Duke cites three cases</w:t>
      </w:r>
      <w:r w:rsidR="00790878">
        <w:rPr>
          <w:szCs w:val="24"/>
        </w:rPr>
        <w:t xml:space="preserve"> in support </w:t>
      </w:r>
      <w:r w:rsidR="00E20014">
        <w:rPr>
          <w:szCs w:val="24"/>
        </w:rPr>
        <w:t xml:space="preserve">of </w:t>
      </w:r>
      <w:r w:rsidR="00790878">
        <w:rPr>
          <w:szCs w:val="24"/>
        </w:rPr>
        <w:t>its position</w:t>
      </w:r>
      <w:r w:rsidR="00DA009A">
        <w:rPr>
          <w:szCs w:val="24"/>
        </w:rPr>
        <w:t xml:space="preserve"> that the information discussed in </w:t>
      </w:r>
      <w:r w:rsidR="00127062">
        <w:rPr>
          <w:szCs w:val="24"/>
        </w:rPr>
        <w:t>its brief and the hearing transcript</w:t>
      </w:r>
      <w:r w:rsidR="00DA009A">
        <w:rPr>
          <w:szCs w:val="24"/>
        </w:rPr>
        <w:t xml:space="preserve"> constitutes a trade secret.</w:t>
      </w:r>
      <w:r w:rsidR="00E20014">
        <w:rPr>
          <w:rStyle w:val="FootnoteReference"/>
          <w:szCs w:val="24"/>
        </w:rPr>
        <w:footnoteReference w:id="22"/>
      </w:r>
      <w:r w:rsidR="00DA009A">
        <w:rPr>
          <w:szCs w:val="24"/>
        </w:rPr>
        <w:t xml:space="preserve">  But none of those cases accord with the information </w:t>
      </w:r>
      <w:r w:rsidR="00E20014">
        <w:rPr>
          <w:szCs w:val="24"/>
        </w:rPr>
        <w:t>at issue in this proceeding</w:t>
      </w:r>
      <w:r w:rsidR="00DA009A">
        <w:rPr>
          <w:szCs w:val="24"/>
        </w:rPr>
        <w:t xml:space="preserve">.  </w:t>
      </w:r>
    </w:p>
    <w:p w:rsidR="00400F17" w:rsidRDefault="00DA009A" w:rsidP="00C3650E">
      <w:pPr>
        <w:spacing w:after="240" w:line="480" w:lineRule="auto"/>
        <w:ind w:firstLine="720"/>
        <w:contextualSpacing/>
        <w:rPr>
          <w:szCs w:val="24"/>
        </w:rPr>
      </w:pPr>
      <w:r>
        <w:rPr>
          <w:szCs w:val="24"/>
        </w:rPr>
        <w:t xml:space="preserve">In </w:t>
      </w:r>
      <w:r w:rsidR="003B14C1">
        <w:rPr>
          <w:szCs w:val="24"/>
        </w:rPr>
        <w:t xml:space="preserve">the </w:t>
      </w:r>
      <w:r w:rsidR="003B14C1" w:rsidRPr="003B14C1">
        <w:rPr>
          <w:i/>
          <w:szCs w:val="24"/>
        </w:rPr>
        <w:t>Valco Cincinnati</w:t>
      </w:r>
      <w:r>
        <w:rPr>
          <w:szCs w:val="24"/>
        </w:rPr>
        <w:t xml:space="preserve"> case,</w:t>
      </w:r>
      <w:r w:rsidR="003B14C1">
        <w:rPr>
          <w:rStyle w:val="FootnoteReference"/>
          <w:szCs w:val="24"/>
        </w:rPr>
        <w:footnoteReference w:id="23"/>
      </w:r>
      <w:r>
        <w:rPr>
          <w:szCs w:val="24"/>
        </w:rPr>
        <w:t xml:space="preserve"> the Supreme Court of Ohio did not address the “accounting methods or other management” as trade secrets, as Duke contends.</w:t>
      </w:r>
      <w:r w:rsidR="00400F17">
        <w:rPr>
          <w:rStyle w:val="FootnoteReference"/>
          <w:szCs w:val="24"/>
        </w:rPr>
        <w:footnoteReference w:id="24"/>
      </w:r>
      <w:r>
        <w:rPr>
          <w:szCs w:val="24"/>
        </w:rPr>
        <w:t xml:space="preserve">  Rather, the Court addressed a unique valve and other elements used </w:t>
      </w:r>
      <w:r w:rsidR="00E07368">
        <w:rPr>
          <w:szCs w:val="24"/>
        </w:rPr>
        <w:t>in manufacturing, including “the end face of the cone spring used in the glue applicator had to be ground in a certain manner, and that such spring had to be of a certain type of metal.”</w:t>
      </w:r>
      <w:r w:rsidR="003B14C1">
        <w:rPr>
          <w:rStyle w:val="FootnoteReference"/>
          <w:szCs w:val="24"/>
        </w:rPr>
        <w:footnoteReference w:id="25"/>
      </w:r>
      <w:r w:rsidR="00E20014">
        <w:rPr>
          <w:szCs w:val="24"/>
        </w:rPr>
        <w:t xml:space="preserve">  Such information is far afield from the information in this case.</w:t>
      </w:r>
    </w:p>
    <w:p w:rsidR="00400F17" w:rsidRDefault="000D5AEA" w:rsidP="00C3650E">
      <w:pPr>
        <w:spacing w:after="240" w:line="480" w:lineRule="auto"/>
        <w:ind w:firstLine="720"/>
        <w:contextualSpacing/>
        <w:rPr>
          <w:rFonts w:eastAsia="Times New Roman" w:cs="Times New Roman"/>
          <w:szCs w:val="24"/>
        </w:rPr>
      </w:pPr>
      <w:r>
        <w:rPr>
          <w:szCs w:val="24"/>
        </w:rPr>
        <w:t xml:space="preserve">Duke </w:t>
      </w:r>
      <w:r w:rsidR="00E20014">
        <w:rPr>
          <w:szCs w:val="24"/>
        </w:rPr>
        <w:t>argues that</w:t>
      </w:r>
      <w:r>
        <w:rPr>
          <w:szCs w:val="24"/>
        </w:rPr>
        <w:t xml:space="preserve"> </w:t>
      </w:r>
      <w:r w:rsidR="003B14C1" w:rsidRPr="00943DC6">
        <w:rPr>
          <w:rFonts w:eastAsia="Times New Roman" w:cs="Times New Roman"/>
          <w:i/>
          <w:szCs w:val="24"/>
        </w:rPr>
        <w:t>State ex rel. The Plain Dealer</w:t>
      </w:r>
      <w:r w:rsidR="00204241" w:rsidRPr="00204241">
        <w:rPr>
          <w:rStyle w:val="FootnoteReference"/>
          <w:rFonts w:eastAsia="Times New Roman" w:cs="Times New Roman"/>
          <w:szCs w:val="24"/>
        </w:rPr>
        <w:footnoteReference w:id="26"/>
      </w:r>
      <w:r w:rsidR="00E07368">
        <w:rPr>
          <w:szCs w:val="24"/>
        </w:rPr>
        <w:t xml:space="preserve"> </w:t>
      </w:r>
      <w:r w:rsidR="00E20014">
        <w:rPr>
          <w:szCs w:val="24"/>
        </w:rPr>
        <w:t>stands</w:t>
      </w:r>
      <w:r w:rsidR="00400F17">
        <w:rPr>
          <w:szCs w:val="24"/>
        </w:rPr>
        <w:t xml:space="preserve"> </w:t>
      </w:r>
      <w:r>
        <w:rPr>
          <w:szCs w:val="24"/>
        </w:rPr>
        <w:t>for the proposition that a “trade secret reflects ‘a process…for continuous use in the operation of the business.’”</w:t>
      </w:r>
      <w:r w:rsidR="00400F17">
        <w:rPr>
          <w:rStyle w:val="FootnoteReference"/>
          <w:szCs w:val="24"/>
        </w:rPr>
        <w:footnoteReference w:id="27"/>
      </w:r>
      <w:r>
        <w:rPr>
          <w:szCs w:val="24"/>
        </w:rPr>
        <w:t xml:space="preserve"> </w:t>
      </w:r>
      <w:r w:rsidRPr="000D5AEA">
        <w:rPr>
          <w:szCs w:val="24"/>
        </w:rPr>
        <w:t xml:space="preserve"> </w:t>
      </w:r>
      <w:r>
        <w:rPr>
          <w:szCs w:val="24"/>
        </w:rPr>
        <w:t xml:space="preserve">But the Court did not state that any process for continuous use </w:t>
      </w:r>
      <w:r w:rsidR="00FD4E67">
        <w:rPr>
          <w:szCs w:val="24"/>
        </w:rPr>
        <w:t>would qualify as a trade secret</w:t>
      </w:r>
      <w:r w:rsidR="00400F17">
        <w:rPr>
          <w:szCs w:val="24"/>
        </w:rPr>
        <w:t xml:space="preserve">. </w:t>
      </w:r>
      <w:r w:rsidR="00204241">
        <w:rPr>
          <w:szCs w:val="24"/>
        </w:rPr>
        <w:t xml:space="preserve"> </w:t>
      </w:r>
      <w:r w:rsidR="00400F17">
        <w:rPr>
          <w:szCs w:val="24"/>
        </w:rPr>
        <w:t>Instead,</w:t>
      </w:r>
      <w:r>
        <w:rPr>
          <w:szCs w:val="24"/>
        </w:rPr>
        <w:t xml:space="preserve"> the </w:t>
      </w:r>
      <w:r w:rsidR="00400F17">
        <w:rPr>
          <w:szCs w:val="24"/>
        </w:rPr>
        <w:t>C</w:t>
      </w:r>
      <w:r>
        <w:rPr>
          <w:szCs w:val="24"/>
        </w:rPr>
        <w:t xml:space="preserve">ourt excluded documents dealing with “a single, ephemeral event in the conduct of a business” </w:t>
      </w:r>
      <w:r w:rsidR="00FD4E67">
        <w:rPr>
          <w:szCs w:val="24"/>
        </w:rPr>
        <w:t xml:space="preserve">that is </w:t>
      </w:r>
      <w:r w:rsidR="00FD4E67" w:rsidRPr="00400F17">
        <w:rPr>
          <w:szCs w:val="24"/>
        </w:rPr>
        <w:t>one requirement</w:t>
      </w:r>
      <w:r>
        <w:rPr>
          <w:szCs w:val="24"/>
        </w:rPr>
        <w:t xml:space="preserve"> for a trade secret.</w:t>
      </w:r>
      <w:r w:rsidR="00204241">
        <w:rPr>
          <w:rStyle w:val="FootnoteReference"/>
          <w:szCs w:val="24"/>
        </w:rPr>
        <w:footnoteReference w:id="28"/>
      </w:r>
      <w:r>
        <w:rPr>
          <w:szCs w:val="24"/>
        </w:rPr>
        <w:t xml:space="preserve">  </w:t>
      </w:r>
      <w:r w:rsidR="00E20014">
        <w:rPr>
          <w:rFonts w:eastAsia="Times New Roman" w:cs="Times New Roman"/>
          <w:szCs w:val="24"/>
        </w:rPr>
        <w:t>Here, Duke’s request for protection is much broader, spanning to policies and procedures that are at the heart of the issues in this case.</w:t>
      </w:r>
      <w:r w:rsidR="00FD4E67">
        <w:rPr>
          <w:rFonts w:eastAsia="Times New Roman" w:cs="Times New Roman"/>
          <w:szCs w:val="24"/>
        </w:rPr>
        <w:t xml:space="preserve">  </w:t>
      </w:r>
    </w:p>
    <w:p w:rsidR="00400F17" w:rsidRDefault="00543FCF" w:rsidP="00C3650E">
      <w:pPr>
        <w:spacing w:after="240" w:line="480" w:lineRule="auto"/>
        <w:ind w:firstLine="720"/>
        <w:contextualSpacing/>
        <w:rPr>
          <w:szCs w:val="24"/>
        </w:rPr>
      </w:pPr>
      <w:r>
        <w:rPr>
          <w:rFonts w:eastAsia="Times New Roman" w:cs="Times New Roman"/>
          <w:szCs w:val="24"/>
        </w:rPr>
        <w:t xml:space="preserve">In citing </w:t>
      </w:r>
      <w:r w:rsidR="00400F17">
        <w:rPr>
          <w:rFonts w:eastAsia="Times New Roman" w:cs="Times New Roman"/>
          <w:szCs w:val="24"/>
        </w:rPr>
        <w:t xml:space="preserve">to </w:t>
      </w:r>
      <w:r w:rsidR="00204241" w:rsidRPr="00204241">
        <w:rPr>
          <w:i/>
          <w:szCs w:val="24"/>
        </w:rPr>
        <w:t>State ex rel. Besser</w:t>
      </w:r>
      <w:r w:rsidR="00400F17">
        <w:rPr>
          <w:rFonts w:eastAsia="Times New Roman" w:cs="Times New Roman"/>
          <w:szCs w:val="24"/>
        </w:rPr>
        <w:t>,</w:t>
      </w:r>
      <w:r w:rsidR="00204241">
        <w:rPr>
          <w:rStyle w:val="FootnoteReference"/>
          <w:rFonts w:eastAsia="Times New Roman" w:cs="Times New Roman"/>
          <w:szCs w:val="24"/>
        </w:rPr>
        <w:footnoteReference w:id="29"/>
      </w:r>
      <w:r w:rsidR="00400F17">
        <w:rPr>
          <w:rFonts w:eastAsia="Times New Roman" w:cs="Times New Roman"/>
          <w:szCs w:val="24"/>
        </w:rPr>
        <w:t xml:space="preserve"> Duke asserts</w:t>
      </w:r>
      <w:r w:rsidR="00FD4E67">
        <w:rPr>
          <w:rFonts w:eastAsia="Times New Roman" w:cs="Times New Roman"/>
          <w:szCs w:val="24"/>
        </w:rPr>
        <w:t xml:space="preserve"> that “the Uniform Trade Secrets Act, adopted in Ohio, provides an even broader definition of ‘trade secret’</w:t>
      </w:r>
      <w:r w:rsidR="00400F17">
        <w:rPr>
          <w:rFonts w:eastAsia="Times New Roman" w:cs="Times New Roman"/>
          <w:szCs w:val="24"/>
        </w:rPr>
        <w:t>.</w:t>
      </w:r>
      <w:r w:rsidR="00FD4E67">
        <w:rPr>
          <w:rFonts w:eastAsia="Times New Roman" w:cs="Times New Roman"/>
          <w:szCs w:val="24"/>
        </w:rPr>
        <w:t>”</w:t>
      </w:r>
      <w:r w:rsidR="00400F17">
        <w:rPr>
          <w:rStyle w:val="FootnoteReference"/>
          <w:rFonts w:eastAsia="Times New Roman" w:cs="Times New Roman"/>
          <w:szCs w:val="24"/>
        </w:rPr>
        <w:footnoteReference w:id="30"/>
      </w:r>
      <w:r w:rsidR="00FD4E67">
        <w:rPr>
          <w:rFonts w:eastAsia="Times New Roman" w:cs="Times New Roman"/>
          <w:szCs w:val="24"/>
        </w:rPr>
        <w:t xml:space="preserve"> </w:t>
      </w:r>
      <w:r w:rsidR="00FD4E67" w:rsidRPr="00FD4E67">
        <w:rPr>
          <w:szCs w:val="24"/>
        </w:rPr>
        <w:t xml:space="preserve"> </w:t>
      </w:r>
      <w:r w:rsidR="00400F17">
        <w:rPr>
          <w:szCs w:val="24"/>
        </w:rPr>
        <w:t>T</w:t>
      </w:r>
      <w:r w:rsidR="00FD4E67">
        <w:rPr>
          <w:szCs w:val="24"/>
        </w:rPr>
        <w:t xml:space="preserve">he </w:t>
      </w:r>
      <w:r w:rsidR="00400F17">
        <w:rPr>
          <w:szCs w:val="24"/>
        </w:rPr>
        <w:t xml:space="preserve">referenced </w:t>
      </w:r>
      <w:r w:rsidR="00FD4E67">
        <w:rPr>
          <w:szCs w:val="24"/>
        </w:rPr>
        <w:t>case</w:t>
      </w:r>
      <w:r w:rsidR="00400F17">
        <w:rPr>
          <w:szCs w:val="24"/>
        </w:rPr>
        <w:t>, however,</w:t>
      </w:r>
      <w:r w:rsidR="00FD4E67">
        <w:rPr>
          <w:szCs w:val="24"/>
        </w:rPr>
        <w:t xml:space="preserve"> </w:t>
      </w:r>
      <w:r w:rsidR="00943DC6">
        <w:rPr>
          <w:szCs w:val="24"/>
        </w:rPr>
        <w:t xml:space="preserve">actually </w:t>
      </w:r>
      <w:r w:rsidR="00FD4E67">
        <w:rPr>
          <w:szCs w:val="24"/>
        </w:rPr>
        <w:t>states that the Uniform Trade Secrets Act is in accord with Ohio’s trade secret statute, R.C. 1333.61(D), not broader.</w:t>
      </w:r>
      <w:r w:rsidR="00400F17">
        <w:rPr>
          <w:rStyle w:val="FootnoteReference"/>
          <w:szCs w:val="24"/>
        </w:rPr>
        <w:footnoteReference w:id="31"/>
      </w:r>
      <w:r w:rsidR="003B02C4">
        <w:rPr>
          <w:szCs w:val="24"/>
        </w:rPr>
        <w:t xml:space="preserve">  </w:t>
      </w:r>
    </w:p>
    <w:p w:rsidR="00BA677D" w:rsidRDefault="008A1096" w:rsidP="00C3650E">
      <w:pPr>
        <w:spacing w:after="240" w:line="480" w:lineRule="auto"/>
        <w:ind w:firstLine="720"/>
        <w:contextualSpacing/>
        <w:rPr>
          <w:szCs w:val="24"/>
        </w:rPr>
      </w:pPr>
      <w:r>
        <w:rPr>
          <w:szCs w:val="24"/>
        </w:rPr>
        <w:t xml:space="preserve">Duke </w:t>
      </w:r>
      <w:r w:rsidR="00400F17">
        <w:rPr>
          <w:szCs w:val="24"/>
        </w:rPr>
        <w:t xml:space="preserve">then argues </w:t>
      </w:r>
      <w:r>
        <w:rPr>
          <w:szCs w:val="24"/>
        </w:rPr>
        <w:t xml:space="preserve">that </w:t>
      </w:r>
      <w:r w:rsidR="00DF50A9">
        <w:rPr>
          <w:szCs w:val="24"/>
        </w:rPr>
        <w:t>“</w:t>
      </w:r>
      <w:r>
        <w:rPr>
          <w:szCs w:val="24"/>
        </w:rPr>
        <w:t>the Commission has found internal policies and procedures are subject to protection as trade secrets.</w:t>
      </w:r>
      <w:r w:rsidR="00DF50A9">
        <w:rPr>
          <w:szCs w:val="24"/>
        </w:rPr>
        <w:t>”</w:t>
      </w:r>
      <w:r w:rsidR="00DF50A9">
        <w:rPr>
          <w:rStyle w:val="FootnoteReference"/>
          <w:szCs w:val="24"/>
        </w:rPr>
        <w:footnoteReference w:id="32"/>
      </w:r>
      <w:r>
        <w:rPr>
          <w:szCs w:val="24"/>
        </w:rPr>
        <w:t xml:space="preserve">  </w:t>
      </w:r>
      <w:r w:rsidR="00DF50A9">
        <w:rPr>
          <w:szCs w:val="24"/>
        </w:rPr>
        <w:t xml:space="preserve">Duke’s interpretation of the </w:t>
      </w:r>
      <w:r w:rsidR="00F84A95">
        <w:rPr>
          <w:szCs w:val="24"/>
        </w:rPr>
        <w:t xml:space="preserve">Entry in </w:t>
      </w:r>
      <w:r w:rsidR="00543FCF">
        <w:rPr>
          <w:szCs w:val="24"/>
        </w:rPr>
        <w:t xml:space="preserve">Case No. 14-205 </w:t>
      </w:r>
      <w:r w:rsidR="00DF50A9">
        <w:rPr>
          <w:szCs w:val="24"/>
        </w:rPr>
        <w:t xml:space="preserve">is without merit.  The </w:t>
      </w:r>
      <w:r w:rsidR="000B4BCB">
        <w:rPr>
          <w:szCs w:val="24"/>
        </w:rPr>
        <w:t>E</w:t>
      </w:r>
      <w:r>
        <w:rPr>
          <w:szCs w:val="24"/>
        </w:rPr>
        <w:t xml:space="preserve">ntry does not </w:t>
      </w:r>
      <w:r w:rsidR="00394146">
        <w:rPr>
          <w:szCs w:val="24"/>
        </w:rPr>
        <w:t>address</w:t>
      </w:r>
      <w:r>
        <w:rPr>
          <w:szCs w:val="24"/>
        </w:rPr>
        <w:t xml:space="preserve"> internal policies and procedures</w:t>
      </w:r>
      <w:r w:rsidR="00DF50A9">
        <w:rPr>
          <w:szCs w:val="24"/>
        </w:rPr>
        <w:t xml:space="preserve"> to conclude that </w:t>
      </w:r>
      <w:r>
        <w:rPr>
          <w:szCs w:val="24"/>
        </w:rPr>
        <w:t>the information meets the applicable requirements for trade secrets under Ohio law.</w:t>
      </w:r>
      <w:r w:rsidR="00DF50A9">
        <w:rPr>
          <w:rStyle w:val="FootnoteReference"/>
          <w:szCs w:val="24"/>
        </w:rPr>
        <w:footnoteReference w:id="33"/>
      </w:r>
      <w:r w:rsidR="00DF50A9">
        <w:rPr>
          <w:szCs w:val="24"/>
        </w:rPr>
        <w:t xml:space="preserve">  The public utility </w:t>
      </w:r>
      <w:r w:rsidR="000B4BCB">
        <w:rPr>
          <w:szCs w:val="24"/>
        </w:rPr>
        <w:t xml:space="preserve">in </w:t>
      </w:r>
      <w:r w:rsidR="00A65E3F">
        <w:rPr>
          <w:szCs w:val="24"/>
        </w:rPr>
        <w:t xml:space="preserve">Case No. </w:t>
      </w:r>
      <w:r w:rsidR="000B4BCB">
        <w:rPr>
          <w:szCs w:val="24"/>
        </w:rPr>
        <w:t xml:space="preserve">14-205 </w:t>
      </w:r>
      <w:r w:rsidR="00DF50A9">
        <w:rPr>
          <w:szCs w:val="24"/>
        </w:rPr>
        <w:t xml:space="preserve">sought protection of </w:t>
      </w:r>
      <w:r w:rsidR="001B46DA">
        <w:rPr>
          <w:szCs w:val="24"/>
        </w:rPr>
        <w:t xml:space="preserve">specific </w:t>
      </w:r>
      <w:r w:rsidR="00DF50A9">
        <w:rPr>
          <w:szCs w:val="24"/>
        </w:rPr>
        <w:t>customer information such as customer identification numbers, account numbers, and usage data</w:t>
      </w:r>
      <w:r w:rsidR="001B46DA">
        <w:rPr>
          <w:szCs w:val="24"/>
        </w:rPr>
        <w:t>.</w:t>
      </w:r>
      <w:r w:rsidR="001B46DA">
        <w:rPr>
          <w:rStyle w:val="FootnoteReference"/>
          <w:szCs w:val="24"/>
        </w:rPr>
        <w:footnoteReference w:id="34"/>
      </w:r>
      <w:r w:rsidR="001B46DA">
        <w:rPr>
          <w:szCs w:val="24"/>
        </w:rPr>
        <w:t xml:space="preserve"> </w:t>
      </w:r>
      <w:r w:rsidR="00204241">
        <w:rPr>
          <w:szCs w:val="24"/>
        </w:rPr>
        <w:t xml:space="preserve"> </w:t>
      </w:r>
      <w:r w:rsidR="001B46DA">
        <w:rPr>
          <w:szCs w:val="24"/>
        </w:rPr>
        <w:t>The utility also sought to protect bank account numbers and copies of checks and invoices.</w:t>
      </w:r>
      <w:r w:rsidR="001B46DA">
        <w:rPr>
          <w:rStyle w:val="FootnoteReference"/>
          <w:szCs w:val="24"/>
        </w:rPr>
        <w:footnoteReference w:id="35"/>
      </w:r>
      <w:r w:rsidR="001B46DA">
        <w:rPr>
          <w:szCs w:val="24"/>
        </w:rPr>
        <w:t xml:space="preserve">  Lastly, the utility sought protection of its gas procurement strategy, which is a competitive strategy that could derive independent economic value.</w:t>
      </w:r>
      <w:r w:rsidR="001B46DA">
        <w:rPr>
          <w:rStyle w:val="FootnoteReference"/>
          <w:szCs w:val="24"/>
        </w:rPr>
        <w:footnoteReference w:id="36"/>
      </w:r>
      <w:r w:rsidR="00BA677D">
        <w:rPr>
          <w:szCs w:val="24"/>
        </w:rPr>
        <w:t xml:space="preserve">  </w:t>
      </w:r>
      <w:r w:rsidR="001B46DA">
        <w:rPr>
          <w:szCs w:val="24"/>
        </w:rPr>
        <w:t xml:space="preserve">Contrary to Duke’s claims, the utility in that case, did not seek </w:t>
      </w:r>
      <w:r w:rsidR="00543FCF">
        <w:rPr>
          <w:szCs w:val="24"/>
        </w:rPr>
        <w:t>to protect</w:t>
      </w:r>
      <w:r w:rsidR="001B46DA">
        <w:rPr>
          <w:szCs w:val="24"/>
        </w:rPr>
        <w:t xml:space="preserve"> general internal processes and procedures or “its internal workings.”</w:t>
      </w:r>
      <w:r w:rsidR="001B46DA">
        <w:rPr>
          <w:rStyle w:val="FootnoteReference"/>
          <w:szCs w:val="24"/>
        </w:rPr>
        <w:footnoteReference w:id="37"/>
      </w:r>
      <w:r w:rsidR="001B46DA">
        <w:rPr>
          <w:szCs w:val="24"/>
        </w:rPr>
        <w:t xml:space="preserve">  It sought confidential treatment of very specific customer and financial data and one procurement practice which affects the competitive market.  </w:t>
      </w:r>
    </w:p>
    <w:p w:rsidR="00BA677D" w:rsidRDefault="001B46DA" w:rsidP="00C3650E">
      <w:pPr>
        <w:spacing w:after="240" w:line="480" w:lineRule="auto"/>
        <w:ind w:firstLine="720"/>
        <w:contextualSpacing/>
        <w:rPr>
          <w:szCs w:val="24"/>
        </w:rPr>
      </w:pPr>
      <w:r>
        <w:rPr>
          <w:szCs w:val="24"/>
        </w:rPr>
        <w:t xml:space="preserve">Duke, on the other hand, did not limit its request for protection to specific customer information, financial data, or </w:t>
      </w:r>
      <w:r w:rsidR="00AB203E">
        <w:rPr>
          <w:szCs w:val="24"/>
        </w:rPr>
        <w:t>one of its</w:t>
      </w:r>
      <w:r w:rsidR="00BA677D">
        <w:rPr>
          <w:szCs w:val="24"/>
        </w:rPr>
        <w:t xml:space="preserve"> </w:t>
      </w:r>
      <w:r w:rsidR="00AB203E">
        <w:rPr>
          <w:szCs w:val="24"/>
        </w:rPr>
        <w:t>competitive strategies</w:t>
      </w:r>
      <w:r>
        <w:rPr>
          <w:szCs w:val="24"/>
        </w:rPr>
        <w:t xml:space="preserve">.  </w:t>
      </w:r>
      <w:r w:rsidR="00E07368">
        <w:rPr>
          <w:szCs w:val="24"/>
        </w:rPr>
        <w:t>T</w:t>
      </w:r>
      <w:r w:rsidR="00993F4F" w:rsidRPr="00993F4F">
        <w:rPr>
          <w:szCs w:val="24"/>
        </w:rPr>
        <w:t xml:space="preserve">he sole reason given </w:t>
      </w:r>
      <w:r w:rsidR="00BA677D">
        <w:rPr>
          <w:szCs w:val="24"/>
        </w:rPr>
        <w:t xml:space="preserve">by Duke </w:t>
      </w:r>
      <w:r w:rsidR="00993F4F" w:rsidRPr="00993F4F">
        <w:rPr>
          <w:szCs w:val="24"/>
        </w:rPr>
        <w:t xml:space="preserve">for </w:t>
      </w:r>
      <w:r w:rsidR="00AB203E">
        <w:rPr>
          <w:szCs w:val="24"/>
        </w:rPr>
        <w:t xml:space="preserve">keeping the information secret </w:t>
      </w:r>
      <w:r w:rsidR="00993F4F" w:rsidRPr="00993F4F">
        <w:rPr>
          <w:szCs w:val="24"/>
        </w:rPr>
        <w:t>is</w:t>
      </w:r>
      <w:r w:rsidR="00AB203E">
        <w:rPr>
          <w:szCs w:val="24"/>
        </w:rPr>
        <w:t>:</w:t>
      </w:r>
      <w:r w:rsidR="00993F4F" w:rsidRPr="00993F4F">
        <w:rPr>
          <w:szCs w:val="24"/>
        </w:rPr>
        <w:t xml:space="preserve"> Duke</w:t>
      </w:r>
      <w:r w:rsidR="00AB203E">
        <w:rPr>
          <w:szCs w:val="24"/>
        </w:rPr>
        <w:t xml:space="preserve"> wants it that way</w:t>
      </w:r>
      <w:r w:rsidR="00993F4F" w:rsidRPr="00993F4F">
        <w:rPr>
          <w:szCs w:val="24"/>
        </w:rPr>
        <w:t>.  Duke</w:t>
      </w:r>
      <w:r w:rsidR="008A3E7F">
        <w:rPr>
          <w:szCs w:val="24"/>
        </w:rPr>
        <w:t xml:space="preserve"> states that the </w:t>
      </w:r>
      <w:r w:rsidR="00B800C6">
        <w:rPr>
          <w:szCs w:val="24"/>
        </w:rPr>
        <w:t>brief and hearing transcript</w:t>
      </w:r>
      <w:r w:rsidR="008A3E7F">
        <w:rPr>
          <w:szCs w:val="24"/>
        </w:rPr>
        <w:t xml:space="preserve"> c</w:t>
      </w:r>
      <w:r w:rsidR="00430D41">
        <w:rPr>
          <w:szCs w:val="24"/>
        </w:rPr>
        <w:t>oncerned “its internal workings.</w:t>
      </w:r>
      <w:r w:rsidR="008A3E7F">
        <w:rPr>
          <w:szCs w:val="24"/>
        </w:rPr>
        <w:t xml:space="preserve">” </w:t>
      </w:r>
      <w:r w:rsidR="00430D41">
        <w:rPr>
          <w:szCs w:val="24"/>
        </w:rPr>
        <w:t xml:space="preserve"> B</w:t>
      </w:r>
      <w:r w:rsidR="008A3E7F">
        <w:rPr>
          <w:szCs w:val="24"/>
        </w:rPr>
        <w:t xml:space="preserve">ut </w:t>
      </w:r>
      <w:r>
        <w:rPr>
          <w:szCs w:val="24"/>
        </w:rPr>
        <w:t>general internal systems</w:t>
      </w:r>
      <w:r w:rsidR="00BA677D">
        <w:rPr>
          <w:szCs w:val="24"/>
        </w:rPr>
        <w:t>,</w:t>
      </w:r>
      <w:r>
        <w:rPr>
          <w:szCs w:val="24"/>
        </w:rPr>
        <w:t xml:space="preserve"> processes</w:t>
      </w:r>
      <w:r w:rsidR="00BA677D">
        <w:rPr>
          <w:szCs w:val="24"/>
        </w:rPr>
        <w:t>, and</w:t>
      </w:r>
      <w:r>
        <w:rPr>
          <w:szCs w:val="24"/>
        </w:rPr>
        <w:t xml:space="preserve"> procedur</w:t>
      </w:r>
      <w:r w:rsidR="00BA677D">
        <w:rPr>
          <w:szCs w:val="24"/>
        </w:rPr>
        <w:t>e</w:t>
      </w:r>
      <w:r>
        <w:rPr>
          <w:szCs w:val="24"/>
        </w:rPr>
        <w:t>s or a company’s “internal workings” do not constitute trade secret</w:t>
      </w:r>
      <w:r w:rsidR="00BA677D">
        <w:rPr>
          <w:szCs w:val="24"/>
        </w:rPr>
        <w:t xml:space="preserve">s under Ohio law and, thus, are not protected.  Duke offers no cases in which a court found </w:t>
      </w:r>
      <w:r w:rsidR="00430D41">
        <w:rPr>
          <w:szCs w:val="24"/>
        </w:rPr>
        <w:t xml:space="preserve">“internal workings” to be </w:t>
      </w:r>
      <w:r w:rsidR="00BA677D">
        <w:rPr>
          <w:szCs w:val="24"/>
        </w:rPr>
        <w:t>trade secrets</w:t>
      </w:r>
      <w:r w:rsidR="00430D41">
        <w:rPr>
          <w:szCs w:val="24"/>
        </w:rPr>
        <w:t xml:space="preserve"> that can be</w:t>
      </w:r>
      <w:r w:rsidR="00BA677D">
        <w:rPr>
          <w:szCs w:val="24"/>
        </w:rPr>
        <w:t xml:space="preserve"> protected.</w:t>
      </w:r>
    </w:p>
    <w:p w:rsidR="00CA48A4" w:rsidRDefault="00367935" w:rsidP="00AB203E">
      <w:pPr>
        <w:spacing w:after="0" w:line="480" w:lineRule="auto"/>
        <w:ind w:firstLine="720"/>
        <w:rPr>
          <w:szCs w:val="24"/>
        </w:rPr>
      </w:pPr>
      <w:r w:rsidRPr="00367935">
        <w:rPr>
          <w:rFonts w:eastAsia="Times New Roman" w:cs="Times New Roman"/>
          <w:szCs w:val="24"/>
        </w:rPr>
        <w:t xml:space="preserve"> </w:t>
      </w:r>
      <w:r w:rsidR="00AB203E">
        <w:rPr>
          <w:szCs w:val="24"/>
        </w:rPr>
        <w:t xml:space="preserve">None of the arguments </w:t>
      </w:r>
      <w:r w:rsidR="00CA48A4" w:rsidRPr="00993F4F">
        <w:rPr>
          <w:szCs w:val="24"/>
        </w:rPr>
        <w:t xml:space="preserve">Duke presented </w:t>
      </w:r>
      <w:r w:rsidR="00AB203E">
        <w:rPr>
          <w:szCs w:val="24"/>
        </w:rPr>
        <w:t xml:space="preserve">explains </w:t>
      </w:r>
      <w:r w:rsidR="00CA48A4" w:rsidRPr="00993F4F">
        <w:rPr>
          <w:szCs w:val="24"/>
        </w:rPr>
        <w:t xml:space="preserve">how </w:t>
      </w:r>
      <w:r w:rsidR="00CA48A4">
        <w:rPr>
          <w:szCs w:val="24"/>
        </w:rPr>
        <w:t>it</w:t>
      </w:r>
      <w:r w:rsidR="00CA48A4" w:rsidRPr="00993F4F">
        <w:rPr>
          <w:szCs w:val="24"/>
        </w:rPr>
        <w:t xml:space="preserve"> derives any independent economic val</w:t>
      </w:r>
      <w:r w:rsidR="00CA48A4">
        <w:rPr>
          <w:szCs w:val="24"/>
        </w:rPr>
        <w:t xml:space="preserve">ue from the information it seeks to keep secret or how </w:t>
      </w:r>
      <w:r w:rsidR="00CA48A4" w:rsidRPr="00993F4F">
        <w:rPr>
          <w:szCs w:val="24"/>
        </w:rPr>
        <w:t>any other persons can obtain economic value if the information is disclosed.</w:t>
      </w:r>
      <w:r w:rsidR="00CA48A4">
        <w:rPr>
          <w:szCs w:val="24"/>
        </w:rPr>
        <w:t xml:space="preserve">  Duke has not</w:t>
      </w:r>
      <w:r w:rsidR="00D97C73">
        <w:rPr>
          <w:szCs w:val="24"/>
        </w:rPr>
        <w:t xml:space="preserve"> offered</w:t>
      </w:r>
      <w:r w:rsidR="00CA48A4">
        <w:rPr>
          <w:szCs w:val="24"/>
        </w:rPr>
        <w:t xml:space="preserve"> </w:t>
      </w:r>
      <w:r w:rsidR="00AB203E">
        <w:rPr>
          <w:szCs w:val="24"/>
        </w:rPr>
        <w:t xml:space="preserve">the specifics of its efforts to maintain secrecy, i.e., </w:t>
      </w:r>
      <w:r w:rsidR="00CA48A4">
        <w:rPr>
          <w:szCs w:val="24"/>
        </w:rPr>
        <w:t>how many of its employees have access to the information, whether those employees are under an obligation of confidentiality with regard to that information, or what other efforts it has taken to maintain the secrecy of its purported trade secrets.</w:t>
      </w:r>
      <w:r w:rsidR="00D97C73">
        <w:rPr>
          <w:szCs w:val="24"/>
        </w:rPr>
        <w:t xml:space="preserve">  Instead, Duke merely states that the information is “not published or shared with customers”</w:t>
      </w:r>
      <w:r w:rsidR="00D97C73">
        <w:rPr>
          <w:rStyle w:val="FootnoteReference"/>
          <w:szCs w:val="24"/>
        </w:rPr>
        <w:footnoteReference w:id="38"/>
      </w:r>
      <w:r w:rsidR="00D97C73">
        <w:rPr>
          <w:szCs w:val="24"/>
        </w:rPr>
        <w:t xml:space="preserve"> and “is not shared externally and internal access is limited to those with a business need for the information.”</w:t>
      </w:r>
      <w:r w:rsidR="00D97C73">
        <w:rPr>
          <w:rStyle w:val="FootnoteReference"/>
          <w:szCs w:val="24"/>
        </w:rPr>
        <w:footnoteReference w:id="39"/>
      </w:r>
      <w:r w:rsidR="00D97C73">
        <w:rPr>
          <w:szCs w:val="24"/>
        </w:rPr>
        <w:t xml:space="preserve">  This is not adequate to keep the information from disclosure.</w:t>
      </w:r>
    </w:p>
    <w:p w:rsidR="00367935" w:rsidRPr="00367935" w:rsidRDefault="00367935" w:rsidP="00367935">
      <w:pPr>
        <w:spacing w:after="0" w:line="480" w:lineRule="auto"/>
        <w:ind w:firstLine="720"/>
        <w:rPr>
          <w:rFonts w:eastAsia="Times New Roman" w:cs="Times New Roman"/>
          <w:szCs w:val="24"/>
        </w:rPr>
      </w:pPr>
      <w:r w:rsidRPr="00367935">
        <w:rPr>
          <w:rFonts w:eastAsia="Times New Roman" w:cs="Times New Roman"/>
          <w:szCs w:val="24"/>
        </w:rPr>
        <w:t xml:space="preserve">In this proceeding, Duke has offered only general statements regarding the nature of the information it considers confidential and the supposed harm </w:t>
      </w:r>
      <w:r w:rsidR="00AB203E">
        <w:rPr>
          <w:rFonts w:eastAsia="Times New Roman" w:cs="Times New Roman"/>
          <w:szCs w:val="24"/>
        </w:rPr>
        <w:t xml:space="preserve">that will befall it </w:t>
      </w:r>
      <w:r w:rsidRPr="00367935">
        <w:rPr>
          <w:rFonts w:eastAsia="Times New Roman" w:cs="Times New Roman"/>
          <w:szCs w:val="24"/>
        </w:rPr>
        <w:t>if the information is disclosed.  The PUCO should not keep information from the public based on such flimsy support.</w:t>
      </w:r>
    </w:p>
    <w:p w:rsidR="00275EA5" w:rsidRPr="00993F4F" w:rsidRDefault="00BA677D" w:rsidP="00C3650E">
      <w:pPr>
        <w:spacing w:after="0" w:line="480" w:lineRule="auto"/>
        <w:ind w:firstLine="720"/>
        <w:rPr>
          <w:szCs w:val="24"/>
        </w:rPr>
      </w:pPr>
      <w:r>
        <w:rPr>
          <w:szCs w:val="24"/>
        </w:rPr>
        <w:t xml:space="preserve">Accordingly, </w:t>
      </w:r>
      <w:r w:rsidR="00943DC6">
        <w:rPr>
          <w:szCs w:val="24"/>
        </w:rPr>
        <w:t xml:space="preserve">Duke failed to meet its burden of demonstrating </w:t>
      </w:r>
      <w:r>
        <w:rPr>
          <w:szCs w:val="24"/>
        </w:rPr>
        <w:t xml:space="preserve">that the information constitutes </w:t>
      </w:r>
      <w:r w:rsidR="00943DC6">
        <w:rPr>
          <w:szCs w:val="24"/>
        </w:rPr>
        <w:t>trade secret</w:t>
      </w:r>
      <w:r>
        <w:rPr>
          <w:szCs w:val="24"/>
        </w:rPr>
        <w:t>s</w:t>
      </w:r>
      <w:r w:rsidR="00943DC6">
        <w:rPr>
          <w:szCs w:val="24"/>
        </w:rPr>
        <w:t xml:space="preserve">.  Duke did not even assert that </w:t>
      </w:r>
      <w:r w:rsidR="00430D41">
        <w:rPr>
          <w:szCs w:val="24"/>
        </w:rPr>
        <w:t xml:space="preserve">it derives independent economic value from keeping </w:t>
      </w:r>
      <w:r w:rsidR="00943DC6">
        <w:rPr>
          <w:szCs w:val="24"/>
        </w:rPr>
        <w:t xml:space="preserve">the redacted information </w:t>
      </w:r>
      <w:r w:rsidR="00430D41">
        <w:rPr>
          <w:szCs w:val="24"/>
        </w:rPr>
        <w:t>from the public</w:t>
      </w:r>
      <w:r w:rsidR="00943DC6">
        <w:rPr>
          <w:szCs w:val="24"/>
        </w:rPr>
        <w:t xml:space="preserve">, and it did not meet its burden in demonstrating the efforts to maintain the secrecy of the information.  </w:t>
      </w:r>
      <w:r w:rsidR="00993F4F" w:rsidRPr="00993F4F">
        <w:rPr>
          <w:szCs w:val="24"/>
        </w:rPr>
        <w:t xml:space="preserve">The PUCO should deny </w:t>
      </w:r>
      <w:r w:rsidR="008A3E7F">
        <w:rPr>
          <w:szCs w:val="24"/>
        </w:rPr>
        <w:t>Duke’s</w:t>
      </w:r>
      <w:r w:rsidR="00993F4F" w:rsidRPr="00993F4F">
        <w:rPr>
          <w:szCs w:val="24"/>
        </w:rPr>
        <w:t xml:space="preserve"> motion and make public </w:t>
      </w:r>
      <w:r w:rsidR="0012751C">
        <w:rPr>
          <w:szCs w:val="24"/>
        </w:rPr>
        <w:t>Duke’s</w:t>
      </w:r>
      <w:r w:rsidR="00993F4F" w:rsidRPr="00993F4F">
        <w:rPr>
          <w:szCs w:val="24"/>
        </w:rPr>
        <w:t xml:space="preserve"> entire </w:t>
      </w:r>
      <w:r w:rsidR="0012751C">
        <w:rPr>
          <w:szCs w:val="24"/>
        </w:rPr>
        <w:t>brief and the entire hearing</w:t>
      </w:r>
      <w:r w:rsidR="00993F4F" w:rsidRPr="00993F4F">
        <w:rPr>
          <w:szCs w:val="24"/>
        </w:rPr>
        <w:t xml:space="preserve"> transcript.</w:t>
      </w:r>
    </w:p>
    <w:p w:rsidR="00993F4F" w:rsidRPr="00430D41" w:rsidRDefault="00993F4F" w:rsidP="001047CE">
      <w:pPr>
        <w:pStyle w:val="Heading1"/>
      </w:pPr>
      <w:r w:rsidRPr="00430D41">
        <w:t>IV.</w:t>
      </w:r>
      <w:r w:rsidRPr="00430D41">
        <w:tab/>
        <w:t>CONCLUSION</w:t>
      </w:r>
    </w:p>
    <w:p w:rsidR="00993F4F" w:rsidRDefault="00993F4F" w:rsidP="00C3650E">
      <w:pPr>
        <w:pStyle w:val="BodyTextIndent3"/>
        <w:spacing w:line="480" w:lineRule="auto"/>
        <w:ind w:firstLine="720"/>
        <w:contextualSpacing/>
        <w:rPr>
          <w:szCs w:val="24"/>
        </w:rPr>
      </w:pPr>
      <w:r w:rsidRPr="00993F4F">
        <w:rPr>
          <w:szCs w:val="24"/>
        </w:rPr>
        <w:t xml:space="preserve">Ohio law sets forth very specific requirements that must be satisfied before information can be considered trade secret and eligible for protection </w:t>
      </w:r>
      <w:r w:rsidR="00430D41">
        <w:rPr>
          <w:szCs w:val="24"/>
        </w:rPr>
        <w:t xml:space="preserve">from public disclosure </w:t>
      </w:r>
      <w:r w:rsidRPr="00993F4F">
        <w:rPr>
          <w:szCs w:val="24"/>
        </w:rPr>
        <w:t xml:space="preserve">as confidential information in PUCO proceedings.  </w:t>
      </w:r>
      <w:r w:rsidR="008A1096">
        <w:rPr>
          <w:szCs w:val="24"/>
        </w:rPr>
        <w:t>Duke</w:t>
      </w:r>
      <w:r w:rsidRPr="00993F4F">
        <w:rPr>
          <w:szCs w:val="24"/>
        </w:rPr>
        <w:t>’s motion</w:t>
      </w:r>
      <w:r w:rsidR="00B572C3">
        <w:rPr>
          <w:szCs w:val="24"/>
        </w:rPr>
        <w:t>s have</w:t>
      </w:r>
      <w:r w:rsidRPr="00993F4F">
        <w:rPr>
          <w:szCs w:val="24"/>
        </w:rPr>
        <w:t xml:space="preserve"> not met these requirements.  Hence, the PUCO should deny </w:t>
      </w:r>
      <w:r w:rsidR="00B572C3">
        <w:rPr>
          <w:szCs w:val="24"/>
        </w:rPr>
        <w:t>both</w:t>
      </w:r>
      <w:r w:rsidRPr="00993F4F">
        <w:rPr>
          <w:szCs w:val="24"/>
        </w:rPr>
        <w:t xml:space="preserve"> motion</w:t>
      </w:r>
      <w:r w:rsidR="00B572C3">
        <w:rPr>
          <w:szCs w:val="24"/>
        </w:rPr>
        <w:t>s</w:t>
      </w:r>
      <w:r w:rsidRPr="00993F4F">
        <w:rPr>
          <w:szCs w:val="24"/>
        </w:rPr>
        <w:t xml:space="preserve"> and make public </w:t>
      </w:r>
      <w:r w:rsidR="00222FCE">
        <w:rPr>
          <w:szCs w:val="24"/>
        </w:rPr>
        <w:t xml:space="preserve">Duke’s entire brief and </w:t>
      </w:r>
      <w:r w:rsidRPr="00993F4F">
        <w:rPr>
          <w:szCs w:val="24"/>
        </w:rPr>
        <w:t xml:space="preserve">the entire transcript of </w:t>
      </w:r>
      <w:r w:rsidR="00222FCE">
        <w:rPr>
          <w:szCs w:val="24"/>
        </w:rPr>
        <w:t>the hearing</w:t>
      </w:r>
      <w:r w:rsidRPr="00993F4F">
        <w:rPr>
          <w:szCs w:val="24"/>
        </w:rPr>
        <w:t xml:space="preserve">.  </w:t>
      </w:r>
    </w:p>
    <w:p w:rsidR="00F33E13" w:rsidRPr="00F33E13" w:rsidRDefault="00644794" w:rsidP="00FD6610">
      <w:pPr>
        <w:widowControl w:val="0"/>
        <w:spacing w:after="0" w:line="480" w:lineRule="auto"/>
        <w:ind w:left="3600"/>
        <w:contextualSpacing/>
        <w:rPr>
          <w:rFonts w:cs="Times New Roman"/>
          <w:szCs w:val="24"/>
        </w:rPr>
      </w:pPr>
      <w:r w:rsidRPr="00644794">
        <w:rPr>
          <w:rFonts w:cs="Times New Roman"/>
          <w:szCs w:val="24"/>
        </w:rPr>
        <w:t xml:space="preserve">Respectfully submitted, </w:t>
      </w:r>
    </w:p>
    <w:p w:rsidR="00001A9A" w:rsidRPr="00F13914" w:rsidRDefault="00001A9A" w:rsidP="00FD6610">
      <w:pPr>
        <w:widowControl w:val="0"/>
        <w:spacing w:after="0" w:line="240" w:lineRule="auto"/>
        <w:ind w:left="3600"/>
        <w:contextualSpacing/>
        <w:rPr>
          <w:rFonts w:eastAsia="Times New Roman" w:cs="Times New Roman"/>
          <w:szCs w:val="24"/>
        </w:rPr>
      </w:pPr>
      <w:r w:rsidRPr="00F13914">
        <w:rPr>
          <w:rFonts w:eastAsia="Times New Roman" w:cs="Times New Roman"/>
          <w:szCs w:val="24"/>
        </w:rPr>
        <w:t>BRUCE J. WESTON (0016973)</w:t>
      </w:r>
    </w:p>
    <w:p w:rsidR="00001A9A" w:rsidRPr="00F13914" w:rsidRDefault="00001A9A" w:rsidP="00FD6610">
      <w:pPr>
        <w:widowControl w:val="0"/>
        <w:spacing w:after="0" w:line="240" w:lineRule="auto"/>
        <w:ind w:left="3600"/>
        <w:contextualSpacing/>
        <w:rPr>
          <w:rFonts w:eastAsia="Times New Roman" w:cs="Times New Roman"/>
          <w:szCs w:val="24"/>
        </w:rPr>
      </w:pPr>
      <w:smartTag w:uri="urn:schemas-microsoft-com:office:smarttags" w:element="State">
        <w:smartTag w:uri="urn:schemas-microsoft-com:office:smarttags" w:element="place">
          <w:r w:rsidRPr="00F13914">
            <w:rPr>
              <w:rFonts w:eastAsia="Times New Roman" w:cs="Times New Roman"/>
              <w:szCs w:val="24"/>
            </w:rPr>
            <w:t>OHIO</w:t>
          </w:r>
        </w:smartTag>
      </w:smartTag>
      <w:r w:rsidRPr="00F13914">
        <w:rPr>
          <w:rFonts w:eastAsia="Times New Roman" w:cs="Times New Roman"/>
          <w:szCs w:val="24"/>
        </w:rPr>
        <w:t xml:space="preserve"> CONSUMERS’ COUNSEL</w:t>
      </w:r>
    </w:p>
    <w:p w:rsidR="00001A9A" w:rsidRPr="00F13914" w:rsidRDefault="00001A9A" w:rsidP="00FD6610">
      <w:pPr>
        <w:widowControl w:val="0"/>
        <w:spacing w:after="0" w:line="240" w:lineRule="auto"/>
        <w:ind w:left="4320"/>
        <w:contextualSpacing/>
        <w:rPr>
          <w:rFonts w:eastAsia="Times New Roman" w:cs="Times New Roman"/>
          <w:szCs w:val="24"/>
        </w:rPr>
      </w:pPr>
    </w:p>
    <w:p w:rsidR="00001A9A" w:rsidRPr="00F13914" w:rsidRDefault="00001A9A" w:rsidP="00FD6610">
      <w:pPr>
        <w:widowControl w:val="0"/>
        <w:tabs>
          <w:tab w:val="left" w:pos="4320"/>
        </w:tabs>
        <w:spacing w:after="0" w:line="240" w:lineRule="auto"/>
        <w:ind w:left="3600"/>
        <w:contextualSpacing/>
        <w:rPr>
          <w:rFonts w:eastAsia="Times New Roman" w:cs="Times New Roman"/>
          <w:szCs w:val="24"/>
          <w:u w:val="single"/>
        </w:rPr>
      </w:pPr>
      <w:r w:rsidRPr="00F13914">
        <w:rPr>
          <w:rFonts w:eastAsia="Times New Roman" w:cs="Times New Roman"/>
          <w:i/>
          <w:szCs w:val="24"/>
          <w:u w:val="single"/>
        </w:rPr>
        <w:t>/s/ Terry L. Etter</w:t>
      </w:r>
      <w:r w:rsidRPr="00F13914">
        <w:rPr>
          <w:rFonts w:eastAsia="Times New Roman" w:cs="Times New Roman"/>
          <w:szCs w:val="24"/>
          <w:u w:val="single"/>
        </w:rPr>
        <w:t>                      </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contextualSpacing/>
        <w:rPr>
          <w:rFonts w:eastAsia="Times New Roman" w:cs="Times New Roman"/>
          <w:szCs w:val="24"/>
        </w:rPr>
      </w:pPr>
      <w:r w:rsidRPr="00F13914">
        <w:rPr>
          <w:rFonts w:eastAsia="Times New Roman" w:cs="Times New Roman"/>
          <w:szCs w:val="24"/>
        </w:rPr>
        <w:t>Terry L. Etter (0067445), Counsel of Record</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contextualSpacing/>
        <w:rPr>
          <w:rFonts w:eastAsia="Times New Roman" w:cs="Times New Roman"/>
          <w:szCs w:val="24"/>
        </w:rPr>
      </w:pPr>
      <w:r w:rsidRPr="00F13914">
        <w:rPr>
          <w:rFonts w:eastAsia="Times New Roman" w:cs="Times New Roman"/>
          <w:szCs w:val="24"/>
        </w:rPr>
        <w:t xml:space="preserve">Assistant Consumers’ Counsel </w:t>
      </w:r>
    </w:p>
    <w:p w:rsidR="00001A9A" w:rsidRPr="00BA677D"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0"/>
        <w:contextualSpacing/>
        <w:rPr>
          <w:rFonts w:eastAsia="Times New Roman" w:cs="Times New Roman"/>
          <w:bCs/>
          <w:color w:val="000000"/>
          <w:szCs w:val="24"/>
        </w:rPr>
      </w:pPr>
      <w:r w:rsidRPr="00BA677D">
        <w:rPr>
          <w:rFonts w:eastAsia="Times New Roman" w:cs="Times New Roman"/>
          <w:bCs/>
          <w:color w:val="000000"/>
          <w:szCs w:val="24"/>
        </w:rPr>
        <w:t>Office of the Ohio Consumers’ Counsel</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smartTag w:uri="urn:schemas-microsoft-com:office:smarttags" w:element="Street">
        <w:smartTag w:uri="urn:schemas-microsoft-com:office:smarttags" w:element="address">
          <w:r w:rsidRPr="00F13914">
            <w:rPr>
              <w:rFonts w:eastAsia="Times New Roman" w:cs="Times New Roman"/>
              <w:color w:val="000000"/>
              <w:szCs w:val="24"/>
            </w:rPr>
            <w:t>10 West Broad Street, Suite 1800</w:t>
          </w:r>
        </w:smartTag>
      </w:smartTag>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smartTag w:uri="urn:schemas-microsoft-com:office:smarttags" w:element="place">
        <w:smartTag w:uri="urn:schemas-microsoft-com:office:smarttags" w:element="City">
          <w:r w:rsidRPr="00F13914">
            <w:rPr>
              <w:rFonts w:eastAsia="Times New Roman" w:cs="Times New Roman"/>
              <w:color w:val="000000"/>
              <w:szCs w:val="24"/>
            </w:rPr>
            <w:t>Columbus</w:t>
          </w:r>
        </w:smartTag>
        <w:r w:rsidRPr="00F13914">
          <w:rPr>
            <w:rFonts w:eastAsia="Times New Roman" w:cs="Times New Roman"/>
            <w:color w:val="000000"/>
            <w:szCs w:val="24"/>
          </w:rPr>
          <w:t xml:space="preserve">, </w:t>
        </w:r>
        <w:smartTag w:uri="urn:schemas-microsoft-com:office:smarttags" w:element="State">
          <w:r w:rsidRPr="00F13914">
            <w:rPr>
              <w:rFonts w:eastAsia="Times New Roman" w:cs="Times New Roman"/>
              <w:color w:val="000000"/>
              <w:szCs w:val="24"/>
            </w:rPr>
            <w:t>Ohio</w:t>
          </w:r>
        </w:smartTag>
        <w:smartTag w:uri="urn:schemas-microsoft-com:office:smarttags" w:element="PostalCode">
          <w:r w:rsidRPr="00F13914">
            <w:rPr>
              <w:rFonts w:eastAsia="Times New Roman" w:cs="Times New Roman"/>
              <w:color w:val="000000"/>
              <w:szCs w:val="24"/>
            </w:rPr>
            <w:t>43215-3485</w:t>
          </w:r>
        </w:smartTag>
      </w:smartTag>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r w:rsidRPr="00F13914">
        <w:rPr>
          <w:rFonts w:eastAsia="Times New Roman" w:cs="Times New Roman"/>
          <w:color w:val="000000"/>
          <w:szCs w:val="24"/>
        </w:rPr>
        <w:t xml:space="preserve">Telephone: </w:t>
      </w:r>
      <w:r w:rsidR="00275EA5">
        <w:rPr>
          <w:rFonts w:eastAsia="Times New Roman" w:cs="Times New Roman"/>
          <w:color w:val="000000"/>
          <w:szCs w:val="24"/>
        </w:rPr>
        <w:t>[Etter]</w:t>
      </w:r>
      <w:r w:rsidRPr="00F13914">
        <w:rPr>
          <w:rFonts w:eastAsia="Times New Roman" w:cs="Times New Roman"/>
          <w:color w:val="000000"/>
          <w:szCs w:val="24"/>
        </w:rPr>
        <w:t xml:space="preserve"> (614) 466-7964 </w:t>
      </w:r>
    </w:p>
    <w:p w:rsidR="00001A9A" w:rsidRPr="00F13914" w:rsidRDefault="00881FE0" w:rsidP="00FD6610">
      <w:pPr>
        <w:widowControl w:val="0"/>
        <w:spacing w:after="0" w:line="240" w:lineRule="auto"/>
        <w:ind w:left="3600"/>
        <w:contextualSpacing/>
        <w:rPr>
          <w:rFonts w:eastAsia="Times New Roman" w:cs="Times New Roman"/>
          <w:szCs w:val="24"/>
        </w:rPr>
      </w:pPr>
      <w:hyperlink r:id="rId8" w:history="1">
        <w:r w:rsidR="00001A9A" w:rsidRPr="00F13914">
          <w:rPr>
            <w:rFonts w:eastAsia="Times New Roman" w:cs="Times New Roman"/>
            <w:color w:val="0000FF"/>
            <w:szCs w:val="24"/>
            <w:u w:val="single"/>
          </w:rPr>
          <w:t>Terry.etter@occ.ohio.gov</w:t>
        </w:r>
      </w:hyperlink>
    </w:p>
    <w:p w:rsidR="00001A9A" w:rsidRPr="00F13914" w:rsidRDefault="00001A9A" w:rsidP="00FD6610">
      <w:pPr>
        <w:widowControl w:val="0"/>
        <w:spacing w:after="0" w:line="240" w:lineRule="auto"/>
        <w:ind w:left="3600"/>
        <w:contextualSpacing/>
        <w:rPr>
          <w:rFonts w:eastAsia="Times New Roman" w:cs="Times New Roman"/>
          <w:szCs w:val="24"/>
        </w:rPr>
      </w:pPr>
      <w:r w:rsidRPr="00F13914">
        <w:rPr>
          <w:rFonts w:eastAsia="Times New Roman" w:cs="Times New Roman"/>
          <w:szCs w:val="24"/>
        </w:rPr>
        <w:t>(willing to accept service by e-mail)</w:t>
      </w:r>
    </w:p>
    <w:p w:rsidR="00001A9A" w:rsidRDefault="00001A9A" w:rsidP="00FD6610">
      <w:pPr>
        <w:widowControl w:val="0"/>
        <w:autoSpaceDE w:val="0"/>
        <w:autoSpaceDN w:val="0"/>
        <w:adjustRightInd w:val="0"/>
        <w:spacing w:after="0" w:line="240" w:lineRule="auto"/>
        <w:ind w:firstLine="720"/>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001A9A" w:rsidRPr="000F32C5" w:rsidRDefault="00001A9A" w:rsidP="00FD6610">
      <w:pPr>
        <w:widowControl w:val="0"/>
        <w:spacing w:after="0" w:line="240" w:lineRule="auto"/>
        <w:ind w:left="3600"/>
        <w:contextualSpacing/>
        <w:rPr>
          <w:rFonts w:cs="Times New Roman"/>
          <w:i/>
          <w:szCs w:val="24"/>
          <w:u w:val="single"/>
        </w:rPr>
      </w:pPr>
      <w:r>
        <w:rPr>
          <w:rFonts w:cs="Times New Roman"/>
          <w:szCs w:val="24"/>
        </w:rPr>
        <w:t>Kimberly W. Bojko (0069402)</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Carpenter Lipps&amp; Leland LLP</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280 Plaza, Suite 1300</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280 North High Street</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Columbus, Ohio 43215</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Telephone:  (614) 365-4100</w:t>
      </w:r>
    </w:p>
    <w:p w:rsidR="00001A9A" w:rsidRDefault="00881FE0" w:rsidP="00FD6610">
      <w:pPr>
        <w:widowControl w:val="0"/>
        <w:spacing w:after="0" w:line="240" w:lineRule="auto"/>
        <w:ind w:left="3600"/>
        <w:contextualSpacing/>
        <w:rPr>
          <w:rFonts w:cs="Times New Roman"/>
          <w:szCs w:val="24"/>
        </w:rPr>
      </w:pPr>
      <w:hyperlink r:id="rId9" w:history="1">
        <w:r w:rsidR="00001A9A" w:rsidRPr="00FA29F6">
          <w:rPr>
            <w:rStyle w:val="Hyperlink"/>
            <w:rFonts w:cs="Times New Roman"/>
            <w:szCs w:val="24"/>
          </w:rPr>
          <w:t>Bojko@carpenterlipps.com</w:t>
        </w:r>
      </w:hyperlink>
    </w:p>
    <w:p w:rsidR="00001A9A" w:rsidRPr="00F33E13" w:rsidRDefault="00001A9A" w:rsidP="00FD6610">
      <w:pPr>
        <w:widowControl w:val="0"/>
        <w:spacing w:after="0" w:line="240" w:lineRule="auto"/>
        <w:ind w:left="3600"/>
        <w:contextualSpacing/>
        <w:rPr>
          <w:rFonts w:cs="Times New Roman"/>
          <w:szCs w:val="24"/>
        </w:rPr>
      </w:pPr>
      <w:r w:rsidRPr="00644794">
        <w:rPr>
          <w:rFonts w:cs="Times New Roman"/>
          <w:szCs w:val="24"/>
        </w:rPr>
        <w:t>(</w:t>
      </w:r>
      <w:r>
        <w:rPr>
          <w:rFonts w:cs="Times New Roman"/>
          <w:szCs w:val="24"/>
        </w:rPr>
        <w:t>w</w:t>
      </w:r>
      <w:r w:rsidRPr="00644794">
        <w:rPr>
          <w:rFonts w:cs="Times New Roman"/>
          <w:szCs w:val="24"/>
        </w:rPr>
        <w:t>ill</w:t>
      </w:r>
      <w:r>
        <w:rPr>
          <w:rFonts w:cs="Times New Roman"/>
          <w:szCs w:val="24"/>
        </w:rPr>
        <w:t>ing to</w:t>
      </w:r>
      <w:r w:rsidRPr="00644794">
        <w:rPr>
          <w:rFonts w:cs="Times New Roman"/>
          <w:szCs w:val="24"/>
        </w:rPr>
        <w:t xml:space="preserve"> accept service via email)</w:t>
      </w:r>
      <w:r>
        <w:rPr>
          <w:rFonts w:cs="Times New Roman"/>
          <w:szCs w:val="24"/>
        </w:rPr>
        <w:tab/>
      </w:r>
      <w:r>
        <w:rPr>
          <w:rFonts w:cs="Times New Roman"/>
          <w:szCs w:val="24"/>
        </w:rPr>
        <w:tab/>
      </w:r>
      <w:r>
        <w:rPr>
          <w:rFonts w:cs="Times New Roman"/>
          <w:szCs w:val="24"/>
        </w:rPr>
        <w:tab/>
      </w:r>
    </w:p>
    <w:p w:rsidR="00BA677D" w:rsidRDefault="00001A9A" w:rsidP="00FD6610">
      <w:pPr>
        <w:widowControl w:val="0"/>
        <w:spacing w:before="120"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001A9A" w:rsidRDefault="00001A9A" w:rsidP="00BA677D">
      <w:pPr>
        <w:widowControl w:val="0"/>
        <w:spacing w:before="120" w:after="0" w:line="240" w:lineRule="auto"/>
        <w:ind w:left="2880" w:firstLine="720"/>
        <w:contextualSpacing/>
        <w:rPr>
          <w:rFonts w:cs="Times New Roman"/>
          <w:i/>
          <w:szCs w:val="24"/>
        </w:rPr>
      </w:pPr>
      <w:r w:rsidRPr="00644794">
        <w:rPr>
          <w:rFonts w:cs="Times New Roman"/>
          <w:i/>
          <w:szCs w:val="24"/>
        </w:rPr>
        <w:t xml:space="preserve">Outside </w:t>
      </w:r>
      <w:r w:rsidRPr="00F33E13">
        <w:rPr>
          <w:rFonts w:cs="Times New Roman"/>
          <w:i/>
          <w:szCs w:val="24"/>
        </w:rPr>
        <w:t xml:space="preserve">Counsel for the </w:t>
      </w:r>
    </w:p>
    <w:p w:rsidR="00001A9A" w:rsidRDefault="00001A9A" w:rsidP="00FD6610">
      <w:pPr>
        <w:widowControl w:val="0"/>
        <w:spacing w:after="0" w:line="240" w:lineRule="auto"/>
        <w:ind w:left="3600"/>
        <w:contextualSpacing/>
        <w:rPr>
          <w:rFonts w:cs="Times New Roman"/>
          <w:i/>
          <w:szCs w:val="24"/>
        </w:rPr>
      </w:pPr>
      <w:r w:rsidRPr="00F33E13">
        <w:rPr>
          <w:rFonts w:cs="Times New Roman"/>
          <w:i/>
          <w:szCs w:val="24"/>
        </w:rPr>
        <w:t>Office of the Ohio Consumers’ Counsel</w:t>
      </w:r>
    </w:p>
    <w:p w:rsidR="00C57E16" w:rsidRDefault="00C57E16" w:rsidP="00FD6610">
      <w:pPr>
        <w:widowControl w:val="0"/>
        <w:spacing w:after="0" w:line="240" w:lineRule="auto"/>
        <w:ind w:left="3600" w:firstLine="720"/>
        <w:contextualSpacing/>
        <w:rPr>
          <w:rFonts w:cs="Times New Roman"/>
          <w:i/>
          <w:szCs w:val="24"/>
        </w:rPr>
      </w:pPr>
    </w:p>
    <w:p w:rsidR="000F32C5" w:rsidRDefault="000F32C5" w:rsidP="00FD6610">
      <w:pPr>
        <w:widowControl w:val="0"/>
        <w:contextualSpacing/>
        <w:jc w:val="center"/>
        <w:rPr>
          <w:rFonts w:cs="Times New Roman"/>
          <w:b/>
          <w:bCs/>
          <w:color w:val="000000"/>
          <w:szCs w:val="24"/>
          <w:u w:val="single"/>
        </w:rPr>
        <w:sectPr w:rsidR="000F32C5" w:rsidSect="00F059B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Default="002E18E1" w:rsidP="00FD6610">
      <w:pPr>
        <w:widowControl w:val="0"/>
        <w:spacing w:line="240" w:lineRule="auto"/>
        <w:contextualSpacing/>
        <w:jc w:val="center"/>
        <w:rPr>
          <w:rFonts w:cs="Times New Roman"/>
          <w:b/>
          <w:bCs/>
          <w:color w:val="000000"/>
          <w:szCs w:val="24"/>
          <w:u w:val="single"/>
        </w:rPr>
      </w:pPr>
      <w:r w:rsidRPr="00654E9E">
        <w:rPr>
          <w:rFonts w:cs="Times New Roman"/>
          <w:b/>
          <w:bCs/>
          <w:color w:val="000000"/>
          <w:szCs w:val="24"/>
          <w:u w:val="single"/>
        </w:rPr>
        <w:t>CERTIFICATE OF SERVICE</w:t>
      </w:r>
    </w:p>
    <w:p w:rsidR="00FD6610" w:rsidRPr="00654E9E" w:rsidRDefault="00FD6610" w:rsidP="00FD6610">
      <w:pPr>
        <w:widowControl w:val="0"/>
        <w:spacing w:line="240" w:lineRule="auto"/>
        <w:contextualSpacing/>
        <w:jc w:val="center"/>
        <w:rPr>
          <w:rFonts w:cs="Times New Roman"/>
          <w:b/>
          <w:bCs/>
          <w:color w:val="000000"/>
          <w:szCs w:val="24"/>
          <w:u w:val="single"/>
        </w:rPr>
      </w:pPr>
    </w:p>
    <w:p w:rsidR="000D14C3" w:rsidRDefault="00CD55BC" w:rsidP="00FD6610">
      <w:pPr>
        <w:widowControl w:val="0"/>
        <w:autoSpaceDE w:val="0"/>
        <w:autoSpaceDN w:val="0"/>
        <w:adjustRightInd w:val="0"/>
        <w:spacing w:after="0" w:line="480" w:lineRule="auto"/>
        <w:contextualSpacing/>
        <w:rPr>
          <w:rFonts w:cs="Times New Roman"/>
          <w:color w:val="000000"/>
          <w:szCs w:val="24"/>
        </w:rPr>
      </w:pPr>
      <w:r>
        <w:rPr>
          <w:rFonts w:cs="Times New Roman"/>
          <w:color w:val="000000"/>
          <w:szCs w:val="24"/>
        </w:rPr>
        <w:tab/>
      </w:r>
      <w:r w:rsidR="002E18E1">
        <w:rPr>
          <w:rFonts w:cs="Times New Roman"/>
          <w:color w:val="000000"/>
          <w:szCs w:val="24"/>
        </w:rPr>
        <w:t xml:space="preserve">I hereby certify that a true and accurate copy of the foregoing </w:t>
      </w:r>
      <w:r w:rsidR="00F059BE" w:rsidRPr="00E033FC">
        <w:rPr>
          <w:rFonts w:cs="Times New Roman"/>
          <w:i/>
          <w:color w:val="000000"/>
          <w:szCs w:val="24"/>
        </w:rPr>
        <w:t>Memo</w:t>
      </w:r>
      <w:r w:rsidR="00D2339D">
        <w:rPr>
          <w:rFonts w:cs="Times New Roman"/>
          <w:i/>
          <w:color w:val="000000"/>
          <w:szCs w:val="24"/>
        </w:rPr>
        <w:t>randum</w:t>
      </w:r>
      <w:r w:rsidR="00F059BE" w:rsidRPr="00E033FC">
        <w:rPr>
          <w:rFonts w:cs="Times New Roman"/>
          <w:i/>
          <w:color w:val="000000"/>
          <w:szCs w:val="24"/>
        </w:rPr>
        <w:t xml:space="preserve"> Contra Motion</w:t>
      </w:r>
      <w:r w:rsidR="00222FCE">
        <w:rPr>
          <w:rFonts w:cs="Times New Roman"/>
          <w:i/>
          <w:color w:val="000000"/>
          <w:szCs w:val="24"/>
        </w:rPr>
        <w:t>s</w:t>
      </w:r>
      <w:r w:rsidR="00F059BE" w:rsidRPr="00E033FC">
        <w:rPr>
          <w:rFonts w:cs="Times New Roman"/>
          <w:i/>
          <w:color w:val="000000"/>
          <w:szCs w:val="24"/>
        </w:rPr>
        <w:t xml:space="preserve"> for Protective </w:t>
      </w:r>
      <w:r w:rsidR="00D2339D">
        <w:rPr>
          <w:rFonts w:cs="Times New Roman"/>
          <w:i/>
          <w:color w:val="000000"/>
          <w:szCs w:val="24"/>
        </w:rPr>
        <w:t>Order</w:t>
      </w:r>
      <w:r w:rsidR="00F20E87">
        <w:rPr>
          <w:rFonts w:cs="Times New Roman"/>
          <w:i/>
          <w:color w:val="000000"/>
          <w:szCs w:val="24"/>
        </w:rPr>
        <w:t>s</w:t>
      </w:r>
      <w:r w:rsidR="00FD6610">
        <w:rPr>
          <w:rFonts w:cs="Times New Roman"/>
          <w:i/>
          <w:color w:val="000000"/>
          <w:szCs w:val="24"/>
        </w:rPr>
        <w:t xml:space="preserve"> </w:t>
      </w:r>
      <w:r w:rsidR="002E18E1" w:rsidRPr="009E520D">
        <w:rPr>
          <w:rFonts w:cs="Times New Roman"/>
          <w:iCs/>
          <w:color w:val="000000"/>
          <w:szCs w:val="24"/>
        </w:rPr>
        <w:t>was</w:t>
      </w:r>
      <w:r w:rsidR="00FD6610">
        <w:rPr>
          <w:rFonts w:cs="Times New Roman"/>
          <w:iCs/>
          <w:color w:val="000000"/>
          <w:szCs w:val="24"/>
        </w:rPr>
        <w:t xml:space="preserve"> </w:t>
      </w:r>
      <w:r w:rsidR="002E18E1">
        <w:rPr>
          <w:rFonts w:cs="Times New Roman"/>
          <w:color w:val="000000"/>
          <w:szCs w:val="24"/>
        </w:rPr>
        <w:t xml:space="preserve">served upon the following parties via electronic </w:t>
      </w:r>
      <w:r w:rsidR="00F059BE">
        <w:rPr>
          <w:rFonts w:cs="Times New Roman"/>
          <w:color w:val="000000"/>
          <w:szCs w:val="24"/>
        </w:rPr>
        <w:t xml:space="preserve">transmission </w:t>
      </w:r>
      <w:r w:rsidR="002E18E1">
        <w:rPr>
          <w:rFonts w:cs="Times New Roman"/>
          <w:color w:val="000000"/>
          <w:szCs w:val="24"/>
        </w:rPr>
        <w:t>on</w:t>
      </w:r>
      <w:r w:rsidR="008A3E7F">
        <w:rPr>
          <w:rFonts w:cs="Times New Roman"/>
          <w:color w:val="000000"/>
          <w:szCs w:val="24"/>
        </w:rPr>
        <w:t xml:space="preserve"> </w:t>
      </w:r>
      <w:r w:rsidR="003C7952">
        <w:rPr>
          <w:rFonts w:cs="Times New Roman"/>
          <w:color w:val="000000"/>
          <w:szCs w:val="24"/>
        </w:rPr>
        <w:t>this 26</w:t>
      </w:r>
      <w:r w:rsidR="003C7952" w:rsidRPr="003C7952">
        <w:rPr>
          <w:rFonts w:cs="Times New Roman"/>
          <w:color w:val="000000"/>
          <w:szCs w:val="24"/>
          <w:vertAlign w:val="superscript"/>
        </w:rPr>
        <w:t>th</w:t>
      </w:r>
      <w:r w:rsidR="003C7952">
        <w:rPr>
          <w:rFonts w:cs="Times New Roman"/>
          <w:color w:val="000000"/>
          <w:szCs w:val="24"/>
        </w:rPr>
        <w:t xml:space="preserve"> day of </w:t>
      </w:r>
      <w:r w:rsidR="008A3E7F">
        <w:rPr>
          <w:rFonts w:cs="Times New Roman"/>
          <w:color w:val="000000"/>
          <w:szCs w:val="24"/>
        </w:rPr>
        <w:t xml:space="preserve">February </w:t>
      </w:r>
      <w:r w:rsidR="00001A9A">
        <w:rPr>
          <w:rFonts w:cs="Times New Roman"/>
          <w:color w:val="000000"/>
          <w:szCs w:val="24"/>
        </w:rPr>
        <w:t>2016</w:t>
      </w:r>
      <w:r w:rsidR="002E18E1">
        <w:rPr>
          <w:rFonts w:cs="Times New Roman"/>
          <w:color w:val="000000"/>
          <w:szCs w:val="24"/>
        </w:rPr>
        <w:t>.</w:t>
      </w:r>
    </w:p>
    <w:p w:rsidR="000D14C3" w:rsidRDefault="000D14C3" w:rsidP="00FD6610">
      <w:pPr>
        <w:widowControl w:val="0"/>
        <w:autoSpaceDE w:val="0"/>
        <w:autoSpaceDN w:val="0"/>
        <w:adjustRightInd w:val="0"/>
        <w:spacing w:after="0" w:line="240" w:lineRule="auto"/>
        <w:contextualSpacing/>
        <w:rPr>
          <w:rFonts w:cs="Times New Roman"/>
          <w:color w:val="000000"/>
          <w:szCs w:val="24"/>
        </w:rPr>
      </w:pPr>
    </w:p>
    <w:p w:rsidR="00001A9A" w:rsidRDefault="002E18E1" w:rsidP="00FD6610">
      <w:pPr>
        <w:widowControl w:val="0"/>
        <w:autoSpaceDE w:val="0"/>
        <w:autoSpaceDN w:val="0"/>
        <w:adjustRightInd w:val="0"/>
        <w:spacing w:after="0" w:line="240" w:lineRule="auto"/>
        <w:contextualSpacing/>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001A9A">
        <w:rPr>
          <w:rFonts w:cs="Times New Roman"/>
          <w:i/>
          <w:color w:val="000000"/>
          <w:szCs w:val="24"/>
          <w:u w:val="single"/>
        </w:rPr>
        <w:t>/s/ Terry L. Etter</w:t>
      </w:r>
      <w:r w:rsidR="00001A9A">
        <w:rPr>
          <w:rFonts w:cs="Times New Roman"/>
          <w:color w:val="000000"/>
          <w:szCs w:val="24"/>
        </w:rPr>
        <w:t>_______</w:t>
      </w:r>
    </w:p>
    <w:p w:rsidR="00243F0C" w:rsidRDefault="00001A9A" w:rsidP="00FD6610">
      <w:pPr>
        <w:widowControl w:val="0"/>
        <w:autoSpaceDE w:val="0"/>
        <w:autoSpaceDN w:val="0"/>
        <w:adjustRightInd w:val="0"/>
        <w:spacing w:after="0" w:line="240" w:lineRule="auto"/>
        <w:contextualSpacing/>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Terry L. Etter</w:t>
      </w:r>
      <w:r>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43F0C">
        <w:rPr>
          <w:rFonts w:cs="Times New Roman"/>
          <w:color w:val="000000"/>
          <w:szCs w:val="24"/>
        </w:rPr>
        <w:tab/>
      </w:r>
      <w:r w:rsidR="00243F0C">
        <w:rPr>
          <w:rFonts w:cs="Times New Roman"/>
          <w:color w:val="000000"/>
          <w:szCs w:val="24"/>
        </w:rPr>
        <w:tab/>
      </w:r>
      <w:r w:rsidR="00A51FA3">
        <w:rPr>
          <w:rFonts w:cs="Times New Roman"/>
          <w:color w:val="000000"/>
          <w:szCs w:val="24"/>
        </w:rPr>
        <w:tab/>
      </w:r>
      <w:r w:rsidR="00243F0C">
        <w:rPr>
          <w:rFonts w:cs="Times New Roman"/>
          <w:color w:val="000000"/>
          <w:szCs w:val="24"/>
        </w:rPr>
        <w:t>Assistant Consumers’ Counsel</w:t>
      </w:r>
    </w:p>
    <w:p w:rsidR="00243F0C" w:rsidRDefault="00243F0C" w:rsidP="00FD6610">
      <w:pPr>
        <w:widowControl w:val="0"/>
        <w:contextualSpacing/>
        <w:jc w:val="center"/>
        <w:rPr>
          <w:rFonts w:cs="Times New Roman"/>
          <w:sz w:val="16"/>
          <w:szCs w:val="16"/>
        </w:rPr>
      </w:pPr>
    </w:p>
    <w:p w:rsidR="00FD6610" w:rsidRDefault="00FD6610" w:rsidP="00FD6610">
      <w:pPr>
        <w:widowControl w:val="0"/>
        <w:contextualSpacing/>
        <w:jc w:val="center"/>
        <w:rPr>
          <w:rFonts w:cs="Times New Roman"/>
          <w:sz w:val="16"/>
          <w:szCs w:val="16"/>
        </w:rPr>
      </w:pPr>
    </w:p>
    <w:p w:rsidR="00243F0C" w:rsidRDefault="00243F0C" w:rsidP="00FD6610">
      <w:pPr>
        <w:widowControl w:val="0"/>
        <w:contextualSpacing/>
        <w:jc w:val="center"/>
        <w:rPr>
          <w:rFonts w:cs="Times New Roman"/>
          <w:b/>
          <w:szCs w:val="24"/>
          <w:u w:val="single"/>
        </w:rPr>
      </w:pPr>
      <w:r w:rsidRPr="00FD6610">
        <w:rPr>
          <w:rFonts w:cs="Times New Roman"/>
          <w:b/>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D6610" w:rsidTr="00FD6610">
        <w:tc>
          <w:tcPr>
            <w:tcW w:w="4428" w:type="dxa"/>
          </w:tcPr>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Robert A. McMahon</w:t>
            </w:r>
          </w:p>
          <w:p w:rsidR="00FD6610" w:rsidRPr="00FD6610" w:rsidRDefault="00FD6610" w:rsidP="00FD6610">
            <w:pPr>
              <w:widowControl w:val="0"/>
              <w:contextualSpacing/>
              <w:rPr>
                <w:rFonts w:cs="Times New Roman"/>
                <w:szCs w:val="24"/>
              </w:rPr>
            </w:pPr>
            <w:r w:rsidRPr="00FD6610">
              <w:rPr>
                <w:rFonts w:cs="Times New Roman"/>
                <w:szCs w:val="24"/>
              </w:rPr>
              <w:t>Eberly McMahon Copetas LLC</w:t>
            </w:r>
          </w:p>
          <w:p w:rsidR="00FD6610" w:rsidRPr="00FD6610" w:rsidRDefault="00FD6610" w:rsidP="00FD6610">
            <w:pPr>
              <w:widowControl w:val="0"/>
              <w:contextualSpacing/>
              <w:rPr>
                <w:rFonts w:cs="Times New Roman"/>
                <w:szCs w:val="24"/>
              </w:rPr>
            </w:pPr>
            <w:r w:rsidRPr="00FD6610">
              <w:rPr>
                <w:rFonts w:cs="Times New Roman"/>
                <w:szCs w:val="24"/>
              </w:rPr>
              <w:t>2321 Kemper Lane, Suite 100</w:t>
            </w:r>
          </w:p>
          <w:p w:rsidR="00FD6610" w:rsidRPr="00FD6610" w:rsidRDefault="00FD6610" w:rsidP="00FD6610">
            <w:pPr>
              <w:widowControl w:val="0"/>
              <w:contextualSpacing/>
              <w:rPr>
                <w:rFonts w:cs="Times New Roman"/>
                <w:szCs w:val="24"/>
              </w:rPr>
            </w:pPr>
            <w:r w:rsidRPr="00FD6610">
              <w:rPr>
                <w:rFonts w:cs="Times New Roman"/>
                <w:szCs w:val="24"/>
              </w:rPr>
              <w:t xml:space="preserve">Cincinnati, Ohio  45206 </w:t>
            </w:r>
            <w:hyperlink r:id="rId16">
              <w:r w:rsidRPr="00FD6610">
                <w:rPr>
                  <w:rStyle w:val="Hyperlink"/>
                  <w:rFonts w:cs="Times New Roman"/>
                  <w:szCs w:val="24"/>
                </w:rPr>
                <w:t>bmcmahon@emclawyers.com</w:t>
              </w:r>
            </w:hyperlink>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Donald A. Lane</w:t>
            </w:r>
          </w:p>
          <w:p w:rsidR="00FD6610" w:rsidRPr="00FD6610" w:rsidRDefault="00FD6610" w:rsidP="00FD6610">
            <w:pPr>
              <w:widowControl w:val="0"/>
              <w:contextualSpacing/>
              <w:rPr>
                <w:rFonts w:cs="Times New Roman"/>
                <w:szCs w:val="24"/>
              </w:rPr>
            </w:pPr>
            <w:r w:rsidRPr="00FD6610">
              <w:rPr>
                <w:rFonts w:cs="Times New Roman"/>
                <w:szCs w:val="24"/>
              </w:rPr>
              <w:t>Droder &amp; Miller Co., LPA</w:t>
            </w:r>
          </w:p>
          <w:p w:rsidR="004C2D34" w:rsidRDefault="00FD6610" w:rsidP="00FD6610">
            <w:pPr>
              <w:widowControl w:val="0"/>
              <w:contextualSpacing/>
              <w:rPr>
                <w:rFonts w:cs="Times New Roman"/>
                <w:szCs w:val="24"/>
              </w:rPr>
            </w:pPr>
            <w:r w:rsidRPr="00FD6610">
              <w:rPr>
                <w:rFonts w:cs="Times New Roman"/>
                <w:szCs w:val="24"/>
              </w:rPr>
              <w:t xml:space="preserve">125 West Central Parkway </w:t>
            </w:r>
          </w:p>
          <w:p w:rsidR="00FD6610" w:rsidRPr="00FD6610" w:rsidRDefault="00FD6610" w:rsidP="00FD6610">
            <w:pPr>
              <w:widowControl w:val="0"/>
              <w:contextualSpacing/>
              <w:rPr>
                <w:rFonts w:cs="Times New Roman"/>
                <w:szCs w:val="24"/>
              </w:rPr>
            </w:pPr>
            <w:r w:rsidRPr="00FD6610">
              <w:rPr>
                <w:rFonts w:cs="Times New Roman"/>
                <w:szCs w:val="24"/>
              </w:rPr>
              <w:t xml:space="preserve">Cincinnati, Ohio  45202-1006 </w:t>
            </w:r>
            <w:hyperlink r:id="rId17">
              <w:r w:rsidRPr="00FD6610">
                <w:rPr>
                  <w:rStyle w:val="Hyperlink"/>
                  <w:rFonts w:cs="Times New Roman"/>
                  <w:szCs w:val="24"/>
                </w:rPr>
                <w:t>dlane@drodermiller.com</w:t>
              </w:r>
            </w:hyperlink>
          </w:p>
          <w:p w:rsidR="00FD6610" w:rsidRDefault="00FD6610" w:rsidP="00FD6610">
            <w:pPr>
              <w:widowControl w:val="0"/>
              <w:contextualSpacing/>
              <w:rPr>
                <w:rFonts w:cs="Times New Roman"/>
                <w:szCs w:val="24"/>
              </w:rPr>
            </w:pPr>
          </w:p>
        </w:tc>
        <w:tc>
          <w:tcPr>
            <w:tcW w:w="4428" w:type="dxa"/>
          </w:tcPr>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Amy B. Spiller</w:t>
            </w:r>
          </w:p>
          <w:p w:rsidR="00FD6610" w:rsidRPr="00FD6610" w:rsidRDefault="00FD6610" w:rsidP="00FD6610">
            <w:pPr>
              <w:widowControl w:val="0"/>
              <w:contextualSpacing/>
              <w:rPr>
                <w:rFonts w:cs="Times New Roman"/>
                <w:szCs w:val="24"/>
              </w:rPr>
            </w:pPr>
            <w:r w:rsidRPr="00FD6610">
              <w:rPr>
                <w:rFonts w:cs="Times New Roman"/>
                <w:szCs w:val="24"/>
              </w:rPr>
              <w:t>Elizabeth H. Watts</w:t>
            </w:r>
          </w:p>
          <w:p w:rsidR="00FD6610" w:rsidRPr="00FD6610" w:rsidRDefault="00FD6610" w:rsidP="00FD6610">
            <w:pPr>
              <w:widowControl w:val="0"/>
              <w:contextualSpacing/>
              <w:rPr>
                <w:rFonts w:cs="Times New Roman"/>
                <w:szCs w:val="24"/>
              </w:rPr>
            </w:pPr>
            <w:r w:rsidRPr="00FD6610">
              <w:rPr>
                <w:rFonts w:cs="Times New Roman"/>
                <w:szCs w:val="24"/>
              </w:rPr>
              <w:t>139 East Broad Street</w:t>
            </w:r>
          </w:p>
          <w:p w:rsidR="00FD6610" w:rsidRPr="00FD6610" w:rsidRDefault="00FD6610" w:rsidP="00FD6610">
            <w:pPr>
              <w:widowControl w:val="0"/>
              <w:contextualSpacing/>
              <w:rPr>
                <w:rFonts w:cs="Times New Roman"/>
                <w:szCs w:val="24"/>
              </w:rPr>
            </w:pPr>
            <w:r w:rsidRPr="00FD6610">
              <w:rPr>
                <w:rFonts w:cs="Times New Roman"/>
                <w:szCs w:val="24"/>
              </w:rPr>
              <w:t>Cincinnati, Ohio  45202</w:t>
            </w:r>
          </w:p>
          <w:p w:rsidR="00FD6610" w:rsidRPr="00FD6610" w:rsidRDefault="00881FE0" w:rsidP="00FD6610">
            <w:pPr>
              <w:widowControl w:val="0"/>
              <w:contextualSpacing/>
              <w:rPr>
                <w:rFonts w:cs="Times New Roman"/>
                <w:szCs w:val="24"/>
              </w:rPr>
            </w:pPr>
            <w:hyperlink r:id="rId18">
              <w:r w:rsidR="00FD6610" w:rsidRPr="00FD6610">
                <w:rPr>
                  <w:rStyle w:val="Hyperlink"/>
                  <w:rFonts w:cs="Times New Roman"/>
                  <w:szCs w:val="24"/>
                </w:rPr>
                <w:t>Amy.spiller@duke-energy.com</w:t>
              </w:r>
            </w:hyperlink>
          </w:p>
          <w:p w:rsidR="00FD6610" w:rsidRPr="00FD6610" w:rsidRDefault="00881FE0" w:rsidP="00FD6610">
            <w:pPr>
              <w:widowControl w:val="0"/>
              <w:contextualSpacing/>
              <w:rPr>
                <w:rFonts w:cs="Times New Roman"/>
                <w:szCs w:val="24"/>
              </w:rPr>
            </w:pPr>
            <w:hyperlink r:id="rId19">
              <w:r w:rsidR="00FD6610" w:rsidRPr="00FD6610">
                <w:rPr>
                  <w:rStyle w:val="Hyperlink"/>
                  <w:rFonts w:cs="Times New Roman"/>
                  <w:szCs w:val="24"/>
                </w:rPr>
                <w:t>Elizabeth.watts@duke-energy.com</w:t>
              </w:r>
            </w:hyperlink>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Attorney Examiner:</w:t>
            </w:r>
          </w:p>
          <w:p w:rsidR="00FD6610" w:rsidRPr="00FD6610" w:rsidRDefault="00881FE0" w:rsidP="00FD6610">
            <w:pPr>
              <w:widowControl w:val="0"/>
              <w:contextualSpacing/>
              <w:rPr>
                <w:rFonts w:cs="Times New Roman"/>
                <w:szCs w:val="24"/>
              </w:rPr>
            </w:pPr>
            <w:hyperlink r:id="rId20">
              <w:r w:rsidR="00FD6610" w:rsidRPr="00FD6610">
                <w:rPr>
                  <w:rStyle w:val="Hyperlink"/>
                  <w:rFonts w:cs="Times New Roman"/>
                  <w:szCs w:val="24"/>
                </w:rPr>
                <w:t>sarah.parrot@puc.state.oh.us</w:t>
              </w:r>
            </w:hyperlink>
          </w:p>
          <w:p w:rsidR="00FD6610" w:rsidRDefault="00FD6610" w:rsidP="00FD6610">
            <w:pPr>
              <w:widowControl w:val="0"/>
              <w:contextualSpacing/>
              <w:rPr>
                <w:rFonts w:cs="Times New Roman"/>
                <w:szCs w:val="24"/>
              </w:rPr>
            </w:pPr>
          </w:p>
        </w:tc>
      </w:tr>
    </w:tbl>
    <w:p w:rsidR="00FD6610" w:rsidRPr="00FD6610" w:rsidRDefault="00FD6610" w:rsidP="00FD6610">
      <w:pPr>
        <w:widowControl w:val="0"/>
        <w:contextualSpacing/>
        <w:rPr>
          <w:rFonts w:cs="Times New Roman"/>
          <w:szCs w:val="24"/>
        </w:rPr>
      </w:pPr>
    </w:p>
    <w:p w:rsidR="00E80AB6" w:rsidRDefault="00E80AB6" w:rsidP="00FD6610">
      <w:pPr>
        <w:widowControl w:val="0"/>
        <w:autoSpaceDE w:val="0"/>
        <w:autoSpaceDN w:val="0"/>
        <w:adjustRightInd w:val="0"/>
        <w:spacing w:after="0" w:line="240" w:lineRule="auto"/>
        <w:contextualSpacing/>
        <w:rPr>
          <w:rFonts w:cs="Times New Roman"/>
          <w:szCs w:val="24"/>
        </w:rPr>
      </w:pPr>
    </w:p>
    <w:p w:rsidR="00C5462B" w:rsidRDefault="00C5462B" w:rsidP="00FD6610">
      <w:pPr>
        <w:widowControl w:val="0"/>
        <w:autoSpaceDE w:val="0"/>
        <w:autoSpaceDN w:val="0"/>
        <w:adjustRightInd w:val="0"/>
        <w:spacing w:after="0" w:line="240" w:lineRule="auto"/>
        <w:contextualSpacing/>
        <w:rPr>
          <w:rFonts w:cs="Times New Roman"/>
          <w:szCs w:val="24"/>
        </w:rPr>
      </w:pPr>
    </w:p>
    <w:p w:rsidR="00BD77B9" w:rsidRDefault="00BD77B9" w:rsidP="00FD6610">
      <w:pPr>
        <w:widowControl w:val="0"/>
        <w:autoSpaceDE w:val="0"/>
        <w:autoSpaceDN w:val="0"/>
        <w:adjustRightInd w:val="0"/>
        <w:spacing w:after="0" w:line="240" w:lineRule="auto"/>
        <w:contextualSpacing/>
        <w:rPr>
          <w:rFonts w:cs="Times New Roman"/>
          <w:szCs w:val="24"/>
        </w:rPr>
      </w:pPr>
    </w:p>
    <w:p w:rsidR="00BD77B9" w:rsidRDefault="00BD77B9" w:rsidP="00FD6610">
      <w:pPr>
        <w:widowControl w:val="0"/>
        <w:autoSpaceDE w:val="0"/>
        <w:autoSpaceDN w:val="0"/>
        <w:adjustRightInd w:val="0"/>
        <w:spacing w:after="0" w:line="240" w:lineRule="auto"/>
        <w:contextualSpacing/>
        <w:rPr>
          <w:rFonts w:cs="Times New Roman"/>
          <w:szCs w:val="24"/>
        </w:rPr>
      </w:pPr>
    </w:p>
    <w:sectPr w:rsidR="00BD77B9" w:rsidSect="00F059B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DE" w:rsidRDefault="000E59DE" w:rsidP="00C56B8A">
      <w:pPr>
        <w:spacing w:after="0" w:line="240" w:lineRule="auto"/>
      </w:pPr>
      <w:r>
        <w:separator/>
      </w:r>
    </w:p>
  </w:endnote>
  <w:endnote w:type="continuationSeparator" w:id="0">
    <w:p w:rsidR="000E59DE" w:rsidRDefault="000E59DE"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5C" w:rsidRDefault="00C22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1B46DA" w:rsidRDefault="001B46DA">
        <w:pPr>
          <w:pStyle w:val="Footer"/>
          <w:jc w:val="center"/>
        </w:pPr>
        <w:r w:rsidRPr="00C56B8A">
          <w:rPr>
            <w:rFonts w:cs="Times New Roman"/>
            <w:szCs w:val="24"/>
          </w:rPr>
          <w:fldChar w:fldCharType="begin"/>
        </w:r>
        <w:r w:rsidRPr="00C56B8A">
          <w:rPr>
            <w:rFonts w:cs="Times New Roman"/>
            <w:szCs w:val="24"/>
          </w:rPr>
          <w:instrText xml:space="preserve"> PAGE   \* MERGEFORMAT </w:instrText>
        </w:r>
        <w:r w:rsidRPr="00C56B8A">
          <w:rPr>
            <w:rFonts w:cs="Times New Roman"/>
            <w:szCs w:val="24"/>
          </w:rPr>
          <w:fldChar w:fldCharType="separate"/>
        </w:r>
        <w:r w:rsidR="00881FE0">
          <w:rPr>
            <w:rFonts w:cs="Times New Roman"/>
            <w:noProof/>
            <w:szCs w:val="24"/>
          </w:rPr>
          <w:t>2</w:t>
        </w:r>
        <w:r w:rsidRPr="00C56B8A">
          <w:rPr>
            <w:rFonts w:cs="Times New Roman"/>
            <w:szCs w:val="24"/>
          </w:rPr>
          <w:fldChar w:fldCharType="end"/>
        </w:r>
      </w:p>
    </w:sdtContent>
  </w:sdt>
  <w:p w:rsidR="001B46DA" w:rsidRPr="00745001" w:rsidRDefault="001B46DA">
    <w:pPr>
      <w:pStyle w:val="Footer"/>
      <w:rPr>
        <w:rFonts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DA" w:rsidRPr="00381801" w:rsidRDefault="001B46DA">
    <w:pPr>
      <w:pStyle w:val="Footer"/>
      <w:jc w:val="center"/>
      <w:rPr>
        <w:rFonts w:cs="Times New Roman"/>
        <w:szCs w:val="24"/>
      </w:rPr>
    </w:pPr>
  </w:p>
  <w:p w:rsidR="001B46DA" w:rsidRDefault="001B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DE" w:rsidRDefault="000E59DE" w:rsidP="00C56B8A">
      <w:pPr>
        <w:spacing w:after="0" w:line="240" w:lineRule="auto"/>
      </w:pPr>
      <w:r>
        <w:separator/>
      </w:r>
    </w:p>
  </w:footnote>
  <w:footnote w:type="continuationSeparator" w:id="0">
    <w:p w:rsidR="000E59DE" w:rsidRDefault="000E59DE" w:rsidP="00C56B8A">
      <w:pPr>
        <w:spacing w:after="0" w:line="240" w:lineRule="auto"/>
      </w:pPr>
      <w:r>
        <w:continuationSeparator/>
      </w:r>
    </w:p>
  </w:footnote>
  <w:footnote w:id="1">
    <w:p w:rsidR="00C3650E" w:rsidRDefault="00C3650E" w:rsidP="00C3650E">
      <w:pPr>
        <w:pStyle w:val="FootnoteText"/>
      </w:pPr>
      <w:r>
        <w:rPr>
          <w:rStyle w:val="FootnoteReference"/>
        </w:rPr>
        <w:footnoteRef/>
      </w:r>
      <w:r>
        <w:t xml:space="preserve"> OCC files this memorandum contra pursuant to Ohio Adm. Code 4901-1-12(B)(1).</w:t>
      </w:r>
    </w:p>
  </w:footnote>
  <w:footnote w:id="2">
    <w:p w:rsidR="001B46DA" w:rsidRPr="0087704B" w:rsidRDefault="001B46DA" w:rsidP="0015151A">
      <w:pPr>
        <w:pStyle w:val="FootnoteText"/>
        <w:rPr>
          <w:rFonts w:cs="Times New Roman"/>
        </w:rPr>
      </w:pPr>
      <w:r w:rsidRPr="0087704B">
        <w:rPr>
          <w:rStyle w:val="FootnoteReference"/>
          <w:rFonts w:cs="Times New Roman"/>
        </w:rPr>
        <w:footnoteRef/>
      </w:r>
      <w:r w:rsidRPr="0087704B">
        <w:rPr>
          <w:rFonts w:cs="Times New Roman"/>
          <w:i/>
        </w:rPr>
        <w:t>See</w:t>
      </w:r>
      <w:r>
        <w:rPr>
          <w:rFonts w:cs="Times New Roman"/>
          <w:i/>
        </w:rPr>
        <w:t xml:space="preserve"> </w:t>
      </w:r>
      <w:r w:rsidRPr="0087704B">
        <w:rPr>
          <w:rFonts w:cs="Times New Roman"/>
          <w:i/>
        </w:rPr>
        <w:t>In the Matter of the Commission’s Consideration of Solutions Concerning the Disconnection of Gas and Electric Service in Winter Emergencies for the 2015-2016 Winter Heating Season</w:t>
      </w:r>
      <w:r w:rsidRPr="0087704B">
        <w:rPr>
          <w:rFonts w:cs="Times New Roman"/>
        </w:rPr>
        <w:t>, Case No. 15-1460-GE-UNC, Entry on Rehearing (October 28, 2015) at 5.</w:t>
      </w:r>
    </w:p>
  </w:footnote>
  <w:footnote w:id="3">
    <w:p w:rsidR="001936C7" w:rsidRDefault="001936C7">
      <w:pPr>
        <w:pStyle w:val="FootnoteText"/>
      </w:pPr>
      <w:r>
        <w:rPr>
          <w:rStyle w:val="FootnoteReference"/>
        </w:rPr>
        <w:footnoteRef/>
      </w:r>
      <w:r>
        <w:t xml:space="preserve"> Duke also filed a public version of the brief with the alleged confidential portions redacted.</w:t>
      </w:r>
    </w:p>
  </w:footnote>
  <w:footnote w:id="4">
    <w:p w:rsidR="009764FC" w:rsidRDefault="009764FC" w:rsidP="009764FC">
      <w:pPr>
        <w:pStyle w:val="FootnoteText"/>
      </w:pPr>
      <w:r>
        <w:rPr>
          <w:rStyle w:val="FootnoteReference"/>
        </w:rPr>
        <w:footnoteRef/>
      </w:r>
      <w:r>
        <w:t xml:space="preserve"> At the hearing in this case, the Attorney Examiner deferred ruling on motions for protection until a future time.</w:t>
      </w:r>
      <w:r w:rsidR="00025875">
        <w:t xml:space="preserve">  </w:t>
      </w:r>
    </w:p>
  </w:footnote>
  <w:footnote w:id="5">
    <w:p w:rsidR="0015151A" w:rsidRDefault="0015151A" w:rsidP="0015151A">
      <w:pPr>
        <w:pStyle w:val="FootnoteText"/>
      </w:pPr>
      <w:r>
        <w:rPr>
          <w:rStyle w:val="FootnoteReference"/>
        </w:rPr>
        <w:footnoteRef/>
      </w:r>
      <w:r>
        <w:t xml:space="preserve"> Ohio Adm. Code 4901-1-24(D).  </w:t>
      </w:r>
    </w:p>
  </w:footnote>
  <w:footnote w:id="6">
    <w:p w:rsidR="001B46DA" w:rsidRDefault="001B46DA" w:rsidP="0015151A">
      <w:pPr>
        <w:pStyle w:val="FootnoteText"/>
      </w:pPr>
      <w:r>
        <w:rPr>
          <w:rStyle w:val="FootnoteReference"/>
        </w:rPr>
        <w:footnoteRef/>
      </w:r>
      <w:r>
        <w:t xml:space="preserve"> </w:t>
      </w:r>
      <w:r w:rsidRPr="0072735C">
        <w:rPr>
          <w:i/>
        </w:rPr>
        <w:t>See In the Matter of the Application of The Cleveland Electric Illumination Company for Approval of an Electric Service Agreement with American Steel &amp; Wire Corp.</w:t>
      </w:r>
      <w:r w:rsidRPr="0072735C">
        <w:t>, Case No. 95-77-EL-AEC, Supplemental Entry on Rehearing (September 6, 1995) at 3.</w:t>
      </w:r>
    </w:p>
  </w:footnote>
  <w:footnote w:id="7">
    <w:p w:rsidR="001B46DA" w:rsidRDefault="001B46DA" w:rsidP="0015151A">
      <w:pPr>
        <w:pStyle w:val="FootnoteText"/>
      </w:pPr>
      <w:r>
        <w:rPr>
          <w:rStyle w:val="FootnoteReference"/>
        </w:rPr>
        <w:footnoteRef/>
      </w:r>
      <w:r>
        <w:t xml:space="preserve"> </w:t>
      </w:r>
      <w:r w:rsidRPr="00993F4F">
        <w:rPr>
          <w:i/>
        </w:rPr>
        <w:t>In the Matter of the Application of The Ohio Bell Telephone Company for Approval of an Alternative Form of Regulation</w:t>
      </w:r>
      <w:r w:rsidRPr="00993F4F">
        <w:t xml:space="preserve">, Case No. 93-487-TP-ALT, Entry (November 25, 2003) Entry (“93-487 Entry”) at 3, citing </w:t>
      </w:r>
      <w:r w:rsidRPr="00993F4F">
        <w:rPr>
          <w:i/>
        </w:rPr>
        <w:t xml:space="preserve">State ex rel Williams v. Cleveland, </w:t>
      </w:r>
      <w:r w:rsidRPr="00993F4F">
        <w:t xml:space="preserve">64 Ohio St.3d 544 (1992) and </w:t>
      </w:r>
      <w:r w:rsidRPr="00993F4F">
        <w:rPr>
          <w:i/>
        </w:rPr>
        <w:t>State ex rel. The Plain Dealer v. Ohio Dept. of Ins.</w:t>
      </w:r>
      <w:r w:rsidRPr="00993F4F">
        <w:t xml:space="preserve">, </w:t>
      </w:r>
      <w:r w:rsidR="00A65E3F" w:rsidRPr="000D5AEA">
        <w:rPr>
          <w:rFonts w:eastAsia="Times New Roman" w:cs="Times New Roman"/>
          <w:szCs w:val="24"/>
        </w:rPr>
        <w:t xml:space="preserve">1997-Ohio-75, </w:t>
      </w:r>
      <w:r w:rsidRPr="00993F4F">
        <w:t>80 Ohio St.3d 513, 518</w:t>
      </w:r>
      <w:r w:rsidR="00A65E3F">
        <w:t xml:space="preserve">, </w:t>
      </w:r>
      <w:r w:rsidR="00A65E3F">
        <w:rPr>
          <w:rFonts w:eastAsia="Times New Roman" w:cs="Times New Roman"/>
          <w:szCs w:val="24"/>
        </w:rPr>
        <w:t>687 N.E.2d 661</w:t>
      </w:r>
      <w:r w:rsidRPr="00993F4F">
        <w:t xml:space="preserve"> (1997). </w:t>
      </w:r>
      <w:r w:rsidRPr="00025875">
        <w:rPr>
          <w:i/>
        </w:rPr>
        <w:t>See also</w:t>
      </w:r>
      <w:r w:rsidRPr="00993F4F">
        <w:t xml:space="preserve"> </w:t>
      </w:r>
      <w:r w:rsidRPr="00993F4F">
        <w:rPr>
          <w:i/>
        </w:rPr>
        <w:t>In the Matter of the Application of Cincinnati Bell Any Distance, Inc. for New Operating Authority</w:t>
      </w:r>
      <w:r w:rsidRPr="00993F4F">
        <w:t>, Case No. 07-539-TP-ACE, Entry (June 1, 2007) at 1.</w:t>
      </w:r>
    </w:p>
  </w:footnote>
  <w:footnote w:id="8">
    <w:p w:rsidR="001B46DA" w:rsidRDefault="001B46DA" w:rsidP="0015151A">
      <w:pPr>
        <w:pStyle w:val="FootnoteText"/>
      </w:pPr>
      <w:r>
        <w:rPr>
          <w:rStyle w:val="FootnoteReference"/>
        </w:rPr>
        <w:footnoteRef/>
      </w:r>
      <w:r>
        <w:t xml:space="preserve"> </w:t>
      </w:r>
      <w:r w:rsidRPr="00993F4F">
        <w:t>93-487 Entry at 3.</w:t>
      </w:r>
    </w:p>
  </w:footnote>
  <w:footnote w:id="9">
    <w:p w:rsidR="001B46DA" w:rsidRDefault="001B46DA" w:rsidP="0015151A">
      <w:pPr>
        <w:pStyle w:val="FootnoteText"/>
      </w:pPr>
      <w:r>
        <w:rPr>
          <w:rStyle w:val="FootnoteReference"/>
        </w:rPr>
        <w:footnoteRef/>
      </w:r>
      <w:r>
        <w:t xml:space="preserve"> </w:t>
      </w:r>
      <w:r w:rsidRPr="00993F4F">
        <w:rPr>
          <w:i/>
        </w:rPr>
        <w:t>In the Matter of the Joint Application of the Ohio Bell Telephone Company and Ameritech Mobile Services, Inc. for Approval of the Transfer of Certain Assets</w:t>
      </w:r>
      <w:r w:rsidRPr="00993F4F">
        <w:t>, Case No. 89-365-RC-ATR, Opinion and Order (October 18, 1990), 1990 Ohio PUC LEXIS 1138 at *5.</w:t>
      </w:r>
    </w:p>
  </w:footnote>
  <w:footnote w:id="10">
    <w:p w:rsidR="001B46DA" w:rsidRDefault="001B46DA" w:rsidP="0015151A">
      <w:pPr>
        <w:pStyle w:val="FootnoteText"/>
      </w:pPr>
      <w:r>
        <w:rPr>
          <w:rStyle w:val="FootnoteReference"/>
        </w:rPr>
        <w:footnoteRef/>
      </w:r>
      <w:r>
        <w:t xml:space="preserve"> </w:t>
      </w:r>
      <w:r w:rsidRPr="00993F4F">
        <w:t>R.C. 149.43(A)(1)(v).</w:t>
      </w:r>
    </w:p>
  </w:footnote>
  <w:footnote w:id="11">
    <w:p w:rsidR="00127062" w:rsidRDefault="00127062">
      <w:pPr>
        <w:pStyle w:val="FootnoteText"/>
      </w:pPr>
      <w:r>
        <w:rPr>
          <w:rStyle w:val="FootnoteReference"/>
        </w:rPr>
        <w:footnoteRef/>
      </w:r>
      <w:r>
        <w:t xml:space="preserve"> Motions at 4.</w:t>
      </w:r>
    </w:p>
  </w:footnote>
  <w:footnote w:id="12">
    <w:p w:rsidR="00127062" w:rsidRDefault="00127062">
      <w:pPr>
        <w:pStyle w:val="FootnoteText"/>
      </w:pPr>
      <w:r>
        <w:rPr>
          <w:rStyle w:val="FootnoteReference"/>
        </w:rPr>
        <w:footnoteRef/>
      </w:r>
      <w:r>
        <w:t xml:space="preserve"> Id.</w:t>
      </w:r>
    </w:p>
  </w:footnote>
  <w:footnote w:id="13">
    <w:p w:rsidR="00ED342A" w:rsidRDefault="00ED342A" w:rsidP="00ED342A">
      <w:pPr>
        <w:pStyle w:val="FootnoteText"/>
      </w:pPr>
      <w:r>
        <w:rPr>
          <w:rStyle w:val="FootnoteReference"/>
        </w:rPr>
        <w:footnoteRef/>
      </w:r>
      <w:r>
        <w:t xml:space="preserve"> </w:t>
      </w:r>
      <w:r w:rsidR="006D2F9C">
        <w:t>Brief Motion at 5</w:t>
      </w:r>
      <w:r>
        <w:t>.</w:t>
      </w:r>
    </w:p>
  </w:footnote>
  <w:footnote w:id="14">
    <w:p w:rsidR="006D2F9C" w:rsidRDefault="006D2F9C">
      <w:pPr>
        <w:pStyle w:val="FootnoteText"/>
      </w:pPr>
      <w:r>
        <w:rPr>
          <w:rStyle w:val="FootnoteReference"/>
        </w:rPr>
        <w:footnoteRef/>
      </w:r>
      <w:r>
        <w:t xml:space="preserve"> Transcript Motion at 5.</w:t>
      </w:r>
    </w:p>
  </w:footnote>
  <w:footnote w:id="15">
    <w:p w:rsidR="00ED342A" w:rsidRDefault="00ED342A" w:rsidP="00ED342A">
      <w:pPr>
        <w:pStyle w:val="FootnoteText"/>
      </w:pPr>
      <w:r>
        <w:rPr>
          <w:rStyle w:val="FootnoteReference"/>
        </w:rPr>
        <w:footnoteRef/>
      </w:r>
      <w:r>
        <w:t xml:space="preserve"> </w:t>
      </w:r>
      <w:r w:rsidRPr="002E2140">
        <w:rPr>
          <w:i/>
        </w:rPr>
        <w:t>In the Matter of the Five-Year Review of Natural Gas Company Uncollectible</w:t>
      </w:r>
      <w:r>
        <w:rPr>
          <w:i/>
        </w:rPr>
        <w:t xml:space="preserve"> Riders, </w:t>
      </w:r>
      <w:r>
        <w:t>Case No. 08-1229-GA-COI.</w:t>
      </w:r>
    </w:p>
  </w:footnote>
  <w:footnote w:id="16">
    <w:p w:rsidR="00ED342A" w:rsidRDefault="00ED342A" w:rsidP="00ED342A">
      <w:pPr>
        <w:pStyle w:val="FootnoteText"/>
      </w:pPr>
      <w:r>
        <w:rPr>
          <w:rStyle w:val="FootnoteReference"/>
        </w:rPr>
        <w:footnoteRef/>
      </w:r>
      <w:r>
        <w:t xml:space="preserve"> </w:t>
      </w:r>
      <w:r w:rsidRPr="00B54F54">
        <w:rPr>
          <w:i/>
        </w:rPr>
        <w:t>Id</w:t>
      </w:r>
      <w:r>
        <w:t>., Duke Motion for Protective Order (May 5, 2010) at 3.</w:t>
      </w:r>
    </w:p>
  </w:footnote>
  <w:footnote w:id="17">
    <w:p w:rsidR="00ED342A" w:rsidRDefault="00ED342A" w:rsidP="00ED342A">
      <w:pPr>
        <w:pStyle w:val="FootnoteText"/>
      </w:pPr>
      <w:r>
        <w:rPr>
          <w:rStyle w:val="FootnoteReference"/>
        </w:rPr>
        <w:footnoteRef/>
      </w:r>
      <w:r>
        <w:t xml:space="preserve"> </w:t>
      </w:r>
      <w:r w:rsidRPr="00B54F54">
        <w:rPr>
          <w:i/>
        </w:rPr>
        <w:t>Id</w:t>
      </w:r>
      <w:r>
        <w:t>.</w:t>
      </w:r>
    </w:p>
  </w:footnote>
  <w:footnote w:id="18">
    <w:p w:rsidR="00ED342A" w:rsidRDefault="00ED342A" w:rsidP="00ED342A">
      <w:pPr>
        <w:pStyle w:val="FootnoteText"/>
      </w:pPr>
      <w:r>
        <w:rPr>
          <w:rStyle w:val="FootnoteReference"/>
        </w:rPr>
        <w:footnoteRef/>
      </w:r>
      <w:r>
        <w:t xml:space="preserve"> </w:t>
      </w:r>
      <w:r w:rsidRPr="00B54F54">
        <w:rPr>
          <w:i/>
        </w:rPr>
        <w:t>Id</w:t>
      </w:r>
      <w:r>
        <w:t>. at 4.</w:t>
      </w:r>
    </w:p>
  </w:footnote>
  <w:footnote w:id="19">
    <w:p w:rsidR="00ED342A" w:rsidRDefault="00ED342A" w:rsidP="00ED342A">
      <w:pPr>
        <w:pStyle w:val="FootnoteText"/>
      </w:pPr>
      <w:r>
        <w:rPr>
          <w:rStyle w:val="FootnoteReference"/>
        </w:rPr>
        <w:footnoteRef/>
      </w:r>
      <w:r>
        <w:t xml:space="preserve"> </w:t>
      </w:r>
      <w:r w:rsidRPr="00B54F54">
        <w:rPr>
          <w:i/>
        </w:rPr>
        <w:t>Id</w:t>
      </w:r>
      <w:r>
        <w:t>.</w:t>
      </w:r>
    </w:p>
  </w:footnote>
  <w:footnote w:id="20">
    <w:p w:rsidR="00ED342A" w:rsidRDefault="00ED342A" w:rsidP="00ED342A">
      <w:pPr>
        <w:pStyle w:val="FootnoteText"/>
      </w:pPr>
      <w:r>
        <w:rPr>
          <w:rStyle w:val="FootnoteReference"/>
        </w:rPr>
        <w:footnoteRef/>
      </w:r>
      <w:r>
        <w:t xml:space="preserve"> </w:t>
      </w:r>
      <w:r w:rsidRPr="00B54F54">
        <w:rPr>
          <w:i/>
        </w:rPr>
        <w:t>Id</w:t>
      </w:r>
      <w:r>
        <w:t>., Entry (November 3, 2010) at 4.</w:t>
      </w:r>
    </w:p>
  </w:footnote>
  <w:footnote w:id="21">
    <w:p w:rsidR="00CA48A4" w:rsidRDefault="00CA48A4">
      <w:pPr>
        <w:pStyle w:val="FootnoteText"/>
      </w:pPr>
      <w:r>
        <w:rPr>
          <w:rStyle w:val="FootnoteReference"/>
        </w:rPr>
        <w:footnoteRef/>
      </w:r>
      <w:r>
        <w:t xml:space="preserve"> Motions at 5.</w:t>
      </w:r>
    </w:p>
  </w:footnote>
  <w:footnote w:id="22">
    <w:p w:rsidR="00E20014" w:rsidRPr="00E20014" w:rsidRDefault="00E20014">
      <w:pPr>
        <w:pStyle w:val="FootnoteText"/>
      </w:pPr>
      <w:r>
        <w:rPr>
          <w:rStyle w:val="FootnoteReference"/>
        </w:rPr>
        <w:footnoteRef/>
      </w:r>
      <w:r>
        <w:t xml:space="preserve"> </w:t>
      </w:r>
      <w:r>
        <w:rPr>
          <w:i/>
        </w:rPr>
        <w:t>Id.</w:t>
      </w:r>
      <w:r>
        <w:t xml:space="preserve"> at 4.</w:t>
      </w:r>
    </w:p>
  </w:footnote>
  <w:footnote w:id="23">
    <w:p w:rsidR="003B14C1" w:rsidRDefault="003B14C1" w:rsidP="003B14C1">
      <w:pPr>
        <w:pStyle w:val="FootnoteText"/>
      </w:pPr>
      <w:r>
        <w:rPr>
          <w:rStyle w:val="FootnoteReference"/>
        </w:rPr>
        <w:footnoteRef/>
      </w:r>
      <w:r>
        <w:t xml:space="preserve"> </w:t>
      </w:r>
      <w:r w:rsidRPr="00943DC6">
        <w:rPr>
          <w:i/>
          <w:szCs w:val="24"/>
        </w:rPr>
        <w:t>Valco Cincinnati, Inc. v. N &amp; D Machining Serv., Inc.</w:t>
      </w:r>
      <w:r w:rsidRPr="00E07368">
        <w:rPr>
          <w:szCs w:val="24"/>
        </w:rPr>
        <w:t xml:space="preserve">, 24 Ohio St. 3d 41, </w:t>
      </w:r>
      <w:r>
        <w:rPr>
          <w:szCs w:val="24"/>
        </w:rPr>
        <w:t>492 N.E.2d 814</w:t>
      </w:r>
      <w:r w:rsidRPr="00E07368">
        <w:rPr>
          <w:szCs w:val="24"/>
        </w:rPr>
        <w:t xml:space="preserve"> (1986)</w:t>
      </w:r>
      <w:r>
        <w:rPr>
          <w:szCs w:val="24"/>
        </w:rPr>
        <w:t>.</w:t>
      </w:r>
    </w:p>
  </w:footnote>
  <w:footnote w:id="24">
    <w:p w:rsidR="001B46DA" w:rsidRDefault="001B46DA" w:rsidP="0015151A">
      <w:pPr>
        <w:pStyle w:val="FootnoteText"/>
      </w:pPr>
      <w:r>
        <w:rPr>
          <w:rStyle w:val="FootnoteReference"/>
        </w:rPr>
        <w:footnoteRef/>
      </w:r>
      <w:r>
        <w:t xml:space="preserve"> </w:t>
      </w:r>
      <w:r w:rsidRPr="003C7952">
        <w:rPr>
          <w:i/>
          <w:szCs w:val="24"/>
        </w:rPr>
        <w:t>See</w:t>
      </w:r>
      <w:r w:rsidRPr="00400F17">
        <w:rPr>
          <w:szCs w:val="24"/>
        </w:rPr>
        <w:t xml:space="preserve"> </w:t>
      </w:r>
      <w:r>
        <w:rPr>
          <w:szCs w:val="24"/>
        </w:rPr>
        <w:t>Motion</w:t>
      </w:r>
      <w:r w:rsidR="00B800C6">
        <w:rPr>
          <w:szCs w:val="24"/>
        </w:rPr>
        <w:t>s</w:t>
      </w:r>
      <w:r>
        <w:rPr>
          <w:szCs w:val="24"/>
        </w:rPr>
        <w:t xml:space="preserve"> at </w:t>
      </w:r>
      <w:r w:rsidR="00B800C6">
        <w:rPr>
          <w:szCs w:val="24"/>
        </w:rPr>
        <w:t>4</w:t>
      </w:r>
      <w:r>
        <w:rPr>
          <w:szCs w:val="24"/>
        </w:rPr>
        <w:t>, n.</w:t>
      </w:r>
      <w:r w:rsidR="00B800C6">
        <w:rPr>
          <w:szCs w:val="24"/>
        </w:rPr>
        <w:t>2</w:t>
      </w:r>
      <w:r>
        <w:rPr>
          <w:szCs w:val="24"/>
        </w:rPr>
        <w:t xml:space="preserve">.  </w:t>
      </w:r>
    </w:p>
  </w:footnote>
  <w:footnote w:id="25">
    <w:p w:rsidR="003B14C1" w:rsidRDefault="003B14C1" w:rsidP="003B14C1">
      <w:pPr>
        <w:pStyle w:val="FootnoteText"/>
      </w:pPr>
      <w:r>
        <w:rPr>
          <w:rStyle w:val="FootnoteReference"/>
        </w:rPr>
        <w:footnoteRef/>
      </w:r>
      <w:r>
        <w:t xml:space="preserve"> </w:t>
      </w:r>
      <w:r w:rsidRPr="00943DC6">
        <w:rPr>
          <w:i/>
          <w:szCs w:val="24"/>
        </w:rPr>
        <w:t>Valco Cincinnati</w:t>
      </w:r>
      <w:r w:rsidRPr="00E07368">
        <w:rPr>
          <w:szCs w:val="24"/>
        </w:rPr>
        <w:t xml:space="preserve">, 24 Ohio St. 3d </w:t>
      </w:r>
      <w:r>
        <w:rPr>
          <w:szCs w:val="24"/>
        </w:rPr>
        <w:t>at</w:t>
      </w:r>
      <w:r w:rsidRPr="00E07368">
        <w:rPr>
          <w:szCs w:val="24"/>
        </w:rPr>
        <w:t xml:space="preserve"> 46, 492 N.E.2d </w:t>
      </w:r>
      <w:r>
        <w:rPr>
          <w:szCs w:val="24"/>
        </w:rPr>
        <w:t>at</w:t>
      </w:r>
      <w:r w:rsidRPr="00E07368">
        <w:rPr>
          <w:szCs w:val="24"/>
        </w:rPr>
        <w:t xml:space="preserve"> 819</w:t>
      </w:r>
      <w:r>
        <w:rPr>
          <w:szCs w:val="24"/>
        </w:rPr>
        <w:t>.</w:t>
      </w:r>
    </w:p>
  </w:footnote>
  <w:footnote w:id="26">
    <w:p w:rsidR="00204241" w:rsidRDefault="00204241" w:rsidP="00204241">
      <w:pPr>
        <w:pStyle w:val="FootnoteText"/>
      </w:pPr>
      <w:r>
        <w:rPr>
          <w:rStyle w:val="FootnoteReference"/>
        </w:rPr>
        <w:footnoteRef/>
      </w:r>
      <w:r>
        <w:t xml:space="preserve"> </w:t>
      </w:r>
      <w:r w:rsidRPr="00943DC6">
        <w:rPr>
          <w:rFonts w:eastAsia="Times New Roman" w:cs="Times New Roman"/>
          <w:i/>
          <w:szCs w:val="24"/>
        </w:rPr>
        <w:t>State ex re</w:t>
      </w:r>
      <w:r>
        <w:rPr>
          <w:rFonts w:eastAsia="Times New Roman" w:cs="Times New Roman"/>
          <w:i/>
          <w:szCs w:val="24"/>
        </w:rPr>
        <w:t>l. The Plain Dealer v. Ohio Dep’</w:t>
      </w:r>
      <w:r w:rsidRPr="00943DC6">
        <w:rPr>
          <w:rFonts w:eastAsia="Times New Roman" w:cs="Times New Roman"/>
          <w:i/>
          <w:szCs w:val="24"/>
        </w:rPr>
        <w:t>t of Ins.</w:t>
      </w:r>
      <w:r w:rsidRPr="000D5AEA">
        <w:rPr>
          <w:rFonts w:eastAsia="Times New Roman" w:cs="Times New Roman"/>
          <w:szCs w:val="24"/>
        </w:rPr>
        <w:t xml:space="preserve">, 1997-Ohio-75, 80 Ohio St. 3d 513, </w:t>
      </w:r>
      <w:r>
        <w:rPr>
          <w:rFonts w:eastAsia="Times New Roman" w:cs="Times New Roman"/>
          <w:szCs w:val="24"/>
        </w:rPr>
        <w:t>687 N.E.2d 661.</w:t>
      </w:r>
    </w:p>
  </w:footnote>
  <w:footnote w:id="27">
    <w:p w:rsidR="001B46DA" w:rsidRDefault="001B46DA" w:rsidP="0015151A">
      <w:pPr>
        <w:pStyle w:val="FootnoteText"/>
      </w:pPr>
      <w:r>
        <w:rPr>
          <w:rStyle w:val="FootnoteReference"/>
        </w:rPr>
        <w:footnoteRef/>
      </w:r>
      <w:r>
        <w:t xml:space="preserve"> </w:t>
      </w:r>
      <w:r w:rsidR="003B14C1">
        <w:rPr>
          <w:szCs w:val="24"/>
        </w:rPr>
        <w:t>Motion</w:t>
      </w:r>
      <w:r w:rsidR="00B800C6">
        <w:rPr>
          <w:szCs w:val="24"/>
        </w:rPr>
        <w:t>s</w:t>
      </w:r>
      <w:r w:rsidR="003B14C1">
        <w:rPr>
          <w:szCs w:val="24"/>
        </w:rPr>
        <w:t xml:space="preserve"> at </w:t>
      </w:r>
      <w:r w:rsidR="00B800C6">
        <w:rPr>
          <w:szCs w:val="24"/>
        </w:rPr>
        <w:t>4</w:t>
      </w:r>
      <w:r w:rsidR="003B14C1">
        <w:rPr>
          <w:szCs w:val="24"/>
        </w:rPr>
        <w:t>, n.</w:t>
      </w:r>
      <w:r w:rsidR="00B800C6">
        <w:rPr>
          <w:szCs w:val="24"/>
        </w:rPr>
        <w:t>2</w:t>
      </w:r>
      <w:r>
        <w:rPr>
          <w:szCs w:val="24"/>
        </w:rPr>
        <w:t xml:space="preserve">.  </w:t>
      </w:r>
    </w:p>
  </w:footnote>
  <w:footnote w:id="28">
    <w:p w:rsidR="00204241" w:rsidRDefault="00204241">
      <w:pPr>
        <w:pStyle w:val="FootnoteText"/>
      </w:pPr>
      <w:r>
        <w:rPr>
          <w:rStyle w:val="FootnoteReference"/>
        </w:rPr>
        <w:footnoteRef/>
      </w:r>
      <w:r>
        <w:t xml:space="preserve"> </w:t>
      </w:r>
      <w:r w:rsidRPr="00943DC6">
        <w:rPr>
          <w:rFonts w:eastAsia="Times New Roman" w:cs="Times New Roman"/>
          <w:i/>
          <w:szCs w:val="24"/>
        </w:rPr>
        <w:t>State ex rel. The Plain Dealer</w:t>
      </w:r>
      <w:r>
        <w:rPr>
          <w:rFonts w:eastAsia="Times New Roman" w:cs="Times New Roman"/>
          <w:i/>
          <w:szCs w:val="24"/>
        </w:rPr>
        <w:t>,</w:t>
      </w:r>
      <w:r w:rsidRPr="00943DC6">
        <w:rPr>
          <w:rFonts w:eastAsia="Times New Roman" w:cs="Times New Roman"/>
          <w:i/>
          <w:szCs w:val="24"/>
        </w:rPr>
        <w:t xml:space="preserve"> </w:t>
      </w:r>
      <w:r w:rsidRPr="000D5AEA">
        <w:rPr>
          <w:rFonts w:eastAsia="Times New Roman" w:cs="Times New Roman"/>
          <w:szCs w:val="24"/>
        </w:rPr>
        <w:t xml:space="preserve">80 Ohio St. 3d </w:t>
      </w:r>
      <w:r>
        <w:rPr>
          <w:rFonts w:eastAsia="Times New Roman" w:cs="Times New Roman"/>
          <w:szCs w:val="24"/>
        </w:rPr>
        <w:t>at</w:t>
      </w:r>
      <w:r w:rsidRPr="000D5AEA">
        <w:rPr>
          <w:rFonts w:eastAsia="Times New Roman" w:cs="Times New Roman"/>
          <w:szCs w:val="24"/>
        </w:rPr>
        <w:t xml:space="preserve"> 526, 687 N.E.2d </w:t>
      </w:r>
      <w:r>
        <w:rPr>
          <w:rFonts w:eastAsia="Times New Roman" w:cs="Times New Roman"/>
          <w:szCs w:val="24"/>
        </w:rPr>
        <w:t>at</w:t>
      </w:r>
      <w:r w:rsidRPr="000D5AEA">
        <w:rPr>
          <w:rFonts w:eastAsia="Times New Roman" w:cs="Times New Roman"/>
          <w:szCs w:val="24"/>
        </w:rPr>
        <w:t xml:space="preserve"> 673</w:t>
      </w:r>
      <w:r>
        <w:rPr>
          <w:rFonts w:eastAsia="Times New Roman" w:cs="Times New Roman"/>
          <w:szCs w:val="24"/>
        </w:rPr>
        <w:t>.</w:t>
      </w:r>
    </w:p>
  </w:footnote>
  <w:footnote w:id="29">
    <w:p w:rsidR="00204241" w:rsidRDefault="00204241" w:rsidP="00204241">
      <w:pPr>
        <w:pStyle w:val="FootnoteText"/>
      </w:pPr>
      <w:r>
        <w:rPr>
          <w:rStyle w:val="FootnoteReference"/>
        </w:rPr>
        <w:footnoteRef/>
      </w:r>
      <w:r>
        <w:t xml:space="preserve"> </w:t>
      </w:r>
      <w:r w:rsidRPr="00400F17">
        <w:rPr>
          <w:i/>
        </w:rPr>
        <w:t>State ex rel. Besser v. Ohio State Univ.</w:t>
      </w:r>
      <w:r w:rsidRPr="00400F17">
        <w:t xml:space="preserve">, 2000-Ohio-207, 89 Ohio St. 3d 396, </w:t>
      </w:r>
      <w:r w:rsidR="000B4BCB">
        <w:t>732 N.E.2d 373.</w:t>
      </w:r>
    </w:p>
  </w:footnote>
  <w:footnote w:id="30">
    <w:p w:rsidR="001B46DA" w:rsidRDefault="001B46DA" w:rsidP="0015151A">
      <w:pPr>
        <w:pStyle w:val="FootnoteText"/>
      </w:pPr>
      <w:r>
        <w:rPr>
          <w:rStyle w:val="FootnoteReference"/>
        </w:rPr>
        <w:footnoteRef/>
      </w:r>
      <w:r>
        <w:t xml:space="preserve"> </w:t>
      </w:r>
      <w:r w:rsidR="00204241">
        <w:rPr>
          <w:szCs w:val="24"/>
        </w:rPr>
        <w:t>Motion</w:t>
      </w:r>
      <w:r w:rsidR="00B800C6">
        <w:rPr>
          <w:szCs w:val="24"/>
        </w:rPr>
        <w:t>s</w:t>
      </w:r>
      <w:r w:rsidR="00204241">
        <w:rPr>
          <w:szCs w:val="24"/>
        </w:rPr>
        <w:t xml:space="preserve"> at </w:t>
      </w:r>
      <w:r w:rsidR="00B800C6">
        <w:rPr>
          <w:szCs w:val="24"/>
        </w:rPr>
        <w:t>4</w:t>
      </w:r>
      <w:r w:rsidR="00204241">
        <w:rPr>
          <w:szCs w:val="24"/>
        </w:rPr>
        <w:t>, n.</w:t>
      </w:r>
      <w:r w:rsidR="00B800C6">
        <w:rPr>
          <w:szCs w:val="24"/>
        </w:rPr>
        <w:t>2</w:t>
      </w:r>
      <w:r>
        <w:t>.</w:t>
      </w:r>
    </w:p>
  </w:footnote>
  <w:footnote w:id="31">
    <w:p w:rsidR="001B46DA" w:rsidRDefault="001B46DA" w:rsidP="0015151A">
      <w:pPr>
        <w:widowControl w:val="0"/>
        <w:spacing w:after="120" w:line="240" w:lineRule="auto"/>
      </w:pPr>
      <w:r w:rsidRPr="00400F17">
        <w:rPr>
          <w:rStyle w:val="FootnoteReference"/>
          <w:sz w:val="20"/>
          <w:szCs w:val="20"/>
        </w:rPr>
        <w:footnoteRef/>
      </w:r>
      <w:r w:rsidRPr="00400F17">
        <w:rPr>
          <w:sz w:val="20"/>
          <w:szCs w:val="20"/>
        </w:rPr>
        <w:t xml:space="preserve"> </w:t>
      </w:r>
      <w:r w:rsidRPr="00400F17">
        <w:rPr>
          <w:i/>
          <w:sz w:val="20"/>
          <w:szCs w:val="20"/>
        </w:rPr>
        <w:t>State ex rel. Besser</w:t>
      </w:r>
      <w:r w:rsidR="000B4BCB">
        <w:rPr>
          <w:sz w:val="20"/>
          <w:szCs w:val="20"/>
        </w:rPr>
        <w:t>,</w:t>
      </w:r>
      <w:r w:rsidRPr="00400F17">
        <w:rPr>
          <w:i/>
          <w:sz w:val="20"/>
          <w:szCs w:val="20"/>
        </w:rPr>
        <w:t xml:space="preserve"> </w:t>
      </w:r>
      <w:r w:rsidRPr="00400F17">
        <w:rPr>
          <w:sz w:val="20"/>
          <w:szCs w:val="20"/>
        </w:rPr>
        <w:t xml:space="preserve">89 Ohio St. 3d </w:t>
      </w:r>
      <w:r w:rsidR="000B4BCB">
        <w:rPr>
          <w:sz w:val="20"/>
          <w:szCs w:val="20"/>
        </w:rPr>
        <w:t>at</w:t>
      </w:r>
      <w:r w:rsidRPr="00400F17">
        <w:rPr>
          <w:sz w:val="20"/>
          <w:szCs w:val="20"/>
        </w:rPr>
        <w:t xml:space="preserve"> 401, 732 N.E.2d </w:t>
      </w:r>
      <w:r w:rsidR="00430D41">
        <w:rPr>
          <w:sz w:val="20"/>
          <w:szCs w:val="20"/>
        </w:rPr>
        <w:t>at</w:t>
      </w:r>
      <w:r w:rsidRPr="00400F17">
        <w:rPr>
          <w:sz w:val="20"/>
          <w:szCs w:val="20"/>
        </w:rPr>
        <w:t xml:space="preserve"> 378.  </w:t>
      </w:r>
    </w:p>
  </w:footnote>
  <w:footnote w:id="32">
    <w:p w:rsidR="001B46DA" w:rsidRDefault="001B46DA" w:rsidP="0015151A">
      <w:pPr>
        <w:pStyle w:val="FootnoteText"/>
      </w:pPr>
      <w:r>
        <w:rPr>
          <w:rStyle w:val="FootnoteReference"/>
        </w:rPr>
        <w:footnoteRef/>
      </w:r>
      <w:r>
        <w:t xml:space="preserve"> </w:t>
      </w:r>
      <w:r>
        <w:rPr>
          <w:szCs w:val="24"/>
        </w:rPr>
        <w:t>Motion</w:t>
      </w:r>
      <w:r w:rsidR="00B800C6">
        <w:rPr>
          <w:szCs w:val="24"/>
        </w:rPr>
        <w:t>s</w:t>
      </w:r>
      <w:r>
        <w:rPr>
          <w:szCs w:val="24"/>
        </w:rPr>
        <w:t xml:space="preserve"> at </w:t>
      </w:r>
      <w:r w:rsidR="00B800C6">
        <w:rPr>
          <w:szCs w:val="24"/>
        </w:rPr>
        <w:t>4</w:t>
      </w:r>
      <w:r>
        <w:rPr>
          <w:szCs w:val="24"/>
        </w:rPr>
        <w:t>, n.</w:t>
      </w:r>
      <w:r w:rsidR="00B800C6">
        <w:rPr>
          <w:szCs w:val="24"/>
        </w:rPr>
        <w:t>3</w:t>
      </w:r>
      <w:r>
        <w:rPr>
          <w:szCs w:val="24"/>
        </w:rPr>
        <w:t xml:space="preserve">.  </w:t>
      </w:r>
    </w:p>
  </w:footnote>
  <w:footnote w:id="33">
    <w:p w:rsidR="001B46DA" w:rsidRDefault="001B46DA" w:rsidP="0015151A">
      <w:pPr>
        <w:pStyle w:val="FootnoteText"/>
      </w:pPr>
      <w:r>
        <w:rPr>
          <w:rStyle w:val="FootnoteReference"/>
        </w:rPr>
        <w:footnoteRef/>
      </w:r>
      <w:r>
        <w:t xml:space="preserve"> </w:t>
      </w:r>
      <w:r w:rsidRPr="008A1096">
        <w:rPr>
          <w:i/>
          <w:szCs w:val="24"/>
        </w:rPr>
        <w:t>In the Matter of the Investigative Audit of Northeast Ohio Natural Gas Corporation, Orwell Natural Gas Company, and Brainard Gas Corporation</w:t>
      </w:r>
      <w:r>
        <w:rPr>
          <w:szCs w:val="24"/>
        </w:rPr>
        <w:t>, Case No. 14-205-GA-COI</w:t>
      </w:r>
      <w:r w:rsidR="000B4BCB">
        <w:rPr>
          <w:szCs w:val="24"/>
        </w:rPr>
        <w:t xml:space="preserve"> (“</w:t>
      </w:r>
      <w:r w:rsidR="00A65E3F">
        <w:rPr>
          <w:szCs w:val="24"/>
        </w:rPr>
        <w:t xml:space="preserve">Case No. </w:t>
      </w:r>
      <w:r w:rsidR="000B4BCB">
        <w:rPr>
          <w:szCs w:val="24"/>
        </w:rPr>
        <w:t>14-205”)</w:t>
      </w:r>
      <w:r w:rsidR="00394146">
        <w:rPr>
          <w:szCs w:val="24"/>
        </w:rPr>
        <w:t>, Entry</w:t>
      </w:r>
      <w:r>
        <w:rPr>
          <w:szCs w:val="24"/>
        </w:rPr>
        <w:t xml:space="preserve"> (August 4, 2015)</w:t>
      </w:r>
      <w:r w:rsidR="00394146">
        <w:rPr>
          <w:szCs w:val="24"/>
        </w:rPr>
        <w:t>,</w:t>
      </w:r>
      <w:r w:rsidR="00394146" w:rsidRPr="00394146">
        <w:rPr>
          <w:szCs w:val="24"/>
        </w:rPr>
        <w:t xml:space="preserve"> </w:t>
      </w:r>
      <w:r w:rsidR="00394146" w:rsidRPr="008A1096">
        <w:rPr>
          <w:szCs w:val="24"/>
        </w:rPr>
        <w:t>¶</w:t>
      </w:r>
      <w:r w:rsidR="00394146">
        <w:rPr>
          <w:szCs w:val="24"/>
        </w:rPr>
        <w:t xml:space="preserve"> 10</w:t>
      </w:r>
      <w:r>
        <w:rPr>
          <w:szCs w:val="24"/>
        </w:rPr>
        <w:t>.</w:t>
      </w:r>
    </w:p>
  </w:footnote>
  <w:footnote w:id="34">
    <w:p w:rsidR="001B46DA" w:rsidRDefault="001B46DA" w:rsidP="0015151A">
      <w:pPr>
        <w:pStyle w:val="FootnoteText"/>
      </w:pPr>
      <w:r>
        <w:rPr>
          <w:rStyle w:val="FootnoteReference"/>
        </w:rPr>
        <w:footnoteRef/>
      </w:r>
      <w:r>
        <w:t xml:space="preserve"> </w:t>
      </w:r>
      <w:r w:rsidRPr="003C7952">
        <w:rPr>
          <w:i/>
        </w:rPr>
        <w:t>Id</w:t>
      </w:r>
      <w:r>
        <w:t>.</w:t>
      </w:r>
      <w:r w:rsidR="00394146">
        <w:t>, ¶ 4.</w:t>
      </w:r>
    </w:p>
  </w:footnote>
  <w:footnote w:id="35">
    <w:p w:rsidR="001B46DA" w:rsidRDefault="001B46DA" w:rsidP="0015151A">
      <w:pPr>
        <w:pStyle w:val="FootnoteText"/>
      </w:pPr>
      <w:r>
        <w:rPr>
          <w:rStyle w:val="FootnoteReference"/>
        </w:rPr>
        <w:footnoteRef/>
      </w:r>
      <w:r>
        <w:t xml:space="preserve"> </w:t>
      </w:r>
      <w:r w:rsidRPr="003C7952">
        <w:rPr>
          <w:i/>
        </w:rPr>
        <w:t>Id</w:t>
      </w:r>
      <w:r>
        <w:t>.</w:t>
      </w:r>
    </w:p>
  </w:footnote>
  <w:footnote w:id="36">
    <w:p w:rsidR="001B46DA" w:rsidRDefault="001B46DA" w:rsidP="0015151A">
      <w:pPr>
        <w:pStyle w:val="FootnoteText"/>
      </w:pPr>
      <w:r>
        <w:rPr>
          <w:rStyle w:val="FootnoteReference"/>
        </w:rPr>
        <w:footnoteRef/>
      </w:r>
      <w:r>
        <w:t xml:space="preserve"> </w:t>
      </w:r>
      <w:r w:rsidRPr="003C7952">
        <w:rPr>
          <w:i/>
        </w:rPr>
        <w:t>Id</w:t>
      </w:r>
      <w:r>
        <w:t>.</w:t>
      </w:r>
    </w:p>
  </w:footnote>
  <w:footnote w:id="37">
    <w:p w:rsidR="001B46DA" w:rsidRDefault="001B46DA" w:rsidP="0015151A">
      <w:pPr>
        <w:pStyle w:val="FootnoteText"/>
      </w:pPr>
      <w:r>
        <w:rPr>
          <w:rStyle w:val="FootnoteReference"/>
        </w:rPr>
        <w:footnoteRef/>
      </w:r>
      <w:r>
        <w:t xml:space="preserve"> Motion</w:t>
      </w:r>
      <w:r w:rsidR="00394146">
        <w:t>s</w:t>
      </w:r>
      <w:r>
        <w:t xml:space="preserve"> at </w:t>
      </w:r>
      <w:r w:rsidR="00394146">
        <w:t>4</w:t>
      </w:r>
      <w:r>
        <w:t>.</w:t>
      </w:r>
    </w:p>
  </w:footnote>
  <w:footnote w:id="38">
    <w:p w:rsidR="00D97C73" w:rsidRDefault="00D97C73" w:rsidP="00D97C73">
      <w:pPr>
        <w:pStyle w:val="FootnoteText"/>
      </w:pPr>
      <w:r>
        <w:rPr>
          <w:rStyle w:val="FootnoteReference"/>
        </w:rPr>
        <w:footnoteRef/>
      </w:r>
      <w:r>
        <w:t xml:space="preserve"> Brief Motion at 4; Transcript Motion at 5.</w:t>
      </w:r>
    </w:p>
  </w:footnote>
  <w:footnote w:id="39">
    <w:p w:rsidR="00D97C73" w:rsidRDefault="00D97C73" w:rsidP="00D97C73">
      <w:pPr>
        <w:pStyle w:val="FootnoteText"/>
      </w:pPr>
      <w:r>
        <w:rPr>
          <w:rStyle w:val="FootnoteReference"/>
        </w:rPr>
        <w:footnoteRef/>
      </w:r>
      <w:r>
        <w:t xml:space="preserve"> Motions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5C" w:rsidRDefault="00C22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5C" w:rsidRDefault="00C22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5C" w:rsidRDefault="00C22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746C"/>
    <w:lvl w:ilvl="0">
      <w:start w:val="1"/>
      <w:numFmt w:val="decimal"/>
      <w:lvlText w:val="%1."/>
      <w:lvlJc w:val="left"/>
      <w:pPr>
        <w:tabs>
          <w:tab w:val="num" w:pos="1800"/>
        </w:tabs>
        <w:ind w:left="1800" w:hanging="360"/>
      </w:pPr>
    </w:lvl>
  </w:abstractNum>
  <w:abstractNum w:abstractNumId="1">
    <w:nsid w:val="FFFFFF7D"/>
    <w:multiLevelType w:val="singleLevel"/>
    <w:tmpl w:val="92B23BDA"/>
    <w:lvl w:ilvl="0">
      <w:start w:val="1"/>
      <w:numFmt w:val="decimal"/>
      <w:lvlText w:val="%1."/>
      <w:lvlJc w:val="left"/>
      <w:pPr>
        <w:tabs>
          <w:tab w:val="num" w:pos="1440"/>
        </w:tabs>
        <w:ind w:left="1440" w:hanging="360"/>
      </w:pPr>
    </w:lvl>
  </w:abstractNum>
  <w:abstractNum w:abstractNumId="2">
    <w:nsid w:val="FFFFFF7E"/>
    <w:multiLevelType w:val="singleLevel"/>
    <w:tmpl w:val="F3BC21C4"/>
    <w:lvl w:ilvl="0">
      <w:start w:val="1"/>
      <w:numFmt w:val="decimal"/>
      <w:lvlText w:val="%1."/>
      <w:lvlJc w:val="left"/>
      <w:pPr>
        <w:tabs>
          <w:tab w:val="num" w:pos="1080"/>
        </w:tabs>
        <w:ind w:left="1080" w:hanging="360"/>
      </w:pPr>
    </w:lvl>
  </w:abstractNum>
  <w:abstractNum w:abstractNumId="3">
    <w:nsid w:val="FFFFFF7F"/>
    <w:multiLevelType w:val="singleLevel"/>
    <w:tmpl w:val="3F7CC162"/>
    <w:lvl w:ilvl="0">
      <w:start w:val="1"/>
      <w:numFmt w:val="decimal"/>
      <w:lvlText w:val="%1."/>
      <w:lvlJc w:val="left"/>
      <w:pPr>
        <w:tabs>
          <w:tab w:val="num" w:pos="720"/>
        </w:tabs>
        <w:ind w:left="720" w:hanging="360"/>
      </w:pPr>
    </w:lvl>
  </w:abstractNum>
  <w:abstractNum w:abstractNumId="4">
    <w:nsid w:val="FFFFFF80"/>
    <w:multiLevelType w:val="singleLevel"/>
    <w:tmpl w:val="D8B8B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EF4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2E1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C2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F85854"/>
    <w:lvl w:ilvl="0">
      <w:start w:val="1"/>
      <w:numFmt w:val="decimal"/>
      <w:lvlText w:val="%1."/>
      <w:lvlJc w:val="left"/>
      <w:pPr>
        <w:tabs>
          <w:tab w:val="num" w:pos="360"/>
        </w:tabs>
        <w:ind w:left="360" w:hanging="360"/>
      </w:pPr>
    </w:lvl>
  </w:abstractNum>
  <w:abstractNum w:abstractNumId="9">
    <w:nsid w:val="FFFFFF89"/>
    <w:multiLevelType w:val="singleLevel"/>
    <w:tmpl w:val="3AC04832"/>
    <w:lvl w:ilvl="0">
      <w:start w:val="1"/>
      <w:numFmt w:val="bullet"/>
      <w:lvlText w:val=""/>
      <w:lvlJc w:val="left"/>
      <w:pPr>
        <w:tabs>
          <w:tab w:val="num" w:pos="360"/>
        </w:tabs>
        <w:ind w:left="360" w:hanging="360"/>
      </w:pPr>
      <w:rPr>
        <w:rFonts w:ascii="Symbol" w:hAnsi="Symbol" w:hint="default"/>
      </w:rPr>
    </w:lvl>
  </w:abstractNum>
  <w:abstractNum w:abstractNumId="1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F5C7C"/>
    <w:multiLevelType w:val="hybridMultilevel"/>
    <w:tmpl w:val="D6AC04CA"/>
    <w:lvl w:ilvl="0" w:tplc="E698F2D8">
      <w:start w:val="1"/>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5598E"/>
    <w:multiLevelType w:val="hybridMultilevel"/>
    <w:tmpl w:val="E780B24C"/>
    <w:lvl w:ilvl="0" w:tplc="F5C2C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1"/>
  </w:num>
  <w:num w:numId="5">
    <w:abstractNumId w:val="14"/>
  </w:num>
  <w:num w:numId="6">
    <w:abstractNumId w:val="13"/>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1A9A"/>
    <w:rsid w:val="0000610E"/>
    <w:rsid w:val="000062CB"/>
    <w:rsid w:val="000066F4"/>
    <w:rsid w:val="00015480"/>
    <w:rsid w:val="000202EA"/>
    <w:rsid w:val="00024570"/>
    <w:rsid w:val="0002482F"/>
    <w:rsid w:val="00025875"/>
    <w:rsid w:val="000307F8"/>
    <w:rsid w:val="00030B0C"/>
    <w:rsid w:val="000327FB"/>
    <w:rsid w:val="00032B8F"/>
    <w:rsid w:val="000403CA"/>
    <w:rsid w:val="00041478"/>
    <w:rsid w:val="000448C4"/>
    <w:rsid w:val="000467E2"/>
    <w:rsid w:val="00046D87"/>
    <w:rsid w:val="00051898"/>
    <w:rsid w:val="000534D2"/>
    <w:rsid w:val="00060F44"/>
    <w:rsid w:val="000642AE"/>
    <w:rsid w:val="00066B7E"/>
    <w:rsid w:val="00070258"/>
    <w:rsid w:val="0008053C"/>
    <w:rsid w:val="0008222B"/>
    <w:rsid w:val="0008382A"/>
    <w:rsid w:val="00086425"/>
    <w:rsid w:val="000908D5"/>
    <w:rsid w:val="00092B3B"/>
    <w:rsid w:val="00092C2B"/>
    <w:rsid w:val="00094193"/>
    <w:rsid w:val="00094FA8"/>
    <w:rsid w:val="00097825"/>
    <w:rsid w:val="00097E31"/>
    <w:rsid w:val="000A0B22"/>
    <w:rsid w:val="000A4577"/>
    <w:rsid w:val="000B1D84"/>
    <w:rsid w:val="000B1DF0"/>
    <w:rsid w:val="000B2276"/>
    <w:rsid w:val="000B4BCB"/>
    <w:rsid w:val="000B525B"/>
    <w:rsid w:val="000B69D8"/>
    <w:rsid w:val="000B738E"/>
    <w:rsid w:val="000C0F30"/>
    <w:rsid w:val="000C11E3"/>
    <w:rsid w:val="000C2077"/>
    <w:rsid w:val="000C57DB"/>
    <w:rsid w:val="000C66D8"/>
    <w:rsid w:val="000D14C3"/>
    <w:rsid w:val="000D5AEA"/>
    <w:rsid w:val="000D5E86"/>
    <w:rsid w:val="000E1F91"/>
    <w:rsid w:val="000E3B53"/>
    <w:rsid w:val="000E4018"/>
    <w:rsid w:val="000E4B65"/>
    <w:rsid w:val="000E59DE"/>
    <w:rsid w:val="000E5F21"/>
    <w:rsid w:val="000F32C5"/>
    <w:rsid w:val="000F6958"/>
    <w:rsid w:val="000F6A88"/>
    <w:rsid w:val="00100245"/>
    <w:rsid w:val="00100E9E"/>
    <w:rsid w:val="001047CE"/>
    <w:rsid w:val="0011187B"/>
    <w:rsid w:val="0011200C"/>
    <w:rsid w:val="001173EF"/>
    <w:rsid w:val="00121DCC"/>
    <w:rsid w:val="00122AFE"/>
    <w:rsid w:val="00124F25"/>
    <w:rsid w:val="00127062"/>
    <w:rsid w:val="0012751C"/>
    <w:rsid w:val="00127BE1"/>
    <w:rsid w:val="001379F9"/>
    <w:rsid w:val="00140B1D"/>
    <w:rsid w:val="00140C08"/>
    <w:rsid w:val="00150092"/>
    <w:rsid w:val="00150590"/>
    <w:rsid w:val="0015151A"/>
    <w:rsid w:val="00155F2E"/>
    <w:rsid w:val="00157467"/>
    <w:rsid w:val="001609B2"/>
    <w:rsid w:val="0016571D"/>
    <w:rsid w:val="0017297D"/>
    <w:rsid w:val="001774D7"/>
    <w:rsid w:val="00177C76"/>
    <w:rsid w:val="001812EF"/>
    <w:rsid w:val="00181C6C"/>
    <w:rsid w:val="0019009A"/>
    <w:rsid w:val="001936C7"/>
    <w:rsid w:val="00194306"/>
    <w:rsid w:val="001A08DC"/>
    <w:rsid w:val="001A3DA3"/>
    <w:rsid w:val="001A3EC5"/>
    <w:rsid w:val="001B323C"/>
    <w:rsid w:val="001B46DA"/>
    <w:rsid w:val="001B4D3B"/>
    <w:rsid w:val="001B760D"/>
    <w:rsid w:val="001C23A4"/>
    <w:rsid w:val="001C542E"/>
    <w:rsid w:val="001C5B56"/>
    <w:rsid w:val="001D0117"/>
    <w:rsid w:val="001D0DF9"/>
    <w:rsid w:val="001D1975"/>
    <w:rsid w:val="001D2B6F"/>
    <w:rsid w:val="001D4338"/>
    <w:rsid w:val="001E1B69"/>
    <w:rsid w:val="001E2736"/>
    <w:rsid w:val="001E3461"/>
    <w:rsid w:val="001F00F3"/>
    <w:rsid w:val="001F2C20"/>
    <w:rsid w:val="001F4F46"/>
    <w:rsid w:val="001F6DF0"/>
    <w:rsid w:val="001F78D3"/>
    <w:rsid w:val="002019F9"/>
    <w:rsid w:val="00204241"/>
    <w:rsid w:val="00207C30"/>
    <w:rsid w:val="00210D0D"/>
    <w:rsid w:val="0021217E"/>
    <w:rsid w:val="002128C9"/>
    <w:rsid w:val="002153E4"/>
    <w:rsid w:val="00215CA7"/>
    <w:rsid w:val="00220950"/>
    <w:rsid w:val="00221F9E"/>
    <w:rsid w:val="00222FCE"/>
    <w:rsid w:val="00232502"/>
    <w:rsid w:val="002360ED"/>
    <w:rsid w:val="00236F18"/>
    <w:rsid w:val="00243F0C"/>
    <w:rsid w:val="00245412"/>
    <w:rsid w:val="00254454"/>
    <w:rsid w:val="00255592"/>
    <w:rsid w:val="002565DA"/>
    <w:rsid w:val="00261C3A"/>
    <w:rsid w:val="0026263D"/>
    <w:rsid w:val="00263B60"/>
    <w:rsid w:val="00271484"/>
    <w:rsid w:val="00274A80"/>
    <w:rsid w:val="00275EA5"/>
    <w:rsid w:val="002823A5"/>
    <w:rsid w:val="002823F9"/>
    <w:rsid w:val="00286C46"/>
    <w:rsid w:val="00291864"/>
    <w:rsid w:val="00291A67"/>
    <w:rsid w:val="002946F7"/>
    <w:rsid w:val="002A5DB9"/>
    <w:rsid w:val="002A7025"/>
    <w:rsid w:val="002B1124"/>
    <w:rsid w:val="002B693D"/>
    <w:rsid w:val="002C141A"/>
    <w:rsid w:val="002D0F9D"/>
    <w:rsid w:val="002E0D2C"/>
    <w:rsid w:val="002E18E1"/>
    <w:rsid w:val="002E561E"/>
    <w:rsid w:val="002F3433"/>
    <w:rsid w:val="002F3C22"/>
    <w:rsid w:val="00301F7E"/>
    <w:rsid w:val="00304810"/>
    <w:rsid w:val="00305F70"/>
    <w:rsid w:val="003116A5"/>
    <w:rsid w:val="00316446"/>
    <w:rsid w:val="003172F4"/>
    <w:rsid w:val="0032664D"/>
    <w:rsid w:val="00327581"/>
    <w:rsid w:val="00327B20"/>
    <w:rsid w:val="00327BBF"/>
    <w:rsid w:val="003357D4"/>
    <w:rsid w:val="00335952"/>
    <w:rsid w:val="00336875"/>
    <w:rsid w:val="00336D10"/>
    <w:rsid w:val="00337E7A"/>
    <w:rsid w:val="0034304C"/>
    <w:rsid w:val="003612F5"/>
    <w:rsid w:val="00361E86"/>
    <w:rsid w:val="00362450"/>
    <w:rsid w:val="003668CE"/>
    <w:rsid w:val="00367935"/>
    <w:rsid w:val="00367C76"/>
    <w:rsid w:val="0037328B"/>
    <w:rsid w:val="00380423"/>
    <w:rsid w:val="00381801"/>
    <w:rsid w:val="003826A5"/>
    <w:rsid w:val="00383C3D"/>
    <w:rsid w:val="00390DEB"/>
    <w:rsid w:val="00394146"/>
    <w:rsid w:val="003A0F6A"/>
    <w:rsid w:val="003A223F"/>
    <w:rsid w:val="003A3570"/>
    <w:rsid w:val="003A38FC"/>
    <w:rsid w:val="003A7A9F"/>
    <w:rsid w:val="003B02C4"/>
    <w:rsid w:val="003B046F"/>
    <w:rsid w:val="003B08AC"/>
    <w:rsid w:val="003B14C1"/>
    <w:rsid w:val="003B2E1C"/>
    <w:rsid w:val="003B73F4"/>
    <w:rsid w:val="003C7952"/>
    <w:rsid w:val="003D0B10"/>
    <w:rsid w:val="003D0C74"/>
    <w:rsid w:val="003D4EF9"/>
    <w:rsid w:val="003D7F26"/>
    <w:rsid w:val="003E34AD"/>
    <w:rsid w:val="003E5478"/>
    <w:rsid w:val="003E6007"/>
    <w:rsid w:val="003E6C1E"/>
    <w:rsid w:val="003F3423"/>
    <w:rsid w:val="003F4E72"/>
    <w:rsid w:val="00400B88"/>
    <w:rsid w:val="00400F17"/>
    <w:rsid w:val="00412EB0"/>
    <w:rsid w:val="00413218"/>
    <w:rsid w:val="00413E25"/>
    <w:rsid w:val="00416A95"/>
    <w:rsid w:val="004173AE"/>
    <w:rsid w:val="00417891"/>
    <w:rsid w:val="00420694"/>
    <w:rsid w:val="004218C8"/>
    <w:rsid w:val="0042690F"/>
    <w:rsid w:val="00430581"/>
    <w:rsid w:val="00430D41"/>
    <w:rsid w:val="004340A0"/>
    <w:rsid w:val="004400F0"/>
    <w:rsid w:val="00440775"/>
    <w:rsid w:val="00444421"/>
    <w:rsid w:val="004448F0"/>
    <w:rsid w:val="00447A03"/>
    <w:rsid w:val="004555C1"/>
    <w:rsid w:val="00456AC3"/>
    <w:rsid w:val="00465D4E"/>
    <w:rsid w:val="00467E6F"/>
    <w:rsid w:val="00471565"/>
    <w:rsid w:val="004730B7"/>
    <w:rsid w:val="00475527"/>
    <w:rsid w:val="00484490"/>
    <w:rsid w:val="00484C24"/>
    <w:rsid w:val="00490300"/>
    <w:rsid w:val="00493867"/>
    <w:rsid w:val="0049486D"/>
    <w:rsid w:val="0049679C"/>
    <w:rsid w:val="004A7F6C"/>
    <w:rsid w:val="004B3AF9"/>
    <w:rsid w:val="004B514A"/>
    <w:rsid w:val="004B75EB"/>
    <w:rsid w:val="004B7947"/>
    <w:rsid w:val="004C2D34"/>
    <w:rsid w:val="004C4E05"/>
    <w:rsid w:val="004C65EC"/>
    <w:rsid w:val="004C720C"/>
    <w:rsid w:val="004D566B"/>
    <w:rsid w:val="004D632A"/>
    <w:rsid w:val="004E0012"/>
    <w:rsid w:val="004E00DE"/>
    <w:rsid w:val="004E0221"/>
    <w:rsid w:val="004E1F83"/>
    <w:rsid w:val="004E3CE5"/>
    <w:rsid w:val="004E4A9B"/>
    <w:rsid w:val="004E7DD6"/>
    <w:rsid w:val="004F09BA"/>
    <w:rsid w:val="004F262A"/>
    <w:rsid w:val="004F445A"/>
    <w:rsid w:val="0050122C"/>
    <w:rsid w:val="0050196C"/>
    <w:rsid w:val="0050433A"/>
    <w:rsid w:val="00512A90"/>
    <w:rsid w:val="00513522"/>
    <w:rsid w:val="0051487C"/>
    <w:rsid w:val="00525525"/>
    <w:rsid w:val="005413AD"/>
    <w:rsid w:val="00541AD3"/>
    <w:rsid w:val="00543FCF"/>
    <w:rsid w:val="005454C4"/>
    <w:rsid w:val="005474D1"/>
    <w:rsid w:val="00563E94"/>
    <w:rsid w:val="00564F05"/>
    <w:rsid w:val="00566B85"/>
    <w:rsid w:val="005772CE"/>
    <w:rsid w:val="0058341A"/>
    <w:rsid w:val="00583BB1"/>
    <w:rsid w:val="00584265"/>
    <w:rsid w:val="00593B57"/>
    <w:rsid w:val="00593D73"/>
    <w:rsid w:val="00596BAC"/>
    <w:rsid w:val="005973D5"/>
    <w:rsid w:val="005A08A0"/>
    <w:rsid w:val="005A2E5C"/>
    <w:rsid w:val="005A348A"/>
    <w:rsid w:val="005B0125"/>
    <w:rsid w:val="005B2893"/>
    <w:rsid w:val="005C20D0"/>
    <w:rsid w:val="005C2D0A"/>
    <w:rsid w:val="005C5CBE"/>
    <w:rsid w:val="005C6BBD"/>
    <w:rsid w:val="005E18F3"/>
    <w:rsid w:val="005E25BB"/>
    <w:rsid w:val="005E2F58"/>
    <w:rsid w:val="005E3578"/>
    <w:rsid w:val="005E4691"/>
    <w:rsid w:val="005E4B78"/>
    <w:rsid w:val="005E5338"/>
    <w:rsid w:val="005E5E70"/>
    <w:rsid w:val="005F3895"/>
    <w:rsid w:val="005F48A5"/>
    <w:rsid w:val="005F4AF9"/>
    <w:rsid w:val="006020F0"/>
    <w:rsid w:val="00611594"/>
    <w:rsid w:val="006129F6"/>
    <w:rsid w:val="00612FC6"/>
    <w:rsid w:val="006206C3"/>
    <w:rsid w:val="006214FF"/>
    <w:rsid w:val="00625A42"/>
    <w:rsid w:val="00625FEA"/>
    <w:rsid w:val="00634E71"/>
    <w:rsid w:val="00635B2B"/>
    <w:rsid w:val="006419F6"/>
    <w:rsid w:val="00644794"/>
    <w:rsid w:val="00644F0D"/>
    <w:rsid w:val="00645D27"/>
    <w:rsid w:val="00647E6B"/>
    <w:rsid w:val="006532D4"/>
    <w:rsid w:val="00654E9E"/>
    <w:rsid w:val="00663A5F"/>
    <w:rsid w:val="00664964"/>
    <w:rsid w:val="00665606"/>
    <w:rsid w:val="00666C0C"/>
    <w:rsid w:val="0067305E"/>
    <w:rsid w:val="00677408"/>
    <w:rsid w:val="00681D40"/>
    <w:rsid w:val="00682A45"/>
    <w:rsid w:val="00683BF8"/>
    <w:rsid w:val="0068623F"/>
    <w:rsid w:val="00697055"/>
    <w:rsid w:val="006A7604"/>
    <w:rsid w:val="006B09FE"/>
    <w:rsid w:val="006B3C20"/>
    <w:rsid w:val="006B510B"/>
    <w:rsid w:val="006C22CC"/>
    <w:rsid w:val="006C557F"/>
    <w:rsid w:val="006D04A2"/>
    <w:rsid w:val="006D285A"/>
    <w:rsid w:val="006D2F9C"/>
    <w:rsid w:val="006D5460"/>
    <w:rsid w:val="006E1CD5"/>
    <w:rsid w:val="006E63B0"/>
    <w:rsid w:val="006F0734"/>
    <w:rsid w:val="006F0E69"/>
    <w:rsid w:val="006F18FE"/>
    <w:rsid w:val="006F4957"/>
    <w:rsid w:val="006F4F56"/>
    <w:rsid w:val="006F5D9C"/>
    <w:rsid w:val="006F5E36"/>
    <w:rsid w:val="0070022B"/>
    <w:rsid w:val="00703EA9"/>
    <w:rsid w:val="007043C3"/>
    <w:rsid w:val="0070591D"/>
    <w:rsid w:val="007060F5"/>
    <w:rsid w:val="00706CB9"/>
    <w:rsid w:val="00723A8A"/>
    <w:rsid w:val="0072542D"/>
    <w:rsid w:val="0072735C"/>
    <w:rsid w:val="00730805"/>
    <w:rsid w:val="00732E2F"/>
    <w:rsid w:val="00734D4C"/>
    <w:rsid w:val="007444EC"/>
    <w:rsid w:val="00745001"/>
    <w:rsid w:val="0074605A"/>
    <w:rsid w:val="00754A47"/>
    <w:rsid w:val="0076256A"/>
    <w:rsid w:val="007668D5"/>
    <w:rsid w:val="007706B7"/>
    <w:rsid w:val="00776FEC"/>
    <w:rsid w:val="00786ACA"/>
    <w:rsid w:val="00790878"/>
    <w:rsid w:val="00790FF9"/>
    <w:rsid w:val="00794AFD"/>
    <w:rsid w:val="007A1624"/>
    <w:rsid w:val="007A1FF4"/>
    <w:rsid w:val="007A4363"/>
    <w:rsid w:val="007B1B9B"/>
    <w:rsid w:val="007B53D1"/>
    <w:rsid w:val="007B5838"/>
    <w:rsid w:val="007C11E7"/>
    <w:rsid w:val="007C21C8"/>
    <w:rsid w:val="007C4BEB"/>
    <w:rsid w:val="007D18D3"/>
    <w:rsid w:val="007D28F8"/>
    <w:rsid w:val="007E001D"/>
    <w:rsid w:val="007E07C1"/>
    <w:rsid w:val="007E5CB8"/>
    <w:rsid w:val="007E6CD5"/>
    <w:rsid w:val="007F24D6"/>
    <w:rsid w:val="00802653"/>
    <w:rsid w:val="0080398B"/>
    <w:rsid w:val="00804B2D"/>
    <w:rsid w:val="00812C74"/>
    <w:rsid w:val="008143EC"/>
    <w:rsid w:val="00820C99"/>
    <w:rsid w:val="008237C2"/>
    <w:rsid w:val="008316A2"/>
    <w:rsid w:val="00832C8A"/>
    <w:rsid w:val="00840E93"/>
    <w:rsid w:val="00861437"/>
    <w:rsid w:val="00866AFF"/>
    <w:rsid w:val="0087704B"/>
    <w:rsid w:val="00881816"/>
    <w:rsid w:val="00881FE0"/>
    <w:rsid w:val="008834D4"/>
    <w:rsid w:val="0088376D"/>
    <w:rsid w:val="00884E7C"/>
    <w:rsid w:val="00884ECF"/>
    <w:rsid w:val="00885854"/>
    <w:rsid w:val="00895B3D"/>
    <w:rsid w:val="008A0B82"/>
    <w:rsid w:val="008A1096"/>
    <w:rsid w:val="008A3E7F"/>
    <w:rsid w:val="008A5335"/>
    <w:rsid w:val="008A6361"/>
    <w:rsid w:val="008B0E24"/>
    <w:rsid w:val="008B19EC"/>
    <w:rsid w:val="008B3B49"/>
    <w:rsid w:val="008D4264"/>
    <w:rsid w:val="008D5227"/>
    <w:rsid w:val="008D5BEC"/>
    <w:rsid w:val="008D66F3"/>
    <w:rsid w:val="008D69AF"/>
    <w:rsid w:val="008D6ACD"/>
    <w:rsid w:val="008E37E7"/>
    <w:rsid w:val="008E479C"/>
    <w:rsid w:val="008E48DA"/>
    <w:rsid w:val="008E4DEF"/>
    <w:rsid w:val="008E5003"/>
    <w:rsid w:val="008E5BCB"/>
    <w:rsid w:val="008E6629"/>
    <w:rsid w:val="008E7103"/>
    <w:rsid w:val="008F609F"/>
    <w:rsid w:val="008F6351"/>
    <w:rsid w:val="008F6391"/>
    <w:rsid w:val="008F652D"/>
    <w:rsid w:val="008F6C49"/>
    <w:rsid w:val="00900D3F"/>
    <w:rsid w:val="009038C9"/>
    <w:rsid w:val="0090423D"/>
    <w:rsid w:val="0090460A"/>
    <w:rsid w:val="0090701F"/>
    <w:rsid w:val="00915244"/>
    <w:rsid w:val="009170A6"/>
    <w:rsid w:val="00917B13"/>
    <w:rsid w:val="00921D62"/>
    <w:rsid w:val="00927863"/>
    <w:rsid w:val="00931FA0"/>
    <w:rsid w:val="00937EEB"/>
    <w:rsid w:val="009403BF"/>
    <w:rsid w:val="00942B2F"/>
    <w:rsid w:val="009433F5"/>
    <w:rsid w:val="00943DC6"/>
    <w:rsid w:val="00951679"/>
    <w:rsid w:val="0095259F"/>
    <w:rsid w:val="009549A4"/>
    <w:rsid w:val="00954E71"/>
    <w:rsid w:val="009603FC"/>
    <w:rsid w:val="00974B03"/>
    <w:rsid w:val="009764FC"/>
    <w:rsid w:val="00976EE6"/>
    <w:rsid w:val="009823DB"/>
    <w:rsid w:val="0099345F"/>
    <w:rsid w:val="00993F4F"/>
    <w:rsid w:val="00994362"/>
    <w:rsid w:val="00996186"/>
    <w:rsid w:val="009977E4"/>
    <w:rsid w:val="00997DF1"/>
    <w:rsid w:val="009A606F"/>
    <w:rsid w:val="009B4209"/>
    <w:rsid w:val="009B4FA4"/>
    <w:rsid w:val="009B51B1"/>
    <w:rsid w:val="009B7DB4"/>
    <w:rsid w:val="009C1A60"/>
    <w:rsid w:val="009C36D1"/>
    <w:rsid w:val="009C36F6"/>
    <w:rsid w:val="009D0C0F"/>
    <w:rsid w:val="009D2070"/>
    <w:rsid w:val="009E13C0"/>
    <w:rsid w:val="009E2680"/>
    <w:rsid w:val="009E58D4"/>
    <w:rsid w:val="009E70B7"/>
    <w:rsid w:val="00A02125"/>
    <w:rsid w:val="00A075A6"/>
    <w:rsid w:val="00A10DA1"/>
    <w:rsid w:val="00A22E1F"/>
    <w:rsid w:val="00A23141"/>
    <w:rsid w:val="00A23FE1"/>
    <w:rsid w:val="00A25023"/>
    <w:rsid w:val="00A26542"/>
    <w:rsid w:val="00A32B06"/>
    <w:rsid w:val="00A33A39"/>
    <w:rsid w:val="00A4270B"/>
    <w:rsid w:val="00A42ECE"/>
    <w:rsid w:val="00A45F44"/>
    <w:rsid w:val="00A47A5B"/>
    <w:rsid w:val="00A51FA3"/>
    <w:rsid w:val="00A56251"/>
    <w:rsid w:val="00A65E3F"/>
    <w:rsid w:val="00A83F9F"/>
    <w:rsid w:val="00AA2285"/>
    <w:rsid w:val="00AA3B6D"/>
    <w:rsid w:val="00AA67A5"/>
    <w:rsid w:val="00AB203E"/>
    <w:rsid w:val="00AB2069"/>
    <w:rsid w:val="00AB4452"/>
    <w:rsid w:val="00AB49C7"/>
    <w:rsid w:val="00AB4E80"/>
    <w:rsid w:val="00AC204F"/>
    <w:rsid w:val="00AC3622"/>
    <w:rsid w:val="00AD0E41"/>
    <w:rsid w:val="00AD114F"/>
    <w:rsid w:val="00AD1CD9"/>
    <w:rsid w:val="00AD4B5E"/>
    <w:rsid w:val="00AD77F5"/>
    <w:rsid w:val="00AE21F2"/>
    <w:rsid w:val="00AE2DA9"/>
    <w:rsid w:val="00AF260B"/>
    <w:rsid w:val="00AF4E2E"/>
    <w:rsid w:val="00AF689F"/>
    <w:rsid w:val="00B032C7"/>
    <w:rsid w:val="00B06A79"/>
    <w:rsid w:val="00B07E47"/>
    <w:rsid w:val="00B10808"/>
    <w:rsid w:val="00B11731"/>
    <w:rsid w:val="00B2464F"/>
    <w:rsid w:val="00B26838"/>
    <w:rsid w:val="00B32F32"/>
    <w:rsid w:val="00B33B62"/>
    <w:rsid w:val="00B35CA3"/>
    <w:rsid w:val="00B410D3"/>
    <w:rsid w:val="00B426DD"/>
    <w:rsid w:val="00B44165"/>
    <w:rsid w:val="00B455E4"/>
    <w:rsid w:val="00B46296"/>
    <w:rsid w:val="00B474B4"/>
    <w:rsid w:val="00B47E3E"/>
    <w:rsid w:val="00B50387"/>
    <w:rsid w:val="00B51413"/>
    <w:rsid w:val="00B51881"/>
    <w:rsid w:val="00B52613"/>
    <w:rsid w:val="00B53DAD"/>
    <w:rsid w:val="00B54F54"/>
    <w:rsid w:val="00B5612B"/>
    <w:rsid w:val="00B572C3"/>
    <w:rsid w:val="00B63809"/>
    <w:rsid w:val="00B66022"/>
    <w:rsid w:val="00B70A7D"/>
    <w:rsid w:val="00B72F8F"/>
    <w:rsid w:val="00B800C6"/>
    <w:rsid w:val="00B80200"/>
    <w:rsid w:val="00B84EBA"/>
    <w:rsid w:val="00B857D2"/>
    <w:rsid w:val="00B865FE"/>
    <w:rsid w:val="00B86E87"/>
    <w:rsid w:val="00B871C0"/>
    <w:rsid w:val="00B900F4"/>
    <w:rsid w:val="00B979F9"/>
    <w:rsid w:val="00BA0287"/>
    <w:rsid w:val="00BA3E0D"/>
    <w:rsid w:val="00BA531A"/>
    <w:rsid w:val="00BA677D"/>
    <w:rsid w:val="00BB0355"/>
    <w:rsid w:val="00BB73F0"/>
    <w:rsid w:val="00BC093C"/>
    <w:rsid w:val="00BC20B1"/>
    <w:rsid w:val="00BC5013"/>
    <w:rsid w:val="00BC5200"/>
    <w:rsid w:val="00BD77B9"/>
    <w:rsid w:val="00BD7C14"/>
    <w:rsid w:val="00BE02AA"/>
    <w:rsid w:val="00BE5B09"/>
    <w:rsid w:val="00BE6776"/>
    <w:rsid w:val="00BF0C8C"/>
    <w:rsid w:val="00BF1113"/>
    <w:rsid w:val="00BF7892"/>
    <w:rsid w:val="00C01781"/>
    <w:rsid w:val="00C0312C"/>
    <w:rsid w:val="00C0491D"/>
    <w:rsid w:val="00C1112A"/>
    <w:rsid w:val="00C11FA1"/>
    <w:rsid w:val="00C2235C"/>
    <w:rsid w:val="00C23204"/>
    <w:rsid w:val="00C2396A"/>
    <w:rsid w:val="00C2611B"/>
    <w:rsid w:val="00C306E8"/>
    <w:rsid w:val="00C3451C"/>
    <w:rsid w:val="00C3650E"/>
    <w:rsid w:val="00C40A4C"/>
    <w:rsid w:val="00C42835"/>
    <w:rsid w:val="00C428E9"/>
    <w:rsid w:val="00C43B80"/>
    <w:rsid w:val="00C4502C"/>
    <w:rsid w:val="00C46AB4"/>
    <w:rsid w:val="00C511EA"/>
    <w:rsid w:val="00C5300F"/>
    <w:rsid w:val="00C5462B"/>
    <w:rsid w:val="00C55DFF"/>
    <w:rsid w:val="00C56222"/>
    <w:rsid w:val="00C56B8A"/>
    <w:rsid w:val="00C57E16"/>
    <w:rsid w:val="00C66336"/>
    <w:rsid w:val="00C71EEB"/>
    <w:rsid w:val="00C72AE2"/>
    <w:rsid w:val="00C8311A"/>
    <w:rsid w:val="00C84946"/>
    <w:rsid w:val="00C865C0"/>
    <w:rsid w:val="00C87799"/>
    <w:rsid w:val="00C91082"/>
    <w:rsid w:val="00C91E96"/>
    <w:rsid w:val="00C946EE"/>
    <w:rsid w:val="00CA04A2"/>
    <w:rsid w:val="00CA3B3C"/>
    <w:rsid w:val="00CA48A4"/>
    <w:rsid w:val="00CA612C"/>
    <w:rsid w:val="00CB01BA"/>
    <w:rsid w:val="00CB0E9B"/>
    <w:rsid w:val="00CB4645"/>
    <w:rsid w:val="00CC2F59"/>
    <w:rsid w:val="00CC4D85"/>
    <w:rsid w:val="00CC63AE"/>
    <w:rsid w:val="00CC705C"/>
    <w:rsid w:val="00CD55BC"/>
    <w:rsid w:val="00CD5A40"/>
    <w:rsid w:val="00CD7764"/>
    <w:rsid w:val="00CE3610"/>
    <w:rsid w:val="00CE50B5"/>
    <w:rsid w:val="00CE7DE7"/>
    <w:rsid w:val="00CF0026"/>
    <w:rsid w:val="00CF010D"/>
    <w:rsid w:val="00CF40D6"/>
    <w:rsid w:val="00CF6643"/>
    <w:rsid w:val="00D00563"/>
    <w:rsid w:val="00D0063C"/>
    <w:rsid w:val="00D010EB"/>
    <w:rsid w:val="00D01D77"/>
    <w:rsid w:val="00D02F1F"/>
    <w:rsid w:val="00D039E8"/>
    <w:rsid w:val="00D05D15"/>
    <w:rsid w:val="00D15524"/>
    <w:rsid w:val="00D229C7"/>
    <w:rsid w:val="00D2339D"/>
    <w:rsid w:val="00D263FE"/>
    <w:rsid w:val="00D32747"/>
    <w:rsid w:val="00D34B55"/>
    <w:rsid w:val="00D35BC5"/>
    <w:rsid w:val="00D35D0D"/>
    <w:rsid w:val="00D35D93"/>
    <w:rsid w:val="00D37BA8"/>
    <w:rsid w:val="00D52800"/>
    <w:rsid w:val="00D540F5"/>
    <w:rsid w:val="00D60431"/>
    <w:rsid w:val="00D7251D"/>
    <w:rsid w:val="00D8701B"/>
    <w:rsid w:val="00D92240"/>
    <w:rsid w:val="00D93609"/>
    <w:rsid w:val="00D94B1B"/>
    <w:rsid w:val="00D9632F"/>
    <w:rsid w:val="00D97A01"/>
    <w:rsid w:val="00D97C73"/>
    <w:rsid w:val="00DA009A"/>
    <w:rsid w:val="00DA5189"/>
    <w:rsid w:val="00DB35B9"/>
    <w:rsid w:val="00DB4A78"/>
    <w:rsid w:val="00DB67CD"/>
    <w:rsid w:val="00DD124D"/>
    <w:rsid w:val="00DE3CBE"/>
    <w:rsid w:val="00DE4D5E"/>
    <w:rsid w:val="00DE4F7E"/>
    <w:rsid w:val="00DE629A"/>
    <w:rsid w:val="00DE7F6D"/>
    <w:rsid w:val="00DF50A9"/>
    <w:rsid w:val="00DF73F5"/>
    <w:rsid w:val="00E033FC"/>
    <w:rsid w:val="00E07368"/>
    <w:rsid w:val="00E13C31"/>
    <w:rsid w:val="00E15670"/>
    <w:rsid w:val="00E17DBC"/>
    <w:rsid w:val="00E20014"/>
    <w:rsid w:val="00E22CFE"/>
    <w:rsid w:val="00E22D34"/>
    <w:rsid w:val="00E24C7A"/>
    <w:rsid w:val="00E2551C"/>
    <w:rsid w:val="00E27C31"/>
    <w:rsid w:val="00E27E19"/>
    <w:rsid w:val="00E30265"/>
    <w:rsid w:val="00E32571"/>
    <w:rsid w:val="00E33641"/>
    <w:rsid w:val="00E36C0F"/>
    <w:rsid w:val="00E46CEC"/>
    <w:rsid w:val="00E4778A"/>
    <w:rsid w:val="00E505BA"/>
    <w:rsid w:val="00E54048"/>
    <w:rsid w:val="00E57CBF"/>
    <w:rsid w:val="00E64BAC"/>
    <w:rsid w:val="00E716CC"/>
    <w:rsid w:val="00E73472"/>
    <w:rsid w:val="00E73CF0"/>
    <w:rsid w:val="00E76729"/>
    <w:rsid w:val="00E80AB6"/>
    <w:rsid w:val="00E876AF"/>
    <w:rsid w:val="00E90B98"/>
    <w:rsid w:val="00E91C6C"/>
    <w:rsid w:val="00E924B5"/>
    <w:rsid w:val="00EA15DF"/>
    <w:rsid w:val="00EA1D69"/>
    <w:rsid w:val="00EA7AB1"/>
    <w:rsid w:val="00EB143A"/>
    <w:rsid w:val="00EB4F55"/>
    <w:rsid w:val="00EC5ADB"/>
    <w:rsid w:val="00ED1208"/>
    <w:rsid w:val="00ED1823"/>
    <w:rsid w:val="00ED342A"/>
    <w:rsid w:val="00EE0362"/>
    <w:rsid w:val="00EE4DFE"/>
    <w:rsid w:val="00EF1178"/>
    <w:rsid w:val="00EF2529"/>
    <w:rsid w:val="00EF5167"/>
    <w:rsid w:val="00EF5901"/>
    <w:rsid w:val="00EF64D8"/>
    <w:rsid w:val="00EF7396"/>
    <w:rsid w:val="00F0183E"/>
    <w:rsid w:val="00F029B0"/>
    <w:rsid w:val="00F0539F"/>
    <w:rsid w:val="00F059BE"/>
    <w:rsid w:val="00F05B82"/>
    <w:rsid w:val="00F16A53"/>
    <w:rsid w:val="00F16D6F"/>
    <w:rsid w:val="00F20E87"/>
    <w:rsid w:val="00F2273F"/>
    <w:rsid w:val="00F24BE3"/>
    <w:rsid w:val="00F27D84"/>
    <w:rsid w:val="00F328AC"/>
    <w:rsid w:val="00F33E13"/>
    <w:rsid w:val="00F4653E"/>
    <w:rsid w:val="00F47D96"/>
    <w:rsid w:val="00F47E98"/>
    <w:rsid w:val="00F6035C"/>
    <w:rsid w:val="00F60C46"/>
    <w:rsid w:val="00F628C1"/>
    <w:rsid w:val="00F634F7"/>
    <w:rsid w:val="00F670C5"/>
    <w:rsid w:val="00F72921"/>
    <w:rsid w:val="00F72D9D"/>
    <w:rsid w:val="00F73F58"/>
    <w:rsid w:val="00F82D20"/>
    <w:rsid w:val="00F84A95"/>
    <w:rsid w:val="00F8590B"/>
    <w:rsid w:val="00F863DF"/>
    <w:rsid w:val="00F927B8"/>
    <w:rsid w:val="00FA1901"/>
    <w:rsid w:val="00FA3016"/>
    <w:rsid w:val="00FA7AD0"/>
    <w:rsid w:val="00FB27ED"/>
    <w:rsid w:val="00FC6499"/>
    <w:rsid w:val="00FD1DF5"/>
    <w:rsid w:val="00FD3C11"/>
    <w:rsid w:val="00FD3D2F"/>
    <w:rsid w:val="00FD4E67"/>
    <w:rsid w:val="00FD6610"/>
    <w:rsid w:val="00FD6883"/>
    <w:rsid w:val="00FD7855"/>
    <w:rsid w:val="00FE29A1"/>
    <w:rsid w:val="00FE4A3C"/>
    <w:rsid w:val="00FE7EBF"/>
    <w:rsid w:val="00FF1A7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1047CE"/>
    <w:pPr>
      <w:keepNext/>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semiHidden/>
    <w:unhideWhenUsed/>
    <w:qFormat/>
    <w:rsid w:val="001047CE"/>
    <w:pPr>
      <w:keepNext/>
      <w:keepLines/>
      <w:spacing w:after="240" w:line="240" w:lineRule="auto"/>
      <w:ind w:left="144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1936C7"/>
    <w:pPr>
      <w:spacing w:after="120" w:line="240" w:lineRule="auto"/>
    </w:pPr>
    <w:rPr>
      <w:sz w:val="20"/>
      <w:szCs w:val="20"/>
    </w:rPr>
  </w:style>
  <w:style w:type="character" w:customStyle="1" w:styleId="FootnoteTextChar">
    <w:name w:val="Footnote Text Char"/>
    <w:basedOn w:val="DefaultParagraphFont"/>
    <w:link w:val="FootnoteText"/>
    <w:semiHidden/>
    <w:rsid w:val="001936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ED342A"/>
    <w:pPr>
      <w:spacing w:after="0" w:line="240" w:lineRule="auto"/>
    </w:pPr>
    <w:rPr>
      <w:rFonts w:eastAsia="Times New Roman" w:cs="Times New Roman"/>
      <w:szCs w:val="16"/>
    </w:rPr>
  </w:style>
  <w:style w:type="character" w:customStyle="1" w:styleId="BodyTextIndent3Char">
    <w:name w:val="Body Text Indent 3 Char"/>
    <w:basedOn w:val="DefaultParagraphFont"/>
    <w:link w:val="BodyTextIndent3"/>
    <w:rsid w:val="00ED342A"/>
    <w:rPr>
      <w:rFonts w:ascii="Times New Roman" w:eastAsia="Times New Roman" w:hAnsi="Times New Roman" w:cs="Times New Roman"/>
      <w:sz w:val="24"/>
      <w:szCs w:val="16"/>
    </w:rPr>
  </w:style>
  <w:style w:type="character" w:customStyle="1" w:styleId="Heading1Char">
    <w:name w:val="Heading 1 Char"/>
    <w:basedOn w:val="DefaultParagraphFont"/>
    <w:link w:val="Heading1"/>
    <w:uiPriority w:val="9"/>
    <w:rsid w:val="001047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semiHidden/>
    <w:rsid w:val="001047CE"/>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1047CE"/>
    <w:pPr>
      <w:keepNext/>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semiHidden/>
    <w:unhideWhenUsed/>
    <w:qFormat/>
    <w:rsid w:val="001047CE"/>
    <w:pPr>
      <w:keepNext/>
      <w:keepLines/>
      <w:spacing w:after="240" w:line="240" w:lineRule="auto"/>
      <w:ind w:left="144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1936C7"/>
    <w:pPr>
      <w:spacing w:after="120" w:line="240" w:lineRule="auto"/>
    </w:pPr>
    <w:rPr>
      <w:sz w:val="20"/>
      <w:szCs w:val="20"/>
    </w:rPr>
  </w:style>
  <w:style w:type="character" w:customStyle="1" w:styleId="FootnoteTextChar">
    <w:name w:val="Footnote Text Char"/>
    <w:basedOn w:val="DefaultParagraphFont"/>
    <w:link w:val="FootnoteText"/>
    <w:semiHidden/>
    <w:rsid w:val="001936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ED342A"/>
    <w:pPr>
      <w:spacing w:after="0" w:line="240" w:lineRule="auto"/>
    </w:pPr>
    <w:rPr>
      <w:rFonts w:eastAsia="Times New Roman" w:cs="Times New Roman"/>
      <w:szCs w:val="16"/>
    </w:rPr>
  </w:style>
  <w:style w:type="character" w:customStyle="1" w:styleId="BodyTextIndent3Char">
    <w:name w:val="Body Text Indent 3 Char"/>
    <w:basedOn w:val="DefaultParagraphFont"/>
    <w:link w:val="BodyTextIndent3"/>
    <w:rsid w:val="00ED342A"/>
    <w:rPr>
      <w:rFonts w:ascii="Times New Roman" w:eastAsia="Times New Roman" w:hAnsi="Times New Roman" w:cs="Times New Roman"/>
      <w:sz w:val="24"/>
      <w:szCs w:val="16"/>
    </w:rPr>
  </w:style>
  <w:style w:type="character" w:customStyle="1" w:styleId="Heading1Char">
    <w:name w:val="Heading 1 Char"/>
    <w:basedOn w:val="DefaultParagraphFont"/>
    <w:link w:val="Heading1"/>
    <w:uiPriority w:val="9"/>
    <w:rsid w:val="001047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semiHidden/>
    <w:rsid w:val="001047CE"/>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992">
      <w:bodyDiv w:val="1"/>
      <w:marLeft w:val="0"/>
      <w:marRight w:val="0"/>
      <w:marTop w:val="0"/>
      <w:marBottom w:val="0"/>
      <w:divBdr>
        <w:top w:val="none" w:sz="0" w:space="0" w:color="auto"/>
        <w:left w:val="none" w:sz="0" w:space="0" w:color="auto"/>
        <w:bottom w:val="none" w:sz="0" w:space="0" w:color="auto"/>
        <w:right w:val="none" w:sz="0" w:space="0" w:color="auto"/>
      </w:divBdr>
      <w:divsChild>
        <w:div w:id="829178027">
          <w:marLeft w:val="0"/>
          <w:marRight w:val="0"/>
          <w:marTop w:val="0"/>
          <w:marBottom w:val="0"/>
          <w:divBdr>
            <w:top w:val="none" w:sz="0" w:space="0" w:color="auto"/>
            <w:left w:val="none" w:sz="0" w:space="0" w:color="auto"/>
            <w:bottom w:val="none" w:sz="0" w:space="0" w:color="auto"/>
            <w:right w:val="none" w:sz="0" w:space="0" w:color="auto"/>
          </w:divBdr>
          <w:divsChild>
            <w:div w:id="1130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498">
      <w:bodyDiv w:val="1"/>
      <w:marLeft w:val="0"/>
      <w:marRight w:val="0"/>
      <w:marTop w:val="0"/>
      <w:marBottom w:val="0"/>
      <w:divBdr>
        <w:top w:val="none" w:sz="0" w:space="0" w:color="auto"/>
        <w:left w:val="none" w:sz="0" w:space="0" w:color="auto"/>
        <w:bottom w:val="none" w:sz="0" w:space="0" w:color="auto"/>
        <w:right w:val="none" w:sz="0" w:space="0" w:color="auto"/>
      </w:divBdr>
      <w:divsChild>
        <w:div w:id="532810429">
          <w:marLeft w:val="0"/>
          <w:marRight w:val="0"/>
          <w:marTop w:val="0"/>
          <w:marBottom w:val="0"/>
          <w:divBdr>
            <w:top w:val="none" w:sz="0" w:space="0" w:color="auto"/>
            <w:left w:val="none" w:sz="0" w:space="0" w:color="auto"/>
            <w:bottom w:val="none" w:sz="0" w:space="0" w:color="auto"/>
            <w:right w:val="none" w:sz="0" w:space="0" w:color="auto"/>
          </w:divBdr>
          <w:divsChild>
            <w:div w:id="496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269776156">
      <w:bodyDiv w:val="1"/>
      <w:marLeft w:val="0"/>
      <w:marRight w:val="0"/>
      <w:marTop w:val="0"/>
      <w:marBottom w:val="0"/>
      <w:divBdr>
        <w:top w:val="none" w:sz="0" w:space="0" w:color="auto"/>
        <w:left w:val="none" w:sz="0" w:space="0" w:color="auto"/>
        <w:bottom w:val="none" w:sz="0" w:space="0" w:color="auto"/>
        <w:right w:val="none" w:sz="0" w:space="0" w:color="auto"/>
      </w:divBdr>
      <w:divsChild>
        <w:div w:id="2085955238">
          <w:marLeft w:val="0"/>
          <w:marRight w:val="0"/>
          <w:marTop w:val="0"/>
          <w:marBottom w:val="0"/>
          <w:divBdr>
            <w:top w:val="none" w:sz="0" w:space="0" w:color="auto"/>
            <w:left w:val="none" w:sz="0" w:space="0" w:color="auto"/>
            <w:bottom w:val="none" w:sz="0" w:space="0" w:color="auto"/>
            <w:right w:val="none" w:sz="0" w:space="0" w:color="auto"/>
          </w:divBdr>
          <w:divsChild>
            <w:div w:id="652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549">
      <w:bodyDiv w:val="1"/>
      <w:marLeft w:val="0"/>
      <w:marRight w:val="0"/>
      <w:marTop w:val="0"/>
      <w:marBottom w:val="0"/>
      <w:divBdr>
        <w:top w:val="none" w:sz="0" w:space="0" w:color="auto"/>
        <w:left w:val="none" w:sz="0" w:space="0" w:color="auto"/>
        <w:bottom w:val="none" w:sz="0" w:space="0" w:color="auto"/>
        <w:right w:val="none" w:sz="0" w:space="0" w:color="auto"/>
      </w:divBdr>
      <w:divsChild>
        <w:div w:id="1778867592">
          <w:marLeft w:val="0"/>
          <w:marRight w:val="0"/>
          <w:marTop w:val="0"/>
          <w:marBottom w:val="0"/>
          <w:divBdr>
            <w:top w:val="none" w:sz="0" w:space="0" w:color="auto"/>
            <w:left w:val="none" w:sz="0" w:space="0" w:color="auto"/>
            <w:bottom w:val="none" w:sz="0" w:space="0" w:color="auto"/>
            <w:right w:val="none" w:sz="0" w:space="0" w:color="auto"/>
          </w:divBdr>
          <w:divsChild>
            <w:div w:id="585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52780865">
          <w:marLeft w:val="0"/>
          <w:marRight w:val="0"/>
          <w:marTop w:val="0"/>
          <w:marBottom w:val="0"/>
          <w:divBdr>
            <w:top w:val="none" w:sz="0" w:space="0" w:color="auto"/>
            <w:left w:val="none" w:sz="0" w:space="0" w:color="auto"/>
            <w:bottom w:val="none" w:sz="0" w:space="0" w:color="auto"/>
            <w:right w:val="none" w:sz="0" w:space="0" w:color="auto"/>
          </w:divBdr>
          <w:divsChild>
            <w:div w:id="13424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ane@drodermiller.com" TargetMode="External"/><Relationship Id="rId2" Type="http://schemas.openxmlformats.org/officeDocument/2006/relationships/styles" Target="styles.xml"/><Relationship Id="rId16" Type="http://schemas.openxmlformats.org/officeDocument/2006/relationships/hyperlink" Target="mailto:bmcmahon@emclawyers.com" TargetMode="External"/><Relationship Id="rId20" Type="http://schemas.openxmlformats.org/officeDocument/2006/relationships/hyperlink" Target="mailto:sarah.parro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12588</Characters>
  <Application>Microsoft Office Word</Application>
  <DocSecurity>0</DocSecurity>
  <PresentationFormat/>
  <Lines>281</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2016-02-26T22:03:00Z</dcterms:created>
  <dcterms:modified xsi:type="dcterms:W3CDTF">2016-02-26T22:03:00Z</dcterms:modified>
  <cp:category> </cp:category>
  <cp:contentStatus> </cp:contentStatus>
</cp:coreProperties>
</file>