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D8" w:rsidRPr="00487731" w:rsidRDefault="00C608D8" w:rsidP="00C608D8">
      <w:pPr>
        <w:pStyle w:val="Title"/>
        <w:widowControl w:val="0"/>
        <w:rPr>
          <w:rFonts w:ascii="Arial" w:hAnsi="Arial" w:cs="Arial"/>
          <w:sz w:val="28"/>
          <w:szCs w:val="28"/>
        </w:rPr>
      </w:pPr>
      <w:r w:rsidRPr="00487731">
        <w:rPr>
          <w:rFonts w:ascii="Arial" w:hAnsi="Arial" w:cs="Arial"/>
          <w:sz w:val="28"/>
          <w:szCs w:val="28"/>
        </w:rPr>
        <w:t>BEFORE</w:t>
      </w:r>
    </w:p>
    <w:p w:rsidR="00C608D8" w:rsidRPr="00487731" w:rsidRDefault="00C608D8" w:rsidP="00C608D8">
      <w:pPr>
        <w:widowControl w:val="0"/>
        <w:jc w:val="center"/>
        <w:rPr>
          <w:rFonts w:ascii="Arial" w:hAnsi="Arial" w:cs="Arial"/>
          <w:b/>
          <w:sz w:val="28"/>
          <w:szCs w:val="28"/>
        </w:rPr>
      </w:pPr>
      <w:r w:rsidRPr="00487731">
        <w:rPr>
          <w:rFonts w:ascii="Arial" w:hAnsi="Arial" w:cs="Arial"/>
          <w:b/>
          <w:sz w:val="28"/>
          <w:szCs w:val="28"/>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C608D8" w:rsidRPr="00487731" w:rsidTr="009062FD">
        <w:trPr>
          <w:trHeight w:val="1288"/>
          <w:jc w:val="center"/>
        </w:trPr>
        <w:tc>
          <w:tcPr>
            <w:tcW w:w="4769" w:type="dxa"/>
          </w:tcPr>
          <w:p w:rsidR="00C608D8" w:rsidRPr="00487731" w:rsidRDefault="00C608D8" w:rsidP="009062FD">
            <w:pPr>
              <w:widowControl w:val="0"/>
              <w:spacing w:after="0" w:line="240" w:lineRule="auto"/>
              <w:rPr>
                <w:rFonts w:ascii="Arial" w:hAnsi="Arial" w:cs="Arial"/>
                <w:sz w:val="28"/>
                <w:szCs w:val="28"/>
              </w:rPr>
            </w:pPr>
            <w:r w:rsidRPr="00487731">
              <w:rPr>
                <w:rFonts w:ascii="Arial" w:hAnsi="Arial" w:cs="Arial"/>
                <w:sz w:val="28"/>
                <w:szCs w:val="28"/>
              </w:rPr>
              <w:t>In the Matter of the Commission's Investigation of Ohio’s Retail Electric Service Market</w:t>
            </w:r>
          </w:p>
        </w:tc>
        <w:tc>
          <w:tcPr>
            <w:tcW w:w="634" w:type="dxa"/>
          </w:tcPr>
          <w:p w:rsidR="00C608D8" w:rsidRPr="00487731" w:rsidRDefault="00C608D8" w:rsidP="009062FD">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9062FD">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9062FD">
            <w:pPr>
              <w:widowControl w:val="0"/>
              <w:spacing w:after="0" w:line="240" w:lineRule="auto"/>
              <w:jc w:val="center"/>
              <w:rPr>
                <w:rFonts w:ascii="Arial" w:hAnsi="Arial" w:cs="Arial"/>
                <w:sz w:val="28"/>
                <w:szCs w:val="28"/>
              </w:rPr>
            </w:pPr>
            <w:r w:rsidRPr="00487731">
              <w:rPr>
                <w:rFonts w:ascii="Arial" w:hAnsi="Arial" w:cs="Arial"/>
                <w:sz w:val="28"/>
                <w:szCs w:val="28"/>
              </w:rPr>
              <w:t>)</w:t>
            </w:r>
          </w:p>
        </w:tc>
        <w:tc>
          <w:tcPr>
            <w:tcW w:w="3954" w:type="dxa"/>
          </w:tcPr>
          <w:p w:rsidR="00C608D8" w:rsidRPr="00487731" w:rsidRDefault="00C608D8" w:rsidP="009062FD">
            <w:pPr>
              <w:widowControl w:val="0"/>
              <w:spacing w:after="0" w:line="240" w:lineRule="auto"/>
              <w:rPr>
                <w:rFonts w:ascii="Arial" w:hAnsi="Arial" w:cs="Arial"/>
                <w:sz w:val="28"/>
                <w:szCs w:val="28"/>
              </w:rPr>
            </w:pPr>
          </w:p>
          <w:p w:rsidR="00C608D8" w:rsidRPr="00487731" w:rsidRDefault="00C608D8" w:rsidP="009062FD">
            <w:pPr>
              <w:widowControl w:val="0"/>
              <w:spacing w:after="0" w:line="240" w:lineRule="auto"/>
              <w:rPr>
                <w:rFonts w:ascii="Arial" w:hAnsi="Arial" w:cs="Arial"/>
                <w:sz w:val="28"/>
                <w:szCs w:val="28"/>
              </w:rPr>
            </w:pPr>
            <w:r w:rsidRPr="00487731">
              <w:rPr>
                <w:rFonts w:ascii="Arial" w:hAnsi="Arial" w:cs="Arial"/>
                <w:sz w:val="28"/>
                <w:szCs w:val="28"/>
              </w:rPr>
              <w:t>Case No. 12-3151-EL-COI</w:t>
            </w:r>
          </w:p>
          <w:p w:rsidR="00C608D8" w:rsidRPr="00487731" w:rsidRDefault="00C608D8" w:rsidP="009062FD">
            <w:pPr>
              <w:widowControl w:val="0"/>
              <w:spacing w:after="0" w:line="240" w:lineRule="auto"/>
              <w:rPr>
                <w:rFonts w:ascii="Arial" w:hAnsi="Arial" w:cs="Arial"/>
                <w:sz w:val="28"/>
                <w:szCs w:val="28"/>
              </w:rPr>
            </w:pPr>
          </w:p>
        </w:tc>
      </w:tr>
    </w:tbl>
    <w:p w:rsidR="00C608D8" w:rsidRPr="00487731" w:rsidRDefault="00C608D8" w:rsidP="00C608D8">
      <w:pPr>
        <w:pStyle w:val="Footer"/>
        <w:pBdr>
          <w:top w:val="single" w:sz="12" w:space="1" w:color="auto"/>
          <w:bottom w:val="single" w:sz="12" w:space="1" w:color="auto"/>
        </w:pBdr>
        <w:tabs>
          <w:tab w:val="left" w:pos="4320"/>
        </w:tabs>
        <w:rPr>
          <w:rFonts w:ascii="Arial" w:hAnsi="Arial" w:cs="Arial"/>
          <w:sz w:val="28"/>
          <w:szCs w:val="28"/>
        </w:rPr>
      </w:pPr>
    </w:p>
    <w:p w:rsidR="00C608D8" w:rsidRPr="00487731" w:rsidRDefault="00BB6205" w:rsidP="00C608D8">
      <w:pPr>
        <w:pStyle w:val="Footer"/>
        <w:pBdr>
          <w:top w:val="single" w:sz="12" w:space="1" w:color="auto"/>
          <w:bottom w:val="single" w:sz="12" w:space="1" w:color="auto"/>
        </w:pBdr>
        <w:tabs>
          <w:tab w:val="left" w:pos="4320"/>
        </w:tabs>
        <w:jc w:val="center"/>
        <w:rPr>
          <w:rFonts w:ascii="Arial" w:hAnsi="Arial" w:cs="Arial"/>
          <w:b/>
          <w:sz w:val="28"/>
          <w:szCs w:val="28"/>
        </w:rPr>
      </w:pPr>
      <w:r>
        <w:rPr>
          <w:rFonts w:ascii="Arial" w:hAnsi="Arial" w:cs="Arial"/>
          <w:b/>
          <w:sz w:val="28"/>
          <w:szCs w:val="28"/>
        </w:rPr>
        <w:t>REPLY</w:t>
      </w:r>
      <w:r w:rsidR="00A51EE9">
        <w:rPr>
          <w:rFonts w:ascii="Arial" w:hAnsi="Arial" w:cs="Arial"/>
          <w:b/>
          <w:sz w:val="28"/>
          <w:szCs w:val="28"/>
        </w:rPr>
        <w:t xml:space="preserve"> </w:t>
      </w:r>
      <w:r w:rsidR="00C608D8" w:rsidRPr="00487731">
        <w:rPr>
          <w:rFonts w:ascii="Arial" w:hAnsi="Arial" w:cs="Arial"/>
          <w:b/>
          <w:sz w:val="28"/>
          <w:szCs w:val="28"/>
        </w:rPr>
        <w:t xml:space="preserve">COMMENTS OF INTERSTATE GAS SUPPLY, INC. </w:t>
      </w:r>
    </w:p>
    <w:p w:rsidR="00C608D8" w:rsidRDefault="00C608D8" w:rsidP="00BB6205">
      <w:pPr>
        <w:pStyle w:val="TOCTitle"/>
        <w:jc w:val="left"/>
      </w:pPr>
    </w:p>
    <w:p w:rsidR="00DA198D" w:rsidRPr="00DA198D" w:rsidRDefault="00DA198D" w:rsidP="00DA198D">
      <w:pPr>
        <w:pStyle w:val="ListParagraph"/>
        <w:numPr>
          <w:ilvl w:val="0"/>
          <w:numId w:val="1"/>
        </w:numPr>
        <w:spacing w:line="480" w:lineRule="auto"/>
        <w:rPr>
          <w:rFonts w:ascii="Arial" w:hAnsi="Arial" w:cs="Arial"/>
          <w:b/>
          <w:sz w:val="24"/>
          <w:szCs w:val="24"/>
        </w:rPr>
      </w:pPr>
      <w:r w:rsidRPr="00DA198D">
        <w:rPr>
          <w:rFonts w:ascii="Arial" w:hAnsi="Arial" w:cs="Arial"/>
          <w:b/>
          <w:sz w:val="24"/>
          <w:szCs w:val="24"/>
        </w:rPr>
        <w:t>INTRODUCTION</w:t>
      </w:r>
    </w:p>
    <w:p w:rsidR="00AA3DA9" w:rsidRDefault="00B9026C" w:rsidP="00AA3DA9">
      <w:pPr>
        <w:spacing w:line="480" w:lineRule="auto"/>
        <w:ind w:firstLine="720"/>
        <w:rPr>
          <w:rFonts w:ascii="Arial" w:hAnsi="Arial" w:cs="Arial"/>
          <w:sz w:val="24"/>
          <w:szCs w:val="24"/>
        </w:rPr>
      </w:pPr>
      <w:r>
        <w:rPr>
          <w:rFonts w:ascii="Arial" w:hAnsi="Arial" w:cs="Arial"/>
          <w:sz w:val="24"/>
          <w:szCs w:val="24"/>
        </w:rPr>
        <w:t>Interstate Gas Supply, Inc. (“</w:t>
      </w:r>
      <w:r w:rsidR="003507A1">
        <w:rPr>
          <w:rFonts w:ascii="Arial" w:hAnsi="Arial" w:cs="Arial"/>
          <w:sz w:val="24"/>
          <w:szCs w:val="24"/>
        </w:rPr>
        <w:t>IGS</w:t>
      </w:r>
      <w:r>
        <w:rPr>
          <w:rFonts w:ascii="Arial" w:hAnsi="Arial" w:cs="Arial"/>
          <w:sz w:val="24"/>
          <w:szCs w:val="24"/>
        </w:rPr>
        <w:t>” or “IGS Energy”)</w:t>
      </w:r>
      <w:r w:rsidR="003507A1">
        <w:rPr>
          <w:rFonts w:ascii="Arial" w:hAnsi="Arial" w:cs="Arial"/>
          <w:sz w:val="24"/>
          <w:szCs w:val="24"/>
        </w:rPr>
        <w:t xml:space="preserve"> would like to thank all commenters that have taken the time to submit input on the very important topic of the </w:t>
      </w:r>
      <w:r w:rsidR="00F43182">
        <w:rPr>
          <w:rFonts w:ascii="Arial" w:hAnsi="Arial" w:cs="Arial"/>
          <w:sz w:val="24"/>
          <w:szCs w:val="24"/>
        </w:rPr>
        <w:t>future</w:t>
      </w:r>
      <w:r w:rsidR="00683185">
        <w:rPr>
          <w:rFonts w:ascii="Arial" w:hAnsi="Arial" w:cs="Arial"/>
          <w:sz w:val="24"/>
          <w:szCs w:val="24"/>
        </w:rPr>
        <w:t xml:space="preserve"> of</w:t>
      </w:r>
      <w:r w:rsidR="00F43182">
        <w:rPr>
          <w:rFonts w:ascii="Arial" w:hAnsi="Arial" w:cs="Arial"/>
          <w:sz w:val="24"/>
          <w:szCs w:val="24"/>
        </w:rPr>
        <w:t xml:space="preserve"> Ohio</w:t>
      </w:r>
      <w:r w:rsidR="00683185">
        <w:rPr>
          <w:rFonts w:ascii="Arial" w:hAnsi="Arial" w:cs="Arial"/>
          <w:sz w:val="24"/>
          <w:szCs w:val="24"/>
        </w:rPr>
        <w:t>’s</w:t>
      </w:r>
      <w:r w:rsidR="00F43182">
        <w:rPr>
          <w:rFonts w:ascii="Arial" w:hAnsi="Arial" w:cs="Arial"/>
          <w:sz w:val="24"/>
          <w:szCs w:val="24"/>
        </w:rPr>
        <w:t xml:space="preserve"> </w:t>
      </w:r>
      <w:r w:rsidR="003507A1">
        <w:rPr>
          <w:rFonts w:ascii="Arial" w:hAnsi="Arial" w:cs="Arial"/>
          <w:sz w:val="24"/>
          <w:szCs w:val="24"/>
        </w:rPr>
        <w:t>electric markets. T</w:t>
      </w:r>
      <w:r w:rsidR="00F54777">
        <w:rPr>
          <w:rFonts w:ascii="Arial" w:hAnsi="Arial" w:cs="Arial"/>
          <w:sz w:val="24"/>
          <w:szCs w:val="24"/>
        </w:rPr>
        <w:t xml:space="preserve">here </w:t>
      </w:r>
      <w:r w:rsidR="003507A1">
        <w:rPr>
          <w:rFonts w:ascii="Arial" w:hAnsi="Arial" w:cs="Arial"/>
          <w:sz w:val="24"/>
          <w:szCs w:val="24"/>
        </w:rPr>
        <w:t>was</w:t>
      </w:r>
      <w:r w:rsidR="00F54777">
        <w:rPr>
          <w:rFonts w:ascii="Arial" w:hAnsi="Arial" w:cs="Arial"/>
          <w:sz w:val="24"/>
          <w:szCs w:val="24"/>
        </w:rPr>
        <w:t xml:space="preserve"> </w:t>
      </w:r>
      <w:r w:rsidR="00DB1A65">
        <w:rPr>
          <w:rFonts w:ascii="Arial" w:hAnsi="Arial" w:cs="Arial"/>
          <w:sz w:val="24"/>
          <w:szCs w:val="24"/>
        </w:rPr>
        <w:t>a diverse range of</w:t>
      </w:r>
      <w:r w:rsidR="00F54777">
        <w:rPr>
          <w:rFonts w:ascii="Arial" w:hAnsi="Arial" w:cs="Arial"/>
          <w:sz w:val="24"/>
          <w:szCs w:val="24"/>
        </w:rPr>
        <w:t xml:space="preserve"> </w:t>
      </w:r>
      <w:r w:rsidR="003507A1">
        <w:rPr>
          <w:rFonts w:ascii="Arial" w:hAnsi="Arial" w:cs="Arial"/>
          <w:sz w:val="24"/>
          <w:szCs w:val="24"/>
        </w:rPr>
        <w:t>opinions</w:t>
      </w:r>
      <w:r w:rsidR="00683185">
        <w:rPr>
          <w:rFonts w:ascii="Arial" w:hAnsi="Arial" w:cs="Arial"/>
          <w:sz w:val="24"/>
          <w:szCs w:val="24"/>
        </w:rPr>
        <w:t xml:space="preserve"> submitted in this proceeding,</w:t>
      </w:r>
      <w:r w:rsidR="003507A1">
        <w:rPr>
          <w:rFonts w:ascii="Arial" w:hAnsi="Arial" w:cs="Arial"/>
          <w:sz w:val="24"/>
          <w:szCs w:val="24"/>
        </w:rPr>
        <w:t xml:space="preserve"> </w:t>
      </w:r>
      <w:r w:rsidR="00F43182">
        <w:rPr>
          <w:rFonts w:ascii="Arial" w:hAnsi="Arial" w:cs="Arial"/>
          <w:sz w:val="24"/>
          <w:szCs w:val="24"/>
        </w:rPr>
        <w:t>and while not all of th</w:t>
      </w:r>
      <w:r w:rsidR="00683185">
        <w:rPr>
          <w:rFonts w:ascii="Arial" w:hAnsi="Arial" w:cs="Arial"/>
          <w:sz w:val="24"/>
          <w:szCs w:val="24"/>
        </w:rPr>
        <w:t>e parties agree on the issues, the time and effort that</w:t>
      </w:r>
      <w:r w:rsidR="00F06547">
        <w:rPr>
          <w:rFonts w:ascii="Arial" w:hAnsi="Arial" w:cs="Arial"/>
          <w:sz w:val="24"/>
          <w:szCs w:val="24"/>
        </w:rPr>
        <w:t xml:space="preserve"> each of the stakeholders,</w:t>
      </w:r>
      <w:r w:rsidR="00683185">
        <w:rPr>
          <w:rFonts w:ascii="Arial" w:hAnsi="Arial" w:cs="Arial"/>
          <w:sz w:val="24"/>
          <w:szCs w:val="24"/>
        </w:rPr>
        <w:t xml:space="preserve"> </w:t>
      </w:r>
      <w:r w:rsidR="009062FD">
        <w:rPr>
          <w:rFonts w:ascii="Arial" w:hAnsi="Arial" w:cs="Arial"/>
          <w:sz w:val="24"/>
          <w:szCs w:val="24"/>
        </w:rPr>
        <w:t>the Public Utilities Co</w:t>
      </w:r>
      <w:r w:rsidR="00F06547">
        <w:rPr>
          <w:rFonts w:ascii="Arial" w:hAnsi="Arial" w:cs="Arial"/>
          <w:sz w:val="24"/>
          <w:szCs w:val="24"/>
        </w:rPr>
        <w:t>mmission of Ohio (“Commission”) and</w:t>
      </w:r>
      <w:r w:rsidR="009062FD">
        <w:rPr>
          <w:rFonts w:ascii="Arial" w:hAnsi="Arial" w:cs="Arial"/>
          <w:sz w:val="24"/>
          <w:szCs w:val="24"/>
        </w:rPr>
        <w:t xml:space="preserve"> Commission Staff (“Staff”)</w:t>
      </w:r>
      <w:r w:rsidR="00F06547">
        <w:rPr>
          <w:rFonts w:ascii="Arial" w:hAnsi="Arial" w:cs="Arial"/>
          <w:sz w:val="24"/>
          <w:szCs w:val="24"/>
        </w:rPr>
        <w:t xml:space="preserve"> </w:t>
      </w:r>
      <w:r w:rsidR="00A51EE9">
        <w:rPr>
          <w:rFonts w:ascii="Arial" w:hAnsi="Arial" w:cs="Arial"/>
          <w:sz w:val="24"/>
          <w:szCs w:val="24"/>
        </w:rPr>
        <w:t xml:space="preserve">have </w:t>
      </w:r>
      <w:r w:rsidR="00683185">
        <w:rPr>
          <w:rFonts w:ascii="Arial" w:hAnsi="Arial" w:cs="Arial"/>
          <w:sz w:val="24"/>
          <w:szCs w:val="24"/>
        </w:rPr>
        <w:t xml:space="preserve">put into Ohio’s electric retail market investigation process is </w:t>
      </w:r>
      <w:r w:rsidR="00D46B0C">
        <w:rPr>
          <w:rFonts w:ascii="Arial" w:hAnsi="Arial" w:cs="Arial"/>
          <w:sz w:val="24"/>
          <w:szCs w:val="24"/>
        </w:rPr>
        <w:t>commendable</w:t>
      </w:r>
      <w:r w:rsidR="00DB1A65">
        <w:rPr>
          <w:rFonts w:ascii="Arial" w:hAnsi="Arial" w:cs="Arial"/>
          <w:sz w:val="24"/>
          <w:szCs w:val="24"/>
        </w:rPr>
        <w:t>.</w:t>
      </w:r>
      <w:r w:rsidR="00F43182">
        <w:rPr>
          <w:rFonts w:ascii="Arial" w:hAnsi="Arial" w:cs="Arial"/>
          <w:sz w:val="24"/>
          <w:szCs w:val="24"/>
        </w:rPr>
        <w:t xml:space="preserve"> In an effort not to be duplicative of</w:t>
      </w:r>
      <w:r w:rsidR="00683185">
        <w:rPr>
          <w:rFonts w:ascii="Arial" w:hAnsi="Arial" w:cs="Arial"/>
          <w:sz w:val="24"/>
          <w:szCs w:val="24"/>
        </w:rPr>
        <w:t xml:space="preserve"> arguments already made in this proceeding,</w:t>
      </w:r>
      <w:r w:rsidR="00B57D17">
        <w:rPr>
          <w:rFonts w:ascii="Arial" w:hAnsi="Arial" w:cs="Arial"/>
          <w:sz w:val="24"/>
          <w:szCs w:val="24"/>
        </w:rPr>
        <w:t xml:space="preserve"> IGS will</w:t>
      </w:r>
      <w:r w:rsidR="00F43182">
        <w:rPr>
          <w:rFonts w:ascii="Arial" w:hAnsi="Arial" w:cs="Arial"/>
          <w:sz w:val="24"/>
          <w:szCs w:val="24"/>
        </w:rPr>
        <w:t xml:space="preserve"> limit its reply comments to directly addressing the Initial Comments </w:t>
      </w:r>
      <w:r w:rsidR="009062FD">
        <w:rPr>
          <w:rFonts w:ascii="Arial" w:hAnsi="Arial" w:cs="Arial"/>
          <w:sz w:val="24"/>
          <w:szCs w:val="24"/>
        </w:rPr>
        <w:t>to Staff’s Report and Recommendations (“Staff Report”) filed</w:t>
      </w:r>
      <w:r>
        <w:rPr>
          <w:rFonts w:ascii="Arial" w:hAnsi="Arial" w:cs="Arial"/>
          <w:sz w:val="24"/>
          <w:szCs w:val="24"/>
        </w:rPr>
        <w:t xml:space="preserve"> </w:t>
      </w:r>
      <w:r w:rsidR="00683185">
        <w:rPr>
          <w:rFonts w:ascii="Arial" w:hAnsi="Arial" w:cs="Arial"/>
          <w:sz w:val="24"/>
          <w:szCs w:val="24"/>
        </w:rPr>
        <w:t xml:space="preserve">on February 6th, 2014. </w:t>
      </w:r>
    </w:p>
    <w:p w:rsidR="000D5CC5" w:rsidRPr="00F43182" w:rsidRDefault="00683185" w:rsidP="00F43182">
      <w:pPr>
        <w:pStyle w:val="ListParagraph"/>
        <w:numPr>
          <w:ilvl w:val="0"/>
          <w:numId w:val="1"/>
        </w:numPr>
        <w:spacing w:line="480" w:lineRule="auto"/>
        <w:rPr>
          <w:rFonts w:ascii="Arial" w:hAnsi="Arial" w:cs="Arial"/>
          <w:b/>
          <w:sz w:val="24"/>
          <w:szCs w:val="24"/>
        </w:rPr>
      </w:pPr>
      <w:r>
        <w:rPr>
          <w:rFonts w:ascii="Arial" w:hAnsi="Arial" w:cs="Arial"/>
          <w:b/>
          <w:sz w:val="24"/>
          <w:szCs w:val="24"/>
        </w:rPr>
        <w:t xml:space="preserve">REPLY </w:t>
      </w:r>
      <w:r w:rsidR="000D5CC5" w:rsidRPr="00F43182">
        <w:rPr>
          <w:rFonts w:ascii="Arial" w:hAnsi="Arial" w:cs="Arial"/>
          <w:b/>
          <w:sz w:val="24"/>
          <w:szCs w:val="24"/>
        </w:rPr>
        <w:t>COMMENTS</w:t>
      </w:r>
    </w:p>
    <w:p w:rsidR="000D5CC5" w:rsidRPr="00094055" w:rsidRDefault="000D5CC5" w:rsidP="000D5CC5">
      <w:pPr>
        <w:pStyle w:val="ListParagraph"/>
        <w:numPr>
          <w:ilvl w:val="0"/>
          <w:numId w:val="6"/>
        </w:numPr>
        <w:spacing w:line="240" w:lineRule="auto"/>
        <w:rPr>
          <w:rFonts w:ascii="Arial" w:hAnsi="Arial" w:cs="Arial"/>
          <w:b/>
          <w:sz w:val="24"/>
          <w:szCs w:val="24"/>
        </w:rPr>
      </w:pPr>
      <w:r>
        <w:rPr>
          <w:rFonts w:ascii="Arial" w:hAnsi="Arial" w:cs="Arial"/>
          <w:b/>
          <w:sz w:val="24"/>
          <w:szCs w:val="24"/>
        </w:rPr>
        <w:t>Texas Electric Markets Are Well Functioning and Have Been Extremely Successful at Bringing Benefits to Customers</w:t>
      </w:r>
      <w:r w:rsidR="00F55CCF">
        <w:rPr>
          <w:rFonts w:ascii="Arial" w:hAnsi="Arial" w:cs="Arial"/>
          <w:b/>
          <w:sz w:val="24"/>
          <w:szCs w:val="24"/>
        </w:rPr>
        <w:t>.</w:t>
      </w:r>
      <w:r>
        <w:rPr>
          <w:rFonts w:ascii="Arial" w:hAnsi="Arial" w:cs="Arial"/>
          <w:b/>
          <w:sz w:val="24"/>
          <w:szCs w:val="24"/>
        </w:rPr>
        <w:t xml:space="preserve"> </w:t>
      </w:r>
    </w:p>
    <w:p w:rsidR="000D5CC5" w:rsidRDefault="000D5CC5" w:rsidP="000D5CC5">
      <w:pPr>
        <w:spacing w:line="480" w:lineRule="auto"/>
        <w:ind w:firstLine="360"/>
        <w:rPr>
          <w:rFonts w:ascii="Arial" w:hAnsi="Arial" w:cs="Arial"/>
          <w:sz w:val="24"/>
          <w:szCs w:val="24"/>
        </w:rPr>
      </w:pPr>
      <w:r>
        <w:rPr>
          <w:rFonts w:ascii="Arial" w:hAnsi="Arial" w:cs="Arial"/>
          <w:sz w:val="24"/>
          <w:szCs w:val="24"/>
        </w:rPr>
        <w:lastRenderedPageBreak/>
        <w:t>In their comments the Office of Ohio Consumers’ Counsel (“OCC”) and the Ohio Partner</w:t>
      </w:r>
      <w:r w:rsidR="0062666B">
        <w:rPr>
          <w:rFonts w:ascii="Arial" w:hAnsi="Arial" w:cs="Arial"/>
          <w:sz w:val="24"/>
          <w:szCs w:val="24"/>
        </w:rPr>
        <w:t>s</w:t>
      </w:r>
      <w:r>
        <w:rPr>
          <w:rFonts w:ascii="Arial" w:hAnsi="Arial" w:cs="Arial"/>
          <w:sz w:val="24"/>
          <w:szCs w:val="24"/>
        </w:rPr>
        <w:t xml:space="preserve"> for Affordable Energy, </w:t>
      </w:r>
      <w:r w:rsidR="00AF466B">
        <w:rPr>
          <w:rFonts w:ascii="Arial" w:hAnsi="Arial" w:cs="Arial"/>
          <w:sz w:val="24"/>
          <w:szCs w:val="24"/>
        </w:rPr>
        <w:t>and other interest groups</w:t>
      </w:r>
      <w:r w:rsidR="00AF466B">
        <w:rPr>
          <w:rStyle w:val="FootnoteReference"/>
          <w:rFonts w:ascii="Arial" w:hAnsi="Arial" w:cs="Arial"/>
          <w:sz w:val="24"/>
          <w:szCs w:val="24"/>
        </w:rPr>
        <w:footnoteReference w:id="1"/>
      </w:r>
      <w:r w:rsidR="0062666B">
        <w:rPr>
          <w:rFonts w:ascii="Arial" w:hAnsi="Arial" w:cs="Arial"/>
          <w:sz w:val="24"/>
          <w:szCs w:val="24"/>
        </w:rPr>
        <w:t xml:space="preserve"> </w:t>
      </w:r>
      <w:r>
        <w:rPr>
          <w:rFonts w:ascii="Arial" w:hAnsi="Arial" w:cs="Arial"/>
          <w:sz w:val="24"/>
          <w:szCs w:val="24"/>
        </w:rPr>
        <w:t>(</w:t>
      </w:r>
      <w:r w:rsidR="00AF466B">
        <w:rPr>
          <w:rFonts w:ascii="Arial" w:hAnsi="Arial" w:cs="Arial"/>
          <w:sz w:val="24"/>
          <w:szCs w:val="24"/>
        </w:rPr>
        <w:t xml:space="preserve">hereinafter referred to as </w:t>
      </w:r>
      <w:r>
        <w:rPr>
          <w:rFonts w:ascii="Arial" w:hAnsi="Arial" w:cs="Arial"/>
          <w:sz w:val="24"/>
          <w:szCs w:val="24"/>
        </w:rPr>
        <w:t>“OPAE”)</w:t>
      </w:r>
      <w:r w:rsidR="0062666B">
        <w:rPr>
          <w:rFonts w:ascii="Arial" w:hAnsi="Arial" w:cs="Arial"/>
          <w:sz w:val="24"/>
          <w:szCs w:val="24"/>
        </w:rPr>
        <w:t xml:space="preserve"> restate</w:t>
      </w:r>
      <w:r w:rsidR="00A51EE9">
        <w:rPr>
          <w:rFonts w:ascii="Arial" w:hAnsi="Arial" w:cs="Arial"/>
          <w:sz w:val="24"/>
          <w:szCs w:val="24"/>
        </w:rPr>
        <w:t>d</w:t>
      </w:r>
      <w:r>
        <w:rPr>
          <w:rFonts w:ascii="Arial" w:hAnsi="Arial" w:cs="Arial"/>
          <w:sz w:val="24"/>
          <w:szCs w:val="24"/>
        </w:rPr>
        <w:t xml:space="preserve"> their</w:t>
      </w:r>
      <w:r w:rsidR="0062666B">
        <w:rPr>
          <w:rFonts w:ascii="Arial" w:hAnsi="Arial" w:cs="Arial"/>
          <w:sz w:val="24"/>
          <w:szCs w:val="24"/>
        </w:rPr>
        <w:t xml:space="preserve"> position that the current SSO structure procured by a descending clock auction should remain the default rate st</w:t>
      </w:r>
      <w:r w:rsidR="008743C8">
        <w:rPr>
          <w:rFonts w:ascii="Arial" w:hAnsi="Arial" w:cs="Arial"/>
          <w:sz w:val="24"/>
          <w:szCs w:val="24"/>
        </w:rPr>
        <w:t xml:space="preserve">ructure of all Ohio customers. </w:t>
      </w:r>
      <w:r w:rsidR="0062666B">
        <w:rPr>
          <w:rFonts w:ascii="Arial" w:hAnsi="Arial" w:cs="Arial"/>
          <w:sz w:val="24"/>
          <w:szCs w:val="24"/>
        </w:rPr>
        <w:t>The position of OCC and OPAE is not surprising, as it is the position taken by OCC and OPAE in numerous filings</w:t>
      </w:r>
      <w:r w:rsidR="008743C8">
        <w:rPr>
          <w:rFonts w:ascii="Arial" w:hAnsi="Arial" w:cs="Arial"/>
          <w:sz w:val="24"/>
          <w:szCs w:val="24"/>
        </w:rPr>
        <w:t xml:space="preserve"> submitted in this proceeding. </w:t>
      </w:r>
      <w:r w:rsidR="0062666B">
        <w:rPr>
          <w:rFonts w:ascii="Arial" w:hAnsi="Arial" w:cs="Arial"/>
          <w:sz w:val="24"/>
          <w:szCs w:val="24"/>
        </w:rPr>
        <w:t xml:space="preserve">IGS respectfully disagrees with this position and points to IGS’ Initial Comments to the Staff Report filed on February 6, 2014 </w:t>
      </w:r>
      <w:r w:rsidR="00BB476F">
        <w:rPr>
          <w:rFonts w:ascii="Arial" w:hAnsi="Arial" w:cs="Arial"/>
          <w:sz w:val="24"/>
          <w:szCs w:val="24"/>
        </w:rPr>
        <w:t>for further detail as to why.</w:t>
      </w:r>
      <w:r w:rsidR="00BB476F">
        <w:rPr>
          <w:rStyle w:val="FootnoteReference"/>
          <w:rFonts w:ascii="Arial" w:hAnsi="Arial" w:cs="Arial"/>
          <w:sz w:val="24"/>
          <w:szCs w:val="24"/>
        </w:rPr>
        <w:footnoteReference w:id="2"/>
      </w:r>
      <w:r w:rsidR="0062666B">
        <w:rPr>
          <w:rFonts w:ascii="Arial" w:hAnsi="Arial" w:cs="Arial"/>
          <w:sz w:val="24"/>
          <w:szCs w:val="24"/>
        </w:rPr>
        <w:t xml:space="preserve"> </w:t>
      </w:r>
      <w:r w:rsidR="00083D82">
        <w:rPr>
          <w:rFonts w:ascii="Arial" w:hAnsi="Arial" w:cs="Arial"/>
          <w:sz w:val="24"/>
          <w:szCs w:val="24"/>
        </w:rPr>
        <w:t>While t</w:t>
      </w:r>
      <w:r w:rsidR="00ED51B3">
        <w:rPr>
          <w:rFonts w:ascii="Arial" w:hAnsi="Arial" w:cs="Arial"/>
          <w:sz w:val="24"/>
          <w:szCs w:val="24"/>
        </w:rPr>
        <w:t>he</w:t>
      </w:r>
      <w:r w:rsidR="00083D82">
        <w:rPr>
          <w:rFonts w:ascii="Arial" w:hAnsi="Arial" w:cs="Arial"/>
          <w:sz w:val="24"/>
          <w:szCs w:val="24"/>
        </w:rPr>
        <w:t xml:space="preserve"> majority of OCC and OPAE comments are nothing new,</w:t>
      </w:r>
      <w:r w:rsidR="00BB476F">
        <w:rPr>
          <w:rFonts w:ascii="Arial" w:hAnsi="Arial" w:cs="Arial"/>
          <w:sz w:val="24"/>
          <w:szCs w:val="24"/>
        </w:rPr>
        <w:t xml:space="preserve"> both OCC</w:t>
      </w:r>
      <w:r w:rsidR="00B9026C">
        <w:rPr>
          <w:rFonts w:ascii="Arial" w:hAnsi="Arial" w:cs="Arial"/>
          <w:sz w:val="24"/>
          <w:szCs w:val="24"/>
        </w:rPr>
        <w:t xml:space="preserve"> and OPAE</w:t>
      </w:r>
      <w:r w:rsidR="00BB476F">
        <w:rPr>
          <w:rFonts w:ascii="Arial" w:hAnsi="Arial" w:cs="Arial"/>
          <w:sz w:val="24"/>
          <w:szCs w:val="24"/>
        </w:rPr>
        <w:t xml:space="preserve"> rely heavily on their characterizations of the Texas electric markets</w:t>
      </w:r>
      <w:r w:rsidR="00B9026C">
        <w:rPr>
          <w:rFonts w:ascii="Arial" w:hAnsi="Arial" w:cs="Arial"/>
          <w:sz w:val="24"/>
          <w:szCs w:val="24"/>
        </w:rPr>
        <w:t xml:space="preserve"> to</w:t>
      </w:r>
      <w:r w:rsidR="00BB476F">
        <w:rPr>
          <w:rFonts w:ascii="Arial" w:hAnsi="Arial" w:cs="Arial"/>
          <w:sz w:val="24"/>
          <w:szCs w:val="24"/>
        </w:rPr>
        <w:t xml:space="preserve"> </w:t>
      </w:r>
      <w:r w:rsidR="00B9026C">
        <w:rPr>
          <w:rFonts w:ascii="Arial" w:hAnsi="Arial" w:cs="Arial"/>
          <w:sz w:val="24"/>
          <w:szCs w:val="24"/>
        </w:rPr>
        <w:t>argue that Ohio’s default structure should not change because Ohio does not want to end up like Texas</w:t>
      </w:r>
      <w:r w:rsidR="00BB476F">
        <w:rPr>
          <w:rFonts w:ascii="Arial" w:hAnsi="Arial" w:cs="Arial"/>
          <w:sz w:val="24"/>
          <w:szCs w:val="24"/>
        </w:rPr>
        <w:t>.</w:t>
      </w:r>
      <w:r w:rsidR="00BB476F">
        <w:rPr>
          <w:rStyle w:val="FootnoteReference"/>
          <w:rFonts w:ascii="Arial" w:hAnsi="Arial" w:cs="Arial"/>
          <w:sz w:val="24"/>
          <w:szCs w:val="24"/>
        </w:rPr>
        <w:footnoteReference w:id="3"/>
      </w:r>
      <w:r w:rsidR="0062666B">
        <w:rPr>
          <w:rFonts w:ascii="Arial" w:hAnsi="Arial" w:cs="Arial"/>
          <w:sz w:val="24"/>
          <w:szCs w:val="24"/>
        </w:rPr>
        <w:t xml:space="preserve"> </w:t>
      </w:r>
      <w:r w:rsidR="00683185">
        <w:rPr>
          <w:rFonts w:ascii="Arial" w:hAnsi="Arial" w:cs="Arial"/>
          <w:sz w:val="24"/>
          <w:szCs w:val="24"/>
        </w:rPr>
        <w:t>IGS</w:t>
      </w:r>
      <w:r w:rsidR="009A348F">
        <w:rPr>
          <w:rFonts w:ascii="Arial" w:hAnsi="Arial" w:cs="Arial"/>
          <w:sz w:val="24"/>
          <w:szCs w:val="24"/>
        </w:rPr>
        <w:t>, thus,</w:t>
      </w:r>
      <w:r w:rsidR="00683185">
        <w:rPr>
          <w:rFonts w:ascii="Arial" w:hAnsi="Arial" w:cs="Arial"/>
          <w:sz w:val="24"/>
          <w:szCs w:val="24"/>
        </w:rPr>
        <w:t xml:space="preserve"> would be remi</w:t>
      </w:r>
      <w:r w:rsidR="00B57D17">
        <w:rPr>
          <w:rFonts w:ascii="Arial" w:hAnsi="Arial" w:cs="Arial"/>
          <w:sz w:val="24"/>
          <w:szCs w:val="24"/>
        </w:rPr>
        <w:t>ss if it did not point out the inaccuracies and misrepresentations made</w:t>
      </w:r>
      <w:r w:rsidR="00683185">
        <w:rPr>
          <w:rFonts w:ascii="Arial" w:hAnsi="Arial" w:cs="Arial"/>
          <w:sz w:val="24"/>
          <w:szCs w:val="24"/>
        </w:rPr>
        <w:t xml:space="preserve"> by the OCC and OPAE</w:t>
      </w:r>
      <w:r w:rsidR="00B9026C">
        <w:rPr>
          <w:rFonts w:ascii="Arial" w:hAnsi="Arial" w:cs="Arial"/>
          <w:sz w:val="24"/>
          <w:szCs w:val="24"/>
        </w:rPr>
        <w:t xml:space="preserve"> </w:t>
      </w:r>
      <w:r w:rsidR="00083D82">
        <w:rPr>
          <w:rFonts w:ascii="Arial" w:hAnsi="Arial" w:cs="Arial"/>
          <w:sz w:val="24"/>
          <w:szCs w:val="24"/>
        </w:rPr>
        <w:t>about Texas electric markets</w:t>
      </w:r>
      <w:r w:rsidR="00683185">
        <w:rPr>
          <w:rFonts w:ascii="Arial" w:hAnsi="Arial" w:cs="Arial"/>
          <w:sz w:val="24"/>
          <w:szCs w:val="24"/>
        </w:rPr>
        <w:t>.</w:t>
      </w:r>
      <w:r w:rsidR="0062666B">
        <w:rPr>
          <w:rFonts w:ascii="Arial" w:hAnsi="Arial" w:cs="Arial"/>
          <w:sz w:val="24"/>
          <w:szCs w:val="24"/>
        </w:rPr>
        <w:t xml:space="preserve"> </w:t>
      </w:r>
    </w:p>
    <w:p w:rsidR="00337316" w:rsidRDefault="00B57D17" w:rsidP="004D2C52">
      <w:pPr>
        <w:spacing w:line="480" w:lineRule="auto"/>
        <w:ind w:firstLine="360"/>
        <w:rPr>
          <w:rFonts w:ascii="Arial" w:hAnsi="Arial" w:cs="Arial"/>
          <w:sz w:val="24"/>
          <w:szCs w:val="24"/>
        </w:rPr>
      </w:pPr>
      <w:r>
        <w:rPr>
          <w:rFonts w:ascii="Arial" w:hAnsi="Arial" w:cs="Arial"/>
          <w:sz w:val="24"/>
          <w:szCs w:val="24"/>
        </w:rPr>
        <w:t>B</w:t>
      </w:r>
      <w:r w:rsidR="00AF466B">
        <w:rPr>
          <w:rFonts w:ascii="Arial" w:hAnsi="Arial" w:cs="Arial"/>
          <w:sz w:val="24"/>
          <w:szCs w:val="24"/>
        </w:rPr>
        <w:t xml:space="preserve">oth </w:t>
      </w:r>
      <w:r w:rsidR="00B9026C">
        <w:rPr>
          <w:rFonts w:ascii="Arial" w:hAnsi="Arial" w:cs="Arial"/>
          <w:sz w:val="24"/>
          <w:szCs w:val="24"/>
        </w:rPr>
        <w:t>OCC and OPAE claim that</w:t>
      </w:r>
      <w:r w:rsidR="00FD7B14">
        <w:rPr>
          <w:rFonts w:ascii="Arial" w:hAnsi="Arial" w:cs="Arial"/>
          <w:sz w:val="24"/>
          <w:szCs w:val="24"/>
        </w:rPr>
        <w:t xml:space="preserve"> Texas customers are experiencing</w:t>
      </w:r>
      <w:r w:rsidR="00B9026C">
        <w:rPr>
          <w:rFonts w:ascii="Arial" w:hAnsi="Arial" w:cs="Arial"/>
          <w:sz w:val="24"/>
          <w:szCs w:val="24"/>
        </w:rPr>
        <w:t xml:space="preserve"> higher electric prices as a result of eliminating default service</w:t>
      </w:r>
      <w:r w:rsidR="00AF466B">
        <w:rPr>
          <w:rFonts w:ascii="Arial" w:hAnsi="Arial" w:cs="Arial"/>
          <w:sz w:val="24"/>
          <w:szCs w:val="24"/>
        </w:rPr>
        <w:t>.</w:t>
      </w:r>
      <w:r w:rsidR="00AF466B">
        <w:rPr>
          <w:rStyle w:val="FootnoteReference"/>
          <w:rFonts w:ascii="Arial" w:hAnsi="Arial" w:cs="Arial"/>
          <w:sz w:val="24"/>
          <w:szCs w:val="24"/>
        </w:rPr>
        <w:footnoteReference w:id="4"/>
      </w:r>
      <w:r w:rsidR="008743C8">
        <w:rPr>
          <w:rFonts w:ascii="Arial" w:hAnsi="Arial" w:cs="Arial"/>
          <w:sz w:val="24"/>
          <w:szCs w:val="24"/>
        </w:rPr>
        <w:t xml:space="preserve"> </w:t>
      </w:r>
      <w:r w:rsidR="00915111">
        <w:rPr>
          <w:rFonts w:ascii="Arial" w:hAnsi="Arial" w:cs="Arial"/>
          <w:sz w:val="24"/>
          <w:szCs w:val="24"/>
        </w:rPr>
        <w:t xml:space="preserve">These claims are false. </w:t>
      </w:r>
      <w:r w:rsidR="00D75482">
        <w:rPr>
          <w:rFonts w:ascii="Arial" w:hAnsi="Arial" w:cs="Arial"/>
          <w:sz w:val="24"/>
          <w:szCs w:val="24"/>
        </w:rPr>
        <w:t>The most recent d</w:t>
      </w:r>
      <w:r w:rsidR="00915111">
        <w:rPr>
          <w:rFonts w:ascii="Arial" w:hAnsi="Arial" w:cs="Arial"/>
          <w:sz w:val="24"/>
          <w:szCs w:val="24"/>
        </w:rPr>
        <w:t>ata</w:t>
      </w:r>
      <w:r w:rsidR="00B9026C">
        <w:rPr>
          <w:rFonts w:ascii="Arial" w:hAnsi="Arial" w:cs="Arial"/>
          <w:sz w:val="24"/>
          <w:szCs w:val="24"/>
        </w:rPr>
        <w:t xml:space="preserve"> </w:t>
      </w:r>
      <w:r w:rsidR="00915111">
        <w:rPr>
          <w:rFonts w:ascii="Arial" w:hAnsi="Arial" w:cs="Arial"/>
          <w:sz w:val="24"/>
          <w:szCs w:val="24"/>
        </w:rPr>
        <w:t>issued by the United States Energy Information Agen</w:t>
      </w:r>
      <w:r w:rsidR="00FD7B14">
        <w:rPr>
          <w:rFonts w:ascii="Arial" w:hAnsi="Arial" w:cs="Arial"/>
          <w:sz w:val="24"/>
          <w:szCs w:val="24"/>
        </w:rPr>
        <w:t xml:space="preserve">cy (“EIA”) shows </w:t>
      </w:r>
      <w:proofErr w:type="gramStart"/>
      <w:r w:rsidR="00FB519C">
        <w:rPr>
          <w:rFonts w:ascii="Arial" w:hAnsi="Arial" w:cs="Arial"/>
          <w:sz w:val="24"/>
          <w:szCs w:val="24"/>
        </w:rPr>
        <w:t>that customer</w:t>
      </w:r>
      <w:r w:rsidR="004944B4">
        <w:rPr>
          <w:rFonts w:ascii="Arial" w:hAnsi="Arial" w:cs="Arial"/>
          <w:sz w:val="24"/>
          <w:szCs w:val="24"/>
        </w:rPr>
        <w:t>s</w:t>
      </w:r>
      <w:proofErr w:type="gramEnd"/>
      <w:r w:rsidR="00915111">
        <w:rPr>
          <w:rFonts w:ascii="Arial" w:hAnsi="Arial" w:cs="Arial"/>
          <w:sz w:val="24"/>
          <w:szCs w:val="24"/>
        </w:rPr>
        <w:t xml:space="preserve"> in Texas </w:t>
      </w:r>
      <w:r w:rsidR="00FD7B14">
        <w:rPr>
          <w:rFonts w:ascii="Arial" w:hAnsi="Arial" w:cs="Arial"/>
          <w:sz w:val="24"/>
          <w:szCs w:val="24"/>
        </w:rPr>
        <w:t>(including residential</w:t>
      </w:r>
      <w:r w:rsidR="008637D3">
        <w:rPr>
          <w:rFonts w:ascii="Arial" w:hAnsi="Arial" w:cs="Arial"/>
          <w:sz w:val="24"/>
          <w:szCs w:val="24"/>
        </w:rPr>
        <w:t xml:space="preserve"> customers</w:t>
      </w:r>
      <w:r w:rsidR="00FD7B14">
        <w:rPr>
          <w:rFonts w:ascii="Arial" w:hAnsi="Arial" w:cs="Arial"/>
          <w:sz w:val="24"/>
          <w:szCs w:val="24"/>
        </w:rPr>
        <w:t>) pay less per KWH</w:t>
      </w:r>
      <w:r w:rsidR="00915111">
        <w:rPr>
          <w:rFonts w:ascii="Arial" w:hAnsi="Arial" w:cs="Arial"/>
          <w:sz w:val="24"/>
          <w:szCs w:val="24"/>
        </w:rPr>
        <w:t xml:space="preserve"> for electricity than the national average</w:t>
      </w:r>
      <w:r w:rsidR="00AD3CB6">
        <w:rPr>
          <w:rFonts w:ascii="Arial" w:hAnsi="Arial" w:cs="Arial"/>
          <w:sz w:val="24"/>
          <w:szCs w:val="24"/>
        </w:rPr>
        <w:t xml:space="preserve"> and less than Ohio customers</w:t>
      </w:r>
      <w:r w:rsidR="00915111">
        <w:rPr>
          <w:rFonts w:ascii="Arial" w:hAnsi="Arial" w:cs="Arial"/>
          <w:sz w:val="24"/>
          <w:szCs w:val="24"/>
        </w:rPr>
        <w:t>.</w:t>
      </w:r>
      <w:r w:rsidR="00915111" w:rsidRPr="00915111">
        <w:rPr>
          <w:rStyle w:val="FootnoteReference"/>
          <w:rFonts w:ascii="Arial" w:hAnsi="Arial" w:cs="Arial"/>
          <w:sz w:val="24"/>
          <w:szCs w:val="24"/>
        </w:rPr>
        <w:t xml:space="preserve"> </w:t>
      </w:r>
      <w:r w:rsidR="00915111">
        <w:rPr>
          <w:rStyle w:val="FootnoteReference"/>
          <w:rFonts w:ascii="Arial" w:hAnsi="Arial" w:cs="Arial"/>
          <w:sz w:val="24"/>
          <w:szCs w:val="24"/>
        </w:rPr>
        <w:footnoteReference w:id="5"/>
      </w:r>
      <w:r w:rsidR="004D2C52">
        <w:rPr>
          <w:rFonts w:ascii="Arial" w:hAnsi="Arial" w:cs="Arial"/>
          <w:sz w:val="24"/>
          <w:szCs w:val="24"/>
        </w:rPr>
        <w:t xml:space="preserve"> </w:t>
      </w:r>
      <w:r w:rsidR="00094055">
        <w:rPr>
          <w:rFonts w:ascii="Arial" w:hAnsi="Arial" w:cs="Arial"/>
          <w:sz w:val="24"/>
          <w:szCs w:val="24"/>
        </w:rPr>
        <w:t>Also, a</w:t>
      </w:r>
      <w:r w:rsidR="00AD3CB6">
        <w:rPr>
          <w:rFonts w:ascii="Arial" w:hAnsi="Arial" w:cs="Arial"/>
          <w:sz w:val="24"/>
          <w:szCs w:val="24"/>
        </w:rPr>
        <w:t xml:space="preserve"> recent report issued </w:t>
      </w:r>
      <w:r w:rsidR="00AD3CB6">
        <w:rPr>
          <w:rFonts w:ascii="Arial" w:hAnsi="Arial" w:cs="Arial"/>
          <w:sz w:val="24"/>
          <w:szCs w:val="24"/>
        </w:rPr>
        <w:lastRenderedPageBreak/>
        <w:t xml:space="preserve">by the </w:t>
      </w:r>
      <w:r w:rsidR="00AD3CB6" w:rsidRPr="00FD7B14">
        <w:rPr>
          <w:rFonts w:ascii="Arial" w:hAnsi="Arial" w:cs="Arial"/>
          <w:i/>
          <w:sz w:val="24"/>
          <w:szCs w:val="24"/>
        </w:rPr>
        <w:t xml:space="preserve">Public Utilities Commission of Texas </w:t>
      </w:r>
      <w:r w:rsidR="00AD3CB6" w:rsidRPr="00FD7B14">
        <w:rPr>
          <w:rFonts w:ascii="Arial" w:hAnsi="Arial" w:cs="Arial"/>
          <w:sz w:val="24"/>
          <w:szCs w:val="24"/>
        </w:rPr>
        <w:t>(“PUCT”)</w:t>
      </w:r>
      <w:r w:rsidR="004D2C52" w:rsidRPr="00FD7B14">
        <w:rPr>
          <w:rFonts w:ascii="Arial" w:hAnsi="Arial" w:cs="Arial"/>
          <w:i/>
          <w:sz w:val="24"/>
          <w:szCs w:val="24"/>
        </w:rPr>
        <w:t xml:space="preserve"> </w:t>
      </w:r>
      <w:r w:rsidR="00AD3CB6">
        <w:rPr>
          <w:rFonts w:ascii="Arial" w:hAnsi="Arial" w:cs="Arial"/>
          <w:sz w:val="24"/>
          <w:szCs w:val="24"/>
        </w:rPr>
        <w:t xml:space="preserve">found that prices in Texas </w:t>
      </w:r>
      <w:r w:rsidR="009A348F">
        <w:rPr>
          <w:rFonts w:ascii="Arial" w:hAnsi="Arial" w:cs="Arial"/>
          <w:sz w:val="24"/>
          <w:szCs w:val="24"/>
        </w:rPr>
        <w:t>have decreased since the state completely restructured its electric markets in 2002 and that customers in all competitive electric markets are able to enroll in electric prices well below the national average price for electricity.</w:t>
      </w:r>
      <w:r w:rsidR="009A348F">
        <w:rPr>
          <w:rStyle w:val="FootnoteReference"/>
          <w:rFonts w:ascii="Arial" w:hAnsi="Arial" w:cs="Arial"/>
          <w:sz w:val="24"/>
          <w:szCs w:val="24"/>
        </w:rPr>
        <w:footnoteReference w:id="6"/>
      </w:r>
      <w:r w:rsidR="00FD7B14">
        <w:rPr>
          <w:rFonts w:ascii="Arial" w:hAnsi="Arial" w:cs="Arial"/>
          <w:sz w:val="24"/>
          <w:szCs w:val="24"/>
        </w:rPr>
        <w:t xml:space="preserve"> Also, t</w:t>
      </w:r>
      <w:r w:rsidR="009A348F">
        <w:rPr>
          <w:rFonts w:ascii="Arial" w:hAnsi="Arial" w:cs="Arial"/>
          <w:sz w:val="24"/>
          <w:szCs w:val="24"/>
        </w:rPr>
        <w:t>he fact th</w:t>
      </w:r>
      <w:r w:rsidR="00ED51B3">
        <w:rPr>
          <w:rFonts w:ascii="Arial" w:hAnsi="Arial" w:cs="Arial"/>
          <w:sz w:val="24"/>
          <w:szCs w:val="24"/>
        </w:rPr>
        <w:t>at</w:t>
      </w:r>
      <w:r w:rsidR="009A348F">
        <w:rPr>
          <w:rFonts w:ascii="Arial" w:hAnsi="Arial" w:cs="Arial"/>
          <w:sz w:val="24"/>
          <w:szCs w:val="24"/>
        </w:rPr>
        <w:t xml:space="preserve"> Texans are paying less for electricity than the rest of the country is remarkable given </w:t>
      </w:r>
      <w:r w:rsidR="00FD7B14">
        <w:rPr>
          <w:rFonts w:ascii="Arial" w:hAnsi="Arial" w:cs="Arial"/>
          <w:sz w:val="24"/>
          <w:szCs w:val="24"/>
        </w:rPr>
        <w:t xml:space="preserve">that </w:t>
      </w:r>
      <w:r w:rsidR="009A348F" w:rsidRPr="00BE6A48">
        <w:rPr>
          <w:rFonts w:ascii="Arial" w:hAnsi="Arial" w:cs="Arial"/>
          <w:sz w:val="24"/>
          <w:szCs w:val="24"/>
        </w:rPr>
        <w:t>Texas currently has the second fastest growi</w:t>
      </w:r>
      <w:r w:rsidR="009A348F">
        <w:rPr>
          <w:rFonts w:ascii="Arial" w:hAnsi="Arial" w:cs="Arial"/>
          <w:sz w:val="24"/>
          <w:szCs w:val="24"/>
        </w:rPr>
        <w:t>ng economy in the United States</w:t>
      </w:r>
      <w:r w:rsidR="009A348F" w:rsidRPr="00BE6A48">
        <w:rPr>
          <w:rStyle w:val="FootnoteReference"/>
          <w:rFonts w:ascii="Arial" w:hAnsi="Arial" w:cs="Arial"/>
          <w:sz w:val="24"/>
          <w:szCs w:val="24"/>
        </w:rPr>
        <w:footnoteReference w:id="7"/>
      </w:r>
      <w:r w:rsidR="009A348F" w:rsidRPr="00BE6A48">
        <w:rPr>
          <w:rFonts w:ascii="Arial" w:hAnsi="Arial" w:cs="Arial"/>
          <w:sz w:val="24"/>
          <w:szCs w:val="24"/>
        </w:rPr>
        <w:t xml:space="preserve"> </w:t>
      </w:r>
      <w:r w:rsidR="009A348F">
        <w:rPr>
          <w:rFonts w:ascii="Arial" w:hAnsi="Arial" w:cs="Arial"/>
          <w:sz w:val="24"/>
          <w:szCs w:val="24"/>
        </w:rPr>
        <w:t>and</w:t>
      </w:r>
      <w:r w:rsidR="009A348F" w:rsidRPr="00BE6A48">
        <w:rPr>
          <w:rFonts w:ascii="Arial" w:hAnsi="Arial" w:cs="Arial"/>
          <w:sz w:val="24"/>
          <w:szCs w:val="24"/>
        </w:rPr>
        <w:t xml:space="preserve"> GDP in Texas </w:t>
      </w:r>
      <w:r w:rsidR="009A348F">
        <w:rPr>
          <w:rFonts w:ascii="Arial" w:hAnsi="Arial" w:cs="Arial"/>
          <w:sz w:val="24"/>
          <w:szCs w:val="24"/>
        </w:rPr>
        <w:t>h</w:t>
      </w:r>
      <w:r w:rsidR="009A348F" w:rsidRPr="00BE6A48">
        <w:rPr>
          <w:rFonts w:ascii="Arial" w:hAnsi="Arial" w:cs="Arial"/>
          <w:sz w:val="24"/>
          <w:szCs w:val="24"/>
        </w:rPr>
        <w:t>as nearly double</w:t>
      </w:r>
      <w:r w:rsidR="009A348F">
        <w:rPr>
          <w:rFonts w:ascii="Arial" w:hAnsi="Arial" w:cs="Arial"/>
          <w:sz w:val="24"/>
          <w:szCs w:val="24"/>
        </w:rPr>
        <w:t>d</w:t>
      </w:r>
      <w:r w:rsidR="009A348F" w:rsidRPr="00BE6A48">
        <w:rPr>
          <w:rFonts w:ascii="Arial" w:hAnsi="Arial" w:cs="Arial"/>
          <w:sz w:val="24"/>
          <w:szCs w:val="24"/>
        </w:rPr>
        <w:t xml:space="preserve"> since 2000.</w:t>
      </w:r>
      <w:r w:rsidR="009A348F" w:rsidRPr="00BE6A48">
        <w:rPr>
          <w:rStyle w:val="FootnoteReference"/>
          <w:rFonts w:ascii="Arial" w:hAnsi="Arial" w:cs="Arial"/>
          <w:sz w:val="24"/>
          <w:szCs w:val="24"/>
        </w:rPr>
        <w:footnoteReference w:id="8"/>
      </w:r>
      <w:r w:rsidR="009A348F">
        <w:rPr>
          <w:rFonts w:ascii="Arial" w:hAnsi="Arial" w:cs="Arial"/>
          <w:sz w:val="24"/>
          <w:szCs w:val="24"/>
        </w:rPr>
        <w:t xml:space="preserve"> </w:t>
      </w:r>
    </w:p>
    <w:p w:rsidR="00B4330A" w:rsidRDefault="00B57D17" w:rsidP="00337316">
      <w:pPr>
        <w:spacing w:line="480" w:lineRule="auto"/>
        <w:ind w:firstLine="720"/>
        <w:rPr>
          <w:rFonts w:ascii="Arial" w:hAnsi="Arial" w:cs="Arial"/>
          <w:sz w:val="24"/>
          <w:szCs w:val="24"/>
        </w:rPr>
      </w:pPr>
      <w:r>
        <w:rPr>
          <w:rFonts w:ascii="Arial" w:hAnsi="Arial" w:cs="Arial"/>
          <w:sz w:val="24"/>
          <w:szCs w:val="24"/>
        </w:rPr>
        <w:t>OCC also claims that the elimination of default service has resulted in higher cancellation fees</w:t>
      </w:r>
      <w:r w:rsidR="00383E1C">
        <w:rPr>
          <w:rFonts w:ascii="Arial" w:hAnsi="Arial" w:cs="Arial"/>
          <w:sz w:val="24"/>
          <w:szCs w:val="24"/>
        </w:rPr>
        <w:t xml:space="preserve"> in Texas</w:t>
      </w:r>
      <w:r w:rsidR="00A51EE9">
        <w:rPr>
          <w:rFonts w:ascii="Arial" w:hAnsi="Arial" w:cs="Arial"/>
          <w:sz w:val="24"/>
          <w:szCs w:val="24"/>
        </w:rPr>
        <w:t>—</w:t>
      </w:r>
      <w:r w:rsidR="00383E1C">
        <w:rPr>
          <w:rFonts w:ascii="Arial" w:hAnsi="Arial" w:cs="Arial"/>
          <w:sz w:val="24"/>
          <w:szCs w:val="24"/>
        </w:rPr>
        <w:t>sometimes as high a $200 per customer.</w:t>
      </w:r>
      <w:r w:rsidR="00383E1C">
        <w:rPr>
          <w:rStyle w:val="FootnoteReference"/>
          <w:rFonts w:ascii="Arial" w:hAnsi="Arial" w:cs="Arial"/>
          <w:sz w:val="24"/>
          <w:szCs w:val="24"/>
        </w:rPr>
        <w:footnoteReference w:id="9"/>
      </w:r>
      <w:r>
        <w:rPr>
          <w:rFonts w:ascii="Arial" w:hAnsi="Arial" w:cs="Arial"/>
          <w:sz w:val="24"/>
          <w:szCs w:val="24"/>
        </w:rPr>
        <w:t xml:space="preserve"> </w:t>
      </w:r>
      <w:r w:rsidR="008743C8">
        <w:rPr>
          <w:rFonts w:ascii="Arial" w:hAnsi="Arial" w:cs="Arial"/>
          <w:sz w:val="24"/>
          <w:szCs w:val="24"/>
        </w:rPr>
        <w:t xml:space="preserve">This claim is also false. </w:t>
      </w:r>
      <w:r w:rsidR="00FF1C04">
        <w:rPr>
          <w:rFonts w:ascii="Arial" w:hAnsi="Arial" w:cs="Arial"/>
          <w:sz w:val="24"/>
          <w:szCs w:val="24"/>
        </w:rPr>
        <w:t>First</w:t>
      </w:r>
      <w:r w:rsidR="00094055">
        <w:rPr>
          <w:rFonts w:ascii="Arial" w:hAnsi="Arial" w:cs="Arial"/>
          <w:sz w:val="24"/>
          <w:szCs w:val="24"/>
        </w:rPr>
        <w:t xml:space="preserve">, </w:t>
      </w:r>
      <w:r w:rsidR="00383E1C" w:rsidRPr="00094055">
        <w:rPr>
          <w:rFonts w:ascii="Arial" w:hAnsi="Arial" w:cs="Arial"/>
          <w:i/>
          <w:sz w:val="24"/>
          <w:szCs w:val="24"/>
        </w:rPr>
        <w:t>Texas residential electric co</w:t>
      </w:r>
      <w:r w:rsidR="00094055">
        <w:rPr>
          <w:rFonts w:ascii="Arial" w:hAnsi="Arial" w:cs="Arial"/>
          <w:i/>
          <w:sz w:val="24"/>
          <w:szCs w:val="24"/>
        </w:rPr>
        <w:t xml:space="preserve">nsumption is nearly </w:t>
      </w:r>
      <w:proofErr w:type="gramStart"/>
      <w:r w:rsidR="00094055">
        <w:rPr>
          <w:rFonts w:ascii="Arial" w:hAnsi="Arial" w:cs="Arial"/>
          <w:i/>
          <w:sz w:val="24"/>
          <w:szCs w:val="24"/>
        </w:rPr>
        <w:t>double</w:t>
      </w:r>
      <w:proofErr w:type="gramEnd"/>
      <w:r w:rsidR="00094055">
        <w:rPr>
          <w:rFonts w:ascii="Arial" w:hAnsi="Arial" w:cs="Arial"/>
          <w:i/>
          <w:sz w:val="24"/>
          <w:szCs w:val="24"/>
        </w:rPr>
        <w:t xml:space="preserve"> </w:t>
      </w:r>
      <w:r w:rsidR="00383E1C" w:rsidRPr="00094055">
        <w:rPr>
          <w:rFonts w:ascii="Arial" w:hAnsi="Arial" w:cs="Arial"/>
          <w:i/>
          <w:sz w:val="24"/>
          <w:szCs w:val="24"/>
        </w:rPr>
        <w:t xml:space="preserve">that </w:t>
      </w:r>
      <w:r w:rsidR="00514647" w:rsidRPr="00094055">
        <w:rPr>
          <w:rFonts w:ascii="Arial" w:hAnsi="Arial" w:cs="Arial"/>
          <w:i/>
          <w:sz w:val="24"/>
          <w:szCs w:val="24"/>
        </w:rPr>
        <w:t>of Ohio’s</w:t>
      </w:r>
      <w:r w:rsidR="00FC4F40">
        <w:rPr>
          <w:rFonts w:ascii="Arial" w:hAnsi="Arial" w:cs="Arial"/>
          <w:i/>
          <w:sz w:val="24"/>
          <w:szCs w:val="24"/>
        </w:rPr>
        <w:t xml:space="preserve"> residential</w:t>
      </w:r>
      <w:r w:rsidR="00514647" w:rsidRPr="00094055">
        <w:rPr>
          <w:rFonts w:ascii="Arial" w:hAnsi="Arial" w:cs="Arial"/>
          <w:i/>
          <w:sz w:val="24"/>
          <w:szCs w:val="24"/>
        </w:rPr>
        <w:t xml:space="preserve"> electric consumption</w:t>
      </w:r>
      <w:r w:rsidR="00514647">
        <w:rPr>
          <w:rFonts w:ascii="Arial" w:hAnsi="Arial" w:cs="Arial"/>
          <w:sz w:val="24"/>
          <w:szCs w:val="24"/>
        </w:rPr>
        <w:t>.</w:t>
      </w:r>
      <w:r w:rsidR="00514647">
        <w:rPr>
          <w:rStyle w:val="FootnoteReference"/>
          <w:rFonts w:ascii="Arial" w:hAnsi="Arial" w:cs="Arial"/>
          <w:sz w:val="24"/>
          <w:szCs w:val="24"/>
        </w:rPr>
        <w:footnoteReference w:id="10"/>
      </w:r>
      <w:r w:rsidR="00094055">
        <w:rPr>
          <w:rFonts w:ascii="Arial" w:hAnsi="Arial" w:cs="Arial"/>
          <w:sz w:val="24"/>
          <w:szCs w:val="24"/>
        </w:rPr>
        <w:t xml:space="preserve"> </w:t>
      </w:r>
      <w:r w:rsidR="00514647">
        <w:rPr>
          <w:rFonts w:ascii="Arial" w:hAnsi="Arial" w:cs="Arial"/>
          <w:sz w:val="24"/>
          <w:szCs w:val="24"/>
        </w:rPr>
        <w:t>Texas</w:t>
      </w:r>
      <w:r w:rsidR="00FF1C04">
        <w:rPr>
          <w:rFonts w:ascii="Arial" w:hAnsi="Arial" w:cs="Arial"/>
          <w:sz w:val="24"/>
          <w:szCs w:val="24"/>
        </w:rPr>
        <w:t xml:space="preserve"> also</w:t>
      </w:r>
      <w:r w:rsidR="00514647">
        <w:rPr>
          <w:rFonts w:ascii="Arial" w:hAnsi="Arial" w:cs="Arial"/>
          <w:sz w:val="24"/>
          <w:szCs w:val="24"/>
        </w:rPr>
        <w:t xml:space="preserve"> has </w:t>
      </w:r>
      <w:r w:rsidR="00A51EE9">
        <w:rPr>
          <w:rFonts w:ascii="Arial" w:hAnsi="Arial" w:cs="Arial"/>
          <w:sz w:val="24"/>
          <w:szCs w:val="24"/>
        </w:rPr>
        <w:t xml:space="preserve">many </w:t>
      </w:r>
      <w:r w:rsidR="00514647">
        <w:rPr>
          <w:rFonts w:ascii="Arial" w:hAnsi="Arial" w:cs="Arial"/>
          <w:sz w:val="24"/>
          <w:szCs w:val="24"/>
        </w:rPr>
        <w:t>more products available</w:t>
      </w:r>
      <w:r w:rsidR="00094055">
        <w:rPr>
          <w:rFonts w:ascii="Arial" w:hAnsi="Arial" w:cs="Arial"/>
          <w:sz w:val="24"/>
          <w:szCs w:val="24"/>
        </w:rPr>
        <w:t xml:space="preserve"> </w:t>
      </w:r>
      <w:r w:rsidR="008743C8">
        <w:rPr>
          <w:rFonts w:ascii="Arial" w:hAnsi="Arial" w:cs="Arial"/>
          <w:sz w:val="24"/>
          <w:szCs w:val="24"/>
        </w:rPr>
        <w:t xml:space="preserve">in the market than in Ohio. </w:t>
      </w:r>
      <w:r w:rsidR="00786CB9">
        <w:rPr>
          <w:rFonts w:ascii="Arial" w:hAnsi="Arial" w:cs="Arial"/>
          <w:sz w:val="24"/>
          <w:szCs w:val="24"/>
        </w:rPr>
        <w:t>Further</w:t>
      </w:r>
      <w:r w:rsidR="00FF1C04">
        <w:rPr>
          <w:rFonts w:ascii="Arial" w:hAnsi="Arial" w:cs="Arial"/>
          <w:sz w:val="24"/>
          <w:szCs w:val="24"/>
        </w:rPr>
        <w:t>, a</w:t>
      </w:r>
      <w:r w:rsidR="00FC4F40">
        <w:rPr>
          <w:rFonts w:ascii="Arial" w:hAnsi="Arial" w:cs="Arial"/>
          <w:sz w:val="24"/>
          <w:szCs w:val="24"/>
        </w:rPr>
        <w:t xml:space="preserve"> look at the PUCO apples-to-app</w:t>
      </w:r>
      <w:r w:rsidR="00FF1C04">
        <w:rPr>
          <w:rFonts w:ascii="Arial" w:hAnsi="Arial" w:cs="Arial"/>
          <w:sz w:val="24"/>
          <w:szCs w:val="24"/>
        </w:rPr>
        <w:t xml:space="preserve">les website </w:t>
      </w:r>
      <w:r w:rsidR="00FC4F40">
        <w:rPr>
          <w:rFonts w:ascii="Arial" w:hAnsi="Arial" w:cs="Arial"/>
          <w:sz w:val="24"/>
          <w:szCs w:val="24"/>
        </w:rPr>
        <w:t xml:space="preserve">reveals that </w:t>
      </w:r>
      <w:r w:rsidR="00491E1B">
        <w:rPr>
          <w:rFonts w:ascii="Arial" w:hAnsi="Arial" w:cs="Arial"/>
          <w:sz w:val="24"/>
          <w:szCs w:val="24"/>
        </w:rPr>
        <w:t>each utility in Ohio has</w:t>
      </w:r>
      <w:r w:rsidR="00FC4F40">
        <w:rPr>
          <w:rFonts w:ascii="Arial" w:hAnsi="Arial" w:cs="Arial"/>
          <w:sz w:val="24"/>
          <w:szCs w:val="24"/>
        </w:rPr>
        <w:t xml:space="preserve"> products with cancellation fees of up to $150.</w:t>
      </w:r>
      <w:r w:rsidR="00FC4F40">
        <w:rPr>
          <w:rStyle w:val="FootnoteReference"/>
          <w:rFonts w:ascii="Arial" w:hAnsi="Arial" w:cs="Arial"/>
          <w:sz w:val="24"/>
          <w:szCs w:val="24"/>
        </w:rPr>
        <w:footnoteReference w:id="11"/>
      </w:r>
      <w:r w:rsidR="00FC4F40">
        <w:rPr>
          <w:rFonts w:ascii="Arial" w:hAnsi="Arial" w:cs="Arial"/>
          <w:sz w:val="24"/>
          <w:szCs w:val="24"/>
        </w:rPr>
        <w:t xml:space="preserve"> </w:t>
      </w:r>
      <w:r w:rsidR="00FF1C04">
        <w:rPr>
          <w:rFonts w:ascii="Arial" w:hAnsi="Arial" w:cs="Arial"/>
          <w:sz w:val="24"/>
          <w:szCs w:val="24"/>
        </w:rPr>
        <w:t>One would expect a broader range of cancellation fees in Texas given</w:t>
      </w:r>
      <w:r w:rsidR="00083D82">
        <w:rPr>
          <w:rFonts w:ascii="Arial" w:hAnsi="Arial" w:cs="Arial"/>
          <w:sz w:val="24"/>
          <w:szCs w:val="24"/>
        </w:rPr>
        <w:t xml:space="preserve"> the vastly higher consumption of Texas electric customers and</w:t>
      </w:r>
      <w:r w:rsidR="00FF1C04">
        <w:rPr>
          <w:rFonts w:ascii="Arial" w:hAnsi="Arial" w:cs="Arial"/>
          <w:sz w:val="24"/>
          <w:szCs w:val="24"/>
        </w:rPr>
        <w:t xml:space="preserve"> the numerous products available in the market</w:t>
      </w:r>
      <w:r w:rsidR="00491E1B">
        <w:rPr>
          <w:rFonts w:ascii="Arial" w:hAnsi="Arial" w:cs="Arial"/>
          <w:sz w:val="24"/>
          <w:szCs w:val="24"/>
        </w:rPr>
        <w:t>. In fact</w:t>
      </w:r>
      <w:r w:rsidR="00A51EE9">
        <w:rPr>
          <w:rFonts w:ascii="Arial" w:hAnsi="Arial" w:cs="Arial"/>
          <w:sz w:val="24"/>
          <w:szCs w:val="24"/>
        </w:rPr>
        <w:t>,</w:t>
      </w:r>
      <w:r w:rsidR="00491E1B">
        <w:rPr>
          <w:rFonts w:ascii="Arial" w:hAnsi="Arial" w:cs="Arial"/>
          <w:sz w:val="24"/>
          <w:szCs w:val="24"/>
        </w:rPr>
        <w:t xml:space="preserve"> when electric consumption is taken into account, the cancel fees per unit</w:t>
      </w:r>
      <w:r w:rsidR="00083D82">
        <w:rPr>
          <w:rFonts w:ascii="Arial" w:hAnsi="Arial" w:cs="Arial"/>
          <w:sz w:val="24"/>
          <w:szCs w:val="24"/>
        </w:rPr>
        <w:t xml:space="preserve"> of electricity</w:t>
      </w:r>
      <w:r w:rsidR="00491E1B">
        <w:rPr>
          <w:rFonts w:ascii="Arial" w:hAnsi="Arial" w:cs="Arial"/>
          <w:sz w:val="24"/>
          <w:szCs w:val="24"/>
        </w:rPr>
        <w:t xml:space="preserve"> are lower </w:t>
      </w:r>
      <w:r w:rsidR="00083D82">
        <w:rPr>
          <w:rFonts w:ascii="Arial" w:hAnsi="Arial" w:cs="Arial"/>
          <w:sz w:val="24"/>
          <w:szCs w:val="24"/>
        </w:rPr>
        <w:t xml:space="preserve">in Texas </w:t>
      </w:r>
      <w:r w:rsidR="00491E1B">
        <w:rPr>
          <w:rFonts w:ascii="Arial" w:hAnsi="Arial" w:cs="Arial"/>
          <w:sz w:val="24"/>
          <w:szCs w:val="24"/>
        </w:rPr>
        <w:t>than what is seen in Ohio</w:t>
      </w:r>
      <w:r w:rsidR="00786CB9">
        <w:rPr>
          <w:rFonts w:ascii="Arial" w:hAnsi="Arial" w:cs="Arial"/>
          <w:sz w:val="24"/>
          <w:szCs w:val="24"/>
        </w:rPr>
        <w:t>.</w:t>
      </w:r>
    </w:p>
    <w:p w:rsidR="008E612A" w:rsidRDefault="008E612A" w:rsidP="00337316">
      <w:pPr>
        <w:spacing w:line="480" w:lineRule="auto"/>
        <w:ind w:firstLine="720"/>
        <w:rPr>
          <w:rFonts w:ascii="Arial" w:hAnsi="Arial" w:cs="Arial"/>
          <w:sz w:val="24"/>
          <w:szCs w:val="24"/>
        </w:rPr>
      </w:pPr>
      <w:r>
        <w:rPr>
          <w:rFonts w:ascii="Arial" w:hAnsi="Arial" w:cs="Arial"/>
          <w:sz w:val="24"/>
          <w:szCs w:val="24"/>
        </w:rPr>
        <w:lastRenderedPageBreak/>
        <w:t>Finally, OCC claims that there are</w:t>
      </w:r>
      <w:r w:rsidR="002D7421">
        <w:rPr>
          <w:rFonts w:ascii="Arial" w:hAnsi="Arial" w:cs="Arial"/>
          <w:sz w:val="24"/>
          <w:szCs w:val="24"/>
        </w:rPr>
        <w:t xml:space="preserve"> </w:t>
      </w:r>
      <w:r w:rsidR="00A51EE9">
        <w:rPr>
          <w:rFonts w:ascii="Arial" w:hAnsi="Arial" w:cs="Arial"/>
          <w:sz w:val="24"/>
          <w:szCs w:val="24"/>
        </w:rPr>
        <w:t xml:space="preserve">a </w:t>
      </w:r>
      <w:r w:rsidR="002D7421">
        <w:rPr>
          <w:rFonts w:ascii="Arial" w:hAnsi="Arial" w:cs="Arial"/>
          <w:sz w:val="24"/>
          <w:szCs w:val="24"/>
        </w:rPr>
        <w:t>myriad of</w:t>
      </w:r>
      <w:r>
        <w:rPr>
          <w:rFonts w:ascii="Arial" w:hAnsi="Arial" w:cs="Arial"/>
          <w:sz w:val="24"/>
          <w:szCs w:val="24"/>
        </w:rPr>
        <w:t xml:space="preserve"> additional fees charged to customers in Texas</w:t>
      </w:r>
      <w:r w:rsidR="002D7421">
        <w:rPr>
          <w:rFonts w:ascii="Arial" w:hAnsi="Arial" w:cs="Arial"/>
          <w:sz w:val="24"/>
          <w:szCs w:val="24"/>
        </w:rPr>
        <w:t xml:space="preserve"> by competitive suppliers</w:t>
      </w:r>
      <w:r>
        <w:rPr>
          <w:rFonts w:ascii="Arial" w:hAnsi="Arial" w:cs="Arial"/>
          <w:sz w:val="24"/>
          <w:szCs w:val="24"/>
        </w:rPr>
        <w:t xml:space="preserve">, and </w:t>
      </w:r>
      <w:r w:rsidR="002D7421">
        <w:rPr>
          <w:rFonts w:ascii="Arial" w:hAnsi="Arial" w:cs="Arial"/>
          <w:sz w:val="24"/>
          <w:szCs w:val="24"/>
        </w:rPr>
        <w:t>includes in their comments a chart of</w:t>
      </w:r>
      <w:r>
        <w:rPr>
          <w:rFonts w:ascii="Arial" w:hAnsi="Arial" w:cs="Arial"/>
          <w:sz w:val="24"/>
          <w:szCs w:val="24"/>
        </w:rPr>
        <w:t xml:space="preserve"> additional fees charged by competitive suppliers </w:t>
      </w:r>
      <w:r w:rsidR="002D7421">
        <w:rPr>
          <w:rFonts w:ascii="Arial" w:hAnsi="Arial" w:cs="Arial"/>
          <w:sz w:val="24"/>
          <w:szCs w:val="24"/>
        </w:rPr>
        <w:t>in Texas.</w:t>
      </w:r>
      <w:r w:rsidR="002D7421">
        <w:rPr>
          <w:rStyle w:val="FootnoteReference"/>
          <w:rFonts w:ascii="Arial" w:hAnsi="Arial" w:cs="Arial"/>
          <w:sz w:val="24"/>
          <w:szCs w:val="24"/>
        </w:rPr>
        <w:footnoteReference w:id="12"/>
      </w:r>
      <w:r w:rsidR="008743C8">
        <w:rPr>
          <w:rFonts w:ascii="Arial" w:hAnsi="Arial" w:cs="Arial"/>
          <w:sz w:val="24"/>
          <w:szCs w:val="24"/>
        </w:rPr>
        <w:t xml:space="preserve"> </w:t>
      </w:r>
      <w:r w:rsidR="002D7421">
        <w:rPr>
          <w:rFonts w:ascii="Arial" w:hAnsi="Arial" w:cs="Arial"/>
          <w:sz w:val="24"/>
          <w:szCs w:val="24"/>
        </w:rPr>
        <w:t xml:space="preserve">The data </w:t>
      </w:r>
      <w:r w:rsidR="008743C8">
        <w:rPr>
          <w:rFonts w:ascii="Arial" w:hAnsi="Arial" w:cs="Arial"/>
          <w:sz w:val="24"/>
          <w:szCs w:val="24"/>
        </w:rPr>
        <w:t xml:space="preserve">provided by OCC is irrelevant. </w:t>
      </w:r>
      <w:r w:rsidR="002D7421">
        <w:rPr>
          <w:rFonts w:ascii="Arial" w:hAnsi="Arial" w:cs="Arial"/>
          <w:sz w:val="24"/>
          <w:szCs w:val="24"/>
        </w:rPr>
        <w:t>In Texas</w:t>
      </w:r>
      <w:r w:rsidR="00A51EE9">
        <w:rPr>
          <w:rFonts w:ascii="Arial" w:hAnsi="Arial" w:cs="Arial"/>
          <w:sz w:val="24"/>
          <w:szCs w:val="24"/>
        </w:rPr>
        <w:t>,</w:t>
      </w:r>
      <w:r w:rsidR="002D7421">
        <w:rPr>
          <w:rFonts w:ascii="Arial" w:hAnsi="Arial" w:cs="Arial"/>
          <w:sz w:val="24"/>
          <w:szCs w:val="24"/>
        </w:rPr>
        <w:t xml:space="preserve"> competitive suppliers are responsible for </w:t>
      </w:r>
      <w:r w:rsidR="00A51EE9">
        <w:rPr>
          <w:rFonts w:ascii="Arial" w:hAnsi="Arial" w:cs="Arial"/>
          <w:sz w:val="24"/>
          <w:szCs w:val="24"/>
        </w:rPr>
        <w:t xml:space="preserve">the </w:t>
      </w:r>
      <w:r w:rsidR="002D7421">
        <w:rPr>
          <w:rFonts w:ascii="Arial" w:hAnsi="Arial" w:cs="Arial"/>
          <w:sz w:val="24"/>
          <w:szCs w:val="24"/>
        </w:rPr>
        <w:t>billing of all electric charges (including distribution charges) and customer</w:t>
      </w:r>
      <w:r w:rsidR="008743C8">
        <w:rPr>
          <w:rFonts w:ascii="Arial" w:hAnsi="Arial" w:cs="Arial"/>
          <w:sz w:val="24"/>
          <w:szCs w:val="24"/>
        </w:rPr>
        <w:t xml:space="preserve"> connection and disconnection. </w:t>
      </w:r>
      <w:r w:rsidR="002D7421">
        <w:rPr>
          <w:rFonts w:ascii="Arial" w:hAnsi="Arial" w:cs="Arial"/>
          <w:sz w:val="24"/>
          <w:szCs w:val="24"/>
        </w:rPr>
        <w:t>In Ohio</w:t>
      </w:r>
      <w:r w:rsidR="00A51EE9">
        <w:rPr>
          <w:rFonts w:ascii="Arial" w:hAnsi="Arial" w:cs="Arial"/>
          <w:sz w:val="24"/>
          <w:szCs w:val="24"/>
        </w:rPr>
        <w:t>,</w:t>
      </w:r>
      <w:r w:rsidR="002D7421">
        <w:rPr>
          <w:rFonts w:ascii="Arial" w:hAnsi="Arial" w:cs="Arial"/>
          <w:sz w:val="24"/>
          <w:szCs w:val="24"/>
        </w:rPr>
        <w:t xml:space="preserve"> these functions are performed by the</w:t>
      </w:r>
      <w:r w:rsidR="00786CB9">
        <w:rPr>
          <w:rFonts w:ascii="Arial" w:hAnsi="Arial" w:cs="Arial"/>
          <w:sz w:val="24"/>
          <w:szCs w:val="24"/>
        </w:rPr>
        <w:t xml:space="preserve"> electric distribution utilities</w:t>
      </w:r>
      <w:r w:rsidR="008743C8">
        <w:rPr>
          <w:rFonts w:ascii="Arial" w:hAnsi="Arial" w:cs="Arial"/>
          <w:sz w:val="24"/>
          <w:szCs w:val="24"/>
        </w:rPr>
        <w:t xml:space="preserve"> (“EDUs”).</w:t>
      </w:r>
      <w:r w:rsidR="002D7421">
        <w:rPr>
          <w:rFonts w:ascii="Arial" w:hAnsi="Arial" w:cs="Arial"/>
          <w:sz w:val="24"/>
          <w:szCs w:val="24"/>
        </w:rPr>
        <w:t xml:space="preserve"> </w:t>
      </w:r>
      <w:r w:rsidR="00491E1B">
        <w:rPr>
          <w:rFonts w:ascii="Arial" w:hAnsi="Arial" w:cs="Arial"/>
          <w:sz w:val="24"/>
          <w:szCs w:val="24"/>
        </w:rPr>
        <w:t xml:space="preserve">All the fees </w:t>
      </w:r>
      <w:r w:rsidR="002D7421">
        <w:rPr>
          <w:rFonts w:ascii="Arial" w:hAnsi="Arial" w:cs="Arial"/>
          <w:sz w:val="24"/>
          <w:szCs w:val="24"/>
        </w:rPr>
        <w:t xml:space="preserve">listed by OCC are charges customers pay to the EDU in Ohio for billing, </w:t>
      </w:r>
      <w:r w:rsidR="008743C8">
        <w:rPr>
          <w:rFonts w:ascii="Arial" w:hAnsi="Arial" w:cs="Arial"/>
          <w:sz w:val="24"/>
          <w:szCs w:val="24"/>
        </w:rPr>
        <w:t>disconnection</w:t>
      </w:r>
      <w:r w:rsidR="00A51EE9">
        <w:rPr>
          <w:rFonts w:ascii="Arial" w:hAnsi="Arial" w:cs="Arial"/>
          <w:sz w:val="24"/>
          <w:szCs w:val="24"/>
        </w:rPr>
        <w:t>,</w:t>
      </w:r>
      <w:r w:rsidR="008743C8">
        <w:rPr>
          <w:rFonts w:ascii="Arial" w:hAnsi="Arial" w:cs="Arial"/>
          <w:sz w:val="24"/>
          <w:szCs w:val="24"/>
        </w:rPr>
        <w:t xml:space="preserve"> and reconnection.</w:t>
      </w:r>
      <w:r w:rsidR="002D7421">
        <w:rPr>
          <w:rFonts w:ascii="Arial" w:hAnsi="Arial" w:cs="Arial"/>
          <w:sz w:val="24"/>
          <w:szCs w:val="24"/>
        </w:rPr>
        <w:t xml:space="preserve"> For instance</w:t>
      </w:r>
      <w:r w:rsidR="00A51EE9">
        <w:rPr>
          <w:rFonts w:ascii="Arial" w:hAnsi="Arial" w:cs="Arial"/>
          <w:sz w:val="24"/>
          <w:szCs w:val="24"/>
        </w:rPr>
        <w:t>,</w:t>
      </w:r>
      <w:r w:rsidR="002D7421">
        <w:rPr>
          <w:rFonts w:ascii="Arial" w:hAnsi="Arial" w:cs="Arial"/>
          <w:sz w:val="24"/>
          <w:szCs w:val="24"/>
        </w:rPr>
        <w:t xml:space="preserve"> OCC cites disconnect charges, late payment fees, and </w:t>
      </w:r>
      <w:r w:rsidR="00786CB9">
        <w:rPr>
          <w:rFonts w:ascii="Arial" w:hAnsi="Arial" w:cs="Arial"/>
          <w:sz w:val="24"/>
          <w:szCs w:val="24"/>
        </w:rPr>
        <w:t>fees charged for</w:t>
      </w:r>
      <w:r w:rsidR="002D7421">
        <w:rPr>
          <w:rFonts w:ascii="Arial" w:hAnsi="Arial" w:cs="Arial"/>
          <w:sz w:val="24"/>
          <w:szCs w:val="24"/>
        </w:rPr>
        <w:t xml:space="preserve"> payment by phone.</w:t>
      </w:r>
      <w:r w:rsidR="00B91011">
        <w:rPr>
          <w:rStyle w:val="FootnoteReference"/>
          <w:rFonts w:ascii="Arial" w:hAnsi="Arial" w:cs="Arial"/>
          <w:sz w:val="24"/>
          <w:szCs w:val="24"/>
        </w:rPr>
        <w:footnoteReference w:id="13"/>
      </w:r>
      <w:r w:rsidR="008743C8">
        <w:rPr>
          <w:rFonts w:ascii="Arial" w:hAnsi="Arial" w:cs="Arial"/>
          <w:sz w:val="24"/>
          <w:szCs w:val="24"/>
        </w:rPr>
        <w:t xml:space="preserve"> </w:t>
      </w:r>
      <w:r w:rsidR="002D7421">
        <w:rPr>
          <w:rFonts w:ascii="Arial" w:hAnsi="Arial" w:cs="Arial"/>
          <w:sz w:val="24"/>
          <w:szCs w:val="24"/>
        </w:rPr>
        <w:t>All EDUs in Ohio charge these fees</w:t>
      </w:r>
      <w:r w:rsidR="00786CB9">
        <w:rPr>
          <w:rFonts w:ascii="Arial" w:hAnsi="Arial" w:cs="Arial"/>
          <w:sz w:val="24"/>
          <w:szCs w:val="24"/>
        </w:rPr>
        <w:t>,</w:t>
      </w:r>
      <w:r w:rsidR="002D7421">
        <w:rPr>
          <w:rFonts w:ascii="Arial" w:hAnsi="Arial" w:cs="Arial"/>
          <w:sz w:val="24"/>
          <w:szCs w:val="24"/>
        </w:rPr>
        <w:t xml:space="preserve"> </w:t>
      </w:r>
      <w:r w:rsidR="00491E1B">
        <w:rPr>
          <w:rFonts w:ascii="Arial" w:hAnsi="Arial" w:cs="Arial"/>
          <w:sz w:val="24"/>
          <w:szCs w:val="24"/>
        </w:rPr>
        <w:t>thus customers in Texas are no</w:t>
      </w:r>
      <w:r w:rsidR="00786CB9">
        <w:rPr>
          <w:rFonts w:ascii="Arial" w:hAnsi="Arial" w:cs="Arial"/>
          <w:sz w:val="24"/>
          <w:szCs w:val="24"/>
        </w:rPr>
        <w:t>t</w:t>
      </w:r>
      <w:r w:rsidR="00491E1B">
        <w:rPr>
          <w:rFonts w:ascii="Arial" w:hAnsi="Arial" w:cs="Arial"/>
          <w:sz w:val="24"/>
          <w:szCs w:val="24"/>
        </w:rPr>
        <w:t xml:space="preserve"> unique in having to pay the fees cited by OCC</w:t>
      </w:r>
      <w:r w:rsidR="00786CB9">
        <w:rPr>
          <w:rFonts w:ascii="Arial" w:hAnsi="Arial" w:cs="Arial"/>
          <w:sz w:val="24"/>
          <w:szCs w:val="24"/>
        </w:rPr>
        <w:t>.</w:t>
      </w:r>
    </w:p>
    <w:p w:rsidR="00B91011" w:rsidRDefault="00F55CCF" w:rsidP="00337316">
      <w:pPr>
        <w:spacing w:line="480" w:lineRule="auto"/>
        <w:ind w:firstLine="720"/>
        <w:rPr>
          <w:rFonts w:ascii="Arial" w:hAnsi="Arial" w:cs="Arial"/>
          <w:sz w:val="24"/>
          <w:szCs w:val="24"/>
        </w:rPr>
      </w:pPr>
      <w:r>
        <w:rPr>
          <w:rFonts w:ascii="Arial" w:hAnsi="Arial" w:cs="Arial"/>
          <w:sz w:val="24"/>
          <w:szCs w:val="24"/>
        </w:rPr>
        <w:t>In short,</w:t>
      </w:r>
      <w:r w:rsidR="00383E1C">
        <w:rPr>
          <w:rFonts w:ascii="Arial" w:hAnsi="Arial" w:cs="Arial"/>
          <w:sz w:val="24"/>
          <w:szCs w:val="24"/>
        </w:rPr>
        <w:t xml:space="preserve"> </w:t>
      </w:r>
      <w:r w:rsidR="00B57D17">
        <w:rPr>
          <w:rFonts w:ascii="Arial" w:hAnsi="Arial" w:cs="Arial"/>
          <w:sz w:val="24"/>
          <w:szCs w:val="24"/>
        </w:rPr>
        <w:t>the OCC and</w:t>
      </w:r>
      <w:r>
        <w:rPr>
          <w:rFonts w:ascii="Arial" w:hAnsi="Arial" w:cs="Arial"/>
          <w:sz w:val="24"/>
          <w:szCs w:val="24"/>
        </w:rPr>
        <w:t xml:space="preserve"> OPAE have</w:t>
      </w:r>
      <w:r w:rsidR="00AA3DA9">
        <w:rPr>
          <w:rFonts w:ascii="Arial" w:hAnsi="Arial" w:cs="Arial"/>
          <w:sz w:val="24"/>
          <w:szCs w:val="24"/>
        </w:rPr>
        <w:t xml:space="preserve"> made</w:t>
      </w:r>
      <w:r>
        <w:rPr>
          <w:rFonts w:ascii="Arial" w:hAnsi="Arial" w:cs="Arial"/>
          <w:sz w:val="24"/>
          <w:szCs w:val="24"/>
        </w:rPr>
        <w:t xml:space="preserve"> </w:t>
      </w:r>
      <w:r w:rsidR="00AA3DA9">
        <w:rPr>
          <w:rFonts w:ascii="Arial" w:hAnsi="Arial" w:cs="Arial"/>
          <w:sz w:val="24"/>
          <w:szCs w:val="24"/>
        </w:rPr>
        <w:t>misrepresent</w:t>
      </w:r>
      <w:r w:rsidR="00AA3DA9">
        <w:rPr>
          <w:rFonts w:ascii="Arial" w:hAnsi="Arial" w:cs="Arial"/>
          <w:sz w:val="24"/>
          <w:szCs w:val="24"/>
        </w:rPr>
        <w:t>ations about</w:t>
      </w:r>
      <w:r w:rsidR="00AA3DA9">
        <w:rPr>
          <w:rFonts w:ascii="Arial" w:hAnsi="Arial" w:cs="Arial"/>
          <w:sz w:val="24"/>
          <w:szCs w:val="24"/>
        </w:rPr>
        <w:t xml:space="preserve"> </w:t>
      </w:r>
      <w:r w:rsidR="00ED51B3">
        <w:rPr>
          <w:rFonts w:ascii="Arial" w:hAnsi="Arial" w:cs="Arial"/>
          <w:sz w:val="24"/>
          <w:szCs w:val="24"/>
        </w:rPr>
        <w:t xml:space="preserve">the </w:t>
      </w:r>
      <w:r w:rsidR="00B57D17">
        <w:rPr>
          <w:rFonts w:ascii="Arial" w:hAnsi="Arial" w:cs="Arial"/>
          <w:sz w:val="24"/>
          <w:szCs w:val="24"/>
        </w:rPr>
        <w:t>electric market</w:t>
      </w:r>
      <w:r w:rsidR="00491E1B">
        <w:rPr>
          <w:rFonts w:ascii="Arial" w:hAnsi="Arial" w:cs="Arial"/>
          <w:sz w:val="24"/>
          <w:szCs w:val="24"/>
        </w:rPr>
        <w:t xml:space="preserve"> in Texas</w:t>
      </w:r>
      <w:r w:rsidR="00786CB9">
        <w:rPr>
          <w:rFonts w:ascii="Arial" w:hAnsi="Arial" w:cs="Arial"/>
          <w:sz w:val="24"/>
          <w:szCs w:val="24"/>
        </w:rPr>
        <w:t xml:space="preserve"> in an attempt to</w:t>
      </w:r>
      <w:r w:rsidR="00ED51B3">
        <w:rPr>
          <w:rFonts w:ascii="Arial" w:hAnsi="Arial" w:cs="Arial"/>
          <w:sz w:val="24"/>
          <w:szCs w:val="24"/>
        </w:rPr>
        <w:t xml:space="preserve"> discourage</w:t>
      </w:r>
      <w:r w:rsidR="00B57D17">
        <w:rPr>
          <w:rFonts w:ascii="Arial" w:hAnsi="Arial" w:cs="Arial"/>
          <w:sz w:val="24"/>
          <w:szCs w:val="24"/>
        </w:rPr>
        <w:t xml:space="preserve"> </w:t>
      </w:r>
      <w:r w:rsidR="00786CB9">
        <w:rPr>
          <w:rFonts w:ascii="Arial" w:hAnsi="Arial" w:cs="Arial"/>
          <w:sz w:val="24"/>
          <w:szCs w:val="24"/>
        </w:rPr>
        <w:t xml:space="preserve">the Commission </w:t>
      </w:r>
      <w:r>
        <w:rPr>
          <w:rFonts w:ascii="Arial" w:hAnsi="Arial" w:cs="Arial"/>
          <w:sz w:val="24"/>
          <w:szCs w:val="24"/>
        </w:rPr>
        <w:t xml:space="preserve">and others </w:t>
      </w:r>
      <w:r w:rsidR="00ED51B3">
        <w:rPr>
          <w:rFonts w:ascii="Arial" w:hAnsi="Arial" w:cs="Arial"/>
          <w:sz w:val="24"/>
          <w:szCs w:val="24"/>
        </w:rPr>
        <w:t>from</w:t>
      </w:r>
      <w:r>
        <w:rPr>
          <w:rFonts w:ascii="Arial" w:hAnsi="Arial" w:cs="Arial"/>
          <w:sz w:val="24"/>
          <w:szCs w:val="24"/>
        </w:rPr>
        <w:t xml:space="preserve"> mov</w:t>
      </w:r>
      <w:r w:rsidR="00ED51B3">
        <w:rPr>
          <w:rFonts w:ascii="Arial" w:hAnsi="Arial" w:cs="Arial"/>
          <w:sz w:val="24"/>
          <w:szCs w:val="24"/>
        </w:rPr>
        <w:t>ing</w:t>
      </w:r>
      <w:r>
        <w:rPr>
          <w:rFonts w:ascii="Arial" w:hAnsi="Arial" w:cs="Arial"/>
          <w:sz w:val="24"/>
          <w:szCs w:val="24"/>
        </w:rPr>
        <w:t xml:space="preserve"> down the path to further</w:t>
      </w:r>
      <w:r w:rsidR="00ED51B3">
        <w:rPr>
          <w:rFonts w:ascii="Arial" w:hAnsi="Arial" w:cs="Arial"/>
          <w:sz w:val="24"/>
          <w:szCs w:val="24"/>
        </w:rPr>
        <w:t>, more effective</w:t>
      </w:r>
      <w:r>
        <w:rPr>
          <w:rFonts w:ascii="Arial" w:hAnsi="Arial" w:cs="Arial"/>
          <w:sz w:val="24"/>
          <w:szCs w:val="24"/>
        </w:rPr>
        <w:t xml:space="preserve"> competition</w:t>
      </w:r>
      <w:r w:rsidR="00383E1C">
        <w:rPr>
          <w:rFonts w:ascii="Arial" w:hAnsi="Arial" w:cs="Arial"/>
          <w:sz w:val="24"/>
          <w:szCs w:val="24"/>
        </w:rPr>
        <w:t>.</w:t>
      </w:r>
      <w:r w:rsidR="008743C8">
        <w:rPr>
          <w:rFonts w:ascii="Arial" w:hAnsi="Arial" w:cs="Arial"/>
          <w:sz w:val="24"/>
          <w:szCs w:val="24"/>
        </w:rPr>
        <w:t xml:space="preserve"> </w:t>
      </w:r>
      <w:r>
        <w:rPr>
          <w:rFonts w:ascii="Arial" w:hAnsi="Arial" w:cs="Arial"/>
          <w:sz w:val="24"/>
          <w:szCs w:val="24"/>
        </w:rPr>
        <w:t>The Commi</w:t>
      </w:r>
      <w:r w:rsidR="008743C8">
        <w:rPr>
          <w:rFonts w:ascii="Arial" w:hAnsi="Arial" w:cs="Arial"/>
          <w:sz w:val="24"/>
          <w:szCs w:val="24"/>
        </w:rPr>
        <w:t>ssion should not be persuaded.</w:t>
      </w:r>
      <w:r>
        <w:rPr>
          <w:rFonts w:ascii="Arial" w:hAnsi="Arial" w:cs="Arial"/>
          <w:sz w:val="24"/>
          <w:szCs w:val="24"/>
        </w:rPr>
        <w:t xml:space="preserve"> </w:t>
      </w:r>
      <w:r w:rsidR="00AA3DA9">
        <w:rPr>
          <w:rFonts w:ascii="Arial" w:hAnsi="Arial" w:cs="Arial"/>
          <w:sz w:val="24"/>
          <w:szCs w:val="24"/>
        </w:rPr>
        <w:t xml:space="preserve">In fact, </w:t>
      </w:r>
      <w:r w:rsidR="008161DD">
        <w:rPr>
          <w:rFonts w:ascii="Arial" w:hAnsi="Arial" w:cs="Arial"/>
          <w:sz w:val="24"/>
          <w:szCs w:val="24"/>
        </w:rPr>
        <w:t xml:space="preserve">scare tactics </w:t>
      </w:r>
      <w:r w:rsidR="00AA3DA9">
        <w:rPr>
          <w:rFonts w:ascii="Arial" w:hAnsi="Arial" w:cs="Arial"/>
          <w:sz w:val="24"/>
          <w:szCs w:val="24"/>
        </w:rPr>
        <w:t>aside</w:t>
      </w:r>
      <w:r>
        <w:rPr>
          <w:rFonts w:ascii="Arial" w:hAnsi="Arial" w:cs="Arial"/>
          <w:sz w:val="24"/>
          <w:szCs w:val="24"/>
        </w:rPr>
        <w:t>, Texas</w:t>
      </w:r>
      <w:r w:rsidR="00383E1C">
        <w:rPr>
          <w:rFonts w:ascii="Arial" w:hAnsi="Arial" w:cs="Arial"/>
          <w:sz w:val="24"/>
          <w:szCs w:val="24"/>
        </w:rPr>
        <w:t xml:space="preserve"> is</w:t>
      </w:r>
      <w:r>
        <w:rPr>
          <w:rFonts w:ascii="Arial" w:hAnsi="Arial" w:cs="Arial"/>
          <w:sz w:val="24"/>
          <w:szCs w:val="24"/>
        </w:rPr>
        <w:t xml:space="preserve"> </w:t>
      </w:r>
      <w:r w:rsidR="00383E1C">
        <w:rPr>
          <w:rFonts w:ascii="Arial" w:hAnsi="Arial" w:cs="Arial"/>
          <w:sz w:val="24"/>
          <w:szCs w:val="24"/>
        </w:rPr>
        <w:t>a</w:t>
      </w:r>
      <w:r w:rsidR="001E6856">
        <w:rPr>
          <w:rFonts w:ascii="Arial" w:hAnsi="Arial" w:cs="Arial"/>
          <w:sz w:val="24"/>
          <w:szCs w:val="24"/>
        </w:rPr>
        <w:t>n</w:t>
      </w:r>
      <w:r w:rsidR="00383E1C">
        <w:rPr>
          <w:rFonts w:ascii="Arial" w:hAnsi="Arial" w:cs="Arial"/>
          <w:sz w:val="24"/>
          <w:szCs w:val="24"/>
        </w:rPr>
        <w:t xml:space="preserve"> example of how fu</w:t>
      </w:r>
      <w:r>
        <w:rPr>
          <w:rFonts w:ascii="Arial" w:hAnsi="Arial" w:cs="Arial"/>
          <w:sz w:val="24"/>
          <w:szCs w:val="24"/>
        </w:rPr>
        <w:t>lly competitive markets work to bring benefits to customers</w:t>
      </w:r>
      <w:r w:rsidR="00383E1C">
        <w:rPr>
          <w:rFonts w:ascii="Arial" w:hAnsi="Arial" w:cs="Arial"/>
          <w:sz w:val="24"/>
          <w:szCs w:val="24"/>
        </w:rPr>
        <w:t>.</w:t>
      </w:r>
      <w:r w:rsidR="008743C8">
        <w:rPr>
          <w:rFonts w:ascii="Arial" w:hAnsi="Arial" w:cs="Arial"/>
          <w:sz w:val="24"/>
          <w:szCs w:val="24"/>
        </w:rPr>
        <w:t xml:space="preserve"> </w:t>
      </w:r>
      <w:r>
        <w:rPr>
          <w:rFonts w:ascii="Arial" w:hAnsi="Arial" w:cs="Arial"/>
          <w:sz w:val="24"/>
          <w:szCs w:val="24"/>
        </w:rPr>
        <w:t xml:space="preserve">Texas has near full smart meter deployment in their competitive markets, and as a result competitive suppliers are able to offer customers a wide range </w:t>
      </w:r>
      <w:r w:rsidR="00293AFA">
        <w:rPr>
          <w:rFonts w:ascii="Arial" w:hAnsi="Arial" w:cs="Arial"/>
          <w:sz w:val="24"/>
          <w:szCs w:val="24"/>
        </w:rPr>
        <w:t>of products.</w:t>
      </w:r>
      <w:r w:rsidR="00293AFA">
        <w:rPr>
          <w:rStyle w:val="FootnoteReference"/>
          <w:rFonts w:ascii="Arial" w:hAnsi="Arial" w:cs="Arial"/>
          <w:sz w:val="24"/>
          <w:szCs w:val="24"/>
        </w:rPr>
        <w:footnoteReference w:id="14"/>
      </w:r>
      <w:r w:rsidR="008743C8">
        <w:rPr>
          <w:rFonts w:ascii="Arial" w:hAnsi="Arial" w:cs="Arial"/>
          <w:sz w:val="24"/>
          <w:szCs w:val="24"/>
        </w:rPr>
        <w:t xml:space="preserve"> </w:t>
      </w:r>
      <w:r w:rsidR="001E6856">
        <w:rPr>
          <w:rFonts w:ascii="Arial" w:hAnsi="Arial" w:cs="Arial"/>
          <w:sz w:val="24"/>
          <w:szCs w:val="24"/>
        </w:rPr>
        <w:t>Those products include time-of-</w:t>
      </w:r>
      <w:r w:rsidR="00293AFA">
        <w:rPr>
          <w:rFonts w:ascii="Arial" w:hAnsi="Arial" w:cs="Arial"/>
          <w:sz w:val="24"/>
          <w:szCs w:val="24"/>
        </w:rPr>
        <w:t>use rates, night</w:t>
      </w:r>
      <w:r w:rsidR="003F7D3B">
        <w:rPr>
          <w:rFonts w:ascii="Arial" w:hAnsi="Arial" w:cs="Arial"/>
          <w:sz w:val="24"/>
          <w:szCs w:val="24"/>
        </w:rPr>
        <w:t>s and weekend products,</w:t>
      </w:r>
      <w:r w:rsidR="00293AFA">
        <w:rPr>
          <w:rFonts w:ascii="Arial" w:hAnsi="Arial" w:cs="Arial"/>
          <w:sz w:val="24"/>
          <w:szCs w:val="24"/>
        </w:rPr>
        <w:t xml:space="preserve"> bundle</w:t>
      </w:r>
      <w:r w:rsidR="003F7D3B">
        <w:rPr>
          <w:rFonts w:ascii="Arial" w:hAnsi="Arial" w:cs="Arial"/>
          <w:sz w:val="24"/>
          <w:szCs w:val="24"/>
        </w:rPr>
        <w:t>d products that include</w:t>
      </w:r>
      <w:r w:rsidR="00293AFA">
        <w:rPr>
          <w:rFonts w:ascii="Arial" w:hAnsi="Arial" w:cs="Arial"/>
          <w:sz w:val="24"/>
          <w:szCs w:val="24"/>
        </w:rPr>
        <w:t xml:space="preserve"> smart thermo</w:t>
      </w:r>
      <w:r w:rsidR="003F7D3B">
        <w:rPr>
          <w:rFonts w:ascii="Arial" w:hAnsi="Arial" w:cs="Arial"/>
          <w:sz w:val="24"/>
          <w:szCs w:val="24"/>
        </w:rPr>
        <w:t>stats,</w:t>
      </w:r>
      <w:r w:rsidR="00293AFA">
        <w:rPr>
          <w:rFonts w:ascii="Arial" w:hAnsi="Arial" w:cs="Arial"/>
          <w:sz w:val="24"/>
          <w:szCs w:val="24"/>
        </w:rPr>
        <w:t xml:space="preserve"> solar distributed generation</w:t>
      </w:r>
      <w:r w:rsidR="003F7D3B">
        <w:rPr>
          <w:rFonts w:ascii="Arial" w:hAnsi="Arial" w:cs="Arial"/>
          <w:sz w:val="24"/>
          <w:szCs w:val="24"/>
        </w:rPr>
        <w:t>, demand response</w:t>
      </w:r>
      <w:r w:rsidR="006C07FE">
        <w:rPr>
          <w:rFonts w:ascii="Arial" w:hAnsi="Arial" w:cs="Arial"/>
          <w:sz w:val="24"/>
          <w:szCs w:val="24"/>
        </w:rPr>
        <w:t>, energy efficiency</w:t>
      </w:r>
      <w:r w:rsidR="00A51EE9">
        <w:rPr>
          <w:rFonts w:ascii="Arial" w:hAnsi="Arial" w:cs="Arial"/>
          <w:sz w:val="24"/>
          <w:szCs w:val="24"/>
        </w:rPr>
        <w:t>,</w:t>
      </w:r>
      <w:r w:rsidR="003F7D3B">
        <w:rPr>
          <w:rFonts w:ascii="Arial" w:hAnsi="Arial" w:cs="Arial"/>
          <w:sz w:val="24"/>
          <w:szCs w:val="24"/>
        </w:rPr>
        <w:t xml:space="preserve"> and green electricity</w:t>
      </w:r>
      <w:r w:rsidR="008743C8">
        <w:rPr>
          <w:rFonts w:ascii="Arial" w:hAnsi="Arial" w:cs="Arial"/>
          <w:sz w:val="24"/>
          <w:szCs w:val="24"/>
        </w:rPr>
        <w:t>.</w:t>
      </w:r>
      <w:r w:rsidR="00293AFA">
        <w:rPr>
          <w:rFonts w:ascii="Arial" w:hAnsi="Arial" w:cs="Arial"/>
          <w:sz w:val="24"/>
          <w:szCs w:val="24"/>
        </w:rPr>
        <w:t xml:space="preserve"> </w:t>
      </w:r>
      <w:r w:rsidR="00B91011">
        <w:rPr>
          <w:rFonts w:ascii="Arial" w:hAnsi="Arial" w:cs="Arial"/>
          <w:sz w:val="24"/>
          <w:szCs w:val="24"/>
        </w:rPr>
        <w:lastRenderedPageBreak/>
        <w:t xml:space="preserve">These products are available to customers in Texas, </w:t>
      </w:r>
      <w:r w:rsidR="000F3F3E" w:rsidRPr="000F3F3E">
        <w:rPr>
          <w:rFonts w:ascii="Arial" w:hAnsi="Arial" w:cs="Arial"/>
          <w:i/>
          <w:sz w:val="24"/>
          <w:szCs w:val="24"/>
        </w:rPr>
        <w:t xml:space="preserve">all </w:t>
      </w:r>
      <w:r w:rsidR="00B91011" w:rsidRPr="00B91011">
        <w:rPr>
          <w:rFonts w:ascii="Arial" w:hAnsi="Arial" w:cs="Arial"/>
          <w:i/>
          <w:sz w:val="24"/>
          <w:szCs w:val="24"/>
        </w:rPr>
        <w:t>while still experiencing lower electric prices</w:t>
      </w:r>
      <w:r w:rsidR="008743C8">
        <w:rPr>
          <w:rFonts w:ascii="Arial" w:hAnsi="Arial" w:cs="Arial"/>
          <w:sz w:val="24"/>
          <w:szCs w:val="24"/>
        </w:rPr>
        <w:t>.</w:t>
      </w:r>
      <w:r w:rsidR="00B91011">
        <w:rPr>
          <w:rFonts w:ascii="Arial" w:hAnsi="Arial" w:cs="Arial"/>
          <w:sz w:val="24"/>
          <w:szCs w:val="24"/>
        </w:rPr>
        <w:t xml:space="preserve"> </w:t>
      </w:r>
    </w:p>
    <w:p w:rsidR="008161DD" w:rsidRDefault="00B91011" w:rsidP="00337316">
      <w:pPr>
        <w:spacing w:line="480" w:lineRule="auto"/>
        <w:ind w:firstLine="720"/>
        <w:rPr>
          <w:rFonts w:ascii="Arial" w:hAnsi="Arial" w:cs="Arial"/>
          <w:sz w:val="24"/>
          <w:szCs w:val="24"/>
        </w:rPr>
      </w:pPr>
      <w:r>
        <w:rPr>
          <w:rFonts w:ascii="Arial" w:hAnsi="Arial" w:cs="Arial"/>
          <w:sz w:val="24"/>
          <w:szCs w:val="24"/>
        </w:rPr>
        <w:t xml:space="preserve">Unfortunately, Ohio is significantly behind Texas when it comes to </w:t>
      </w:r>
      <w:r w:rsidR="008161DD">
        <w:rPr>
          <w:rFonts w:ascii="Arial" w:hAnsi="Arial" w:cs="Arial"/>
          <w:sz w:val="24"/>
          <w:szCs w:val="24"/>
        </w:rPr>
        <w:t>innovation</w:t>
      </w:r>
      <w:r>
        <w:rPr>
          <w:rFonts w:ascii="Arial" w:hAnsi="Arial" w:cs="Arial"/>
          <w:sz w:val="24"/>
          <w:szCs w:val="24"/>
        </w:rPr>
        <w:t xml:space="preserve"> in the</w:t>
      </w:r>
      <w:r w:rsidR="008161DD">
        <w:rPr>
          <w:rFonts w:ascii="Arial" w:hAnsi="Arial" w:cs="Arial"/>
          <w:sz w:val="24"/>
          <w:szCs w:val="24"/>
        </w:rPr>
        <w:t xml:space="preserve"> electric</w:t>
      </w:r>
      <w:r>
        <w:rPr>
          <w:rFonts w:ascii="Arial" w:hAnsi="Arial" w:cs="Arial"/>
          <w:sz w:val="24"/>
          <w:szCs w:val="24"/>
        </w:rPr>
        <w:t xml:space="preserve"> market, and this is largely due to the fact that Ohio has not fully </w:t>
      </w:r>
      <w:r w:rsidR="008743C8">
        <w:rPr>
          <w:rFonts w:ascii="Arial" w:hAnsi="Arial" w:cs="Arial"/>
          <w:sz w:val="24"/>
          <w:szCs w:val="24"/>
        </w:rPr>
        <w:t>embraced electric competition. I</w:t>
      </w:r>
      <w:r>
        <w:rPr>
          <w:rFonts w:ascii="Arial" w:hAnsi="Arial" w:cs="Arial"/>
          <w:sz w:val="24"/>
          <w:szCs w:val="24"/>
        </w:rPr>
        <w:t>nste</w:t>
      </w:r>
      <w:r w:rsidR="008161DD">
        <w:rPr>
          <w:rFonts w:ascii="Arial" w:hAnsi="Arial" w:cs="Arial"/>
          <w:sz w:val="24"/>
          <w:szCs w:val="24"/>
        </w:rPr>
        <w:t>ad, Ohio has a default rate structure</w:t>
      </w:r>
      <w:r>
        <w:rPr>
          <w:rFonts w:ascii="Arial" w:hAnsi="Arial" w:cs="Arial"/>
          <w:sz w:val="24"/>
          <w:szCs w:val="24"/>
        </w:rPr>
        <w:t xml:space="preserve"> that discourages engagement in market</w:t>
      </w:r>
      <w:r w:rsidR="000F3F3E">
        <w:rPr>
          <w:rFonts w:ascii="Arial" w:hAnsi="Arial" w:cs="Arial"/>
          <w:sz w:val="24"/>
          <w:szCs w:val="24"/>
        </w:rPr>
        <w:t>s</w:t>
      </w:r>
      <w:r>
        <w:rPr>
          <w:rFonts w:ascii="Arial" w:hAnsi="Arial" w:cs="Arial"/>
          <w:sz w:val="24"/>
          <w:szCs w:val="24"/>
        </w:rPr>
        <w:t xml:space="preserve"> and discourages customers from making an affirmative choice for their electric supply.</w:t>
      </w:r>
      <w:r w:rsidR="001E6856">
        <w:rPr>
          <w:rFonts w:ascii="Arial" w:hAnsi="Arial" w:cs="Arial"/>
          <w:sz w:val="24"/>
          <w:szCs w:val="24"/>
        </w:rPr>
        <w:t xml:space="preserve"> </w:t>
      </w:r>
      <w:r w:rsidR="008161DD">
        <w:rPr>
          <w:rFonts w:ascii="Arial" w:hAnsi="Arial" w:cs="Arial"/>
          <w:sz w:val="24"/>
          <w:szCs w:val="24"/>
        </w:rPr>
        <w:t>Further, Ohio spends a vast amount of regulatory resources</w:t>
      </w:r>
      <w:r w:rsidR="000F3F3E">
        <w:rPr>
          <w:rFonts w:ascii="Arial" w:hAnsi="Arial" w:cs="Arial"/>
          <w:sz w:val="24"/>
          <w:szCs w:val="24"/>
        </w:rPr>
        <w:t xml:space="preserve"> </w:t>
      </w:r>
      <w:r w:rsidR="008161DD">
        <w:rPr>
          <w:rFonts w:ascii="Arial" w:hAnsi="Arial" w:cs="Arial"/>
          <w:sz w:val="24"/>
          <w:szCs w:val="24"/>
        </w:rPr>
        <w:t xml:space="preserve">litigating issues </w:t>
      </w:r>
      <w:r w:rsidR="000619AA">
        <w:rPr>
          <w:rFonts w:ascii="Arial" w:hAnsi="Arial" w:cs="Arial"/>
          <w:sz w:val="24"/>
          <w:szCs w:val="24"/>
        </w:rPr>
        <w:t xml:space="preserve">germane to </w:t>
      </w:r>
      <w:r w:rsidR="008161DD">
        <w:rPr>
          <w:rFonts w:ascii="Arial" w:hAnsi="Arial" w:cs="Arial"/>
          <w:sz w:val="24"/>
          <w:szCs w:val="24"/>
        </w:rPr>
        <w:t>the artificial default rate in order to protect and subsidize that rate</w:t>
      </w:r>
      <w:r w:rsidR="008637D3">
        <w:rPr>
          <w:rFonts w:ascii="Arial" w:hAnsi="Arial" w:cs="Arial"/>
          <w:sz w:val="24"/>
          <w:szCs w:val="24"/>
        </w:rPr>
        <w:t>. These resources could be better spent on</w:t>
      </w:r>
      <w:r w:rsidR="00D46B0C">
        <w:rPr>
          <w:rFonts w:ascii="Arial" w:hAnsi="Arial" w:cs="Arial"/>
          <w:sz w:val="24"/>
          <w:szCs w:val="24"/>
        </w:rPr>
        <w:t xml:space="preserve"> more product</w:t>
      </w:r>
      <w:r w:rsidR="00785AD0">
        <w:rPr>
          <w:rFonts w:ascii="Arial" w:hAnsi="Arial" w:cs="Arial"/>
          <w:sz w:val="24"/>
          <w:szCs w:val="24"/>
        </w:rPr>
        <w:t>ive</w:t>
      </w:r>
      <w:r w:rsidR="00D46B0C">
        <w:rPr>
          <w:rFonts w:ascii="Arial" w:hAnsi="Arial" w:cs="Arial"/>
          <w:sz w:val="24"/>
          <w:szCs w:val="24"/>
        </w:rPr>
        <w:t xml:space="preserve"> endeavors such as</w:t>
      </w:r>
      <w:r w:rsidR="008637D3">
        <w:rPr>
          <w:rFonts w:ascii="Arial" w:hAnsi="Arial" w:cs="Arial"/>
          <w:sz w:val="24"/>
          <w:szCs w:val="24"/>
        </w:rPr>
        <w:t xml:space="preserve"> providing assistance to economically disadvantaged electric customers</w:t>
      </w:r>
      <w:r w:rsidR="00FB519C">
        <w:rPr>
          <w:rFonts w:ascii="Arial" w:hAnsi="Arial" w:cs="Arial"/>
          <w:sz w:val="24"/>
          <w:szCs w:val="24"/>
        </w:rPr>
        <w:t xml:space="preserve"> </w:t>
      </w:r>
      <w:r w:rsidR="008637D3">
        <w:rPr>
          <w:rFonts w:ascii="Arial" w:hAnsi="Arial" w:cs="Arial"/>
          <w:sz w:val="24"/>
          <w:szCs w:val="24"/>
        </w:rPr>
        <w:t>and encour</w:t>
      </w:r>
      <w:r w:rsidR="008743C8">
        <w:rPr>
          <w:rFonts w:ascii="Arial" w:hAnsi="Arial" w:cs="Arial"/>
          <w:sz w:val="24"/>
          <w:szCs w:val="24"/>
        </w:rPr>
        <w:t>aging innovation in the market.</w:t>
      </w:r>
      <w:r w:rsidR="008161DD">
        <w:rPr>
          <w:rFonts w:ascii="Arial" w:hAnsi="Arial" w:cs="Arial"/>
          <w:sz w:val="24"/>
          <w:szCs w:val="24"/>
        </w:rPr>
        <w:t xml:space="preserve"> </w:t>
      </w:r>
    </w:p>
    <w:p w:rsidR="00B57D17" w:rsidRDefault="000F3F3E" w:rsidP="00337316">
      <w:pPr>
        <w:spacing w:line="480" w:lineRule="auto"/>
        <w:ind w:firstLine="720"/>
        <w:rPr>
          <w:rFonts w:ascii="Arial" w:hAnsi="Arial" w:cs="Arial"/>
          <w:sz w:val="24"/>
          <w:szCs w:val="24"/>
        </w:rPr>
      </w:pPr>
      <w:r>
        <w:rPr>
          <w:rFonts w:ascii="Arial" w:hAnsi="Arial" w:cs="Arial"/>
          <w:sz w:val="24"/>
          <w:szCs w:val="24"/>
        </w:rPr>
        <w:t>IGS is confident that the Commission will see past the misrepresentations made by opponents of competition and continue Ohio’s electric markets down the path to fully competitive markets similar to</w:t>
      </w:r>
      <w:r w:rsidR="008637D3">
        <w:rPr>
          <w:rFonts w:ascii="Arial" w:hAnsi="Arial" w:cs="Arial"/>
          <w:sz w:val="24"/>
          <w:szCs w:val="24"/>
        </w:rPr>
        <w:t xml:space="preserve"> what has been achieved in</w:t>
      </w:r>
      <w:r>
        <w:rPr>
          <w:rFonts w:ascii="Arial" w:hAnsi="Arial" w:cs="Arial"/>
          <w:sz w:val="24"/>
          <w:szCs w:val="24"/>
        </w:rPr>
        <w:t xml:space="preserve"> Texas.</w:t>
      </w:r>
    </w:p>
    <w:p w:rsidR="006603E7" w:rsidRDefault="006603E7" w:rsidP="00293C57">
      <w:pPr>
        <w:pStyle w:val="ListParagraph"/>
        <w:numPr>
          <w:ilvl w:val="0"/>
          <w:numId w:val="6"/>
        </w:numPr>
        <w:spacing w:line="240" w:lineRule="auto"/>
        <w:rPr>
          <w:rFonts w:ascii="Arial" w:hAnsi="Arial" w:cs="Arial"/>
          <w:b/>
          <w:sz w:val="24"/>
          <w:szCs w:val="24"/>
        </w:rPr>
      </w:pPr>
      <w:r w:rsidRPr="006603E7">
        <w:rPr>
          <w:rFonts w:ascii="Arial" w:hAnsi="Arial" w:cs="Arial"/>
          <w:b/>
          <w:sz w:val="24"/>
          <w:szCs w:val="24"/>
        </w:rPr>
        <w:t xml:space="preserve">The Arguments </w:t>
      </w:r>
      <w:proofErr w:type="gramStart"/>
      <w:r w:rsidRPr="006603E7">
        <w:rPr>
          <w:rFonts w:ascii="Arial" w:hAnsi="Arial" w:cs="Arial"/>
          <w:b/>
          <w:sz w:val="24"/>
          <w:szCs w:val="24"/>
        </w:rPr>
        <w:t>Against</w:t>
      </w:r>
      <w:proofErr w:type="gramEnd"/>
      <w:r w:rsidRPr="006603E7">
        <w:rPr>
          <w:rFonts w:ascii="Arial" w:hAnsi="Arial" w:cs="Arial"/>
          <w:b/>
          <w:sz w:val="24"/>
          <w:szCs w:val="24"/>
        </w:rPr>
        <w:t xml:space="preserve"> Implementing the Reasonable and Modest Market Enhancements Proposed by Staff are Not Credible</w:t>
      </w:r>
      <w:r w:rsidR="00293C57">
        <w:rPr>
          <w:rFonts w:ascii="Arial" w:hAnsi="Arial" w:cs="Arial"/>
          <w:b/>
          <w:sz w:val="24"/>
          <w:szCs w:val="24"/>
        </w:rPr>
        <w:t>.</w:t>
      </w:r>
    </w:p>
    <w:p w:rsidR="005C6C19" w:rsidRDefault="006603E7" w:rsidP="00F42C77">
      <w:pPr>
        <w:spacing w:line="480" w:lineRule="auto"/>
        <w:ind w:firstLine="360"/>
        <w:rPr>
          <w:rFonts w:ascii="Arial" w:hAnsi="Arial" w:cs="Arial"/>
          <w:sz w:val="24"/>
          <w:szCs w:val="24"/>
        </w:rPr>
      </w:pPr>
      <w:r>
        <w:rPr>
          <w:rFonts w:ascii="Arial" w:hAnsi="Arial" w:cs="Arial"/>
          <w:sz w:val="24"/>
          <w:szCs w:val="24"/>
        </w:rPr>
        <w:t>The Staff Report recommended certain</w:t>
      </w:r>
      <w:r w:rsidR="005C6C19">
        <w:rPr>
          <w:rFonts w:ascii="Arial" w:hAnsi="Arial" w:cs="Arial"/>
          <w:sz w:val="24"/>
          <w:szCs w:val="24"/>
        </w:rPr>
        <w:t xml:space="preserve"> modest steps that should be taken in order to enhance</w:t>
      </w:r>
      <w:r>
        <w:rPr>
          <w:rFonts w:ascii="Arial" w:hAnsi="Arial" w:cs="Arial"/>
          <w:sz w:val="24"/>
          <w:szCs w:val="24"/>
        </w:rPr>
        <w:t xml:space="preserve"> Ohio’s </w:t>
      </w:r>
      <w:r w:rsidR="005C6C19">
        <w:rPr>
          <w:rFonts w:ascii="Arial" w:hAnsi="Arial" w:cs="Arial"/>
          <w:sz w:val="24"/>
          <w:szCs w:val="24"/>
        </w:rPr>
        <w:t>competitive electric market</w:t>
      </w:r>
      <w:r w:rsidR="008743C8">
        <w:rPr>
          <w:rFonts w:ascii="Arial" w:hAnsi="Arial" w:cs="Arial"/>
          <w:sz w:val="24"/>
          <w:szCs w:val="24"/>
        </w:rPr>
        <w:t>s for the benefit of customers.</w:t>
      </w:r>
      <w:r w:rsidR="005C6C19">
        <w:rPr>
          <w:rFonts w:ascii="Arial" w:hAnsi="Arial" w:cs="Arial"/>
          <w:sz w:val="24"/>
          <w:szCs w:val="24"/>
        </w:rPr>
        <w:t xml:space="preserve"> Those recommendations</w:t>
      </w:r>
      <w:r>
        <w:rPr>
          <w:rFonts w:ascii="Arial" w:hAnsi="Arial" w:cs="Arial"/>
          <w:sz w:val="24"/>
          <w:szCs w:val="24"/>
        </w:rPr>
        <w:t xml:space="preserve"> include 1) requiring EDUs to implement a purchase of receivables</w:t>
      </w:r>
      <w:r w:rsidR="00792E51">
        <w:rPr>
          <w:rFonts w:ascii="Arial" w:hAnsi="Arial" w:cs="Arial"/>
          <w:sz w:val="24"/>
          <w:szCs w:val="24"/>
        </w:rPr>
        <w:t xml:space="preserve"> program</w:t>
      </w:r>
      <w:r>
        <w:rPr>
          <w:rFonts w:ascii="Arial" w:hAnsi="Arial" w:cs="Arial"/>
          <w:sz w:val="24"/>
          <w:szCs w:val="24"/>
        </w:rPr>
        <w:t xml:space="preserve"> (“POR”)</w:t>
      </w:r>
      <w:r w:rsidR="00D75482">
        <w:rPr>
          <w:rFonts w:ascii="Arial" w:hAnsi="Arial" w:cs="Arial"/>
          <w:sz w:val="24"/>
          <w:szCs w:val="24"/>
        </w:rPr>
        <w:t>,</w:t>
      </w:r>
      <w:r>
        <w:rPr>
          <w:rFonts w:ascii="Arial" w:hAnsi="Arial" w:cs="Arial"/>
          <w:sz w:val="24"/>
          <w:szCs w:val="24"/>
        </w:rPr>
        <w:t xml:space="preserve"> 2) establishing a working group tasked with creating a plan to implement seamless move for electric customers</w:t>
      </w:r>
      <w:r w:rsidR="00D75482">
        <w:rPr>
          <w:rFonts w:ascii="Arial" w:hAnsi="Arial" w:cs="Arial"/>
          <w:sz w:val="24"/>
          <w:szCs w:val="24"/>
        </w:rPr>
        <w:t>,</w:t>
      </w:r>
      <w:r>
        <w:rPr>
          <w:rFonts w:ascii="Arial" w:hAnsi="Arial" w:cs="Arial"/>
          <w:sz w:val="24"/>
          <w:szCs w:val="24"/>
        </w:rPr>
        <w:t xml:space="preserve"> 3)</w:t>
      </w:r>
      <w:r w:rsidR="00792E51">
        <w:rPr>
          <w:rFonts w:ascii="Arial" w:hAnsi="Arial" w:cs="Arial"/>
          <w:sz w:val="24"/>
          <w:szCs w:val="24"/>
        </w:rPr>
        <w:t xml:space="preserve"> requiring an EDU to include the CRES supplier’s logo on a customer’s bill and 4) allowing customers to voluntarily </w:t>
      </w:r>
      <w:r w:rsidR="00792E51">
        <w:rPr>
          <w:rFonts w:ascii="Arial" w:hAnsi="Arial" w:cs="Arial"/>
          <w:sz w:val="24"/>
          <w:szCs w:val="24"/>
        </w:rPr>
        <w:lastRenderedPageBreak/>
        <w:t>create an online account that would enable customers to enroll with a CRES without an account number</w:t>
      </w:r>
      <w:r w:rsidR="005C6C19">
        <w:rPr>
          <w:rFonts w:ascii="Arial" w:hAnsi="Arial" w:cs="Arial"/>
          <w:sz w:val="24"/>
          <w:szCs w:val="24"/>
        </w:rPr>
        <w:t xml:space="preserve"> (hereinafter collectively “Staff’s Market Enhancements”)</w:t>
      </w:r>
      <w:r w:rsidR="00792E51">
        <w:rPr>
          <w:rFonts w:ascii="Arial" w:hAnsi="Arial" w:cs="Arial"/>
          <w:sz w:val="24"/>
          <w:szCs w:val="24"/>
        </w:rPr>
        <w:t>.</w:t>
      </w:r>
      <w:r w:rsidR="00792E51">
        <w:rPr>
          <w:rStyle w:val="FootnoteReference"/>
          <w:rFonts w:ascii="Arial" w:hAnsi="Arial" w:cs="Arial"/>
          <w:sz w:val="24"/>
          <w:szCs w:val="24"/>
        </w:rPr>
        <w:footnoteReference w:id="15"/>
      </w:r>
    </w:p>
    <w:p w:rsidR="00DF0AD7" w:rsidRDefault="00792E51" w:rsidP="005C6C19">
      <w:pPr>
        <w:spacing w:line="480" w:lineRule="auto"/>
        <w:ind w:firstLine="360"/>
        <w:rPr>
          <w:rFonts w:ascii="Arial" w:hAnsi="Arial" w:cs="Arial"/>
          <w:sz w:val="24"/>
          <w:szCs w:val="24"/>
        </w:rPr>
      </w:pPr>
      <w:r>
        <w:rPr>
          <w:rFonts w:ascii="Arial" w:hAnsi="Arial" w:cs="Arial"/>
          <w:sz w:val="24"/>
          <w:szCs w:val="24"/>
        </w:rPr>
        <w:t>Unsurprisingly, certain parties f</w:t>
      </w:r>
      <w:r w:rsidR="00DB4B7A">
        <w:rPr>
          <w:rFonts w:ascii="Arial" w:hAnsi="Arial" w:cs="Arial"/>
          <w:sz w:val="24"/>
          <w:szCs w:val="24"/>
        </w:rPr>
        <w:t xml:space="preserve">iled comments </w:t>
      </w:r>
      <w:r>
        <w:rPr>
          <w:rFonts w:ascii="Arial" w:hAnsi="Arial" w:cs="Arial"/>
          <w:sz w:val="24"/>
          <w:szCs w:val="24"/>
        </w:rPr>
        <w:t>opposing</w:t>
      </w:r>
      <w:r w:rsidR="005C6C19">
        <w:rPr>
          <w:rFonts w:ascii="Arial" w:hAnsi="Arial" w:cs="Arial"/>
          <w:sz w:val="24"/>
          <w:szCs w:val="24"/>
        </w:rPr>
        <w:t xml:space="preserve"> </w:t>
      </w:r>
      <w:r w:rsidR="005C6C19" w:rsidRPr="00D46B0C">
        <w:rPr>
          <w:rFonts w:ascii="Arial" w:hAnsi="Arial" w:cs="Arial"/>
          <w:i/>
          <w:sz w:val="24"/>
          <w:szCs w:val="24"/>
        </w:rPr>
        <w:t>all</w:t>
      </w:r>
      <w:r w:rsidR="005C6C19">
        <w:rPr>
          <w:rFonts w:ascii="Arial" w:hAnsi="Arial" w:cs="Arial"/>
          <w:sz w:val="24"/>
          <w:szCs w:val="24"/>
        </w:rPr>
        <w:t xml:space="preserve"> of Staff’s Market E</w:t>
      </w:r>
      <w:r>
        <w:rPr>
          <w:rFonts w:ascii="Arial" w:hAnsi="Arial" w:cs="Arial"/>
          <w:sz w:val="24"/>
          <w:szCs w:val="24"/>
        </w:rPr>
        <w:t>nhancement</w:t>
      </w:r>
      <w:r w:rsidR="00924077">
        <w:rPr>
          <w:rFonts w:ascii="Arial" w:hAnsi="Arial" w:cs="Arial"/>
          <w:sz w:val="24"/>
          <w:szCs w:val="24"/>
        </w:rPr>
        <w:t>s</w:t>
      </w:r>
      <w:r>
        <w:rPr>
          <w:rFonts w:ascii="Arial" w:hAnsi="Arial" w:cs="Arial"/>
          <w:sz w:val="24"/>
          <w:szCs w:val="24"/>
        </w:rPr>
        <w:t>.</w:t>
      </w:r>
      <w:r>
        <w:rPr>
          <w:rStyle w:val="FootnoteReference"/>
          <w:rFonts w:ascii="Arial" w:hAnsi="Arial" w:cs="Arial"/>
          <w:sz w:val="24"/>
          <w:szCs w:val="24"/>
        </w:rPr>
        <w:footnoteReference w:id="16"/>
      </w:r>
      <w:r w:rsidR="00F42C77">
        <w:rPr>
          <w:rFonts w:ascii="Arial" w:hAnsi="Arial" w:cs="Arial"/>
          <w:sz w:val="24"/>
          <w:szCs w:val="24"/>
        </w:rPr>
        <w:t xml:space="preserve"> The reasons cited in</w:t>
      </w:r>
      <w:r w:rsidR="005C6C19">
        <w:rPr>
          <w:rFonts w:ascii="Arial" w:hAnsi="Arial" w:cs="Arial"/>
          <w:sz w:val="24"/>
          <w:szCs w:val="24"/>
        </w:rPr>
        <w:t xml:space="preserve"> opposition</w:t>
      </w:r>
      <w:r>
        <w:rPr>
          <w:rFonts w:ascii="Arial" w:hAnsi="Arial" w:cs="Arial"/>
          <w:sz w:val="24"/>
          <w:szCs w:val="24"/>
        </w:rPr>
        <w:t xml:space="preserve"> were many</w:t>
      </w:r>
      <w:r w:rsidR="00F42C77">
        <w:rPr>
          <w:rFonts w:ascii="Arial" w:hAnsi="Arial" w:cs="Arial"/>
          <w:sz w:val="24"/>
          <w:szCs w:val="24"/>
        </w:rPr>
        <w:t>, including</w:t>
      </w:r>
      <w:r w:rsidR="00D46B0C">
        <w:rPr>
          <w:rFonts w:ascii="Arial" w:hAnsi="Arial" w:cs="Arial"/>
          <w:sz w:val="24"/>
          <w:szCs w:val="24"/>
        </w:rPr>
        <w:t xml:space="preserve"> claims</w:t>
      </w:r>
      <w:r w:rsidR="00F42C77">
        <w:rPr>
          <w:rFonts w:ascii="Arial" w:hAnsi="Arial" w:cs="Arial"/>
          <w:sz w:val="24"/>
          <w:szCs w:val="24"/>
        </w:rPr>
        <w:t xml:space="preserve"> that </w:t>
      </w:r>
      <w:r w:rsidR="00FB519C">
        <w:rPr>
          <w:rFonts w:ascii="Arial" w:hAnsi="Arial" w:cs="Arial"/>
          <w:sz w:val="24"/>
          <w:szCs w:val="24"/>
        </w:rPr>
        <w:t>the market enhancements are il</w:t>
      </w:r>
      <w:r w:rsidR="00F42C77">
        <w:rPr>
          <w:rFonts w:ascii="Arial" w:hAnsi="Arial" w:cs="Arial"/>
          <w:sz w:val="24"/>
          <w:szCs w:val="24"/>
        </w:rPr>
        <w:t>legal,</w:t>
      </w:r>
      <w:r w:rsidR="00F42C77">
        <w:rPr>
          <w:rStyle w:val="FootnoteReference"/>
          <w:rFonts w:ascii="Arial" w:hAnsi="Arial" w:cs="Arial"/>
          <w:sz w:val="24"/>
          <w:szCs w:val="24"/>
        </w:rPr>
        <w:footnoteReference w:id="17"/>
      </w:r>
      <w:r w:rsidR="00F42C77">
        <w:rPr>
          <w:rFonts w:ascii="Arial" w:hAnsi="Arial" w:cs="Arial"/>
          <w:sz w:val="24"/>
          <w:szCs w:val="24"/>
        </w:rPr>
        <w:t xml:space="preserve"> that the technology does not exist to make the market enhancements</w:t>
      </w:r>
      <w:proofErr w:type="gramStart"/>
      <w:r w:rsidR="00F42C77">
        <w:rPr>
          <w:rFonts w:ascii="Arial" w:hAnsi="Arial" w:cs="Arial"/>
          <w:sz w:val="24"/>
          <w:szCs w:val="24"/>
        </w:rPr>
        <w:t>,</w:t>
      </w:r>
      <w:proofErr w:type="gramEnd"/>
      <w:r w:rsidR="00F42C77">
        <w:rPr>
          <w:rStyle w:val="FootnoteReference"/>
          <w:rFonts w:ascii="Arial" w:hAnsi="Arial" w:cs="Arial"/>
          <w:sz w:val="24"/>
          <w:szCs w:val="24"/>
        </w:rPr>
        <w:footnoteReference w:id="18"/>
      </w:r>
      <w:r w:rsidR="00D46B0C">
        <w:rPr>
          <w:rFonts w:ascii="Arial" w:hAnsi="Arial" w:cs="Arial"/>
          <w:sz w:val="24"/>
          <w:szCs w:val="24"/>
        </w:rPr>
        <w:t xml:space="preserve">and </w:t>
      </w:r>
      <w:r w:rsidR="00F42C77">
        <w:rPr>
          <w:rFonts w:ascii="Arial" w:hAnsi="Arial" w:cs="Arial"/>
          <w:sz w:val="24"/>
          <w:szCs w:val="24"/>
        </w:rPr>
        <w:t>that the market enhancements would be too costly or burdensome.</w:t>
      </w:r>
      <w:r w:rsidR="00F42C77">
        <w:rPr>
          <w:rStyle w:val="FootnoteReference"/>
          <w:rFonts w:ascii="Arial" w:hAnsi="Arial" w:cs="Arial"/>
          <w:sz w:val="24"/>
          <w:szCs w:val="24"/>
        </w:rPr>
        <w:footnoteReference w:id="19"/>
      </w:r>
      <w:r w:rsidR="00F42C77">
        <w:rPr>
          <w:rFonts w:ascii="Arial" w:hAnsi="Arial" w:cs="Arial"/>
          <w:sz w:val="24"/>
          <w:szCs w:val="24"/>
        </w:rPr>
        <w:t xml:space="preserve"> IGS will not refute point by point these arguments, as these issues have be</w:t>
      </w:r>
      <w:r w:rsidR="00FF15A0">
        <w:rPr>
          <w:rFonts w:ascii="Arial" w:hAnsi="Arial" w:cs="Arial"/>
          <w:sz w:val="24"/>
          <w:szCs w:val="24"/>
        </w:rPr>
        <w:t>en fully vetted</w:t>
      </w:r>
      <w:r w:rsidR="00F42C77">
        <w:rPr>
          <w:rFonts w:ascii="Arial" w:hAnsi="Arial" w:cs="Arial"/>
          <w:sz w:val="24"/>
          <w:szCs w:val="24"/>
        </w:rPr>
        <w:t xml:space="preserve"> in comments already provided in this proceeding and the RMI workshops. IGS would</w:t>
      </w:r>
      <w:r w:rsidR="00DC279B">
        <w:rPr>
          <w:rFonts w:ascii="Arial" w:hAnsi="Arial" w:cs="Arial"/>
          <w:sz w:val="24"/>
          <w:szCs w:val="24"/>
        </w:rPr>
        <w:t xml:space="preserve"> just like to make a few broad </w:t>
      </w:r>
      <w:r w:rsidR="005C6C19">
        <w:rPr>
          <w:rFonts w:ascii="Arial" w:hAnsi="Arial" w:cs="Arial"/>
          <w:sz w:val="24"/>
          <w:szCs w:val="24"/>
        </w:rPr>
        <w:t>observations with respect to Staff’s Market E</w:t>
      </w:r>
      <w:r w:rsidR="00F42C77">
        <w:rPr>
          <w:rFonts w:ascii="Arial" w:hAnsi="Arial" w:cs="Arial"/>
          <w:sz w:val="24"/>
          <w:szCs w:val="24"/>
        </w:rPr>
        <w:t xml:space="preserve">nhancements and the opposition thereto. </w:t>
      </w:r>
    </w:p>
    <w:p w:rsidR="006603E7" w:rsidRDefault="00DF0AD7" w:rsidP="00F42C77">
      <w:pPr>
        <w:spacing w:line="480" w:lineRule="auto"/>
        <w:ind w:firstLine="360"/>
        <w:rPr>
          <w:rFonts w:ascii="Arial" w:hAnsi="Arial" w:cs="Arial"/>
          <w:sz w:val="24"/>
          <w:szCs w:val="24"/>
        </w:rPr>
      </w:pPr>
      <w:r>
        <w:rPr>
          <w:rFonts w:ascii="Arial" w:hAnsi="Arial" w:cs="Arial"/>
          <w:sz w:val="24"/>
          <w:szCs w:val="24"/>
        </w:rPr>
        <w:t xml:space="preserve">First, </w:t>
      </w:r>
      <w:r w:rsidR="005C6C19">
        <w:rPr>
          <w:rFonts w:ascii="Arial" w:hAnsi="Arial" w:cs="Arial"/>
          <w:sz w:val="24"/>
          <w:szCs w:val="24"/>
        </w:rPr>
        <w:t>Staff’s Market Enhancements</w:t>
      </w:r>
      <w:r w:rsidR="004F2A07">
        <w:rPr>
          <w:rFonts w:ascii="Arial" w:hAnsi="Arial" w:cs="Arial"/>
          <w:sz w:val="24"/>
          <w:szCs w:val="24"/>
        </w:rPr>
        <w:t xml:space="preserve"> </w:t>
      </w:r>
      <w:r w:rsidR="0049480A">
        <w:rPr>
          <w:rFonts w:ascii="Arial" w:hAnsi="Arial" w:cs="Arial"/>
          <w:sz w:val="24"/>
          <w:szCs w:val="24"/>
        </w:rPr>
        <w:t>represent</w:t>
      </w:r>
      <w:r w:rsidR="004F2A07">
        <w:rPr>
          <w:rFonts w:ascii="Arial" w:hAnsi="Arial" w:cs="Arial"/>
          <w:sz w:val="24"/>
          <w:szCs w:val="24"/>
        </w:rPr>
        <w:t xml:space="preserve"> modest and immediate steps that can be taken to enhance Ohio’s re</w:t>
      </w:r>
      <w:r w:rsidR="006C07FE">
        <w:rPr>
          <w:rFonts w:ascii="Arial" w:hAnsi="Arial" w:cs="Arial"/>
          <w:sz w:val="24"/>
          <w:szCs w:val="24"/>
        </w:rPr>
        <w:t xml:space="preserve">tail electric markets; however, </w:t>
      </w:r>
      <w:r w:rsidR="00A51EE9">
        <w:rPr>
          <w:rFonts w:ascii="Arial" w:hAnsi="Arial" w:cs="Arial"/>
          <w:sz w:val="24"/>
          <w:szCs w:val="24"/>
        </w:rPr>
        <w:t xml:space="preserve">everything </w:t>
      </w:r>
      <w:r>
        <w:rPr>
          <w:rFonts w:ascii="Arial" w:hAnsi="Arial" w:cs="Arial"/>
          <w:sz w:val="24"/>
          <w:szCs w:val="24"/>
        </w:rPr>
        <w:t>pro</w:t>
      </w:r>
      <w:r w:rsidR="004F2A07">
        <w:rPr>
          <w:rFonts w:ascii="Arial" w:hAnsi="Arial" w:cs="Arial"/>
          <w:sz w:val="24"/>
          <w:szCs w:val="24"/>
        </w:rPr>
        <w:t xml:space="preserve">posed </w:t>
      </w:r>
      <w:r>
        <w:rPr>
          <w:rFonts w:ascii="Arial" w:hAnsi="Arial" w:cs="Arial"/>
          <w:sz w:val="24"/>
          <w:szCs w:val="24"/>
        </w:rPr>
        <w:t>in the Staff Report has either already been adopted by utilities in Ohio or in competitive electric markets in other states.</w:t>
      </w:r>
      <w:r>
        <w:rPr>
          <w:rStyle w:val="FootnoteReference"/>
          <w:rFonts w:ascii="Arial" w:hAnsi="Arial" w:cs="Arial"/>
          <w:sz w:val="24"/>
          <w:szCs w:val="24"/>
        </w:rPr>
        <w:footnoteReference w:id="20"/>
      </w:r>
      <w:r w:rsidR="00F42C77">
        <w:rPr>
          <w:rFonts w:ascii="Arial" w:hAnsi="Arial" w:cs="Arial"/>
          <w:sz w:val="24"/>
          <w:szCs w:val="24"/>
        </w:rPr>
        <w:t xml:space="preserve"> </w:t>
      </w:r>
      <w:r>
        <w:rPr>
          <w:rFonts w:ascii="Arial" w:hAnsi="Arial" w:cs="Arial"/>
          <w:sz w:val="24"/>
          <w:szCs w:val="24"/>
        </w:rPr>
        <w:t>Thus, the arguments that the programs proposed by</w:t>
      </w:r>
      <w:r w:rsidR="00924077">
        <w:rPr>
          <w:rFonts w:ascii="Arial" w:hAnsi="Arial" w:cs="Arial"/>
          <w:sz w:val="24"/>
          <w:szCs w:val="24"/>
        </w:rPr>
        <w:t xml:space="preserve"> Staff are</w:t>
      </w:r>
      <w:r>
        <w:rPr>
          <w:rFonts w:ascii="Arial" w:hAnsi="Arial" w:cs="Arial"/>
          <w:sz w:val="24"/>
          <w:szCs w:val="24"/>
        </w:rPr>
        <w:t xml:space="preserve"> illegal</w:t>
      </w:r>
      <w:r w:rsidR="00924077">
        <w:rPr>
          <w:rFonts w:ascii="Arial" w:hAnsi="Arial" w:cs="Arial"/>
          <w:sz w:val="24"/>
          <w:szCs w:val="24"/>
        </w:rPr>
        <w:t>, unworkable</w:t>
      </w:r>
      <w:r w:rsidR="00A51EE9">
        <w:rPr>
          <w:rFonts w:ascii="Arial" w:hAnsi="Arial" w:cs="Arial"/>
          <w:sz w:val="24"/>
          <w:szCs w:val="24"/>
        </w:rPr>
        <w:t>,</w:t>
      </w:r>
      <w:r>
        <w:rPr>
          <w:rFonts w:ascii="Arial" w:hAnsi="Arial" w:cs="Arial"/>
          <w:sz w:val="24"/>
          <w:szCs w:val="24"/>
        </w:rPr>
        <w:t xml:space="preserve"> or too costly c</w:t>
      </w:r>
      <w:r w:rsidR="00924077">
        <w:rPr>
          <w:rFonts w:ascii="Arial" w:hAnsi="Arial" w:cs="Arial"/>
          <w:sz w:val="24"/>
          <w:szCs w:val="24"/>
        </w:rPr>
        <w:t>an be dismissed off-hand.</w:t>
      </w:r>
      <w:r>
        <w:rPr>
          <w:rFonts w:ascii="Arial" w:hAnsi="Arial" w:cs="Arial"/>
          <w:sz w:val="24"/>
          <w:szCs w:val="24"/>
        </w:rPr>
        <w:t xml:space="preserve"> </w:t>
      </w:r>
      <w:r w:rsidR="00924077">
        <w:rPr>
          <w:rFonts w:ascii="Arial" w:hAnsi="Arial" w:cs="Arial"/>
          <w:sz w:val="24"/>
          <w:szCs w:val="24"/>
        </w:rPr>
        <w:t xml:space="preserve">The evidence from other utilities in Ohio and surrounding states </w:t>
      </w:r>
      <w:r w:rsidR="00FB519C">
        <w:rPr>
          <w:rFonts w:ascii="Arial" w:hAnsi="Arial" w:cs="Arial"/>
          <w:sz w:val="24"/>
          <w:szCs w:val="24"/>
        </w:rPr>
        <w:t>show that</w:t>
      </w:r>
      <w:r w:rsidR="00924077">
        <w:rPr>
          <w:rFonts w:ascii="Arial" w:hAnsi="Arial" w:cs="Arial"/>
          <w:sz w:val="24"/>
          <w:szCs w:val="24"/>
        </w:rPr>
        <w:t xml:space="preserve"> the market enhancements </w:t>
      </w:r>
      <w:r w:rsidR="00924077">
        <w:rPr>
          <w:rFonts w:ascii="Arial" w:hAnsi="Arial" w:cs="Arial"/>
          <w:sz w:val="24"/>
          <w:szCs w:val="24"/>
        </w:rPr>
        <w:lastRenderedPageBreak/>
        <w:t>proposed by Staff are not illegal, they do work, they benefit customers</w:t>
      </w:r>
      <w:r w:rsidR="00A51EE9">
        <w:rPr>
          <w:rFonts w:ascii="Arial" w:hAnsi="Arial" w:cs="Arial"/>
          <w:sz w:val="24"/>
          <w:szCs w:val="24"/>
        </w:rPr>
        <w:t>,</w:t>
      </w:r>
      <w:r w:rsidR="00924077">
        <w:rPr>
          <w:rFonts w:ascii="Arial" w:hAnsi="Arial" w:cs="Arial"/>
          <w:sz w:val="24"/>
          <w:szCs w:val="24"/>
        </w:rPr>
        <w:t xml:space="preserve"> and they ma</w:t>
      </w:r>
      <w:r w:rsidR="008743C8">
        <w:rPr>
          <w:rFonts w:ascii="Arial" w:hAnsi="Arial" w:cs="Arial"/>
          <w:sz w:val="24"/>
          <w:szCs w:val="24"/>
        </w:rPr>
        <w:t>ke the market more competitive.</w:t>
      </w:r>
      <w:r w:rsidR="00924077">
        <w:rPr>
          <w:rFonts w:ascii="Arial" w:hAnsi="Arial" w:cs="Arial"/>
          <w:sz w:val="24"/>
          <w:szCs w:val="24"/>
        </w:rPr>
        <w:t xml:space="preserve"> </w:t>
      </w:r>
    </w:p>
    <w:p w:rsidR="00534CBE" w:rsidRDefault="00924077" w:rsidP="00534CBE">
      <w:pPr>
        <w:spacing w:line="480" w:lineRule="auto"/>
        <w:ind w:firstLine="360"/>
        <w:rPr>
          <w:rFonts w:ascii="Arial" w:hAnsi="Arial" w:cs="Arial"/>
          <w:sz w:val="24"/>
          <w:szCs w:val="24"/>
        </w:rPr>
      </w:pPr>
      <w:r>
        <w:rPr>
          <w:rFonts w:ascii="Arial" w:hAnsi="Arial" w:cs="Arial"/>
          <w:sz w:val="24"/>
          <w:szCs w:val="24"/>
        </w:rPr>
        <w:t xml:space="preserve">Second, there were certain parties that participated in this </w:t>
      </w:r>
      <w:proofErr w:type="gramStart"/>
      <w:r>
        <w:rPr>
          <w:rFonts w:ascii="Arial" w:hAnsi="Arial" w:cs="Arial"/>
          <w:sz w:val="24"/>
          <w:szCs w:val="24"/>
        </w:rPr>
        <w:t>proceeding</w:t>
      </w:r>
      <w:proofErr w:type="gramEnd"/>
      <w:r>
        <w:rPr>
          <w:rFonts w:ascii="Arial" w:hAnsi="Arial" w:cs="Arial"/>
          <w:sz w:val="24"/>
          <w:szCs w:val="24"/>
        </w:rPr>
        <w:t xml:space="preserve"> that have</w:t>
      </w:r>
      <w:r w:rsidR="00293C57">
        <w:rPr>
          <w:rFonts w:ascii="Arial" w:hAnsi="Arial" w:cs="Arial"/>
          <w:sz w:val="24"/>
          <w:szCs w:val="24"/>
        </w:rPr>
        <w:t xml:space="preserve"> opposed</w:t>
      </w:r>
      <w:r>
        <w:rPr>
          <w:rFonts w:ascii="Arial" w:hAnsi="Arial" w:cs="Arial"/>
          <w:sz w:val="24"/>
          <w:szCs w:val="24"/>
        </w:rPr>
        <w:t xml:space="preserve">, and continue to oppose, just about every </w:t>
      </w:r>
      <w:r w:rsidR="00DB4B7A">
        <w:rPr>
          <w:rFonts w:ascii="Arial" w:hAnsi="Arial" w:cs="Arial"/>
          <w:sz w:val="24"/>
          <w:szCs w:val="24"/>
        </w:rPr>
        <w:t>proposal</w:t>
      </w:r>
      <w:r>
        <w:rPr>
          <w:rFonts w:ascii="Arial" w:hAnsi="Arial" w:cs="Arial"/>
          <w:sz w:val="24"/>
          <w:szCs w:val="24"/>
        </w:rPr>
        <w:t xml:space="preserve"> that would help make Ohio’s ele</w:t>
      </w:r>
      <w:r w:rsidR="008743C8">
        <w:rPr>
          <w:rFonts w:ascii="Arial" w:hAnsi="Arial" w:cs="Arial"/>
          <w:sz w:val="24"/>
          <w:szCs w:val="24"/>
        </w:rPr>
        <w:t>ctric markets more competitive.</w:t>
      </w:r>
      <w:r>
        <w:rPr>
          <w:rFonts w:ascii="Arial" w:hAnsi="Arial" w:cs="Arial"/>
          <w:sz w:val="24"/>
          <w:szCs w:val="24"/>
        </w:rPr>
        <w:t xml:space="preserve"> While the reasons cited in opposition are many, </w:t>
      </w:r>
      <w:r w:rsidR="00DB4B7A">
        <w:rPr>
          <w:rFonts w:ascii="Arial" w:hAnsi="Arial" w:cs="Arial"/>
          <w:sz w:val="24"/>
          <w:szCs w:val="24"/>
        </w:rPr>
        <w:t xml:space="preserve">the </w:t>
      </w:r>
      <w:r>
        <w:rPr>
          <w:rFonts w:ascii="Arial" w:hAnsi="Arial" w:cs="Arial"/>
          <w:sz w:val="24"/>
          <w:szCs w:val="24"/>
        </w:rPr>
        <w:t>one underlying reason</w:t>
      </w:r>
      <w:r w:rsidR="00DC279B">
        <w:rPr>
          <w:rFonts w:ascii="Arial" w:hAnsi="Arial" w:cs="Arial"/>
          <w:sz w:val="24"/>
          <w:szCs w:val="24"/>
        </w:rPr>
        <w:t xml:space="preserve"> </w:t>
      </w:r>
      <w:r w:rsidR="00DB4B7A">
        <w:rPr>
          <w:rFonts w:ascii="Arial" w:hAnsi="Arial" w:cs="Arial"/>
          <w:sz w:val="24"/>
          <w:szCs w:val="24"/>
        </w:rPr>
        <w:t>appears to be</w:t>
      </w:r>
      <w:r w:rsidR="00DC279B">
        <w:rPr>
          <w:rFonts w:ascii="Arial" w:hAnsi="Arial" w:cs="Arial"/>
          <w:sz w:val="24"/>
          <w:szCs w:val="24"/>
        </w:rPr>
        <w:t xml:space="preserve"> that that </w:t>
      </w:r>
      <w:r w:rsidR="00DC279B" w:rsidRPr="00DC279B">
        <w:rPr>
          <w:rFonts w:ascii="Arial" w:hAnsi="Arial" w:cs="Arial"/>
          <w:i/>
          <w:sz w:val="24"/>
          <w:szCs w:val="24"/>
        </w:rPr>
        <w:t xml:space="preserve">there are some </w:t>
      </w:r>
      <w:r w:rsidR="0049480A">
        <w:rPr>
          <w:rFonts w:ascii="Arial" w:hAnsi="Arial" w:cs="Arial"/>
          <w:i/>
          <w:sz w:val="24"/>
          <w:szCs w:val="24"/>
        </w:rPr>
        <w:t>who</w:t>
      </w:r>
      <w:r w:rsidR="0049480A" w:rsidRPr="00DC279B">
        <w:rPr>
          <w:rFonts w:ascii="Arial" w:hAnsi="Arial" w:cs="Arial"/>
          <w:i/>
          <w:sz w:val="24"/>
          <w:szCs w:val="24"/>
        </w:rPr>
        <w:t xml:space="preserve"> </w:t>
      </w:r>
      <w:r w:rsidR="00DC279B" w:rsidRPr="00DC279B">
        <w:rPr>
          <w:rFonts w:ascii="Arial" w:hAnsi="Arial" w:cs="Arial"/>
          <w:i/>
          <w:sz w:val="24"/>
          <w:szCs w:val="24"/>
        </w:rPr>
        <w:t>believe that Ohio’s competitive electric markets should not move forward</w:t>
      </w:r>
      <w:r w:rsidR="00DC279B">
        <w:rPr>
          <w:rFonts w:ascii="Arial" w:hAnsi="Arial" w:cs="Arial"/>
          <w:sz w:val="24"/>
          <w:szCs w:val="24"/>
        </w:rPr>
        <w:t>.</w:t>
      </w:r>
    </w:p>
    <w:p w:rsidR="00DC279B" w:rsidRDefault="00534CBE" w:rsidP="00534CBE">
      <w:pPr>
        <w:spacing w:line="480" w:lineRule="auto"/>
        <w:ind w:firstLine="360"/>
        <w:rPr>
          <w:rFonts w:ascii="Arial" w:hAnsi="Arial" w:cs="Arial"/>
          <w:sz w:val="24"/>
          <w:szCs w:val="24"/>
        </w:rPr>
      </w:pPr>
      <w:r>
        <w:rPr>
          <w:rFonts w:ascii="Arial" w:hAnsi="Arial" w:cs="Arial"/>
          <w:sz w:val="24"/>
          <w:szCs w:val="24"/>
        </w:rPr>
        <w:t>Unfortunately</w:t>
      </w:r>
      <w:r w:rsidR="004F2A07">
        <w:rPr>
          <w:rFonts w:ascii="Arial" w:hAnsi="Arial" w:cs="Arial"/>
          <w:sz w:val="24"/>
          <w:szCs w:val="24"/>
        </w:rPr>
        <w:t>,</w:t>
      </w:r>
      <w:r>
        <w:rPr>
          <w:rFonts w:ascii="Arial" w:hAnsi="Arial" w:cs="Arial"/>
          <w:sz w:val="24"/>
          <w:szCs w:val="24"/>
        </w:rPr>
        <w:t xml:space="preserve"> for the opponents of competition, </w:t>
      </w:r>
      <w:r w:rsidR="008408E7">
        <w:rPr>
          <w:rFonts w:ascii="Arial" w:hAnsi="Arial" w:cs="Arial"/>
          <w:sz w:val="24"/>
          <w:szCs w:val="24"/>
        </w:rPr>
        <w:t>this debate has already been decided</w:t>
      </w:r>
      <w:r w:rsidR="008743C8">
        <w:rPr>
          <w:rFonts w:ascii="Arial" w:hAnsi="Arial" w:cs="Arial"/>
          <w:sz w:val="24"/>
          <w:szCs w:val="24"/>
        </w:rPr>
        <w:t>.</w:t>
      </w:r>
      <w:r>
        <w:rPr>
          <w:rFonts w:ascii="Arial" w:hAnsi="Arial" w:cs="Arial"/>
          <w:sz w:val="24"/>
          <w:szCs w:val="24"/>
        </w:rPr>
        <w:t xml:space="preserve"> Ohio decided to transition to competitive</w:t>
      </w:r>
      <w:r w:rsidR="008408E7">
        <w:rPr>
          <w:rFonts w:ascii="Arial" w:hAnsi="Arial" w:cs="Arial"/>
          <w:sz w:val="24"/>
          <w:szCs w:val="24"/>
        </w:rPr>
        <w:t xml:space="preserve"> electric markets long ago</w:t>
      </w:r>
      <w:r>
        <w:rPr>
          <w:rFonts w:ascii="Arial" w:hAnsi="Arial" w:cs="Arial"/>
          <w:sz w:val="24"/>
          <w:szCs w:val="24"/>
        </w:rPr>
        <w:t xml:space="preserve"> and it </w:t>
      </w:r>
      <w:r w:rsidR="00FB519C">
        <w:rPr>
          <w:rFonts w:ascii="Arial" w:hAnsi="Arial" w:cs="Arial"/>
          <w:sz w:val="24"/>
          <w:szCs w:val="24"/>
        </w:rPr>
        <w:t>is the policy of the State of Ohio to promote and support competitive electric markets.</w:t>
      </w:r>
      <w:r w:rsidR="00FB519C">
        <w:rPr>
          <w:rStyle w:val="FootnoteReference"/>
          <w:rFonts w:ascii="Arial" w:hAnsi="Arial" w:cs="Arial"/>
          <w:sz w:val="24"/>
          <w:szCs w:val="24"/>
        </w:rPr>
        <w:footnoteReference w:id="21"/>
      </w:r>
      <w:r w:rsidR="00FB519C">
        <w:rPr>
          <w:rFonts w:ascii="Arial" w:hAnsi="Arial" w:cs="Arial"/>
          <w:sz w:val="24"/>
          <w:szCs w:val="24"/>
        </w:rPr>
        <w:t xml:space="preserve"> In fact</w:t>
      </w:r>
      <w:r w:rsidR="004F2A07">
        <w:rPr>
          <w:rFonts w:ascii="Arial" w:hAnsi="Arial" w:cs="Arial"/>
          <w:sz w:val="24"/>
          <w:szCs w:val="24"/>
        </w:rPr>
        <w:t>,</w:t>
      </w:r>
      <w:r w:rsidR="00FB519C">
        <w:rPr>
          <w:rFonts w:ascii="Arial" w:hAnsi="Arial" w:cs="Arial"/>
          <w:sz w:val="24"/>
          <w:szCs w:val="24"/>
        </w:rPr>
        <w:t xml:space="preserve"> the Commission</w:t>
      </w:r>
      <w:r w:rsidR="005C6C19">
        <w:rPr>
          <w:rFonts w:ascii="Arial" w:hAnsi="Arial" w:cs="Arial"/>
          <w:sz w:val="24"/>
          <w:szCs w:val="24"/>
        </w:rPr>
        <w:t xml:space="preserve"> has stated</w:t>
      </w:r>
      <w:r w:rsidR="00FB519C">
        <w:rPr>
          <w:rFonts w:ascii="Arial" w:hAnsi="Arial" w:cs="Arial"/>
          <w:sz w:val="24"/>
          <w:szCs w:val="24"/>
        </w:rPr>
        <w:t xml:space="preserve"> on numerous occasions that it believes that competitive markets do brin</w:t>
      </w:r>
      <w:r w:rsidR="008743C8">
        <w:rPr>
          <w:rFonts w:ascii="Arial" w:hAnsi="Arial" w:cs="Arial"/>
          <w:sz w:val="24"/>
          <w:szCs w:val="24"/>
        </w:rPr>
        <w:t xml:space="preserve">g great benefits to customers. </w:t>
      </w:r>
      <w:r w:rsidR="005C6C19">
        <w:rPr>
          <w:rFonts w:ascii="Arial" w:hAnsi="Arial" w:cs="Arial"/>
          <w:sz w:val="24"/>
          <w:szCs w:val="24"/>
        </w:rPr>
        <w:t xml:space="preserve">Thus, while those that do not support competitive markets are certainly entitled to </w:t>
      </w:r>
      <w:r w:rsidR="004F2A07">
        <w:rPr>
          <w:rFonts w:ascii="Arial" w:hAnsi="Arial" w:cs="Arial"/>
          <w:sz w:val="24"/>
          <w:szCs w:val="24"/>
        </w:rPr>
        <w:t>t</w:t>
      </w:r>
      <w:r w:rsidR="00D46B0C">
        <w:rPr>
          <w:rFonts w:ascii="Arial" w:hAnsi="Arial" w:cs="Arial"/>
          <w:sz w:val="24"/>
          <w:szCs w:val="24"/>
        </w:rPr>
        <w:t>heir</w:t>
      </w:r>
      <w:r w:rsidR="004F2A07">
        <w:rPr>
          <w:rFonts w:ascii="Arial" w:hAnsi="Arial" w:cs="Arial"/>
          <w:sz w:val="24"/>
          <w:szCs w:val="24"/>
        </w:rPr>
        <w:t xml:space="preserve"> opinion</w:t>
      </w:r>
      <w:r w:rsidR="00C3030F">
        <w:rPr>
          <w:rFonts w:ascii="Arial" w:hAnsi="Arial" w:cs="Arial"/>
          <w:sz w:val="24"/>
          <w:szCs w:val="24"/>
        </w:rPr>
        <w:t xml:space="preserve">, </w:t>
      </w:r>
      <w:r>
        <w:rPr>
          <w:rFonts w:ascii="Arial" w:hAnsi="Arial" w:cs="Arial"/>
          <w:sz w:val="24"/>
          <w:szCs w:val="24"/>
        </w:rPr>
        <w:t xml:space="preserve">they should not be allowed to stop </w:t>
      </w:r>
      <w:r w:rsidR="004F2A07">
        <w:rPr>
          <w:rFonts w:ascii="Arial" w:hAnsi="Arial" w:cs="Arial"/>
          <w:sz w:val="24"/>
          <w:szCs w:val="24"/>
        </w:rPr>
        <w:t>all progress towards competitive</w:t>
      </w:r>
      <w:r w:rsidR="006C07FE">
        <w:rPr>
          <w:rFonts w:ascii="Arial" w:hAnsi="Arial" w:cs="Arial"/>
          <w:sz w:val="24"/>
          <w:szCs w:val="24"/>
        </w:rPr>
        <w:t xml:space="preserve"> and transparent</w:t>
      </w:r>
      <w:r w:rsidR="004F2A07">
        <w:rPr>
          <w:rFonts w:ascii="Arial" w:hAnsi="Arial" w:cs="Arial"/>
          <w:sz w:val="24"/>
          <w:szCs w:val="24"/>
        </w:rPr>
        <w:t xml:space="preserve"> electric markets</w:t>
      </w:r>
      <w:r w:rsidR="006C07FE">
        <w:rPr>
          <w:rFonts w:ascii="Arial" w:hAnsi="Arial" w:cs="Arial"/>
          <w:sz w:val="24"/>
          <w:szCs w:val="24"/>
        </w:rPr>
        <w:t xml:space="preserve">. </w:t>
      </w:r>
      <w:r w:rsidR="00D46B0C">
        <w:rPr>
          <w:rFonts w:ascii="Arial" w:hAnsi="Arial" w:cs="Arial"/>
          <w:sz w:val="24"/>
          <w:szCs w:val="24"/>
        </w:rPr>
        <w:t>Instead</w:t>
      </w:r>
      <w:r>
        <w:rPr>
          <w:rFonts w:ascii="Arial" w:hAnsi="Arial" w:cs="Arial"/>
          <w:sz w:val="24"/>
          <w:szCs w:val="24"/>
        </w:rPr>
        <w:t xml:space="preserve">, the Commission </w:t>
      </w:r>
      <w:r w:rsidR="00D61A01">
        <w:rPr>
          <w:rFonts w:ascii="Arial" w:hAnsi="Arial" w:cs="Arial"/>
          <w:sz w:val="24"/>
          <w:szCs w:val="24"/>
        </w:rPr>
        <w:t>should</w:t>
      </w:r>
      <w:r w:rsidR="00D46B0C">
        <w:rPr>
          <w:rFonts w:ascii="Arial" w:hAnsi="Arial" w:cs="Arial"/>
          <w:sz w:val="24"/>
          <w:szCs w:val="24"/>
        </w:rPr>
        <w:t xml:space="preserve"> </w:t>
      </w:r>
      <w:r w:rsidR="00C3030F">
        <w:rPr>
          <w:rFonts w:ascii="Arial" w:hAnsi="Arial" w:cs="Arial"/>
          <w:sz w:val="24"/>
          <w:szCs w:val="24"/>
        </w:rPr>
        <w:t>follow the path set forth by the Ohio legislature and</w:t>
      </w:r>
      <w:r w:rsidR="00D61A01">
        <w:rPr>
          <w:rFonts w:ascii="Arial" w:hAnsi="Arial" w:cs="Arial"/>
          <w:sz w:val="24"/>
          <w:szCs w:val="24"/>
        </w:rPr>
        <w:t xml:space="preserve"> </w:t>
      </w:r>
      <w:r>
        <w:rPr>
          <w:rFonts w:ascii="Arial" w:hAnsi="Arial" w:cs="Arial"/>
          <w:sz w:val="24"/>
          <w:szCs w:val="24"/>
        </w:rPr>
        <w:t>continue to take step to further electric competition in Ohio</w:t>
      </w:r>
      <w:r w:rsidR="003F7D3B">
        <w:rPr>
          <w:rFonts w:ascii="Arial" w:hAnsi="Arial" w:cs="Arial"/>
          <w:sz w:val="24"/>
          <w:szCs w:val="24"/>
        </w:rPr>
        <w:t>.</w:t>
      </w:r>
      <w:r w:rsidR="005C6C19">
        <w:rPr>
          <w:rFonts w:ascii="Arial" w:hAnsi="Arial" w:cs="Arial"/>
          <w:sz w:val="24"/>
          <w:szCs w:val="24"/>
        </w:rPr>
        <w:t xml:space="preserve"> </w:t>
      </w:r>
    </w:p>
    <w:p w:rsidR="001946B7" w:rsidRDefault="006C07FE" w:rsidP="001946B7">
      <w:pPr>
        <w:pStyle w:val="ListParagraph"/>
        <w:numPr>
          <w:ilvl w:val="0"/>
          <w:numId w:val="6"/>
        </w:numPr>
        <w:spacing w:line="480" w:lineRule="auto"/>
        <w:rPr>
          <w:rFonts w:ascii="Arial" w:hAnsi="Arial" w:cs="Arial"/>
          <w:b/>
          <w:sz w:val="24"/>
          <w:szCs w:val="24"/>
        </w:rPr>
      </w:pPr>
      <w:r>
        <w:rPr>
          <w:rFonts w:ascii="Arial" w:hAnsi="Arial" w:cs="Arial"/>
          <w:b/>
          <w:sz w:val="24"/>
          <w:szCs w:val="24"/>
        </w:rPr>
        <w:t xml:space="preserve">Customer </w:t>
      </w:r>
      <w:r w:rsidR="00AC15F5">
        <w:rPr>
          <w:rFonts w:ascii="Arial" w:hAnsi="Arial" w:cs="Arial"/>
          <w:b/>
          <w:sz w:val="24"/>
          <w:szCs w:val="24"/>
        </w:rPr>
        <w:t>Engag</w:t>
      </w:r>
      <w:r>
        <w:rPr>
          <w:rFonts w:ascii="Arial" w:hAnsi="Arial" w:cs="Arial"/>
          <w:b/>
          <w:sz w:val="24"/>
          <w:szCs w:val="24"/>
        </w:rPr>
        <w:t>ement</w:t>
      </w:r>
      <w:r w:rsidR="001946B7">
        <w:rPr>
          <w:rFonts w:ascii="Arial" w:hAnsi="Arial" w:cs="Arial"/>
          <w:b/>
          <w:sz w:val="24"/>
          <w:szCs w:val="24"/>
        </w:rPr>
        <w:t xml:space="preserve"> </w:t>
      </w:r>
      <w:r>
        <w:rPr>
          <w:rFonts w:ascii="Arial" w:hAnsi="Arial" w:cs="Arial"/>
          <w:b/>
          <w:sz w:val="24"/>
          <w:szCs w:val="24"/>
        </w:rPr>
        <w:t>and Informed Customers are</w:t>
      </w:r>
      <w:r w:rsidR="001946B7">
        <w:rPr>
          <w:rFonts w:ascii="Arial" w:hAnsi="Arial" w:cs="Arial"/>
          <w:b/>
          <w:sz w:val="24"/>
          <w:szCs w:val="24"/>
        </w:rPr>
        <w:t xml:space="preserve"> </w:t>
      </w:r>
      <w:r>
        <w:rPr>
          <w:rFonts w:ascii="Arial" w:hAnsi="Arial" w:cs="Arial"/>
          <w:b/>
          <w:sz w:val="24"/>
          <w:szCs w:val="24"/>
        </w:rPr>
        <w:t>Not</w:t>
      </w:r>
      <w:r w:rsidR="001946B7" w:rsidRPr="001946B7">
        <w:rPr>
          <w:rFonts w:ascii="Arial" w:hAnsi="Arial" w:cs="Arial"/>
          <w:b/>
          <w:sz w:val="24"/>
          <w:szCs w:val="24"/>
        </w:rPr>
        <w:t xml:space="preserve"> Bad Thing</w:t>
      </w:r>
      <w:r>
        <w:rPr>
          <w:rFonts w:ascii="Arial" w:hAnsi="Arial" w:cs="Arial"/>
          <w:b/>
          <w:sz w:val="24"/>
          <w:szCs w:val="24"/>
        </w:rPr>
        <w:t>s.</w:t>
      </w:r>
    </w:p>
    <w:p w:rsidR="00614C77" w:rsidRDefault="001946B7" w:rsidP="00614C77">
      <w:pPr>
        <w:spacing w:line="480" w:lineRule="auto"/>
        <w:ind w:firstLine="360"/>
        <w:rPr>
          <w:rFonts w:ascii="Arial" w:hAnsi="Arial" w:cs="Arial"/>
          <w:sz w:val="24"/>
          <w:szCs w:val="24"/>
        </w:rPr>
      </w:pPr>
      <w:r>
        <w:rPr>
          <w:rFonts w:ascii="Arial" w:hAnsi="Arial" w:cs="Arial"/>
          <w:sz w:val="24"/>
          <w:szCs w:val="24"/>
        </w:rPr>
        <w:t>In their Initial Comments to the Staff Report, the Northeast Ohio Public Energy Counsel (“NOPEC”) objects to including customer engagement</w:t>
      </w:r>
      <w:r w:rsidR="00797216">
        <w:rPr>
          <w:rFonts w:ascii="Arial" w:hAnsi="Arial" w:cs="Arial"/>
          <w:sz w:val="24"/>
          <w:szCs w:val="24"/>
        </w:rPr>
        <w:t xml:space="preserve"> and</w:t>
      </w:r>
      <w:r w:rsidR="00FF15A0">
        <w:rPr>
          <w:rFonts w:ascii="Arial" w:hAnsi="Arial" w:cs="Arial"/>
          <w:sz w:val="24"/>
          <w:szCs w:val="24"/>
        </w:rPr>
        <w:t xml:space="preserve"> informed customers</w:t>
      </w:r>
      <w:r>
        <w:rPr>
          <w:rFonts w:ascii="Arial" w:hAnsi="Arial" w:cs="Arial"/>
          <w:sz w:val="24"/>
          <w:szCs w:val="24"/>
        </w:rPr>
        <w:t xml:space="preserve"> as a metric</w:t>
      </w:r>
      <w:r w:rsidR="00797216">
        <w:rPr>
          <w:rFonts w:ascii="Arial" w:hAnsi="Arial" w:cs="Arial"/>
          <w:sz w:val="24"/>
          <w:szCs w:val="24"/>
        </w:rPr>
        <w:t xml:space="preserve"> for competitive markets.</w:t>
      </w:r>
      <w:r w:rsidR="00797216">
        <w:rPr>
          <w:rStyle w:val="FootnoteReference"/>
          <w:rFonts w:ascii="Arial" w:hAnsi="Arial" w:cs="Arial"/>
          <w:sz w:val="24"/>
          <w:szCs w:val="24"/>
        </w:rPr>
        <w:footnoteReference w:id="22"/>
      </w:r>
      <w:r w:rsidR="00797216">
        <w:rPr>
          <w:rFonts w:ascii="Arial" w:hAnsi="Arial" w:cs="Arial"/>
          <w:sz w:val="24"/>
          <w:szCs w:val="24"/>
        </w:rPr>
        <w:t xml:space="preserve"> </w:t>
      </w:r>
      <w:r w:rsidR="00CF44FA">
        <w:rPr>
          <w:rFonts w:ascii="Arial" w:hAnsi="Arial" w:cs="Arial"/>
          <w:sz w:val="24"/>
          <w:szCs w:val="24"/>
        </w:rPr>
        <w:t>Shortly into its opposition to customer engagement</w:t>
      </w:r>
      <w:r w:rsidR="00C2717B">
        <w:rPr>
          <w:rFonts w:ascii="Arial" w:hAnsi="Arial" w:cs="Arial"/>
          <w:sz w:val="24"/>
          <w:szCs w:val="24"/>
        </w:rPr>
        <w:t>,</w:t>
      </w:r>
      <w:r w:rsidR="00450C67">
        <w:rPr>
          <w:rFonts w:ascii="Arial" w:hAnsi="Arial" w:cs="Arial"/>
          <w:sz w:val="24"/>
          <w:szCs w:val="24"/>
        </w:rPr>
        <w:t xml:space="preserve"> NOPEC</w:t>
      </w:r>
      <w:r w:rsidR="00797216">
        <w:rPr>
          <w:rFonts w:ascii="Arial" w:hAnsi="Arial" w:cs="Arial"/>
          <w:sz w:val="24"/>
          <w:szCs w:val="24"/>
        </w:rPr>
        <w:t xml:space="preserve"> </w:t>
      </w:r>
      <w:r w:rsidR="00CF44FA">
        <w:rPr>
          <w:rFonts w:ascii="Arial" w:hAnsi="Arial" w:cs="Arial"/>
          <w:sz w:val="24"/>
          <w:szCs w:val="24"/>
        </w:rPr>
        <w:t>launches into a non-sequitur discussion on how</w:t>
      </w:r>
      <w:r w:rsidR="00797216">
        <w:rPr>
          <w:rFonts w:ascii="Arial" w:hAnsi="Arial" w:cs="Arial"/>
          <w:sz w:val="24"/>
          <w:szCs w:val="24"/>
        </w:rPr>
        <w:t xml:space="preserve"> IGS</w:t>
      </w:r>
      <w:r w:rsidR="00CF44FA">
        <w:rPr>
          <w:rFonts w:ascii="Arial" w:hAnsi="Arial" w:cs="Arial"/>
          <w:sz w:val="24"/>
          <w:szCs w:val="24"/>
        </w:rPr>
        <w:t>’</w:t>
      </w:r>
      <w:r w:rsidR="00797216">
        <w:rPr>
          <w:rFonts w:ascii="Arial" w:hAnsi="Arial" w:cs="Arial"/>
          <w:sz w:val="24"/>
          <w:szCs w:val="24"/>
        </w:rPr>
        <w:t xml:space="preserve"> </w:t>
      </w:r>
      <w:r w:rsidR="000B73D8">
        <w:rPr>
          <w:rFonts w:ascii="Arial" w:hAnsi="Arial" w:cs="Arial"/>
          <w:sz w:val="24"/>
          <w:szCs w:val="24"/>
        </w:rPr>
        <w:t>comments</w:t>
      </w:r>
      <w:r w:rsidR="001E7262">
        <w:rPr>
          <w:rFonts w:ascii="Arial" w:hAnsi="Arial" w:cs="Arial"/>
          <w:sz w:val="24"/>
          <w:szCs w:val="24"/>
        </w:rPr>
        <w:t xml:space="preserve"> </w:t>
      </w:r>
      <w:r w:rsidR="00785AD0">
        <w:rPr>
          <w:rFonts w:ascii="Arial" w:hAnsi="Arial" w:cs="Arial"/>
          <w:sz w:val="24"/>
          <w:szCs w:val="24"/>
        </w:rPr>
        <w:lastRenderedPageBreak/>
        <w:t xml:space="preserve">made </w:t>
      </w:r>
      <w:r w:rsidR="00186BDA">
        <w:rPr>
          <w:rFonts w:ascii="Arial" w:hAnsi="Arial" w:cs="Arial"/>
          <w:sz w:val="24"/>
          <w:szCs w:val="24"/>
        </w:rPr>
        <w:t>on July 8, 2013</w:t>
      </w:r>
      <w:r w:rsidR="000B73D8">
        <w:rPr>
          <w:rFonts w:ascii="Arial" w:hAnsi="Arial" w:cs="Arial"/>
          <w:sz w:val="24"/>
          <w:szCs w:val="24"/>
        </w:rPr>
        <w:t xml:space="preserve"> are</w:t>
      </w:r>
      <w:r w:rsidR="00186BDA">
        <w:rPr>
          <w:rFonts w:ascii="Arial" w:hAnsi="Arial" w:cs="Arial"/>
          <w:sz w:val="24"/>
          <w:szCs w:val="24"/>
        </w:rPr>
        <w:t xml:space="preserve"> the reason why</w:t>
      </w:r>
      <w:r w:rsidR="000B73D8">
        <w:rPr>
          <w:rFonts w:ascii="Arial" w:hAnsi="Arial" w:cs="Arial"/>
          <w:sz w:val="24"/>
          <w:szCs w:val="24"/>
        </w:rPr>
        <w:t xml:space="preserve"> Staff</w:t>
      </w:r>
      <w:r w:rsidR="00186BDA">
        <w:rPr>
          <w:rFonts w:ascii="Arial" w:hAnsi="Arial" w:cs="Arial"/>
          <w:sz w:val="24"/>
          <w:szCs w:val="24"/>
        </w:rPr>
        <w:t xml:space="preserve"> included</w:t>
      </w:r>
      <w:r w:rsidR="00614C77">
        <w:rPr>
          <w:rFonts w:ascii="Arial" w:hAnsi="Arial" w:cs="Arial"/>
          <w:sz w:val="24"/>
          <w:szCs w:val="24"/>
        </w:rPr>
        <w:t xml:space="preserve"> </w:t>
      </w:r>
      <w:r w:rsidR="00186BDA">
        <w:rPr>
          <w:rFonts w:ascii="Arial" w:hAnsi="Arial" w:cs="Arial"/>
          <w:sz w:val="24"/>
          <w:szCs w:val="24"/>
        </w:rPr>
        <w:t>the measure of informed and engaged customers as a metric to evaluate competition in electric markets</w:t>
      </w:r>
      <w:r w:rsidR="00614C77">
        <w:rPr>
          <w:rFonts w:ascii="Arial" w:hAnsi="Arial" w:cs="Arial"/>
          <w:sz w:val="24"/>
          <w:szCs w:val="24"/>
        </w:rPr>
        <w:t>.</w:t>
      </w:r>
      <w:r w:rsidR="00614C77">
        <w:rPr>
          <w:rStyle w:val="FootnoteReference"/>
          <w:rFonts w:ascii="Arial" w:hAnsi="Arial" w:cs="Arial"/>
          <w:sz w:val="24"/>
          <w:szCs w:val="24"/>
        </w:rPr>
        <w:footnoteReference w:id="23"/>
      </w:r>
      <w:r>
        <w:rPr>
          <w:rFonts w:ascii="Arial" w:hAnsi="Arial" w:cs="Arial"/>
          <w:sz w:val="24"/>
          <w:szCs w:val="24"/>
        </w:rPr>
        <w:t xml:space="preserve"> </w:t>
      </w:r>
      <w:r w:rsidR="00614C77">
        <w:rPr>
          <w:rFonts w:ascii="Arial" w:hAnsi="Arial" w:cs="Arial"/>
          <w:sz w:val="24"/>
          <w:szCs w:val="24"/>
        </w:rPr>
        <w:t>While it is flattering that NOPEC attribute</w:t>
      </w:r>
      <w:r w:rsidR="001F6E88">
        <w:rPr>
          <w:rFonts w:ascii="Arial" w:hAnsi="Arial" w:cs="Arial"/>
          <w:sz w:val="24"/>
          <w:szCs w:val="24"/>
        </w:rPr>
        <w:t>s</w:t>
      </w:r>
      <w:r w:rsidR="00614C77">
        <w:rPr>
          <w:rFonts w:ascii="Arial" w:hAnsi="Arial" w:cs="Arial"/>
          <w:sz w:val="24"/>
          <w:szCs w:val="24"/>
        </w:rPr>
        <w:t xml:space="preserve"> the concept of </w:t>
      </w:r>
      <w:r w:rsidR="004944B4">
        <w:rPr>
          <w:rFonts w:ascii="Arial" w:hAnsi="Arial" w:cs="Arial"/>
          <w:sz w:val="24"/>
          <w:szCs w:val="24"/>
        </w:rPr>
        <w:t>engaged and</w:t>
      </w:r>
      <w:r w:rsidR="00614C77">
        <w:rPr>
          <w:rFonts w:ascii="Arial" w:hAnsi="Arial" w:cs="Arial"/>
          <w:sz w:val="24"/>
          <w:szCs w:val="24"/>
        </w:rPr>
        <w:t xml:space="preserve"> informed customers to IGS</w:t>
      </w:r>
      <w:r w:rsidR="001E7262">
        <w:rPr>
          <w:rFonts w:ascii="Arial" w:hAnsi="Arial" w:cs="Arial"/>
          <w:sz w:val="24"/>
          <w:szCs w:val="24"/>
        </w:rPr>
        <w:t>,</w:t>
      </w:r>
      <w:r w:rsidR="00614C77">
        <w:rPr>
          <w:rFonts w:ascii="Arial" w:hAnsi="Arial" w:cs="Arial"/>
          <w:sz w:val="24"/>
          <w:szCs w:val="24"/>
        </w:rPr>
        <w:t xml:space="preserve"> IGS</w:t>
      </w:r>
      <w:r w:rsidR="001E7262">
        <w:rPr>
          <w:rFonts w:ascii="Arial" w:hAnsi="Arial" w:cs="Arial"/>
          <w:sz w:val="24"/>
          <w:szCs w:val="24"/>
        </w:rPr>
        <w:t xml:space="preserve"> unfortunately</w:t>
      </w:r>
      <w:r w:rsidR="00614C77">
        <w:rPr>
          <w:rFonts w:ascii="Arial" w:hAnsi="Arial" w:cs="Arial"/>
          <w:sz w:val="24"/>
          <w:szCs w:val="24"/>
        </w:rPr>
        <w:t xml:space="preserve"> </w:t>
      </w:r>
      <w:r w:rsidR="001E7262">
        <w:rPr>
          <w:rFonts w:ascii="Arial" w:hAnsi="Arial" w:cs="Arial"/>
          <w:sz w:val="24"/>
          <w:szCs w:val="24"/>
        </w:rPr>
        <w:t>cannot take</w:t>
      </w:r>
      <w:r w:rsidR="0049480A">
        <w:rPr>
          <w:rFonts w:ascii="Arial" w:hAnsi="Arial" w:cs="Arial"/>
          <w:sz w:val="24"/>
          <w:szCs w:val="24"/>
        </w:rPr>
        <w:t xml:space="preserve"> full</w:t>
      </w:r>
      <w:r w:rsidR="001E7262">
        <w:rPr>
          <w:rFonts w:ascii="Arial" w:hAnsi="Arial" w:cs="Arial"/>
          <w:sz w:val="24"/>
          <w:szCs w:val="24"/>
        </w:rPr>
        <w:t xml:space="preserve"> credit for introducing these concepts</w:t>
      </w:r>
      <w:r w:rsidR="008743C8">
        <w:rPr>
          <w:rFonts w:ascii="Arial" w:hAnsi="Arial" w:cs="Arial"/>
          <w:sz w:val="24"/>
          <w:szCs w:val="24"/>
        </w:rPr>
        <w:t xml:space="preserve">. </w:t>
      </w:r>
      <w:r w:rsidR="0076080B">
        <w:rPr>
          <w:rFonts w:ascii="Arial" w:hAnsi="Arial" w:cs="Arial"/>
          <w:sz w:val="24"/>
          <w:szCs w:val="24"/>
        </w:rPr>
        <w:t>Rather, the</w:t>
      </w:r>
      <w:r w:rsidR="001E7262">
        <w:rPr>
          <w:rFonts w:ascii="Arial" w:hAnsi="Arial" w:cs="Arial"/>
          <w:sz w:val="24"/>
          <w:szCs w:val="24"/>
        </w:rPr>
        <w:t xml:space="preserve"> idea</w:t>
      </w:r>
      <w:r w:rsidR="0076080B">
        <w:rPr>
          <w:rFonts w:ascii="Arial" w:hAnsi="Arial" w:cs="Arial"/>
          <w:sz w:val="24"/>
          <w:szCs w:val="24"/>
        </w:rPr>
        <w:t xml:space="preserve"> that customer</w:t>
      </w:r>
      <w:r w:rsidR="0049480A">
        <w:rPr>
          <w:rFonts w:ascii="Arial" w:hAnsi="Arial" w:cs="Arial"/>
          <w:sz w:val="24"/>
          <w:szCs w:val="24"/>
        </w:rPr>
        <w:t>s</w:t>
      </w:r>
      <w:r w:rsidR="0076080B">
        <w:rPr>
          <w:rFonts w:ascii="Arial" w:hAnsi="Arial" w:cs="Arial"/>
          <w:sz w:val="24"/>
          <w:szCs w:val="24"/>
        </w:rPr>
        <w:t xml:space="preserve"> </w:t>
      </w:r>
      <w:r w:rsidR="001E7262">
        <w:rPr>
          <w:rFonts w:ascii="Arial" w:hAnsi="Arial" w:cs="Arial"/>
          <w:sz w:val="24"/>
          <w:szCs w:val="24"/>
        </w:rPr>
        <w:t>ought to be informed and engaged</w:t>
      </w:r>
      <w:r w:rsidR="001F6E88">
        <w:rPr>
          <w:rFonts w:ascii="Arial" w:hAnsi="Arial" w:cs="Arial"/>
          <w:sz w:val="24"/>
          <w:szCs w:val="24"/>
        </w:rPr>
        <w:t xml:space="preserve"> about the products they receive is common sense and</w:t>
      </w:r>
      <w:r w:rsidR="001E7262">
        <w:rPr>
          <w:rFonts w:ascii="Arial" w:hAnsi="Arial" w:cs="Arial"/>
          <w:sz w:val="24"/>
          <w:szCs w:val="24"/>
        </w:rPr>
        <w:t xml:space="preserve"> should be uncontroversial</w:t>
      </w:r>
      <w:r w:rsidR="00C2717B">
        <w:rPr>
          <w:rFonts w:ascii="Arial" w:hAnsi="Arial" w:cs="Arial"/>
          <w:sz w:val="24"/>
          <w:szCs w:val="24"/>
        </w:rPr>
        <w:t>.</w:t>
      </w:r>
      <w:r w:rsidR="003F7D3B">
        <w:rPr>
          <w:rFonts w:ascii="Arial" w:hAnsi="Arial" w:cs="Arial"/>
          <w:sz w:val="24"/>
          <w:szCs w:val="24"/>
        </w:rPr>
        <w:t xml:space="preserve"> </w:t>
      </w:r>
      <w:r w:rsidR="00C2717B">
        <w:rPr>
          <w:rFonts w:ascii="Arial" w:hAnsi="Arial" w:cs="Arial"/>
          <w:sz w:val="24"/>
          <w:szCs w:val="24"/>
        </w:rPr>
        <w:t xml:space="preserve">Informed and engaged customers are the cornerstone of just about every competitive market </w:t>
      </w:r>
      <w:r w:rsidR="00785AD0">
        <w:rPr>
          <w:rFonts w:ascii="Arial" w:hAnsi="Arial" w:cs="Arial"/>
          <w:sz w:val="24"/>
          <w:szCs w:val="24"/>
        </w:rPr>
        <w:t>and this is why it is typically</w:t>
      </w:r>
      <w:r w:rsidR="001F6E88">
        <w:rPr>
          <w:rFonts w:ascii="Arial" w:hAnsi="Arial" w:cs="Arial"/>
          <w:sz w:val="24"/>
          <w:szCs w:val="24"/>
        </w:rPr>
        <w:t xml:space="preserve"> not a good policy</w:t>
      </w:r>
      <w:r w:rsidR="00C005EC">
        <w:rPr>
          <w:rFonts w:ascii="Arial" w:hAnsi="Arial" w:cs="Arial"/>
          <w:sz w:val="24"/>
          <w:szCs w:val="24"/>
        </w:rPr>
        <w:t xml:space="preserve"> for regulators</w:t>
      </w:r>
      <w:r w:rsidR="00A777F3">
        <w:rPr>
          <w:rFonts w:ascii="Arial" w:hAnsi="Arial" w:cs="Arial"/>
          <w:sz w:val="24"/>
          <w:szCs w:val="24"/>
        </w:rPr>
        <w:t xml:space="preserve"> or</w:t>
      </w:r>
      <w:r w:rsidR="001F6E88">
        <w:rPr>
          <w:rFonts w:ascii="Arial" w:hAnsi="Arial" w:cs="Arial"/>
          <w:sz w:val="24"/>
          <w:szCs w:val="24"/>
        </w:rPr>
        <w:t xml:space="preserve"> interest groups</w:t>
      </w:r>
      <w:r w:rsidR="00C005EC">
        <w:rPr>
          <w:rFonts w:ascii="Arial" w:hAnsi="Arial" w:cs="Arial"/>
          <w:sz w:val="24"/>
          <w:szCs w:val="24"/>
        </w:rPr>
        <w:t xml:space="preserve"> to make product choices for customers</w:t>
      </w:r>
      <w:r w:rsidR="00C2717B">
        <w:rPr>
          <w:rFonts w:ascii="Arial" w:hAnsi="Arial" w:cs="Arial"/>
          <w:sz w:val="24"/>
          <w:szCs w:val="24"/>
        </w:rPr>
        <w:t>.</w:t>
      </w:r>
    </w:p>
    <w:p w:rsidR="00E37D64" w:rsidRDefault="00CF44FA" w:rsidP="00614C77">
      <w:pPr>
        <w:spacing w:line="480" w:lineRule="auto"/>
        <w:ind w:firstLine="360"/>
        <w:rPr>
          <w:rFonts w:ascii="Arial" w:hAnsi="Arial" w:cs="Arial"/>
          <w:sz w:val="24"/>
          <w:szCs w:val="24"/>
        </w:rPr>
      </w:pPr>
      <w:r>
        <w:rPr>
          <w:rFonts w:ascii="Arial" w:hAnsi="Arial" w:cs="Arial"/>
          <w:sz w:val="24"/>
          <w:szCs w:val="24"/>
        </w:rPr>
        <w:t xml:space="preserve">NOPEC </w:t>
      </w:r>
      <w:r w:rsidR="00AA3DA9">
        <w:rPr>
          <w:rFonts w:ascii="Arial" w:hAnsi="Arial" w:cs="Arial"/>
          <w:sz w:val="24"/>
          <w:szCs w:val="24"/>
        </w:rPr>
        <w:t xml:space="preserve">also </w:t>
      </w:r>
      <w:r>
        <w:rPr>
          <w:rFonts w:ascii="Arial" w:hAnsi="Arial" w:cs="Arial"/>
          <w:sz w:val="24"/>
          <w:szCs w:val="24"/>
        </w:rPr>
        <w:t>spends</w:t>
      </w:r>
      <w:r w:rsidR="001F6E88">
        <w:rPr>
          <w:rFonts w:ascii="Arial" w:hAnsi="Arial" w:cs="Arial"/>
          <w:sz w:val="24"/>
          <w:szCs w:val="24"/>
        </w:rPr>
        <w:t xml:space="preserve"> nearly three pages of </w:t>
      </w:r>
      <w:r w:rsidR="00E60953">
        <w:rPr>
          <w:rFonts w:ascii="Arial" w:hAnsi="Arial" w:cs="Arial"/>
          <w:sz w:val="24"/>
          <w:szCs w:val="24"/>
        </w:rPr>
        <w:t xml:space="preserve">its </w:t>
      </w:r>
      <w:r>
        <w:rPr>
          <w:rFonts w:ascii="Arial" w:hAnsi="Arial" w:cs="Arial"/>
          <w:sz w:val="24"/>
          <w:szCs w:val="24"/>
        </w:rPr>
        <w:t xml:space="preserve">comments </w:t>
      </w:r>
      <w:r w:rsidR="001F6E88">
        <w:rPr>
          <w:rFonts w:ascii="Arial" w:hAnsi="Arial" w:cs="Arial"/>
          <w:sz w:val="24"/>
          <w:szCs w:val="24"/>
        </w:rPr>
        <w:t>arguing</w:t>
      </w:r>
      <w:r>
        <w:rPr>
          <w:rFonts w:ascii="Arial" w:hAnsi="Arial" w:cs="Arial"/>
          <w:sz w:val="24"/>
          <w:szCs w:val="24"/>
        </w:rPr>
        <w:t xml:space="preserve"> that IGS’</w:t>
      </w:r>
      <w:r w:rsidR="00E60953">
        <w:rPr>
          <w:rFonts w:ascii="Arial" w:hAnsi="Arial" w:cs="Arial"/>
          <w:sz w:val="24"/>
          <w:szCs w:val="24"/>
        </w:rPr>
        <w:t xml:space="preserve"> purported</w:t>
      </w:r>
      <w:r>
        <w:rPr>
          <w:rFonts w:ascii="Arial" w:hAnsi="Arial" w:cs="Arial"/>
          <w:sz w:val="24"/>
          <w:szCs w:val="24"/>
        </w:rPr>
        <w:t xml:space="preserve"> </w:t>
      </w:r>
      <w:r w:rsidR="00E60953">
        <w:rPr>
          <w:rFonts w:ascii="Arial" w:hAnsi="Arial" w:cs="Arial"/>
          <w:sz w:val="24"/>
          <w:szCs w:val="24"/>
        </w:rPr>
        <w:t>“</w:t>
      </w:r>
      <w:r>
        <w:rPr>
          <w:rFonts w:ascii="Arial" w:hAnsi="Arial" w:cs="Arial"/>
          <w:sz w:val="24"/>
          <w:szCs w:val="24"/>
        </w:rPr>
        <w:t>analysis</w:t>
      </w:r>
      <w:r w:rsidR="00186BDA">
        <w:rPr>
          <w:rFonts w:ascii="Arial" w:hAnsi="Arial" w:cs="Arial"/>
          <w:sz w:val="24"/>
          <w:szCs w:val="24"/>
        </w:rPr>
        <w:t>”</w:t>
      </w:r>
      <w:r>
        <w:rPr>
          <w:rFonts w:ascii="Arial" w:hAnsi="Arial" w:cs="Arial"/>
          <w:sz w:val="24"/>
          <w:szCs w:val="24"/>
        </w:rPr>
        <w:t xml:space="preserve"> </w:t>
      </w:r>
      <w:r w:rsidR="0098295D">
        <w:rPr>
          <w:rFonts w:ascii="Arial" w:hAnsi="Arial" w:cs="Arial"/>
          <w:sz w:val="24"/>
          <w:szCs w:val="24"/>
        </w:rPr>
        <w:t>on</w:t>
      </w:r>
      <w:r>
        <w:rPr>
          <w:rFonts w:ascii="Arial" w:hAnsi="Arial" w:cs="Arial"/>
          <w:sz w:val="24"/>
          <w:szCs w:val="24"/>
        </w:rPr>
        <w:t xml:space="preserve"> the engagement</w:t>
      </w:r>
      <w:r w:rsidR="001E7262">
        <w:rPr>
          <w:rFonts w:ascii="Arial" w:hAnsi="Arial" w:cs="Arial"/>
          <w:sz w:val="24"/>
          <w:szCs w:val="24"/>
        </w:rPr>
        <w:t xml:space="preserve"> level</w:t>
      </w:r>
      <w:r>
        <w:rPr>
          <w:rFonts w:ascii="Arial" w:hAnsi="Arial" w:cs="Arial"/>
          <w:sz w:val="24"/>
          <w:szCs w:val="24"/>
        </w:rPr>
        <w:t xml:space="preserve"> of opt-out aggregation customers is flawed.</w:t>
      </w:r>
      <w:r>
        <w:rPr>
          <w:rStyle w:val="FootnoteReference"/>
          <w:rFonts w:ascii="Arial" w:hAnsi="Arial" w:cs="Arial"/>
          <w:sz w:val="24"/>
          <w:szCs w:val="24"/>
        </w:rPr>
        <w:footnoteReference w:id="24"/>
      </w:r>
      <w:r>
        <w:rPr>
          <w:rFonts w:ascii="Arial" w:hAnsi="Arial" w:cs="Arial"/>
          <w:sz w:val="24"/>
          <w:szCs w:val="24"/>
        </w:rPr>
        <w:t xml:space="preserve"> </w:t>
      </w:r>
      <w:r w:rsidR="000B73D8">
        <w:rPr>
          <w:rFonts w:ascii="Arial" w:hAnsi="Arial" w:cs="Arial"/>
          <w:sz w:val="24"/>
          <w:szCs w:val="24"/>
        </w:rPr>
        <w:t>IGS</w:t>
      </w:r>
      <w:r w:rsidR="001F6E88">
        <w:rPr>
          <w:rFonts w:ascii="Arial" w:hAnsi="Arial" w:cs="Arial"/>
          <w:sz w:val="24"/>
          <w:szCs w:val="24"/>
        </w:rPr>
        <w:t>, however,</w:t>
      </w:r>
      <w:r w:rsidR="000B73D8">
        <w:rPr>
          <w:rFonts w:ascii="Arial" w:hAnsi="Arial" w:cs="Arial"/>
          <w:sz w:val="24"/>
          <w:szCs w:val="24"/>
        </w:rPr>
        <w:t xml:space="preserve"> did not once mention customer opt-out aggregation in its Comments filed in response to the Staff Report.</w:t>
      </w:r>
      <w:r w:rsidR="00E37D64">
        <w:rPr>
          <w:rFonts w:ascii="Arial" w:hAnsi="Arial" w:cs="Arial"/>
          <w:sz w:val="24"/>
          <w:szCs w:val="24"/>
        </w:rPr>
        <w:t xml:space="preserve"> Rather, </w:t>
      </w:r>
      <w:r>
        <w:rPr>
          <w:rFonts w:ascii="Arial" w:hAnsi="Arial" w:cs="Arial"/>
          <w:sz w:val="24"/>
          <w:szCs w:val="24"/>
        </w:rPr>
        <w:t>NOPEC’</w:t>
      </w:r>
      <w:r w:rsidR="001E7262">
        <w:rPr>
          <w:rFonts w:ascii="Arial" w:hAnsi="Arial" w:cs="Arial"/>
          <w:sz w:val="24"/>
          <w:szCs w:val="24"/>
        </w:rPr>
        <w:t>s concern</w:t>
      </w:r>
      <w:r>
        <w:rPr>
          <w:rFonts w:ascii="Arial" w:hAnsi="Arial" w:cs="Arial"/>
          <w:sz w:val="24"/>
          <w:szCs w:val="24"/>
        </w:rPr>
        <w:t xml:space="preserve"> appear</w:t>
      </w:r>
      <w:r w:rsidR="001E7262">
        <w:rPr>
          <w:rFonts w:ascii="Arial" w:hAnsi="Arial" w:cs="Arial"/>
          <w:sz w:val="24"/>
          <w:szCs w:val="24"/>
        </w:rPr>
        <w:t>s</w:t>
      </w:r>
      <w:r>
        <w:rPr>
          <w:rFonts w:ascii="Arial" w:hAnsi="Arial" w:cs="Arial"/>
          <w:sz w:val="24"/>
          <w:szCs w:val="24"/>
        </w:rPr>
        <w:t xml:space="preserve"> to stem from a single footnote</w:t>
      </w:r>
      <w:r w:rsidR="001E7262">
        <w:rPr>
          <w:rFonts w:ascii="Arial" w:hAnsi="Arial" w:cs="Arial"/>
          <w:sz w:val="24"/>
          <w:szCs w:val="24"/>
        </w:rPr>
        <w:t xml:space="preserve"> in another set of comments IGS filed </w:t>
      </w:r>
      <w:r w:rsidR="00C2717B">
        <w:rPr>
          <w:rFonts w:ascii="Arial" w:hAnsi="Arial" w:cs="Arial"/>
          <w:sz w:val="24"/>
          <w:szCs w:val="24"/>
        </w:rPr>
        <w:t xml:space="preserve">over </w:t>
      </w:r>
      <w:r w:rsidR="00186BDA">
        <w:rPr>
          <w:rFonts w:ascii="Arial" w:hAnsi="Arial" w:cs="Arial"/>
          <w:sz w:val="24"/>
          <w:szCs w:val="24"/>
        </w:rPr>
        <w:t>seven</w:t>
      </w:r>
      <w:r w:rsidR="001E7262">
        <w:rPr>
          <w:rFonts w:ascii="Arial" w:hAnsi="Arial" w:cs="Arial"/>
          <w:sz w:val="24"/>
          <w:szCs w:val="24"/>
        </w:rPr>
        <w:t xml:space="preserve"> months ago</w:t>
      </w:r>
      <w:r w:rsidR="00C2717B">
        <w:rPr>
          <w:rFonts w:ascii="Arial" w:hAnsi="Arial" w:cs="Arial"/>
          <w:sz w:val="24"/>
          <w:szCs w:val="24"/>
        </w:rPr>
        <w:t>.</w:t>
      </w:r>
      <w:r w:rsidR="00C2717B">
        <w:rPr>
          <w:rStyle w:val="FootnoteReference"/>
          <w:rFonts w:ascii="Arial" w:hAnsi="Arial" w:cs="Arial"/>
          <w:sz w:val="24"/>
          <w:szCs w:val="24"/>
        </w:rPr>
        <w:footnoteReference w:id="25"/>
      </w:r>
      <w:r w:rsidR="00C2717B">
        <w:rPr>
          <w:rFonts w:ascii="Arial" w:hAnsi="Arial" w:cs="Arial"/>
          <w:sz w:val="24"/>
          <w:szCs w:val="24"/>
        </w:rPr>
        <w:t xml:space="preserve"> </w:t>
      </w:r>
    </w:p>
    <w:p w:rsidR="000B73D8" w:rsidRDefault="00E37D64" w:rsidP="00614C77">
      <w:pPr>
        <w:spacing w:line="480" w:lineRule="auto"/>
        <w:ind w:firstLine="360"/>
        <w:rPr>
          <w:rFonts w:ascii="Arial" w:hAnsi="Arial" w:cs="Arial"/>
          <w:sz w:val="24"/>
          <w:szCs w:val="24"/>
        </w:rPr>
      </w:pPr>
      <w:r>
        <w:rPr>
          <w:rFonts w:ascii="Arial" w:hAnsi="Arial" w:cs="Arial"/>
          <w:sz w:val="24"/>
          <w:szCs w:val="24"/>
        </w:rPr>
        <w:t>First, IGS notes that it serves customer aggregation programs in both Ohio’s electric and natural gas markets and highly values the relationships it has with the communities and customers it serve</w:t>
      </w:r>
      <w:r w:rsidR="00C005EC">
        <w:rPr>
          <w:rFonts w:ascii="Arial" w:hAnsi="Arial" w:cs="Arial"/>
          <w:sz w:val="24"/>
          <w:szCs w:val="24"/>
        </w:rPr>
        <w:t>s</w:t>
      </w:r>
      <w:r>
        <w:rPr>
          <w:rFonts w:ascii="Arial" w:hAnsi="Arial" w:cs="Arial"/>
          <w:sz w:val="24"/>
          <w:szCs w:val="24"/>
        </w:rPr>
        <w:t>. Further, n</w:t>
      </w:r>
      <w:r w:rsidR="00C2717B">
        <w:rPr>
          <w:rFonts w:ascii="Arial" w:hAnsi="Arial" w:cs="Arial"/>
          <w:sz w:val="24"/>
          <w:szCs w:val="24"/>
        </w:rPr>
        <w:t xml:space="preserve">otwithstanding the procedural inappropriateness of NOPEC’s </w:t>
      </w:r>
      <w:r w:rsidR="00A777F3">
        <w:rPr>
          <w:rFonts w:ascii="Arial" w:hAnsi="Arial" w:cs="Arial"/>
          <w:sz w:val="24"/>
          <w:szCs w:val="24"/>
        </w:rPr>
        <w:t>c</w:t>
      </w:r>
      <w:r w:rsidR="00AC15F5">
        <w:rPr>
          <w:rFonts w:ascii="Arial" w:hAnsi="Arial" w:cs="Arial"/>
          <w:sz w:val="24"/>
          <w:szCs w:val="24"/>
        </w:rPr>
        <w:t>omments</w:t>
      </w:r>
      <w:r>
        <w:rPr>
          <w:rFonts w:ascii="Arial" w:hAnsi="Arial" w:cs="Arial"/>
          <w:sz w:val="24"/>
          <w:szCs w:val="24"/>
        </w:rPr>
        <w:t>,</w:t>
      </w:r>
      <w:r w:rsidR="001D6B8D">
        <w:rPr>
          <w:rStyle w:val="FootnoteReference"/>
          <w:rFonts w:ascii="Arial" w:hAnsi="Arial" w:cs="Arial"/>
          <w:sz w:val="24"/>
          <w:szCs w:val="24"/>
        </w:rPr>
        <w:footnoteReference w:id="26"/>
      </w:r>
      <w:r>
        <w:rPr>
          <w:rFonts w:ascii="Arial" w:hAnsi="Arial" w:cs="Arial"/>
          <w:sz w:val="24"/>
          <w:szCs w:val="24"/>
        </w:rPr>
        <w:t xml:space="preserve"> IGS</w:t>
      </w:r>
      <w:r w:rsidR="00A777F3">
        <w:rPr>
          <w:rFonts w:ascii="Arial" w:hAnsi="Arial" w:cs="Arial"/>
          <w:sz w:val="24"/>
          <w:szCs w:val="24"/>
        </w:rPr>
        <w:t xml:space="preserve"> does</w:t>
      </w:r>
      <w:r>
        <w:rPr>
          <w:rFonts w:ascii="Arial" w:hAnsi="Arial" w:cs="Arial"/>
          <w:sz w:val="24"/>
          <w:szCs w:val="24"/>
        </w:rPr>
        <w:t xml:space="preserve"> believe that informed and engaged customer</w:t>
      </w:r>
      <w:r w:rsidR="0049480A">
        <w:rPr>
          <w:rFonts w:ascii="Arial" w:hAnsi="Arial" w:cs="Arial"/>
          <w:sz w:val="24"/>
          <w:szCs w:val="24"/>
        </w:rPr>
        <w:t>s</w:t>
      </w:r>
      <w:r w:rsidR="00785AD0">
        <w:rPr>
          <w:rFonts w:ascii="Arial" w:hAnsi="Arial" w:cs="Arial"/>
          <w:sz w:val="24"/>
          <w:szCs w:val="24"/>
        </w:rPr>
        <w:t xml:space="preserve"> in</w:t>
      </w:r>
      <w:r>
        <w:rPr>
          <w:rFonts w:ascii="Arial" w:hAnsi="Arial" w:cs="Arial"/>
          <w:sz w:val="24"/>
          <w:szCs w:val="24"/>
        </w:rPr>
        <w:t xml:space="preserve"> Ohio’s competitive electric markets i</w:t>
      </w:r>
      <w:r w:rsidR="003106E9">
        <w:rPr>
          <w:rFonts w:ascii="Arial" w:hAnsi="Arial" w:cs="Arial"/>
          <w:sz w:val="24"/>
          <w:szCs w:val="24"/>
        </w:rPr>
        <w:t>s a good thing, whether they are</w:t>
      </w:r>
      <w:r w:rsidR="00C3030F">
        <w:rPr>
          <w:rFonts w:ascii="Arial" w:hAnsi="Arial" w:cs="Arial"/>
          <w:sz w:val="24"/>
          <w:szCs w:val="24"/>
        </w:rPr>
        <w:t xml:space="preserve"> SSO customers,</w:t>
      </w:r>
      <w:r>
        <w:rPr>
          <w:rFonts w:ascii="Arial" w:hAnsi="Arial" w:cs="Arial"/>
          <w:sz w:val="24"/>
          <w:szCs w:val="24"/>
        </w:rPr>
        <w:t xml:space="preserve"> aggregation customers, </w:t>
      </w:r>
      <w:r w:rsidR="00785AD0">
        <w:rPr>
          <w:rFonts w:ascii="Arial" w:hAnsi="Arial" w:cs="Arial"/>
          <w:sz w:val="24"/>
          <w:szCs w:val="24"/>
        </w:rPr>
        <w:t>or customers that have affirmatively enrolled with a CRES supplier</w:t>
      </w:r>
      <w:r w:rsidR="008743C8">
        <w:rPr>
          <w:rFonts w:ascii="Arial" w:hAnsi="Arial" w:cs="Arial"/>
          <w:sz w:val="24"/>
          <w:szCs w:val="24"/>
        </w:rPr>
        <w:t xml:space="preserve">. </w:t>
      </w:r>
      <w:r w:rsidR="00C005EC">
        <w:rPr>
          <w:rFonts w:ascii="Arial" w:hAnsi="Arial" w:cs="Arial"/>
          <w:sz w:val="24"/>
          <w:szCs w:val="24"/>
        </w:rPr>
        <w:t xml:space="preserve">Engaged customers </w:t>
      </w:r>
      <w:r w:rsidR="0049480A">
        <w:rPr>
          <w:rFonts w:ascii="Arial" w:hAnsi="Arial" w:cs="Arial"/>
          <w:sz w:val="24"/>
          <w:szCs w:val="24"/>
        </w:rPr>
        <w:t xml:space="preserve">who </w:t>
      </w:r>
      <w:r w:rsidR="00C005EC">
        <w:rPr>
          <w:rFonts w:ascii="Arial" w:hAnsi="Arial" w:cs="Arial"/>
          <w:sz w:val="24"/>
          <w:szCs w:val="24"/>
        </w:rPr>
        <w:t xml:space="preserve">affirmatively choose the products </w:t>
      </w:r>
      <w:r w:rsidR="0049480A">
        <w:rPr>
          <w:rFonts w:ascii="Arial" w:hAnsi="Arial" w:cs="Arial"/>
          <w:sz w:val="24"/>
          <w:szCs w:val="24"/>
        </w:rPr>
        <w:t xml:space="preserve">in which </w:t>
      </w:r>
      <w:r w:rsidR="00C005EC">
        <w:rPr>
          <w:rFonts w:ascii="Arial" w:hAnsi="Arial" w:cs="Arial"/>
          <w:sz w:val="24"/>
          <w:szCs w:val="24"/>
        </w:rPr>
        <w:t xml:space="preserve">they enroll </w:t>
      </w:r>
      <w:r w:rsidR="00C005EC">
        <w:rPr>
          <w:rFonts w:ascii="Arial" w:hAnsi="Arial" w:cs="Arial"/>
          <w:sz w:val="24"/>
          <w:szCs w:val="24"/>
        </w:rPr>
        <w:lastRenderedPageBreak/>
        <w:t xml:space="preserve">are best able to protect their own interest because they are more likely to be aware of the attributes of the product they have </w:t>
      </w:r>
      <w:r w:rsidR="00A777F3">
        <w:rPr>
          <w:rFonts w:ascii="Arial" w:hAnsi="Arial" w:cs="Arial"/>
          <w:sz w:val="24"/>
          <w:szCs w:val="24"/>
        </w:rPr>
        <w:t>purchased</w:t>
      </w:r>
      <w:r w:rsidR="00C005EC">
        <w:rPr>
          <w:rFonts w:ascii="Arial" w:hAnsi="Arial" w:cs="Arial"/>
          <w:sz w:val="24"/>
          <w:szCs w:val="24"/>
        </w:rPr>
        <w:t xml:space="preserve">. </w:t>
      </w:r>
      <w:r>
        <w:rPr>
          <w:rFonts w:ascii="Arial" w:hAnsi="Arial" w:cs="Arial"/>
          <w:sz w:val="24"/>
          <w:szCs w:val="24"/>
        </w:rPr>
        <w:t>Thus</w:t>
      </w:r>
      <w:r w:rsidR="00C005EC">
        <w:rPr>
          <w:rFonts w:ascii="Arial" w:hAnsi="Arial" w:cs="Arial"/>
          <w:sz w:val="24"/>
          <w:szCs w:val="24"/>
        </w:rPr>
        <w:t>, it is appropriate for the Commissio</w:t>
      </w:r>
      <w:r w:rsidR="001F6E88">
        <w:rPr>
          <w:rFonts w:ascii="Arial" w:hAnsi="Arial" w:cs="Arial"/>
          <w:sz w:val="24"/>
          <w:szCs w:val="24"/>
        </w:rPr>
        <w:t>n to consider the level of</w:t>
      </w:r>
      <w:r w:rsidR="00C005EC">
        <w:rPr>
          <w:rFonts w:ascii="Arial" w:hAnsi="Arial" w:cs="Arial"/>
          <w:sz w:val="24"/>
          <w:szCs w:val="24"/>
        </w:rPr>
        <w:t xml:space="preserve"> engaged and informed customers in Ohio’s competitive electric markets</w:t>
      </w:r>
      <w:r w:rsidR="0049480A">
        <w:rPr>
          <w:rFonts w:ascii="Arial" w:hAnsi="Arial" w:cs="Arial"/>
          <w:sz w:val="24"/>
          <w:szCs w:val="24"/>
        </w:rPr>
        <w:t>.</w:t>
      </w:r>
    </w:p>
    <w:p w:rsidR="00FC30D7" w:rsidRPr="00FC30D7" w:rsidRDefault="00FC30D7" w:rsidP="003106E9">
      <w:pPr>
        <w:pStyle w:val="ListParagraph"/>
        <w:numPr>
          <w:ilvl w:val="0"/>
          <w:numId w:val="6"/>
        </w:numPr>
        <w:spacing w:line="240" w:lineRule="auto"/>
        <w:rPr>
          <w:rFonts w:ascii="Arial" w:hAnsi="Arial" w:cs="Arial"/>
          <w:b/>
          <w:sz w:val="24"/>
          <w:szCs w:val="24"/>
        </w:rPr>
      </w:pPr>
      <w:r w:rsidRPr="00FC30D7">
        <w:rPr>
          <w:rFonts w:ascii="Arial" w:hAnsi="Arial" w:cs="Arial"/>
          <w:b/>
          <w:sz w:val="24"/>
          <w:szCs w:val="24"/>
        </w:rPr>
        <w:t>Granular Customer Usage Da</w:t>
      </w:r>
      <w:r w:rsidR="003106E9">
        <w:rPr>
          <w:rFonts w:ascii="Arial" w:hAnsi="Arial" w:cs="Arial"/>
          <w:b/>
          <w:sz w:val="24"/>
          <w:szCs w:val="24"/>
        </w:rPr>
        <w:t>ta Should</w:t>
      </w:r>
      <w:r w:rsidRPr="00FC30D7">
        <w:rPr>
          <w:rFonts w:ascii="Arial" w:hAnsi="Arial" w:cs="Arial"/>
          <w:b/>
          <w:sz w:val="24"/>
          <w:szCs w:val="24"/>
        </w:rPr>
        <w:t xml:space="preserve"> </w:t>
      </w:r>
      <w:proofErr w:type="gramStart"/>
      <w:r w:rsidRPr="00FC30D7">
        <w:rPr>
          <w:rFonts w:ascii="Arial" w:hAnsi="Arial" w:cs="Arial"/>
          <w:b/>
          <w:sz w:val="24"/>
          <w:szCs w:val="24"/>
        </w:rPr>
        <w:t>be</w:t>
      </w:r>
      <w:proofErr w:type="gramEnd"/>
      <w:r w:rsidRPr="00FC30D7">
        <w:rPr>
          <w:rFonts w:ascii="Arial" w:hAnsi="Arial" w:cs="Arial"/>
          <w:b/>
          <w:sz w:val="24"/>
          <w:szCs w:val="24"/>
        </w:rPr>
        <w:t xml:space="preserve"> Made Available to CRES Providers</w:t>
      </w:r>
      <w:r w:rsidR="003106E9">
        <w:rPr>
          <w:rFonts w:ascii="Arial" w:hAnsi="Arial" w:cs="Arial"/>
          <w:b/>
          <w:sz w:val="24"/>
          <w:szCs w:val="24"/>
        </w:rPr>
        <w:t>.</w:t>
      </w:r>
      <w:r w:rsidRPr="00FC30D7">
        <w:rPr>
          <w:rFonts w:ascii="Arial" w:hAnsi="Arial" w:cs="Arial"/>
          <w:b/>
          <w:sz w:val="24"/>
          <w:szCs w:val="24"/>
        </w:rPr>
        <w:t xml:space="preserve"> </w:t>
      </w:r>
    </w:p>
    <w:p w:rsidR="00DC279B" w:rsidRDefault="00FC30D7" w:rsidP="00433D3B">
      <w:pPr>
        <w:spacing w:line="480" w:lineRule="auto"/>
        <w:ind w:firstLine="360"/>
        <w:rPr>
          <w:rFonts w:ascii="Arial" w:hAnsi="Arial" w:cs="Arial"/>
          <w:sz w:val="24"/>
          <w:szCs w:val="24"/>
        </w:rPr>
      </w:pPr>
      <w:r>
        <w:rPr>
          <w:rFonts w:ascii="Arial" w:hAnsi="Arial" w:cs="Arial"/>
          <w:sz w:val="24"/>
          <w:szCs w:val="24"/>
        </w:rPr>
        <w:t>In the Initial Comments to the Staff Report</w:t>
      </w:r>
      <w:r w:rsidR="00A51EE9">
        <w:rPr>
          <w:rFonts w:ascii="Arial" w:hAnsi="Arial" w:cs="Arial"/>
          <w:sz w:val="24"/>
          <w:szCs w:val="24"/>
        </w:rPr>
        <w:t>,</w:t>
      </w:r>
      <w:r>
        <w:rPr>
          <w:rFonts w:ascii="Arial" w:hAnsi="Arial" w:cs="Arial"/>
          <w:sz w:val="24"/>
          <w:szCs w:val="24"/>
        </w:rPr>
        <w:t xml:space="preserve"> Duke Energy, Ohio (“Duke”) not</w:t>
      </w:r>
      <w:r w:rsidR="00293C57">
        <w:rPr>
          <w:rFonts w:ascii="Arial" w:hAnsi="Arial" w:cs="Arial"/>
          <w:sz w:val="24"/>
          <w:szCs w:val="24"/>
        </w:rPr>
        <w:t>es that the issue of providing smart m</w:t>
      </w:r>
      <w:r>
        <w:rPr>
          <w:rFonts w:ascii="Arial" w:hAnsi="Arial" w:cs="Arial"/>
          <w:sz w:val="24"/>
          <w:szCs w:val="24"/>
        </w:rPr>
        <w:t xml:space="preserve">eter data to CRES suppliers needs to be thoroughly studied before CRES suppliers can </w:t>
      </w:r>
      <w:r w:rsidR="00426398">
        <w:rPr>
          <w:rFonts w:ascii="Arial" w:hAnsi="Arial" w:cs="Arial"/>
          <w:sz w:val="24"/>
          <w:szCs w:val="24"/>
        </w:rPr>
        <w:t>receive</w:t>
      </w:r>
      <w:r>
        <w:rPr>
          <w:rFonts w:ascii="Arial" w:hAnsi="Arial" w:cs="Arial"/>
          <w:sz w:val="24"/>
          <w:szCs w:val="24"/>
        </w:rPr>
        <w:t xml:space="preserve"> access to customer data.</w:t>
      </w:r>
      <w:r>
        <w:rPr>
          <w:rStyle w:val="FootnoteReference"/>
          <w:rFonts w:ascii="Arial" w:hAnsi="Arial" w:cs="Arial"/>
          <w:sz w:val="24"/>
          <w:szCs w:val="24"/>
        </w:rPr>
        <w:footnoteReference w:id="27"/>
      </w:r>
      <w:r>
        <w:rPr>
          <w:rFonts w:ascii="Arial" w:hAnsi="Arial" w:cs="Arial"/>
          <w:sz w:val="24"/>
          <w:szCs w:val="24"/>
        </w:rPr>
        <w:t xml:space="preserve"> While IGS is appreciative of Duke’s and other parties</w:t>
      </w:r>
      <w:r w:rsidR="00333C2C">
        <w:rPr>
          <w:rFonts w:ascii="Arial" w:hAnsi="Arial" w:cs="Arial"/>
          <w:sz w:val="24"/>
          <w:szCs w:val="24"/>
        </w:rPr>
        <w:t>’</w:t>
      </w:r>
      <w:r>
        <w:rPr>
          <w:rFonts w:ascii="Arial" w:hAnsi="Arial" w:cs="Arial"/>
          <w:sz w:val="24"/>
          <w:szCs w:val="24"/>
        </w:rPr>
        <w:t xml:space="preserve"> concerns regarding customer privacy, </w:t>
      </w:r>
      <w:r w:rsidRPr="00426398">
        <w:rPr>
          <w:rFonts w:ascii="Arial" w:hAnsi="Arial" w:cs="Arial"/>
          <w:i/>
          <w:sz w:val="24"/>
          <w:szCs w:val="24"/>
        </w:rPr>
        <w:t>if th</w:t>
      </w:r>
      <w:r w:rsidR="00426398">
        <w:rPr>
          <w:rFonts w:ascii="Arial" w:hAnsi="Arial" w:cs="Arial"/>
          <w:i/>
          <w:sz w:val="24"/>
          <w:szCs w:val="24"/>
        </w:rPr>
        <w:t>e customer consents to making available</w:t>
      </w:r>
      <w:r w:rsidRPr="00426398">
        <w:rPr>
          <w:rFonts w:ascii="Arial" w:hAnsi="Arial" w:cs="Arial"/>
          <w:i/>
          <w:sz w:val="24"/>
          <w:szCs w:val="24"/>
        </w:rPr>
        <w:t xml:space="preserve"> granular</w:t>
      </w:r>
      <w:r w:rsidR="00426398">
        <w:rPr>
          <w:rFonts w:ascii="Arial" w:hAnsi="Arial" w:cs="Arial"/>
          <w:i/>
          <w:sz w:val="24"/>
          <w:szCs w:val="24"/>
        </w:rPr>
        <w:t xml:space="preserve"> usage data</w:t>
      </w:r>
      <w:r>
        <w:rPr>
          <w:rFonts w:ascii="Arial" w:hAnsi="Arial" w:cs="Arial"/>
          <w:sz w:val="24"/>
          <w:szCs w:val="24"/>
        </w:rPr>
        <w:t>, CRES suppliers should be able to r</w:t>
      </w:r>
      <w:r w:rsidR="008743C8">
        <w:rPr>
          <w:rFonts w:ascii="Arial" w:hAnsi="Arial" w:cs="Arial"/>
          <w:sz w:val="24"/>
          <w:szCs w:val="24"/>
        </w:rPr>
        <w:t>eceive that data from the EDU.</w:t>
      </w:r>
      <w:r w:rsidR="00426398">
        <w:rPr>
          <w:rFonts w:ascii="Arial" w:hAnsi="Arial" w:cs="Arial"/>
          <w:sz w:val="24"/>
          <w:szCs w:val="24"/>
        </w:rPr>
        <w:t xml:space="preserve"> Further, the consent requirements should not be unduly burdensome for the customer.</w:t>
      </w:r>
      <w:r w:rsidR="003106E9">
        <w:rPr>
          <w:rFonts w:ascii="Arial" w:hAnsi="Arial" w:cs="Arial"/>
          <w:sz w:val="24"/>
          <w:szCs w:val="24"/>
        </w:rPr>
        <w:t xml:space="preserve"> </w:t>
      </w:r>
    </w:p>
    <w:p w:rsidR="005302C0" w:rsidRDefault="0098295D" w:rsidP="0098295D">
      <w:pPr>
        <w:spacing w:line="480" w:lineRule="auto"/>
        <w:ind w:firstLine="360"/>
        <w:rPr>
          <w:rFonts w:ascii="Arial" w:hAnsi="Arial" w:cs="Arial"/>
          <w:sz w:val="24"/>
          <w:szCs w:val="24"/>
        </w:rPr>
      </w:pPr>
      <w:r>
        <w:rPr>
          <w:rFonts w:ascii="Arial" w:hAnsi="Arial" w:cs="Arial"/>
          <w:sz w:val="24"/>
          <w:szCs w:val="24"/>
        </w:rPr>
        <w:t xml:space="preserve">One of the primary benefits cited for smart meters is that they will enable customers to receive </w:t>
      </w:r>
      <w:r w:rsidR="00A51EE9">
        <w:rPr>
          <w:rFonts w:ascii="Arial" w:hAnsi="Arial" w:cs="Arial"/>
          <w:sz w:val="24"/>
          <w:szCs w:val="24"/>
        </w:rPr>
        <w:t xml:space="preserve">a </w:t>
      </w:r>
      <w:r>
        <w:rPr>
          <w:rFonts w:ascii="Arial" w:hAnsi="Arial" w:cs="Arial"/>
          <w:sz w:val="24"/>
          <w:szCs w:val="24"/>
        </w:rPr>
        <w:t>broader range of electric pricing and products. Duke customers have already paid for the deployment of smart meters</w:t>
      </w:r>
      <w:r w:rsidR="005302C0">
        <w:rPr>
          <w:rFonts w:ascii="Arial" w:hAnsi="Arial" w:cs="Arial"/>
          <w:sz w:val="24"/>
          <w:szCs w:val="24"/>
        </w:rPr>
        <w:t>;</w:t>
      </w:r>
      <w:r>
        <w:rPr>
          <w:rFonts w:ascii="Arial" w:hAnsi="Arial" w:cs="Arial"/>
          <w:sz w:val="24"/>
          <w:szCs w:val="24"/>
        </w:rPr>
        <w:t xml:space="preserve"> therefore those customers oug</w:t>
      </w:r>
      <w:r w:rsidR="008743C8">
        <w:rPr>
          <w:rFonts w:ascii="Arial" w:hAnsi="Arial" w:cs="Arial"/>
          <w:sz w:val="24"/>
          <w:szCs w:val="24"/>
        </w:rPr>
        <w:t>ht to be getting the benefits. C</w:t>
      </w:r>
      <w:r w:rsidR="00426398">
        <w:rPr>
          <w:rFonts w:ascii="Arial" w:hAnsi="Arial" w:cs="Arial"/>
          <w:sz w:val="24"/>
          <w:szCs w:val="24"/>
        </w:rPr>
        <w:t>RES suppliers</w:t>
      </w:r>
      <w:r>
        <w:rPr>
          <w:rFonts w:ascii="Arial" w:hAnsi="Arial" w:cs="Arial"/>
          <w:sz w:val="24"/>
          <w:szCs w:val="24"/>
        </w:rPr>
        <w:t>, however,</w:t>
      </w:r>
      <w:r w:rsidR="00426398">
        <w:rPr>
          <w:rFonts w:ascii="Arial" w:hAnsi="Arial" w:cs="Arial"/>
          <w:sz w:val="24"/>
          <w:szCs w:val="24"/>
        </w:rPr>
        <w:t xml:space="preserve"> must have access to granular customer usage data in order for CRES suppliers to be able to offer many of the dynamic electric products to custo</w:t>
      </w:r>
      <w:r w:rsidR="008743C8">
        <w:rPr>
          <w:rFonts w:ascii="Arial" w:hAnsi="Arial" w:cs="Arial"/>
          <w:sz w:val="24"/>
          <w:szCs w:val="24"/>
        </w:rPr>
        <w:t>mers that are on the forefront.</w:t>
      </w:r>
      <w:r w:rsidR="00426398">
        <w:rPr>
          <w:rFonts w:ascii="Arial" w:hAnsi="Arial" w:cs="Arial"/>
          <w:sz w:val="24"/>
          <w:szCs w:val="24"/>
        </w:rPr>
        <w:t xml:space="preserve"> </w:t>
      </w:r>
    </w:p>
    <w:p w:rsidR="006B68DF" w:rsidRDefault="005302C0" w:rsidP="0098295D">
      <w:pPr>
        <w:spacing w:line="480" w:lineRule="auto"/>
        <w:ind w:firstLine="360"/>
        <w:rPr>
          <w:rFonts w:ascii="Arial" w:hAnsi="Arial" w:cs="Arial"/>
          <w:sz w:val="24"/>
          <w:szCs w:val="24"/>
        </w:rPr>
      </w:pPr>
      <w:r>
        <w:rPr>
          <w:rFonts w:ascii="Arial" w:hAnsi="Arial" w:cs="Arial"/>
          <w:sz w:val="24"/>
          <w:szCs w:val="24"/>
        </w:rPr>
        <w:t>The</w:t>
      </w:r>
      <w:r w:rsidR="00426398">
        <w:rPr>
          <w:rFonts w:ascii="Arial" w:hAnsi="Arial" w:cs="Arial"/>
          <w:sz w:val="24"/>
          <w:szCs w:val="24"/>
        </w:rPr>
        <w:t xml:space="preserve"> products</w:t>
      </w:r>
      <w:r>
        <w:rPr>
          <w:rFonts w:ascii="Arial" w:hAnsi="Arial" w:cs="Arial"/>
          <w:sz w:val="24"/>
          <w:szCs w:val="24"/>
        </w:rPr>
        <w:t xml:space="preserve"> that will be available to customers, once the customer data is available to CRES suppliers,</w:t>
      </w:r>
      <w:r w:rsidR="00426398">
        <w:rPr>
          <w:rFonts w:ascii="Arial" w:hAnsi="Arial" w:cs="Arial"/>
          <w:sz w:val="24"/>
          <w:szCs w:val="24"/>
        </w:rPr>
        <w:t xml:space="preserve"> include residential deman</w:t>
      </w:r>
      <w:r w:rsidR="006B68DF">
        <w:rPr>
          <w:rFonts w:ascii="Arial" w:hAnsi="Arial" w:cs="Arial"/>
          <w:sz w:val="24"/>
          <w:szCs w:val="24"/>
        </w:rPr>
        <w:t xml:space="preserve">d response </w:t>
      </w:r>
      <w:r w:rsidR="00426398">
        <w:rPr>
          <w:rFonts w:ascii="Arial" w:hAnsi="Arial" w:cs="Arial"/>
          <w:sz w:val="24"/>
          <w:szCs w:val="24"/>
        </w:rPr>
        <w:t>and time-of-</w:t>
      </w:r>
      <w:r w:rsidR="006B68DF">
        <w:rPr>
          <w:rFonts w:ascii="Arial" w:hAnsi="Arial" w:cs="Arial"/>
          <w:sz w:val="24"/>
          <w:szCs w:val="24"/>
        </w:rPr>
        <w:t>use pricing</w:t>
      </w:r>
      <w:r w:rsidR="00426398">
        <w:rPr>
          <w:rFonts w:ascii="Arial" w:hAnsi="Arial" w:cs="Arial"/>
          <w:sz w:val="24"/>
          <w:szCs w:val="24"/>
        </w:rPr>
        <w:t xml:space="preserve">. The data needed by CRES suppliers does not always need to come from what </w:t>
      </w:r>
      <w:r w:rsidR="00A51EE9">
        <w:rPr>
          <w:rFonts w:ascii="Arial" w:hAnsi="Arial" w:cs="Arial"/>
          <w:sz w:val="24"/>
          <w:szCs w:val="24"/>
        </w:rPr>
        <w:t xml:space="preserve">is </w:t>
      </w:r>
      <w:r w:rsidR="00426398">
        <w:rPr>
          <w:rFonts w:ascii="Arial" w:hAnsi="Arial" w:cs="Arial"/>
          <w:sz w:val="24"/>
          <w:szCs w:val="24"/>
        </w:rPr>
        <w:t xml:space="preserve">considered </w:t>
      </w:r>
      <w:r w:rsidR="008743C8">
        <w:rPr>
          <w:rFonts w:ascii="Arial" w:hAnsi="Arial" w:cs="Arial"/>
          <w:sz w:val="24"/>
          <w:szCs w:val="24"/>
        </w:rPr>
        <w:lastRenderedPageBreak/>
        <w:t xml:space="preserve">a “smart meter.” </w:t>
      </w:r>
      <w:r w:rsidR="00426398">
        <w:rPr>
          <w:rFonts w:ascii="Arial" w:hAnsi="Arial" w:cs="Arial"/>
          <w:sz w:val="24"/>
          <w:szCs w:val="24"/>
        </w:rPr>
        <w:t>Rather, sometimes traditional interval meters collect the granular customer data</w:t>
      </w:r>
      <w:r w:rsidR="005B4167">
        <w:rPr>
          <w:rFonts w:ascii="Arial" w:hAnsi="Arial" w:cs="Arial"/>
          <w:sz w:val="24"/>
          <w:szCs w:val="24"/>
        </w:rPr>
        <w:t xml:space="preserve"> </w:t>
      </w:r>
      <w:r w:rsidR="00426398">
        <w:rPr>
          <w:rFonts w:ascii="Arial" w:hAnsi="Arial" w:cs="Arial"/>
          <w:sz w:val="24"/>
          <w:szCs w:val="24"/>
        </w:rPr>
        <w:t>sufficient to meet CRES suppliers</w:t>
      </w:r>
      <w:r w:rsidR="00333C2C">
        <w:rPr>
          <w:rFonts w:ascii="Arial" w:hAnsi="Arial" w:cs="Arial"/>
          <w:sz w:val="24"/>
          <w:szCs w:val="24"/>
        </w:rPr>
        <w:t>’</w:t>
      </w:r>
      <w:r w:rsidR="00426398">
        <w:rPr>
          <w:rFonts w:ascii="Arial" w:hAnsi="Arial" w:cs="Arial"/>
          <w:sz w:val="24"/>
          <w:szCs w:val="24"/>
        </w:rPr>
        <w:t xml:space="preserve"> needs</w:t>
      </w:r>
      <w:r w:rsidR="00A51EE9">
        <w:rPr>
          <w:rFonts w:ascii="Arial" w:hAnsi="Arial" w:cs="Arial"/>
          <w:sz w:val="24"/>
          <w:szCs w:val="24"/>
        </w:rPr>
        <w:t>.</w:t>
      </w:r>
      <w:r w:rsidR="00A51EE9" w:rsidDel="00A51EE9">
        <w:rPr>
          <w:rFonts w:ascii="Arial" w:hAnsi="Arial" w:cs="Arial"/>
          <w:sz w:val="24"/>
          <w:szCs w:val="24"/>
        </w:rPr>
        <w:t xml:space="preserve"> </w:t>
      </w:r>
      <w:r w:rsidR="00A51EE9">
        <w:rPr>
          <w:rFonts w:ascii="Arial" w:hAnsi="Arial" w:cs="Arial"/>
          <w:sz w:val="24"/>
          <w:szCs w:val="24"/>
        </w:rPr>
        <w:t>Nonetheless</w:t>
      </w:r>
      <w:r w:rsidR="0098295D">
        <w:rPr>
          <w:rFonts w:ascii="Arial" w:hAnsi="Arial" w:cs="Arial"/>
          <w:sz w:val="24"/>
          <w:szCs w:val="24"/>
        </w:rPr>
        <w:t>, the data should be available to CRES suppliers</w:t>
      </w:r>
      <w:r w:rsidR="000F1C53">
        <w:rPr>
          <w:rFonts w:ascii="Arial" w:hAnsi="Arial" w:cs="Arial"/>
          <w:sz w:val="24"/>
          <w:szCs w:val="24"/>
        </w:rPr>
        <w:t>,</w:t>
      </w:r>
      <w:r w:rsidR="0098295D">
        <w:rPr>
          <w:rFonts w:ascii="Arial" w:hAnsi="Arial" w:cs="Arial"/>
          <w:sz w:val="24"/>
          <w:szCs w:val="24"/>
        </w:rPr>
        <w:t xml:space="preserve"> if the customer consents, so customers can start getting the benefits </w:t>
      </w:r>
      <w:r w:rsidR="00AA3DA9">
        <w:rPr>
          <w:rFonts w:ascii="Arial" w:hAnsi="Arial" w:cs="Arial"/>
          <w:sz w:val="24"/>
          <w:szCs w:val="24"/>
        </w:rPr>
        <w:t>from the meters for which they have paid</w:t>
      </w:r>
      <w:r w:rsidR="00426398">
        <w:rPr>
          <w:rFonts w:ascii="Arial" w:hAnsi="Arial" w:cs="Arial"/>
          <w:sz w:val="24"/>
          <w:szCs w:val="24"/>
        </w:rPr>
        <w:t>.</w:t>
      </w:r>
      <w:r w:rsidR="006B68DF">
        <w:rPr>
          <w:rFonts w:ascii="Arial" w:hAnsi="Arial" w:cs="Arial"/>
          <w:sz w:val="24"/>
          <w:szCs w:val="24"/>
        </w:rPr>
        <w:t xml:space="preserve"> </w:t>
      </w:r>
    </w:p>
    <w:p w:rsidR="00AD7E01" w:rsidRDefault="00C3030F" w:rsidP="00433D3B">
      <w:pPr>
        <w:spacing w:line="480" w:lineRule="auto"/>
        <w:ind w:firstLine="360"/>
        <w:rPr>
          <w:rFonts w:ascii="Arial" w:hAnsi="Arial" w:cs="Arial"/>
          <w:sz w:val="24"/>
          <w:szCs w:val="24"/>
        </w:rPr>
      </w:pPr>
      <w:r>
        <w:rPr>
          <w:rFonts w:ascii="Arial" w:hAnsi="Arial" w:cs="Arial"/>
          <w:sz w:val="24"/>
          <w:szCs w:val="24"/>
        </w:rPr>
        <w:t>T</w:t>
      </w:r>
      <w:r w:rsidR="006B68DF">
        <w:rPr>
          <w:rFonts w:ascii="Arial" w:hAnsi="Arial" w:cs="Arial"/>
          <w:sz w:val="24"/>
          <w:szCs w:val="24"/>
        </w:rPr>
        <w:t>he Commission</w:t>
      </w:r>
      <w:r w:rsidR="00A51EE9">
        <w:rPr>
          <w:rFonts w:ascii="Arial" w:hAnsi="Arial" w:cs="Arial"/>
          <w:sz w:val="24"/>
          <w:szCs w:val="24"/>
        </w:rPr>
        <w:t>’s policy should also be</w:t>
      </w:r>
      <w:r w:rsidR="006B68DF">
        <w:rPr>
          <w:rFonts w:ascii="Arial" w:hAnsi="Arial" w:cs="Arial"/>
          <w:sz w:val="24"/>
          <w:szCs w:val="24"/>
        </w:rPr>
        <w:t xml:space="preserve"> to deploy technology that collects customer data needed to offer residential demand response</w:t>
      </w:r>
      <w:r w:rsidR="005B4167">
        <w:rPr>
          <w:rFonts w:ascii="Arial" w:hAnsi="Arial" w:cs="Arial"/>
          <w:sz w:val="24"/>
          <w:szCs w:val="24"/>
        </w:rPr>
        <w:t xml:space="preserve"> and time-of-use products to residential </w:t>
      </w:r>
      <w:r w:rsidR="008743C8">
        <w:rPr>
          <w:rFonts w:ascii="Arial" w:hAnsi="Arial" w:cs="Arial"/>
          <w:sz w:val="24"/>
          <w:szCs w:val="24"/>
        </w:rPr>
        <w:t xml:space="preserve">customers. </w:t>
      </w:r>
      <w:r w:rsidR="00293C57">
        <w:rPr>
          <w:rFonts w:ascii="Arial" w:hAnsi="Arial" w:cs="Arial"/>
          <w:sz w:val="24"/>
          <w:szCs w:val="24"/>
        </w:rPr>
        <w:t>Thus</w:t>
      </w:r>
      <w:r w:rsidR="003106E9">
        <w:rPr>
          <w:rFonts w:ascii="Arial" w:hAnsi="Arial" w:cs="Arial"/>
          <w:sz w:val="24"/>
          <w:szCs w:val="24"/>
        </w:rPr>
        <w:t>,</w:t>
      </w:r>
      <w:r w:rsidR="00293C57">
        <w:rPr>
          <w:rFonts w:ascii="Arial" w:hAnsi="Arial" w:cs="Arial"/>
          <w:sz w:val="24"/>
          <w:szCs w:val="24"/>
        </w:rPr>
        <w:t xml:space="preserve"> EDUs should be required</w:t>
      </w:r>
      <w:r w:rsidR="006B68DF">
        <w:rPr>
          <w:rFonts w:ascii="Arial" w:hAnsi="Arial" w:cs="Arial"/>
          <w:sz w:val="24"/>
          <w:szCs w:val="24"/>
        </w:rPr>
        <w:t xml:space="preserve"> to upgrade their systems to install smart meters and the IT infrastructure for EDUs to communicate the customer usage data to CRES sup</w:t>
      </w:r>
      <w:r w:rsidR="008743C8">
        <w:rPr>
          <w:rFonts w:ascii="Arial" w:hAnsi="Arial" w:cs="Arial"/>
          <w:sz w:val="24"/>
          <w:szCs w:val="24"/>
        </w:rPr>
        <w:t xml:space="preserve">pliers in an efficient manner. </w:t>
      </w:r>
      <w:r w:rsidR="006B68DF">
        <w:rPr>
          <w:rFonts w:ascii="Arial" w:hAnsi="Arial" w:cs="Arial"/>
          <w:sz w:val="24"/>
          <w:szCs w:val="24"/>
        </w:rPr>
        <w:t>These system upgrades will</w:t>
      </w:r>
      <w:r w:rsidR="003106E9">
        <w:rPr>
          <w:rFonts w:ascii="Arial" w:hAnsi="Arial" w:cs="Arial"/>
          <w:sz w:val="24"/>
          <w:szCs w:val="24"/>
        </w:rPr>
        <w:t xml:space="preserve"> only benefit customers as they will</w:t>
      </w:r>
      <w:r w:rsidR="006B68DF">
        <w:rPr>
          <w:rFonts w:ascii="Arial" w:hAnsi="Arial" w:cs="Arial"/>
          <w:sz w:val="24"/>
          <w:szCs w:val="24"/>
        </w:rPr>
        <w:t xml:space="preserve"> allow customers to enroll in products that will help them to use electricity more efficiently.</w:t>
      </w:r>
    </w:p>
    <w:p w:rsidR="00DA1804" w:rsidRDefault="00AD7E01" w:rsidP="00AD7E01">
      <w:pPr>
        <w:pStyle w:val="ListParagraph"/>
        <w:numPr>
          <w:ilvl w:val="0"/>
          <w:numId w:val="1"/>
        </w:numPr>
        <w:spacing w:line="480" w:lineRule="auto"/>
        <w:rPr>
          <w:rFonts w:ascii="Arial" w:hAnsi="Arial" w:cs="Arial"/>
          <w:b/>
          <w:sz w:val="24"/>
          <w:szCs w:val="24"/>
        </w:rPr>
      </w:pPr>
      <w:r w:rsidRPr="00AD7E01">
        <w:rPr>
          <w:rFonts w:ascii="Arial" w:hAnsi="Arial" w:cs="Arial"/>
          <w:b/>
          <w:sz w:val="24"/>
          <w:szCs w:val="24"/>
        </w:rPr>
        <w:t>CONCLUSION</w:t>
      </w:r>
      <w:r w:rsidR="006B68DF" w:rsidRPr="00AD7E01">
        <w:rPr>
          <w:rFonts w:ascii="Arial" w:hAnsi="Arial" w:cs="Arial"/>
          <w:b/>
          <w:sz w:val="24"/>
          <w:szCs w:val="24"/>
        </w:rPr>
        <w:t xml:space="preserve"> </w:t>
      </w:r>
    </w:p>
    <w:p w:rsidR="00AD7E01" w:rsidRPr="00AD7E01" w:rsidRDefault="00AD7E01" w:rsidP="00AD7E01">
      <w:pPr>
        <w:spacing w:line="480" w:lineRule="auto"/>
        <w:ind w:firstLine="720"/>
        <w:rPr>
          <w:rFonts w:ascii="Arial" w:hAnsi="Arial" w:cs="Arial"/>
          <w:sz w:val="24"/>
          <w:szCs w:val="24"/>
        </w:rPr>
      </w:pPr>
      <w:r>
        <w:rPr>
          <w:rFonts w:ascii="Arial" w:hAnsi="Arial" w:cs="Arial"/>
          <w:sz w:val="24"/>
          <w:szCs w:val="24"/>
        </w:rPr>
        <w:t xml:space="preserve">IGS thanks the Commission for giving it the opportunity to offer its perspective on the very important topic of the future of </w:t>
      </w:r>
      <w:r w:rsidR="008743C8">
        <w:rPr>
          <w:rFonts w:ascii="Arial" w:hAnsi="Arial" w:cs="Arial"/>
          <w:sz w:val="24"/>
          <w:szCs w:val="24"/>
        </w:rPr>
        <w:t>Ohio’s retail electric markets.</w:t>
      </w:r>
      <w:r>
        <w:rPr>
          <w:rFonts w:ascii="Arial" w:hAnsi="Arial" w:cs="Arial"/>
          <w:sz w:val="24"/>
          <w:szCs w:val="24"/>
        </w:rPr>
        <w:t xml:space="preserve"> As </w:t>
      </w:r>
      <w:r w:rsidR="003106E9">
        <w:rPr>
          <w:rFonts w:ascii="Arial" w:hAnsi="Arial" w:cs="Arial"/>
          <w:sz w:val="24"/>
          <w:szCs w:val="24"/>
        </w:rPr>
        <w:t>explained in</w:t>
      </w:r>
      <w:r>
        <w:rPr>
          <w:rFonts w:ascii="Arial" w:hAnsi="Arial" w:cs="Arial"/>
          <w:sz w:val="24"/>
          <w:szCs w:val="24"/>
        </w:rPr>
        <w:t xml:space="preserve"> IGS’ comments, Ohio’s electric customers will be best served if Ohio continues further down the path of full</w:t>
      </w:r>
      <w:r w:rsidR="008743C8">
        <w:rPr>
          <w:rFonts w:ascii="Arial" w:hAnsi="Arial" w:cs="Arial"/>
          <w:sz w:val="24"/>
          <w:szCs w:val="24"/>
        </w:rPr>
        <w:t>y competitive electric markets.</w:t>
      </w:r>
      <w:r>
        <w:rPr>
          <w:rFonts w:ascii="Arial" w:hAnsi="Arial" w:cs="Arial"/>
          <w:sz w:val="24"/>
          <w:szCs w:val="24"/>
        </w:rPr>
        <w:t xml:space="preserve"> As </w:t>
      </w:r>
      <w:r w:rsidR="00293C57">
        <w:rPr>
          <w:rFonts w:ascii="Arial" w:hAnsi="Arial" w:cs="Arial"/>
          <w:sz w:val="24"/>
          <w:szCs w:val="24"/>
        </w:rPr>
        <w:t>such, IGS respectfully requests</w:t>
      </w:r>
      <w:r>
        <w:rPr>
          <w:rFonts w:ascii="Arial" w:hAnsi="Arial" w:cs="Arial"/>
          <w:sz w:val="24"/>
          <w:szCs w:val="24"/>
        </w:rPr>
        <w:t xml:space="preserve"> that the Commission adopt the recommendations made by IGS in this proceeding.</w:t>
      </w:r>
    </w:p>
    <w:p w:rsidR="00DA1804" w:rsidRDefault="00DA1804" w:rsidP="00DA1804">
      <w:pPr>
        <w:spacing w:after="0" w:line="240" w:lineRule="auto"/>
        <w:ind w:left="5040"/>
        <w:rPr>
          <w:rFonts w:ascii="Arial" w:hAnsi="Arial" w:cs="Arial"/>
          <w:sz w:val="24"/>
          <w:szCs w:val="24"/>
        </w:rPr>
      </w:pPr>
      <w:r>
        <w:rPr>
          <w:rFonts w:ascii="Arial" w:hAnsi="Arial" w:cs="Arial"/>
          <w:sz w:val="24"/>
          <w:szCs w:val="24"/>
        </w:rPr>
        <w:t>Respectfully submitted,</w:t>
      </w:r>
    </w:p>
    <w:p w:rsidR="00DA1804" w:rsidRDefault="00DA1804" w:rsidP="00DA1804">
      <w:pPr>
        <w:spacing w:after="0" w:line="240" w:lineRule="auto"/>
        <w:rPr>
          <w:rFonts w:ascii="Arial" w:hAnsi="Arial" w:cs="Arial"/>
          <w:sz w:val="24"/>
          <w:szCs w:val="24"/>
          <w:u w:val="single"/>
        </w:rPr>
      </w:pPr>
    </w:p>
    <w:p w:rsidR="00DA1804" w:rsidRDefault="00DA1804" w:rsidP="00DA1804">
      <w:pPr>
        <w:spacing w:after="0" w:line="240" w:lineRule="auto"/>
        <w:ind w:left="5040"/>
        <w:jc w:val="both"/>
        <w:rPr>
          <w:rFonts w:ascii="Arial" w:eastAsia="Arial" w:hAnsi="Arial" w:cs="Arial"/>
          <w:sz w:val="24"/>
          <w:szCs w:val="24"/>
          <w:u w:val="single"/>
        </w:rPr>
      </w:pPr>
      <w:r w:rsidRPr="00433D3B">
        <w:rPr>
          <w:rFonts w:ascii="Arial" w:eastAsia="Arial" w:hAnsi="Arial" w:cs="Arial"/>
          <w:i/>
          <w:sz w:val="24"/>
          <w:szCs w:val="24"/>
          <w:u w:val="single"/>
        </w:rPr>
        <w:t>/s/ Matthew White</w:t>
      </w:r>
      <w:r>
        <w:rPr>
          <w:rFonts w:ascii="Arial" w:eastAsia="Arial" w:hAnsi="Arial" w:cs="Arial"/>
          <w:sz w:val="24"/>
          <w:szCs w:val="24"/>
          <w:u w:val="single"/>
        </w:rPr>
        <w:t>______</w:t>
      </w:r>
    </w:p>
    <w:p w:rsidR="00DA1804" w:rsidRDefault="00DA1804" w:rsidP="00DA1804">
      <w:pPr>
        <w:spacing w:after="0" w:line="240" w:lineRule="auto"/>
        <w:ind w:left="5040"/>
        <w:rPr>
          <w:rFonts w:ascii="Arial" w:hAnsi="Arial" w:cs="Arial"/>
          <w:sz w:val="24"/>
          <w:szCs w:val="24"/>
        </w:rPr>
      </w:pPr>
      <w:r>
        <w:rPr>
          <w:rFonts w:ascii="Arial" w:hAnsi="Arial" w:cs="Arial"/>
          <w:sz w:val="24"/>
          <w:szCs w:val="24"/>
        </w:rPr>
        <w:t>Matthew White (0082859)</w:t>
      </w:r>
    </w:p>
    <w:p w:rsidR="002060DE" w:rsidRPr="00A739A8" w:rsidRDefault="00DA1804" w:rsidP="002060DE">
      <w:pPr>
        <w:spacing w:after="0" w:line="240" w:lineRule="auto"/>
        <w:ind w:left="5040"/>
        <w:rPr>
          <w:rFonts w:ascii="Arial" w:hAnsi="Arial" w:cs="Arial"/>
          <w:sz w:val="24"/>
          <w:szCs w:val="24"/>
        </w:rPr>
      </w:pPr>
      <w:r w:rsidRPr="00A739A8">
        <w:rPr>
          <w:rFonts w:ascii="Arial" w:hAnsi="Arial" w:cs="Arial"/>
          <w:sz w:val="24"/>
          <w:szCs w:val="24"/>
        </w:rPr>
        <w:t>Counsel if Record</w:t>
      </w:r>
    </w:p>
    <w:p w:rsidR="00DA1804" w:rsidRDefault="00DA1804" w:rsidP="00DA1804">
      <w:pPr>
        <w:spacing w:after="0" w:line="240" w:lineRule="auto"/>
        <w:ind w:left="5040"/>
        <w:rPr>
          <w:rFonts w:ascii="Arial" w:hAnsi="Arial" w:cs="Arial"/>
          <w:sz w:val="24"/>
          <w:szCs w:val="24"/>
        </w:rPr>
      </w:pPr>
      <w:r>
        <w:rPr>
          <w:rFonts w:ascii="Arial" w:hAnsi="Arial" w:cs="Arial"/>
          <w:sz w:val="24"/>
          <w:szCs w:val="24"/>
        </w:rPr>
        <w:t>Email: mswhite@igsenergy.com</w:t>
      </w:r>
    </w:p>
    <w:p w:rsidR="00DA1804" w:rsidRDefault="00DA1804" w:rsidP="00DA1804">
      <w:pPr>
        <w:spacing w:after="0" w:line="240" w:lineRule="auto"/>
        <w:ind w:left="5040"/>
        <w:rPr>
          <w:rFonts w:ascii="Arial" w:hAnsi="Arial" w:cs="Arial"/>
          <w:sz w:val="24"/>
          <w:szCs w:val="24"/>
        </w:rPr>
      </w:pPr>
      <w:r>
        <w:rPr>
          <w:rFonts w:ascii="Arial" w:hAnsi="Arial" w:cs="Arial"/>
          <w:sz w:val="24"/>
          <w:szCs w:val="24"/>
        </w:rPr>
        <w:t>Interstate Gas Supply, Inc.</w:t>
      </w:r>
    </w:p>
    <w:p w:rsidR="00DA1804" w:rsidRDefault="00DA1804" w:rsidP="00DA1804">
      <w:pPr>
        <w:spacing w:after="0" w:line="240" w:lineRule="auto"/>
        <w:ind w:left="5040"/>
        <w:rPr>
          <w:rFonts w:ascii="Arial" w:hAnsi="Arial" w:cs="Arial"/>
          <w:sz w:val="24"/>
          <w:szCs w:val="24"/>
        </w:rPr>
      </w:pPr>
      <w:r>
        <w:rPr>
          <w:rFonts w:ascii="Arial" w:hAnsi="Arial" w:cs="Arial"/>
          <w:sz w:val="24"/>
          <w:szCs w:val="24"/>
        </w:rPr>
        <w:t>6100 Emerald Parkway</w:t>
      </w:r>
    </w:p>
    <w:p w:rsidR="00DA1804" w:rsidRDefault="00DA1804" w:rsidP="00DA1804">
      <w:pPr>
        <w:spacing w:after="0" w:line="240" w:lineRule="auto"/>
        <w:ind w:left="5040"/>
        <w:rPr>
          <w:rFonts w:ascii="Arial" w:hAnsi="Arial" w:cs="Arial"/>
          <w:sz w:val="24"/>
          <w:szCs w:val="24"/>
        </w:rPr>
      </w:pPr>
      <w:r>
        <w:rPr>
          <w:rFonts w:ascii="Arial" w:hAnsi="Arial" w:cs="Arial"/>
          <w:sz w:val="24"/>
          <w:szCs w:val="24"/>
        </w:rPr>
        <w:t>Dublin, Ohio 43016</w:t>
      </w:r>
    </w:p>
    <w:p w:rsidR="00DA1804" w:rsidRDefault="00DA1804" w:rsidP="00DA1804">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659-5049</w:t>
      </w:r>
    </w:p>
    <w:p w:rsidR="00AA3DA9" w:rsidRPr="0091226B" w:rsidRDefault="00AA3DA9" w:rsidP="00AA3DA9">
      <w:pPr>
        <w:jc w:val="center"/>
        <w:rPr>
          <w:b/>
          <w:u w:val="single"/>
        </w:rPr>
      </w:pPr>
      <w:r>
        <w:rPr>
          <w:b/>
          <w:u w:val="single"/>
        </w:rPr>
        <w:lastRenderedPageBreak/>
        <w:t>CERTIFICATE OF SERVICE</w:t>
      </w:r>
    </w:p>
    <w:p w:rsidR="00AA3DA9" w:rsidRDefault="00AA3DA9" w:rsidP="00AA3DA9">
      <w:r>
        <w:tab/>
        <w:t xml:space="preserve">I certify that a copy of this Application for Rehearing was served via electronic mail this </w:t>
      </w:r>
      <w:r>
        <w:t>20</w:t>
      </w:r>
      <w:bookmarkStart w:id="0" w:name="_GoBack"/>
      <w:bookmarkEnd w:id="0"/>
      <w:r>
        <w:rPr>
          <w:vertAlign w:val="superscript"/>
        </w:rPr>
        <w:t>th</w:t>
      </w:r>
      <w:r>
        <w:t xml:space="preserve"> day of February 2014 on the parties listed below.</w:t>
      </w:r>
    </w:p>
    <w:p w:rsidR="00AA3DA9" w:rsidRDefault="00AA3DA9" w:rsidP="00AA3DA9">
      <w:pPr>
        <w:ind w:left="5040"/>
      </w:pPr>
      <w:r>
        <w:rPr>
          <w:rFonts w:ascii="Arial" w:eastAsia="Arial" w:hAnsi="Arial" w:cs="Arial"/>
          <w:i/>
          <w:sz w:val="24"/>
          <w:szCs w:val="24"/>
          <w:u w:val="single"/>
        </w:rPr>
        <w:t>/s/ Matthew White</w:t>
      </w:r>
      <w:r>
        <w:t xml:space="preserve"> </w:t>
      </w:r>
    </w:p>
    <w:p w:rsidR="00AA3DA9" w:rsidRDefault="00AA3DA9" w:rsidP="00AA3DA9">
      <w:pPr>
        <w:ind w:left="5040"/>
      </w:pPr>
      <w:r>
        <w:t xml:space="preserve">Matthew White </w:t>
      </w:r>
    </w:p>
    <w:tbl>
      <w:tblPr>
        <w:tblStyle w:val="TableGrid"/>
        <w:tblpPr w:leftFromText="180" w:rightFromText="180" w:vertAnchor="page" w:horzAnchor="margin" w:tblpY="4321"/>
        <w:tblW w:w="0" w:type="auto"/>
        <w:tblLook w:val="04A0" w:firstRow="1" w:lastRow="0" w:firstColumn="1" w:lastColumn="0" w:noHBand="0" w:noVBand="1"/>
      </w:tblPr>
      <w:tblGrid>
        <w:gridCol w:w="4788"/>
        <w:gridCol w:w="4788"/>
      </w:tblGrid>
      <w:tr w:rsidR="00AA3DA9" w:rsidTr="006E3FA7">
        <w:tc>
          <w:tcPr>
            <w:tcW w:w="4788" w:type="dxa"/>
          </w:tcPr>
          <w:p w:rsidR="00AA3DA9" w:rsidRDefault="00AA3DA9" w:rsidP="006E3FA7">
            <w:pPr>
              <w:rPr>
                <w:rFonts w:ascii="Times New Roman" w:hAnsi="Times New Roman"/>
              </w:rPr>
            </w:pPr>
            <w:hyperlink r:id="rId9" w:history="1">
              <w:r>
                <w:rPr>
                  <w:rStyle w:val="Hyperlink"/>
                  <w:rFonts w:ascii="Times New Roman" w:hAnsi="Times New Roman"/>
                </w:rPr>
                <w:t>grady@occ.state.oh.us</w:t>
              </w:r>
            </w:hyperlink>
          </w:p>
          <w:p w:rsidR="00AA3DA9" w:rsidRDefault="00AA3DA9" w:rsidP="006E3FA7">
            <w:pPr>
              <w:rPr>
                <w:rFonts w:ascii="Times New Roman" w:hAnsi="Times New Roman"/>
              </w:rPr>
            </w:pPr>
            <w:hyperlink r:id="rId10" w:history="1">
              <w:r>
                <w:rPr>
                  <w:rStyle w:val="Hyperlink"/>
                  <w:rFonts w:ascii="Times New Roman" w:hAnsi="Times New Roman"/>
                </w:rPr>
                <w:t>serio@occ.state.oh.us</w:t>
              </w:r>
            </w:hyperlink>
          </w:p>
          <w:p w:rsidR="00AA3DA9" w:rsidRDefault="00AA3DA9" w:rsidP="006E3FA7">
            <w:pPr>
              <w:rPr>
                <w:rFonts w:ascii="Times New Roman" w:hAnsi="Times New Roman"/>
              </w:rPr>
            </w:pPr>
            <w:hyperlink r:id="rId11" w:history="1">
              <w:r>
                <w:rPr>
                  <w:rStyle w:val="Hyperlink"/>
                  <w:rFonts w:ascii="Times New Roman" w:hAnsi="Times New Roman"/>
                </w:rPr>
                <w:t>fdarr@mwncmh.com</w:t>
              </w:r>
            </w:hyperlink>
          </w:p>
          <w:p w:rsidR="00AA3DA9" w:rsidRDefault="00AA3DA9" w:rsidP="006E3FA7">
            <w:pPr>
              <w:rPr>
                <w:rFonts w:ascii="Times New Roman" w:hAnsi="Times New Roman"/>
              </w:rPr>
            </w:pPr>
            <w:hyperlink r:id="rId12" w:history="1">
              <w:r>
                <w:rPr>
                  <w:rStyle w:val="Hyperlink"/>
                  <w:rFonts w:ascii="Times New Roman" w:hAnsi="Times New Roman"/>
                </w:rPr>
                <w:t>sam@mwncmh.com</w:t>
              </w:r>
            </w:hyperlink>
          </w:p>
          <w:p w:rsidR="00AA3DA9" w:rsidRDefault="00AA3DA9" w:rsidP="006E3FA7">
            <w:pPr>
              <w:rPr>
                <w:rFonts w:ascii="Times New Roman" w:hAnsi="Times New Roman"/>
              </w:rPr>
            </w:pPr>
            <w:hyperlink r:id="rId13" w:history="1">
              <w:r>
                <w:rPr>
                  <w:rStyle w:val="Hyperlink"/>
                  <w:rFonts w:ascii="Times New Roman" w:hAnsi="Times New Roman"/>
                </w:rPr>
                <w:t>dboehm@BKLlawfirm.com</w:t>
              </w:r>
            </w:hyperlink>
          </w:p>
          <w:p w:rsidR="00AA3DA9" w:rsidRDefault="00AA3DA9" w:rsidP="006E3FA7">
            <w:pPr>
              <w:rPr>
                <w:rFonts w:ascii="Times New Roman" w:hAnsi="Times New Roman"/>
              </w:rPr>
            </w:pPr>
            <w:hyperlink r:id="rId14" w:history="1">
              <w:r>
                <w:rPr>
                  <w:rStyle w:val="Hyperlink"/>
                  <w:rFonts w:ascii="Times New Roman" w:hAnsi="Times New Roman"/>
                </w:rPr>
                <w:t>mkurtz@BKLlawfirm.com</w:t>
              </w:r>
            </w:hyperlink>
          </w:p>
          <w:p w:rsidR="00AA3DA9" w:rsidRDefault="00AA3DA9" w:rsidP="006E3FA7">
            <w:pPr>
              <w:rPr>
                <w:rFonts w:ascii="Times New Roman" w:hAnsi="Times New Roman"/>
              </w:rPr>
            </w:pPr>
            <w:hyperlink r:id="rId15" w:history="1">
              <w:r>
                <w:rPr>
                  <w:rStyle w:val="Hyperlink"/>
                  <w:rFonts w:ascii="Times New Roman" w:hAnsi="Times New Roman"/>
                </w:rPr>
                <w:t>cmooney@ohiopartners.org</w:t>
              </w:r>
            </w:hyperlink>
            <w:r>
              <w:rPr>
                <w:rFonts w:ascii="Times New Roman" w:hAnsi="Times New Roman"/>
              </w:rPr>
              <w:t xml:space="preserve"> </w:t>
            </w:r>
          </w:p>
          <w:p w:rsidR="00AA3DA9" w:rsidRDefault="00AA3DA9" w:rsidP="006E3FA7">
            <w:pPr>
              <w:rPr>
                <w:rFonts w:ascii="Times New Roman" w:hAnsi="Times New Roman"/>
              </w:rPr>
            </w:pPr>
            <w:hyperlink r:id="rId16" w:history="1">
              <w:r>
                <w:rPr>
                  <w:rStyle w:val="Hyperlink"/>
                  <w:rFonts w:ascii="Times New Roman" w:hAnsi="Times New Roman"/>
                </w:rPr>
                <w:t>drinebolt@ohiopartners.org</w:t>
              </w:r>
            </w:hyperlink>
          </w:p>
          <w:p w:rsidR="00AA3DA9" w:rsidRDefault="00AA3DA9" w:rsidP="006E3FA7">
            <w:pPr>
              <w:rPr>
                <w:rFonts w:ascii="Times New Roman" w:hAnsi="Times New Roman"/>
              </w:rPr>
            </w:pPr>
            <w:hyperlink r:id="rId17" w:history="1">
              <w:r>
                <w:rPr>
                  <w:rStyle w:val="Hyperlink"/>
                  <w:rFonts w:ascii="Times New Roman" w:hAnsi="Times New Roman"/>
                </w:rPr>
                <w:t>msmalz@ohiopovertylaw.org</w:t>
              </w:r>
            </w:hyperlink>
          </w:p>
          <w:p w:rsidR="00AA3DA9" w:rsidRDefault="00AA3DA9" w:rsidP="006E3FA7">
            <w:pPr>
              <w:rPr>
                <w:rFonts w:ascii="Times New Roman" w:hAnsi="Times New Roman"/>
              </w:rPr>
            </w:pPr>
            <w:hyperlink r:id="rId18" w:history="1">
              <w:r>
                <w:rPr>
                  <w:rStyle w:val="Hyperlink"/>
                  <w:rFonts w:ascii="Times New Roman" w:hAnsi="Times New Roman"/>
                </w:rPr>
                <w:t>jmaskovyak@ohiopovertylaw.org</w:t>
              </w:r>
            </w:hyperlink>
          </w:p>
          <w:p w:rsidR="00AA3DA9" w:rsidRDefault="00AA3DA9" w:rsidP="006E3FA7">
            <w:pPr>
              <w:rPr>
                <w:rFonts w:ascii="Times New Roman" w:hAnsi="Times New Roman"/>
              </w:rPr>
            </w:pPr>
            <w:hyperlink r:id="rId19" w:history="1">
              <w:r>
                <w:rPr>
                  <w:rStyle w:val="Hyperlink"/>
                  <w:rFonts w:ascii="Times New Roman" w:hAnsi="Times New Roman"/>
                </w:rPr>
                <w:t>gkrassen@bricker.com</w:t>
              </w:r>
            </w:hyperlink>
          </w:p>
          <w:p w:rsidR="00AA3DA9" w:rsidRDefault="00AA3DA9" w:rsidP="006E3FA7">
            <w:pPr>
              <w:rPr>
                <w:rFonts w:ascii="Times New Roman" w:hAnsi="Times New Roman"/>
              </w:rPr>
            </w:pPr>
            <w:hyperlink r:id="rId20" w:history="1">
              <w:r>
                <w:rPr>
                  <w:rStyle w:val="Hyperlink"/>
                  <w:rFonts w:ascii="Times New Roman" w:hAnsi="Times New Roman"/>
                </w:rPr>
                <w:t>william.wright@puc.state.oh.us</w:t>
              </w:r>
            </w:hyperlink>
          </w:p>
          <w:p w:rsidR="00AA3DA9" w:rsidRDefault="00AA3DA9" w:rsidP="006E3FA7">
            <w:pPr>
              <w:rPr>
                <w:rFonts w:ascii="Times New Roman" w:hAnsi="Times New Roman"/>
              </w:rPr>
            </w:pPr>
            <w:hyperlink r:id="rId21" w:history="1">
              <w:r>
                <w:rPr>
                  <w:rStyle w:val="Hyperlink"/>
                  <w:rFonts w:ascii="Times New Roman" w:hAnsi="Times New Roman"/>
                </w:rPr>
                <w:t>burkj@firstenergycorp.com</w:t>
              </w:r>
            </w:hyperlink>
          </w:p>
          <w:p w:rsidR="00AA3DA9" w:rsidRDefault="00AA3DA9" w:rsidP="006E3FA7">
            <w:pPr>
              <w:rPr>
                <w:rFonts w:ascii="Times New Roman" w:hAnsi="Times New Roman"/>
              </w:rPr>
            </w:pPr>
            <w:hyperlink r:id="rId22" w:history="1">
              <w:r>
                <w:rPr>
                  <w:rStyle w:val="Hyperlink"/>
                  <w:rFonts w:ascii="Times New Roman" w:hAnsi="Times New Roman"/>
                </w:rPr>
                <w:t>stnourse@aep.com</w:t>
              </w:r>
            </w:hyperlink>
          </w:p>
          <w:p w:rsidR="00AA3DA9" w:rsidRDefault="00AA3DA9" w:rsidP="006E3FA7">
            <w:pPr>
              <w:rPr>
                <w:rFonts w:ascii="Times New Roman" w:hAnsi="Times New Roman"/>
              </w:rPr>
            </w:pPr>
            <w:hyperlink r:id="rId23" w:history="1">
              <w:r>
                <w:rPr>
                  <w:rStyle w:val="Hyperlink"/>
                  <w:rFonts w:ascii="Times New Roman" w:hAnsi="Times New Roman"/>
                </w:rPr>
                <w:t>judi.sobecki@dplinc.com</w:t>
              </w:r>
            </w:hyperlink>
          </w:p>
          <w:p w:rsidR="00AA3DA9" w:rsidRDefault="00AA3DA9" w:rsidP="006E3FA7">
            <w:pPr>
              <w:rPr>
                <w:rFonts w:ascii="Times New Roman" w:hAnsi="Times New Roman"/>
              </w:rPr>
            </w:pPr>
            <w:hyperlink r:id="rId24" w:history="1">
              <w:r>
                <w:rPr>
                  <w:rStyle w:val="Hyperlink"/>
                  <w:rFonts w:ascii="Times New Roman" w:hAnsi="Times New Roman"/>
                </w:rPr>
                <w:t>amy.spiller@duke-energy.com</w:t>
              </w:r>
            </w:hyperlink>
          </w:p>
          <w:p w:rsidR="00AA3DA9" w:rsidRDefault="00AA3DA9" w:rsidP="006E3FA7">
            <w:pPr>
              <w:rPr>
                <w:rFonts w:ascii="Times New Roman" w:hAnsi="Times New Roman"/>
              </w:rPr>
            </w:pPr>
            <w:hyperlink r:id="rId25" w:history="1">
              <w:r>
                <w:rPr>
                  <w:rStyle w:val="Hyperlink"/>
                  <w:rFonts w:ascii="Times New Roman" w:hAnsi="Times New Roman"/>
                </w:rPr>
                <w:t>elizabeth.stevens@puc.state.oh.us</w:t>
              </w:r>
            </w:hyperlink>
          </w:p>
          <w:p w:rsidR="00AA3DA9" w:rsidRDefault="00AA3DA9" w:rsidP="006E3FA7">
            <w:pPr>
              <w:rPr>
                <w:rFonts w:ascii="Times New Roman" w:hAnsi="Times New Roman"/>
              </w:rPr>
            </w:pPr>
            <w:hyperlink r:id="rId26" w:history="1">
              <w:r>
                <w:rPr>
                  <w:rStyle w:val="Hyperlink"/>
                  <w:rFonts w:ascii="Times New Roman" w:hAnsi="Times New Roman"/>
                </w:rPr>
                <w:t>Cynthia.Brady@Constellation.com</w:t>
              </w:r>
            </w:hyperlink>
            <w:r>
              <w:rPr>
                <w:rFonts w:ascii="Times New Roman" w:hAnsi="Times New Roman"/>
              </w:rPr>
              <w:t xml:space="preserve"> </w:t>
            </w:r>
          </w:p>
          <w:p w:rsidR="00AA3DA9" w:rsidRDefault="00AA3DA9" w:rsidP="006E3FA7"/>
        </w:tc>
        <w:tc>
          <w:tcPr>
            <w:tcW w:w="4788" w:type="dxa"/>
          </w:tcPr>
          <w:p w:rsidR="00AA3DA9" w:rsidRDefault="00AA3DA9" w:rsidP="006E3FA7">
            <w:pPr>
              <w:rPr>
                <w:rFonts w:ascii="Times New Roman" w:hAnsi="Times New Roman"/>
              </w:rPr>
            </w:pPr>
            <w:hyperlink r:id="rId27" w:history="1">
              <w:r>
                <w:rPr>
                  <w:rStyle w:val="Hyperlink"/>
                  <w:rFonts w:ascii="Times New Roman" w:hAnsi="Times New Roman"/>
                </w:rPr>
                <w:t>jkylercohn@BKLlawfirm.com</w:t>
              </w:r>
            </w:hyperlink>
          </w:p>
          <w:p w:rsidR="00AA3DA9" w:rsidRDefault="00AA3DA9" w:rsidP="006E3FA7">
            <w:pPr>
              <w:rPr>
                <w:rFonts w:ascii="Times New Roman" w:hAnsi="Times New Roman"/>
              </w:rPr>
            </w:pPr>
            <w:hyperlink r:id="rId28" w:history="1">
              <w:r>
                <w:rPr>
                  <w:rStyle w:val="Hyperlink"/>
                  <w:rFonts w:ascii="Times New Roman" w:hAnsi="Times New Roman"/>
                </w:rPr>
                <w:t>joliker@mwncmh.com</w:t>
              </w:r>
            </w:hyperlink>
          </w:p>
          <w:p w:rsidR="00AA3DA9" w:rsidRDefault="00AA3DA9" w:rsidP="006E3FA7">
            <w:pPr>
              <w:rPr>
                <w:rFonts w:ascii="Times New Roman" w:hAnsi="Times New Roman"/>
              </w:rPr>
            </w:pPr>
            <w:hyperlink r:id="rId29" w:history="1">
              <w:r>
                <w:rPr>
                  <w:rStyle w:val="Hyperlink"/>
                  <w:rFonts w:ascii="Times New Roman" w:hAnsi="Times New Roman"/>
                </w:rPr>
                <w:t>gpoulos@enernoc.com</w:t>
              </w:r>
            </w:hyperlink>
          </w:p>
          <w:p w:rsidR="00AA3DA9" w:rsidRDefault="00AA3DA9" w:rsidP="006E3FA7">
            <w:pPr>
              <w:rPr>
                <w:rFonts w:ascii="Times New Roman" w:hAnsi="Times New Roman"/>
              </w:rPr>
            </w:pPr>
            <w:hyperlink r:id="rId30" w:history="1">
              <w:r>
                <w:rPr>
                  <w:rStyle w:val="Hyperlink"/>
                  <w:rFonts w:ascii="Times New Roman" w:hAnsi="Times New Roman"/>
                </w:rPr>
                <w:t>ejacobs@ablelaw.org</w:t>
              </w:r>
            </w:hyperlink>
          </w:p>
          <w:p w:rsidR="00AA3DA9" w:rsidRDefault="00AA3DA9" w:rsidP="006E3FA7">
            <w:pPr>
              <w:rPr>
                <w:rFonts w:ascii="Times New Roman" w:hAnsi="Times New Roman"/>
              </w:rPr>
            </w:pPr>
            <w:hyperlink r:id="rId31" w:history="1">
              <w:r>
                <w:rPr>
                  <w:rStyle w:val="Hyperlink"/>
                  <w:rFonts w:ascii="Times New Roman" w:hAnsi="Times New Roman"/>
                </w:rPr>
                <w:t>tsiwo@bricker.com</w:t>
              </w:r>
            </w:hyperlink>
          </w:p>
          <w:p w:rsidR="00AA3DA9" w:rsidRDefault="00AA3DA9" w:rsidP="006E3FA7">
            <w:pPr>
              <w:rPr>
                <w:rFonts w:ascii="Calibri" w:hAnsi="Calibri"/>
              </w:rPr>
            </w:pPr>
            <w:hyperlink r:id="rId32" w:history="1">
              <w:r>
                <w:rPr>
                  <w:rStyle w:val="Hyperlink"/>
                  <w:rFonts w:ascii="Times New Roman" w:hAnsi="Times New Roman"/>
                </w:rPr>
                <w:t>mwarnock@bricker.com</w:t>
              </w:r>
            </w:hyperlink>
          </w:p>
          <w:p w:rsidR="00AA3DA9" w:rsidRDefault="00AA3DA9" w:rsidP="006E3FA7">
            <w:pPr>
              <w:rPr>
                <w:rFonts w:ascii="Times New Roman" w:hAnsi="Times New Roman"/>
              </w:rPr>
            </w:pPr>
            <w:hyperlink r:id="rId33" w:history="1">
              <w:r>
                <w:rPr>
                  <w:rStyle w:val="Hyperlink"/>
                  <w:rFonts w:ascii="Times New Roman" w:hAnsi="Times New Roman"/>
                </w:rPr>
                <w:t>nmorgan@lascinti.org</w:t>
              </w:r>
            </w:hyperlink>
          </w:p>
          <w:p w:rsidR="00AA3DA9" w:rsidRDefault="00AA3DA9" w:rsidP="006E3FA7">
            <w:pPr>
              <w:rPr>
                <w:rFonts w:ascii="Times New Roman" w:hAnsi="Times New Roman"/>
              </w:rPr>
            </w:pPr>
            <w:hyperlink r:id="rId34" w:history="1">
              <w:r>
                <w:rPr>
                  <w:rStyle w:val="Hyperlink"/>
                  <w:rFonts w:ascii="Times New Roman" w:hAnsi="Times New Roman"/>
                </w:rPr>
                <w:t>julie.robie@lasclev.org</w:t>
              </w:r>
            </w:hyperlink>
          </w:p>
          <w:p w:rsidR="00AA3DA9" w:rsidRDefault="00AA3DA9" w:rsidP="006E3FA7">
            <w:pPr>
              <w:rPr>
                <w:rFonts w:ascii="Times New Roman" w:hAnsi="Times New Roman"/>
              </w:rPr>
            </w:pPr>
            <w:hyperlink r:id="rId35" w:history="1">
              <w:r>
                <w:rPr>
                  <w:rStyle w:val="Hyperlink"/>
                  <w:rFonts w:ascii="Times New Roman" w:hAnsi="Times New Roman"/>
                </w:rPr>
                <w:t>mwalters@proseniors.org</w:t>
              </w:r>
            </w:hyperlink>
          </w:p>
          <w:p w:rsidR="00AA3DA9" w:rsidRDefault="00AA3DA9" w:rsidP="006E3FA7">
            <w:pPr>
              <w:rPr>
                <w:rFonts w:ascii="Times New Roman" w:hAnsi="Times New Roman"/>
              </w:rPr>
            </w:pPr>
            <w:hyperlink r:id="rId36" w:history="1">
              <w:r>
                <w:rPr>
                  <w:rStyle w:val="Hyperlink"/>
                  <w:rFonts w:ascii="Times New Roman" w:hAnsi="Times New Roman"/>
                </w:rPr>
                <w:t>plee@oslsa.org</w:t>
              </w:r>
            </w:hyperlink>
          </w:p>
          <w:p w:rsidR="00AA3DA9" w:rsidRDefault="00AA3DA9" w:rsidP="006E3FA7">
            <w:pPr>
              <w:rPr>
                <w:rFonts w:ascii="Times New Roman" w:hAnsi="Times New Roman"/>
              </w:rPr>
            </w:pPr>
            <w:hyperlink r:id="rId37" w:history="1">
              <w:r>
                <w:rPr>
                  <w:rStyle w:val="Hyperlink"/>
                  <w:rFonts w:ascii="Times New Roman" w:hAnsi="Times New Roman"/>
                </w:rPr>
                <w:t>rjohns@oslsa.org</w:t>
              </w:r>
            </w:hyperlink>
          </w:p>
          <w:p w:rsidR="00AA3DA9" w:rsidRDefault="00AA3DA9" w:rsidP="006E3FA7">
            <w:pPr>
              <w:rPr>
                <w:rFonts w:ascii="Times New Roman" w:hAnsi="Times New Roman"/>
              </w:rPr>
            </w:pPr>
            <w:hyperlink r:id="rId38" w:history="1">
              <w:r>
                <w:rPr>
                  <w:rStyle w:val="Hyperlink"/>
                  <w:rFonts w:ascii="Times New Roman" w:hAnsi="Times New Roman"/>
                </w:rPr>
                <w:t>gbenjamin@communitylegalaid.org</w:t>
              </w:r>
            </w:hyperlink>
          </w:p>
          <w:p w:rsidR="00AA3DA9" w:rsidRDefault="00AA3DA9" w:rsidP="006E3FA7">
            <w:pPr>
              <w:rPr>
                <w:rFonts w:ascii="Times New Roman" w:hAnsi="Times New Roman"/>
              </w:rPr>
            </w:pPr>
            <w:hyperlink r:id="rId39" w:history="1">
              <w:r>
                <w:rPr>
                  <w:rStyle w:val="Hyperlink"/>
                  <w:rFonts w:ascii="Times New Roman" w:hAnsi="Times New Roman"/>
                </w:rPr>
                <w:t>David.Fein@Constellation.com</w:t>
              </w:r>
            </w:hyperlink>
          </w:p>
          <w:p w:rsidR="00AA3DA9" w:rsidRDefault="00AA3DA9" w:rsidP="006E3FA7">
            <w:pPr>
              <w:rPr>
                <w:rFonts w:ascii="Times New Roman" w:hAnsi="Times New Roman"/>
              </w:rPr>
            </w:pPr>
            <w:hyperlink r:id="rId40" w:history="1">
              <w:r>
                <w:rPr>
                  <w:rStyle w:val="Hyperlink"/>
                  <w:rFonts w:ascii="Times New Roman" w:hAnsi="Times New Roman"/>
                </w:rPr>
                <w:t>mjsatterwhite@aep.com</w:t>
              </w:r>
            </w:hyperlink>
          </w:p>
          <w:p w:rsidR="00AA3DA9" w:rsidRDefault="00AA3DA9" w:rsidP="006E3FA7">
            <w:pPr>
              <w:rPr>
                <w:rFonts w:ascii="Times New Roman" w:hAnsi="Times New Roman"/>
              </w:rPr>
            </w:pPr>
            <w:hyperlink r:id="rId41" w:history="1">
              <w:r>
                <w:rPr>
                  <w:rStyle w:val="Hyperlink"/>
                  <w:rFonts w:ascii="Times New Roman" w:hAnsi="Times New Roman"/>
                </w:rPr>
                <w:t>yalami@aep.com</w:t>
              </w:r>
            </w:hyperlink>
          </w:p>
          <w:p w:rsidR="00AA3DA9" w:rsidRDefault="00AA3DA9" w:rsidP="006E3FA7">
            <w:pPr>
              <w:rPr>
                <w:rFonts w:ascii="Times New Roman" w:hAnsi="Times New Roman"/>
              </w:rPr>
            </w:pPr>
            <w:hyperlink r:id="rId42" w:history="1">
              <w:r>
                <w:rPr>
                  <w:rStyle w:val="Hyperlink"/>
                  <w:rFonts w:ascii="Times New Roman" w:hAnsi="Times New Roman"/>
                </w:rPr>
                <w:t>cgoodman@energymarketers.com</w:t>
              </w:r>
            </w:hyperlink>
          </w:p>
          <w:p w:rsidR="00AA3DA9" w:rsidRDefault="00AA3DA9" w:rsidP="006E3FA7">
            <w:pPr>
              <w:rPr>
                <w:rFonts w:ascii="Times New Roman" w:hAnsi="Times New Roman"/>
              </w:rPr>
            </w:pPr>
            <w:hyperlink r:id="rId43" w:history="1">
              <w:r>
                <w:rPr>
                  <w:rStyle w:val="Hyperlink"/>
                  <w:rFonts w:ascii="Times New Roman" w:hAnsi="Times New Roman"/>
                </w:rPr>
                <w:t>srantala@energymarketers.com</w:t>
              </w:r>
            </w:hyperlink>
          </w:p>
          <w:p w:rsidR="00AA3DA9" w:rsidRDefault="00AA3DA9" w:rsidP="006E3FA7">
            <w:pPr>
              <w:rPr>
                <w:rFonts w:ascii="Times New Roman" w:hAnsi="Times New Roman"/>
              </w:rPr>
            </w:pPr>
            <w:hyperlink r:id="rId44" w:history="1">
              <w:r>
                <w:rPr>
                  <w:rStyle w:val="Hyperlink"/>
                  <w:rFonts w:ascii="Times New Roman" w:hAnsi="Times New Roman"/>
                </w:rPr>
                <w:t>cdunn@firstenergycorp.com</w:t>
              </w:r>
            </w:hyperlink>
          </w:p>
          <w:p w:rsidR="00AA3DA9" w:rsidRDefault="00AA3DA9" w:rsidP="006E3FA7">
            <w:pPr>
              <w:rPr>
                <w:rFonts w:ascii="Times New Roman" w:hAnsi="Times New Roman"/>
              </w:rPr>
            </w:pPr>
            <w:hyperlink r:id="rId45" w:history="1">
              <w:r>
                <w:rPr>
                  <w:rStyle w:val="Hyperlink"/>
                  <w:rFonts w:ascii="Times New Roman" w:hAnsi="Times New Roman"/>
                </w:rPr>
                <w:t>rocco.dascenzo@duke-energy.com</w:t>
              </w:r>
            </w:hyperlink>
          </w:p>
          <w:p w:rsidR="00AA3DA9" w:rsidRDefault="00AA3DA9" w:rsidP="006E3FA7">
            <w:pPr>
              <w:rPr>
                <w:rFonts w:ascii="Times New Roman" w:hAnsi="Times New Roman"/>
              </w:rPr>
            </w:pPr>
            <w:hyperlink r:id="rId46" w:history="1">
              <w:r>
                <w:rPr>
                  <w:rStyle w:val="Hyperlink"/>
                  <w:rFonts w:ascii="Times New Roman" w:hAnsi="Times New Roman"/>
                </w:rPr>
                <w:t>Elizabeth.watts@duke-energy.com</w:t>
              </w:r>
            </w:hyperlink>
          </w:p>
          <w:p w:rsidR="00AA3DA9" w:rsidRDefault="00AA3DA9" w:rsidP="006E3FA7"/>
        </w:tc>
      </w:tr>
    </w:tbl>
    <w:p w:rsidR="00AA3DA9" w:rsidRPr="006A08A1" w:rsidRDefault="00AA3DA9" w:rsidP="00AA3DA9">
      <w:pPr>
        <w:rPr>
          <w:rFonts w:ascii="Arial" w:hAnsi="Arial" w:cs="Arial"/>
          <w:sz w:val="24"/>
          <w:szCs w:val="24"/>
        </w:rPr>
      </w:pPr>
    </w:p>
    <w:p w:rsidR="00DA1804" w:rsidRPr="006603E7" w:rsidRDefault="00DA1804" w:rsidP="00FC30D7">
      <w:pPr>
        <w:spacing w:line="480" w:lineRule="auto"/>
        <w:ind w:left="360" w:firstLine="360"/>
        <w:rPr>
          <w:rFonts w:ascii="Arial" w:hAnsi="Arial" w:cs="Arial"/>
          <w:sz w:val="24"/>
          <w:szCs w:val="24"/>
        </w:rPr>
      </w:pPr>
    </w:p>
    <w:sectPr w:rsidR="00DA1804" w:rsidRPr="006603E7">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FD" w:rsidRDefault="009062FD" w:rsidP="00CE2DC9">
      <w:pPr>
        <w:spacing w:after="0" w:line="240" w:lineRule="auto"/>
      </w:pPr>
      <w:r>
        <w:separator/>
      </w:r>
    </w:p>
  </w:endnote>
  <w:endnote w:type="continuationSeparator" w:id="0">
    <w:p w:rsidR="009062FD" w:rsidRDefault="009062FD" w:rsidP="00C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1875"/>
      <w:docPartObj>
        <w:docPartGallery w:val="Page Numbers (Bottom of Page)"/>
        <w:docPartUnique/>
      </w:docPartObj>
    </w:sdtPr>
    <w:sdtEndPr>
      <w:rPr>
        <w:noProof/>
      </w:rPr>
    </w:sdtEndPr>
    <w:sdtContent>
      <w:p w:rsidR="009062FD" w:rsidRDefault="009062FD">
        <w:pPr>
          <w:pStyle w:val="Footer"/>
          <w:jc w:val="center"/>
        </w:pPr>
        <w:r>
          <w:fldChar w:fldCharType="begin"/>
        </w:r>
        <w:r>
          <w:instrText xml:space="preserve"> PAGE   \* MERGEFORMAT </w:instrText>
        </w:r>
        <w:r>
          <w:fldChar w:fldCharType="separate"/>
        </w:r>
        <w:r w:rsidR="00AA3DA9">
          <w:rPr>
            <w:noProof/>
          </w:rPr>
          <w:t>10</w:t>
        </w:r>
        <w:r>
          <w:rPr>
            <w:noProof/>
          </w:rPr>
          <w:fldChar w:fldCharType="end"/>
        </w:r>
      </w:p>
    </w:sdtContent>
  </w:sdt>
  <w:p w:rsidR="009062FD" w:rsidRDefault="0090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FD" w:rsidRDefault="009062FD" w:rsidP="00CE2DC9">
      <w:pPr>
        <w:spacing w:after="0" w:line="240" w:lineRule="auto"/>
      </w:pPr>
      <w:r>
        <w:separator/>
      </w:r>
    </w:p>
  </w:footnote>
  <w:footnote w:type="continuationSeparator" w:id="0">
    <w:p w:rsidR="009062FD" w:rsidRDefault="009062FD" w:rsidP="00CE2DC9">
      <w:pPr>
        <w:spacing w:after="0" w:line="240" w:lineRule="auto"/>
      </w:pPr>
      <w:r>
        <w:continuationSeparator/>
      </w:r>
    </w:p>
  </w:footnote>
  <w:footnote w:id="1">
    <w:p w:rsidR="009062FD" w:rsidRDefault="009062FD" w:rsidP="00AF466B">
      <w:pPr>
        <w:pStyle w:val="FootnoteText"/>
      </w:pPr>
      <w:r>
        <w:rPr>
          <w:rStyle w:val="FootnoteReference"/>
        </w:rPr>
        <w:footnoteRef/>
      </w:r>
      <w:r>
        <w:t xml:space="preserve"> </w:t>
      </w:r>
      <w:r w:rsidR="00F06547">
        <w:t xml:space="preserve">The interest groups joining OPAE in their comments are AARP, Pro Seniors, Ohio Poverty Law Center, Edgemont Neighborhood Coalition, Southeaster Ohio Legal Services, Legal Aid Society of Columbus, Legal Aid Society of Cleveland, </w:t>
      </w:r>
      <w:proofErr w:type="gramStart"/>
      <w:r w:rsidR="00F06547">
        <w:t>Communities</w:t>
      </w:r>
      <w:proofErr w:type="gramEnd"/>
      <w:r w:rsidR="00F06547">
        <w:t xml:space="preserve"> United for Action, and the Citizens Coalition.</w:t>
      </w:r>
    </w:p>
  </w:footnote>
  <w:footnote w:id="2">
    <w:p w:rsidR="009062FD" w:rsidRDefault="009062FD">
      <w:pPr>
        <w:pStyle w:val="FootnoteText"/>
      </w:pPr>
      <w:r>
        <w:rPr>
          <w:rStyle w:val="FootnoteReference"/>
        </w:rPr>
        <w:footnoteRef/>
      </w:r>
      <w:r>
        <w:t xml:space="preserve"> </w:t>
      </w:r>
      <w:proofErr w:type="gramStart"/>
      <w:r w:rsidR="00F06547">
        <w:t>Comments of Interstate Gas Supply Inc., at 3-6 (Fe. 6, 2014); Case No. 12-3151-EL-COI</w:t>
      </w:r>
      <w:r w:rsidR="0017231A">
        <w:t xml:space="preserve"> (“IGS Initial Comments”).</w:t>
      </w:r>
      <w:proofErr w:type="gramEnd"/>
    </w:p>
  </w:footnote>
  <w:footnote w:id="3">
    <w:p w:rsidR="009062FD" w:rsidRDefault="009062FD">
      <w:pPr>
        <w:pStyle w:val="FootnoteText"/>
      </w:pPr>
      <w:r>
        <w:rPr>
          <w:rStyle w:val="FootnoteReference"/>
        </w:rPr>
        <w:footnoteRef/>
      </w:r>
      <w:r>
        <w:t xml:space="preserve"> </w:t>
      </w:r>
      <w:r w:rsidR="0017231A">
        <w:t>See</w:t>
      </w:r>
      <w:r w:rsidR="0017231A" w:rsidRPr="0017231A">
        <w:t xml:space="preserve"> </w:t>
      </w:r>
      <w:r w:rsidR="0017231A">
        <w:t xml:space="preserve">Comments of OCC., at </w:t>
      </w:r>
      <w:r w:rsidR="003D07CE">
        <w:t>2-12</w:t>
      </w:r>
      <w:r w:rsidR="0017231A">
        <w:t xml:space="preserve">(Fe. 6, 2014); Case No. 12-3151-EL-COI (“OCC Initial Comments”). </w:t>
      </w:r>
      <w:proofErr w:type="gramStart"/>
      <w:r w:rsidR="0017231A">
        <w:t xml:space="preserve">Comments of OPAE, at </w:t>
      </w:r>
      <w:r w:rsidR="003D07CE">
        <w:t>8-9</w:t>
      </w:r>
      <w:r w:rsidR="0017231A">
        <w:t xml:space="preserve"> (Fe. 6, 2014) Case No. 12-3151-EL-COI (“</w:t>
      </w:r>
      <w:r w:rsidR="003D07CE">
        <w:t>OPAE</w:t>
      </w:r>
      <w:r w:rsidR="0017231A">
        <w:t xml:space="preserve"> Initial Comments</w:t>
      </w:r>
      <w:r w:rsidR="003D07CE">
        <w:t>”).</w:t>
      </w:r>
      <w:proofErr w:type="gramEnd"/>
    </w:p>
  </w:footnote>
  <w:footnote w:id="4">
    <w:p w:rsidR="009062FD" w:rsidRDefault="009062FD">
      <w:pPr>
        <w:pStyle w:val="FootnoteText"/>
      </w:pPr>
      <w:r w:rsidRPr="003D07CE">
        <w:rPr>
          <w:rStyle w:val="FootnoteReference"/>
        </w:rPr>
        <w:footnoteRef/>
      </w:r>
      <w:r w:rsidRPr="003D07CE">
        <w:t xml:space="preserve"> </w:t>
      </w:r>
      <w:r w:rsidR="003D07CE" w:rsidRPr="003D07CE">
        <w:t xml:space="preserve">OPAE Initial </w:t>
      </w:r>
      <w:proofErr w:type="gramStart"/>
      <w:r w:rsidR="003D07CE" w:rsidRPr="003D07CE">
        <w:t>Comments ,</w:t>
      </w:r>
      <w:proofErr w:type="gramEnd"/>
      <w:r w:rsidR="003D07CE" w:rsidRPr="003D07CE">
        <w:t xml:space="preserve"> at 8-9; OCC Initial Comment, at</w:t>
      </w:r>
      <w:r w:rsidR="003D07CE">
        <w:t xml:space="preserve"> 4.</w:t>
      </w:r>
    </w:p>
  </w:footnote>
  <w:footnote w:id="5">
    <w:p w:rsidR="009062FD" w:rsidRDefault="009062FD" w:rsidP="00915111">
      <w:pPr>
        <w:pStyle w:val="FootnoteText"/>
      </w:pPr>
      <w:r>
        <w:rPr>
          <w:rStyle w:val="FootnoteReference"/>
        </w:rPr>
        <w:footnoteRef/>
      </w:r>
      <w:r>
        <w:t xml:space="preserve"> EIA data shows that for the month </w:t>
      </w:r>
      <w:r w:rsidR="00A51EE9">
        <w:t xml:space="preserve">of </w:t>
      </w:r>
      <w:r>
        <w:t xml:space="preserve">November 2013 (the most recent month available), Texas electric customers paid approximately 13% less than the national average and 7% less than Ohio electric customers. The EIA data can be found at: </w:t>
      </w:r>
      <w:r w:rsidRPr="009A348F">
        <w:t>http://www.eia.gov/electricity/monthly/epm_table_grapher.cfm?t=epmt_5_6_a</w:t>
      </w:r>
    </w:p>
  </w:footnote>
  <w:footnote w:id="6">
    <w:p w:rsidR="009062FD" w:rsidRDefault="009062FD">
      <w:pPr>
        <w:pStyle w:val="FootnoteText"/>
      </w:pPr>
      <w:r>
        <w:rPr>
          <w:rStyle w:val="FootnoteReference"/>
        </w:rPr>
        <w:footnoteRef/>
      </w:r>
      <w:r>
        <w:t xml:space="preserve"> </w:t>
      </w:r>
      <w:proofErr w:type="gramStart"/>
      <w:r w:rsidRPr="003736C5">
        <w:rPr>
          <w:i/>
        </w:rPr>
        <w:t>Scope of Competition in Electric Markets in Texas</w:t>
      </w:r>
      <w:r>
        <w:t>, at 50.</w:t>
      </w:r>
      <w:proofErr w:type="gramEnd"/>
      <w:r>
        <w:t xml:space="preserve"> </w:t>
      </w:r>
      <w:proofErr w:type="gramStart"/>
      <w:r>
        <w:t>Public Utilit</w:t>
      </w:r>
      <w:r w:rsidR="008743C8">
        <w:t>ies Commission of Texas (2011).</w:t>
      </w:r>
      <w:proofErr w:type="gramEnd"/>
      <w:r>
        <w:t xml:space="preserve"> A copy of the report can be found at: </w:t>
      </w:r>
      <w:r w:rsidR="00A51EE9" w:rsidRPr="009D5D33">
        <w:t>http://www.treia.org/assets/documents/reports-and-studies/puc.scopeofcompetitionreport2011.elec.pdf</w:t>
      </w:r>
    </w:p>
  </w:footnote>
  <w:footnote w:id="7">
    <w:p w:rsidR="009062FD" w:rsidRDefault="009062FD" w:rsidP="009A348F">
      <w:pPr>
        <w:pStyle w:val="FootnoteText"/>
      </w:pPr>
      <w:r>
        <w:rPr>
          <w:rStyle w:val="FootnoteReference"/>
        </w:rPr>
        <w:footnoteRef/>
      </w:r>
      <w:r>
        <w:t xml:space="preserve"> </w:t>
      </w:r>
      <w:r w:rsidRPr="00540B7E">
        <w:rPr>
          <w:i/>
        </w:rPr>
        <w:t>See</w:t>
      </w:r>
      <w:r>
        <w:t xml:space="preserve"> </w:t>
      </w:r>
      <w:r w:rsidR="00A51EE9" w:rsidRPr="009D5D33">
        <w:t>http://money.cnn.com/gallery/news/economy/2013/06/12/fastest-growing-states/2.html</w:t>
      </w:r>
    </w:p>
  </w:footnote>
  <w:footnote w:id="8">
    <w:p w:rsidR="009062FD" w:rsidRDefault="009062FD" w:rsidP="009A348F">
      <w:pPr>
        <w:pStyle w:val="FootnoteText"/>
      </w:pPr>
      <w:r>
        <w:rPr>
          <w:rStyle w:val="FootnoteReference"/>
        </w:rPr>
        <w:footnoteRef/>
      </w:r>
      <w:r>
        <w:t xml:space="preserve"> </w:t>
      </w:r>
      <w:r w:rsidR="00A51EE9" w:rsidRPr="009D5D33">
        <w:t>http://research.stlouisfed.org/fred2/series/TXNGSP?cid=27326</w:t>
      </w:r>
    </w:p>
  </w:footnote>
  <w:footnote w:id="9">
    <w:p w:rsidR="009062FD" w:rsidRDefault="009062FD">
      <w:pPr>
        <w:pStyle w:val="FootnoteText"/>
      </w:pPr>
      <w:r w:rsidRPr="003D07CE">
        <w:rPr>
          <w:rStyle w:val="FootnoteReference"/>
        </w:rPr>
        <w:footnoteRef/>
      </w:r>
      <w:r w:rsidR="003D07CE">
        <w:t xml:space="preserve"> </w:t>
      </w:r>
      <w:proofErr w:type="gramStart"/>
      <w:r w:rsidR="003D07CE">
        <w:t>OCC Initial Comments, at 6.</w:t>
      </w:r>
      <w:proofErr w:type="gramEnd"/>
    </w:p>
  </w:footnote>
  <w:footnote w:id="10">
    <w:p w:rsidR="009062FD" w:rsidRDefault="009062FD">
      <w:pPr>
        <w:pStyle w:val="FootnoteText"/>
      </w:pPr>
      <w:r>
        <w:rPr>
          <w:rStyle w:val="FootnoteReference"/>
        </w:rPr>
        <w:footnoteRef/>
      </w:r>
      <w:r>
        <w:t xml:space="preserve"> Data on electric consumption by state can be found on the EIA website at: </w:t>
      </w:r>
      <w:r w:rsidRPr="00514647">
        <w:t>http://www.eia.gov/state/seds/data.cfm?incfile=/state/seds/sep_sum/html/sum_btu_1.html&amp;sid=US</w:t>
      </w:r>
    </w:p>
  </w:footnote>
  <w:footnote w:id="11">
    <w:p w:rsidR="009062FD" w:rsidRDefault="009062FD" w:rsidP="00FC4F40">
      <w:pPr>
        <w:pStyle w:val="FootnoteText"/>
      </w:pPr>
      <w:r>
        <w:rPr>
          <w:rStyle w:val="FootnoteReference"/>
        </w:rPr>
        <w:footnoteRef/>
      </w:r>
      <w:r>
        <w:t xml:space="preserve"> The PUCO Apples-to-Apples website can be found at:</w:t>
      </w:r>
    </w:p>
    <w:p w:rsidR="009062FD" w:rsidRDefault="009062FD" w:rsidP="00FC4F40">
      <w:pPr>
        <w:pStyle w:val="FootnoteText"/>
      </w:pPr>
      <w:r>
        <w:t xml:space="preserve"> </w:t>
      </w:r>
      <w:r w:rsidRPr="00094055">
        <w:t>http://www.puco.ohio.gov/puco/index.cfm/apples-to-apples/</w:t>
      </w:r>
    </w:p>
  </w:footnote>
  <w:footnote w:id="12">
    <w:p w:rsidR="009062FD" w:rsidRDefault="009062FD">
      <w:pPr>
        <w:pStyle w:val="FootnoteText"/>
      </w:pPr>
      <w:r w:rsidRPr="003D07CE">
        <w:rPr>
          <w:rStyle w:val="FootnoteReference"/>
        </w:rPr>
        <w:footnoteRef/>
      </w:r>
      <w:r w:rsidRPr="003D07CE">
        <w:t xml:space="preserve"> </w:t>
      </w:r>
      <w:proofErr w:type="gramStart"/>
      <w:r w:rsidR="003D07CE">
        <w:t>OCC Initial Comments, at 7.</w:t>
      </w:r>
      <w:proofErr w:type="gramEnd"/>
    </w:p>
  </w:footnote>
  <w:footnote w:id="13">
    <w:p w:rsidR="009062FD" w:rsidRDefault="009062FD">
      <w:pPr>
        <w:pStyle w:val="FootnoteText"/>
      </w:pPr>
      <w:r w:rsidRPr="003D07CE">
        <w:rPr>
          <w:rStyle w:val="FootnoteReference"/>
        </w:rPr>
        <w:footnoteRef/>
      </w:r>
      <w:r w:rsidRPr="003D07CE">
        <w:t xml:space="preserve"> </w:t>
      </w:r>
      <w:r w:rsidR="003D07CE">
        <w:t>Id.</w:t>
      </w:r>
    </w:p>
  </w:footnote>
  <w:footnote w:id="14">
    <w:p w:rsidR="009062FD" w:rsidRDefault="009062FD">
      <w:pPr>
        <w:pStyle w:val="FootnoteText"/>
      </w:pPr>
      <w:r>
        <w:rPr>
          <w:rStyle w:val="FootnoteReference"/>
        </w:rPr>
        <w:footnoteRef/>
      </w:r>
      <w:r>
        <w:t xml:space="preserve"> Smart meter deployment by state can be found on the EIA website at: </w:t>
      </w:r>
      <w:r w:rsidRPr="00293AFA">
        <w:t>http://www.eia.gov/todayinenergy/detail.cfm?id=8590</w:t>
      </w:r>
    </w:p>
  </w:footnote>
  <w:footnote w:id="15">
    <w:p w:rsidR="009062FD" w:rsidRPr="003D07CE" w:rsidRDefault="009062FD">
      <w:pPr>
        <w:pStyle w:val="FootnoteText"/>
      </w:pPr>
      <w:r w:rsidRPr="003D07CE">
        <w:rPr>
          <w:rStyle w:val="FootnoteReference"/>
        </w:rPr>
        <w:footnoteRef/>
      </w:r>
      <w:r w:rsidRPr="003D07CE">
        <w:t xml:space="preserve"> </w:t>
      </w:r>
      <w:r w:rsidR="003D07CE">
        <w:t>Staff Report, at 15-24 (January, 16, 2014); Case No. 12-3151-EL-COI</w:t>
      </w:r>
    </w:p>
  </w:footnote>
  <w:footnote w:id="16">
    <w:p w:rsidR="009062FD" w:rsidRPr="003D07CE" w:rsidRDefault="009062FD">
      <w:pPr>
        <w:pStyle w:val="FootnoteText"/>
      </w:pPr>
      <w:r w:rsidRPr="003D07CE">
        <w:rPr>
          <w:rStyle w:val="FootnoteReference"/>
        </w:rPr>
        <w:footnoteRef/>
      </w:r>
      <w:r w:rsidRPr="003D07CE">
        <w:t xml:space="preserve"> </w:t>
      </w:r>
      <w:r w:rsidR="003D07CE" w:rsidRPr="003D07CE">
        <w:rPr>
          <w:i/>
        </w:rPr>
        <w:t>See Generally</w:t>
      </w:r>
      <w:r w:rsidR="003D07CE">
        <w:rPr>
          <w:i/>
        </w:rPr>
        <w:t xml:space="preserve"> </w:t>
      </w:r>
      <w:r w:rsidR="003D07CE">
        <w:t>OCC Initial Comments;</w:t>
      </w:r>
      <w:r w:rsidR="003A06CF">
        <w:t xml:space="preserve"> Initial Comments of Toledo Edison Company, Ohio Edison Company and the Cleveland Electric Illuminating, Co</w:t>
      </w:r>
      <w:proofErr w:type="gramStart"/>
      <w:r w:rsidR="003A06CF">
        <w:t>.(</w:t>
      </w:r>
      <w:proofErr w:type="gramEnd"/>
      <w:r w:rsidR="003A06CF">
        <w:t>“FirstEnergy”); Initial Comments of Dayton Power &amp; Light, Co. (“DP&amp;L”).</w:t>
      </w:r>
    </w:p>
  </w:footnote>
  <w:footnote w:id="17">
    <w:p w:rsidR="009062FD" w:rsidRPr="003D07CE" w:rsidRDefault="009062FD">
      <w:pPr>
        <w:pStyle w:val="FootnoteText"/>
      </w:pPr>
      <w:r w:rsidRPr="003D07CE">
        <w:rPr>
          <w:rStyle w:val="FootnoteReference"/>
        </w:rPr>
        <w:footnoteRef/>
      </w:r>
      <w:r w:rsidRPr="003D07CE">
        <w:t xml:space="preserve"> </w:t>
      </w:r>
      <w:r w:rsidR="004A03F5">
        <w:t xml:space="preserve">OCC Initial Comments at 20-21; FirstEnergy Initial Comments at 19-20; </w:t>
      </w:r>
    </w:p>
  </w:footnote>
  <w:footnote w:id="18">
    <w:p w:rsidR="009062FD" w:rsidRPr="003D07CE" w:rsidRDefault="009062FD">
      <w:pPr>
        <w:pStyle w:val="FootnoteText"/>
      </w:pPr>
      <w:r w:rsidRPr="003D07CE">
        <w:rPr>
          <w:rStyle w:val="FootnoteReference"/>
        </w:rPr>
        <w:footnoteRef/>
      </w:r>
      <w:r w:rsidR="003A06CF">
        <w:t xml:space="preserve"> </w:t>
      </w:r>
      <w:r w:rsidR="004A03F5">
        <w:t>FirstEnergy Initial Comments at 22-23.</w:t>
      </w:r>
    </w:p>
  </w:footnote>
  <w:footnote w:id="19">
    <w:p w:rsidR="009062FD" w:rsidRDefault="009062FD">
      <w:pPr>
        <w:pStyle w:val="FootnoteText"/>
      </w:pPr>
      <w:r w:rsidRPr="003D07CE">
        <w:rPr>
          <w:rStyle w:val="FootnoteReference"/>
        </w:rPr>
        <w:footnoteRef/>
      </w:r>
      <w:r w:rsidR="004A03F5">
        <w:t xml:space="preserve"> Id.</w:t>
      </w:r>
    </w:p>
  </w:footnote>
  <w:footnote w:id="20">
    <w:p w:rsidR="009062FD" w:rsidRDefault="009062FD">
      <w:pPr>
        <w:pStyle w:val="FootnoteText"/>
      </w:pPr>
      <w:r>
        <w:rPr>
          <w:rStyle w:val="FootnoteReference"/>
        </w:rPr>
        <w:footnoteRef/>
      </w:r>
      <w:r>
        <w:t xml:space="preserve"> For instance, by reading the comments in opposition to a POR program, one might be led to believe that a POR program is an untested scheme that will run afoul of the</w:t>
      </w:r>
      <w:r w:rsidR="008743C8">
        <w:t xml:space="preserve"> law and utility costs.</w:t>
      </w:r>
      <w:r>
        <w:t xml:space="preserve"> In-fact, POR has been around for years in Ohio and other states and is part of a majority of electric and natural gas Choice programs throughout the country. POR has also been shown to benefit customers by reducing costs, increasing simplicity and making markets more competitive. </w:t>
      </w:r>
    </w:p>
  </w:footnote>
  <w:footnote w:id="21">
    <w:p w:rsidR="009062FD" w:rsidRPr="00E60953" w:rsidRDefault="009062FD">
      <w:pPr>
        <w:pStyle w:val="FootnoteText"/>
      </w:pPr>
      <w:r w:rsidRPr="00E60953">
        <w:rPr>
          <w:rStyle w:val="FootnoteReference"/>
        </w:rPr>
        <w:footnoteRef/>
      </w:r>
      <w:r w:rsidRPr="00E60953">
        <w:t xml:space="preserve"> </w:t>
      </w:r>
      <w:r w:rsidR="00E60953">
        <w:t>See R.C. 4928.02(G), R.C. 4928.02(C); R.C. 4928.02(H).</w:t>
      </w:r>
    </w:p>
  </w:footnote>
  <w:footnote w:id="22">
    <w:p w:rsidR="009062FD" w:rsidRDefault="009062FD">
      <w:pPr>
        <w:pStyle w:val="FootnoteText"/>
      </w:pPr>
      <w:r w:rsidRPr="00E60953">
        <w:rPr>
          <w:rStyle w:val="FootnoteReference"/>
        </w:rPr>
        <w:footnoteRef/>
      </w:r>
      <w:r w:rsidRPr="00E60953">
        <w:t xml:space="preserve"> </w:t>
      </w:r>
      <w:r w:rsidR="008743C8">
        <w:t>NOPEC Initial Comments,</w:t>
      </w:r>
      <w:r w:rsidR="00E60953">
        <w:t xml:space="preserve"> at 3-7.</w:t>
      </w:r>
    </w:p>
  </w:footnote>
  <w:footnote w:id="23">
    <w:p w:rsidR="009062FD" w:rsidRPr="00E60953" w:rsidRDefault="009062FD">
      <w:pPr>
        <w:pStyle w:val="FootnoteText"/>
        <w:rPr>
          <w:b/>
        </w:rPr>
      </w:pPr>
      <w:r w:rsidRPr="00E60953">
        <w:rPr>
          <w:rStyle w:val="FootnoteReference"/>
          <w:b/>
        </w:rPr>
        <w:footnoteRef/>
      </w:r>
      <w:r w:rsidRPr="00E60953">
        <w:rPr>
          <w:b/>
        </w:rPr>
        <w:t xml:space="preserve"> </w:t>
      </w:r>
      <w:proofErr w:type="gramStart"/>
      <w:r w:rsidR="00E60953">
        <w:t>Id, at 5.</w:t>
      </w:r>
      <w:proofErr w:type="gramEnd"/>
    </w:p>
  </w:footnote>
  <w:footnote w:id="24">
    <w:p w:rsidR="009062FD" w:rsidRPr="00E60953" w:rsidRDefault="006C07FE">
      <w:pPr>
        <w:pStyle w:val="FootnoteText"/>
      </w:pPr>
      <w:r w:rsidRPr="00E60953">
        <w:rPr>
          <w:rStyle w:val="FootnoteReference"/>
        </w:rPr>
        <w:footnoteRef/>
      </w:r>
      <w:r w:rsidRPr="00E60953">
        <w:t xml:space="preserve"> </w:t>
      </w:r>
      <w:r w:rsidR="00E60953">
        <w:t>Id., at 5-7.</w:t>
      </w:r>
    </w:p>
  </w:footnote>
  <w:footnote w:id="25">
    <w:p w:rsidR="009062FD" w:rsidRDefault="009062FD">
      <w:pPr>
        <w:pStyle w:val="FootnoteText"/>
      </w:pPr>
      <w:r w:rsidRPr="00E60953">
        <w:rPr>
          <w:rStyle w:val="FootnoteReference"/>
        </w:rPr>
        <w:footnoteRef/>
      </w:r>
      <w:r w:rsidRPr="00E60953">
        <w:t xml:space="preserve"> </w:t>
      </w:r>
      <w:r w:rsidR="00E60953">
        <w:t xml:space="preserve">See Supplemental Comments </w:t>
      </w:r>
    </w:p>
  </w:footnote>
  <w:footnote w:id="26">
    <w:p w:rsidR="009062FD" w:rsidRDefault="009062FD">
      <w:pPr>
        <w:pStyle w:val="FootnoteText"/>
      </w:pPr>
      <w:r>
        <w:rPr>
          <w:rStyle w:val="FootnoteReference"/>
        </w:rPr>
        <w:footnoteRef/>
      </w:r>
      <w:r>
        <w:t xml:space="preserve"> If NOPEC took issue with IGS’ footnote filed in the Comments on July 8, 2013, NOPEC had an opportunity to file a reply to that footnote on July 22, 2013; however, it is now inappropriate for NOPEC to raise this issue when commenting on the recommendations made in the Staff Report.</w:t>
      </w:r>
    </w:p>
  </w:footnote>
  <w:footnote w:id="27">
    <w:p w:rsidR="009062FD" w:rsidRDefault="009062FD">
      <w:pPr>
        <w:pStyle w:val="FootnoteText"/>
      </w:pPr>
      <w:r>
        <w:rPr>
          <w:rStyle w:val="FootnoteReference"/>
        </w:rPr>
        <w:footnoteRef/>
      </w:r>
      <w:r>
        <w:t xml:space="preserve"> </w:t>
      </w:r>
      <w:proofErr w:type="gramStart"/>
      <w:r>
        <w:t>Duke Initial Comments</w:t>
      </w:r>
      <w:r w:rsidR="006C07FE">
        <w:t>,</w:t>
      </w:r>
      <w:r>
        <w:t xml:space="preserve"> at 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4EC"/>
    <w:multiLevelType w:val="hybridMultilevel"/>
    <w:tmpl w:val="4FEC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F6756"/>
    <w:multiLevelType w:val="hybridMultilevel"/>
    <w:tmpl w:val="E9285982"/>
    <w:lvl w:ilvl="0" w:tplc="8FC4C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E01D5"/>
    <w:multiLevelType w:val="hybridMultilevel"/>
    <w:tmpl w:val="3FEC8CDE"/>
    <w:lvl w:ilvl="0" w:tplc="B0F41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3B33ED"/>
    <w:multiLevelType w:val="hybridMultilevel"/>
    <w:tmpl w:val="9C46BE9E"/>
    <w:lvl w:ilvl="0" w:tplc="05527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F1A20"/>
    <w:multiLevelType w:val="hybridMultilevel"/>
    <w:tmpl w:val="D438E7A0"/>
    <w:lvl w:ilvl="0" w:tplc="766C8964">
      <w:start w:val="1"/>
      <w:numFmt w:val="decimal"/>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A8E6015"/>
    <w:multiLevelType w:val="hybridMultilevel"/>
    <w:tmpl w:val="D56ABF3E"/>
    <w:lvl w:ilvl="0" w:tplc="DD906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2E"/>
    <w:rsid w:val="00053E68"/>
    <w:rsid w:val="00055C77"/>
    <w:rsid w:val="000619AA"/>
    <w:rsid w:val="00083D82"/>
    <w:rsid w:val="00094055"/>
    <w:rsid w:val="000B73D8"/>
    <w:rsid w:val="000C6A8E"/>
    <w:rsid w:val="000D4A72"/>
    <w:rsid w:val="000D5CC5"/>
    <w:rsid w:val="000F1C53"/>
    <w:rsid w:val="000F3F3E"/>
    <w:rsid w:val="000F4903"/>
    <w:rsid w:val="0010088A"/>
    <w:rsid w:val="00114E58"/>
    <w:rsid w:val="00121F1E"/>
    <w:rsid w:val="0013794E"/>
    <w:rsid w:val="00161201"/>
    <w:rsid w:val="0017231A"/>
    <w:rsid w:val="00186BDA"/>
    <w:rsid w:val="001946B7"/>
    <w:rsid w:val="001950D0"/>
    <w:rsid w:val="001A7A15"/>
    <w:rsid w:val="001C24DA"/>
    <w:rsid w:val="001D0AF8"/>
    <w:rsid w:val="001D6B8D"/>
    <w:rsid w:val="001E1188"/>
    <w:rsid w:val="001E60AB"/>
    <w:rsid w:val="001E6856"/>
    <w:rsid w:val="001E7262"/>
    <w:rsid w:val="001F10BE"/>
    <w:rsid w:val="001F3C82"/>
    <w:rsid w:val="001F6E88"/>
    <w:rsid w:val="002060DE"/>
    <w:rsid w:val="00221C63"/>
    <w:rsid w:val="002360FE"/>
    <w:rsid w:val="002534B7"/>
    <w:rsid w:val="0028110C"/>
    <w:rsid w:val="00292EB3"/>
    <w:rsid w:val="00293AFA"/>
    <w:rsid w:val="00293C57"/>
    <w:rsid w:val="002A7B17"/>
    <w:rsid w:val="002D7421"/>
    <w:rsid w:val="00300731"/>
    <w:rsid w:val="003106E9"/>
    <w:rsid w:val="00333C2C"/>
    <w:rsid w:val="00337316"/>
    <w:rsid w:val="003507A1"/>
    <w:rsid w:val="00360157"/>
    <w:rsid w:val="00383E1C"/>
    <w:rsid w:val="00390ADD"/>
    <w:rsid w:val="003A06CF"/>
    <w:rsid w:val="003C3713"/>
    <w:rsid w:val="003C797B"/>
    <w:rsid w:val="003D07CE"/>
    <w:rsid w:val="003E552C"/>
    <w:rsid w:val="003F7D3B"/>
    <w:rsid w:val="00417C3A"/>
    <w:rsid w:val="00426398"/>
    <w:rsid w:val="00433D3B"/>
    <w:rsid w:val="004478C4"/>
    <w:rsid w:val="00450C67"/>
    <w:rsid w:val="0046230E"/>
    <w:rsid w:val="004864B0"/>
    <w:rsid w:val="00487731"/>
    <w:rsid w:val="00491E1B"/>
    <w:rsid w:val="004944B4"/>
    <w:rsid w:val="0049480A"/>
    <w:rsid w:val="004A03F5"/>
    <w:rsid w:val="004A1D1B"/>
    <w:rsid w:val="004B1BBD"/>
    <w:rsid w:val="004C1832"/>
    <w:rsid w:val="004C23A2"/>
    <w:rsid w:val="004C4AFE"/>
    <w:rsid w:val="004D2C52"/>
    <w:rsid w:val="004D2EE2"/>
    <w:rsid w:val="004E26F1"/>
    <w:rsid w:val="004F2A07"/>
    <w:rsid w:val="00514647"/>
    <w:rsid w:val="00515121"/>
    <w:rsid w:val="00521C6F"/>
    <w:rsid w:val="005302C0"/>
    <w:rsid w:val="00534CBE"/>
    <w:rsid w:val="00547530"/>
    <w:rsid w:val="005560B7"/>
    <w:rsid w:val="00567B2B"/>
    <w:rsid w:val="0057159A"/>
    <w:rsid w:val="005730E0"/>
    <w:rsid w:val="0057700B"/>
    <w:rsid w:val="0059265C"/>
    <w:rsid w:val="005B4167"/>
    <w:rsid w:val="005C0C95"/>
    <w:rsid w:val="005C37D7"/>
    <w:rsid w:val="005C6C19"/>
    <w:rsid w:val="005C7C9C"/>
    <w:rsid w:val="005D04D6"/>
    <w:rsid w:val="005D2BB9"/>
    <w:rsid w:val="005E4CEE"/>
    <w:rsid w:val="005E63E7"/>
    <w:rsid w:val="005F6A61"/>
    <w:rsid w:val="00613BB9"/>
    <w:rsid w:val="00614C77"/>
    <w:rsid w:val="0062666B"/>
    <w:rsid w:val="00650A65"/>
    <w:rsid w:val="006603E7"/>
    <w:rsid w:val="00670A17"/>
    <w:rsid w:val="00683185"/>
    <w:rsid w:val="00686B57"/>
    <w:rsid w:val="00697FD4"/>
    <w:rsid w:val="006A08A1"/>
    <w:rsid w:val="006B68DF"/>
    <w:rsid w:val="006C07FE"/>
    <w:rsid w:val="006D6084"/>
    <w:rsid w:val="006E15D5"/>
    <w:rsid w:val="006F1EB6"/>
    <w:rsid w:val="00736F40"/>
    <w:rsid w:val="00752AEB"/>
    <w:rsid w:val="00756DD0"/>
    <w:rsid w:val="0076080B"/>
    <w:rsid w:val="007675D1"/>
    <w:rsid w:val="007700DA"/>
    <w:rsid w:val="00783F60"/>
    <w:rsid w:val="00785AD0"/>
    <w:rsid w:val="00786659"/>
    <w:rsid w:val="00786CB9"/>
    <w:rsid w:val="00787BE5"/>
    <w:rsid w:val="00792E51"/>
    <w:rsid w:val="00797216"/>
    <w:rsid w:val="007D74AC"/>
    <w:rsid w:val="007E718C"/>
    <w:rsid w:val="007F437D"/>
    <w:rsid w:val="008030B2"/>
    <w:rsid w:val="008161DD"/>
    <w:rsid w:val="00830C0D"/>
    <w:rsid w:val="008408E7"/>
    <w:rsid w:val="00850E71"/>
    <w:rsid w:val="008637D3"/>
    <w:rsid w:val="008743C8"/>
    <w:rsid w:val="008A1E3E"/>
    <w:rsid w:val="008B587D"/>
    <w:rsid w:val="008E612A"/>
    <w:rsid w:val="008F2BCE"/>
    <w:rsid w:val="009062FD"/>
    <w:rsid w:val="00915111"/>
    <w:rsid w:val="00924077"/>
    <w:rsid w:val="009306CA"/>
    <w:rsid w:val="0095028E"/>
    <w:rsid w:val="009678DF"/>
    <w:rsid w:val="009817FC"/>
    <w:rsid w:val="0098295D"/>
    <w:rsid w:val="00991937"/>
    <w:rsid w:val="009A348F"/>
    <w:rsid w:val="009D5D33"/>
    <w:rsid w:val="009F435D"/>
    <w:rsid w:val="00A23D50"/>
    <w:rsid w:val="00A319A4"/>
    <w:rsid w:val="00A51EE9"/>
    <w:rsid w:val="00A53A78"/>
    <w:rsid w:val="00A6107E"/>
    <w:rsid w:val="00A777F3"/>
    <w:rsid w:val="00A8615B"/>
    <w:rsid w:val="00AA3DA9"/>
    <w:rsid w:val="00AC15F5"/>
    <w:rsid w:val="00AD23A5"/>
    <w:rsid w:val="00AD3CB6"/>
    <w:rsid w:val="00AD47AB"/>
    <w:rsid w:val="00AD78D4"/>
    <w:rsid w:val="00AD7E01"/>
    <w:rsid w:val="00AF466B"/>
    <w:rsid w:val="00B1081A"/>
    <w:rsid w:val="00B238F3"/>
    <w:rsid w:val="00B3076B"/>
    <w:rsid w:val="00B4330A"/>
    <w:rsid w:val="00B47FB6"/>
    <w:rsid w:val="00B50118"/>
    <w:rsid w:val="00B55A44"/>
    <w:rsid w:val="00B57D17"/>
    <w:rsid w:val="00B631D4"/>
    <w:rsid w:val="00B7015C"/>
    <w:rsid w:val="00B82C8B"/>
    <w:rsid w:val="00B9026C"/>
    <w:rsid w:val="00B91011"/>
    <w:rsid w:val="00B93B2E"/>
    <w:rsid w:val="00BB476F"/>
    <w:rsid w:val="00BB6205"/>
    <w:rsid w:val="00BD756A"/>
    <w:rsid w:val="00BF4E61"/>
    <w:rsid w:val="00BF57C7"/>
    <w:rsid w:val="00C005EC"/>
    <w:rsid w:val="00C0266A"/>
    <w:rsid w:val="00C05480"/>
    <w:rsid w:val="00C107E2"/>
    <w:rsid w:val="00C23160"/>
    <w:rsid w:val="00C247A9"/>
    <w:rsid w:val="00C2717B"/>
    <w:rsid w:val="00C3030F"/>
    <w:rsid w:val="00C411D7"/>
    <w:rsid w:val="00C60870"/>
    <w:rsid w:val="00C608D8"/>
    <w:rsid w:val="00C70E22"/>
    <w:rsid w:val="00CA67FA"/>
    <w:rsid w:val="00CC434B"/>
    <w:rsid w:val="00CD4A50"/>
    <w:rsid w:val="00CD6C51"/>
    <w:rsid w:val="00CE2DC9"/>
    <w:rsid w:val="00CF44FA"/>
    <w:rsid w:val="00D1591E"/>
    <w:rsid w:val="00D24936"/>
    <w:rsid w:val="00D456BC"/>
    <w:rsid w:val="00D46B0C"/>
    <w:rsid w:val="00D538D9"/>
    <w:rsid w:val="00D61A01"/>
    <w:rsid w:val="00D75482"/>
    <w:rsid w:val="00D76F2A"/>
    <w:rsid w:val="00D96C96"/>
    <w:rsid w:val="00DA1804"/>
    <w:rsid w:val="00DA198D"/>
    <w:rsid w:val="00DA4C9C"/>
    <w:rsid w:val="00DB1A65"/>
    <w:rsid w:val="00DB43E7"/>
    <w:rsid w:val="00DB4B7A"/>
    <w:rsid w:val="00DC279B"/>
    <w:rsid w:val="00DF0AD7"/>
    <w:rsid w:val="00E10410"/>
    <w:rsid w:val="00E14BAC"/>
    <w:rsid w:val="00E37D64"/>
    <w:rsid w:val="00E41537"/>
    <w:rsid w:val="00E60953"/>
    <w:rsid w:val="00E831FD"/>
    <w:rsid w:val="00EB748D"/>
    <w:rsid w:val="00EC6526"/>
    <w:rsid w:val="00ED51B3"/>
    <w:rsid w:val="00EF786C"/>
    <w:rsid w:val="00F00A2C"/>
    <w:rsid w:val="00F03E6B"/>
    <w:rsid w:val="00F06547"/>
    <w:rsid w:val="00F11274"/>
    <w:rsid w:val="00F20965"/>
    <w:rsid w:val="00F20A28"/>
    <w:rsid w:val="00F42C77"/>
    <w:rsid w:val="00F43182"/>
    <w:rsid w:val="00F54777"/>
    <w:rsid w:val="00F55CCF"/>
    <w:rsid w:val="00F604FF"/>
    <w:rsid w:val="00F63410"/>
    <w:rsid w:val="00F83169"/>
    <w:rsid w:val="00FA5412"/>
    <w:rsid w:val="00FB519C"/>
    <w:rsid w:val="00FC30D7"/>
    <w:rsid w:val="00FC4F40"/>
    <w:rsid w:val="00FD7B14"/>
    <w:rsid w:val="00FF15A0"/>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1645">
      <w:bodyDiv w:val="1"/>
      <w:marLeft w:val="0"/>
      <w:marRight w:val="0"/>
      <w:marTop w:val="0"/>
      <w:marBottom w:val="0"/>
      <w:divBdr>
        <w:top w:val="none" w:sz="0" w:space="0" w:color="auto"/>
        <w:left w:val="none" w:sz="0" w:space="0" w:color="auto"/>
        <w:bottom w:val="none" w:sz="0" w:space="0" w:color="auto"/>
        <w:right w:val="none" w:sz="0" w:space="0" w:color="auto"/>
      </w:divBdr>
    </w:div>
    <w:div w:id="21201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oehm@BKLlawfirm.com" TargetMode="External"/><Relationship Id="rId18" Type="http://schemas.openxmlformats.org/officeDocument/2006/relationships/hyperlink" Target="mailto:jmaskovyak@ohiopovertylaw.org" TargetMode="External"/><Relationship Id="rId26" Type="http://schemas.openxmlformats.org/officeDocument/2006/relationships/hyperlink" Target="mailto:Cynthia.Brady@Constellation.com" TargetMode="External"/><Relationship Id="rId39" Type="http://schemas.openxmlformats.org/officeDocument/2006/relationships/hyperlink" Target="mailto:David.Fein@Constellation.com" TargetMode="External"/><Relationship Id="rId3" Type="http://schemas.openxmlformats.org/officeDocument/2006/relationships/styles" Target="styles.xml"/><Relationship Id="rId21" Type="http://schemas.openxmlformats.org/officeDocument/2006/relationships/hyperlink" Target="mailto:burkj@firstenergycorp.com" TargetMode="External"/><Relationship Id="rId34" Type="http://schemas.openxmlformats.org/officeDocument/2006/relationships/hyperlink" Target="mailto:julie.robie@lasclev.org" TargetMode="External"/><Relationship Id="rId42" Type="http://schemas.openxmlformats.org/officeDocument/2006/relationships/hyperlink" Target="mailto:cgoodman@energymarketers.com"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am@mwncmh.com" TargetMode="External"/><Relationship Id="rId17" Type="http://schemas.openxmlformats.org/officeDocument/2006/relationships/hyperlink" Target="mailto:msmalz@ohiopovertylaw.org" TargetMode="External"/><Relationship Id="rId25" Type="http://schemas.openxmlformats.org/officeDocument/2006/relationships/hyperlink" Target="mailto:elizabeth.stevens@puc.state.oh.us" TargetMode="External"/><Relationship Id="rId33" Type="http://schemas.openxmlformats.org/officeDocument/2006/relationships/hyperlink" Target="mailto:nmorgan@lascinti.org" TargetMode="External"/><Relationship Id="rId38" Type="http://schemas.openxmlformats.org/officeDocument/2006/relationships/hyperlink" Target="mailto:gbenjamin@communitylegalaid.org" TargetMode="External"/><Relationship Id="rId46" Type="http://schemas.openxmlformats.org/officeDocument/2006/relationships/hyperlink" Target="mailto:Elizabeth.watts@duke-energy.com" TargetMode="External"/><Relationship Id="rId2" Type="http://schemas.openxmlformats.org/officeDocument/2006/relationships/numbering" Target="numbering.xml"/><Relationship Id="rId16" Type="http://schemas.openxmlformats.org/officeDocument/2006/relationships/hyperlink" Target="mailto:drinebolt@ohiopartners.org" TargetMode="External"/><Relationship Id="rId20" Type="http://schemas.openxmlformats.org/officeDocument/2006/relationships/hyperlink" Target="mailto:william.wright@puc.state.oh.us" TargetMode="External"/><Relationship Id="rId29" Type="http://schemas.openxmlformats.org/officeDocument/2006/relationships/hyperlink" Target="mailto:gpoulos@enernoc.com" TargetMode="External"/><Relationship Id="rId41" Type="http://schemas.openxmlformats.org/officeDocument/2006/relationships/hyperlink" Target="mailto:yalami@ae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arr@mwncmh.com" TargetMode="External"/><Relationship Id="rId24" Type="http://schemas.openxmlformats.org/officeDocument/2006/relationships/hyperlink" Target="mailto:amy.spiller@duke-energy.com" TargetMode="External"/><Relationship Id="rId32" Type="http://schemas.openxmlformats.org/officeDocument/2006/relationships/hyperlink" Target="mailto:mwarnock@bricker.com" TargetMode="External"/><Relationship Id="rId37" Type="http://schemas.openxmlformats.org/officeDocument/2006/relationships/hyperlink" Target="mailto:rjohns@oslsa.org" TargetMode="External"/><Relationship Id="rId40" Type="http://schemas.openxmlformats.org/officeDocument/2006/relationships/hyperlink" Target="mailto:mjsatterwhite@aep.com" TargetMode="External"/><Relationship Id="rId45" Type="http://schemas.openxmlformats.org/officeDocument/2006/relationships/hyperlink" Target="mailto:rocco.dascenzo@duke-energy.com" TargetMode="External"/><Relationship Id="rId5" Type="http://schemas.openxmlformats.org/officeDocument/2006/relationships/settings" Target="settings.xml"/><Relationship Id="rId15" Type="http://schemas.openxmlformats.org/officeDocument/2006/relationships/hyperlink" Target="mailto:cmooney@ohiopartners.org" TargetMode="External"/><Relationship Id="rId23" Type="http://schemas.openxmlformats.org/officeDocument/2006/relationships/hyperlink" Target="mailto:judi.sobecki@dplinc.com" TargetMode="External"/><Relationship Id="rId28" Type="http://schemas.openxmlformats.org/officeDocument/2006/relationships/hyperlink" Target="mailto:joliker@mwncmh.com" TargetMode="External"/><Relationship Id="rId36" Type="http://schemas.openxmlformats.org/officeDocument/2006/relationships/hyperlink" Target="mailto:plee@oslsa.org" TargetMode="External"/><Relationship Id="rId49" Type="http://schemas.openxmlformats.org/officeDocument/2006/relationships/theme" Target="theme/theme1.xml"/><Relationship Id="rId10" Type="http://schemas.openxmlformats.org/officeDocument/2006/relationships/hyperlink" Target="mailto:serio@occ.state.oh.us" TargetMode="External"/><Relationship Id="rId19" Type="http://schemas.openxmlformats.org/officeDocument/2006/relationships/hyperlink" Target="mailto:gkrassen@bricker.com" TargetMode="External"/><Relationship Id="rId31" Type="http://schemas.openxmlformats.org/officeDocument/2006/relationships/hyperlink" Target="mailto:tsiwo@bricker.com" TargetMode="External"/><Relationship Id="rId44" Type="http://schemas.openxmlformats.org/officeDocument/2006/relationships/hyperlink" Target="mailto:cdunn@firstenergycorp.com" TargetMode="External"/><Relationship Id="rId4" Type="http://schemas.microsoft.com/office/2007/relationships/stylesWithEffects" Target="stylesWithEffects.xml"/><Relationship Id="rId9" Type="http://schemas.openxmlformats.org/officeDocument/2006/relationships/hyperlink" Target="mailto:grady@occ.state.oh.us" TargetMode="External"/><Relationship Id="rId14" Type="http://schemas.openxmlformats.org/officeDocument/2006/relationships/hyperlink" Target="mailto:mkurtz@BKLlawfirm.com" TargetMode="External"/><Relationship Id="rId22" Type="http://schemas.openxmlformats.org/officeDocument/2006/relationships/hyperlink" Target="mailto:stnourse@aep.com" TargetMode="External"/><Relationship Id="rId27" Type="http://schemas.openxmlformats.org/officeDocument/2006/relationships/hyperlink" Target="mailto:jkylercohn@BKLlawfirm.com" TargetMode="External"/><Relationship Id="rId30" Type="http://schemas.openxmlformats.org/officeDocument/2006/relationships/hyperlink" Target="mailto:ejacobs@ablelaw.org" TargetMode="External"/><Relationship Id="rId35" Type="http://schemas.openxmlformats.org/officeDocument/2006/relationships/hyperlink" Target="mailto:mwalters@proseniors.org" TargetMode="External"/><Relationship Id="rId43" Type="http://schemas.openxmlformats.org/officeDocument/2006/relationships/hyperlink" Target="mailto:srantala@energymarketers.com"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AEEB-73F2-4799-8CE4-89161210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2665</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2014-02-20T21:52:00Z</cp:lastPrinted>
  <dcterms:created xsi:type="dcterms:W3CDTF">2014-02-20T22:10:00Z</dcterms:created>
  <dcterms:modified xsi:type="dcterms:W3CDTF">2014-02-20T22:10:00Z</dcterms:modified>
</cp:coreProperties>
</file>