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E0CC3" w:rsidRPr="006B64AA" w:rsidP="005E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6B64AA">
        <w:rPr>
          <w:rFonts w:ascii="Times New Roman" w:eastAsia="Calibri" w:hAnsi="Times New Roman" w:cs="Times New Roman"/>
          <w:b/>
          <w:bCs/>
          <w:sz w:val="24"/>
          <w:szCs w:val="24"/>
        </w:rPr>
        <w:t>BEFORE</w:t>
      </w:r>
    </w:p>
    <w:p w:rsidR="005E0CC3" w:rsidRPr="006B64AA" w:rsidP="005E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B64AA">
        <w:rPr>
          <w:rFonts w:ascii="Times New Roman" w:eastAsia="Calibri" w:hAnsi="Times New Roman" w:cs="Times New Roman"/>
          <w:b/>
          <w:bCs/>
          <w:sz w:val="24"/>
          <w:szCs w:val="24"/>
        </w:rPr>
        <w:t>THE PUBLIC UTILITIES COMMISSION OF OHIO</w:t>
      </w:r>
    </w:p>
    <w:p w:rsidR="005E0CC3" w:rsidRPr="006B64AA" w:rsidP="005E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6F7E95">
        <w:tblPrEx>
          <w:tblW w:w="9092" w:type="dxa"/>
          <w:tblInd w:w="-106" w:type="dxa"/>
          <w:tblCellMar>
            <w:top w:w="0" w:type="dxa"/>
            <w:left w:w="108" w:type="dxa"/>
            <w:bottom w:w="0" w:type="dxa"/>
            <w:right w:w="108" w:type="dxa"/>
          </w:tblCellMar>
          <w:tblLook w:val="01E0"/>
        </w:tblPrEx>
        <w:trPr>
          <w:trHeight w:val="807"/>
        </w:trPr>
        <w:tc>
          <w:tcPr>
            <w:tcW w:w="4332" w:type="dxa"/>
          </w:tcPr>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 xml:space="preserve">In the Matter of the Application of </w:t>
            </w: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Ohio Power Company for Authority to Establish A Standard Service Offer Pursuant to R.C. 4928.143, In the Form of an Electric Security Plan.</w:t>
            </w: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In the Matter of the Application of Ohio Power Company for Approval of Certain Accounting Authority.</w:t>
            </w:r>
          </w:p>
        </w:tc>
        <w:tc>
          <w:tcPr>
            <w:tcW w:w="360" w:type="dxa"/>
            <w:hideMark/>
          </w:tcPr>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tc>
        <w:tc>
          <w:tcPr>
            <w:tcW w:w="4400" w:type="dxa"/>
          </w:tcPr>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16-1852-EL-SSO</w:t>
            </w: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E0CC3" w:rsidRPr="006B64AA" w:rsidP="006F7E95">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16-1853-EL-AAM</w:t>
            </w:r>
          </w:p>
          <w:p w:rsidR="005E0CC3" w:rsidRPr="006B64AA" w:rsidP="006F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tc>
      </w:tr>
    </w:tbl>
    <w:p w:rsidR="005E0CC3" w:rsidRPr="006B64AA" w:rsidP="005E0CC3">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5E0CC3" w:rsidRPr="006B64AA" w:rsidP="005E0CC3">
      <w:pPr>
        <w:autoSpaceDE w:val="0"/>
        <w:autoSpaceDN w:val="0"/>
        <w:adjustRightInd w:val="0"/>
        <w:spacing w:after="0" w:line="240" w:lineRule="auto"/>
        <w:rPr>
          <w:rFonts w:ascii="Times New Roman" w:eastAsia="Calibri" w:hAnsi="Times New Roman" w:cs="Times New Roman"/>
          <w:sz w:val="20"/>
          <w:szCs w:val="24"/>
        </w:rPr>
      </w:pPr>
    </w:p>
    <w:p w:rsidR="005E0CC3" w:rsidP="005E0CC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MEMORANDUM CONTRA </w:t>
      </w:r>
    </w:p>
    <w:p w:rsidR="005E0CC3" w:rsidRPr="006B64AA" w:rsidP="005E0CC3">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APPLICATION</w:t>
      </w:r>
      <w:r>
        <w:rPr>
          <w:rFonts w:ascii="Times New Roman" w:eastAsia="Calibri" w:hAnsi="Times New Roman" w:cs="Times New Roman"/>
          <w:b/>
          <w:bCs/>
          <w:sz w:val="24"/>
          <w:szCs w:val="24"/>
        </w:rPr>
        <w:t>S</w:t>
      </w:r>
      <w:r w:rsidRPr="006B64AA">
        <w:rPr>
          <w:rFonts w:ascii="Times New Roman" w:eastAsia="Calibri" w:hAnsi="Times New Roman" w:cs="Times New Roman"/>
          <w:b/>
          <w:bCs/>
          <w:sz w:val="24"/>
          <w:szCs w:val="24"/>
        </w:rPr>
        <w:t xml:space="preserve"> FOR REHEARING</w:t>
      </w:r>
      <w:r>
        <w:rPr>
          <w:rFonts w:ascii="Times New Roman" w:eastAsia="Calibri" w:hAnsi="Times New Roman" w:cs="Times New Roman"/>
          <w:b/>
          <w:bCs/>
          <w:sz w:val="24"/>
          <w:szCs w:val="24"/>
        </w:rPr>
        <w:t xml:space="preserve"> OF OHIO POWER COMPANY, INTERSTATE GAS SUPPLY, INC., AND RETAIL ELECTRIC SUPPLY ASSOCIATION</w:t>
      </w:r>
    </w:p>
    <w:p w:rsidR="005E0CC3" w:rsidRPr="006B64AA" w:rsidP="005E0CC3">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BY</w:t>
      </w:r>
    </w:p>
    <w:p w:rsidR="005E0CC3" w:rsidRPr="006B64AA" w:rsidP="005E0CC3">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THE OFFICE OF THE OHIO CONSUMERS’ COUNSEL</w:t>
      </w:r>
    </w:p>
    <w:p w:rsidR="005E0CC3" w:rsidRPr="006B64AA" w:rsidP="005E0CC3">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5E0CC3" w:rsidRPr="006B64AA" w:rsidP="005E0CC3">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E0CC3">
      <w:pPr>
        <w:rPr>
          <w:rFonts w:ascii="Times New Roman" w:eastAsia="Calibri" w:hAnsi="Times New Roman" w:cs="Times New Roman"/>
          <w:b/>
          <w:bCs/>
          <w:sz w:val="24"/>
          <w:szCs w:val="24"/>
        </w:rPr>
      </w:pPr>
    </w:p>
    <w:p w:rsidR="005E0CC3" w:rsidP="005E0CC3">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5E0CC3" w:rsidP="005E0CC3">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5E0CC3" w:rsidP="005E0CC3">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5E0CC3" w:rsidRPr="006B64AA" w:rsidP="005E0CC3">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BRUCE WESTON (0016973)</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OHIO CONSUMERS’ COUNSEL</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William J. Michael, (0070921)</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Counsel of Record</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Kevin F. Moore (0089228)</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Bryce McKenney (0088203)</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Assistant Consumers’ Counsel</w:t>
      </w:r>
    </w:p>
    <w:p w:rsidR="005E0CC3" w:rsidRPr="006B64AA" w:rsidP="005E0CC3">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5E0CC3" w:rsidRPr="006B64AA" w:rsidP="005E0CC3">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Office of the Ohio Consumers’ Counsel</w:t>
      </w:r>
    </w:p>
    <w:p w:rsidR="005E0CC3" w:rsidRPr="006B64AA" w:rsidP="005E0CC3">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65 East State Street</w:t>
      </w:r>
      <w:r>
        <w:rPr>
          <w:rFonts w:ascii="Times New Roman" w:eastAsia="Times New Roman" w:hAnsi="Times New Roman" w:cs="Times New Roman"/>
          <w:sz w:val="24"/>
          <w:szCs w:val="24"/>
        </w:rPr>
        <w:t>, 7</w:t>
      </w:r>
      <w:r w:rsidRPr="005E0C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5E0CC3" w:rsidRPr="006B64AA" w:rsidP="005E0CC3">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Columbus, Ohio 43215</w:t>
      </w:r>
    </w:p>
    <w:p w:rsidR="005E0CC3" w:rsidRPr="006B64AA" w:rsidP="005E0CC3">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[Michael] (614) 466-1291</w:t>
      </w:r>
    </w:p>
    <w:p w:rsidR="005E0CC3" w:rsidRPr="006B64AA" w:rsidP="005E0CC3">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[Moore] (614) 387-2965</w:t>
      </w:r>
    </w:p>
    <w:p w:rsidR="005E0CC3" w:rsidRPr="006B64AA" w:rsidP="005E0CC3">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[McKenney] (614) 466-9585</w:t>
      </w:r>
    </w:p>
    <w:p w:rsidR="005E0CC3" w:rsidRPr="006B64AA" w:rsidP="005E0CC3">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color w:val="0000FF" w:themeColor="hyperlink"/>
          <w:sz w:val="24"/>
          <w:szCs w:val="24"/>
          <w:u w:val="single"/>
        </w:rPr>
        <w:t>william.michael@occ.ohio.gov</w:t>
      </w:r>
    </w:p>
    <w:p w:rsidR="005E0CC3" w:rsidRPr="006B64AA" w:rsidP="005E0CC3">
      <w:pPr>
        <w:spacing w:after="0" w:line="240" w:lineRule="auto"/>
        <w:ind w:left="4320"/>
        <w:rPr>
          <w:rFonts w:ascii="Times New Roman" w:eastAsia="Times New Roman" w:hAnsi="Times New Roman" w:cs="Times New Roman"/>
          <w:sz w:val="24"/>
          <w:szCs w:val="24"/>
        </w:rPr>
      </w:pPr>
      <w:r>
        <w:fldChar w:fldCharType="begin"/>
      </w:r>
      <w:r>
        <w:instrText xml:space="preserve"> HYPERLINK "mailto:kevin.moore@occ.ohio.gov" </w:instrText>
      </w:r>
      <w:r>
        <w:fldChar w:fldCharType="separate"/>
      </w:r>
      <w:r w:rsidRPr="006B64AA" w:rsidR="00B14C20">
        <w:rPr>
          <w:rStyle w:val="Hyperlink"/>
          <w:rFonts w:ascii="Times New Roman" w:eastAsia="Times New Roman" w:hAnsi="Times New Roman" w:cs="Times New Roman"/>
          <w:sz w:val="24"/>
          <w:szCs w:val="24"/>
        </w:rPr>
        <w:t>kevin.moore@occ.ohio.gov</w:t>
      </w:r>
      <w:r>
        <w:fldChar w:fldCharType="end"/>
      </w:r>
    </w:p>
    <w:p w:rsidR="005E0CC3" w:rsidP="005E0CC3">
      <w:pPr>
        <w:spacing w:after="0" w:line="240" w:lineRule="auto"/>
        <w:ind w:left="4320"/>
        <w:rPr>
          <w:rFonts w:ascii="Times New Roman" w:eastAsia="Times New Roman" w:hAnsi="Times New Roman" w:cs="Times New Roman"/>
          <w:sz w:val="24"/>
          <w:szCs w:val="24"/>
        </w:rPr>
        <w:sectPr w:rsidSect="00DB573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fldChar w:fldCharType="begin"/>
      </w:r>
      <w:r>
        <w:instrText xml:space="preserve"> HYPERLINK "mailto:Bryce.mckenney@occ.ohio.gov" </w:instrText>
      </w:r>
      <w:r>
        <w:fldChar w:fldCharType="separate"/>
      </w:r>
      <w:r w:rsidRPr="006B64AA" w:rsidR="00B14C20">
        <w:rPr>
          <w:rStyle w:val="Hyperlink"/>
          <w:rFonts w:ascii="Times New Roman" w:eastAsia="Times New Roman" w:hAnsi="Times New Roman" w:cs="Times New Roman"/>
          <w:sz w:val="24"/>
          <w:szCs w:val="24"/>
        </w:rPr>
        <w:t>Bryce.mckenney@occ.ohio.gov</w:t>
      </w:r>
      <w:r>
        <w:fldChar w:fldCharType="end"/>
      </w:r>
      <w:r w:rsidRPr="006B64AA" w:rsidR="00B14C20">
        <w:rPr>
          <w:rFonts w:ascii="Times New Roman" w:eastAsia="Times New Roman" w:hAnsi="Times New Roman" w:cs="Times New Roman"/>
          <w:sz w:val="24"/>
          <w:szCs w:val="24"/>
        </w:rPr>
        <w:t xml:space="preserve"> </w:t>
      </w:r>
    </w:p>
    <w:p w:rsidR="005E0CC3" w:rsidRPr="005E0CC3" w:rsidP="005E0CC3">
      <w:pPr>
        <w:spacing w:after="0" w:line="240" w:lineRule="auto"/>
        <w:jc w:val="center"/>
        <w:rPr>
          <w:rFonts w:ascii="Times New Roman" w:eastAsia="Times New Roman" w:hAnsi="Times New Roman" w:cs="Times New Roman"/>
          <w:b/>
          <w:sz w:val="24"/>
          <w:szCs w:val="24"/>
        </w:rPr>
      </w:pPr>
      <w:r w:rsidRPr="005E0CC3">
        <w:rPr>
          <w:rFonts w:ascii="Times New Roman" w:eastAsia="Times New Roman" w:hAnsi="Times New Roman" w:cs="Times New Roman"/>
          <w:b/>
          <w:sz w:val="24"/>
          <w:szCs w:val="24"/>
        </w:rPr>
        <w:t>TABLE OF CONTENTS</w:t>
      </w:r>
    </w:p>
    <w:p w:rsidR="005E0CC3" w:rsidP="005E0CC3">
      <w:pPr>
        <w:spacing w:after="0" w:line="240" w:lineRule="auto"/>
        <w:ind w:left="43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4920">
        <w:rPr>
          <w:rFonts w:ascii="Times New Roman" w:eastAsia="Times New Roman" w:hAnsi="Times New Roman" w:cs="Times New Roman"/>
          <w:b/>
          <w:sz w:val="24"/>
          <w:szCs w:val="24"/>
        </w:rPr>
        <w:t>PAGE</w:t>
      </w:r>
    </w:p>
    <w:p w:rsidR="00EF4920" w:rsidP="005E0CC3">
      <w:pPr>
        <w:spacing w:after="0" w:line="240" w:lineRule="auto"/>
        <w:ind w:left="4320"/>
        <w:rPr>
          <w:rFonts w:ascii="Times New Roman" w:eastAsia="Times New Roman" w:hAnsi="Times New Roman" w:cs="Times New Roman"/>
          <w:b/>
          <w:sz w:val="24"/>
          <w:szCs w:val="24"/>
        </w:rPr>
      </w:pPr>
    </w:p>
    <w:p w:rsidR="00B14C20">
      <w:pPr>
        <w:pStyle w:val="TOC1"/>
        <w:tabs>
          <w:tab w:val="right" w:leader="dot" w:pos="8630"/>
        </w:tabs>
        <w:rPr>
          <w:rFonts w:asciiTheme="minorHAnsi" w:eastAsiaTheme="minorEastAsia" w:hAnsiTheme="minorHAnsi"/>
          <w:noProof/>
          <w:sz w:val="22"/>
        </w:rPr>
      </w:pPr>
      <w:r>
        <w:rPr>
          <w:rFonts w:eastAsia="Times New Roman" w:cs="Times New Roman"/>
          <w:b/>
          <w:szCs w:val="24"/>
        </w:rPr>
        <w:fldChar w:fldCharType="begin"/>
      </w:r>
      <w:r>
        <w:rPr>
          <w:rFonts w:eastAsia="Times New Roman" w:cs="Times New Roman"/>
          <w:b/>
          <w:szCs w:val="24"/>
        </w:rPr>
        <w:instrText xml:space="preserve"> TOC \o "1-2" \h \z \u </w:instrText>
      </w:r>
      <w:r>
        <w:rPr>
          <w:rFonts w:eastAsia="Times New Roman" w:cs="Times New Roman"/>
          <w:b/>
          <w:szCs w:val="24"/>
        </w:rPr>
        <w:fldChar w:fldCharType="separate"/>
      </w:r>
      <w:r>
        <w:fldChar w:fldCharType="begin"/>
      </w:r>
      <w:r>
        <w:instrText xml:space="preserve"> HYPERLINK \l "_Toc515895489" </w:instrText>
      </w:r>
      <w:r>
        <w:fldChar w:fldCharType="separate"/>
      </w:r>
      <w:r w:rsidRPr="00402AE3">
        <w:rPr>
          <w:rStyle w:val="Hyperlink"/>
          <w:noProof/>
          <w14:scene3d>
            <w14:camera w14:prst="orthographicFront"/>
            <w14:lightRig w14:rig="threePt" w14:dir="t">
              <w14:rot w14:lat="0" w14:lon="0" w14:rev="0"/>
            </w14:lightRig>
          </w14:scene3d>
          <w14:props3d/>
        </w:rPr>
        <w:t>I.</w:t>
      </w:r>
      <w:r>
        <w:rPr>
          <w:rFonts w:asciiTheme="minorHAnsi" w:eastAsiaTheme="minorEastAsia" w:hAnsiTheme="minorHAnsi"/>
          <w:noProof/>
          <w:sz w:val="22"/>
        </w:rPr>
        <w:tab/>
      </w:r>
      <w:r w:rsidRPr="00402AE3">
        <w:rPr>
          <w:rStyle w:val="Hyperlink"/>
          <w:noProof/>
        </w:rPr>
        <w:t>INTRODUCTION</w:t>
      </w:r>
      <w:r>
        <w:rPr>
          <w:noProof/>
          <w:webHidden/>
        </w:rPr>
        <w:tab/>
      </w:r>
      <w:r>
        <w:rPr>
          <w:noProof/>
          <w:webHidden/>
        </w:rPr>
        <w:fldChar w:fldCharType="begin"/>
      </w:r>
      <w:r>
        <w:rPr>
          <w:noProof/>
          <w:webHidden/>
        </w:rPr>
        <w:instrText xml:space="preserve"> PAGEREF _Toc515895489 \h </w:instrText>
      </w:r>
      <w:r>
        <w:rPr>
          <w:noProof/>
          <w:webHidden/>
        </w:rPr>
        <w:fldChar w:fldCharType="separate"/>
      </w:r>
      <w:r>
        <w:rPr>
          <w:noProof/>
          <w:webHidden/>
        </w:rPr>
        <w:t>1</w:t>
      </w:r>
      <w:r>
        <w:rPr>
          <w:noProof/>
          <w:webHidden/>
        </w:rPr>
        <w:fldChar w:fldCharType="end"/>
      </w:r>
      <w:r>
        <w:fldChar w:fldCharType="end"/>
      </w:r>
    </w:p>
    <w:p w:rsidR="00B14C20">
      <w:pPr>
        <w:pStyle w:val="TOC1"/>
        <w:tabs>
          <w:tab w:val="right" w:leader="dot" w:pos="8630"/>
        </w:tabs>
        <w:rPr>
          <w:rFonts w:asciiTheme="minorHAnsi" w:eastAsiaTheme="minorEastAsia" w:hAnsiTheme="minorHAnsi"/>
          <w:noProof/>
          <w:sz w:val="22"/>
        </w:rPr>
      </w:pPr>
      <w:r>
        <w:fldChar w:fldCharType="begin"/>
      </w:r>
      <w:r>
        <w:instrText xml:space="preserve"> HYPERLINK \l "_Toc515895490" </w:instrText>
      </w:r>
      <w:r>
        <w:fldChar w:fldCharType="separate"/>
      </w:r>
      <w:r w:rsidRPr="00402AE3">
        <w:rPr>
          <w:rStyle w:val="Hyperlink"/>
          <w:noProof/>
          <w14:scene3d>
            <w14:camera w14:prst="orthographicFront"/>
            <w14:lightRig w14:rig="threePt" w14:dir="t">
              <w14:rot w14:lat="0" w14:lon="0" w14:rev="0"/>
            </w14:lightRig>
          </w14:scene3d>
          <w14:props3d/>
        </w:rPr>
        <w:t>II.</w:t>
      </w:r>
      <w:r>
        <w:rPr>
          <w:rFonts w:asciiTheme="minorHAnsi" w:eastAsiaTheme="minorEastAsia" w:hAnsiTheme="minorHAnsi"/>
          <w:noProof/>
          <w:sz w:val="22"/>
        </w:rPr>
        <w:tab/>
      </w:r>
      <w:r w:rsidRPr="00402AE3">
        <w:rPr>
          <w:rStyle w:val="Hyperlink"/>
          <w:noProof/>
        </w:rPr>
        <w:t>ARGUMENT</w:t>
      </w:r>
      <w:r>
        <w:rPr>
          <w:noProof/>
          <w:webHidden/>
        </w:rPr>
        <w:tab/>
      </w:r>
      <w:r>
        <w:rPr>
          <w:noProof/>
          <w:webHidden/>
        </w:rPr>
        <w:fldChar w:fldCharType="begin"/>
      </w:r>
      <w:r>
        <w:rPr>
          <w:noProof/>
          <w:webHidden/>
        </w:rPr>
        <w:instrText xml:space="preserve"> PAGEREF _Toc515895490 \h </w:instrText>
      </w:r>
      <w:r>
        <w:rPr>
          <w:noProof/>
          <w:webHidden/>
        </w:rPr>
        <w:fldChar w:fldCharType="separate"/>
      </w:r>
      <w:r>
        <w:rPr>
          <w:noProof/>
          <w:webHidden/>
        </w:rPr>
        <w:t>2</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"_Toc515895491" </w:instrText>
      </w:r>
      <w:r>
        <w:fldChar w:fldCharType="separate"/>
      </w:r>
      <w:r w:rsidRPr="00402AE3">
        <w:rPr>
          <w:rStyle w:val="Hyperlink"/>
          <w:noProof/>
        </w:rPr>
        <w:t>A.</w:t>
      </w:r>
      <w:r>
        <w:rPr>
          <w:rFonts w:asciiTheme="minorHAnsi" w:eastAsiaTheme="minorEastAsia" w:hAnsiTheme="minorHAnsi"/>
          <w:noProof/>
          <w:sz w:val="22"/>
        </w:rPr>
        <w:tab/>
      </w:r>
      <w:r w:rsidRPr="00402AE3">
        <w:rPr>
          <w:rStyle w:val="Hyperlink"/>
          <w:noProof/>
        </w:rPr>
        <w:t>The PUCO set forth the reasons prompting its decision to exclude AEP from charging customers for transmission costs under the existing PPA Rider.</w:t>
      </w:r>
      <w:r>
        <w:rPr>
          <w:noProof/>
          <w:webHidden/>
        </w:rPr>
        <w:tab/>
      </w:r>
      <w:r>
        <w:rPr>
          <w:noProof/>
          <w:webHidden/>
        </w:rPr>
        <w:fldChar w:fldCharType="begin"/>
      </w:r>
      <w:r>
        <w:rPr>
          <w:noProof/>
          <w:webHidden/>
        </w:rPr>
        <w:instrText xml:space="preserve"> PAGEREF _Toc515895491 \h </w:instrText>
      </w:r>
      <w:r>
        <w:rPr>
          <w:noProof/>
          <w:webHidden/>
        </w:rPr>
        <w:fldChar w:fldCharType="separate"/>
      </w:r>
      <w:r>
        <w:rPr>
          <w:noProof/>
          <w:webHidden/>
        </w:rPr>
        <w:t>2</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"_Toc515895492" </w:instrText>
      </w:r>
      <w:r>
        <w:fldChar w:fldCharType="separate"/>
      </w:r>
      <w:r w:rsidRPr="00402AE3">
        <w:rPr>
          <w:rStyle w:val="Hyperlink"/>
          <w:noProof/>
        </w:rPr>
        <w:t>B.</w:t>
      </w:r>
      <w:r>
        <w:rPr>
          <w:rFonts w:asciiTheme="minorHAnsi" w:eastAsiaTheme="minorEastAsia" w:hAnsiTheme="minorHAnsi"/>
          <w:noProof/>
          <w:sz w:val="22"/>
        </w:rPr>
        <w:tab/>
      </w:r>
      <w:r w:rsidRPr="00402AE3">
        <w:rPr>
          <w:rStyle w:val="Hyperlink"/>
          <w:noProof/>
        </w:rPr>
        <w:t>The PUCO should uphold its lawful determination that OVEC transmission costs should not be charged to customers under the existing PPA Rider.</w:t>
      </w:r>
      <w:r>
        <w:rPr>
          <w:noProof/>
          <w:webHidden/>
        </w:rPr>
        <w:tab/>
      </w:r>
      <w:r>
        <w:rPr>
          <w:noProof/>
          <w:webHidden/>
        </w:rPr>
        <w:fldChar w:fldCharType="begin"/>
      </w:r>
      <w:r>
        <w:rPr>
          <w:noProof/>
          <w:webHidden/>
        </w:rPr>
        <w:instrText xml:space="preserve"> PAGEREF _Toc515895492 \h </w:instrText>
      </w:r>
      <w:r>
        <w:rPr>
          <w:noProof/>
          <w:webHidden/>
        </w:rPr>
        <w:fldChar w:fldCharType="separate"/>
      </w:r>
      <w:r>
        <w:rPr>
          <w:noProof/>
          <w:webHidden/>
        </w:rPr>
        <w:t>4</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"_Toc515895493" </w:instrText>
      </w:r>
      <w:r>
        <w:fldChar w:fldCharType="separate"/>
      </w:r>
      <w:r w:rsidRPr="00402AE3">
        <w:rPr>
          <w:rStyle w:val="Hyperlink"/>
          <w:noProof/>
        </w:rPr>
        <w:t>C.</w:t>
      </w:r>
      <w:r>
        <w:rPr>
          <w:rFonts w:asciiTheme="minorHAnsi" w:eastAsiaTheme="minorEastAsia" w:hAnsiTheme="minorHAnsi"/>
          <w:noProof/>
          <w:sz w:val="22"/>
        </w:rPr>
        <w:tab/>
      </w:r>
      <w:r w:rsidRPr="00402AE3">
        <w:rPr>
          <w:rStyle w:val="Hyperlink"/>
          <w:noProof/>
        </w:rPr>
        <w:t>The PUCO should deny AEP’s request to clarify its determination that transmission costs should not be recovered through the PPA Rider because AEP’s OVEC-related transmission costs are outside the scope of this proceeding.</w:t>
      </w:r>
      <w:r>
        <w:rPr>
          <w:noProof/>
          <w:webHidden/>
        </w:rPr>
        <w:tab/>
      </w:r>
      <w:r>
        <w:rPr>
          <w:noProof/>
          <w:webHidden/>
        </w:rPr>
        <w:fldChar w:fldCharType="begin"/>
      </w:r>
      <w:r>
        <w:rPr>
          <w:noProof/>
          <w:webHidden/>
        </w:rPr>
        <w:instrText xml:space="preserve"> PAGEREF _Toc515895493 \h </w:instrText>
      </w:r>
      <w:r>
        <w:rPr>
          <w:noProof/>
          <w:webHidden/>
        </w:rPr>
        <w:fldChar w:fldCharType="separate"/>
      </w:r>
      <w:r>
        <w:rPr>
          <w:noProof/>
          <w:webHidden/>
        </w:rPr>
        <w:t>5</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"_Toc515895494" </w:instrText>
      </w:r>
      <w:r>
        <w:fldChar w:fldCharType="separate"/>
      </w:r>
      <w:r w:rsidRPr="00402AE3">
        <w:rPr>
          <w:rStyle w:val="Hyperlink"/>
          <w:noProof/>
        </w:rPr>
        <w:t>D.</w:t>
      </w:r>
      <w:r>
        <w:rPr>
          <w:rFonts w:asciiTheme="minorHAnsi" w:eastAsiaTheme="minorEastAsia" w:hAnsiTheme="minorHAnsi"/>
          <w:noProof/>
          <w:sz w:val="22"/>
        </w:rPr>
        <w:tab/>
      </w:r>
      <w:r w:rsidRPr="00402AE3">
        <w:rPr>
          <w:rStyle w:val="Hyperlink"/>
          <w:noProof/>
        </w:rPr>
        <w:t>The PUCO should deny the arguments by IGS and RESA that the PUCO cannot protect consumers by modifying and approving a Settlement.</w:t>
      </w:r>
      <w:r>
        <w:rPr>
          <w:noProof/>
          <w:webHidden/>
        </w:rPr>
        <w:tab/>
      </w:r>
      <w:r>
        <w:rPr>
          <w:noProof/>
          <w:webHidden/>
        </w:rPr>
        <w:fldChar w:fldCharType="begin"/>
      </w:r>
      <w:r>
        <w:rPr>
          <w:noProof/>
          <w:webHidden/>
        </w:rPr>
        <w:instrText xml:space="preserve"> PAGEREF _Toc515895494 \h </w:instrText>
      </w:r>
      <w:r>
        <w:rPr>
          <w:noProof/>
          <w:webHidden/>
        </w:rPr>
        <w:fldChar w:fldCharType="separate"/>
      </w:r>
      <w:r>
        <w:rPr>
          <w:noProof/>
          <w:webHidden/>
        </w:rPr>
        <w:t>6</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"_Toc515895495" </w:instrText>
      </w:r>
      <w:r>
        <w:fldChar w:fldCharType="separate"/>
      </w:r>
      <w:r w:rsidRPr="00402AE3">
        <w:rPr>
          <w:rStyle w:val="Hyperlink"/>
          <w:noProof/>
        </w:rPr>
        <w:t>E.</w:t>
      </w:r>
      <w:r>
        <w:rPr>
          <w:rFonts w:asciiTheme="minorHAnsi" w:eastAsiaTheme="minorEastAsia" w:hAnsiTheme="minorHAnsi"/>
          <w:noProof/>
          <w:sz w:val="22"/>
        </w:rPr>
        <w:tab/>
      </w:r>
      <w:r w:rsidRPr="00402AE3">
        <w:rPr>
          <w:rStyle w:val="Hyperlink"/>
          <w:noProof/>
        </w:rPr>
        <w:t>The PUCO should deny IGS’s argument that its decision is against the manifest weight of the evidence.</w:t>
      </w:r>
      <w:r>
        <w:rPr>
          <w:noProof/>
          <w:webHidden/>
        </w:rPr>
        <w:tab/>
      </w:r>
      <w:r>
        <w:rPr>
          <w:noProof/>
          <w:webHidden/>
        </w:rPr>
        <w:fldChar w:fldCharType="begin"/>
      </w:r>
      <w:r>
        <w:rPr>
          <w:noProof/>
          <w:webHidden/>
        </w:rPr>
        <w:instrText xml:space="preserve"> PAGEREF _Toc515895495 \h </w:instrText>
      </w:r>
      <w:r>
        <w:rPr>
          <w:noProof/>
          <w:webHidden/>
        </w:rPr>
        <w:fldChar w:fldCharType="separate"/>
      </w:r>
      <w:r>
        <w:rPr>
          <w:noProof/>
          <w:webHidden/>
        </w:rPr>
        <w:t>8</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"_Toc515895496" </w:instrText>
      </w:r>
      <w:r>
        <w:fldChar w:fldCharType="separate"/>
      </w:r>
      <w:r w:rsidRPr="00402AE3">
        <w:rPr>
          <w:rStyle w:val="Hyperlink"/>
          <w:noProof/>
        </w:rPr>
        <w:t>F.</w:t>
      </w:r>
      <w:r>
        <w:rPr>
          <w:rFonts w:asciiTheme="minorHAnsi" w:eastAsiaTheme="minorEastAsia" w:hAnsiTheme="minorHAnsi"/>
          <w:noProof/>
          <w:sz w:val="22"/>
        </w:rPr>
        <w:tab/>
      </w:r>
      <w:r w:rsidRPr="00402AE3">
        <w:rPr>
          <w:rStyle w:val="Hyperlink"/>
          <w:noProof/>
        </w:rPr>
        <w:t>The PUCO set forth the reasons prompting its decision to deny charging SSO customers under Rider RRR.</w:t>
      </w:r>
      <w:r>
        <w:rPr>
          <w:noProof/>
          <w:webHidden/>
        </w:rPr>
        <w:tab/>
      </w:r>
      <w:r>
        <w:rPr>
          <w:noProof/>
          <w:webHidden/>
        </w:rPr>
        <w:fldChar w:fldCharType="begin"/>
      </w:r>
      <w:r>
        <w:rPr>
          <w:noProof/>
          <w:webHidden/>
        </w:rPr>
        <w:instrText xml:space="preserve"> PAGEREF _Toc515895496 \h </w:instrText>
      </w:r>
      <w:r>
        <w:rPr>
          <w:noProof/>
          <w:webHidden/>
        </w:rPr>
        <w:fldChar w:fldCharType="separate"/>
      </w:r>
      <w:r>
        <w:rPr>
          <w:noProof/>
          <w:webHidden/>
        </w:rPr>
        <w:t>10</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"_Toc515895497" </w:instrText>
      </w:r>
      <w:r>
        <w:fldChar w:fldCharType="separate"/>
      </w:r>
      <w:r w:rsidRPr="00402AE3">
        <w:rPr>
          <w:rStyle w:val="Hyperlink"/>
          <w:noProof/>
        </w:rPr>
        <w:t>G.</w:t>
      </w:r>
      <w:r>
        <w:rPr>
          <w:rFonts w:asciiTheme="minorHAnsi" w:eastAsiaTheme="minorEastAsia" w:hAnsiTheme="minorHAnsi"/>
          <w:noProof/>
          <w:sz w:val="22"/>
        </w:rPr>
        <w:tab/>
      </w:r>
      <w:r w:rsidRPr="00402AE3">
        <w:rPr>
          <w:rStyle w:val="Hyperlink"/>
          <w:noProof/>
        </w:rPr>
        <w:t>The PUCO should deny IGS’s argument that the Opinion and Order resulted in unjust and unreasonable rates for consumers; if anything, the PUCO’s ruling avoided an unreasonable charge to consumers.</w:t>
      </w:r>
      <w:r>
        <w:rPr>
          <w:noProof/>
          <w:webHidden/>
        </w:rPr>
        <w:tab/>
      </w:r>
      <w:r>
        <w:rPr>
          <w:noProof/>
          <w:webHidden/>
        </w:rPr>
        <w:fldChar w:fldCharType="begin"/>
      </w:r>
      <w:r>
        <w:rPr>
          <w:noProof/>
          <w:webHidden/>
        </w:rPr>
        <w:instrText xml:space="preserve"> PAGEREF _Toc515895497 \h </w:instrText>
      </w:r>
      <w:r>
        <w:rPr>
          <w:noProof/>
          <w:webHidden/>
        </w:rPr>
        <w:fldChar w:fldCharType="separate"/>
      </w:r>
      <w:r>
        <w:rPr>
          <w:noProof/>
          <w:webHidden/>
        </w:rPr>
        <w:t>11</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"_Toc515895498" </w:instrText>
      </w:r>
      <w:r>
        <w:fldChar w:fldCharType="separate"/>
      </w:r>
      <w:r w:rsidRPr="00402AE3">
        <w:rPr>
          <w:rStyle w:val="Hyperlink"/>
          <w:noProof/>
        </w:rPr>
        <w:t>H.</w:t>
      </w:r>
      <w:r>
        <w:rPr>
          <w:rFonts w:asciiTheme="minorHAnsi" w:eastAsiaTheme="minorEastAsia" w:hAnsiTheme="minorHAnsi"/>
          <w:noProof/>
          <w:sz w:val="22"/>
        </w:rPr>
        <w:tab/>
      </w:r>
      <w:r w:rsidRPr="00402AE3">
        <w:rPr>
          <w:rStyle w:val="Hyperlink"/>
          <w:noProof/>
        </w:rPr>
        <w:t>The PUCO should deny the argument raised by IGS and RESA that the Opinion and Order violates state policy set forth in R.C. 4928.02.</w:t>
      </w:r>
      <w:r>
        <w:rPr>
          <w:noProof/>
          <w:webHidden/>
        </w:rPr>
        <w:tab/>
      </w:r>
      <w:r>
        <w:rPr>
          <w:noProof/>
          <w:webHidden/>
        </w:rPr>
        <w:fldChar w:fldCharType="begin"/>
      </w:r>
      <w:r>
        <w:rPr>
          <w:noProof/>
          <w:webHidden/>
        </w:rPr>
        <w:instrText xml:space="preserve"> PAGEREF _Toc515895498 \h </w:instrText>
      </w:r>
      <w:r>
        <w:rPr>
          <w:noProof/>
          <w:webHidden/>
        </w:rPr>
        <w:fldChar w:fldCharType="separate"/>
      </w:r>
      <w:r>
        <w:rPr>
          <w:noProof/>
          <w:webHidden/>
        </w:rPr>
        <w:t>12</w:t>
      </w:r>
      <w:r>
        <w:rPr>
          <w:noProof/>
          <w:webHidden/>
        </w:rPr>
        <w:fldChar w:fldCharType="end"/>
      </w:r>
      <w:r>
        <w:fldChar w:fldCharType="end"/>
      </w:r>
    </w:p>
    <w:p w:rsidR="00B14C20">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"_Toc515895499" </w:instrText>
      </w:r>
      <w:r>
        <w:fldChar w:fldCharType="separate"/>
      </w:r>
      <w:r w:rsidRPr="00402AE3">
        <w:rPr>
          <w:rStyle w:val="Hyperlink"/>
          <w:noProof/>
        </w:rPr>
        <w:t>I.</w:t>
      </w:r>
      <w:r>
        <w:rPr>
          <w:rFonts w:asciiTheme="minorHAnsi" w:eastAsiaTheme="minorEastAsia" w:hAnsiTheme="minorHAnsi"/>
          <w:noProof/>
          <w:sz w:val="22"/>
        </w:rPr>
        <w:tab/>
      </w:r>
      <w:r w:rsidRPr="00402AE3">
        <w:rPr>
          <w:rStyle w:val="Hyperlink"/>
          <w:noProof/>
        </w:rPr>
        <w:t>The PUCO should deny RESA’s argument that the Opinion and Order violates the PUCO’s previous Order in Case No. 14-1693-EL-SSO.</w:t>
      </w:r>
      <w:r>
        <w:rPr>
          <w:noProof/>
          <w:webHidden/>
        </w:rPr>
        <w:tab/>
      </w:r>
      <w:r>
        <w:rPr>
          <w:noProof/>
          <w:webHidden/>
        </w:rPr>
        <w:fldChar w:fldCharType="begin"/>
      </w:r>
      <w:r>
        <w:rPr>
          <w:noProof/>
          <w:webHidden/>
        </w:rPr>
        <w:instrText xml:space="preserve"> PAGEREF _Toc515895499 \h </w:instrText>
      </w:r>
      <w:r>
        <w:rPr>
          <w:noProof/>
          <w:webHidden/>
        </w:rPr>
        <w:fldChar w:fldCharType="separate"/>
      </w:r>
      <w:r>
        <w:rPr>
          <w:noProof/>
          <w:webHidden/>
        </w:rPr>
        <w:t>13</w:t>
      </w:r>
      <w:r>
        <w:rPr>
          <w:noProof/>
          <w:webHidden/>
        </w:rPr>
        <w:fldChar w:fldCharType="end"/>
      </w:r>
      <w:r>
        <w:fldChar w:fldCharType="end"/>
      </w:r>
    </w:p>
    <w:p w:rsidR="00B14C20">
      <w:pPr>
        <w:pStyle w:val="TOC1"/>
        <w:tabs>
          <w:tab w:val="right" w:leader="dot" w:pos="8630"/>
        </w:tabs>
        <w:rPr>
          <w:rFonts w:asciiTheme="minorHAnsi" w:eastAsiaTheme="minorEastAsia" w:hAnsiTheme="minorHAnsi"/>
          <w:noProof/>
          <w:sz w:val="22"/>
        </w:rPr>
      </w:pPr>
      <w:r>
        <w:fldChar w:fldCharType="begin"/>
      </w:r>
      <w:r>
        <w:instrText xml:space="preserve"> HYPERLINK \l "_Toc515895500" </w:instrText>
      </w:r>
      <w:r>
        <w:fldChar w:fldCharType="separate"/>
      </w:r>
      <w:r w:rsidRPr="00402AE3">
        <w:rPr>
          <w:rStyle w:val="Hyperlink"/>
          <w:noProof/>
          <w14:scene3d>
            <w14:camera w14:prst="orthographicFront"/>
            <w14:lightRig w14:rig="threePt" w14:dir="t">
              <w14:rot w14:lat="0" w14:lon="0" w14:rev="0"/>
            </w14:lightRig>
          </w14:scene3d>
          <w14:props3d/>
        </w:rPr>
        <w:t>III.</w:t>
      </w:r>
      <w:r>
        <w:rPr>
          <w:rFonts w:asciiTheme="minorHAnsi" w:eastAsiaTheme="minorEastAsia" w:hAnsiTheme="minorHAnsi"/>
          <w:noProof/>
          <w:sz w:val="22"/>
        </w:rPr>
        <w:tab/>
      </w:r>
      <w:r w:rsidRPr="00402AE3">
        <w:rPr>
          <w:rStyle w:val="Hyperlink"/>
          <w:noProof/>
        </w:rPr>
        <w:t>CONCLUSION</w:t>
      </w:r>
      <w:r>
        <w:rPr>
          <w:noProof/>
          <w:webHidden/>
        </w:rPr>
        <w:tab/>
      </w:r>
      <w:r>
        <w:rPr>
          <w:noProof/>
          <w:webHidden/>
        </w:rPr>
        <w:fldChar w:fldCharType="begin"/>
      </w:r>
      <w:r>
        <w:rPr>
          <w:noProof/>
          <w:webHidden/>
        </w:rPr>
        <w:instrText xml:space="preserve"> PAGEREF _Toc515895500 \h </w:instrText>
      </w:r>
      <w:r>
        <w:rPr>
          <w:noProof/>
          <w:webHidden/>
        </w:rPr>
        <w:fldChar w:fldCharType="separate"/>
      </w:r>
      <w:r>
        <w:rPr>
          <w:noProof/>
          <w:webHidden/>
        </w:rPr>
        <w:t>14</w:t>
      </w:r>
      <w:r>
        <w:rPr>
          <w:noProof/>
          <w:webHidden/>
        </w:rPr>
        <w:fldChar w:fldCharType="end"/>
      </w:r>
      <w:r>
        <w:fldChar w:fldCharType="end"/>
      </w:r>
    </w:p>
    <w:p w:rsidR="00EF4920" w:rsidRPr="00EF4920" w:rsidP="005E0CC3">
      <w:pPr>
        <w:spacing w:after="0" w:line="240" w:lineRule="auto"/>
        <w:ind w:left="4320"/>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rsidR="005E0CC3" w:rsidRPr="006B64AA" w:rsidP="005E0CC3">
      <w:pPr>
        <w:spacing w:after="0" w:line="240" w:lineRule="auto"/>
        <w:rPr>
          <w:rFonts w:ascii="Times New Roman" w:eastAsia="Times New Roman" w:hAnsi="Times New Roman" w:cs="Times New Roman"/>
          <w:sz w:val="24"/>
          <w:szCs w:val="24"/>
        </w:rPr>
        <w:sectPr w:rsidSect="00EF4920">
          <w:footerReference w:type="default" r:id="rId11"/>
          <w:pgSz w:w="12240" w:h="15840"/>
          <w:pgMar w:top="1440" w:right="1800" w:bottom="1440" w:left="1800" w:header="720" w:footer="720" w:gutter="0"/>
          <w:pgNumType w:fmt="lowerRoman" w:start="1"/>
          <w:cols w:space="720"/>
          <w:docGrid w:linePitch="360"/>
        </w:sectPr>
      </w:pP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BEFORE</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B64AA">
        <w:rPr>
          <w:rFonts w:ascii="Times New Roman" w:eastAsia="Calibri" w:hAnsi="Times New Roman" w:cs="Times New Roman"/>
          <w:b/>
          <w:bCs/>
          <w:sz w:val="24"/>
          <w:szCs w:val="24"/>
        </w:rPr>
        <w:t>THE PUBLIC UTILITIES COMMISSION OF OHIO</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DB5737">
        <w:tblPrEx>
          <w:tblW w:w="9092" w:type="dxa"/>
          <w:tblInd w:w="-106" w:type="dxa"/>
          <w:tblCellMar>
            <w:top w:w="0" w:type="dxa"/>
            <w:left w:w="108" w:type="dxa"/>
            <w:bottom w:w="0" w:type="dxa"/>
            <w:right w:w="108" w:type="dxa"/>
          </w:tblCellMar>
          <w:tblLook w:val="01E0"/>
        </w:tblPrEx>
        <w:trPr>
          <w:trHeight w:val="807"/>
        </w:trPr>
        <w:tc>
          <w:tcPr>
            <w:tcW w:w="4332" w:type="dxa"/>
          </w:tcPr>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 xml:space="preserve">In the Matter of the Application of </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Ohio Power Company for Authority to Establish A Standard Service Offer Pursuant to R.C. 4928.143, In the Form of an Electric Security Plan.</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565689">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In the Matter of the Application of Ohio Power Company for Approval of Certain Accounting Authority.</w:t>
            </w:r>
          </w:p>
        </w:tc>
        <w:tc>
          <w:tcPr>
            <w:tcW w:w="360" w:type="dxa"/>
            <w:hideMark/>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65689"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65689"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tc>
        <w:tc>
          <w:tcPr>
            <w:tcW w:w="4400" w:type="dxa"/>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565689"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16-1852-EL-SSO</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65689"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16-1853-EL-AAM</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tc>
      </w:tr>
    </w:tbl>
    <w:p w:rsidR="00DB5737" w:rsidRPr="006B64AA" w:rsidP="00DB573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DB5737" w:rsidRPr="006B64AA" w:rsidP="00DB5737">
      <w:pPr>
        <w:autoSpaceDE w:val="0"/>
        <w:autoSpaceDN w:val="0"/>
        <w:adjustRightInd w:val="0"/>
        <w:spacing w:after="0" w:line="240" w:lineRule="auto"/>
        <w:rPr>
          <w:rFonts w:ascii="Times New Roman" w:eastAsia="Calibri" w:hAnsi="Times New Roman" w:cs="Times New Roman"/>
          <w:sz w:val="20"/>
          <w:szCs w:val="24"/>
        </w:rPr>
      </w:pPr>
    </w:p>
    <w:p w:rsidR="00866F81" w:rsidP="00866F8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MEMORANDUM CONTRA </w:t>
      </w:r>
    </w:p>
    <w:p w:rsidR="00866F81" w:rsidRPr="006B64AA" w:rsidP="00866F81">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APPLICATION</w:t>
      </w:r>
      <w:r>
        <w:rPr>
          <w:rFonts w:ascii="Times New Roman" w:eastAsia="Calibri" w:hAnsi="Times New Roman" w:cs="Times New Roman"/>
          <w:b/>
          <w:bCs/>
          <w:sz w:val="24"/>
          <w:szCs w:val="24"/>
        </w:rPr>
        <w:t>S</w:t>
      </w:r>
      <w:r w:rsidRPr="006B64AA">
        <w:rPr>
          <w:rFonts w:ascii="Times New Roman" w:eastAsia="Calibri" w:hAnsi="Times New Roman" w:cs="Times New Roman"/>
          <w:b/>
          <w:bCs/>
          <w:sz w:val="24"/>
          <w:szCs w:val="24"/>
        </w:rPr>
        <w:t xml:space="preserve"> FOR REHEARING</w:t>
      </w:r>
      <w:r>
        <w:rPr>
          <w:rFonts w:ascii="Times New Roman" w:eastAsia="Calibri" w:hAnsi="Times New Roman" w:cs="Times New Roman"/>
          <w:b/>
          <w:bCs/>
          <w:sz w:val="24"/>
          <w:szCs w:val="24"/>
        </w:rPr>
        <w:t xml:space="preserve"> OF OHIO POWER COMPANY, INTERSTATE GAS SUPPLY, INC., AND RETAIL ELECTRIC SUPPLY ASSOCIATION</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BY</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THE OFFICE OF THE OHIO CONSUMERS’ COUNSEL</w:t>
      </w:r>
    </w:p>
    <w:p w:rsidR="00DB5737" w:rsidRPr="006B64AA" w:rsidP="00DB573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572FB" w:rsidRPr="006B64AA" w:rsidP="002572F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427B1" w:rsidRPr="002427B1" w:rsidP="00EF4920">
      <w:pPr>
        <w:pStyle w:val="Heading1"/>
      </w:pPr>
      <w:bookmarkStart w:id="1" w:name="_Toc482612430"/>
      <w:bookmarkStart w:id="2" w:name="_Toc515895489"/>
      <w:r w:rsidRPr="006B64AA">
        <w:t>INTRODUCTION</w:t>
      </w:r>
      <w:bookmarkEnd w:id="1"/>
      <w:bookmarkEnd w:id="2"/>
    </w:p>
    <w:p w:rsidR="003A4D08" w:rsidP="003A4D08">
      <w:pPr>
        <w:spacing w:line="480" w:lineRule="auto"/>
        <w:ind w:firstLine="720"/>
        <w:contextualSpacing/>
        <w:rPr>
          <w:rFonts w:ascii="Times New Roman" w:hAnsi="Times New Roman" w:cs="Times New Roman"/>
          <w:sz w:val="24"/>
          <w:szCs w:val="24"/>
        </w:rPr>
      </w:pPr>
      <w:r w:rsidRPr="00CD3EC5">
        <w:rPr>
          <w:rFonts w:ascii="Times New Roman" w:hAnsi="Times New Roman" w:cs="Times New Roman"/>
          <w:sz w:val="24"/>
          <w:szCs w:val="24"/>
        </w:rPr>
        <w:t xml:space="preserve">AEP’s application in this case included many </w:t>
      </w:r>
      <w:r>
        <w:rPr>
          <w:rFonts w:ascii="Times New Roman" w:hAnsi="Times New Roman" w:cs="Times New Roman"/>
          <w:sz w:val="24"/>
          <w:szCs w:val="24"/>
        </w:rPr>
        <w:t xml:space="preserve">charges to customers arising from </w:t>
      </w:r>
      <w:r w:rsidRPr="00CD3EC5">
        <w:rPr>
          <w:rFonts w:ascii="Times New Roman" w:hAnsi="Times New Roman" w:cs="Times New Roman"/>
          <w:sz w:val="24"/>
          <w:szCs w:val="24"/>
        </w:rPr>
        <w:t>the PUCO-approved settlement in Case No. 14-1693-EL-RDR (“PPA Case”)</w:t>
      </w:r>
      <w:r>
        <w:rPr>
          <w:rFonts w:ascii="Times New Roman" w:hAnsi="Times New Roman" w:cs="Times New Roman"/>
          <w:sz w:val="24"/>
          <w:szCs w:val="24"/>
        </w:rPr>
        <w:t xml:space="preserve"> and other subsidies that customers will pay</w:t>
      </w:r>
      <w:r w:rsidRPr="00CD3EC5">
        <w:rPr>
          <w:rFonts w:ascii="Times New Roman" w:hAnsi="Times New Roman" w:cs="Times New Roman"/>
          <w:sz w:val="24"/>
          <w:szCs w:val="24"/>
        </w:rPr>
        <w:t>. Among</w:t>
      </w:r>
      <w:r>
        <w:rPr>
          <w:rFonts w:ascii="Times New Roman" w:hAnsi="Times New Roman" w:cs="Times New Roman"/>
          <w:sz w:val="24"/>
          <w:szCs w:val="24"/>
        </w:rPr>
        <w:t xml:space="preserve"> the bad news for customers are</w:t>
      </w:r>
      <w:r w:rsidRPr="00CD3EC5">
        <w:rPr>
          <w:rFonts w:ascii="Times New Roman" w:hAnsi="Times New Roman" w:cs="Times New Roman"/>
          <w:sz w:val="24"/>
          <w:szCs w:val="24"/>
        </w:rPr>
        <w:t xml:space="preserve"> </w:t>
      </w:r>
      <w:r>
        <w:rPr>
          <w:rFonts w:ascii="Times New Roman" w:hAnsi="Times New Roman" w:cs="Times New Roman"/>
          <w:sz w:val="24"/>
          <w:szCs w:val="24"/>
        </w:rPr>
        <w:t>the continued charges for</w:t>
      </w:r>
      <w:r w:rsidRPr="00CD3EC5">
        <w:rPr>
          <w:rFonts w:ascii="Times New Roman" w:hAnsi="Times New Roman" w:cs="Times New Roman"/>
          <w:sz w:val="24"/>
          <w:szCs w:val="24"/>
        </w:rPr>
        <w:t xml:space="preserve"> </w:t>
      </w:r>
      <w:r>
        <w:rPr>
          <w:rFonts w:ascii="Times New Roman" w:hAnsi="Times New Roman" w:cs="Times New Roman"/>
          <w:sz w:val="24"/>
          <w:szCs w:val="24"/>
        </w:rPr>
        <w:t>a Power Purchase Agreement Rider (“PPA Rider”) for customers to subsidize two 60-year old coal-fired power plants owned by OVEC and a so-called Competition Incentive Rider. The latter charge would, in effect, increase what consumers pay for AEP’s standard service offer (“SSO”) relative to offers from energy marketers.</w:t>
      </w:r>
      <w:r>
        <w:rPr>
          <w:rFonts w:ascii="Times New Roman" w:hAnsi="Times New Roman" w:cs="Times New Roman"/>
          <w:sz w:val="24"/>
          <w:szCs w:val="24"/>
          <w:vertAlign w:val="superscript"/>
        </w:rPr>
        <w:footnoteReference w:id="2"/>
      </w:r>
    </w:p>
    <w:p w:rsidR="00DB5737" w:rsidP="00866F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Regarding the OVEC plant subsidy, the only consolation in the recent PUCO Order for customers is that AEP is prohibited from charging customers under the PPA Rider for transmission system additions, improvements, or other transmission-related projects.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But AEP, apparently not content with the amount of the subsidy it will receive, argues (without record support) that the PUCO should allow it to charge customers even more under the existing PPA rider for subsidizing transmission projects.  The PUCO should reject AEP’s argument and find that customers should not subsidize AEP’s transmission projects under the PPA Rider.</w:t>
      </w:r>
    </w:p>
    <w:p w:rsidR="00A90CAA" w:rsidP="0066372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Regarding the so-called Competition Incentive Rider, the PUCO acknowledged that the rider has nothing to do with competition and renamed it the Retail Reconciliation Rider (“RRR”).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RRR, as proposed, would require AEP to make its SSO customers pay more. And those higher payments from standard offer customers would then be used in part for the benefit of, in effect, lowering rates for marketer customers. </w:t>
      </w:r>
      <w:r w:rsidRPr="00CD3EC5">
        <w:rPr>
          <w:rFonts w:ascii="Times New Roman" w:hAnsi="Times New Roman" w:cs="Times New Roman"/>
          <w:sz w:val="24"/>
          <w:szCs w:val="24"/>
        </w:rPr>
        <w:t xml:space="preserve">The RRR would </w:t>
      </w:r>
      <w:r>
        <w:rPr>
          <w:rFonts w:ascii="Times New Roman" w:hAnsi="Times New Roman" w:cs="Times New Roman"/>
          <w:sz w:val="24"/>
          <w:szCs w:val="24"/>
        </w:rPr>
        <w:t>add unjustified</w:t>
      </w:r>
      <w:r w:rsidRPr="00CD3EC5">
        <w:rPr>
          <w:rFonts w:ascii="Times New Roman" w:hAnsi="Times New Roman" w:cs="Times New Roman"/>
          <w:sz w:val="24"/>
          <w:szCs w:val="24"/>
        </w:rPr>
        <w:t xml:space="preserve"> charges</w:t>
      </w:r>
      <w:r>
        <w:rPr>
          <w:rFonts w:ascii="Times New Roman" w:hAnsi="Times New Roman" w:cs="Times New Roman"/>
          <w:sz w:val="24"/>
          <w:szCs w:val="24"/>
        </w:rPr>
        <w:t xml:space="preserve"> to AEP’s otherwise competitively-</w:t>
      </w:r>
      <w:r w:rsidRPr="00CD3EC5">
        <w:rPr>
          <w:rFonts w:ascii="Times New Roman" w:hAnsi="Times New Roman" w:cs="Times New Roman"/>
          <w:sz w:val="24"/>
          <w:szCs w:val="24"/>
        </w:rPr>
        <w:t>priced SSO</w:t>
      </w:r>
      <w:r>
        <w:rPr>
          <w:rFonts w:ascii="Times New Roman" w:hAnsi="Times New Roman" w:cs="Times New Roman"/>
          <w:sz w:val="24"/>
          <w:szCs w:val="24"/>
        </w:rPr>
        <w:t xml:space="preserve"> for customers</w:t>
      </w:r>
      <w:r w:rsidRPr="00CD3EC5">
        <w:rPr>
          <w:rFonts w:ascii="Times New Roman" w:hAnsi="Times New Roman" w:cs="Times New Roman"/>
          <w:sz w:val="24"/>
          <w:szCs w:val="24"/>
        </w:rPr>
        <w:t>.</w:t>
      </w:r>
      <w:r>
        <w:rPr>
          <w:rFonts w:ascii="Times New Roman" w:hAnsi="Times New Roman" w:cs="Times New Roman"/>
          <w:sz w:val="24"/>
          <w:szCs w:val="24"/>
        </w:rPr>
        <w:t xml:space="preserve"> Fortunately, a</w:t>
      </w:r>
      <w:r w:rsidRPr="00CD3EC5">
        <w:rPr>
          <w:rFonts w:ascii="Times New Roman" w:hAnsi="Times New Roman" w:cs="Times New Roman"/>
          <w:sz w:val="24"/>
          <w:szCs w:val="24"/>
        </w:rPr>
        <w:t xml:space="preserve">fter weighing the </w:t>
      </w:r>
      <w:r>
        <w:rPr>
          <w:rFonts w:ascii="Times New Roman" w:hAnsi="Times New Roman" w:cs="Times New Roman"/>
          <w:sz w:val="24"/>
          <w:szCs w:val="24"/>
        </w:rPr>
        <w:t xml:space="preserve">record </w:t>
      </w:r>
      <w:r w:rsidRPr="00CD3EC5">
        <w:rPr>
          <w:rFonts w:ascii="Times New Roman" w:hAnsi="Times New Roman" w:cs="Times New Roman"/>
          <w:sz w:val="24"/>
          <w:szCs w:val="24"/>
        </w:rPr>
        <w:t>evidence</w:t>
      </w:r>
      <w:r>
        <w:rPr>
          <w:rFonts w:ascii="Times New Roman" w:hAnsi="Times New Roman" w:cs="Times New Roman"/>
          <w:sz w:val="24"/>
          <w:szCs w:val="24"/>
        </w:rPr>
        <w:t>,</w:t>
      </w:r>
      <w:r w:rsidRPr="00CD3EC5">
        <w:rPr>
          <w:rFonts w:ascii="Times New Roman" w:hAnsi="Times New Roman" w:cs="Times New Roman"/>
          <w:sz w:val="24"/>
          <w:szCs w:val="24"/>
        </w:rPr>
        <w:t xml:space="preserve"> the PUCO determined that it was not appropriate</w:t>
      </w:r>
      <w:r>
        <w:rPr>
          <w:rFonts w:ascii="Times New Roman" w:hAnsi="Times New Roman" w:cs="Times New Roman"/>
          <w:sz w:val="24"/>
          <w:szCs w:val="24"/>
        </w:rPr>
        <w:t xml:space="preserve"> for AEP</w:t>
      </w:r>
      <w:r w:rsidRPr="00CD3EC5">
        <w:rPr>
          <w:rFonts w:ascii="Times New Roman" w:hAnsi="Times New Roman" w:cs="Times New Roman"/>
          <w:sz w:val="24"/>
          <w:szCs w:val="24"/>
        </w:rPr>
        <w:t xml:space="preserve"> to charge </w:t>
      </w:r>
      <w:r>
        <w:rPr>
          <w:rFonts w:ascii="Times New Roman" w:hAnsi="Times New Roman" w:cs="Times New Roman"/>
          <w:sz w:val="24"/>
          <w:szCs w:val="24"/>
        </w:rPr>
        <w:t>its SSO customers</w:t>
      </w:r>
      <w:r w:rsidRPr="00CD3EC5">
        <w:rPr>
          <w:rFonts w:ascii="Times New Roman" w:hAnsi="Times New Roman" w:cs="Times New Roman"/>
          <w:sz w:val="24"/>
          <w:szCs w:val="24"/>
        </w:rPr>
        <w:t xml:space="preserve"> under the RRR at this time.</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The PUCO should reject the arguments raised by IGS and RESA to implement the RRR.</w:t>
      </w:r>
    </w:p>
    <w:p w:rsidR="006B64AA" w:rsidP="00EF4920">
      <w:pPr>
        <w:pStyle w:val="Heading1"/>
      </w:pPr>
      <w:bookmarkStart w:id="3" w:name="_Toc515895490"/>
      <w:bookmarkStart w:id="4" w:name="_Toc482612431"/>
      <w:r>
        <w:t>ARGUMENT</w:t>
      </w:r>
      <w:bookmarkEnd w:id="3"/>
    </w:p>
    <w:p w:rsidR="00B15908" w:rsidP="00EF4920">
      <w:pPr>
        <w:pStyle w:val="Heading2"/>
      </w:pPr>
      <w:bookmarkStart w:id="5" w:name="_Toc515895491"/>
      <w:r>
        <w:t>The PUCO set forth the reasons prompting its decision to exclude AEP from charging customers for transmission costs under the existing PPA Rider.</w:t>
      </w:r>
      <w:bookmarkEnd w:id="5"/>
    </w:p>
    <w:p w:rsidR="00344B28" w:rsidRPr="004C42B1" w:rsidP="00CD3E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PUCO's approval of AEP's PPA Rider (in Case No. 14-1693), and after the hearing in this case, OVEC sought to be integrated into PJM.  The integration agreement would allow for transmission projects deemed necessary for OVEC to be allocated (charged) to PJM customers.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But t</w:t>
      </w:r>
      <w:r w:rsidRPr="004C42B1">
        <w:rPr>
          <w:rFonts w:ascii="Times New Roman" w:hAnsi="Times New Roman" w:cs="Times New Roman"/>
          <w:sz w:val="24"/>
          <w:szCs w:val="24"/>
        </w:rPr>
        <w:t>he PUCO stated</w:t>
      </w:r>
      <w:r>
        <w:rPr>
          <w:rFonts w:ascii="Times New Roman" w:hAnsi="Times New Roman" w:cs="Times New Roman"/>
          <w:sz w:val="24"/>
          <w:szCs w:val="24"/>
        </w:rPr>
        <w:t xml:space="preserve"> in its Order that</w:t>
      </w:r>
      <w:r w:rsidRPr="004C42B1">
        <w:rPr>
          <w:rFonts w:ascii="Times New Roman" w:hAnsi="Times New Roman" w:cs="Times New Roman"/>
          <w:sz w:val="24"/>
          <w:szCs w:val="24"/>
        </w:rPr>
        <w:t xml:space="preserve"> </w:t>
      </w:r>
      <w:r w:rsidRPr="00C6552F">
        <w:rPr>
          <w:rFonts w:ascii="Times New Roman" w:hAnsi="Times New Roman" w:cs="Times New Roman"/>
          <w:sz w:val="24"/>
          <w:szCs w:val="24"/>
        </w:rPr>
        <w:t xml:space="preserve">the Settlement is for AEP to “retain the </w:t>
      </w:r>
      <w:r w:rsidRPr="00C6552F">
        <w:rPr>
          <w:rFonts w:ascii="Times New Roman" w:hAnsi="Times New Roman" w:cs="Times New Roman"/>
          <w:i/>
          <w:iCs/>
          <w:sz w:val="24"/>
          <w:szCs w:val="24"/>
        </w:rPr>
        <w:t>status quo</w:t>
      </w:r>
      <w:r w:rsidRPr="00C6552F">
        <w:rPr>
          <w:rFonts w:ascii="Times New Roman" w:hAnsi="Times New Roman" w:cs="Times New Roman"/>
          <w:sz w:val="24"/>
          <w:szCs w:val="24"/>
        </w:rPr>
        <w:t xml:space="preserve"> recovery of OVEC costs through the non-bypassable PPA Rider</w:t>
      </w:r>
      <w:r>
        <w:rPr>
          <w:rFonts w:ascii="Times New Roman" w:hAnsi="Times New Roman" w:cs="Times New Roman"/>
          <w:sz w:val="24"/>
          <w:szCs w:val="24"/>
        </w:rPr>
        <w:t>”</w:t>
      </w:r>
      <w:r w:rsidRPr="00C6552F">
        <w:rPr>
          <w:rFonts w:ascii="Times New Roman" w:hAnsi="Times New Roman" w:cs="Times New Roman"/>
          <w:sz w:val="24"/>
          <w:szCs w:val="24"/>
        </w:rPr>
        <w:t xml:space="preserve"> through the Extended ESP III term – May 31, 2024.</w:t>
      </w:r>
      <w:r>
        <w:rPr>
          <w:rStyle w:val="FootnoteReference"/>
          <w:rFonts w:ascii="Times New Roman" w:hAnsi="Times New Roman" w:cs="Times New Roman"/>
          <w:sz w:val="24"/>
          <w:szCs w:val="24"/>
        </w:rPr>
        <w:footnoteReference w:id="7"/>
      </w:r>
      <w:r w:rsidRPr="006C52D7">
        <w:rPr>
          <w:rFonts w:ascii="Times New Roman" w:hAnsi="Times New Roman" w:cs="Times New Roman"/>
          <w:color w:val="1F497D"/>
          <w:sz w:val="24"/>
          <w:szCs w:val="24"/>
        </w:rPr>
        <w:t xml:space="preserve">  </w:t>
      </w:r>
    </w:p>
    <w:p w:rsidR="00344B28" w:rsidP="00CD3E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 this recent development, the PUCO clarified that the PPA Rider it had authorized in AEP's prior case, which did not include the costs that AEP wants to charge customers for now, should still not include any costs associated with transmission system additions, improvements, or other projects under PJM’s Regional Transmission Expansion Plan or supplemental transmission projects.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PUCO found that its clarification was necessary to make sure that AEP's customers receive the intended benefit of the PPA rider and to ensure that customers receive reasonably priced retail electric service. </w:t>
      </w:r>
    </w:p>
    <w:p w:rsidR="00344B28" w:rsidP="00CD3E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applied for rehearing on the PUCO's finding.  AEP argues there is no evidence in the record regarding OVEC’s actual or expected transmission costs. Therefore, according to AEP, the PUCO’s Opinion and Order violates R.C. 4903.09 because the PUCO did not issue “findings of fact and written opinions setting forth the reasons prompting the decisions arrived at, based upon said findings of fact.”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B15908" w:rsidRPr="000C6BD2" w:rsidP="00CD3E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AEP’s argument lacks merit. The lack of record support is exactly why transmission costs should be excluded from the PPA Rider. AEP’s argument cuts both ways; if there is no record support for the PUCO to </w:t>
      </w:r>
      <w:r w:rsidRPr="00516BDD">
        <w:rPr>
          <w:rFonts w:ascii="Times New Roman" w:hAnsi="Times New Roman" w:cs="Times New Roman"/>
          <w:i/>
          <w:sz w:val="24"/>
          <w:szCs w:val="24"/>
        </w:rPr>
        <w:t>exclude</w:t>
      </w:r>
      <w:r>
        <w:rPr>
          <w:rFonts w:ascii="Times New Roman" w:hAnsi="Times New Roman" w:cs="Times New Roman"/>
          <w:sz w:val="24"/>
          <w:szCs w:val="24"/>
        </w:rPr>
        <w:t xml:space="preserve"> transmission costs from the PPA Rider, then there is necessarily no record support to </w:t>
      </w:r>
      <w:r w:rsidRPr="00516BDD">
        <w:rPr>
          <w:rFonts w:ascii="Times New Roman" w:hAnsi="Times New Roman" w:cs="Times New Roman"/>
          <w:i/>
          <w:sz w:val="24"/>
          <w:szCs w:val="24"/>
        </w:rPr>
        <w:t>include</w:t>
      </w:r>
      <w:r>
        <w:rPr>
          <w:rFonts w:ascii="Times New Roman" w:hAnsi="Times New Roman" w:cs="Times New Roman"/>
          <w:sz w:val="24"/>
          <w:szCs w:val="24"/>
        </w:rPr>
        <w:t xml:space="preserve"> transmission costs in the PPA Rider. While AEP must carry its burden and develop an evidentiary record to charge customers, the PUCO has no such burden to create an evidentiary record to limit the scope of a charge to just that which has been addressed in the record. In this case, OVEC-related transmission projects (and all else related to OVEC, as charging customers to subsidize OVEC under AEP’s PPA Rider occurred in Case No. 14-1693) are outside the scope of the record, so AEP should be prohibited from charging customers for OVEC-related transmission projects under the PPA Rider. </w:t>
      </w:r>
    </w:p>
    <w:p w:rsidR="00B15908" w:rsidP="00EF4920">
      <w:pPr>
        <w:pStyle w:val="Heading2"/>
      </w:pPr>
      <w:bookmarkStart w:id="6" w:name="_Toc515895492"/>
      <w:r w:rsidRPr="00B15908">
        <w:t xml:space="preserve">The PUCO should uphold its lawful determination that </w:t>
      </w:r>
      <w:r>
        <w:t>OVEC transmission costs should not be charged to customers under the existing PPA Rider</w:t>
      </w:r>
      <w:r w:rsidRPr="00B15908">
        <w:t>.</w:t>
      </w:r>
      <w:bookmarkEnd w:id="6"/>
    </w:p>
    <w:p w:rsidR="005E0CC3" w:rsidP="00866F81">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The PUCO is well within its authority to prohibit AEP from collecting future OVEC transmission costs from customers through the existing PPA Rider. The PUCO asserted that its determination to exclude transmission costs from the PPA Rider was “necessary to . . . effectuate [the PUCO’s] intention in approving the inclusion of the OVEC generating units in the PPA Rider . . .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PUCO determined in a previous proceeding that authorized the PPA rider (Case No. 14-1693-EL-RDR), that there was sufficient record support to include the OVEC generating units, and </w:t>
      </w:r>
      <w:r w:rsidRPr="001C2EF9">
        <w:rPr>
          <w:rFonts w:ascii="Times New Roman" w:hAnsi="Times New Roman" w:cs="Times New Roman"/>
          <w:i/>
          <w:sz w:val="24"/>
          <w:szCs w:val="24"/>
        </w:rPr>
        <w:t>only</w:t>
      </w:r>
      <w:r>
        <w:rPr>
          <w:rFonts w:ascii="Times New Roman" w:hAnsi="Times New Roman" w:cs="Times New Roman"/>
          <w:sz w:val="24"/>
          <w:szCs w:val="24"/>
        </w:rPr>
        <w:t xml:space="preserve"> the OVEC generating units, in the PPA Rider.</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PUCO properly and lawfully determined that transmission costs should be excluded from the PPA Rider. As AEP points out, there is no record for adding transmission projects to the PPA Rider subsidy.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Rehearing should be denied. </w:t>
      </w:r>
    </w:p>
    <w:p w:rsidR="00B23466" w:rsidP="00EF4920">
      <w:pPr>
        <w:pStyle w:val="Heading2"/>
      </w:pPr>
      <w:bookmarkStart w:id="7" w:name="_Toc515895493"/>
      <w:r>
        <w:t>The PUCO should deny AEP’s request to clarify its determination that transmission costs should not be recovered through the PPA Rider because AEP’s OVEC-related transmission costs are outside the scope of this proceeding.</w:t>
      </w:r>
      <w:bookmarkEnd w:id="7"/>
    </w:p>
    <w:p w:rsidR="00B23466" w:rsidP="003844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determined that the PPA Rider</w:t>
      </w:r>
      <w:r w:rsidRPr="00384413">
        <w:t xml:space="preserve"> </w:t>
      </w:r>
      <w:r w:rsidRPr="00384413">
        <w:rPr>
          <w:rFonts w:ascii="Times New Roman" w:hAnsi="Times New Roman" w:cs="Times New Roman"/>
          <w:sz w:val="24"/>
          <w:szCs w:val="24"/>
        </w:rPr>
        <w:t>shall not include any costs associated with transmission system additions, improvements, or other projects under PJM’s Regional Transmission Expansion Plan or sup</w:t>
      </w:r>
      <w:r>
        <w:rPr>
          <w:rFonts w:ascii="Times New Roman" w:hAnsi="Times New Roman" w:cs="Times New Roman"/>
          <w:sz w:val="24"/>
          <w:szCs w:val="24"/>
        </w:rPr>
        <w:t>plemental transmission projects.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That determination needs no clarification. Quite simply, the PPA Rider is not the mechanism for AEP to charge customers for OVEC-related transmission projects. AEP’s request for the PUCO to clarify that AEP may charge customers for transmission expansion through the PPA Rider exceeds the scope of this proceeding. AEP even concedes that the evidentiary record does not support a determination regarding charging customers for OVEC-related transmission projects.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AA0A09" w:rsidP="00886E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asserts there is a </w:t>
      </w:r>
      <w:r w:rsidRPr="00384413">
        <w:rPr>
          <w:rFonts w:ascii="Times New Roman" w:hAnsi="Times New Roman" w:cs="Times New Roman"/>
          <w:i/>
          <w:sz w:val="24"/>
          <w:szCs w:val="24"/>
        </w:rPr>
        <w:t>Pike County</w:t>
      </w:r>
      <w:r>
        <w:rPr>
          <w:rFonts w:ascii="Times New Roman" w:hAnsi="Times New Roman" w:cs="Times New Roman"/>
          <w:sz w:val="24"/>
          <w:szCs w:val="24"/>
        </w:rPr>
        <w:t xml:space="preserve"> doctrine that grants the PUCO authority to judge the prudence of wholesale purchases for the purposes of retail ratemaking.</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AEP argues that this </w:t>
      </w:r>
      <w:r w:rsidRPr="0041731F">
        <w:rPr>
          <w:rFonts w:ascii="Times New Roman" w:hAnsi="Times New Roman" w:cs="Times New Roman"/>
          <w:i/>
          <w:sz w:val="24"/>
          <w:szCs w:val="24"/>
        </w:rPr>
        <w:t>Pike County</w:t>
      </w:r>
      <w:r>
        <w:rPr>
          <w:rFonts w:ascii="Times New Roman" w:hAnsi="Times New Roman" w:cs="Times New Roman"/>
          <w:sz w:val="24"/>
          <w:szCs w:val="24"/>
        </w:rPr>
        <w:t xml:space="preserve"> doctrine provides a preemption exception such that states can perform their own examination of a utility’s wholesale purchase agreement (even if FERC has approved the agreement’s wholesale rate), so long as the state does not take it upon itself to re-examine FERC’s approval of the wholesale rate and attempt to prevent a utility from recovering that rate based on its unreasonableness.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AEP then says that through periodic audits, under R.C. 4928.143, the PUCO has and will continue to exercise its </w:t>
      </w:r>
      <w:r w:rsidRPr="00886EFE">
        <w:rPr>
          <w:rFonts w:ascii="Times New Roman" w:hAnsi="Times New Roman" w:cs="Times New Roman"/>
          <w:i/>
          <w:sz w:val="24"/>
          <w:szCs w:val="24"/>
        </w:rPr>
        <w:t>Pike County</w:t>
      </w:r>
      <w:r>
        <w:rPr>
          <w:rFonts w:ascii="Times New Roman" w:hAnsi="Times New Roman" w:cs="Times New Roman"/>
          <w:sz w:val="24"/>
          <w:szCs w:val="24"/>
        </w:rPr>
        <w:t xml:space="preserve"> authority to ensure that OVEC costs are properly accounted for in rates and that AEP has prudently exercised its OVEC contractual rights.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So far, so good.  </w:t>
      </w:r>
    </w:p>
    <w:p w:rsidR="00B23466" w:rsidRPr="00B23466" w:rsidP="00886EFE">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But then AEP goes further and argues that precluding AEP from charging customers in the future for OVEC-related transmission projects would exceed the type of prudence that the PUCO has permissibly conducted under the </w:t>
      </w:r>
      <w:r w:rsidRPr="00886EFE">
        <w:rPr>
          <w:rFonts w:ascii="Times New Roman" w:hAnsi="Times New Roman" w:cs="Times New Roman"/>
          <w:i/>
          <w:sz w:val="24"/>
          <w:szCs w:val="24"/>
        </w:rPr>
        <w:t>Pike County</w:t>
      </w:r>
      <w:r>
        <w:rPr>
          <w:rFonts w:ascii="Times New Roman" w:hAnsi="Times New Roman" w:cs="Times New Roman"/>
          <w:sz w:val="24"/>
          <w:szCs w:val="24"/>
        </w:rPr>
        <w:t xml:space="preserve"> doctrine.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PUCO should reject this argument, as charging customers for transmission projects under the PPA Rider plainly exceeds the scope of this proceeding. The </w:t>
      </w:r>
      <w:r w:rsidRPr="002604E3">
        <w:rPr>
          <w:rFonts w:ascii="Times New Roman" w:hAnsi="Times New Roman" w:cs="Times New Roman"/>
          <w:i/>
          <w:sz w:val="24"/>
          <w:szCs w:val="24"/>
        </w:rPr>
        <w:t>Pike County</w:t>
      </w:r>
      <w:r>
        <w:rPr>
          <w:rFonts w:ascii="Times New Roman" w:hAnsi="Times New Roman" w:cs="Times New Roman"/>
          <w:sz w:val="24"/>
          <w:szCs w:val="24"/>
        </w:rPr>
        <w:t xml:space="preserve"> doctrine does not require a state to authorize recovery, and it certainly does not dictate that a particular rider must be used to charge customers for transmission projects. AEP’s argument is misguided and lacks merit.  Rehearing should be denied. </w:t>
      </w:r>
    </w:p>
    <w:p w:rsidR="00CD3EC5" w:rsidP="00EF4920">
      <w:pPr>
        <w:pStyle w:val="Heading2"/>
      </w:pPr>
      <w:bookmarkStart w:id="8" w:name="_Toc515895494"/>
      <w:r w:rsidRPr="00B15908">
        <w:t xml:space="preserve">The PUCO should </w:t>
      </w:r>
      <w:r>
        <w:t>deny the arguments by IGS and RESA that the PUCO cannot protect consumers by modifying and approving a Settlement</w:t>
      </w:r>
      <w:r w:rsidRPr="00B15908">
        <w:t>.</w:t>
      </w:r>
      <w:bookmarkEnd w:id="8"/>
    </w:p>
    <w:p w:rsidR="00824AFB" w:rsidP="00A90CAA">
      <w:pPr>
        <w:spacing w:line="480" w:lineRule="auto"/>
        <w:ind w:firstLine="720"/>
        <w:contextualSpacing/>
        <w:rPr>
          <w:rFonts w:ascii="Times New Roman" w:hAnsi="Times New Roman" w:cs="Times New Roman"/>
          <w:sz w:val="24"/>
          <w:szCs w:val="24"/>
        </w:rPr>
      </w:pPr>
      <w:r w:rsidRPr="00CD3EC5">
        <w:rPr>
          <w:rFonts w:ascii="Times New Roman" w:hAnsi="Times New Roman" w:cs="Times New Roman"/>
          <w:sz w:val="24"/>
          <w:szCs w:val="24"/>
        </w:rPr>
        <w:t xml:space="preserve">Interstate Gas Supply, Inc. (“IGS”) and the Retail Energy Supply Association (“RESA”) argue that the Order is unreasonable and unlawful because the PUCO modified the </w:t>
      </w:r>
      <w:r>
        <w:rPr>
          <w:rFonts w:ascii="Times New Roman" w:hAnsi="Times New Roman" w:cs="Times New Roman"/>
          <w:sz w:val="24"/>
          <w:szCs w:val="24"/>
        </w:rPr>
        <w:t>S</w:t>
      </w:r>
      <w:r w:rsidRPr="00CD3EC5">
        <w:rPr>
          <w:rFonts w:ascii="Times New Roman" w:hAnsi="Times New Roman" w:cs="Times New Roman"/>
          <w:sz w:val="24"/>
          <w:szCs w:val="24"/>
        </w:rPr>
        <w:t>ettlement</w:t>
      </w:r>
      <w:r>
        <w:rPr>
          <w:rFonts w:ascii="Times New Roman" w:hAnsi="Times New Roman" w:cs="Times New Roman"/>
          <w:sz w:val="24"/>
          <w:szCs w:val="24"/>
        </w:rPr>
        <w:t>. Specifically, IGS and RESA are complaining that the PUCO</w:t>
      </w:r>
      <w:r w:rsidRPr="00CD3EC5">
        <w:rPr>
          <w:rFonts w:ascii="Times New Roman" w:hAnsi="Times New Roman" w:cs="Times New Roman"/>
          <w:sz w:val="24"/>
          <w:szCs w:val="24"/>
        </w:rPr>
        <w:t xml:space="preserve"> </w:t>
      </w:r>
      <w:r>
        <w:rPr>
          <w:rFonts w:ascii="Times New Roman" w:hAnsi="Times New Roman" w:cs="Times New Roman"/>
          <w:sz w:val="24"/>
          <w:szCs w:val="24"/>
        </w:rPr>
        <w:t>declined to</w:t>
      </w:r>
      <w:r w:rsidRPr="00CD3EC5">
        <w:rPr>
          <w:rFonts w:ascii="Times New Roman" w:hAnsi="Times New Roman" w:cs="Times New Roman"/>
          <w:sz w:val="24"/>
          <w:szCs w:val="24"/>
        </w:rPr>
        <w:t xml:space="preserve"> authoriz</w:t>
      </w:r>
      <w:r>
        <w:rPr>
          <w:rFonts w:ascii="Times New Roman" w:hAnsi="Times New Roman" w:cs="Times New Roman"/>
          <w:sz w:val="24"/>
          <w:szCs w:val="24"/>
        </w:rPr>
        <w:t>e</w:t>
      </w:r>
      <w:r w:rsidRPr="00CD3EC5">
        <w:rPr>
          <w:rFonts w:ascii="Times New Roman" w:hAnsi="Times New Roman" w:cs="Times New Roman"/>
          <w:sz w:val="24"/>
          <w:szCs w:val="24"/>
        </w:rPr>
        <w:t xml:space="preserve"> a charge for the RRR</w:t>
      </w:r>
      <w:r>
        <w:rPr>
          <w:rFonts w:ascii="Times New Roman" w:hAnsi="Times New Roman" w:cs="Times New Roman"/>
          <w:sz w:val="24"/>
          <w:szCs w:val="24"/>
        </w:rPr>
        <w:t xml:space="preserve"> that benefits themselves (marketers) to the detriment of standard offer consumers</w:t>
      </w:r>
      <w:r w:rsidRPr="00CD3EC5">
        <w:rPr>
          <w:rFonts w:ascii="Times New Roman" w:hAnsi="Times New Roman" w:cs="Times New Roman"/>
          <w:sz w:val="24"/>
          <w:szCs w:val="24"/>
        </w:rPr>
        <w:t>.</w:t>
      </w:r>
      <w:r>
        <w:rPr>
          <w:rFonts w:ascii="Times New Roman" w:hAnsi="Times New Roman" w:cs="Times New Roman"/>
          <w:sz w:val="24"/>
          <w:szCs w:val="24"/>
          <w:vertAlign w:val="superscript"/>
        </w:rPr>
        <w:footnoteReference w:id="19"/>
      </w:r>
      <w:r w:rsidRPr="00CD3EC5">
        <w:rPr>
          <w:rFonts w:ascii="Times New Roman" w:hAnsi="Times New Roman" w:cs="Times New Roman"/>
          <w:sz w:val="24"/>
          <w:szCs w:val="24"/>
        </w:rPr>
        <w:t xml:space="preserve"> </w:t>
      </w:r>
      <w:r>
        <w:rPr>
          <w:rFonts w:ascii="Times New Roman" w:hAnsi="Times New Roman" w:cs="Times New Roman"/>
          <w:sz w:val="24"/>
          <w:szCs w:val="24"/>
        </w:rPr>
        <w:t>This is nonsense. The PUCO, not utilities or energy marketers, is the regulatory authority in this state.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PUCO rightly has a rule to codify its authority under law: “</w:t>
      </w:r>
      <w:r w:rsidRPr="00824AFB">
        <w:rPr>
          <w:rFonts w:ascii="Times New Roman" w:hAnsi="Times New Roman" w:cs="Times New Roman"/>
          <w:sz w:val="24"/>
          <w:szCs w:val="24"/>
        </w:rPr>
        <w:t>No stipulation shall be considered binding upon the commission.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6C747D" w:rsidP="00A90C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AEP proposed to charge just its SSO customers $1.05/MWh under the RRR, which would then be paid to </w:t>
      </w:r>
      <w:r w:rsidRPr="00F71033">
        <w:rPr>
          <w:rFonts w:ascii="Times New Roman" w:hAnsi="Times New Roman" w:cs="Times New Roman"/>
          <w:i/>
          <w:sz w:val="24"/>
          <w:szCs w:val="24"/>
        </w:rPr>
        <w:t>all</w:t>
      </w:r>
      <w:r>
        <w:rPr>
          <w:rFonts w:ascii="Times New Roman" w:hAnsi="Times New Roman" w:cs="Times New Roman"/>
          <w:sz w:val="24"/>
          <w:szCs w:val="24"/>
        </w:rPr>
        <w:t xml:space="preserve"> of its distribution customers, thus effectively raising the price of the SSO for standard offer consumers. The RRR was proposed by marketers who claimed that customers who shop for service from marketers</w:t>
      </w:r>
      <w:r w:rsidRPr="00CD3EC5">
        <w:rPr>
          <w:rFonts w:ascii="Times New Roman" w:hAnsi="Times New Roman" w:cs="Times New Roman"/>
          <w:sz w:val="24"/>
          <w:szCs w:val="24"/>
        </w:rPr>
        <w:t xml:space="preserve"> </w:t>
      </w:r>
      <w:r>
        <w:rPr>
          <w:rFonts w:ascii="Times New Roman" w:hAnsi="Times New Roman" w:cs="Times New Roman"/>
          <w:sz w:val="24"/>
          <w:szCs w:val="24"/>
        </w:rPr>
        <w:t>are allegedly double-charged for certain (unidentified) services that the customers receive from both their distribution utility and their marketer</w:t>
      </w:r>
      <w:r w:rsidRPr="00CD3EC5">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CD3EC5">
        <w:rPr>
          <w:rFonts w:ascii="Times New Roman" w:hAnsi="Times New Roman" w:cs="Times New Roman"/>
          <w:sz w:val="24"/>
          <w:szCs w:val="24"/>
        </w:rPr>
        <w:t xml:space="preserve"> </w:t>
      </w:r>
      <w:r>
        <w:rPr>
          <w:rFonts w:ascii="Times New Roman" w:hAnsi="Times New Roman" w:cs="Times New Roman"/>
          <w:sz w:val="24"/>
          <w:szCs w:val="24"/>
        </w:rPr>
        <w:t>T</w:t>
      </w:r>
      <w:r w:rsidRPr="00CD3EC5">
        <w:rPr>
          <w:rFonts w:ascii="Times New Roman" w:hAnsi="Times New Roman" w:cs="Times New Roman"/>
          <w:sz w:val="24"/>
          <w:szCs w:val="24"/>
        </w:rPr>
        <w:t>h</w:t>
      </w:r>
      <w:r>
        <w:rPr>
          <w:rFonts w:ascii="Times New Roman" w:hAnsi="Times New Roman" w:cs="Times New Roman"/>
          <w:sz w:val="24"/>
          <w:szCs w:val="24"/>
        </w:rPr>
        <w:t xml:space="preserve">e Signatory Parties, including AEP, proposed a RRR charge of </w:t>
      </w:r>
      <w:r w:rsidRPr="00CD3EC5">
        <w:rPr>
          <w:rFonts w:ascii="Times New Roman" w:hAnsi="Times New Roman" w:cs="Times New Roman"/>
          <w:sz w:val="24"/>
          <w:szCs w:val="24"/>
        </w:rPr>
        <w:t xml:space="preserve">$1.05/MWh. </w:t>
      </w:r>
      <w:r>
        <w:rPr>
          <w:rFonts w:ascii="Times New Roman" w:hAnsi="Times New Roman" w:cs="Times New Roman"/>
          <w:sz w:val="24"/>
          <w:szCs w:val="24"/>
        </w:rPr>
        <w:t xml:space="preserve">And since the amount charged to AEP’s SSO customers is then redistributed to the entire customer base, the RRR is revenue neutral to AEP.   </w:t>
      </w:r>
    </w:p>
    <w:p w:rsidR="00A90CAA" w:rsidRPr="006B64AA" w:rsidP="00A90C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Fortunately, a</w:t>
      </w:r>
      <w:r w:rsidRPr="00CD3EC5">
        <w:rPr>
          <w:rFonts w:ascii="Times New Roman" w:hAnsi="Times New Roman" w:cs="Times New Roman"/>
          <w:sz w:val="24"/>
          <w:szCs w:val="24"/>
        </w:rPr>
        <w:t>fter weighing the evidence in the record</w:t>
      </w:r>
      <w:r>
        <w:rPr>
          <w:rFonts w:ascii="Times New Roman" w:hAnsi="Times New Roman" w:cs="Times New Roman"/>
          <w:sz w:val="24"/>
          <w:szCs w:val="24"/>
        </w:rPr>
        <w:t>,</w:t>
      </w:r>
      <w:r w:rsidRPr="00CD3EC5">
        <w:rPr>
          <w:rFonts w:ascii="Times New Roman" w:hAnsi="Times New Roman" w:cs="Times New Roman"/>
          <w:sz w:val="24"/>
          <w:szCs w:val="24"/>
        </w:rPr>
        <w:t xml:space="preserve"> the PUCO determined that it was not appropriate</w:t>
      </w:r>
      <w:r>
        <w:rPr>
          <w:rFonts w:ascii="Times New Roman" w:hAnsi="Times New Roman" w:cs="Times New Roman"/>
          <w:sz w:val="24"/>
          <w:szCs w:val="24"/>
        </w:rPr>
        <w:t xml:space="preserve"> for AEP</w:t>
      </w:r>
      <w:r w:rsidRPr="00CD3EC5">
        <w:rPr>
          <w:rFonts w:ascii="Times New Roman" w:hAnsi="Times New Roman" w:cs="Times New Roman"/>
          <w:sz w:val="24"/>
          <w:szCs w:val="24"/>
        </w:rPr>
        <w:t xml:space="preserve"> to charge </w:t>
      </w:r>
      <w:r>
        <w:rPr>
          <w:rFonts w:ascii="Times New Roman" w:hAnsi="Times New Roman" w:cs="Times New Roman"/>
          <w:sz w:val="24"/>
          <w:szCs w:val="24"/>
        </w:rPr>
        <w:t>its SSO customers</w:t>
      </w:r>
      <w:r w:rsidRPr="00CD3EC5">
        <w:rPr>
          <w:rFonts w:ascii="Times New Roman" w:hAnsi="Times New Roman" w:cs="Times New Roman"/>
          <w:sz w:val="24"/>
          <w:szCs w:val="24"/>
        </w:rPr>
        <w:t xml:space="preserve"> under the RRR at this time.</w:t>
      </w:r>
      <w:r>
        <w:rPr>
          <w:rFonts w:ascii="Times New Roman" w:hAnsi="Times New Roman" w:cs="Times New Roman"/>
          <w:sz w:val="24"/>
          <w:szCs w:val="24"/>
          <w:vertAlign w:val="superscript"/>
        </w:rPr>
        <w:footnoteReference w:id="23"/>
      </w:r>
      <w:r w:rsidRPr="00CD3EC5">
        <w:rPr>
          <w:rFonts w:ascii="Times New Roman" w:hAnsi="Times New Roman" w:cs="Times New Roman"/>
          <w:sz w:val="24"/>
          <w:szCs w:val="24"/>
        </w:rPr>
        <w:t xml:space="preserve"> </w:t>
      </w:r>
      <w:r>
        <w:rPr>
          <w:rFonts w:ascii="Times New Roman" w:hAnsi="Times New Roman" w:cs="Times New Roman"/>
          <w:sz w:val="24"/>
          <w:szCs w:val="24"/>
        </w:rPr>
        <w:t>T</w:t>
      </w:r>
      <w:r w:rsidRPr="00CD3EC5">
        <w:rPr>
          <w:rFonts w:ascii="Times New Roman" w:hAnsi="Times New Roman" w:cs="Times New Roman"/>
          <w:sz w:val="24"/>
          <w:szCs w:val="24"/>
        </w:rPr>
        <w:t xml:space="preserve">he PUCO concluded that while </w:t>
      </w:r>
      <w:r>
        <w:rPr>
          <w:rFonts w:ascii="Times New Roman" w:hAnsi="Times New Roman" w:cs="Times New Roman"/>
          <w:sz w:val="24"/>
          <w:szCs w:val="24"/>
        </w:rPr>
        <w:t>shopping customers may pay distribution costs that support</w:t>
      </w:r>
      <w:r w:rsidRPr="00CD3EC5">
        <w:rPr>
          <w:rFonts w:ascii="Times New Roman" w:hAnsi="Times New Roman" w:cs="Times New Roman"/>
          <w:sz w:val="24"/>
          <w:szCs w:val="24"/>
        </w:rPr>
        <w:t xml:space="preserve"> the SSO</w:t>
      </w:r>
      <w:r>
        <w:rPr>
          <w:rFonts w:ascii="Times New Roman" w:hAnsi="Times New Roman" w:cs="Times New Roman"/>
          <w:sz w:val="24"/>
          <w:szCs w:val="24"/>
        </w:rPr>
        <w:t>,</w:t>
      </w:r>
      <w:r w:rsidRPr="00CD3EC5">
        <w:rPr>
          <w:rFonts w:ascii="Times New Roman" w:hAnsi="Times New Roman" w:cs="Times New Roman"/>
          <w:sz w:val="24"/>
          <w:szCs w:val="24"/>
        </w:rPr>
        <w:t xml:space="preserve"> </w:t>
      </w:r>
      <w:r>
        <w:rPr>
          <w:rFonts w:ascii="Times New Roman" w:hAnsi="Times New Roman" w:cs="Times New Roman"/>
          <w:sz w:val="24"/>
          <w:szCs w:val="24"/>
        </w:rPr>
        <w:t>this has not been clearly established</w:t>
      </w:r>
      <w:r w:rsidRPr="00CD3EC5">
        <w:rPr>
          <w:rFonts w:ascii="Times New Roman" w:hAnsi="Times New Roman" w:cs="Times New Roman"/>
          <w:sz w:val="24"/>
          <w:szCs w:val="24"/>
        </w:rPr>
        <w:t>.</w:t>
      </w:r>
      <w:r>
        <w:rPr>
          <w:rFonts w:ascii="Times New Roman" w:hAnsi="Times New Roman" w:cs="Times New Roman"/>
          <w:sz w:val="24"/>
          <w:szCs w:val="24"/>
          <w:vertAlign w:val="superscript"/>
        </w:rPr>
        <w:footnoteReference w:id="24"/>
      </w:r>
      <w:r w:rsidRPr="00CD3EC5">
        <w:rPr>
          <w:rFonts w:ascii="Times New Roman" w:hAnsi="Times New Roman" w:cs="Times New Roman"/>
          <w:sz w:val="24"/>
          <w:szCs w:val="24"/>
        </w:rPr>
        <w:t xml:space="preserve"> Accordingly, the PUCO d</w:t>
      </w:r>
      <w:r>
        <w:rPr>
          <w:rFonts w:ascii="Times New Roman" w:hAnsi="Times New Roman" w:cs="Times New Roman"/>
          <w:sz w:val="24"/>
          <w:szCs w:val="24"/>
        </w:rPr>
        <w:t>etermined that AEP</w:t>
      </w:r>
      <w:r w:rsidRPr="00CD3EC5">
        <w:rPr>
          <w:rFonts w:ascii="Times New Roman" w:hAnsi="Times New Roman" w:cs="Times New Roman"/>
          <w:sz w:val="24"/>
          <w:szCs w:val="24"/>
        </w:rPr>
        <w:t xml:space="preserve">, in its next base </w:t>
      </w:r>
      <w:r>
        <w:rPr>
          <w:rFonts w:ascii="Times New Roman" w:hAnsi="Times New Roman" w:cs="Times New Roman"/>
          <w:sz w:val="24"/>
          <w:szCs w:val="24"/>
        </w:rPr>
        <w:t xml:space="preserve">distribution </w:t>
      </w:r>
      <w:r w:rsidRPr="00CD3EC5">
        <w:rPr>
          <w:rFonts w:ascii="Times New Roman" w:hAnsi="Times New Roman" w:cs="Times New Roman"/>
          <w:sz w:val="24"/>
          <w:szCs w:val="24"/>
        </w:rPr>
        <w:t xml:space="preserve">rate case, should analyze its actual costs of providing SSO generation service and its actual costs associated with </w:t>
      </w:r>
      <w:r>
        <w:rPr>
          <w:rFonts w:ascii="Times New Roman" w:hAnsi="Times New Roman" w:cs="Times New Roman"/>
          <w:sz w:val="24"/>
          <w:szCs w:val="24"/>
        </w:rPr>
        <w:t>customers shopping for retail electric service</w:t>
      </w:r>
      <w:r w:rsidRPr="00CD3EC5">
        <w:rPr>
          <w:rFonts w:ascii="Times New Roman" w:hAnsi="Times New Roman" w:cs="Times New Roman"/>
          <w:sz w:val="24"/>
          <w:szCs w:val="24"/>
        </w:rPr>
        <w:t>.</w:t>
      </w:r>
      <w:r>
        <w:rPr>
          <w:rFonts w:ascii="Times New Roman" w:hAnsi="Times New Roman" w:cs="Times New Roman"/>
          <w:sz w:val="24"/>
          <w:szCs w:val="24"/>
          <w:vertAlign w:val="superscript"/>
        </w:rPr>
        <w:footnoteReference w:id="25"/>
      </w:r>
      <w:r w:rsidRPr="00CD3EC5">
        <w:rPr>
          <w:rFonts w:ascii="Times New Roman" w:hAnsi="Times New Roman" w:cs="Times New Roman"/>
          <w:sz w:val="24"/>
          <w:szCs w:val="24"/>
        </w:rPr>
        <w:t xml:space="preserve"> The PUCO reasoned tha</w:t>
      </w:r>
      <w:r>
        <w:rPr>
          <w:rFonts w:ascii="Times New Roman" w:hAnsi="Times New Roman" w:cs="Times New Roman"/>
          <w:sz w:val="24"/>
          <w:szCs w:val="24"/>
        </w:rPr>
        <w:t>t by analyzing the SSO and shopping customer</w:t>
      </w:r>
      <w:r w:rsidRPr="00CD3EC5">
        <w:rPr>
          <w:rFonts w:ascii="Times New Roman" w:hAnsi="Times New Roman" w:cs="Times New Roman"/>
          <w:sz w:val="24"/>
          <w:szCs w:val="24"/>
        </w:rPr>
        <w:t xml:space="preserve"> costs in </w:t>
      </w:r>
      <w:r>
        <w:rPr>
          <w:rFonts w:ascii="Times New Roman" w:hAnsi="Times New Roman" w:cs="Times New Roman"/>
          <w:sz w:val="24"/>
          <w:szCs w:val="24"/>
        </w:rPr>
        <w:t xml:space="preserve">AEP’s </w:t>
      </w:r>
      <w:r w:rsidRPr="00CD3EC5">
        <w:rPr>
          <w:rFonts w:ascii="Times New Roman" w:hAnsi="Times New Roman" w:cs="Times New Roman"/>
          <w:sz w:val="24"/>
          <w:szCs w:val="24"/>
        </w:rPr>
        <w:t>next base rate case, the PUCO will be able to determine whether it is necessary to reallocate costs between shopping and n</w:t>
      </w:r>
      <w:r>
        <w:rPr>
          <w:rFonts w:ascii="Times New Roman" w:hAnsi="Times New Roman" w:cs="Times New Roman"/>
          <w:sz w:val="24"/>
          <w:szCs w:val="24"/>
        </w:rPr>
        <w:t xml:space="preserve">on-shopping customers </w:t>
      </w:r>
      <w:r w:rsidRPr="00CD3EC5">
        <w:rPr>
          <w:rFonts w:ascii="Times New Roman" w:hAnsi="Times New Roman" w:cs="Times New Roman"/>
          <w:sz w:val="24"/>
          <w:szCs w:val="24"/>
        </w:rPr>
        <w:t>through the RRR.</w:t>
      </w:r>
      <w:r>
        <w:rPr>
          <w:rFonts w:ascii="Times New Roman" w:hAnsi="Times New Roman" w:cs="Times New Roman"/>
          <w:sz w:val="24"/>
          <w:szCs w:val="24"/>
          <w:vertAlign w:val="superscript"/>
        </w:rPr>
        <w:footnoteReference w:id="26"/>
      </w:r>
      <w:r>
        <w:rPr>
          <w:rFonts w:ascii="Times New Roman" w:hAnsi="Times New Roman" w:cs="Times New Roman"/>
          <w:sz w:val="24"/>
          <w:szCs w:val="24"/>
        </w:rPr>
        <w:t xml:space="preserve"> The PUCO should uphold its determination and deny the arguments by IGS and RESA.</w:t>
      </w:r>
    </w:p>
    <w:p w:rsidR="0070417D" w:rsidP="00CD3E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IGS and RESA then argue that modifying s</w:t>
      </w:r>
      <w:r w:rsidRPr="00CD3EC5">
        <w:rPr>
          <w:rFonts w:ascii="Times New Roman" w:hAnsi="Times New Roman" w:cs="Times New Roman"/>
          <w:sz w:val="24"/>
          <w:szCs w:val="24"/>
        </w:rPr>
        <w:t>ettlements undermines and erodes faith in the settlement process.</w:t>
      </w:r>
      <w:r>
        <w:rPr>
          <w:rFonts w:ascii="Times New Roman" w:hAnsi="Times New Roman" w:cs="Times New Roman"/>
          <w:sz w:val="24"/>
          <w:szCs w:val="24"/>
          <w:vertAlign w:val="superscript"/>
        </w:rPr>
        <w:footnoteReference w:id="27"/>
      </w:r>
      <w:r w:rsidRPr="00CD3EC5">
        <w:rPr>
          <w:rFonts w:ascii="Times New Roman" w:hAnsi="Times New Roman" w:cs="Times New Roman"/>
          <w:sz w:val="24"/>
          <w:szCs w:val="24"/>
        </w:rPr>
        <w:t xml:space="preserve"> This argument has no merit.</w:t>
      </w:r>
      <w:r>
        <w:rPr>
          <w:rFonts w:ascii="Times New Roman" w:hAnsi="Times New Roman" w:cs="Times New Roman"/>
          <w:sz w:val="24"/>
          <w:szCs w:val="24"/>
        </w:rPr>
        <w:t xml:space="preserve"> Contrary to their claims, the PUCO’s modification of the Settlement to protect standard offer consumers from paying the RRR charge is the kind of result allows for some faith in the settlement process. If anything, more of the Settlement should have been rejected in the interest of 1.3 million Ohioans. </w:t>
      </w:r>
      <w:r w:rsidRPr="00CD3EC5">
        <w:rPr>
          <w:rFonts w:ascii="Times New Roman" w:hAnsi="Times New Roman" w:cs="Times New Roman"/>
          <w:sz w:val="24"/>
          <w:szCs w:val="24"/>
        </w:rPr>
        <w:t xml:space="preserve"> </w:t>
      </w:r>
    </w:p>
    <w:p w:rsidR="00CD3EC5" w:rsidP="00CD3EC5">
      <w:pPr>
        <w:spacing w:after="0" w:line="480" w:lineRule="auto"/>
        <w:ind w:firstLine="720"/>
        <w:rPr>
          <w:rFonts w:ascii="Times New Roman" w:hAnsi="Times New Roman" w:cs="Times New Roman"/>
          <w:sz w:val="24"/>
          <w:szCs w:val="24"/>
        </w:rPr>
      </w:pPr>
      <w:r w:rsidRPr="00CD3EC5">
        <w:rPr>
          <w:rFonts w:ascii="Times New Roman" w:hAnsi="Times New Roman" w:cs="Times New Roman"/>
          <w:sz w:val="24"/>
          <w:szCs w:val="24"/>
        </w:rPr>
        <w:t>It is undisputed—and in fact RESA readily admits—that the PUCO has the authority to modify settlements.</w:t>
      </w:r>
      <w:r>
        <w:rPr>
          <w:rFonts w:ascii="Times New Roman" w:hAnsi="Times New Roman" w:cs="Times New Roman"/>
          <w:sz w:val="24"/>
          <w:szCs w:val="24"/>
          <w:vertAlign w:val="superscript"/>
        </w:rPr>
        <w:footnoteReference w:id="28"/>
      </w:r>
      <w:r w:rsidRPr="00CD3EC5">
        <w:rPr>
          <w:rFonts w:ascii="Times New Roman" w:hAnsi="Times New Roman" w:cs="Times New Roman"/>
          <w:sz w:val="24"/>
          <w:szCs w:val="24"/>
        </w:rPr>
        <w:t xml:space="preserve"> IGS and RESA undoubtedly entered into the </w:t>
      </w:r>
      <w:r>
        <w:rPr>
          <w:rFonts w:ascii="Times New Roman" w:hAnsi="Times New Roman" w:cs="Times New Roman"/>
          <w:sz w:val="24"/>
          <w:szCs w:val="24"/>
        </w:rPr>
        <w:t>S</w:t>
      </w:r>
      <w:r w:rsidRPr="00CD3EC5">
        <w:rPr>
          <w:rFonts w:ascii="Times New Roman" w:hAnsi="Times New Roman" w:cs="Times New Roman"/>
          <w:sz w:val="24"/>
          <w:szCs w:val="24"/>
        </w:rPr>
        <w:t>ettlement with this knowledge. In fact, this is proven by</w:t>
      </w:r>
      <w:r>
        <w:rPr>
          <w:rFonts w:ascii="Times New Roman" w:hAnsi="Times New Roman" w:cs="Times New Roman"/>
          <w:sz w:val="24"/>
          <w:szCs w:val="24"/>
        </w:rPr>
        <w:t xml:space="preserve"> the S</w:t>
      </w:r>
      <w:r w:rsidRPr="00CD3EC5">
        <w:rPr>
          <w:rFonts w:ascii="Times New Roman" w:hAnsi="Times New Roman" w:cs="Times New Roman"/>
          <w:sz w:val="24"/>
          <w:szCs w:val="24"/>
        </w:rPr>
        <w:t>ettlement</w:t>
      </w:r>
      <w:r>
        <w:rPr>
          <w:rFonts w:ascii="Times New Roman" w:hAnsi="Times New Roman" w:cs="Times New Roman"/>
          <w:sz w:val="24"/>
          <w:szCs w:val="24"/>
        </w:rPr>
        <w:t>’</w:t>
      </w:r>
      <w:r w:rsidRPr="00CD3EC5">
        <w:rPr>
          <w:rFonts w:ascii="Times New Roman" w:hAnsi="Times New Roman" w:cs="Times New Roman"/>
          <w:sz w:val="24"/>
          <w:szCs w:val="24"/>
        </w:rPr>
        <w:t>s inclusion of a provision explicitly identifying a Signatory Party’s rights and obligations if the PUCO “rejec</w:t>
      </w:r>
      <w:r>
        <w:rPr>
          <w:rFonts w:ascii="Times New Roman" w:hAnsi="Times New Roman" w:cs="Times New Roman"/>
          <w:sz w:val="24"/>
          <w:szCs w:val="24"/>
        </w:rPr>
        <w:t>ts or materially modifies” the S</w:t>
      </w:r>
      <w:r w:rsidRPr="00CD3EC5">
        <w:rPr>
          <w:rFonts w:ascii="Times New Roman" w:hAnsi="Times New Roman" w:cs="Times New Roman"/>
          <w:sz w:val="24"/>
          <w:szCs w:val="24"/>
        </w:rPr>
        <w:t>ettlement.</w:t>
      </w:r>
      <w:r>
        <w:rPr>
          <w:rFonts w:ascii="Times New Roman" w:hAnsi="Times New Roman" w:cs="Times New Roman"/>
          <w:sz w:val="24"/>
          <w:szCs w:val="24"/>
          <w:vertAlign w:val="superscript"/>
        </w:rPr>
        <w:footnoteReference w:id="29"/>
      </w:r>
      <w:r w:rsidRPr="00CD3EC5">
        <w:rPr>
          <w:rFonts w:ascii="Times New Roman" w:hAnsi="Times New Roman" w:cs="Times New Roman"/>
          <w:sz w:val="24"/>
          <w:szCs w:val="24"/>
        </w:rPr>
        <w:t xml:space="preserve"> Thus, IGS and RESA were fully aware of the possibility that the Settlement could be modified. Both parties may exercise the rights afforded to them under the Settlement and the law in light of the PUCO’s modification. </w:t>
      </w:r>
      <w:r>
        <w:rPr>
          <w:rFonts w:ascii="Times New Roman" w:hAnsi="Times New Roman" w:cs="Times New Roman"/>
          <w:sz w:val="24"/>
          <w:szCs w:val="24"/>
        </w:rPr>
        <w:t>But, as is obvious per Ohio Admin. Code 4901-1-30(E),</w:t>
      </w:r>
      <w:r w:rsidRPr="00CD3EC5">
        <w:rPr>
          <w:rFonts w:ascii="Times New Roman" w:hAnsi="Times New Roman" w:cs="Times New Roman"/>
          <w:sz w:val="24"/>
          <w:szCs w:val="24"/>
        </w:rPr>
        <w:t xml:space="preserve"> any claim that the Order is unreasonable and unlawful because </w:t>
      </w:r>
      <w:r>
        <w:rPr>
          <w:rFonts w:ascii="Times New Roman" w:hAnsi="Times New Roman" w:cs="Times New Roman"/>
          <w:sz w:val="24"/>
          <w:szCs w:val="24"/>
        </w:rPr>
        <w:t>it modified the proposed S</w:t>
      </w:r>
      <w:r w:rsidRPr="00CD3EC5">
        <w:rPr>
          <w:rFonts w:ascii="Times New Roman" w:hAnsi="Times New Roman" w:cs="Times New Roman"/>
          <w:sz w:val="24"/>
          <w:szCs w:val="24"/>
        </w:rPr>
        <w:t>ettlement has no legal merit</w:t>
      </w:r>
      <w:r>
        <w:rPr>
          <w:rFonts w:ascii="Times New Roman" w:hAnsi="Times New Roman" w:cs="Times New Roman"/>
          <w:sz w:val="24"/>
          <w:szCs w:val="24"/>
        </w:rPr>
        <w:t>, is contrary to the public interest,</w:t>
      </w:r>
      <w:r w:rsidRPr="00CD3EC5">
        <w:rPr>
          <w:rFonts w:ascii="Times New Roman" w:hAnsi="Times New Roman" w:cs="Times New Roman"/>
          <w:sz w:val="24"/>
          <w:szCs w:val="24"/>
        </w:rPr>
        <w:t xml:space="preserve"> and should be denied</w:t>
      </w:r>
      <w:r>
        <w:rPr>
          <w:rFonts w:ascii="Times New Roman" w:hAnsi="Times New Roman" w:cs="Times New Roman"/>
          <w:sz w:val="24"/>
          <w:szCs w:val="24"/>
        </w:rPr>
        <w:t xml:space="preserve">. </w:t>
      </w:r>
    </w:p>
    <w:p w:rsidR="00CD3EC5" w:rsidP="00EF4920">
      <w:pPr>
        <w:pStyle w:val="Heading2"/>
      </w:pPr>
      <w:bookmarkStart w:id="9" w:name="_Toc515895495"/>
      <w:r w:rsidRPr="00B15908">
        <w:t xml:space="preserve">The PUCO should </w:t>
      </w:r>
      <w:r>
        <w:t>deny IGS’s argument that its decision is against the manifest weight of the evidence</w:t>
      </w:r>
      <w:r w:rsidRPr="00B15908">
        <w:t>.</w:t>
      </w:r>
      <w:bookmarkEnd w:id="9"/>
    </w:p>
    <w:p w:rsidR="00CD3EC5" w:rsidRPr="00CD3EC5" w:rsidP="00CD3EC5">
      <w:pPr>
        <w:spacing w:line="480" w:lineRule="auto"/>
        <w:ind w:firstLine="720"/>
        <w:contextualSpacing/>
        <w:rPr>
          <w:rFonts w:ascii="Times New Roman" w:hAnsi="Times New Roman" w:cs="Times New Roman"/>
          <w:sz w:val="24"/>
          <w:szCs w:val="24"/>
        </w:rPr>
      </w:pPr>
      <w:r w:rsidRPr="00CD3EC5">
        <w:rPr>
          <w:rFonts w:ascii="Times New Roman" w:hAnsi="Times New Roman" w:cs="Times New Roman"/>
          <w:sz w:val="24"/>
          <w:szCs w:val="24"/>
        </w:rPr>
        <w:t>IGS argues that the PUCO’s decision that the record lacks sufficient ev</w:t>
      </w:r>
      <w:r>
        <w:rPr>
          <w:rFonts w:ascii="Times New Roman" w:hAnsi="Times New Roman" w:cs="Times New Roman"/>
          <w:sz w:val="24"/>
          <w:szCs w:val="24"/>
        </w:rPr>
        <w:t>idence to authorize a charge under</w:t>
      </w:r>
      <w:r w:rsidRPr="00CD3EC5">
        <w:rPr>
          <w:rFonts w:ascii="Times New Roman" w:hAnsi="Times New Roman" w:cs="Times New Roman"/>
          <w:sz w:val="24"/>
          <w:szCs w:val="24"/>
        </w:rPr>
        <w:t xml:space="preserve"> the RRR is against the manifest weight of the evidence</w:t>
      </w:r>
      <w:r>
        <w:rPr>
          <w:rFonts w:ascii="Times New Roman" w:hAnsi="Times New Roman" w:cs="Times New Roman"/>
          <w:sz w:val="24"/>
          <w:szCs w:val="24"/>
        </w:rPr>
        <w:t>. IGS claims that</w:t>
      </w:r>
      <w:r w:rsidRPr="00CD3EC5">
        <w:rPr>
          <w:rFonts w:ascii="Times New Roman" w:hAnsi="Times New Roman" w:cs="Times New Roman"/>
          <w:sz w:val="24"/>
          <w:szCs w:val="24"/>
        </w:rPr>
        <w:t xml:space="preserve"> the evidence demonstrated that specific costs are recovered through base distribution rates that are attributable to customer shopping.</w:t>
      </w:r>
      <w:r>
        <w:rPr>
          <w:rFonts w:ascii="Times New Roman" w:hAnsi="Times New Roman" w:cs="Times New Roman"/>
          <w:sz w:val="24"/>
          <w:szCs w:val="24"/>
          <w:vertAlign w:val="superscript"/>
        </w:rPr>
        <w:footnoteReference w:id="30"/>
      </w:r>
      <w:r w:rsidRPr="00CD3EC5">
        <w:rPr>
          <w:rFonts w:ascii="Times New Roman" w:hAnsi="Times New Roman" w:cs="Times New Roman"/>
          <w:sz w:val="24"/>
          <w:szCs w:val="24"/>
        </w:rPr>
        <w:t xml:space="preserve"> IGS then asserts that once this evidence is provided, “the PUCO is required to rectify the matter.”</w:t>
      </w:r>
      <w:r>
        <w:rPr>
          <w:rFonts w:ascii="Times New Roman" w:hAnsi="Times New Roman" w:cs="Times New Roman"/>
          <w:sz w:val="24"/>
          <w:szCs w:val="24"/>
          <w:vertAlign w:val="superscript"/>
        </w:rPr>
        <w:footnoteReference w:id="31"/>
      </w:r>
      <w:r w:rsidRPr="00CD3EC5">
        <w:rPr>
          <w:rFonts w:ascii="Times New Roman" w:hAnsi="Times New Roman" w:cs="Times New Roman"/>
          <w:sz w:val="24"/>
          <w:szCs w:val="24"/>
        </w:rPr>
        <w:t xml:space="preserve"> This claim has no merit. </w:t>
      </w:r>
    </w:p>
    <w:p w:rsidR="00CD3EC5" w:rsidRPr="00CD3EC5" w:rsidP="00CD3EC5">
      <w:pPr>
        <w:spacing w:line="480" w:lineRule="auto"/>
        <w:ind w:firstLine="720"/>
        <w:contextualSpacing/>
        <w:rPr>
          <w:rFonts w:ascii="Times New Roman" w:hAnsi="Times New Roman" w:cs="Times New Roman"/>
          <w:sz w:val="24"/>
          <w:szCs w:val="24"/>
        </w:rPr>
      </w:pPr>
      <w:r w:rsidRPr="00CD3EC5">
        <w:rPr>
          <w:rFonts w:ascii="Times New Roman" w:hAnsi="Times New Roman" w:cs="Times New Roman"/>
          <w:sz w:val="24"/>
          <w:szCs w:val="24"/>
        </w:rPr>
        <w:t>The PUCO, after analyzing all the evidence, made a factual determination, as opposed to a legal determinat</w:t>
      </w:r>
      <w:r>
        <w:rPr>
          <w:rFonts w:ascii="Times New Roman" w:hAnsi="Times New Roman" w:cs="Times New Roman"/>
          <w:sz w:val="24"/>
          <w:szCs w:val="24"/>
        </w:rPr>
        <w:t>ion, not to authorize a charge under</w:t>
      </w:r>
      <w:r w:rsidRPr="00CD3EC5">
        <w:rPr>
          <w:rFonts w:ascii="Times New Roman" w:hAnsi="Times New Roman" w:cs="Times New Roman"/>
          <w:sz w:val="24"/>
          <w:szCs w:val="24"/>
        </w:rPr>
        <w:t xml:space="preserve"> the RRR. The legal</w:t>
      </w:r>
      <w:r>
        <w:rPr>
          <w:rFonts w:ascii="Times New Roman" w:hAnsi="Times New Roman" w:cs="Times New Roman"/>
          <w:sz w:val="24"/>
          <w:szCs w:val="24"/>
        </w:rPr>
        <w:t xml:space="preserve"> standard for overturning a PUCO</w:t>
      </w:r>
      <w:r w:rsidRPr="00CD3EC5">
        <w:rPr>
          <w:rFonts w:ascii="Times New Roman" w:hAnsi="Times New Roman" w:cs="Times New Roman"/>
          <w:sz w:val="24"/>
          <w:szCs w:val="24"/>
        </w:rPr>
        <w:t xml:space="preserve"> decision </w:t>
      </w:r>
      <w:r>
        <w:rPr>
          <w:rFonts w:ascii="Times New Roman" w:hAnsi="Times New Roman" w:cs="Times New Roman"/>
          <w:sz w:val="24"/>
          <w:szCs w:val="24"/>
        </w:rPr>
        <w:t xml:space="preserve">regarding a factual matter </w:t>
      </w:r>
      <w:r w:rsidRPr="00CD3EC5">
        <w:rPr>
          <w:rFonts w:ascii="Times New Roman" w:hAnsi="Times New Roman" w:cs="Times New Roman"/>
          <w:sz w:val="24"/>
          <w:szCs w:val="24"/>
        </w:rPr>
        <w:t xml:space="preserve">on appeal is </w:t>
      </w:r>
      <w:r>
        <w:rPr>
          <w:rFonts w:ascii="Times New Roman" w:hAnsi="Times New Roman" w:cs="Times New Roman"/>
          <w:sz w:val="24"/>
          <w:szCs w:val="24"/>
        </w:rPr>
        <w:t>steep. The</w:t>
      </w:r>
      <w:r w:rsidRPr="00CD3EC5">
        <w:rPr>
          <w:rFonts w:ascii="Times New Roman" w:hAnsi="Times New Roman" w:cs="Times New Roman"/>
          <w:sz w:val="24"/>
          <w:szCs w:val="24"/>
        </w:rPr>
        <w:t xml:space="preserve"> Ohio Supreme Court has traditionally deferred to the judgment of the PUCO in situations involving the PUCO’s special expertise.</w:t>
      </w:r>
      <w:r>
        <w:rPr>
          <w:rFonts w:ascii="Times New Roman" w:hAnsi="Times New Roman" w:cs="Times New Roman"/>
          <w:sz w:val="24"/>
          <w:szCs w:val="24"/>
          <w:vertAlign w:val="superscript"/>
        </w:rPr>
        <w:footnoteReference w:id="32"/>
      </w:r>
      <w:r w:rsidRPr="00CD3EC5">
        <w:rPr>
          <w:rFonts w:ascii="Times New Roman" w:hAnsi="Times New Roman" w:cs="Times New Roman"/>
          <w:sz w:val="24"/>
          <w:szCs w:val="24"/>
        </w:rPr>
        <w:t xml:space="preserve">  The Court will not reverse or modify a PUCO decision </w:t>
      </w:r>
      <w:r>
        <w:rPr>
          <w:rFonts w:ascii="Times New Roman" w:hAnsi="Times New Roman" w:cs="Times New Roman"/>
          <w:sz w:val="24"/>
          <w:szCs w:val="24"/>
        </w:rPr>
        <w:t>on</w:t>
      </w:r>
      <w:r w:rsidRPr="00CD3EC5">
        <w:rPr>
          <w:rFonts w:ascii="Times New Roman" w:hAnsi="Times New Roman" w:cs="Times New Roman"/>
          <w:sz w:val="24"/>
          <w:szCs w:val="24"/>
        </w:rPr>
        <w:t xml:space="preserve"> questions of fact where the record contains sufficient probative evidence to show that the PUCO’s decision was not manifestly against the weight of the evidence and was not so clearly unsupported by the record as to show misapprehension, mistake, or willful disregard of duty.</w:t>
      </w:r>
      <w:r>
        <w:rPr>
          <w:rFonts w:ascii="Times New Roman" w:hAnsi="Times New Roman" w:cs="Times New Roman"/>
          <w:sz w:val="24"/>
          <w:szCs w:val="24"/>
          <w:vertAlign w:val="superscript"/>
        </w:rPr>
        <w:footnoteReference w:id="33"/>
      </w:r>
      <w:r w:rsidRPr="00CD3EC5">
        <w:rPr>
          <w:rFonts w:ascii="Times New Roman" w:hAnsi="Times New Roman" w:cs="Times New Roman"/>
          <w:sz w:val="24"/>
          <w:szCs w:val="24"/>
        </w:rPr>
        <w:t xml:space="preserve"> </w:t>
      </w:r>
      <w:r>
        <w:rPr>
          <w:rFonts w:ascii="Times New Roman" w:hAnsi="Times New Roman" w:cs="Times New Roman"/>
          <w:sz w:val="24"/>
          <w:szCs w:val="24"/>
        </w:rPr>
        <w:t>Further</w:t>
      </w:r>
      <w:r w:rsidRPr="00CD3EC5">
        <w:rPr>
          <w:rFonts w:ascii="Times New Roman" w:hAnsi="Times New Roman" w:cs="Times New Roman"/>
          <w:sz w:val="24"/>
          <w:szCs w:val="24"/>
        </w:rPr>
        <w:t>, the Court has held that decisions on the level of shopping incentives seeking to encourage utility customers to seek alternate providers are likewise within the PUCO’s sound judgment.</w:t>
      </w:r>
      <w:r>
        <w:rPr>
          <w:rFonts w:ascii="Times New Roman" w:hAnsi="Times New Roman" w:cs="Times New Roman"/>
          <w:sz w:val="24"/>
          <w:szCs w:val="24"/>
          <w:vertAlign w:val="superscript"/>
        </w:rPr>
        <w:footnoteReference w:id="34"/>
      </w:r>
      <w:r w:rsidRPr="00CD3EC5">
        <w:rPr>
          <w:rFonts w:ascii="Times New Roman" w:hAnsi="Times New Roman" w:cs="Times New Roman"/>
          <w:sz w:val="24"/>
          <w:szCs w:val="24"/>
        </w:rPr>
        <w:t xml:space="preserve"> The burden is on the appellant to show that the PUCO's decision is against the manifest weight of the evidence or is clearly unsupported by the evidence.</w:t>
      </w:r>
      <w:r>
        <w:rPr>
          <w:rFonts w:ascii="Times New Roman" w:hAnsi="Times New Roman" w:cs="Times New Roman"/>
          <w:sz w:val="24"/>
          <w:szCs w:val="24"/>
          <w:vertAlign w:val="superscript"/>
        </w:rPr>
        <w:footnoteReference w:id="35"/>
      </w:r>
      <w:r w:rsidRPr="00CD3EC5">
        <w:rPr>
          <w:rFonts w:ascii="Times New Roman" w:hAnsi="Times New Roman" w:cs="Times New Roman"/>
          <w:sz w:val="24"/>
          <w:szCs w:val="24"/>
        </w:rPr>
        <w:t> IGS cannot carry this burden here and thus the PUCO should not grant the assignment of error.</w:t>
      </w:r>
    </w:p>
    <w:p w:rsidR="006E699E" w:rsidP="00504721">
      <w:pPr>
        <w:spacing w:after="0" w:line="480" w:lineRule="auto"/>
        <w:ind w:firstLine="720"/>
        <w:rPr>
          <w:rFonts w:ascii="Times New Roman" w:hAnsi="Times New Roman" w:cs="Times New Roman"/>
          <w:sz w:val="24"/>
          <w:szCs w:val="24"/>
        </w:rPr>
      </w:pPr>
      <w:r w:rsidRPr="00CD3EC5">
        <w:rPr>
          <w:rFonts w:ascii="Times New Roman" w:hAnsi="Times New Roman" w:cs="Times New Roman"/>
          <w:sz w:val="24"/>
          <w:szCs w:val="24"/>
        </w:rPr>
        <w:t xml:space="preserve">Deciding what amount to charge customers under a rider </w:t>
      </w:r>
      <w:r>
        <w:rPr>
          <w:rFonts w:ascii="Times New Roman" w:hAnsi="Times New Roman" w:cs="Times New Roman"/>
          <w:sz w:val="24"/>
          <w:szCs w:val="24"/>
        </w:rPr>
        <w:t>purportedly designed</w:t>
      </w:r>
      <w:r w:rsidRPr="00CD3EC5">
        <w:rPr>
          <w:rFonts w:ascii="Times New Roman" w:hAnsi="Times New Roman" w:cs="Times New Roman"/>
          <w:sz w:val="24"/>
          <w:szCs w:val="24"/>
        </w:rPr>
        <w:t xml:space="preserve"> to incent shopping is </w:t>
      </w:r>
      <w:r>
        <w:rPr>
          <w:rFonts w:ascii="Times New Roman" w:hAnsi="Times New Roman" w:cs="Times New Roman"/>
          <w:sz w:val="24"/>
          <w:szCs w:val="24"/>
        </w:rPr>
        <w:t>unequivocally</w:t>
      </w:r>
      <w:r w:rsidRPr="00CD3EC5">
        <w:rPr>
          <w:rFonts w:ascii="Times New Roman" w:hAnsi="Times New Roman" w:cs="Times New Roman"/>
          <w:sz w:val="24"/>
          <w:szCs w:val="24"/>
        </w:rPr>
        <w:t xml:space="preserve"> a matter that is within the PUCO’s expertise.</w:t>
      </w:r>
      <w:r>
        <w:rPr>
          <w:rFonts w:ascii="Times New Roman" w:hAnsi="Times New Roman" w:cs="Times New Roman"/>
          <w:sz w:val="24"/>
          <w:szCs w:val="24"/>
        </w:rPr>
        <w:t xml:space="preserve"> And the</w:t>
      </w:r>
      <w:r w:rsidRPr="00CD3EC5">
        <w:rPr>
          <w:rFonts w:ascii="Times New Roman" w:hAnsi="Times New Roman" w:cs="Times New Roman"/>
          <w:sz w:val="24"/>
          <w:szCs w:val="24"/>
        </w:rPr>
        <w:t xml:space="preserve"> PUCO’s decision not to authorize a charge for the RRR </w:t>
      </w:r>
      <w:r w:rsidRPr="00E04DEE">
        <w:rPr>
          <w:rFonts w:ascii="Times New Roman" w:hAnsi="Times New Roman" w:cs="Times New Roman"/>
          <w:i/>
          <w:sz w:val="24"/>
          <w:szCs w:val="24"/>
        </w:rPr>
        <w:t>is</w:t>
      </w:r>
      <w:r w:rsidRPr="00CD3EC5">
        <w:rPr>
          <w:rFonts w:ascii="Times New Roman" w:hAnsi="Times New Roman" w:cs="Times New Roman"/>
          <w:sz w:val="24"/>
          <w:szCs w:val="24"/>
        </w:rPr>
        <w:t xml:space="preserve"> supported by sufficient probative evidence. The PUCO analyzed testimony from AEP witness Allen and RESA witness White about the costs and rider at issue and considered objections and evidence in opposition</w:t>
      </w:r>
      <w:r>
        <w:rPr>
          <w:rFonts w:ascii="Times New Roman" w:hAnsi="Times New Roman" w:cs="Times New Roman"/>
          <w:sz w:val="24"/>
          <w:szCs w:val="24"/>
        </w:rPr>
        <w:t>. That other evidence included testimony from</w:t>
      </w:r>
      <w:r w:rsidRPr="00CD3EC5">
        <w:rPr>
          <w:rFonts w:ascii="Times New Roman" w:hAnsi="Times New Roman" w:cs="Times New Roman"/>
          <w:sz w:val="24"/>
          <w:szCs w:val="24"/>
        </w:rPr>
        <w:t xml:space="preserve"> OCC</w:t>
      </w:r>
      <w:r>
        <w:rPr>
          <w:rFonts w:ascii="Times New Roman" w:hAnsi="Times New Roman" w:cs="Times New Roman"/>
          <w:sz w:val="24"/>
          <w:szCs w:val="24"/>
        </w:rPr>
        <w:t>, that is consistent with the case outcome on the RRR</w:t>
      </w:r>
      <w:r w:rsidRPr="00CD3EC5">
        <w:rPr>
          <w:rFonts w:ascii="Times New Roman" w:hAnsi="Times New Roman" w:cs="Times New Roman"/>
          <w:sz w:val="24"/>
          <w:szCs w:val="24"/>
        </w:rPr>
        <w:t xml:space="preserve">. </w:t>
      </w:r>
    </w:p>
    <w:p w:rsidR="00CD3EC5" w:rsidP="00504721">
      <w:pPr>
        <w:spacing w:after="0" w:line="480" w:lineRule="auto"/>
        <w:ind w:firstLine="720"/>
        <w:rPr>
          <w:rFonts w:ascii="Times New Roman" w:hAnsi="Times New Roman" w:cs="Times New Roman"/>
          <w:sz w:val="24"/>
          <w:szCs w:val="24"/>
        </w:rPr>
      </w:pPr>
      <w:r w:rsidRPr="00CD3EC5">
        <w:rPr>
          <w:rFonts w:ascii="Times New Roman" w:hAnsi="Times New Roman" w:cs="Times New Roman"/>
          <w:sz w:val="24"/>
          <w:szCs w:val="24"/>
        </w:rPr>
        <w:t>After analyzing all of the record evidence, the PUCO concluded that sufficient evidence did not exist to determine wh</w:t>
      </w:r>
      <w:r>
        <w:rPr>
          <w:rFonts w:ascii="Times New Roman" w:hAnsi="Times New Roman" w:cs="Times New Roman"/>
          <w:sz w:val="24"/>
          <w:szCs w:val="24"/>
        </w:rPr>
        <w:t>at the RRR charge should be or if</w:t>
      </w:r>
      <w:r w:rsidRPr="00CD3EC5">
        <w:rPr>
          <w:rFonts w:ascii="Times New Roman" w:hAnsi="Times New Roman" w:cs="Times New Roman"/>
          <w:sz w:val="24"/>
          <w:szCs w:val="24"/>
        </w:rPr>
        <w:t xml:space="preserve"> a RRR charge was even necessary.</w:t>
      </w:r>
      <w:r>
        <w:rPr>
          <w:rFonts w:ascii="Times New Roman" w:hAnsi="Times New Roman" w:cs="Times New Roman"/>
          <w:sz w:val="24"/>
          <w:szCs w:val="24"/>
          <w:vertAlign w:val="superscript"/>
        </w:rPr>
        <w:footnoteReference w:id="36"/>
      </w:r>
      <w:r w:rsidRPr="00CD3EC5">
        <w:rPr>
          <w:rFonts w:ascii="Times New Roman" w:hAnsi="Times New Roman" w:cs="Times New Roman"/>
          <w:sz w:val="24"/>
          <w:szCs w:val="24"/>
        </w:rPr>
        <w:t xml:space="preserve"> Accordingly, the PUCO found that the RRR failed the third prong of the three-part settlement test.</w:t>
      </w:r>
      <w:r>
        <w:rPr>
          <w:rFonts w:ascii="Times New Roman" w:hAnsi="Times New Roman" w:cs="Times New Roman"/>
          <w:sz w:val="24"/>
          <w:szCs w:val="24"/>
          <w:vertAlign w:val="superscript"/>
        </w:rPr>
        <w:footnoteReference w:id="37"/>
      </w:r>
      <w:r w:rsidRPr="00CD3EC5">
        <w:rPr>
          <w:rFonts w:ascii="Times New Roman" w:hAnsi="Times New Roman" w:cs="Times New Roman"/>
          <w:sz w:val="24"/>
          <w:szCs w:val="24"/>
        </w:rPr>
        <w:t xml:space="preserve"> The PUCO’s factual decision is based on ample evidence and does not show misapprehension, mistake, or willful disregard of duty. Thus, it is not against the manifest weight of the evidence, would most likely not be disturbed on appeal, and IGS’s assignment of error should be denied</w:t>
      </w:r>
      <w:r>
        <w:rPr>
          <w:rFonts w:ascii="Times New Roman" w:hAnsi="Times New Roman" w:cs="Times New Roman"/>
          <w:sz w:val="24"/>
          <w:szCs w:val="24"/>
        </w:rPr>
        <w:t>.</w:t>
      </w:r>
    </w:p>
    <w:p w:rsidR="00CD3EC5" w:rsidP="00EF4920">
      <w:pPr>
        <w:pStyle w:val="Heading2"/>
      </w:pPr>
      <w:bookmarkStart w:id="10" w:name="_Toc515895496"/>
      <w:r w:rsidRPr="00B15908">
        <w:t xml:space="preserve">The PUCO </w:t>
      </w:r>
      <w:r>
        <w:t>set forth the reasons prompting its decision to deny charging SSO customers under Rider RRR</w:t>
      </w:r>
      <w:r w:rsidRPr="00B15908">
        <w:t>.</w:t>
      </w:r>
      <w:bookmarkEnd w:id="10"/>
    </w:p>
    <w:p w:rsidR="00CF0A00" w:rsidP="00504721">
      <w:pPr>
        <w:spacing w:after="0" w:line="480" w:lineRule="auto"/>
        <w:ind w:firstLine="720"/>
        <w:rPr>
          <w:rFonts w:ascii="Times New Roman" w:hAnsi="Times New Roman" w:cs="Times New Roman"/>
          <w:sz w:val="24"/>
          <w:szCs w:val="24"/>
        </w:rPr>
      </w:pPr>
      <w:r w:rsidRPr="00504721">
        <w:rPr>
          <w:rFonts w:ascii="Times New Roman" w:hAnsi="Times New Roman" w:cs="Times New Roman"/>
          <w:sz w:val="24"/>
          <w:szCs w:val="24"/>
        </w:rPr>
        <w:t>IGS claims</w:t>
      </w:r>
      <w:r>
        <w:rPr>
          <w:rFonts w:ascii="Times New Roman" w:hAnsi="Times New Roman" w:cs="Times New Roman"/>
          <w:sz w:val="24"/>
          <w:szCs w:val="24"/>
        </w:rPr>
        <w:t xml:space="preserve"> </w:t>
      </w:r>
      <w:r w:rsidRPr="00504721">
        <w:rPr>
          <w:rFonts w:ascii="Times New Roman" w:hAnsi="Times New Roman" w:cs="Times New Roman"/>
          <w:sz w:val="24"/>
          <w:szCs w:val="24"/>
        </w:rPr>
        <w:t xml:space="preserve">the Order is unlawful and </w:t>
      </w:r>
      <w:r>
        <w:rPr>
          <w:rFonts w:ascii="Times New Roman" w:hAnsi="Times New Roman" w:cs="Times New Roman"/>
          <w:sz w:val="24"/>
          <w:szCs w:val="24"/>
        </w:rPr>
        <w:t>unreasonable because it violates</w:t>
      </w:r>
      <w:r w:rsidRPr="00504721">
        <w:rPr>
          <w:rFonts w:ascii="Times New Roman" w:hAnsi="Times New Roman" w:cs="Times New Roman"/>
          <w:sz w:val="24"/>
          <w:szCs w:val="24"/>
        </w:rPr>
        <w:t xml:space="preserve"> R.C. 4903.09 by failing to state findings of facts and reasons prompting its decision to not </w:t>
      </w:r>
      <w:r>
        <w:rPr>
          <w:rFonts w:ascii="Times New Roman" w:hAnsi="Times New Roman" w:cs="Times New Roman"/>
          <w:sz w:val="24"/>
          <w:szCs w:val="24"/>
        </w:rPr>
        <w:t>authorize AEP to charge customers under</w:t>
      </w:r>
      <w:r w:rsidRPr="00504721">
        <w:rPr>
          <w:rFonts w:ascii="Times New Roman" w:hAnsi="Times New Roman" w:cs="Times New Roman"/>
          <w:sz w:val="24"/>
          <w:szCs w:val="24"/>
        </w:rPr>
        <w:t xml:space="preserve"> the RRR.</w:t>
      </w:r>
      <w:r>
        <w:rPr>
          <w:rFonts w:ascii="Times New Roman" w:hAnsi="Times New Roman" w:cs="Times New Roman"/>
          <w:sz w:val="24"/>
          <w:szCs w:val="24"/>
          <w:vertAlign w:val="superscript"/>
        </w:rPr>
        <w:footnoteReference w:id="38"/>
      </w:r>
      <w:r w:rsidRPr="00504721">
        <w:rPr>
          <w:rFonts w:ascii="Times New Roman" w:hAnsi="Times New Roman" w:cs="Times New Roman"/>
          <w:sz w:val="24"/>
          <w:szCs w:val="24"/>
        </w:rPr>
        <w:t xml:space="preserve"> This claim has no merit. </w:t>
      </w:r>
      <w:r>
        <w:rPr>
          <w:rFonts w:ascii="Times New Roman" w:hAnsi="Times New Roman" w:cs="Times New Roman"/>
          <w:sz w:val="24"/>
          <w:szCs w:val="24"/>
        </w:rPr>
        <w:t>T</w:t>
      </w:r>
      <w:r w:rsidRPr="00504721">
        <w:rPr>
          <w:rFonts w:ascii="Times New Roman" w:hAnsi="Times New Roman" w:cs="Times New Roman"/>
          <w:sz w:val="24"/>
          <w:szCs w:val="24"/>
        </w:rPr>
        <w:t>o meet R.C. 4903.09</w:t>
      </w:r>
      <w:r>
        <w:rPr>
          <w:rFonts w:ascii="Times New Roman" w:hAnsi="Times New Roman" w:cs="Times New Roman"/>
          <w:sz w:val="24"/>
          <w:szCs w:val="24"/>
        </w:rPr>
        <w:t>’s requirements,</w:t>
      </w:r>
      <w:r w:rsidRPr="00504721">
        <w:rPr>
          <w:rFonts w:ascii="Times New Roman" w:hAnsi="Times New Roman" w:cs="Times New Roman"/>
          <w:sz w:val="24"/>
          <w:szCs w:val="24"/>
        </w:rPr>
        <w:t xml:space="preserve"> the PUCO's </w:t>
      </w:r>
      <w:r>
        <w:rPr>
          <w:rFonts w:ascii="Times New Roman" w:hAnsi="Times New Roman" w:cs="Times New Roman"/>
          <w:sz w:val="24"/>
          <w:szCs w:val="24"/>
        </w:rPr>
        <w:t>Order must show in sufficient detail</w:t>
      </w:r>
      <w:r w:rsidRPr="00504721">
        <w:rPr>
          <w:rFonts w:ascii="Times New Roman" w:hAnsi="Times New Roman" w:cs="Times New Roman"/>
          <w:sz w:val="24"/>
          <w:szCs w:val="24"/>
        </w:rPr>
        <w:t xml:space="preserve"> the fact</w:t>
      </w:r>
      <w:r>
        <w:rPr>
          <w:rFonts w:ascii="Times New Roman" w:hAnsi="Times New Roman" w:cs="Times New Roman"/>
          <w:sz w:val="24"/>
          <w:szCs w:val="24"/>
        </w:rPr>
        <w:t>s in the record upon which the O</w:t>
      </w:r>
      <w:r w:rsidRPr="00504721">
        <w:rPr>
          <w:rFonts w:ascii="Times New Roman" w:hAnsi="Times New Roman" w:cs="Times New Roman"/>
          <w:sz w:val="24"/>
          <w:szCs w:val="24"/>
        </w:rPr>
        <w:t>rder is based, and the reasoning followed by the PUCO in reaching its conclusion.</w:t>
      </w:r>
      <w:r>
        <w:rPr>
          <w:rFonts w:ascii="Times New Roman" w:hAnsi="Times New Roman" w:cs="Times New Roman"/>
          <w:sz w:val="24"/>
          <w:szCs w:val="24"/>
          <w:vertAlign w:val="superscript"/>
        </w:rPr>
        <w:footnoteReference w:id="39"/>
      </w:r>
      <w:r w:rsidRPr="00504721">
        <w:rPr>
          <w:rFonts w:ascii="Times New Roman" w:hAnsi="Times New Roman" w:cs="Times New Roman"/>
          <w:sz w:val="24"/>
          <w:szCs w:val="24"/>
        </w:rPr>
        <w:t xml:space="preserve"> The PUCO has satisfied that burden here. </w:t>
      </w:r>
    </w:p>
    <w:p w:rsidR="00CD3EC5" w:rsidP="00504721">
      <w:pPr>
        <w:spacing w:after="0" w:line="480" w:lineRule="auto"/>
        <w:ind w:firstLine="720"/>
        <w:rPr>
          <w:rFonts w:ascii="Times New Roman" w:hAnsi="Times New Roman" w:cs="Times New Roman"/>
          <w:sz w:val="24"/>
          <w:szCs w:val="24"/>
        </w:rPr>
      </w:pPr>
      <w:r w:rsidRPr="00504721">
        <w:rPr>
          <w:rFonts w:ascii="Times New Roman" w:hAnsi="Times New Roman" w:cs="Times New Roman"/>
          <w:sz w:val="24"/>
          <w:szCs w:val="24"/>
        </w:rPr>
        <w:t>The PUCO specifically identified findings of fact and the reasons behind its decisi</w:t>
      </w:r>
      <w:r>
        <w:rPr>
          <w:rFonts w:ascii="Times New Roman" w:hAnsi="Times New Roman" w:cs="Times New Roman"/>
          <w:sz w:val="24"/>
          <w:szCs w:val="24"/>
        </w:rPr>
        <w:t>on not to authorize a charge under</w:t>
      </w:r>
      <w:r w:rsidRPr="00504721">
        <w:rPr>
          <w:rFonts w:ascii="Times New Roman" w:hAnsi="Times New Roman" w:cs="Times New Roman"/>
          <w:sz w:val="24"/>
          <w:szCs w:val="24"/>
        </w:rPr>
        <w:t xml:space="preserve"> the RRR. As stated above, the PUCO took and analyzed testimony and other evidence on both sides of the issue. After explaining</w:t>
      </w:r>
      <w:r>
        <w:rPr>
          <w:rFonts w:ascii="Times New Roman" w:hAnsi="Times New Roman" w:cs="Times New Roman"/>
          <w:sz w:val="24"/>
          <w:szCs w:val="24"/>
        </w:rPr>
        <w:t xml:space="preserve"> the relevant facts and parties’</w:t>
      </w:r>
      <w:r w:rsidRPr="00504721">
        <w:rPr>
          <w:rFonts w:ascii="Times New Roman" w:hAnsi="Times New Roman" w:cs="Times New Roman"/>
          <w:sz w:val="24"/>
          <w:szCs w:val="24"/>
        </w:rPr>
        <w:t xml:space="preserve"> positions in the Order, the PUCO concluded that sufficient evidence did not exist to determine what the RRR charge amount should be or whether a</w:t>
      </w:r>
      <w:r>
        <w:rPr>
          <w:rFonts w:ascii="Times New Roman" w:hAnsi="Times New Roman" w:cs="Times New Roman"/>
          <w:sz w:val="24"/>
          <w:szCs w:val="24"/>
        </w:rPr>
        <w:t xml:space="preserve"> </w:t>
      </w:r>
      <w:r w:rsidRPr="00504721">
        <w:rPr>
          <w:rFonts w:ascii="Times New Roman" w:hAnsi="Times New Roman" w:cs="Times New Roman"/>
          <w:sz w:val="24"/>
          <w:szCs w:val="24"/>
        </w:rPr>
        <w:t>RRR charge was even necessary.</w:t>
      </w:r>
      <w:r>
        <w:rPr>
          <w:rFonts w:ascii="Times New Roman" w:hAnsi="Times New Roman" w:cs="Times New Roman"/>
          <w:sz w:val="24"/>
          <w:szCs w:val="24"/>
          <w:vertAlign w:val="superscript"/>
        </w:rPr>
        <w:footnoteReference w:id="40"/>
      </w:r>
      <w:r w:rsidRPr="00504721">
        <w:rPr>
          <w:rFonts w:ascii="Times New Roman" w:hAnsi="Times New Roman" w:cs="Times New Roman"/>
          <w:sz w:val="24"/>
          <w:szCs w:val="24"/>
        </w:rPr>
        <w:t xml:space="preserve"> Thus, additional evidence was necessary before a decision could be rendered. Should this issue be appealed to the Supreme Court, there will be a sufficient record for the Court to make a determination. Therefore, the PUCO did not violate R.C. 4903.09</w:t>
      </w:r>
      <w:r>
        <w:rPr>
          <w:rFonts w:ascii="Times New Roman" w:hAnsi="Times New Roman" w:cs="Times New Roman"/>
          <w:sz w:val="24"/>
          <w:szCs w:val="24"/>
        </w:rPr>
        <w:t>.</w:t>
      </w:r>
    </w:p>
    <w:p w:rsidR="00C94057" w:rsidP="00EF4920">
      <w:pPr>
        <w:pStyle w:val="Heading2"/>
      </w:pPr>
      <w:bookmarkStart w:id="11" w:name="_Toc515895497"/>
      <w:r w:rsidRPr="00B15908">
        <w:t xml:space="preserve">The PUCO should </w:t>
      </w:r>
      <w:r>
        <w:t>deny IGS’s argument that the Opinion and Order resulted in unjust and unreasonable rates for consumers; if anything, the PUCO’s ruling avoided an unreasonable charge to consumers.</w:t>
      </w:r>
      <w:bookmarkEnd w:id="11"/>
    </w:p>
    <w:p w:rsidR="00806FE9" w:rsidP="00C94057">
      <w:pPr>
        <w:spacing w:after="0" w:line="480" w:lineRule="auto"/>
        <w:ind w:firstLine="720"/>
        <w:rPr>
          <w:rFonts w:ascii="Times New Roman" w:hAnsi="Times New Roman" w:cs="Times New Roman"/>
          <w:sz w:val="24"/>
          <w:szCs w:val="24"/>
        </w:rPr>
      </w:pPr>
      <w:r w:rsidRPr="00C94057">
        <w:rPr>
          <w:rFonts w:ascii="Times New Roman" w:hAnsi="Times New Roman" w:cs="Times New Roman"/>
          <w:sz w:val="24"/>
          <w:szCs w:val="24"/>
        </w:rPr>
        <w:t>IGS claims that the PUCO’s decision created unjust and unreasonable rates because it failed to authorize a charge for the RRR despite the record evidence that a charge is necessary.</w:t>
      </w:r>
      <w:r>
        <w:rPr>
          <w:rFonts w:ascii="Times New Roman" w:hAnsi="Times New Roman" w:cs="Times New Roman"/>
          <w:sz w:val="24"/>
          <w:szCs w:val="24"/>
          <w:vertAlign w:val="superscript"/>
        </w:rPr>
        <w:footnoteReference w:id="41"/>
      </w:r>
      <w:r w:rsidRPr="00C94057">
        <w:rPr>
          <w:rFonts w:ascii="Times New Roman" w:hAnsi="Times New Roman" w:cs="Times New Roman"/>
          <w:sz w:val="24"/>
          <w:szCs w:val="24"/>
        </w:rPr>
        <w:t xml:space="preserve"> This claim has no merit. As stated above, the PUCO determined that there was insufficient evidence to determine what the RRR charge should be or whether a RRR charge was even necessary.</w:t>
      </w:r>
      <w:r>
        <w:rPr>
          <w:rFonts w:ascii="Times New Roman" w:hAnsi="Times New Roman" w:cs="Times New Roman"/>
          <w:sz w:val="24"/>
          <w:szCs w:val="24"/>
          <w:vertAlign w:val="superscript"/>
        </w:rPr>
        <w:footnoteReference w:id="42"/>
      </w:r>
      <w:r w:rsidRPr="00C94057">
        <w:rPr>
          <w:rFonts w:ascii="Times New Roman" w:hAnsi="Times New Roman" w:cs="Times New Roman"/>
          <w:sz w:val="24"/>
          <w:szCs w:val="24"/>
        </w:rPr>
        <w:t xml:space="preserve"> </w:t>
      </w:r>
    </w:p>
    <w:p w:rsidR="00CD3EC5" w:rsidP="00C94057">
      <w:pPr>
        <w:spacing w:after="0" w:line="480" w:lineRule="auto"/>
        <w:ind w:firstLine="720"/>
        <w:rPr>
          <w:rFonts w:ascii="Times New Roman" w:hAnsi="Times New Roman" w:cs="Times New Roman"/>
          <w:sz w:val="24"/>
          <w:szCs w:val="24"/>
        </w:rPr>
      </w:pPr>
      <w:r w:rsidRPr="00C94057">
        <w:rPr>
          <w:rFonts w:ascii="Times New Roman" w:hAnsi="Times New Roman" w:cs="Times New Roman"/>
          <w:sz w:val="24"/>
          <w:szCs w:val="24"/>
        </w:rPr>
        <w:t>Further, as the Order noted, the Signatory Parties readily admitted that the proposed RRR cha</w:t>
      </w:r>
      <w:r>
        <w:rPr>
          <w:rFonts w:ascii="Times New Roman" w:hAnsi="Times New Roman" w:cs="Times New Roman"/>
          <w:sz w:val="24"/>
          <w:szCs w:val="24"/>
        </w:rPr>
        <w:t>rge in the S</w:t>
      </w:r>
      <w:r w:rsidRPr="00C94057">
        <w:rPr>
          <w:rFonts w:ascii="Times New Roman" w:hAnsi="Times New Roman" w:cs="Times New Roman"/>
          <w:sz w:val="24"/>
          <w:szCs w:val="24"/>
        </w:rPr>
        <w:t>ettlement and the second proposed RRR charge in RESA’s testimony were not completely accurate.</w:t>
      </w:r>
      <w:r>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w:t>
      </w:r>
      <w:r w:rsidRPr="00C94057">
        <w:rPr>
          <w:rFonts w:ascii="Times New Roman" w:hAnsi="Times New Roman" w:cs="Times New Roman"/>
          <w:sz w:val="24"/>
          <w:szCs w:val="24"/>
        </w:rPr>
        <w:t>Implementing, not denying, an inaccurate charge would have created an unjust and unreasonable rate. Instead of implementing an inaccurate rate unsuppo</w:t>
      </w:r>
      <w:r>
        <w:rPr>
          <w:rFonts w:ascii="Times New Roman" w:hAnsi="Times New Roman" w:cs="Times New Roman"/>
          <w:sz w:val="24"/>
          <w:szCs w:val="24"/>
        </w:rPr>
        <w:t>rted by facts and evidence, the</w:t>
      </w:r>
      <w:r w:rsidRPr="00C94057">
        <w:rPr>
          <w:rFonts w:ascii="Times New Roman" w:hAnsi="Times New Roman" w:cs="Times New Roman"/>
          <w:sz w:val="24"/>
          <w:szCs w:val="24"/>
        </w:rPr>
        <w:t xml:space="preserve"> PUCO opted to deny the proposed charge</w:t>
      </w:r>
      <w:r>
        <w:rPr>
          <w:rFonts w:ascii="Times New Roman" w:hAnsi="Times New Roman" w:cs="Times New Roman"/>
          <w:sz w:val="24"/>
          <w:szCs w:val="24"/>
        </w:rPr>
        <w:t xml:space="preserve"> at this time</w:t>
      </w:r>
      <w:r w:rsidRPr="00C94057">
        <w:rPr>
          <w:rFonts w:ascii="Times New Roman" w:hAnsi="Times New Roman" w:cs="Times New Roman"/>
          <w:sz w:val="24"/>
          <w:szCs w:val="24"/>
        </w:rPr>
        <w:t>. IGS’s assignment of error should be denied</w:t>
      </w:r>
      <w:r>
        <w:rPr>
          <w:rFonts w:ascii="Times New Roman" w:hAnsi="Times New Roman" w:cs="Times New Roman"/>
          <w:sz w:val="24"/>
          <w:szCs w:val="24"/>
        </w:rPr>
        <w:t>.</w:t>
      </w:r>
    </w:p>
    <w:p w:rsidR="00CD3EC5" w:rsidP="00EF4920">
      <w:pPr>
        <w:pStyle w:val="Heading2"/>
      </w:pPr>
      <w:bookmarkStart w:id="12" w:name="_Toc515895498"/>
      <w:r w:rsidRPr="00B15908">
        <w:t xml:space="preserve">The PUCO should </w:t>
      </w:r>
      <w:r>
        <w:t>deny the argument raised by IGS and RESA that the Opinion and Order violates state policy set forth in R.C. 4928.02</w:t>
      </w:r>
      <w:r w:rsidRPr="00B15908">
        <w:t>.</w:t>
      </w:r>
      <w:bookmarkEnd w:id="12"/>
    </w:p>
    <w:p w:rsidR="009578D7" w:rsidP="00C94057">
      <w:pPr>
        <w:spacing w:after="0" w:line="480" w:lineRule="auto"/>
        <w:ind w:firstLine="720"/>
        <w:rPr>
          <w:rFonts w:ascii="Times New Roman" w:hAnsi="Times New Roman" w:cs="Times New Roman"/>
          <w:sz w:val="24"/>
          <w:szCs w:val="24"/>
        </w:rPr>
      </w:pPr>
      <w:r w:rsidRPr="00C94057">
        <w:rPr>
          <w:rFonts w:ascii="Times New Roman" w:hAnsi="Times New Roman" w:cs="Times New Roman"/>
          <w:sz w:val="24"/>
          <w:szCs w:val="24"/>
        </w:rPr>
        <w:t>IGS and RESA both claim that the Order is unlawful and unreasonable because it authorized an SSO that does not comport with the state policies identified in R.C. 4928.02(A),</w:t>
      </w:r>
      <w:r>
        <w:rPr>
          <w:rFonts w:ascii="Times New Roman" w:hAnsi="Times New Roman" w:cs="Times New Roman"/>
          <w:sz w:val="24"/>
          <w:szCs w:val="24"/>
          <w:vertAlign w:val="superscript"/>
        </w:rPr>
        <w:footnoteReference w:id="44"/>
      </w:r>
      <w:r w:rsidRPr="00C94057">
        <w:rPr>
          <w:rFonts w:ascii="Times New Roman" w:hAnsi="Times New Roman" w:cs="Times New Roman"/>
          <w:sz w:val="24"/>
          <w:szCs w:val="24"/>
        </w:rPr>
        <w:t xml:space="preserve"> (B),</w:t>
      </w:r>
      <w:r>
        <w:rPr>
          <w:rFonts w:ascii="Times New Roman" w:hAnsi="Times New Roman" w:cs="Times New Roman"/>
          <w:sz w:val="24"/>
          <w:szCs w:val="24"/>
          <w:vertAlign w:val="superscript"/>
        </w:rPr>
        <w:footnoteReference w:id="45"/>
      </w:r>
      <w:r w:rsidRPr="00C94057">
        <w:rPr>
          <w:rFonts w:ascii="Times New Roman" w:hAnsi="Times New Roman" w:cs="Times New Roman"/>
          <w:sz w:val="24"/>
          <w:szCs w:val="24"/>
        </w:rPr>
        <w:t xml:space="preserve"> and (H).</w:t>
      </w:r>
      <w:r>
        <w:rPr>
          <w:rFonts w:ascii="Times New Roman" w:hAnsi="Times New Roman" w:cs="Times New Roman"/>
          <w:sz w:val="24"/>
          <w:szCs w:val="24"/>
          <w:vertAlign w:val="superscript"/>
        </w:rPr>
        <w:footnoteReference w:id="46"/>
      </w:r>
      <w:r w:rsidRPr="00C94057">
        <w:rPr>
          <w:rFonts w:ascii="Times New Roman" w:hAnsi="Times New Roman" w:cs="Times New Roman"/>
          <w:sz w:val="24"/>
          <w:szCs w:val="24"/>
        </w:rPr>
        <w:t xml:space="preserve"> </w:t>
      </w:r>
      <w:r>
        <w:rPr>
          <w:rFonts w:ascii="Times New Roman" w:hAnsi="Times New Roman" w:cs="Times New Roman"/>
          <w:sz w:val="24"/>
          <w:szCs w:val="24"/>
        </w:rPr>
        <w:t>T</w:t>
      </w:r>
      <w:r w:rsidRPr="00C94057">
        <w:rPr>
          <w:rFonts w:ascii="Times New Roman" w:hAnsi="Times New Roman" w:cs="Times New Roman"/>
          <w:sz w:val="24"/>
          <w:szCs w:val="24"/>
        </w:rPr>
        <w:t>he parties argue that by not authorizing a charge for the RRR, the PUCO failed to ensure nondiscriminatory prices,</w:t>
      </w:r>
      <w:r>
        <w:rPr>
          <w:rFonts w:ascii="Times New Roman" w:hAnsi="Times New Roman" w:cs="Times New Roman"/>
          <w:sz w:val="24"/>
          <w:szCs w:val="24"/>
          <w:vertAlign w:val="superscript"/>
        </w:rPr>
        <w:footnoteReference w:id="47"/>
      </w:r>
      <w:r w:rsidRPr="00C94057">
        <w:rPr>
          <w:rFonts w:ascii="Times New Roman" w:hAnsi="Times New Roman" w:cs="Times New Roman"/>
          <w:sz w:val="24"/>
          <w:szCs w:val="24"/>
        </w:rPr>
        <w:t xml:space="preserve"> unbundled and comparable electric service,</w:t>
      </w:r>
      <w:r>
        <w:rPr>
          <w:rFonts w:ascii="Times New Roman" w:hAnsi="Times New Roman" w:cs="Times New Roman"/>
          <w:sz w:val="24"/>
          <w:szCs w:val="24"/>
          <w:vertAlign w:val="superscript"/>
        </w:rPr>
        <w:footnoteReference w:id="48"/>
      </w:r>
      <w:r w:rsidRPr="00C94057">
        <w:rPr>
          <w:rFonts w:ascii="Times New Roman" w:hAnsi="Times New Roman" w:cs="Times New Roman"/>
          <w:sz w:val="24"/>
          <w:szCs w:val="24"/>
        </w:rPr>
        <w:t xml:space="preserve"> and the avoidance of anticompetitive subsidies flowing from a noncompetitive retail electric service to a competitive retail electric service.</w:t>
      </w:r>
      <w:r>
        <w:rPr>
          <w:rFonts w:ascii="Times New Roman" w:hAnsi="Times New Roman" w:cs="Times New Roman"/>
          <w:sz w:val="24"/>
          <w:szCs w:val="24"/>
          <w:vertAlign w:val="superscript"/>
        </w:rPr>
        <w:footnoteReference w:id="49"/>
      </w:r>
      <w:r w:rsidRPr="00C94057">
        <w:rPr>
          <w:rFonts w:ascii="Times New Roman" w:hAnsi="Times New Roman" w:cs="Times New Roman"/>
          <w:sz w:val="24"/>
          <w:szCs w:val="24"/>
        </w:rPr>
        <w:t xml:space="preserve"> IGS and RESA’s arguments both center around the same mistaken belief</w:t>
      </w:r>
      <w:r>
        <w:rPr>
          <w:rFonts w:ascii="Times New Roman" w:hAnsi="Times New Roman" w:cs="Times New Roman"/>
          <w:sz w:val="24"/>
          <w:szCs w:val="24"/>
        </w:rPr>
        <w:t>s</w:t>
      </w:r>
      <w:r w:rsidRPr="00C9405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94057">
        <w:rPr>
          <w:rFonts w:ascii="Times New Roman" w:hAnsi="Times New Roman" w:cs="Times New Roman"/>
          <w:sz w:val="24"/>
          <w:szCs w:val="24"/>
        </w:rPr>
        <w:t xml:space="preserve">that the evidence unequivocally </w:t>
      </w:r>
      <w:r>
        <w:rPr>
          <w:rFonts w:ascii="Times New Roman" w:hAnsi="Times New Roman" w:cs="Times New Roman"/>
          <w:sz w:val="24"/>
          <w:szCs w:val="24"/>
        </w:rPr>
        <w:t>demonstrated</w:t>
      </w:r>
      <w:r w:rsidRPr="00C94057">
        <w:rPr>
          <w:rFonts w:ascii="Times New Roman" w:hAnsi="Times New Roman" w:cs="Times New Roman"/>
          <w:sz w:val="24"/>
          <w:szCs w:val="24"/>
        </w:rPr>
        <w:t xml:space="preserve"> that shopping customers are subsidizing non-shopping customers and </w:t>
      </w:r>
      <w:r>
        <w:rPr>
          <w:rFonts w:ascii="Times New Roman" w:hAnsi="Times New Roman" w:cs="Times New Roman"/>
          <w:sz w:val="24"/>
          <w:szCs w:val="24"/>
        </w:rPr>
        <w:t xml:space="preserve">(2) </w:t>
      </w:r>
      <w:r w:rsidRPr="00C94057">
        <w:rPr>
          <w:rFonts w:ascii="Times New Roman" w:hAnsi="Times New Roman" w:cs="Times New Roman"/>
          <w:sz w:val="24"/>
          <w:szCs w:val="24"/>
        </w:rPr>
        <w:t xml:space="preserve">that the PUCO’s failure to authorize a RRR charge allowed this unlawful practice to continue in violation </w:t>
      </w:r>
      <w:r>
        <w:rPr>
          <w:rFonts w:ascii="Times New Roman" w:hAnsi="Times New Roman" w:cs="Times New Roman"/>
          <w:sz w:val="24"/>
          <w:szCs w:val="24"/>
        </w:rPr>
        <w:t>of state policy</w:t>
      </w:r>
      <w:r w:rsidRPr="00C94057">
        <w:rPr>
          <w:rFonts w:ascii="Times New Roman" w:hAnsi="Times New Roman" w:cs="Times New Roman"/>
          <w:sz w:val="24"/>
          <w:szCs w:val="24"/>
        </w:rPr>
        <w:t>.</w:t>
      </w:r>
      <w:r w:rsidRPr="00C94057">
        <w:t xml:space="preserve"> </w:t>
      </w:r>
      <w:r w:rsidRPr="00C94057">
        <w:rPr>
          <w:rFonts w:ascii="Times New Roman" w:hAnsi="Times New Roman" w:cs="Times New Roman"/>
          <w:sz w:val="24"/>
          <w:szCs w:val="24"/>
        </w:rPr>
        <w:t xml:space="preserve"> </w:t>
      </w:r>
    </w:p>
    <w:p w:rsidR="00CD3EC5" w:rsidP="00C94057">
      <w:pPr>
        <w:spacing w:after="0" w:line="480" w:lineRule="auto"/>
        <w:ind w:firstLine="720"/>
        <w:rPr>
          <w:rFonts w:ascii="Times New Roman" w:hAnsi="Times New Roman" w:cs="Times New Roman"/>
          <w:sz w:val="24"/>
          <w:szCs w:val="24"/>
        </w:rPr>
      </w:pPr>
      <w:r w:rsidRPr="00C94057">
        <w:rPr>
          <w:rFonts w:ascii="Times New Roman" w:hAnsi="Times New Roman" w:cs="Times New Roman"/>
          <w:sz w:val="24"/>
          <w:szCs w:val="24"/>
        </w:rPr>
        <w:t>IGS and RESA are wrong on all counts</w:t>
      </w:r>
      <w:r>
        <w:rPr>
          <w:rFonts w:ascii="Times New Roman" w:hAnsi="Times New Roman" w:cs="Times New Roman"/>
          <w:sz w:val="24"/>
          <w:szCs w:val="24"/>
        </w:rPr>
        <w:t>.</w:t>
      </w:r>
      <w:r w:rsidRPr="00C94057">
        <w:rPr>
          <w:rFonts w:ascii="Times New Roman" w:hAnsi="Times New Roman" w:cs="Times New Roman"/>
          <w:sz w:val="24"/>
          <w:szCs w:val="24"/>
        </w:rPr>
        <w:t xml:space="preserve"> </w:t>
      </w:r>
      <w:r>
        <w:rPr>
          <w:rFonts w:ascii="Times New Roman" w:hAnsi="Times New Roman" w:cs="Times New Roman"/>
          <w:sz w:val="24"/>
          <w:szCs w:val="24"/>
        </w:rPr>
        <w:t>B</w:t>
      </w:r>
      <w:r w:rsidRPr="00C94057">
        <w:rPr>
          <w:rFonts w:ascii="Times New Roman" w:hAnsi="Times New Roman" w:cs="Times New Roman"/>
          <w:sz w:val="24"/>
          <w:szCs w:val="24"/>
        </w:rPr>
        <w:t xml:space="preserve">oth parties fail to recognize that the PUCO </w:t>
      </w:r>
      <w:r>
        <w:rPr>
          <w:rFonts w:ascii="Times New Roman" w:hAnsi="Times New Roman" w:cs="Times New Roman"/>
          <w:sz w:val="24"/>
          <w:szCs w:val="24"/>
        </w:rPr>
        <w:t xml:space="preserve">properly </w:t>
      </w:r>
      <w:r w:rsidRPr="00C94057">
        <w:rPr>
          <w:rFonts w:ascii="Times New Roman" w:hAnsi="Times New Roman" w:cs="Times New Roman"/>
          <w:sz w:val="24"/>
          <w:szCs w:val="24"/>
        </w:rPr>
        <w:t xml:space="preserve">determined that there was insufficient evidence to prove the illegality that IGS and RESA allege. That is, the PUCO stated that further evidence and analysis was required before it could determine </w:t>
      </w:r>
      <w:r>
        <w:rPr>
          <w:rFonts w:ascii="Times New Roman" w:hAnsi="Times New Roman" w:cs="Times New Roman"/>
          <w:sz w:val="24"/>
          <w:szCs w:val="24"/>
        </w:rPr>
        <w:t>if,</w:t>
      </w:r>
      <w:r w:rsidRPr="00C94057">
        <w:rPr>
          <w:rFonts w:ascii="Times New Roman" w:hAnsi="Times New Roman" w:cs="Times New Roman"/>
          <w:sz w:val="24"/>
          <w:szCs w:val="24"/>
        </w:rPr>
        <w:t xml:space="preserve"> and to what extent</w:t>
      </w:r>
      <w:r>
        <w:rPr>
          <w:rFonts w:ascii="Times New Roman" w:hAnsi="Times New Roman" w:cs="Times New Roman"/>
          <w:sz w:val="24"/>
          <w:szCs w:val="24"/>
        </w:rPr>
        <w:t>,</w:t>
      </w:r>
      <w:r w:rsidRPr="00C94057">
        <w:rPr>
          <w:rFonts w:ascii="Times New Roman" w:hAnsi="Times New Roman" w:cs="Times New Roman"/>
          <w:sz w:val="24"/>
          <w:szCs w:val="24"/>
        </w:rPr>
        <w:t xml:space="preserve"> there are costs recovered from all customers through dist</w:t>
      </w:r>
      <w:r>
        <w:rPr>
          <w:rFonts w:ascii="Times New Roman" w:hAnsi="Times New Roman" w:cs="Times New Roman"/>
          <w:sz w:val="24"/>
          <w:szCs w:val="24"/>
        </w:rPr>
        <w:t xml:space="preserve">ribution rates </w:t>
      </w:r>
      <w:r w:rsidRPr="00C94057">
        <w:rPr>
          <w:rFonts w:ascii="Times New Roman" w:hAnsi="Times New Roman" w:cs="Times New Roman"/>
          <w:sz w:val="24"/>
          <w:szCs w:val="24"/>
        </w:rPr>
        <w:t>t</w:t>
      </w:r>
      <w:r>
        <w:rPr>
          <w:rFonts w:ascii="Times New Roman" w:hAnsi="Times New Roman" w:cs="Times New Roman"/>
          <w:sz w:val="24"/>
          <w:szCs w:val="24"/>
        </w:rPr>
        <w:t xml:space="preserve">hat are clearly incurred by AEP </w:t>
      </w:r>
      <w:r w:rsidRPr="00C94057">
        <w:rPr>
          <w:rFonts w:ascii="Times New Roman" w:hAnsi="Times New Roman" w:cs="Times New Roman"/>
          <w:sz w:val="24"/>
          <w:szCs w:val="24"/>
        </w:rPr>
        <w:t>to support the SSO.</w:t>
      </w:r>
      <w:r>
        <w:rPr>
          <w:rFonts w:ascii="Times New Roman" w:hAnsi="Times New Roman" w:cs="Times New Roman"/>
          <w:sz w:val="24"/>
          <w:szCs w:val="24"/>
          <w:vertAlign w:val="superscript"/>
        </w:rPr>
        <w:footnoteReference w:id="50"/>
      </w:r>
      <w:r w:rsidRPr="00C94057">
        <w:rPr>
          <w:rFonts w:ascii="Times New Roman" w:hAnsi="Times New Roman" w:cs="Times New Roman"/>
          <w:sz w:val="24"/>
          <w:szCs w:val="24"/>
        </w:rPr>
        <w:t xml:space="preserve"> Accordingly, the PUCO could not authorize a char</w:t>
      </w:r>
      <w:r>
        <w:rPr>
          <w:rFonts w:ascii="Times New Roman" w:hAnsi="Times New Roman" w:cs="Times New Roman"/>
          <w:sz w:val="24"/>
          <w:szCs w:val="24"/>
        </w:rPr>
        <w:t>ge for the RRR. Therefore, the PUCO should deny the assignments of error raised by IGS</w:t>
      </w:r>
      <w:r w:rsidRPr="00C94057">
        <w:rPr>
          <w:rFonts w:ascii="Times New Roman" w:hAnsi="Times New Roman" w:cs="Times New Roman"/>
          <w:sz w:val="24"/>
          <w:szCs w:val="24"/>
        </w:rPr>
        <w:t xml:space="preserve"> and RESA</w:t>
      </w:r>
      <w:r>
        <w:rPr>
          <w:rFonts w:ascii="Times New Roman" w:hAnsi="Times New Roman" w:cs="Times New Roman"/>
          <w:sz w:val="24"/>
          <w:szCs w:val="24"/>
        </w:rPr>
        <w:t>.</w:t>
      </w:r>
    </w:p>
    <w:p w:rsidR="00CD3EC5" w:rsidP="00EF4920">
      <w:pPr>
        <w:pStyle w:val="Heading2"/>
      </w:pPr>
      <w:bookmarkStart w:id="13" w:name="_Toc515895499"/>
      <w:r w:rsidRPr="00B15908">
        <w:t xml:space="preserve">The PUCO should </w:t>
      </w:r>
      <w:r>
        <w:t>deny RESA’s argument that the Opinion and Order violates the PUCO’s previous Order in Case No. 14-1693-EL-SSO</w:t>
      </w:r>
      <w:r w:rsidRPr="00B15908">
        <w:t>.</w:t>
      </w:r>
      <w:bookmarkEnd w:id="13"/>
    </w:p>
    <w:p w:rsidR="00C94057" w:rsidRPr="00C94057" w:rsidP="00C94057">
      <w:pPr>
        <w:spacing w:line="480" w:lineRule="auto"/>
        <w:ind w:firstLine="720"/>
        <w:contextualSpacing/>
        <w:rPr>
          <w:rFonts w:ascii="Times New Roman" w:hAnsi="Times New Roman" w:cs="Times New Roman"/>
          <w:sz w:val="24"/>
          <w:szCs w:val="24"/>
        </w:rPr>
      </w:pPr>
      <w:r w:rsidRPr="00C94057">
        <w:rPr>
          <w:rFonts w:ascii="Times New Roman" w:hAnsi="Times New Roman" w:cs="Times New Roman"/>
          <w:sz w:val="24"/>
          <w:szCs w:val="24"/>
        </w:rPr>
        <w:t xml:space="preserve">RESA argues that the Order is unlawful and unreasonable because it violates the PUCO’s own order in </w:t>
      </w:r>
      <w:r>
        <w:rPr>
          <w:rFonts w:ascii="Times New Roman" w:hAnsi="Times New Roman" w:cs="Times New Roman"/>
          <w:sz w:val="24"/>
          <w:szCs w:val="24"/>
        </w:rPr>
        <w:t xml:space="preserve">the </w:t>
      </w:r>
      <w:r w:rsidRPr="00C94057">
        <w:rPr>
          <w:rFonts w:ascii="Times New Roman" w:hAnsi="Times New Roman" w:cs="Times New Roman"/>
          <w:sz w:val="24"/>
          <w:szCs w:val="24"/>
        </w:rPr>
        <w:t>PPA Case.</w:t>
      </w:r>
      <w:r>
        <w:rPr>
          <w:rFonts w:ascii="Times New Roman" w:hAnsi="Times New Roman" w:cs="Times New Roman"/>
          <w:sz w:val="24"/>
          <w:szCs w:val="24"/>
          <w:vertAlign w:val="superscript"/>
        </w:rPr>
        <w:footnoteReference w:id="51"/>
      </w:r>
      <w:r w:rsidRPr="00C94057">
        <w:rPr>
          <w:rFonts w:ascii="Times New Roman" w:hAnsi="Times New Roman" w:cs="Times New Roman"/>
          <w:sz w:val="24"/>
          <w:szCs w:val="24"/>
        </w:rPr>
        <w:t xml:space="preserve"> In the </w:t>
      </w:r>
      <w:r>
        <w:rPr>
          <w:rFonts w:ascii="Times New Roman" w:hAnsi="Times New Roman" w:cs="Times New Roman"/>
          <w:sz w:val="24"/>
          <w:szCs w:val="24"/>
        </w:rPr>
        <w:t>settlement there</w:t>
      </w:r>
      <w:r w:rsidRPr="00C94057">
        <w:rPr>
          <w:rFonts w:ascii="Times New Roman" w:hAnsi="Times New Roman" w:cs="Times New Roman"/>
          <w:sz w:val="24"/>
          <w:szCs w:val="24"/>
        </w:rPr>
        <w:t xml:space="preserve">, AEP committed to “file and advocate for” </w:t>
      </w:r>
      <w:r>
        <w:rPr>
          <w:rFonts w:ascii="Times New Roman" w:hAnsi="Times New Roman" w:cs="Times New Roman"/>
          <w:sz w:val="24"/>
          <w:szCs w:val="24"/>
        </w:rPr>
        <w:t>the</w:t>
      </w:r>
      <w:r w:rsidRPr="00C94057">
        <w:rPr>
          <w:rFonts w:ascii="Times New Roman" w:hAnsi="Times New Roman" w:cs="Times New Roman"/>
          <w:sz w:val="24"/>
          <w:szCs w:val="24"/>
        </w:rPr>
        <w:t xml:space="preserve"> RRR in the instant</w:t>
      </w:r>
      <w:r>
        <w:rPr>
          <w:rFonts w:ascii="Times New Roman" w:hAnsi="Times New Roman" w:cs="Times New Roman"/>
          <w:sz w:val="24"/>
          <w:szCs w:val="24"/>
        </w:rPr>
        <w:t xml:space="preserve"> proceeding</w:t>
      </w:r>
      <w:r w:rsidRPr="00C94057">
        <w:rPr>
          <w:rFonts w:ascii="Times New Roman" w:hAnsi="Times New Roman" w:cs="Times New Roman"/>
          <w:sz w:val="24"/>
          <w:szCs w:val="24"/>
        </w:rPr>
        <w:t>.</w:t>
      </w:r>
      <w:r>
        <w:rPr>
          <w:rFonts w:ascii="Times New Roman" w:hAnsi="Times New Roman" w:cs="Times New Roman"/>
          <w:sz w:val="24"/>
          <w:szCs w:val="24"/>
        </w:rPr>
        <w:t xml:space="preserve"> While AEP’s commitment was misguided for its effect on standard offer consumers, AEP made the proposal.</w:t>
      </w:r>
      <w:r w:rsidRPr="00C94057">
        <w:rPr>
          <w:rFonts w:ascii="Times New Roman" w:hAnsi="Times New Roman" w:cs="Times New Roman"/>
          <w:sz w:val="24"/>
          <w:szCs w:val="24"/>
        </w:rPr>
        <w:t xml:space="preserve"> The PPA Case settleme</w:t>
      </w:r>
      <w:r>
        <w:rPr>
          <w:rFonts w:ascii="Times New Roman" w:hAnsi="Times New Roman" w:cs="Times New Roman"/>
          <w:sz w:val="24"/>
          <w:szCs w:val="24"/>
        </w:rPr>
        <w:t>nt also stated that parties would</w:t>
      </w:r>
      <w:r w:rsidRPr="00C94057">
        <w:rPr>
          <w:rFonts w:ascii="Times New Roman" w:hAnsi="Times New Roman" w:cs="Times New Roman"/>
          <w:sz w:val="24"/>
          <w:szCs w:val="24"/>
        </w:rPr>
        <w:t xml:space="preserve"> a</w:t>
      </w:r>
      <w:r>
        <w:rPr>
          <w:rFonts w:ascii="Times New Roman" w:hAnsi="Times New Roman" w:cs="Times New Roman"/>
          <w:sz w:val="24"/>
          <w:szCs w:val="24"/>
        </w:rPr>
        <w:t xml:space="preserve">ttempt to determine a RRR </w:t>
      </w:r>
      <w:r w:rsidRPr="00C94057">
        <w:rPr>
          <w:rFonts w:ascii="Times New Roman" w:hAnsi="Times New Roman" w:cs="Times New Roman"/>
          <w:sz w:val="24"/>
          <w:szCs w:val="24"/>
        </w:rPr>
        <w:t xml:space="preserve">charge to include in </w:t>
      </w:r>
      <w:r>
        <w:rPr>
          <w:rFonts w:ascii="Times New Roman" w:hAnsi="Times New Roman" w:cs="Times New Roman"/>
          <w:sz w:val="24"/>
          <w:szCs w:val="24"/>
        </w:rPr>
        <w:t>this case</w:t>
      </w:r>
      <w:r w:rsidRPr="00C94057">
        <w:rPr>
          <w:rFonts w:ascii="Times New Roman" w:hAnsi="Times New Roman" w:cs="Times New Roman"/>
          <w:sz w:val="24"/>
          <w:szCs w:val="24"/>
        </w:rPr>
        <w:t xml:space="preserve"> and that the RRR charge “would take effect…upon final order of the ESP extension proceeding.”</w:t>
      </w:r>
      <w:r>
        <w:rPr>
          <w:rFonts w:ascii="Times New Roman" w:hAnsi="Times New Roman" w:cs="Times New Roman"/>
          <w:sz w:val="24"/>
          <w:szCs w:val="24"/>
          <w:vertAlign w:val="superscript"/>
        </w:rPr>
        <w:footnoteReference w:id="52"/>
      </w:r>
      <w:r w:rsidRPr="00C94057">
        <w:rPr>
          <w:rFonts w:ascii="Times New Roman" w:hAnsi="Times New Roman" w:cs="Times New Roman"/>
          <w:sz w:val="24"/>
          <w:szCs w:val="24"/>
        </w:rPr>
        <w:t xml:space="preserve"> </w:t>
      </w:r>
      <w:r>
        <w:rPr>
          <w:rFonts w:ascii="Times New Roman" w:hAnsi="Times New Roman" w:cs="Times New Roman"/>
          <w:sz w:val="24"/>
          <w:szCs w:val="24"/>
        </w:rPr>
        <w:t xml:space="preserve">RESA’s </w:t>
      </w:r>
      <w:r w:rsidRPr="00C94057">
        <w:rPr>
          <w:rFonts w:ascii="Times New Roman" w:hAnsi="Times New Roman" w:cs="Times New Roman"/>
          <w:sz w:val="24"/>
          <w:szCs w:val="24"/>
        </w:rPr>
        <w:t xml:space="preserve">argument has no merit. </w:t>
      </w:r>
    </w:p>
    <w:p w:rsidR="00C94057" w:rsidRPr="00C94057" w:rsidP="00C9405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C94057">
        <w:rPr>
          <w:rFonts w:ascii="Times New Roman" w:hAnsi="Times New Roman" w:cs="Times New Roman"/>
          <w:sz w:val="24"/>
          <w:szCs w:val="24"/>
        </w:rPr>
        <w:t xml:space="preserve">hat the settlement in the PPA Case states that the charge from the RRR “would take effect…upon final order” in this case did not obligate the PUCO to authorize a RRR charge in this case. The PUCO has full discretion to approve, modify, or reject a proposed </w:t>
      </w:r>
      <w:r>
        <w:rPr>
          <w:rFonts w:ascii="Times New Roman" w:hAnsi="Times New Roman" w:cs="Times New Roman"/>
          <w:sz w:val="24"/>
          <w:szCs w:val="24"/>
        </w:rPr>
        <w:t>ESP.</w:t>
      </w:r>
      <w:r>
        <w:rPr>
          <w:rFonts w:ascii="Times New Roman" w:hAnsi="Times New Roman" w:cs="Times New Roman"/>
          <w:sz w:val="24"/>
          <w:szCs w:val="24"/>
          <w:vertAlign w:val="superscript"/>
        </w:rPr>
        <w:footnoteReference w:id="53"/>
      </w:r>
      <w:r w:rsidRPr="00C94057">
        <w:rPr>
          <w:rFonts w:ascii="Times New Roman" w:hAnsi="Times New Roman" w:cs="Times New Roman"/>
          <w:sz w:val="24"/>
          <w:szCs w:val="24"/>
        </w:rPr>
        <w:t xml:space="preserve"> </w:t>
      </w:r>
      <w:r>
        <w:rPr>
          <w:rFonts w:ascii="Times New Roman" w:hAnsi="Times New Roman" w:cs="Times New Roman"/>
          <w:sz w:val="24"/>
          <w:szCs w:val="24"/>
        </w:rPr>
        <w:t>And Section</w:t>
      </w:r>
      <w:r w:rsidRPr="00C94057">
        <w:rPr>
          <w:rFonts w:ascii="Times New Roman" w:hAnsi="Times New Roman" w:cs="Times New Roman"/>
          <w:sz w:val="24"/>
          <w:szCs w:val="24"/>
        </w:rPr>
        <w:t xml:space="preserve"> 4901-1-30(E) </w:t>
      </w:r>
      <w:r>
        <w:rPr>
          <w:rFonts w:ascii="Times New Roman" w:hAnsi="Times New Roman" w:cs="Times New Roman"/>
          <w:sz w:val="24"/>
          <w:szCs w:val="24"/>
        </w:rPr>
        <w:t xml:space="preserve">of the Ohio Administrative Code </w:t>
      </w:r>
      <w:r w:rsidRPr="00C94057">
        <w:rPr>
          <w:rFonts w:ascii="Times New Roman" w:hAnsi="Times New Roman" w:cs="Times New Roman"/>
          <w:sz w:val="24"/>
          <w:szCs w:val="24"/>
        </w:rPr>
        <w:t xml:space="preserve">states that “no stipulation shall be considered binding upon the commission.” </w:t>
      </w:r>
      <w:r>
        <w:rPr>
          <w:rFonts w:ascii="Times New Roman" w:hAnsi="Times New Roman" w:cs="Times New Roman"/>
          <w:sz w:val="24"/>
          <w:szCs w:val="24"/>
        </w:rPr>
        <w:t>Thus, modifying AEP</w:t>
      </w:r>
      <w:r w:rsidRPr="00C94057">
        <w:rPr>
          <w:rFonts w:ascii="Times New Roman" w:hAnsi="Times New Roman" w:cs="Times New Roman"/>
          <w:sz w:val="24"/>
          <w:szCs w:val="24"/>
        </w:rPr>
        <w:t>’s RRR request was not in and of itself unlawful</w:t>
      </w:r>
      <w:r>
        <w:rPr>
          <w:rFonts w:ascii="Times New Roman" w:hAnsi="Times New Roman" w:cs="Times New Roman"/>
          <w:sz w:val="24"/>
          <w:szCs w:val="24"/>
        </w:rPr>
        <w:t>. Regardless</w:t>
      </w:r>
      <w:r w:rsidRPr="00C94057">
        <w:rPr>
          <w:rFonts w:ascii="Times New Roman" w:hAnsi="Times New Roman" w:cs="Times New Roman"/>
          <w:sz w:val="24"/>
          <w:szCs w:val="24"/>
        </w:rPr>
        <w:t>, the PUCO has authority to modify a prior order adopting a stipulation. Indeed, IGS and RESA urged the PUCO to do exactly that in FirstEnergy’s 2012 ESP proceeding, Case No. 12-1230-EL-SSO.</w:t>
      </w:r>
      <w:r>
        <w:rPr>
          <w:rFonts w:ascii="Times New Roman" w:hAnsi="Times New Roman" w:cs="Times New Roman"/>
          <w:sz w:val="24"/>
          <w:szCs w:val="24"/>
          <w:vertAlign w:val="superscript"/>
        </w:rPr>
        <w:footnoteReference w:id="54"/>
      </w:r>
    </w:p>
    <w:p w:rsidR="00CD3EC5" w:rsidP="00C40F23">
      <w:pPr>
        <w:spacing w:after="0" w:line="480" w:lineRule="auto"/>
        <w:ind w:firstLine="720"/>
        <w:rPr>
          <w:rFonts w:ascii="Times New Roman" w:hAnsi="Times New Roman" w:cs="Times New Roman"/>
          <w:sz w:val="24"/>
          <w:szCs w:val="24"/>
        </w:rPr>
      </w:pPr>
      <w:r w:rsidRPr="00C94057">
        <w:rPr>
          <w:rFonts w:ascii="Times New Roman" w:hAnsi="Times New Roman" w:cs="Times New Roman"/>
          <w:sz w:val="24"/>
          <w:szCs w:val="24"/>
        </w:rPr>
        <w:t>Finally, RESA’s claim is without merit because the settlement in the PPA Case explicitly included a provision outlin</w:t>
      </w:r>
      <w:r>
        <w:rPr>
          <w:rFonts w:ascii="Times New Roman" w:hAnsi="Times New Roman" w:cs="Times New Roman"/>
          <w:sz w:val="24"/>
          <w:szCs w:val="24"/>
        </w:rPr>
        <w:t>in</w:t>
      </w:r>
      <w:r w:rsidRPr="00C94057">
        <w:rPr>
          <w:rFonts w:ascii="Times New Roman" w:hAnsi="Times New Roman" w:cs="Times New Roman"/>
          <w:sz w:val="24"/>
          <w:szCs w:val="24"/>
        </w:rPr>
        <w:t xml:space="preserve">g the parties’ rights if the PUCO denied certain AEP Ohio requests (including the RRR) in the </w:t>
      </w:r>
      <w:r>
        <w:rPr>
          <w:rFonts w:ascii="Times New Roman" w:hAnsi="Times New Roman" w:cs="Times New Roman"/>
          <w:sz w:val="24"/>
          <w:szCs w:val="24"/>
        </w:rPr>
        <w:t>present ESP extension c</w:t>
      </w:r>
      <w:r w:rsidRPr="00C94057">
        <w:rPr>
          <w:rFonts w:ascii="Times New Roman" w:hAnsi="Times New Roman" w:cs="Times New Roman"/>
          <w:sz w:val="24"/>
          <w:szCs w:val="24"/>
        </w:rPr>
        <w:t>ase.</w:t>
      </w:r>
      <w:r>
        <w:rPr>
          <w:rFonts w:ascii="Times New Roman" w:hAnsi="Times New Roman" w:cs="Times New Roman"/>
          <w:sz w:val="24"/>
          <w:szCs w:val="24"/>
          <w:vertAlign w:val="superscript"/>
        </w:rPr>
        <w:footnoteReference w:id="55"/>
      </w:r>
      <w:r w:rsidRPr="00C94057">
        <w:rPr>
          <w:rFonts w:ascii="Times New Roman" w:hAnsi="Times New Roman" w:cs="Times New Roman"/>
          <w:sz w:val="24"/>
          <w:szCs w:val="24"/>
        </w:rPr>
        <w:t xml:space="preserve"> This provisio</w:t>
      </w:r>
      <w:r>
        <w:rPr>
          <w:rFonts w:ascii="Times New Roman" w:hAnsi="Times New Roman" w:cs="Times New Roman"/>
          <w:sz w:val="24"/>
          <w:szCs w:val="24"/>
        </w:rPr>
        <w:t>n was approved by the PUCO. Therefore, even assuming RESA’s claim were true, the</w:t>
      </w:r>
      <w:r w:rsidRPr="00C94057">
        <w:rPr>
          <w:rFonts w:ascii="Times New Roman" w:hAnsi="Times New Roman" w:cs="Times New Roman"/>
          <w:sz w:val="24"/>
          <w:szCs w:val="24"/>
        </w:rPr>
        <w:t xml:space="preserve"> provision </w:t>
      </w:r>
      <w:r>
        <w:rPr>
          <w:rFonts w:ascii="Times New Roman" w:hAnsi="Times New Roman" w:cs="Times New Roman"/>
          <w:sz w:val="24"/>
          <w:szCs w:val="24"/>
        </w:rPr>
        <w:t>would be</w:t>
      </w:r>
      <w:r w:rsidRPr="00C94057">
        <w:rPr>
          <w:rFonts w:ascii="Times New Roman" w:hAnsi="Times New Roman" w:cs="Times New Roman"/>
          <w:sz w:val="24"/>
          <w:szCs w:val="24"/>
        </w:rPr>
        <w:t xml:space="preserve"> unlawful because it would </w:t>
      </w:r>
      <w:r>
        <w:rPr>
          <w:rFonts w:ascii="Times New Roman" w:hAnsi="Times New Roman" w:cs="Times New Roman"/>
          <w:sz w:val="24"/>
          <w:szCs w:val="24"/>
        </w:rPr>
        <w:t>limit</w:t>
      </w:r>
      <w:r w:rsidRPr="00C94057">
        <w:rPr>
          <w:rFonts w:ascii="Times New Roman" w:hAnsi="Times New Roman" w:cs="Times New Roman"/>
          <w:sz w:val="24"/>
          <w:szCs w:val="24"/>
        </w:rPr>
        <w:t xml:space="preserve"> the PUCO’s authority</w:t>
      </w:r>
      <w:r>
        <w:rPr>
          <w:rFonts w:ascii="Times New Roman" w:hAnsi="Times New Roman" w:cs="Times New Roman"/>
          <w:sz w:val="24"/>
          <w:szCs w:val="24"/>
        </w:rPr>
        <w:t xml:space="preserve"> to reject or</w:t>
      </w:r>
      <w:r w:rsidRPr="00C94057">
        <w:rPr>
          <w:rFonts w:ascii="Times New Roman" w:hAnsi="Times New Roman" w:cs="Times New Roman"/>
          <w:sz w:val="24"/>
          <w:szCs w:val="24"/>
        </w:rPr>
        <w:t xml:space="preserve"> modify the request. Instead, the provision would have the unlawful effect of making the stipulation binding upon the PUCO</w:t>
      </w:r>
      <w:r>
        <w:rPr>
          <w:rFonts w:ascii="Times New Roman" w:hAnsi="Times New Roman" w:cs="Times New Roman"/>
          <w:sz w:val="24"/>
          <w:szCs w:val="24"/>
        </w:rPr>
        <w:t>.</w:t>
      </w:r>
    </w:p>
    <w:p w:rsidR="005E0CC3" w:rsidRPr="00E42D32" w:rsidP="005E0CC3">
      <w:pPr>
        <w:spacing w:after="0" w:line="240" w:lineRule="auto"/>
        <w:ind w:firstLine="720"/>
        <w:rPr>
          <w:rFonts w:ascii="Times New Roman" w:hAnsi="Times New Roman" w:cs="Times New Roman"/>
          <w:sz w:val="24"/>
          <w:szCs w:val="24"/>
        </w:rPr>
      </w:pPr>
    </w:p>
    <w:p w:rsidR="00DB5737" w:rsidRPr="006B64AA" w:rsidP="00DB5737">
      <w:pPr>
        <w:pStyle w:val="Heading1"/>
      </w:pPr>
      <w:bookmarkStart w:id="14" w:name="_Toc482612446"/>
      <w:bookmarkStart w:id="15" w:name="_Toc515895500"/>
      <w:bookmarkEnd w:id="4"/>
      <w:r w:rsidRPr="006B64AA">
        <w:t>CONCLUSION</w:t>
      </w:r>
      <w:bookmarkEnd w:id="14"/>
      <w:bookmarkEnd w:id="15"/>
      <w:r w:rsidRPr="006B64AA">
        <w:t xml:space="preserve">      </w:t>
      </w:r>
    </w:p>
    <w:p w:rsidR="00DB5737" w:rsidRPr="006B64AA" w:rsidP="00AA783E">
      <w:pPr>
        <w:autoSpaceDE w:val="0"/>
        <w:autoSpaceDN w:val="0"/>
        <w:adjustRightInd w:val="0"/>
        <w:spacing w:after="0" w:line="480" w:lineRule="auto"/>
        <w:ind w:firstLine="720"/>
        <w:rPr>
          <w:rFonts w:ascii="Times New Roman" w:hAnsi="Times New Roman" w:cs="Times New Roman"/>
          <w:sz w:val="24"/>
          <w:szCs w:val="24"/>
        </w:rPr>
      </w:pPr>
      <w:r w:rsidRPr="006B64AA">
        <w:rPr>
          <w:rFonts w:ascii="Times New Roman" w:hAnsi="Times New Roman" w:cs="Times New Roman"/>
          <w:sz w:val="24"/>
          <w:szCs w:val="24"/>
        </w:rPr>
        <w:t xml:space="preserve">The </w:t>
      </w:r>
      <w:r>
        <w:rPr>
          <w:rFonts w:ascii="Times New Roman" w:hAnsi="Times New Roman" w:cs="Times New Roman"/>
          <w:sz w:val="24"/>
          <w:szCs w:val="24"/>
        </w:rPr>
        <w:t>PUCO should deny the assignments of error raised by AEP, IGS, and RESA. Regarding the coal plant subsidy, the PUCO should reject AEP’s argument to expand the subsidy in the existing PPA rider to include AEP’s transmission projects. And regarding the RRR, the PUCO should uphold its determination that SSO customers should not be charged more in order to subsidize customers who shop for retail electric service.</w:t>
      </w:r>
    </w:p>
    <w:p w:rsidR="00DB5737" w:rsidRPr="006B64AA" w:rsidP="00DB5737">
      <w:pPr>
        <w:autoSpaceDE w:val="0"/>
        <w:autoSpaceDN w:val="0"/>
        <w:adjustRightInd w:val="0"/>
        <w:spacing w:after="0" w:line="480" w:lineRule="auto"/>
        <w:ind w:firstLine="4320"/>
        <w:rPr>
          <w:rFonts w:ascii="Times New Roman" w:hAnsi="Times New Roman" w:cs="Times New Roman"/>
          <w:sz w:val="24"/>
          <w:szCs w:val="24"/>
        </w:rPr>
      </w:pPr>
      <w:r w:rsidRPr="006B64AA">
        <w:rPr>
          <w:rFonts w:ascii="Times New Roman" w:hAnsi="Times New Roman" w:cs="Times New Roman"/>
          <w:sz w:val="24"/>
          <w:szCs w:val="24"/>
        </w:rPr>
        <w:t>Respectfully submitted,</w:t>
      </w:r>
    </w:p>
    <w:p w:rsidR="00DB5737" w:rsidRPr="006B64AA"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BRUCE WESTON (0016973)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OHIO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i/>
          <w:sz w:val="24"/>
          <w:szCs w:val="24"/>
          <w:u w:val="single"/>
        </w:rPr>
        <w:t>/s</w:t>
      </w:r>
      <w:r w:rsidRPr="005E0CC3">
        <w:rPr>
          <w:rFonts w:ascii="Times New Roman" w:eastAsia="Times New Roman" w:hAnsi="Times New Roman" w:cs="Times New Roman"/>
          <w:i/>
          <w:sz w:val="24"/>
          <w:szCs w:val="24"/>
          <w:u w:val="single"/>
        </w:rPr>
        <w:t>/ William  J. Michael</w:t>
      </w:r>
      <w:r w:rsidRPr="006B64AA">
        <w:rPr>
          <w:rFonts w:ascii="Times New Roman" w:eastAsia="Times New Roman" w:hAnsi="Times New Roman" w:cs="Times New Roman"/>
          <w:sz w:val="24"/>
          <w:szCs w:val="24"/>
        </w:rPr>
        <w:tab/>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William J. Michael, (0070921)</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Counsel of Record</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Kevin F. Moore (0089228)</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Bryce McKenney (0088203)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Assistant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Office of the Ohio Consumers’ Counsel</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65 East State Street</w:t>
      </w:r>
      <w:r>
        <w:rPr>
          <w:rFonts w:ascii="Times New Roman" w:eastAsia="Times New Roman" w:hAnsi="Times New Roman" w:cs="Times New Roman"/>
          <w:sz w:val="24"/>
          <w:szCs w:val="24"/>
        </w:rPr>
        <w:t>, 7</w:t>
      </w:r>
      <w:r w:rsidRPr="005E0C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Columbus, Ohio 43215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[Michael] (614) 466-1291</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[Moore] (614) 387-2965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[McKenney] (614) 466-9585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color w:val="0000FF" w:themeColor="hyperlink"/>
          <w:sz w:val="24"/>
          <w:szCs w:val="24"/>
          <w:u w:val="single"/>
        </w:rPr>
        <w:t>william.michael@occ.ohio.gov</w:t>
      </w:r>
    </w:p>
    <w:p w:rsidR="00DB5737" w:rsidRPr="006B64AA" w:rsidP="00646E18">
      <w:pPr>
        <w:spacing w:after="0" w:line="240" w:lineRule="auto"/>
        <w:ind w:left="4320"/>
        <w:rPr>
          <w:rFonts w:ascii="Times New Roman" w:eastAsia="Times New Roman" w:hAnsi="Times New Roman" w:cs="Times New Roman"/>
          <w:sz w:val="24"/>
          <w:szCs w:val="24"/>
        </w:rPr>
      </w:pPr>
      <w:r>
        <w:fldChar w:fldCharType="begin"/>
      </w:r>
      <w:r>
        <w:instrText xml:space="preserve"> HYPERLINK "mailto:kevin.moore@occ.ohio.gov" </w:instrText>
      </w:r>
      <w:r>
        <w:fldChar w:fldCharType="separate"/>
      </w:r>
      <w:r w:rsidRPr="006B64AA" w:rsidR="00B14C20">
        <w:rPr>
          <w:rStyle w:val="Hyperlink"/>
          <w:rFonts w:ascii="Times New Roman" w:eastAsia="Times New Roman" w:hAnsi="Times New Roman" w:cs="Times New Roman"/>
          <w:sz w:val="24"/>
          <w:szCs w:val="24"/>
        </w:rPr>
        <w:t>kevin.moore@occ.ohio.gov</w:t>
      </w:r>
      <w:r>
        <w:fldChar w:fldCharType="end"/>
      </w:r>
    </w:p>
    <w:p w:rsidR="00646E18" w:rsidRPr="006B64AA" w:rsidP="00646E18">
      <w:pPr>
        <w:spacing w:after="0" w:line="240" w:lineRule="auto"/>
        <w:ind w:left="4320"/>
        <w:rPr>
          <w:rFonts w:ascii="Times New Roman" w:eastAsia="Times New Roman" w:hAnsi="Times New Roman" w:cs="Times New Roman"/>
          <w:sz w:val="24"/>
          <w:szCs w:val="24"/>
        </w:rPr>
      </w:pPr>
      <w:r>
        <w:fldChar w:fldCharType="begin"/>
      </w:r>
      <w:r>
        <w:instrText xml:space="preserve"> HYPERLINK "mailto:Bryce.mckenney@occ.ohio.gov" </w:instrText>
      </w:r>
      <w:r>
        <w:fldChar w:fldCharType="separate"/>
      </w:r>
      <w:r w:rsidRPr="006B64AA" w:rsidR="00B14C20">
        <w:rPr>
          <w:rStyle w:val="Hyperlink"/>
          <w:rFonts w:ascii="Times New Roman" w:eastAsia="Times New Roman" w:hAnsi="Times New Roman" w:cs="Times New Roman"/>
          <w:sz w:val="24"/>
          <w:szCs w:val="24"/>
        </w:rPr>
        <w:t>Bryce.mckenney@occ.ohio.gov</w:t>
      </w:r>
      <w:r>
        <w:fldChar w:fldCharType="end"/>
      </w:r>
      <w:r w:rsidRPr="006B64AA" w:rsidR="00B14C20">
        <w:rPr>
          <w:rFonts w:ascii="Times New Roman" w:eastAsia="Times New Roman" w:hAnsi="Times New Roman" w:cs="Times New Roman"/>
          <w:sz w:val="24"/>
          <w:szCs w:val="24"/>
        </w:rPr>
        <w:t xml:space="preserve"> </w:t>
      </w:r>
    </w:p>
    <w:p w:rsidR="00DB5737" w:rsidRPr="006B64AA" w:rsidP="00DB5737">
      <w:pPr>
        <w:spacing w:after="0" w:line="240" w:lineRule="auto"/>
        <w:rPr>
          <w:rFonts w:ascii="Times New Roman" w:eastAsia="Times New Roman" w:hAnsi="Times New Roman" w:cs="Times New Roman"/>
          <w:sz w:val="24"/>
          <w:szCs w:val="24"/>
        </w:rPr>
        <w:sectPr w:rsidSect="00866F81">
          <w:headerReference w:type="default" r:id="rId12"/>
          <w:footerReference w:type="default" r:id="rId13"/>
          <w:pgSz w:w="12240" w:h="15840"/>
          <w:pgMar w:top="1440" w:right="1800" w:bottom="1440" w:left="1800" w:header="720" w:footer="720" w:gutter="0"/>
          <w:pgNumType w:start="1"/>
          <w:cols w:space="720"/>
          <w:docGrid w:linePitch="360"/>
        </w:sectPr>
      </w:pP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t xml:space="preserve">            (All willing to accept service by email)</w:t>
      </w:r>
    </w:p>
    <w:p w:rsidR="00DB5737" w:rsidRPr="006B64AA" w:rsidP="00DB5737">
      <w:pPr>
        <w:spacing w:after="0" w:line="240" w:lineRule="auto"/>
        <w:jc w:val="center"/>
        <w:rPr>
          <w:rFonts w:ascii="Times New Roman" w:eastAsia="Calibri" w:hAnsi="Times New Roman" w:cs="Times New Roman"/>
          <w:b/>
          <w:bCs/>
          <w:sz w:val="24"/>
          <w:szCs w:val="24"/>
          <w:u w:val="single"/>
        </w:rPr>
      </w:pPr>
      <w:r w:rsidRPr="006B64AA">
        <w:rPr>
          <w:rFonts w:ascii="Times New Roman" w:eastAsia="Calibri" w:hAnsi="Times New Roman" w:cs="Times New Roman"/>
          <w:b/>
          <w:bCs/>
          <w:sz w:val="24"/>
          <w:szCs w:val="24"/>
          <w:u w:val="single"/>
        </w:rPr>
        <w:t>CERTIFICATE OF SERVICE</w:t>
      </w:r>
    </w:p>
    <w:p w:rsidR="00DB5737" w:rsidRPr="006B64AA" w:rsidP="00DB5737">
      <w:pPr>
        <w:spacing w:after="0" w:line="480" w:lineRule="atLeast"/>
        <w:ind w:firstLine="720"/>
        <w:rPr>
          <w:rFonts w:ascii="Times New Roman" w:eastAsia="Calibri" w:hAnsi="Times New Roman" w:cs="Times New Roman"/>
          <w:sz w:val="24"/>
          <w:szCs w:val="24"/>
        </w:rPr>
      </w:pPr>
      <w:r w:rsidRPr="006B64AA">
        <w:rPr>
          <w:rFonts w:ascii="Times New Roman" w:eastAsia="Calibri" w:hAnsi="Times New Roman" w:cs="Times New Roman"/>
          <w:sz w:val="24"/>
          <w:szCs w:val="24"/>
        </w:rPr>
        <w:t xml:space="preserve">I hereby certify that a copy of this </w:t>
      </w:r>
      <w:r>
        <w:rPr>
          <w:rFonts w:ascii="Times New Roman" w:eastAsia="Calibri" w:hAnsi="Times New Roman" w:cs="Times New Roman"/>
          <w:sz w:val="24"/>
          <w:szCs w:val="24"/>
        </w:rPr>
        <w:t>Memorandum Contra</w:t>
      </w:r>
      <w:r w:rsidRPr="006B64AA">
        <w:rPr>
          <w:rFonts w:ascii="Times New Roman" w:eastAsia="Calibri" w:hAnsi="Times New Roman" w:cs="Times New Roman"/>
          <w:sz w:val="24"/>
          <w:szCs w:val="24"/>
        </w:rPr>
        <w:t xml:space="preserve"> was served on the persons stated below via electronic service, this </w:t>
      </w:r>
      <w:r>
        <w:rPr>
          <w:rFonts w:ascii="Times New Roman" w:eastAsia="Calibri" w:hAnsi="Times New Roman" w:cs="Times New Roman"/>
          <w:sz w:val="24"/>
          <w:szCs w:val="24"/>
        </w:rPr>
        <w:t>4</w:t>
      </w:r>
      <w:r w:rsidRPr="005E0CC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6B64AA">
        <w:rPr>
          <w:rFonts w:ascii="Times New Roman" w:eastAsia="Calibri" w:hAnsi="Times New Roman" w:cs="Times New Roman"/>
          <w:sz w:val="24"/>
          <w:szCs w:val="24"/>
        </w:rPr>
        <w:t xml:space="preserve">day of </w:t>
      </w:r>
      <w:r>
        <w:rPr>
          <w:rFonts w:ascii="Times New Roman" w:eastAsia="Calibri" w:hAnsi="Times New Roman" w:cs="Times New Roman"/>
          <w:sz w:val="24"/>
          <w:szCs w:val="24"/>
        </w:rPr>
        <w:t>June</w:t>
      </w:r>
      <w:r w:rsidRPr="006B64AA">
        <w:rPr>
          <w:rFonts w:ascii="Times New Roman" w:eastAsia="Calibri" w:hAnsi="Times New Roman" w:cs="Times New Roman"/>
          <w:sz w:val="24"/>
          <w:szCs w:val="24"/>
        </w:rPr>
        <w:t xml:space="preserve"> 2018.</w:t>
      </w:r>
    </w:p>
    <w:p w:rsidR="00DB5737" w:rsidRPr="006B64AA" w:rsidP="00DB5737">
      <w:pPr>
        <w:spacing w:after="0" w:line="240" w:lineRule="auto"/>
        <w:rPr>
          <w:rFonts w:ascii="Times New Roman" w:eastAsia="Calibri" w:hAnsi="Times New Roman" w:cs="Times New Roman"/>
          <w:sz w:val="24"/>
          <w:szCs w:val="24"/>
        </w:rPr>
      </w:pPr>
    </w:p>
    <w:p w:rsidR="00DB5737" w:rsidRPr="006B64AA" w:rsidP="00DB5737">
      <w:pPr>
        <w:tabs>
          <w:tab w:val="left" w:pos="4320"/>
        </w:tabs>
        <w:spacing w:after="0" w:line="240" w:lineRule="auto"/>
        <w:rPr>
          <w:rFonts w:ascii="Times New Roman" w:eastAsia="Calibri" w:hAnsi="Times New Roman" w:cs="Times New Roman"/>
          <w:iCs/>
          <w:sz w:val="24"/>
          <w:szCs w:val="24"/>
          <w:u w:val="single"/>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u w:val="single"/>
        </w:rPr>
        <w:t xml:space="preserve">/s/ </w:t>
      </w:r>
      <w:r w:rsidRPr="005E0CC3">
        <w:rPr>
          <w:rFonts w:ascii="Times New Roman" w:eastAsia="Calibri" w:hAnsi="Times New Roman" w:cs="Times New Roman"/>
          <w:i/>
          <w:iCs/>
          <w:sz w:val="24"/>
          <w:szCs w:val="24"/>
          <w:u w:val="single"/>
        </w:rPr>
        <w:t>William J. Michael</w:t>
      </w:r>
    </w:p>
    <w:p w:rsidR="00DB5737" w:rsidRPr="006B64AA" w:rsidP="00DB5737">
      <w:pPr>
        <w:tabs>
          <w:tab w:val="left" w:pos="4320"/>
        </w:tabs>
        <w:spacing w:after="0" w:line="240" w:lineRule="auto"/>
        <w:rPr>
          <w:rFonts w:ascii="Times New Roman" w:eastAsia="Calibri" w:hAnsi="Times New Roman" w:cs="Times New Roman"/>
          <w:iCs/>
          <w:sz w:val="24"/>
          <w:szCs w:val="24"/>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t xml:space="preserve">William J. Michael </w:t>
      </w:r>
    </w:p>
    <w:p w:rsidR="00DB5737" w:rsidP="00DB5737">
      <w:pPr>
        <w:tabs>
          <w:tab w:val="left" w:pos="4320"/>
        </w:tabs>
        <w:spacing w:after="0" w:line="240" w:lineRule="auto"/>
        <w:rPr>
          <w:rFonts w:ascii="Times New Roman" w:eastAsia="Calibri" w:hAnsi="Times New Roman" w:cs="Times New Roman"/>
          <w:iCs/>
          <w:sz w:val="24"/>
          <w:szCs w:val="24"/>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t>Assistant Consumers’ Counsel</w:t>
      </w:r>
    </w:p>
    <w:p w:rsidR="00690AAF" w:rsidP="00DB5737">
      <w:pPr>
        <w:tabs>
          <w:tab w:val="left" w:pos="4320"/>
        </w:tabs>
        <w:spacing w:after="0" w:line="240" w:lineRule="auto"/>
        <w:rPr>
          <w:rFonts w:ascii="Times New Roman" w:eastAsia="Calibri" w:hAnsi="Times New Roman" w:cs="Times New Roman"/>
          <w:iCs/>
          <w:sz w:val="24"/>
          <w:szCs w:val="24"/>
        </w:rPr>
      </w:pPr>
    </w:p>
    <w:p w:rsidR="00690AAF" w:rsidP="00690AAF">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SERVICE LIST</w:t>
      </w:r>
    </w:p>
    <w:p w:rsidR="00690AAF" w:rsidP="00690AAF">
      <w:pPr>
        <w:spacing w:after="0" w:line="240" w:lineRule="auto"/>
        <w:jc w:val="center"/>
        <w:rPr>
          <w:rFonts w:ascii="Times New Roman" w:eastAsia="Times New Roman" w:hAnsi="Times New Roman" w:cs="Times New Roman"/>
          <w:b/>
          <w:bCs/>
          <w:sz w:val="14"/>
          <w:szCs w:val="24"/>
          <w:u w:val="single"/>
        </w:rPr>
      </w:pPr>
    </w:p>
    <w:p w:rsidR="00690AAF" w:rsidP="00690AAF">
      <w:pPr>
        <w:spacing w:after="0" w:line="240" w:lineRule="auto"/>
        <w:jc w:val="center"/>
        <w:rPr>
          <w:rFonts w:ascii="Times New Roman" w:hAnsi="Times New Roman" w:cs="Times New Roman"/>
          <w:b/>
          <w:sz w:val="24"/>
          <w:szCs w:val="24"/>
          <w:u w:val="single"/>
        </w:rPr>
      </w:pPr>
    </w:p>
    <w:tbl>
      <w:tblPr>
        <w:tblW w:w="0" w:type="auto"/>
        <w:tblInd w:w="0" w:type="dxa"/>
        <w:tblBorders>
          <w:insideH w:val="nil"/>
          <w:insideV w:val="nil"/>
        </w:tblBorders>
        <w:tblCellMar>
          <w:top w:w="0" w:type="dxa"/>
          <w:left w:w="108" w:type="dxa"/>
          <w:bottom w:w="0" w:type="dxa"/>
          <w:right w:w="108" w:type="dxa"/>
        </w:tblCellMar>
        <w:tblLook w:val="04A0"/>
      </w:tblPr>
      <w:tblGrid>
        <w:gridCol w:w="4428"/>
        <w:gridCol w:w="4428"/>
      </w:tblGrid>
      <w:tr w:rsidTr="00690AAF">
        <w:tblPrEx>
          <w:tblW w:w="0" w:type="auto"/>
          <w:tblInd w:w="0" w:type="dxa"/>
          <w:tblBorders>
            <w:insideH w:val="nil"/>
            <w:insideV w:val="nil"/>
          </w:tblBorders>
          <w:tblCellMar>
            <w:top w:w="0" w:type="dxa"/>
            <w:left w:w="108" w:type="dxa"/>
            <w:bottom w:w="0" w:type="dxa"/>
            <w:right w:w="108" w:type="dxa"/>
          </w:tblCellMar>
          <w:tblLook w:val="04A0"/>
        </w:tblPrEx>
        <w:tc>
          <w:tcPr>
            <w:tcW w:w="4428" w:type="dxa"/>
            <w:tcBorders>
              <w:top w:val="nil"/>
              <w:left w:val="nil"/>
              <w:bottom w:val="nil"/>
              <w:right w:val="nil"/>
            </w:tcBorders>
          </w:tcPr>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Bojko@carpenterlipps.com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mfleisher@elpc.org</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cmooney@ohiopartners.org</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paul@carpenterlipps.com</w:t>
            </w:r>
          </w:p>
          <w:p w:rsidR="00690AA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mleppla@theOEC.org</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tdougherty@theOEC.org</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lhawrot@spilmanlaw.com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dwilliamson@spilmanlaw.com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charris@spilmanlaw.com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ibatikov@vorys.com</w:t>
            </w:r>
          </w:p>
          <w:p w:rsidR="00690AA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whitt@whitt-sturtevant.com</w:t>
            </w:r>
          </w:p>
          <w:p w:rsidR="00690AA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campbell@whitt-sturtevant.com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glover@whitt-sturtevant.com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tony.mendoza@sierraclub.org</w:t>
            </w:r>
          </w:p>
          <w:p w:rsidR="00690AA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dborchers@bricker.com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eakhbari@bricker.com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sechler@carpenterlipps.com</w:t>
            </w:r>
          </w:p>
          <w:p w:rsidR="00690AA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cpirik@dickinsonwright.com</w:t>
            </w:r>
          </w:p>
          <w:p w:rsidR="00690AA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todonnell@dickinsonwright.com</w:t>
            </w:r>
          </w:p>
          <w:p w:rsidR="00690AAF">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Pr>
                <w:rFonts w:ascii="Times New Roman" w:hAnsi="Times New Roman" w:eastAsiaTheme="minorHAnsi" w:cs="Times New Roman"/>
                <w:color w:val="0000FF"/>
                <w:sz w:val="24"/>
                <w:szCs w:val="24"/>
                <w:u w:val="single"/>
                <w:lang w:val="en-US" w:eastAsia="en-US" w:bidi="ar-SA"/>
              </w:rPr>
              <w:t>wvorys@dickinsonwright.com</w:t>
            </w:r>
          </w:p>
          <w:p w:rsidR="00690AAF">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Pr>
                <w:rFonts w:ascii="Times New Roman" w:hAnsi="Times New Roman" w:eastAsiaTheme="minorHAnsi" w:cs="Times New Roman"/>
                <w:color w:val="0000FF"/>
                <w:sz w:val="24"/>
                <w:szCs w:val="24"/>
                <w:u w:val="single"/>
                <w:lang w:val="en-US" w:eastAsia="en-US" w:bidi="ar-SA"/>
              </w:rPr>
              <w:t>callwein@keglerbrown.com</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werner.margard@ohioattorneygeneral.gov</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Robert.eubanks@ohioattorneygeneral.gov</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Attorney Examiners:</w:t>
            </w:r>
          </w:p>
          <w:p w:rsidR="00690AAF">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Sarah.parrot@puc.state.oh.us</w:t>
            </w:r>
          </w:p>
          <w:p w:rsidR="00690AAF">
            <w:pPr>
              <w:spacing w:after="0" w:line="240" w:lineRule="auto"/>
              <w:rPr>
                <w:rStyle w:val="DefaultParagraphFont"/>
                <w:rFonts w:ascii="Times New Roman" w:hAnsi="Times New Roman" w:eastAsiaTheme="minorHAnsi" w:cs="Times New Roman"/>
                <w:b/>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Greta.see@puc.state.oh.us</w:t>
            </w:r>
          </w:p>
        </w:tc>
        <w:tc>
          <w:tcPr>
            <w:tcW w:w="4428" w:type="dxa"/>
            <w:tcBorders>
              <w:top w:val="nil"/>
              <w:left w:val="nil"/>
              <w:bottom w:val="nil"/>
              <w:right w:val="nil"/>
            </w:tcBorders>
            <w:hideMark/>
          </w:tcPr>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stnourse@aep.com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msmckenzie@aep.com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cmblend@aep.com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fdarr@mwncmh.com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mpritchard@mwncmh.com</w:t>
            </w:r>
          </w:p>
          <w:p w:rsidR="00690AA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Stephanie.Chmiel@ThompsonHine.com</w:t>
            </w:r>
          </w:p>
          <w:p w:rsidR="00690AA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mkurtz@BKLlawfirm.com</w:t>
            </w:r>
          </w:p>
          <w:p w:rsidR="00690AA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kboehm@BKLlawfirm.com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jkylercohn@BKLlawfirm.com</w:t>
            </w:r>
          </w:p>
          <w:p w:rsidR="00690AA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mwarnock@bricker.com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rdove@attorneydove.com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rsahli@columbus.rr.com</w:t>
            </w:r>
          </w:p>
          <w:p w:rsidR="00690AA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mjsettineri@vorys.com</w:t>
            </w:r>
          </w:p>
          <w:p w:rsidR="00690AA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glpetrucci@vorys.com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ibatikov@vorys.com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joliker@igsenergy.com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mdortch@kravitzllc.com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amy.spiller@duke-energy.com</w:t>
            </w:r>
          </w:p>
          <w:p w:rsidR="00690AAF">
            <w:pPr>
              <w:spacing w:after="0" w:line="240" w:lineRule="auto"/>
              <w:ind w:left="135"/>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Elizabeth.watts@duke-energy.com</w:t>
            </w:r>
          </w:p>
          <w:p w:rsidR="00690AAF">
            <w:pPr>
              <w:spacing w:after="0" w:line="240" w:lineRule="auto"/>
              <w:ind w:left="135"/>
              <w:rPr>
                <w:rStyle w:val="DefaultParagraphFont"/>
                <w:rFonts w:ascii="Times New Roman" w:hAnsi="Times New Roman" w:eastAsiaTheme="minorHAnsi" w:cs="Times New Roman"/>
                <w:b/>
                <w:sz w:val="24"/>
                <w:szCs w:val="24"/>
                <w:lang w:val="en-US" w:eastAsia="en-US" w:bidi="ar-SA"/>
              </w:rPr>
            </w:pPr>
            <w:r>
              <w:rPr>
                <w:rFonts w:ascii="Times New Roman" w:hAnsi="Times New Roman" w:eastAsiaTheme="minorHAnsi" w:cs="Times New Roman"/>
                <w:color w:val="0000FF"/>
                <w:sz w:val="24"/>
                <w:szCs w:val="24"/>
                <w:u w:val="single"/>
                <w:lang w:val="en-US" w:eastAsia="en-US" w:bidi="ar-SA"/>
              </w:rPr>
              <w:t>joe.halso@sierraclub.org</w:t>
            </w:r>
          </w:p>
        </w:tc>
      </w:tr>
    </w:tbl>
    <w:p w:rsidR="00DB5737" w:rsidRPr="006B64AA" w:rsidP="00690AAF">
      <w:pPr>
        <w:tabs>
          <w:tab w:val="left" w:pos="4320"/>
        </w:tabs>
        <w:spacing w:after="0" w:line="240" w:lineRule="auto"/>
        <w:rPr>
          <w:rFonts w:ascii="Times New Roman" w:hAnsi="Times New Roman" w:cs="Times New Roman"/>
          <w:sz w:val="24"/>
          <w:szCs w:val="24"/>
        </w:rPr>
      </w:pPr>
    </w:p>
    <w:sectPr w:rsidSect="00DB5737">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920">
    <w:pPr>
      <w:pStyle w:val="Footer"/>
      <w:jc w:val="center"/>
    </w:pPr>
  </w:p>
  <w:p w:rsidR="00EF4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9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5942710"/>
      <w:docPartObj>
        <w:docPartGallery w:val="Page Numbers (Bottom of Page)"/>
        <w:docPartUnique/>
      </w:docPartObj>
    </w:sdtPr>
    <w:sdtEndPr>
      <w:rPr>
        <w:noProof/>
      </w:rPr>
    </w:sdtEndPr>
    <w:sdtContent>
      <w:p w:rsidR="00EF492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F49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423479"/>
      <w:docPartObj>
        <w:docPartGallery w:val="Page Numbers (Bottom of Page)"/>
        <w:docPartUnique/>
      </w:docPartObj>
    </w:sdtPr>
    <w:sdtEndPr>
      <w:rPr>
        <w:rFonts w:ascii="Times New Roman" w:hAnsi="Times New Roman" w:cs="Times New Roman"/>
        <w:noProof/>
        <w:sz w:val="24"/>
        <w:szCs w:val="24"/>
      </w:rPr>
    </w:sdtEndPr>
    <w:sdtContent>
      <w:p w:rsidR="00EF4920" w:rsidRPr="00EF4920">
        <w:pPr>
          <w:pStyle w:val="Footer"/>
          <w:jc w:val="center"/>
          <w:rPr>
            <w:rFonts w:ascii="Times New Roman" w:hAnsi="Times New Roman" w:cs="Times New Roman"/>
            <w:sz w:val="24"/>
            <w:szCs w:val="24"/>
          </w:rPr>
        </w:pPr>
        <w:r w:rsidRPr="00EF4920">
          <w:rPr>
            <w:rFonts w:ascii="Times New Roman" w:hAnsi="Times New Roman" w:cs="Times New Roman"/>
            <w:sz w:val="24"/>
            <w:szCs w:val="24"/>
          </w:rPr>
          <w:fldChar w:fldCharType="begin"/>
        </w:r>
        <w:r w:rsidRPr="00EF4920">
          <w:rPr>
            <w:rFonts w:ascii="Times New Roman" w:hAnsi="Times New Roman" w:cs="Times New Roman"/>
            <w:sz w:val="24"/>
            <w:szCs w:val="24"/>
          </w:rPr>
          <w:instrText xml:space="preserve"> PAGE   \* MERGEFORMAT </w:instrText>
        </w:r>
        <w:r w:rsidRPr="00EF4920">
          <w:rPr>
            <w:rFonts w:ascii="Times New Roman" w:hAnsi="Times New Roman" w:cs="Times New Roman"/>
            <w:sz w:val="24"/>
            <w:szCs w:val="24"/>
          </w:rPr>
          <w:fldChar w:fldCharType="separate"/>
        </w:r>
        <w:r>
          <w:rPr>
            <w:rFonts w:ascii="Times New Roman" w:hAnsi="Times New Roman" w:cs="Times New Roman"/>
            <w:noProof/>
            <w:sz w:val="24"/>
            <w:szCs w:val="24"/>
          </w:rPr>
          <w:t>3</w:t>
        </w:r>
        <w:r w:rsidRPr="00EF4920">
          <w:rPr>
            <w:rFonts w:ascii="Times New Roman" w:hAnsi="Times New Roman" w:cs="Times New Roman"/>
            <w:noProof/>
            <w:sz w:val="24"/>
            <w:szCs w:val="24"/>
          </w:rPr>
          <w:fldChar w:fldCharType="end"/>
        </w:r>
      </w:p>
    </w:sdtContent>
  </w:sdt>
  <w:p w:rsidR="00EF4920" w:rsidRPr="006706FC">
    <w:pPr>
      <w:pStyle w:val="Footer"/>
      <w:jc w:val="cen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413"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17D9" w:rsidP="00DB5737">
      <w:pPr>
        <w:spacing w:after="0" w:line="240" w:lineRule="auto"/>
      </w:pPr>
      <w:r>
        <w:separator/>
      </w:r>
    </w:p>
  </w:footnote>
  <w:footnote w:type="continuationSeparator" w:id="1">
    <w:p w:rsidR="006317D9" w:rsidP="00DB5737">
      <w:pPr>
        <w:spacing w:after="0" w:line="240" w:lineRule="auto"/>
      </w:pPr>
      <w:r>
        <w:continuationSeparator/>
      </w:r>
    </w:p>
  </w:footnote>
  <w:footnote w:id="2">
    <w:p w:rsidR="00384413" w:rsidP="005E0CC3">
      <w:pPr>
        <w:pStyle w:val="FootnoteText"/>
        <w:spacing w:after="120"/>
      </w:pPr>
      <w:r>
        <w:rPr>
          <w:rStyle w:val="FootnoteReference"/>
        </w:rPr>
        <w:footnoteRef/>
      </w:r>
      <w:r>
        <w:t xml:space="preserve"> Application at 11.</w:t>
      </w:r>
    </w:p>
  </w:footnote>
  <w:footnote w:id="3">
    <w:p w:rsidR="00384413" w:rsidP="00CA4AB8">
      <w:pPr>
        <w:pStyle w:val="FootnoteText"/>
        <w:spacing w:after="120"/>
      </w:pPr>
      <w:r>
        <w:rPr>
          <w:rStyle w:val="FootnoteReference"/>
        </w:rPr>
        <w:footnoteRef/>
      </w:r>
      <w:r>
        <w:t xml:space="preserve"> See Opinion and Order at ¶252 (“the Commission clarifies that AEP Ohio’s recovery of its portion of OVEC PPA costs through the PPA Rider shall not include any costs associated with transmission system additions, improvements, or other projects under PJM’s Regional Transmission Expansion Plan or supplemental transmission projects.”).</w:t>
      </w:r>
    </w:p>
  </w:footnote>
  <w:footnote w:id="4">
    <w:p w:rsidR="00C6552F" w:rsidP="00CA4AB8">
      <w:pPr>
        <w:pStyle w:val="FootnoteText"/>
        <w:spacing w:after="120"/>
      </w:pPr>
      <w:r>
        <w:rPr>
          <w:rStyle w:val="FootnoteReference"/>
        </w:rPr>
        <w:footnoteRef/>
      </w:r>
      <w:r>
        <w:t xml:space="preserve"> Order at 99.</w:t>
      </w:r>
    </w:p>
  </w:footnote>
  <w:footnote w:id="5">
    <w:p w:rsidR="00A90CAA" w:rsidRPr="00760FB9" w:rsidP="00CA4AB8">
      <w:pPr>
        <w:pStyle w:val="FootnoteText"/>
        <w:spacing w:after="120"/>
        <w:rPr>
          <w:rFonts w:cs="Times New Roman"/>
        </w:rPr>
      </w:pPr>
      <w:r w:rsidRPr="00760FB9">
        <w:rPr>
          <w:rStyle w:val="FootnoteReference"/>
          <w:rFonts w:cs="Times New Roman"/>
        </w:rPr>
        <w:footnoteRef/>
      </w:r>
      <w:r w:rsidRPr="00760FB9">
        <w:rPr>
          <w:rFonts w:cs="Times New Roman"/>
        </w:rPr>
        <w:t xml:space="preserve"> Order at 92, 96-100.</w:t>
      </w:r>
    </w:p>
  </w:footnote>
  <w:footnote w:id="6">
    <w:p w:rsidR="00344B28" w:rsidP="00CA4AB8">
      <w:pPr>
        <w:pStyle w:val="FootnoteText"/>
        <w:spacing w:after="120"/>
      </w:pPr>
      <w:r>
        <w:rPr>
          <w:rStyle w:val="FootnoteReference"/>
        </w:rPr>
        <w:footnoteRef/>
      </w:r>
      <w:r>
        <w:t xml:space="preserve"> Order at 117.</w:t>
      </w:r>
    </w:p>
  </w:footnote>
  <w:footnote w:id="7">
    <w:p w:rsidR="004C42B1" w:rsidP="00CA4AB8">
      <w:pPr>
        <w:pStyle w:val="FootnoteText"/>
        <w:spacing w:after="120"/>
      </w:pPr>
      <w:r>
        <w:rPr>
          <w:rStyle w:val="FootnoteReference"/>
        </w:rPr>
        <w:footnoteRef/>
      </w:r>
      <w:r>
        <w:t xml:space="preserve"> Order at 116.</w:t>
      </w:r>
    </w:p>
  </w:footnote>
  <w:footnote w:id="8">
    <w:p w:rsidR="007E0EF5" w:rsidP="00CA4AB8">
      <w:pPr>
        <w:pStyle w:val="FootnoteText"/>
        <w:spacing w:after="120"/>
      </w:pPr>
      <w:r>
        <w:rPr>
          <w:rStyle w:val="FootnoteReference"/>
        </w:rPr>
        <w:footnoteRef/>
      </w:r>
      <w:r>
        <w:t xml:space="preserve"> </w:t>
      </w:r>
      <w:r w:rsidRPr="00C6552F">
        <w:rPr>
          <w:i/>
        </w:rPr>
        <w:t>Id</w:t>
      </w:r>
      <w:r>
        <w:t xml:space="preserve">.  </w:t>
      </w:r>
    </w:p>
  </w:footnote>
  <w:footnote w:id="9">
    <w:p w:rsidR="00384413" w:rsidP="00CA4AB8">
      <w:pPr>
        <w:pStyle w:val="FootnoteText"/>
        <w:spacing w:after="120"/>
      </w:pPr>
      <w:r>
        <w:rPr>
          <w:rStyle w:val="FootnoteReference"/>
        </w:rPr>
        <w:footnoteRef/>
      </w:r>
      <w:r>
        <w:t xml:space="preserve"> AEP Application for Rehearing at 3.</w:t>
      </w:r>
    </w:p>
  </w:footnote>
  <w:footnote w:id="10">
    <w:p w:rsidR="006C52D7" w:rsidP="00CA4AB8">
      <w:pPr>
        <w:pStyle w:val="FootnoteText"/>
        <w:spacing w:after="120"/>
      </w:pPr>
      <w:r>
        <w:rPr>
          <w:rStyle w:val="FootnoteReference"/>
        </w:rPr>
        <w:footnoteRef/>
      </w:r>
      <w:r>
        <w:t xml:space="preserve"> Order at 116.</w:t>
      </w:r>
    </w:p>
  </w:footnote>
  <w:footnote w:id="11">
    <w:p w:rsidR="006C52D7" w:rsidP="00CA4AB8">
      <w:pPr>
        <w:pStyle w:val="FootnoteText"/>
        <w:spacing w:after="120"/>
      </w:pPr>
      <w:r>
        <w:rPr>
          <w:rStyle w:val="FootnoteReference"/>
        </w:rPr>
        <w:footnoteRef/>
      </w:r>
      <w:r>
        <w:t xml:space="preserve"> As is apparent from OCC’s pending appeals before the Ohio Supreme Court (SC Nos. 2017-0749 and 2017-0752), OCC believes that the PUCO’s decisions regarding the PPA Rider are unlawful; See also </w:t>
      </w:r>
      <w:r w:rsidRPr="005B0BBE">
        <w:rPr>
          <w:i/>
        </w:rPr>
        <w:t>In re Ohio Power Co</w:t>
      </w:r>
      <w:r>
        <w:t>., Case No. 14-1693-EL-RDR, Opinion and Order (Mar. 31, 2016).</w:t>
      </w:r>
    </w:p>
  </w:footnote>
  <w:footnote w:id="12">
    <w:p w:rsidR="006C52D7" w:rsidP="00CA4AB8">
      <w:pPr>
        <w:pStyle w:val="FootnoteText"/>
        <w:spacing w:after="120"/>
      </w:pPr>
      <w:r>
        <w:rPr>
          <w:rStyle w:val="FootnoteReference"/>
        </w:rPr>
        <w:footnoteRef/>
      </w:r>
      <w:r>
        <w:t xml:space="preserve"> AEP Application for Rehearing (May 25, 2018) at 3-5.</w:t>
      </w:r>
    </w:p>
  </w:footnote>
  <w:footnote w:id="13">
    <w:p w:rsidR="006C52D7" w:rsidP="00CA4AB8">
      <w:pPr>
        <w:pStyle w:val="FootnoteText"/>
        <w:spacing w:after="120"/>
      </w:pPr>
      <w:r>
        <w:rPr>
          <w:rStyle w:val="FootnoteReference"/>
        </w:rPr>
        <w:footnoteRef/>
      </w:r>
      <w:r>
        <w:t xml:space="preserve"> Order at 116.</w:t>
      </w:r>
    </w:p>
  </w:footnote>
  <w:footnote w:id="14">
    <w:p w:rsidR="006C52D7" w:rsidP="00CA4AB8">
      <w:pPr>
        <w:pStyle w:val="FootnoteText"/>
        <w:spacing w:after="120"/>
      </w:pPr>
      <w:r>
        <w:rPr>
          <w:rStyle w:val="FootnoteReference"/>
        </w:rPr>
        <w:footnoteRef/>
      </w:r>
      <w:r>
        <w:t xml:space="preserve"> AEP Application for Rehearing at 3-5.</w:t>
      </w:r>
    </w:p>
  </w:footnote>
  <w:footnote w:id="15">
    <w:p w:rsidR="0041731F" w:rsidP="00CA4AB8">
      <w:pPr>
        <w:pStyle w:val="FootnoteText"/>
        <w:spacing w:after="120"/>
      </w:pPr>
      <w:r>
        <w:rPr>
          <w:rStyle w:val="FootnoteReference"/>
        </w:rPr>
        <w:footnoteRef/>
      </w:r>
      <w:r>
        <w:t xml:space="preserve"> </w:t>
      </w:r>
      <w:r w:rsidRPr="0041731F">
        <w:rPr>
          <w:i/>
        </w:rPr>
        <w:t>Id</w:t>
      </w:r>
      <w:r>
        <w:t xml:space="preserve">.; See </w:t>
      </w:r>
      <w:r w:rsidRPr="00AA2DAD">
        <w:rPr>
          <w:i/>
        </w:rPr>
        <w:t>Pike Cty. Light &amp; Power Co. v. Penn. Pub. Serv. Comm</w:t>
      </w:r>
      <w:r>
        <w:t>., 78 Pa. Commw. 268, 237-74 (1983)</w:t>
      </w:r>
    </w:p>
  </w:footnote>
  <w:footnote w:id="16">
    <w:p w:rsidR="006C52D7" w:rsidP="00CA4AB8">
      <w:pPr>
        <w:pStyle w:val="FootnoteText"/>
        <w:spacing w:after="120"/>
      </w:pPr>
      <w:r>
        <w:rPr>
          <w:rStyle w:val="FootnoteReference"/>
        </w:rPr>
        <w:footnoteRef/>
      </w:r>
      <w:r>
        <w:t xml:space="preserve"> AEP Application for Rehearing at 5-8.</w:t>
      </w:r>
    </w:p>
  </w:footnote>
  <w:footnote w:id="17">
    <w:p w:rsidR="006C52D7" w:rsidP="00CA4AB8">
      <w:pPr>
        <w:pStyle w:val="FootnoteText"/>
        <w:spacing w:after="120"/>
      </w:pPr>
      <w:r>
        <w:rPr>
          <w:rStyle w:val="FootnoteReference"/>
        </w:rPr>
        <w:footnoteRef/>
      </w:r>
      <w:r>
        <w:t xml:space="preserve"> </w:t>
      </w:r>
      <w:r w:rsidRPr="00D54BA9">
        <w:rPr>
          <w:i/>
        </w:rPr>
        <w:t>Id</w:t>
      </w:r>
      <w:r>
        <w:t>.</w:t>
      </w:r>
    </w:p>
  </w:footnote>
  <w:footnote w:id="18">
    <w:p w:rsidR="006C52D7" w:rsidP="00CA4AB8">
      <w:pPr>
        <w:pStyle w:val="FootnoteText"/>
        <w:spacing w:after="120"/>
      </w:pPr>
      <w:r>
        <w:rPr>
          <w:rStyle w:val="FootnoteReference"/>
        </w:rPr>
        <w:footnoteRef/>
      </w:r>
      <w:r>
        <w:t xml:space="preserve"> </w:t>
      </w:r>
      <w:r w:rsidRPr="00D54BA9">
        <w:rPr>
          <w:i/>
        </w:rPr>
        <w:t>Id</w:t>
      </w:r>
      <w:r>
        <w:t>. at 7-8.</w:t>
      </w:r>
    </w:p>
  </w:footnote>
  <w:footnote w:id="19">
    <w:p w:rsidR="00384413" w:rsidRPr="00760FB9" w:rsidP="00CA4AB8">
      <w:pPr>
        <w:pStyle w:val="FootnoteText"/>
        <w:spacing w:after="120"/>
        <w:rPr>
          <w:rFonts w:cs="Times New Roman"/>
        </w:rPr>
      </w:pPr>
      <w:r w:rsidRPr="00760FB9">
        <w:rPr>
          <w:rStyle w:val="FootnoteReference"/>
          <w:rFonts w:cs="Times New Roman"/>
        </w:rPr>
        <w:footnoteRef/>
      </w:r>
      <w:r w:rsidRPr="00760FB9">
        <w:rPr>
          <w:rFonts w:cs="Times New Roman"/>
        </w:rPr>
        <w:t xml:space="preserve"> RESA </w:t>
      </w:r>
      <w:r>
        <w:rPr>
          <w:rFonts w:cs="Times New Roman"/>
        </w:rPr>
        <w:t>Application for Rehearing</w:t>
      </w:r>
      <w:r w:rsidRPr="00760FB9">
        <w:rPr>
          <w:rFonts w:cs="Times New Roman"/>
        </w:rPr>
        <w:t xml:space="preserve"> at 7-8; IGS </w:t>
      </w:r>
      <w:r>
        <w:rPr>
          <w:rFonts w:cs="Times New Roman"/>
        </w:rPr>
        <w:t>Application for Rehearing</w:t>
      </w:r>
      <w:r w:rsidRPr="00760FB9">
        <w:rPr>
          <w:rFonts w:cs="Times New Roman"/>
        </w:rPr>
        <w:t xml:space="preserve"> at 17-19.</w:t>
      </w:r>
    </w:p>
  </w:footnote>
  <w:footnote w:id="20">
    <w:p w:rsidR="00824AFB" w:rsidP="00CA4AB8">
      <w:pPr>
        <w:pStyle w:val="FootnoteText"/>
        <w:spacing w:after="120"/>
      </w:pPr>
      <w:r>
        <w:rPr>
          <w:rStyle w:val="FootnoteReference"/>
        </w:rPr>
        <w:footnoteRef/>
      </w:r>
      <w:r>
        <w:t xml:space="preserve"> Revised Code Title 49.</w:t>
      </w:r>
    </w:p>
  </w:footnote>
  <w:footnote w:id="21">
    <w:p w:rsidR="00824AFB" w:rsidP="00CA4AB8">
      <w:pPr>
        <w:pStyle w:val="FootnoteText"/>
        <w:spacing w:after="120"/>
      </w:pPr>
      <w:r>
        <w:rPr>
          <w:rStyle w:val="FootnoteReference"/>
        </w:rPr>
        <w:footnoteRef/>
      </w:r>
      <w:r>
        <w:t xml:space="preserve"> Ohio Admin. Code 4901-1-30(E).</w:t>
      </w:r>
    </w:p>
  </w:footnote>
  <w:footnote w:id="22">
    <w:p w:rsidR="008E55B1" w:rsidP="00CA4AB8">
      <w:pPr>
        <w:pStyle w:val="FootnoteText"/>
        <w:spacing w:after="120"/>
      </w:pPr>
      <w:r>
        <w:rPr>
          <w:rStyle w:val="FootnoteReference"/>
        </w:rPr>
        <w:footnoteRef/>
      </w:r>
      <w:r>
        <w:t xml:space="preserve"> See Order at 91-92.</w:t>
      </w:r>
    </w:p>
  </w:footnote>
  <w:footnote w:id="23">
    <w:p w:rsidR="00A90CAA" w:rsidRPr="00760FB9" w:rsidP="00CA4AB8">
      <w:pPr>
        <w:pStyle w:val="FootnoteText"/>
        <w:spacing w:after="120"/>
        <w:rPr>
          <w:rFonts w:cs="Times New Roman"/>
        </w:rPr>
      </w:pPr>
      <w:r w:rsidRPr="00760FB9">
        <w:rPr>
          <w:rStyle w:val="FootnoteReference"/>
          <w:rFonts w:cs="Times New Roman"/>
        </w:rPr>
        <w:footnoteRef/>
      </w:r>
      <w:r w:rsidRPr="00760FB9">
        <w:rPr>
          <w:rFonts w:cs="Times New Roman"/>
        </w:rPr>
        <w:t xml:space="preserve"> Order at 92, 96-100.</w:t>
      </w:r>
    </w:p>
  </w:footnote>
  <w:footnote w:id="24">
    <w:p w:rsidR="00A90CAA" w:rsidRPr="00760FB9" w:rsidP="00CA4AB8">
      <w:pPr>
        <w:pStyle w:val="FootnoteText"/>
        <w:spacing w:after="120"/>
        <w:rPr>
          <w:rFonts w:cs="Times New Roman"/>
        </w:rPr>
      </w:pPr>
      <w:r w:rsidRPr="00760FB9">
        <w:rPr>
          <w:rStyle w:val="FootnoteReference"/>
          <w:rFonts w:cs="Times New Roman"/>
        </w:rPr>
        <w:footnoteRef/>
      </w:r>
      <w:r w:rsidRPr="00760FB9">
        <w:rPr>
          <w:rFonts w:cs="Times New Roman"/>
        </w:rPr>
        <w:t xml:space="preserve"> Order at 99.</w:t>
      </w:r>
    </w:p>
  </w:footnote>
  <w:footnote w:id="25">
    <w:p w:rsidR="00A90CAA" w:rsidRPr="00760FB9" w:rsidP="00CA4AB8">
      <w:pPr>
        <w:pStyle w:val="FootnoteText"/>
        <w:spacing w:after="120"/>
        <w:rPr>
          <w:rFonts w:cs="Times New Roman"/>
        </w:rPr>
      </w:pPr>
      <w:r w:rsidRPr="00760FB9">
        <w:rPr>
          <w:rStyle w:val="FootnoteReference"/>
          <w:rFonts w:cs="Times New Roman"/>
        </w:rPr>
        <w:footnoteRef/>
      </w:r>
      <w:r w:rsidRPr="00760FB9">
        <w:rPr>
          <w:rFonts w:cs="Times New Roman"/>
        </w:rPr>
        <w:t xml:space="preserve"> Order at 99.</w:t>
      </w:r>
    </w:p>
  </w:footnote>
  <w:footnote w:id="26">
    <w:p w:rsidR="00A90CAA" w:rsidRPr="00760FB9" w:rsidP="00CA4AB8">
      <w:pPr>
        <w:pStyle w:val="FootnoteText"/>
        <w:spacing w:after="120"/>
        <w:rPr>
          <w:rFonts w:cs="Times New Roman"/>
        </w:rPr>
      </w:pPr>
      <w:r w:rsidRPr="00760FB9">
        <w:rPr>
          <w:rStyle w:val="FootnoteReference"/>
          <w:rFonts w:cs="Times New Roman"/>
        </w:rPr>
        <w:footnoteRef/>
      </w:r>
      <w:r w:rsidRPr="00760FB9">
        <w:rPr>
          <w:rFonts w:cs="Times New Roman"/>
        </w:rPr>
        <w:t xml:space="preserve"> Order at 99.</w:t>
      </w:r>
    </w:p>
  </w:footnote>
  <w:footnote w:id="27">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IGS </w:t>
      </w:r>
      <w:r>
        <w:rPr>
          <w:rFonts w:cs="Times New Roman"/>
        </w:rPr>
        <w:t>Application for Rehearing</w:t>
      </w:r>
      <w:r w:rsidRPr="00760FB9">
        <w:rPr>
          <w:rFonts w:cs="Times New Roman"/>
        </w:rPr>
        <w:t xml:space="preserve"> </w:t>
      </w:r>
      <w:r>
        <w:rPr>
          <w:rFonts w:cs="Times New Roman"/>
        </w:rPr>
        <w:t>at 18; RESA Application for Rehearing at 7-8.</w:t>
      </w:r>
    </w:p>
  </w:footnote>
  <w:footnote w:id="28">
    <w:p w:rsidR="00384413" w:rsidP="005E0CC3">
      <w:pPr>
        <w:pStyle w:val="FootnoteText"/>
        <w:spacing w:after="120"/>
      </w:pPr>
      <w:r>
        <w:rPr>
          <w:rStyle w:val="FootnoteReference"/>
        </w:rPr>
        <w:footnoteRef/>
      </w:r>
      <w:r>
        <w:t xml:space="preserve"> See RESA Application for Rehearing at 7-8; RC 4928.143(C)(1).</w:t>
      </w:r>
    </w:p>
  </w:footnote>
  <w:footnote w:id="29">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See Settlement at 40-41.</w:t>
      </w:r>
    </w:p>
  </w:footnote>
  <w:footnote w:id="30">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IGS </w:t>
      </w:r>
      <w:r>
        <w:rPr>
          <w:rFonts w:cs="Times New Roman"/>
        </w:rPr>
        <w:t>Application for Rehearing</w:t>
      </w:r>
      <w:r w:rsidRPr="00760FB9">
        <w:rPr>
          <w:rFonts w:cs="Times New Roman"/>
        </w:rPr>
        <w:t xml:space="preserve"> at 20-23.</w:t>
      </w:r>
    </w:p>
  </w:footnote>
  <w:footnote w:id="31">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IGS </w:t>
      </w:r>
      <w:r>
        <w:rPr>
          <w:rFonts w:cs="Times New Roman"/>
        </w:rPr>
        <w:t>Application for Rehearing</w:t>
      </w:r>
      <w:r w:rsidRPr="00760FB9">
        <w:rPr>
          <w:rFonts w:cs="Times New Roman"/>
        </w:rPr>
        <w:t xml:space="preserve"> at 21.</w:t>
      </w:r>
    </w:p>
  </w:footnote>
  <w:footnote w:id="32">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w:t>
      </w:r>
      <w:r w:rsidRPr="00760FB9">
        <w:rPr>
          <w:rStyle w:val="ssit"/>
          <w:rFonts w:cs="Times New Roman"/>
          <w:i/>
          <w:iCs/>
          <w:bdr w:val="none" w:sz="0" w:space="0" w:color="auto" w:frame="1"/>
          <w:shd w:val="clear" w:color="auto" w:fill="FFFFFF"/>
        </w:rPr>
        <w:t>AT &amp; T Communications of Ohio, Inc. v. Pub. Util. Comm.</w:t>
      </w:r>
      <w:r w:rsidRPr="00760FB9">
        <w:rPr>
          <w:rFonts w:cs="Times New Roman"/>
          <w:bdr w:val="none" w:sz="0" w:space="0" w:color="auto" w:frame="1"/>
          <w:shd w:val="clear" w:color="auto" w:fill="FFFFFF"/>
        </w:rPr>
        <w:t> (1990), 51 Ohio St.3d 150, 154, 555 N.E.2d 288</w:t>
      </w:r>
      <w:r w:rsidRPr="00760FB9">
        <w:rPr>
          <w:rFonts w:cs="Times New Roman"/>
          <w:shd w:val="clear" w:color="auto" w:fill="FFFFFF"/>
        </w:rPr>
        <w:t>.</w:t>
      </w:r>
    </w:p>
  </w:footnote>
  <w:footnote w:id="33">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w:t>
      </w:r>
      <w:r w:rsidRPr="00760FB9">
        <w:rPr>
          <w:rFonts w:cs="Times New Roman"/>
          <w:i/>
          <w:iCs/>
        </w:rPr>
        <w:t>Monongahela Power Co. v. Pub. Util. Comm.,</w:t>
      </w:r>
      <w:r w:rsidRPr="00760FB9">
        <w:rPr>
          <w:rFonts w:cs="Times New Roman"/>
        </w:rPr>
        <w:t> 104 Ohio St.3d 571, 2004 Ohio 6896, 820 N.E.2d 921, at P 29.</w:t>
      </w:r>
    </w:p>
  </w:footnote>
  <w:footnote w:id="34">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w:t>
      </w:r>
      <w:r w:rsidRPr="00760FB9">
        <w:rPr>
          <w:rFonts w:cs="Times New Roman"/>
          <w:i/>
          <w:iCs/>
        </w:rPr>
        <w:t>Constellation,</w:t>
      </w:r>
      <w:r>
        <w:rPr>
          <w:rFonts w:cs="Times New Roman"/>
          <w:i/>
          <w:iCs/>
        </w:rPr>
        <w:t xml:space="preserve"> </w:t>
      </w:r>
      <w:r w:rsidRPr="00760FB9">
        <w:rPr>
          <w:rFonts w:cs="Times New Roman"/>
        </w:rPr>
        <w:t>104 Ohio St.3d 530, 2004 Ohio 6767, 820 N.E.2d 885, at P 34.</w:t>
      </w:r>
    </w:p>
  </w:footnote>
  <w:footnote w:id="35">
    <w:p w:rsidR="00384413" w:rsidRPr="00760FB9" w:rsidP="005E0CC3">
      <w:pPr>
        <w:pStyle w:val="FootnoteText"/>
        <w:spacing w:after="120"/>
        <w:rPr>
          <w:rFonts w:cs="Times New Roman"/>
          <w:i/>
        </w:rPr>
      </w:pPr>
      <w:r w:rsidRPr="00760FB9">
        <w:rPr>
          <w:rStyle w:val="FootnoteReference"/>
          <w:rFonts w:cs="Times New Roman"/>
        </w:rPr>
        <w:footnoteRef/>
      </w:r>
      <w:r w:rsidRPr="00760FB9">
        <w:rPr>
          <w:rFonts w:cs="Times New Roman"/>
        </w:rPr>
        <w:t xml:space="preserve">  </w:t>
      </w:r>
      <w:r w:rsidRPr="00760FB9">
        <w:rPr>
          <w:rFonts w:cs="Times New Roman"/>
          <w:i/>
          <w:iCs/>
        </w:rPr>
        <w:t>AK Steel Corp. v. Pub. Util. Comm.</w:t>
      </w:r>
      <w:r w:rsidRPr="00760FB9">
        <w:rPr>
          <w:rFonts w:cs="Times New Roman"/>
        </w:rPr>
        <w:t xml:space="preserve">(2002), </w:t>
      </w:r>
      <w:r w:rsidRPr="00760FB9">
        <w:rPr>
          <w:rFonts w:cs="Times New Roman"/>
          <w:i/>
        </w:rPr>
        <w:t>95 Ohio St.3d 81, 86, 2002 Ohio 1735, 765 N.E.2d 862.</w:t>
      </w:r>
    </w:p>
  </w:footnote>
  <w:footnote w:id="36">
    <w:p w:rsidR="00384413" w:rsidP="005E0CC3">
      <w:pPr>
        <w:pStyle w:val="FootnoteText"/>
        <w:spacing w:after="120"/>
      </w:pPr>
      <w:r>
        <w:rPr>
          <w:rStyle w:val="FootnoteReference"/>
        </w:rPr>
        <w:footnoteRef/>
      </w:r>
      <w:r>
        <w:t xml:space="preserve"> Order at 98-100.</w:t>
      </w:r>
    </w:p>
  </w:footnote>
  <w:footnote w:id="37">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See Order at 92-93, 96-100.</w:t>
      </w:r>
    </w:p>
  </w:footnote>
  <w:footnote w:id="38">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IGS Application for Rehearing at 23-24.</w:t>
      </w:r>
    </w:p>
  </w:footnote>
  <w:footnote w:id="39">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See </w:t>
      </w:r>
      <w:r w:rsidRPr="00760FB9">
        <w:rPr>
          <w:rFonts w:cs="Times New Roman"/>
          <w:i/>
          <w:iCs/>
        </w:rPr>
        <w:t>MCI Telecommunications Corp. v. Pub. Util. Comm.</w:t>
      </w:r>
      <w:r w:rsidRPr="00760FB9">
        <w:rPr>
          <w:rFonts w:cs="Times New Roman"/>
          <w:i/>
        </w:rPr>
        <w:t> </w:t>
      </w:r>
      <w:r w:rsidRPr="00760FB9">
        <w:rPr>
          <w:rFonts w:cs="Times New Roman"/>
        </w:rPr>
        <w:t>(1987), 32 Ohio St.3d 306, 312, 513 N.E.2d 337.</w:t>
      </w:r>
    </w:p>
  </w:footnote>
  <w:footnote w:id="40">
    <w:p w:rsidR="00384413" w:rsidRPr="00760FB9" w:rsidP="005E0CC3">
      <w:pPr>
        <w:pStyle w:val="FootnoteText"/>
        <w:spacing w:after="120"/>
        <w:rPr>
          <w:rFonts w:cs="Times New Roman"/>
        </w:rPr>
      </w:pPr>
      <w:r w:rsidRPr="00760FB9">
        <w:rPr>
          <w:rStyle w:val="FootnoteReference"/>
          <w:rFonts w:cs="Times New Roman"/>
        </w:rPr>
        <w:footnoteRef/>
      </w:r>
      <w:r>
        <w:rPr>
          <w:rFonts w:cs="Times New Roman"/>
        </w:rPr>
        <w:t xml:space="preserve"> Order at 96-100.</w:t>
      </w:r>
    </w:p>
  </w:footnote>
  <w:footnote w:id="41">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IGA </w:t>
      </w:r>
      <w:r>
        <w:rPr>
          <w:rFonts w:cs="Times New Roman"/>
        </w:rPr>
        <w:t>Application for Rehearing</w:t>
      </w:r>
      <w:r w:rsidRPr="00760FB9">
        <w:rPr>
          <w:rFonts w:cs="Times New Roman"/>
        </w:rPr>
        <w:t xml:space="preserve"> at 21.</w:t>
      </w:r>
    </w:p>
  </w:footnote>
  <w:footnote w:id="42">
    <w:p w:rsidR="00384413" w:rsidP="005E0CC3">
      <w:pPr>
        <w:pStyle w:val="FootnoteText"/>
        <w:spacing w:after="120"/>
      </w:pPr>
      <w:r>
        <w:rPr>
          <w:rStyle w:val="FootnoteReference"/>
        </w:rPr>
        <w:footnoteRef/>
      </w:r>
      <w:r>
        <w:t xml:space="preserve"> Order at 96-100.</w:t>
      </w:r>
    </w:p>
  </w:footnote>
  <w:footnote w:id="43">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See Order at 98 (“AEP Ohio witness Allen testified that the $1.05/MWh charge proposed for the CIR is a negotiated value, because the various parties have differing views as to what it should be.”).</w:t>
      </w:r>
    </w:p>
  </w:footnote>
  <w:footnote w:id="44">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See RESA </w:t>
      </w:r>
      <w:r>
        <w:rPr>
          <w:rFonts w:cs="Times New Roman"/>
        </w:rPr>
        <w:t>Application for Rehearing</w:t>
      </w:r>
      <w:r w:rsidRPr="00760FB9">
        <w:rPr>
          <w:rFonts w:cs="Times New Roman"/>
        </w:rPr>
        <w:t xml:space="preserve"> at 3-5;  IGS </w:t>
      </w:r>
      <w:r>
        <w:rPr>
          <w:rFonts w:cs="Times New Roman"/>
        </w:rPr>
        <w:t>Application for Rehearing</w:t>
      </w:r>
      <w:r w:rsidRPr="00760FB9">
        <w:rPr>
          <w:rFonts w:cs="Times New Roman"/>
        </w:rPr>
        <w:t xml:space="preserve"> at 25-27.</w:t>
      </w:r>
    </w:p>
  </w:footnote>
  <w:footnote w:id="45">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w:t>
      </w:r>
      <w:r w:rsidRPr="00C94057">
        <w:rPr>
          <w:rFonts w:cs="Times New Roman"/>
          <w:i/>
        </w:rPr>
        <w:t>Id.</w:t>
      </w:r>
    </w:p>
  </w:footnote>
  <w:footnote w:id="46">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w:t>
      </w:r>
      <w:r w:rsidRPr="00C94057">
        <w:rPr>
          <w:rFonts w:cs="Times New Roman"/>
          <w:i/>
        </w:rPr>
        <w:t>Id.</w:t>
      </w:r>
    </w:p>
  </w:footnote>
  <w:footnote w:id="47">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RC 4928.02(A).</w:t>
      </w:r>
    </w:p>
  </w:footnote>
  <w:footnote w:id="48">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RC 4928.02(B).</w:t>
      </w:r>
    </w:p>
  </w:footnote>
  <w:footnote w:id="49">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RC 4928.02(H).</w:t>
      </w:r>
    </w:p>
  </w:footnote>
  <w:footnote w:id="50">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Order at 98-100.</w:t>
      </w:r>
    </w:p>
  </w:footnote>
  <w:footnote w:id="51">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RESA </w:t>
      </w:r>
      <w:r>
        <w:rPr>
          <w:rFonts w:cs="Times New Roman"/>
        </w:rPr>
        <w:t>Application for Rehearing</w:t>
      </w:r>
      <w:r w:rsidRPr="00760FB9">
        <w:rPr>
          <w:rFonts w:cs="Times New Roman"/>
        </w:rPr>
        <w:t xml:space="preserve"> at </w:t>
      </w:r>
      <w:r>
        <w:rPr>
          <w:rFonts w:cs="Times New Roman"/>
        </w:rPr>
        <w:t xml:space="preserve">2-3, </w:t>
      </w:r>
      <w:r w:rsidRPr="00760FB9">
        <w:rPr>
          <w:rFonts w:cs="Times New Roman"/>
        </w:rPr>
        <w:t>5-7.</w:t>
      </w:r>
    </w:p>
  </w:footnote>
  <w:footnote w:id="52">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Case No. 14-1693-EL-SSO, Order at 30 (March 31, 2016).</w:t>
      </w:r>
    </w:p>
  </w:footnote>
  <w:footnote w:id="53">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w:t>
      </w:r>
      <w:r>
        <w:rPr>
          <w:rFonts w:cs="Times New Roman"/>
        </w:rPr>
        <w:t>See RC 4928.143(C)(1).</w:t>
      </w:r>
    </w:p>
  </w:footnote>
  <w:footnote w:id="54">
    <w:p w:rsidR="00384413" w:rsidP="005E0CC3">
      <w:pPr>
        <w:pStyle w:val="FootnoteText"/>
        <w:spacing w:after="120"/>
      </w:pPr>
      <w:r>
        <w:rPr>
          <w:rStyle w:val="FootnoteReference"/>
        </w:rPr>
        <w:footnoteRef/>
      </w:r>
      <w:r>
        <w:t xml:space="preserve"> See </w:t>
      </w:r>
      <w:r>
        <w:rPr>
          <w:i/>
        </w:rPr>
        <w:t>In the Matter of the Ohio Edison Co., The Cleveland Elec. Illum. Co., and The Toledo Ed. Co., for Authority to Provide for a Standard Service Offer Pursuant to Section 4928.143, Revised Code, in the Form of an Electric Security Plan</w:t>
      </w:r>
      <w:r>
        <w:t>, Case No. 12-1230-EL-SSO, Opinion and Order at 40-42</w:t>
      </w:r>
      <w:r>
        <w:rPr>
          <w:rFonts w:cs="Times New Roman"/>
        </w:rPr>
        <w:t xml:space="preserve"> (July 18, 2012)</w:t>
      </w:r>
      <w:r w:rsidRPr="005C76EF">
        <w:rPr>
          <w:rFonts w:cs="Times New Roman"/>
        </w:rPr>
        <w:t xml:space="preserve"> (</w:t>
      </w:r>
      <w:r>
        <w:rPr>
          <w:rFonts w:cs="Times New Roman"/>
        </w:rPr>
        <w:t>“</w:t>
      </w:r>
      <w:r w:rsidRPr="005C76EF">
        <w:rPr>
          <w:rFonts w:cs="Times New Roman"/>
        </w:rPr>
        <w:t>Accordingly, although the Commission retains the </w:t>
      </w:r>
      <w:r w:rsidRPr="005C76EF">
        <w:rPr>
          <w:rFonts w:cs="Times New Roman"/>
          <w:bCs/>
        </w:rPr>
        <w:t>authority to modify</w:t>
      </w:r>
      <w:r w:rsidRPr="005C76EF">
        <w:rPr>
          <w:rFonts w:cs="Times New Roman"/>
        </w:rPr>
        <w:t> a prior order adopting a stipulation, the Commission finds that RESA, IGS, and Direct Energy have not demonstrated sufficient grounds to disturb the stipulation adopted in </w:t>
      </w:r>
      <w:r>
        <w:rPr>
          <w:rFonts w:cs="Times New Roman"/>
          <w:i/>
          <w:iCs/>
        </w:rPr>
        <w:t>WPS Energy.</w:t>
      </w:r>
      <w:r>
        <w:rPr>
          <w:rFonts w:cs="Times New Roman"/>
        </w:rPr>
        <w:t>”</w:t>
      </w:r>
      <w:r w:rsidRPr="005C76EF">
        <w:rPr>
          <w:rFonts w:cs="Times New Roman"/>
        </w:rPr>
        <w:t>)</w:t>
      </w:r>
      <w:r>
        <w:rPr>
          <w:rFonts w:cs="Times New Roman"/>
        </w:rPr>
        <w:t>.</w:t>
      </w:r>
    </w:p>
  </w:footnote>
  <w:footnote w:id="55">
    <w:p w:rsidR="00384413" w:rsidRPr="00760FB9" w:rsidP="005E0CC3">
      <w:pPr>
        <w:pStyle w:val="FootnoteText"/>
        <w:spacing w:after="120"/>
        <w:rPr>
          <w:rFonts w:cs="Times New Roman"/>
        </w:rPr>
      </w:pPr>
      <w:r w:rsidRPr="00760FB9">
        <w:rPr>
          <w:rStyle w:val="FootnoteReference"/>
          <w:rFonts w:cs="Times New Roman"/>
        </w:rPr>
        <w:footnoteRef/>
      </w:r>
      <w:r w:rsidRPr="00760FB9">
        <w:rPr>
          <w:rFonts w:cs="Times New Roman"/>
        </w:rPr>
        <w:t xml:space="preserve"> See PPA Order at 47 (“As set forth in Section III.C of the stipulation, AEP Ohio agrees to file a separate application with the Commission seeking to extend its current ESP to May 31, 2024. AEP Ohio further agrees to include in that application, among other appropriate proposals to be developed, certain provisions and features specified in Section III.C of the stipulation. If the Commission denies AEP Ohio's request to include in its extended ESP any of the provisions and features specified in Section III.C, any adversely affected signatory party agrees to work in good faith with the Company to develop new provisions to restore or replace the invalidated provision to its equivalent value and jointly request approval of any new agreed to provisions by th</w:t>
      </w:r>
      <w:r>
        <w:rPr>
          <w:rFonts w:cs="Times New Roman"/>
        </w:rPr>
        <w:t>e Commission. If such signatory</w:t>
      </w:r>
      <w:r w:rsidRPr="00760FB9">
        <w:rPr>
          <w:rFonts w:cs="Times New Roman"/>
        </w:rPr>
        <w:t xml:space="preserve"> parties are unable to reach agreement, each of those signatory parties may petition the Commission for appropriate relief limited to the equivalent value of the specific provision that is not included in AEP Ohio's extended ESP.”)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9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46E02"/>
    <w:multiLevelType w:val="hybridMultilevel"/>
    <w:tmpl w:val="C3B45D8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3C85046"/>
    <w:multiLevelType w:val="hybridMultilevel"/>
    <w:tmpl w:val="E8D6D9D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0C4725F"/>
    <w:multiLevelType w:val="hybridMultilevel"/>
    <w:tmpl w:val="FB56DD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1E64ED7"/>
    <w:multiLevelType w:val="hybridMultilevel"/>
    <w:tmpl w:val="A98C05A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71A4BCE"/>
    <w:multiLevelType w:val="hybridMultilevel"/>
    <w:tmpl w:val="2C46E8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8D948EC"/>
    <w:multiLevelType w:val="hybridMultilevel"/>
    <w:tmpl w:val="A6A2084A"/>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CAB515C"/>
    <w:multiLevelType w:val="hybridMultilevel"/>
    <w:tmpl w:val="C53E568A"/>
    <w:lvl w:ilvl="0">
      <w:start w:val="1"/>
      <w:numFmt w:val="upperRoman"/>
      <w:pStyle w:val="Heading1"/>
      <w:lvlText w:val="%1."/>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62D61C9"/>
    <w:multiLevelType w:val="hybridMultilevel"/>
    <w:tmpl w:val="0F2444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F71591F"/>
    <w:multiLevelType w:val="hybridMultilevel"/>
    <w:tmpl w:val="CE64842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1"/>
    <w:lvlOverride w:ilvl="0">
      <w:startOverride w:val="1"/>
    </w:lvlOverride>
  </w:num>
  <w:num w:numId="5">
    <w:abstractNumId w:val="1"/>
    <w:lvlOverride w:ilvl="0">
      <w:startOverride w:val="1"/>
    </w:lvlOverride>
  </w:num>
  <w:num w:numId="6">
    <w:abstractNumId w:val="0"/>
  </w:num>
  <w:num w:numId="7">
    <w:abstractNumId w:val="2"/>
  </w:num>
  <w:num w:numId="8">
    <w:abstractNumId w:val="3"/>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F4920"/>
    <w:pPr>
      <w:keepNext/>
      <w:keepLines/>
      <w:numPr>
        <w:numId w:val="1"/>
      </w:numPr>
      <w:spacing w:after="240" w:line="240" w:lineRule="auto"/>
      <w:ind w:left="720"/>
      <w:outlineLvl w:val="0"/>
    </w:pPr>
    <w:rPr>
      <w:rFonts w:ascii="Times New Roman Bold" w:hAnsi="Times New Roman Bold" w:eastAsiaTheme="majorEastAsia" w:cs="Times New Roman"/>
      <w:b/>
      <w:caps/>
      <w:sz w:val="24"/>
      <w:szCs w:val="24"/>
    </w:rPr>
  </w:style>
  <w:style w:type="paragraph" w:styleId="Heading2">
    <w:name w:val="heading 2"/>
    <w:basedOn w:val="Normal"/>
    <w:next w:val="Normal"/>
    <w:link w:val="Heading2Char"/>
    <w:autoRedefine/>
    <w:unhideWhenUsed/>
    <w:qFormat/>
    <w:rsid w:val="00EF4920"/>
    <w:pPr>
      <w:keepNext/>
      <w:keepLines/>
      <w:numPr>
        <w:numId w:val="2"/>
      </w:numPr>
      <w:spacing w:after="240" w:line="240" w:lineRule="auto"/>
      <w:ind w:left="1440" w:right="720" w:hanging="720"/>
      <w:outlineLvl w:val="1"/>
    </w:pPr>
    <w:rPr>
      <w:rFonts w:ascii="Times New Roman Bold" w:eastAsia="Times New Roman" w:hAnsi="Times New Roman Bold" w:cs="Times New Roman"/>
      <w:b/>
      <w:bCs/>
      <w:sz w:val="24"/>
      <w:szCs w:val="24"/>
    </w:rPr>
  </w:style>
  <w:style w:type="paragraph" w:styleId="Heading3">
    <w:name w:val="heading 3"/>
    <w:basedOn w:val="Normal"/>
    <w:next w:val="Normal"/>
    <w:link w:val="Heading3Char"/>
    <w:autoRedefine/>
    <w:uiPriority w:val="9"/>
    <w:unhideWhenUsed/>
    <w:qFormat/>
    <w:rsid w:val="000A7B60"/>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iPriority w:val="99"/>
    <w:unhideWhenUsed/>
    <w:qFormat/>
    <w:rsid w:val="00DB7AAD"/>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DB7AAD"/>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EF4920"/>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semiHidden/>
    <w:unhideWhenUsed/>
    <w:rsid w:val="00775C0C"/>
    <w:pPr>
      <w:spacing w:line="240" w:lineRule="auto"/>
    </w:pPr>
    <w:rPr>
      <w:sz w:val="20"/>
      <w:szCs w:val="20"/>
    </w:rPr>
  </w:style>
  <w:style w:type="character" w:customStyle="1" w:styleId="CommentTextChar">
    <w:name w:val="Comment Text Char"/>
    <w:basedOn w:val="DefaultParagraphFont"/>
    <w:link w:val="CommentText"/>
    <w:uiPriority w:val="99"/>
    <w:semiHidden/>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920"/>
    <w:rPr>
      <w:rFonts w:ascii="Times New Roman Bold" w:hAnsi="Times New Roman Bold" w:eastAsiaTheme="majorEastAsia" w:cs="Times New Roman"/>
      <w:b/>
      <w:caps/>
      <w:sz w:val="24"/>
      <w:szCs w:val="24"/>
    </w:rPr>
  </w:style>
  <w:style w:type="character" w:customStyle="1" w:styleId="Heading3Char">
    <w:name w:val="Heading 3 Char"/>
    <w:basedOn w:val="DefaultParagraphFont"/>
    <w:link w:val="Heading3"/>
    <w:uiPriority w:val="9"/>
    <w:rsid w:val="000A7B60"/>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paragraph" w:styleId="Revision">
    <w:name w:val="Revision"/>
    <w:hidden/>
    <w:uiPriority w:val="99"/>
    <w:semiHidden/>
    <w:rsid w:val="003F3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16-1852 (MC AFR w mgmt) 6.4.18  (00056415.DOCX;1)</vt:lpstr>
    </vt:vector>
  </TitlesOfParts>
  <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2018-06-04T21:09:38Z</dcterms:created>
  <dcterms:modified xsi:type="dcterms:W3CDTF">2018-06-04T21:09:38Z</dcterms:modified>
</cp:coreProperties>
</file>