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396BAE">
      <w:pPr>
        <w:pStyle w:val="HTMLPreformatted"/>
        <w:jc w:val="center"/>
        <w:rPr>
          <w:rFonts w:ascii="Times New Roman" w:hAnsi="Times New Roman"/>
          <w:sz w:val="24"/>
        </w:rPr>
      </w:pPr>
    </w:p>
    <w:tbl>
      <w:tblPr>
        <w:tblW w:w="9800" w:type="dxa"/>
        <w:tblLook w:val="01E0"/>
      </w:tblPr>
      <w:tblGrid>
        <w:gridCol w:w="4950"/>
        <w:gridCol w:w="450"/>
        <w:gridCol w:w="4400"/>
      </w:tblGrid>
      <w:tr w:rsidTr="00104D9A">
        <w:tblPrEx>
          <w:tblW w:w="9800" w:type="dxa"/>
          <w:tblLook w:val="01E0"/>
        </w:tblPrEx>
        <w:trPr>
          <w:trHeight w:val="807"/>
        </w:trPr>
        <w:tc>
          <w:tcPr>
            <w:tcW w:w="4950" w:type="dxa"/>
            <w:shd w:val="clear" w:color="auto" w:fill="auto"/>
          </w:tcPr>
          <w:p w:rsidR="000F18EF" w:rsidRPr="000F18EF" w:rsidP="000F18EF">
            <w:pPr>
              <w:autoSpaceDE w:val="0"/>
              <w:autoSpaceDN w:val="0"/>
              <w:adjustRightInd w:val="0"/>
              <w:rPr>
                <w:szCs w:val="24"/>
              </w:rPr>
            </w:pPr>
            <w:r>
              <w:rPr>
                <w:szCs w:val="24"/>
              </w:rPr>
              <w:t>In the Matter of the Application of Duke Energy Ohio, Inc. to Adjust Rider AU for 201</w:t>
            </w:r>
            <w:r w:rsidR="00684618">
              <w:rPr>
                <w:szCs w:val="24"/>
              </w:rPr>
              <w:t>7</w:t>
            </w:r>
            <w:r>
              <w:rPr>
                <w:szCs w:val="24"/>
              </w:rPr>
              <w:t xml:space="preserve"> Grid Modernization Costs. </w:t>
            </w:r>
          </w:p>
        </w:tc>
        <w:tc>
          <w:tcPr>
            <w:tcW w:w="450" w:type="dxa"/>
            <w:shd w:val="clear" w:color="auto" w:fill="auto"/>
          </w:tcPr>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0F18EF">
              <w:rPr>
                <w:rFonts w:eastAsia="Courier New"/>
                <w:szCs w:val="24"/>
              </w:rPr>
              <w:t>)</w:t>
            </w:r>
          </w:p>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0F18EF">
              <w:rPr>
                <w:rFonts w:eastAsia="Courier New"/>
                <w:szCs w:val="24"/>
              </w:rPr>
              <w:t>)</w:t>
            </w:r>
          </w:p>
          <w:p w:rsidR="00C743BC"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0F18EF">
              <w:rPr>
                <w:rFonts w:eastAsia="Courier New"/>
                <w:szCs w:val="24"/>
              </w:rPr>
              <w:t>)</w:t>
            </w:r>
          </w:p>
        </w:tc>
        <w:tc>
          <w:tcPr>
            <w:tcW w:w="4400" w:type="dxa"/>
            <w:shd w:val="clear" w:color="auto" w:fill="auto"/>
          </w:tcPr>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Pr>
                <w:rFonts w:eastAsia="Courier New"/>
                <w:szCs w:val="24"/>
              </w:rPr>
              <w:t>Case No. 1</w:t>
            </w:r>
            <w:r w:rsidR="00684618">
              <w:rPr>
                <w:rFonts w:eastAsia="Courier New"/>
                <w:szCs w:val="24"/>
              </w:rPr>
              <w:t>8</w:t>
            </w:r>
            <w:r>
              <w:rPr>
                <w:rFonts w:eastAsia="Courier New"/>
                <w:szCs w:val="24"/>
              </w:rPr>
              <w:t>-</w:t>
            </w:r>
            <w:r w:rsidR="00042E80">
              <w:rPr>
                <w:rFonts w:eastAsia="Courier New"/>
                <w:szCs w:val="24"/>
              </w:rPr>
              <w:t>0</w:t>
            </w:r>
            <w:r w:rsidR="00684618">
              <w:rPr>
                <w:rFonts w:eastAsia="Courier New"/>
                <w:szCs w:val="24"/>
              </w:rPr>
              <w:t>837</w:t>
            </w:r>
            <w:r>
              <w:rPr>
                <w:rFonts w:eastAsia="Courier New"/>
                <w:szCs w:val="24"/>
              </w:rPr>
              <w:t>-GA-RDR</w:t>
            </w:r>
          </w:p>
        </w:tc>
      </w:tr>
    </w:tbl>
    <w:p w:rsidR="000F18EF" w:rsidP="002242E0">
      <w:pPr>
        <w:pStyle w:val="HTMLPreformatted"/>
        <w:rPr>
          <w:rFonts w:ascii="Times New Roman" w:hAnsi="Times New Roman"/>
          <w:sz w:val="24"/>
        </w:rPr>
      </w:pPr>
    </w:p>
    <w:p w:rsidR="00A044B5" w:rsidRPr="00D62B78">
      <w:pPr>
        <w:pStyle w:val="HTMLPreformatted"/>
        <w:pBdr>
          <w:top w:val="single" w:sz="12" w:space="1" w:color="auto"/>
        </w:pBdr>
        <w:rPr>
          <w:rFonts w:ascii="Times New Roman" w:hAnsi="Times New Roman"/>
          <w:sz w:val="16"/>
          <w:szCs w:val="16"/>
        </w:rPr>
      </w:pPr>
    </w:p>
    <w:p w:rsidR="004C7C40" w:rsidRPr="00BA7911">
      <w:pPr>
        <w:jc w:val="center"/>
        <w:rPr>
          <w:rFonts w:asciiTheme="majorBidi" w:hAnsiTheme="majorBidi" w:cstheme="majorBidi"/>
          <w:b/>
          <w:bCs/>
          <w:caps/>
        </w:rPr>
      </w:pPr>
      <w:r w:rsidRPr="00BA7911">
        <w:rPr>
          <w:rFonts w:asciiTheme="majorBidi" w:hAnsiTheme="majorBidi" w:cstheme="majorBidi"/>
          <w:b/>
          <w:bCs/>
          <w:caps/>
        </w:rPr>
        <w:t xml:space="preserve">COMMENTS </w:t>
      </w:r>
    </w:p>
    <w:p w:rsidR="00A044B5" w:rsidRPr="00BA7911">
      <w:pPr>
        <w:jc w:val="center"/>
        <w:rPr>
          <w:rFonts w:asciiTheme="majorBidi" w:hAnsiTheme="majorBidi" w:cstheme="majorBidi"/>
          <w:b/>
          <w:bCs/>
          <w:caps/>
        </w:rPr>
      </w:pPr>
      <w:r w:rsidRPr="00BA7911">
        <w:rPr>
          <w:rFonts w:asciiTheme="majorBidi" w:hAnsiTheme="majorBidi" w:cstheme="majorBidi"/>
          <w:b/>
          <w:bCs/>
          <w:caps/>
        </w:rPr>
        <w:t>BY</w:t>
      </w:r>
    </w:p>
    <w:p w:rsidR="00A044B5" w:rsidRPr="00BA7911">
      <w:pPr>
        <w:jc w:val="center"/>
        <w:rPr>
          <w:rFonts w:asciiTheme="majorBidi" w:hAnsiTheme="majorBidi" w:cstheme="majorBidi"/>
          <w:b/>
          <w:bCs/>
          <w:caps/>
        </w:rPr>
      </w:pPr>
      <w:r w:rsidRPr="00BA7911">
        <w:rPr>
          <w:rFonts w:asciiTheme="majorBidi" w:hAnsiTheme="majorBidi" w:cstheme="majorBidi"/>
          <w:b/>
          <w:bCs/>
          <w:caps/>
        </w:rPr>
        <w:t xml:space="preserve">THE OFFICE OF THE OHIO CONSUMERS' COUNSEL </w:t>
      </w:r>
    </w:p>
    <w:p w:rsidR="00A044B5" w:rsidRPr="00D62B78">
      <w:pPr>
        <w:pBdr>
          <w:bottom w:val="single" w:sz="12" w:space="1" w:color="auto"/>
        </w:pBdr>
        <w:tabs>
          <w:tab w:val="left" w:pos="4320"/>
        </w:tabs>
        <w:rPr>
          <w:sz w:val="16"/>
          <w:szCs w:val="16"/>
        </w:rPr>
      </w:pPr>
    </w:p>
    <w:p w:rsidR="00BA7911" w:rsidP="00BA7911"/>
    <w:p w:rsidR="006D5706" w:rsidP="00BA7911">
      <w:pPr>
        <w:pStyle w:val="Heading1"/>
      </w:pPr>
      <w:r w:rsidRPr="00104D9A">
        <w:t>I.</w:t>
      </w:r>
      <w:r>
        <w:tab/>
      </w:r>
      <w:r w:rsidRPr="006D5706">
        <w:t>Introduction</w:t>
      </w:r>
    </w:p>
    <w:p w:rsidR="00BA7911" w:rsidP="00104D9A">
      <w:pPr>
        <w:spacing w:line="480" w:lineRule="auto"/>
        <w:ind w:firstLine="720"/>
        <w:sectPr>
          <w:footerReference w:type="default" r:id="rId5"/>
          <w:footerReference w:type="first" r:id="rId6"/>
          <w:pgSz w:w="12240" w:h="15840"/>
          <w:pgMar w:top="1440" w:right="1800" w:bottom="1440" w:left="1800" w:header="720" w:footer="720" w:gutter="0"/>
          <w:pgNumType w:start="1"/>
          <w:cols w:space="720"/>
          <w:titlePg/>
          <w:docGrid w:linePitch="65"/>
        </w:sectPr>
      </w:pPr>
      <w:r>
        <w:t>The Ohio Consumers’ Counsel (“OCC”) is concerned that c</w:t>
      </w:r>
      <w:r w:rsidR="00BE2F42">
        <w:t xml:space="preserve">ustomers </w:t>
      </w:r>
      <w:r>
        <w:t>could</w:t>
      </w:r>
      <w:r w:rsidR="004C7C40">
        <w:t xml:space="preserve"> be required to</w:t>
      </w:r>
      <w:r w:rsidR="00BE2F42">
        <w:t xml:space="preserve"> overpay for grid modernization </w:t>
      </w:r>
      <w:r>
        <w:t>investments</w:t>
      </w:r>
      <w:r w:rsidR="00BE2F42">
        <w:t xml:space="preserve">.  </w:t>
      </w:r>
      <w:r w:rsidRPr="00FE5832" w:rsidR="00C14379">
        <w:t xml:space="preserve">On </w:t>
      </w:r>
      <w:r w:rsidR="00684618">
        <w:t xml:space="preserve">June 29, 2018, </w:t>
      </w:r>
      <w:r w:rsidRPr="00FE5832" w:rsidR="00C14379">
        <w:t xml:space="preserve"> Duke Energy Ohio, Inc. (“Duke” or “Utility”) filed an Application to adjust Rider</w:t>
      </w:r>
      <w:r w:rsidR="006C4CE7">
        <w:t xml:space="preserve"> A</w:t>
      </w:r>
      <w:r w:rsidRPr="00FE5832" w:rsidR="00C14379">
        <w:t>U for 201</w:t>
      </w:r>
      <w:r w:rsidR="00684618">
        <w:t>7</w:t>
      </w:r>
      <w:r w:rsidRPr="00FE5832" w:rsidR="00C14379">
        <w:t xml:space="preserve"> grid modernization costs associated with its gas </w:t>
      </w:r>
      <w:r w:rsidR="00C14379">
        <w:t xml:space="preserve">operations and asks its customers to </w:t>
      </w:r>
      <w:r w:rsidR="00684618">
        <w:t xml:space="preserve">continue to </w:t>
      </w:r>
      <w:r w:rsidR="00C14379">
        <w:t>pay for this grid modernization.</w:t>
      </w:r>
      <w:r>
        <w:rPr>
          <w:rStyle w:val="FootnoteReference"/>
        </w:rPr>
        <w:footnoteReference w:id="3"/>
      </w:r>
      <w:r w:rsidRPr="00FE5832" w:rsidR="00C14379">
        <w:t xml:space="preserve"> </w:t>
      </w:r>
      <w:r w:rsidR="00FA3F4A">
        <w:t xml:space="preserve">Rider AU </w:t>
      </w:r>
      <w:r w:rsidR="008944EA">
        <w:t xml:space="preserve">collects the costs associated with Duke’s automated gas meter reading system that were installed concurrent with Duke’s electric advanced metering infrastructure (“AMI” or </w:t>
      </w:r>
      <w:r w:rsidR="003E1F1E">
        <w:t>“</w:t>
      </w:r>
      <w:r w:rsidR="008944EA">
        <w:t>smart meter”) deployment.</w:t>
      </w:r>
      <w:r>
        <w:rPr>
          <w:rStyle w:val="FootnoteReference"/>
        </w:rPr>
        <w:footnoteReference w:id="4"/>
      </w:r>
      <w:r w:rsidR="008944EA">
        <w:t xml:space="preserve">  </w:t>
      </w:r>
      <w:r w:rsidRPr="00FE5832" w:rsidR="00C14379">
        <w:t xml:space="preserve">The Utility seeks to </w:t>
      </w:r>
      <w:r w:rsidR="00C14379">
        <w:t>collect from customers</w:t>
      </w:r>
      <w:r w:rsidRPr="00FE5832" w:rsidR="00C14379">
        <w:t xml:space="preserve"> 201</w:t>
      </w:r>
      <w:r w:rsidR="00684618">
        <w:t>7</w:t>
      </w:r>
      <w:r w:rsidRPr="00FE5832" w:rsidR="00C14379">
        <w:t xml:space="preserve"> operation and maintenance and capital-related expenses associated with </w:t>
      </w:r>
      <w:r w:rsidR="00C14379">
        <w:t xml:space="preserve">its </w:t>
      </w:r>
      <w:r w:rsidRPr="00FE5832" w:rsidR="00C14379">
        <w:t>201</w:t>
      </w:r>
      <w:r w:rsidR="00684618">
        <w:t>7</w:t>
      </w:r>
      <w:r w:rsidRPr="00FE5832" w:rsidR="00C14379">
        <w:t xml:space="preserve"> investment in grid modernization and related systems associated with gas service. The current monthly rate for Rider AU for all classes is $0.</w:t>
      </w:r>
      <w:r w:rsidR="00684618">
        <w:t>80</w:t>
      </w:r>
      <w:r w:rsidRPr="00FE5832" w:rsidR="00C14379">
        <w:t xml:space="preserve"> and the proposed rate is $0.</w:t>
      </w:r>
      <w:r w:rsidR="00684618">
        <w:t>6</w:t>
      </w:r>
      <w:r w:rsidRPr="00FE5832" w:rsidR="00C14379">
        <w:t>0.</w:t>
      </w:r>
      <w:r>
        <w:rPr>
          <w:rStyle w:val="FootnoteReference"/>
        </w:rPr>
        <w:footnoteReference w:id="5"/>
      </w:r>
    </w:p>
    <w:p w:rsidR="00EB01AA" w:rsidRPr="00FE5832" w:rsidP="00042E80">
      <w:pPr>
        <w:spacing w:line="480" w:lineRule="auto"/>
      </w:pPr>
      <w:r w:rsidRPr="00D0565F">
        <w:rPr>
          <w:b/>
        </w:rPr>
        <w:t>II.</w:t>
      </w:r>
      <w:r>
        <w:tab/>
      </w:r>
      <w:r w:rsidRPr="00D0565F">
        <w:rPr>
          <w:b/>
        </w:rPr>
        <w:t>COMMENTS</w:t>
      </w:r>
    </w:p>
    <w:p w:rsidR="00145A49" w:rsidRPr="00BA7911" w:rsidP="00BA7911">
      <w:pPr>
        <w:ind w:left="720" w:right="720"/>
        <w:rPr>
          <w:b/>
          <w:bCs/>
        </w:rPr>
      </w:pPr>
      <w:r w:rsidRPr="00BA7911">
        <w:rPr>
          <w:b/>
          <w:bCs/>
        </w:rPr>
        <w:t xml:space="preserve">Duke </w:t>
      </w:r>
      <w:r w:rsidRPr="00BA7911" w:rsidR="006C4CE7">
        <w:rPr>
          <w:b/>
          <w:bCs/>
        </w:rPr>
        <w:t>s</w:t>
      </w:r>
      <w:r w:rsidRPr="00BA7911">
        <w:rPr>
          <w:b/>
          <w:bCs/>
        </w:rPr>
        <w:t xml:space="preserve">hould be required to file a natural gas distribution rate case </w:t>
      </w:r>
      <w:r w:rsidRPr="00BA7911" w:rsidR="00F11144">
        <w:rPr>
          <w:b/>
          <w:bCs/>
        </w:rPr>
        <w:t xml:space="preserve">to eliminate the rider, place prudently incurred smart grid investment into base rates, and ensure operation savings are passed back to consumers.  </w:t>
      </w:r>
      <w:r w:rsidRPr="00BA7911">
        <w:rPr>
          <w:b/>
          <w:bCs/>
        </w:rPr>
        <w:t xml:space="preserve"> </w:t>
      </w:r>
    </w:p>
    <w:p w:rsidR="00BA7911" w:rsidP="00BA7911"/>
    <w:p w:rsidR="005D0F2D" w:rsidRPr="004C7C40" w:rsidP="005D0F2D">
      <w:pPr>
        <w:spacing w:line="480" w:lineRule="auto"/>
        <w:ind w:firstLine="720"/>
      </w:pPr>
      <w:r>
        <w:t>OCC’s comments, in this case, address the</w:t>
      </w:r>
      <w:r w:rsidRPr="00001D8D">
        <w:t xml:space="preserve"> relevant issue that has yet to be resolved by the PUCO</w:t>
      </w:r>
      <w:r>
        <w:t xml:space="preserve"> which</w:t>
      </w:r>
      <w:r w:rsidRPr="00001D8D">
        <w:t xml:space="preserve"> is </w:t>
      </w:r>
      <w:r w:rsidRPr="006C4CE7">
        <w:t xml:space="preserve">whether Duke’s investment </w:t>
      </w:r>
      <w:r w:rsidRPr="00001D8D">
        <w:t xml:space="preserve">in its automated gas meter reading system </w:t>
      </w:r>
      <w:r w:rsidRPr="006C4CE7">
        <w:t>(</w:t>
      </w:r>
      <w:r w:rsidRPr="004C7C40">
        <w:t xml:space="preserve">that customers are continuing to pay </w:t>
      </w:r>
      <w:r w:rsidRPr="00001D8D">
        <w:t>for under the Rider AU</w:t>
      </w:r>
      <w:r w:rsidRPr="006C4CE7">
        <w:t>) was prudent</w:t>
      </w:r>
      <w:r>
        <w:t>ly incurred, and the benefits for consumers of reviewing these investments as part of a natural gas rate case.</w:t>
      </w:r>
      <w:r w:rsidRPr="004C7C40">
        <w:t xml:space="preserve">   </w:t>
      </w:r>
    </w:p>
    <w:p w:rsidR="00F11144" w:rsidP="00F11144">
      <w:pPr>
        <w:spacing w:line="480" w:lineRule="auto"/>
        <w:ind w:firstLine="720"/>
      </w:pPr>
      <w:r>
        <w:t xml:space="preserve">Duke’s smart grid deployment has now been completed for almost three years, so the time is right for the PUCO to end Rider AU. Duke should be required to file a natural gas distribution rate case within the next 12 months. The natural gas distribution rate case will </w:t>
      </w:r>
      <w:r w:rsidR="005D0F2D">
        <w:t>enable Parties to scrutinize Duke’s spending to</w:t>
      </w:r>
      <w:r>
        <w:t xml:space="preserve"> determin</w:t>
      </w:r>
      <w:r w:rsidR="005D0F2D">
        <w:t>e</w:t>
      </w:r>
      <w:r>
        <w:t xml:space="preserve"> whether </w:t>
      </w:r>
      <w:r w:rsidR="005D0F2D">
        <w:t>the Utility</w:t>
      </w:r>
      <w:r>
        <w:t xml:space="preserve"> has prudently incurred meter reading equipment investments to serve its customers</w:t>
      </w:r>
      <w:r w:rsidR="00931C3E">
        <w:t xml:space="preserve">.  In addition, </w:t>
      </w:r>
      <w:r>
        <w:t xml:space="preserve">the base rate case provides an opportunity for </w:t>
      </w:r>
      <w:r w:rsidR="003556F6">
        <w:t xml:space="preserve">actual </w:t>
      </w:r>
      <w:r>
        <w:t>operational savings that Duke has obtained through the smart grid deployment to be passed on to customers.  Rider AU has permitted Duke to collect million</w:t>
      </w:r>
      <w:r w:rsidR="00465BC1">
        <w:t>s of dollars</w:t>
      </w:r>
      <w:r>
        <w:t xml:space="preserve"> from consumers</w:t>
      </w:r>
      <w:r w:rsidR="005D0F2D">
        <w:t xml:space="preserve"> for investment</w:t>
      </w:r>
      <w:r>
        <w:rPr>
          <w:rStyle w:val="FootnoteReference"/>
        </w:rPr>
        <w:footnoteReference w:id="6"/>
      </w:r>
      <w:r>
        <w:t xml:space="preserve"> </w:t>
      </w:r>
      <w:r w:rsidR="005D0F2D">
        <w:t>that</w:t>
      </w:r>
      <w:r>
        <w:t xml:space="preserve"> Duke is now replacing due to premature obsolescence</w:t>
      </w:r>
      <w:r w:rsidR="005D0F2D">
        <w:t>.</w:t>
      </w:r>
      <w:r>
        <w:t xml:space="preserve">  </w:t>
      </w:r>
    </w:p>
    <w:p w:rsidR="00145A49" w:rsidP="00104D9A">
      <w:pPr>
        <w:spacing w:line="480" w:lineRule="auto"/>
        <w:ind w:firstLine="720"/>
      </w:pPr>
      <w:r>
        <w:t xml:space="preserve">OCC has </w:t>
      </w:r>
      <w:r w:rsidR="00001D8D">
        <w:t xml:space="preserve">concern </w:t>
      </w:r>
      <w:r w:rsidR="00465BC1">
        <w:t>that</w:t>
      </w:r>
      <w:r w:rsidR="00001D8D">
        <w:t xml:space="preserve"> the charges that customers are being asked to pay through this rider are imprudent. </w:t>
      </w:r>
      <w:r w:rsidR="008944EA">
        <w:t xml:space="preserve">Duke filed an Application </w:t>
      </w:r>
      <w:r w:rsidR="009A66C1">
        <w:t>on March 24,</w:t>
      </w:r>
      <w:r w:rsidR="00BE2F42">
        <w:t xml:space="preserve"> </w:t>
      </w:r>
      <w:r w:rsidR="009A66C1">
        <w:t xml:space="preserve">2017 </w:t>
      </w:r>
      <w:r w:rsidR="008944EA">
        <w:t>to adjust the Rider AU costs in Case No. 17-690-GA-RDR</w:t>
      </w:r>
      <w:r w:rsidR="00BE2F42">
        <w:t>,</w:t>
      </w:r>
      <w:r w:rsidR="008944EA">
        <w:t xml:space="preserve"> which involved Duke’s collection of 2016 Rider AU costs. </w:t>
      </w:r>
      <w:r w:rsidR="00EA13B6">
        <w:t xml:space="preserve">In Duke’s 2016 Rider AU proceeding, </w:t>
      </w:r>
      <w:r w:rsidR="008944EA">
        <w:t xml:space="preserve">OCC raised concerns about </w:t>
      </w:r>
      <w:r w:rsidR="00E76981">
        <w:t xml:space="preserve">customers </w:t>
      </w:r>
      <w:r w:rsidR="00E76981">
        <w:t xml:space="preserve">being required to pay for </w:t>
      </w:r>
      <w:r w:rsidR="008944EA">
        <w:t xml:space="preserve">Duke’s </w:t>
      </w:r>
      <w:r w:rsidR="00E76981">
        <w:t xml:space="preserve">gas grid modernization through Rider AU while </w:t>
      </w:r>
      <w:r w:rsidR="00B81D29">
        <w:t xml:space="preserve">Duke was </w:t>
      </w:r>
      <w:r w:rsidR="00E76981">
        <w:t>seeking to replace the same communications equipment through a</w:t>
      </w:r>
      <w:r w:rsidR="0059717A">
        <w:t xml:space="preserve"> very expensive </w:t>
      </w:r>
      <w:r w:rsidR="00E76981">
        <w:t xml:space="preserve">AMI transition plan </w:t>
      </w:r>
      <w:r w:rsidR="00EA13B6">
        <w:t>(</w:t>
      </w:r>
      <w:r w:rsidR="00E76981">
        <w:t>filed concurrent with its electric distribution rate case</w:t>
      </w:r>
      <w:r w:rsidR="00EA13B6">
        <w:t>)</w:t>
      </w:r>
      <w:r w:rsidR="00E76981">
        <w:t>.</w:t>
      </w:r>
      <w:r>
        <w:rPr>
          <w:rStyle w:val="FootnoteReference"/>
        </w:rPr>
        <w:footnoteReference w:id="7"/>
      </w:r>
      <w:r w:rsidR="009B1F35">
        <w:t xml:space="preserve"> </w:t>
      </w:r>
      <w:r w:rsidR="00241491">
        <w:t>O</w:t>
      </w:r>
      <w:r w:rsidR="009B1F35">
        <w:t xml:space="preserve">CC </w:t>
      </w:r>
      <w:r w:rsidR="00EA13B6">
        <w:t>also raised its c</w:t>
      </w:r>
      <w:r w:rsidR="00241491">
        <w:t>oncern</w:t>
      </w:r>
      <w:r w:rsidR="00EA13B6">
        <w:t xml:space="preserve">s </w:t>
      </w:r>
      <w:r w:rsidR="00241491">
        <w:t>about the premature failure of smart grid technology that Duke ha</w:t>
      </w:r>
      <w:r w:rsidR="000A2E26">
        <w:t>s d</w:t>
      </w:r>
      <w:r w:rsidR="00241491">
        <w:t>eployed and the potential for customers to be paying multiple times for the same meter reading capabilities.</w:t>
      </w:r>
    </w:p>
    <w:p w:rsidR="005B07AE" w:rsidP="005B07AE">
      <w:pPr>
        <w:ind w:firstLine="720"/>
      </w:pPr>
    </w:p>
    <w:p w:rsidR="000F18EF" w:rsidP="00BA7911">
      <w:pPr>
        <w:pStyle w:val="Heading1"/>
      </w:pPr>
      <w:r>
        <w:t xml:space="preserve"> </w:t>
      </w:r>
      <w:bookmarkStart w:id="1" w:name="_Toc344714698"/>
      <w:bookmarkStart w:id="2" w:name="_Toc475094441"/>
      <w:r w:rsidRPr="000F18EF" w:rsidR="00C14379">
        <w:t>III.</w:t>
      </w:r>
      <w:r w:rsidRPr="000F18EF" w:rsidR="00C14379">
        <w:tab/>
        <w:t>CONCLUSION</w:t>
      </w:r>
      <w:bookmarkEnd w:id="1"/>
      <w:bookmarkEnd w:id="2"/>
    </w:p>
    <w:p w:rsidR="006541F1" w:rsidRPr="00425205" w:rsidP="00BA7911">
      <w:pPr>
        <w:spacing w:line="480" w:lineRule="auto"/>
        <w:ind w:firstLine="720"/>
      </w:pPr>
      <w:r>
        <w:t xml:space="preserve">Because </w:t>
      </w:r>
      <w:r w:rsidR="00675D5A">
        <w:t xml:space="preserve">the smart grid deployment has now been completed for almost three years, </w:t>
      </w:r>
      <w:r w:rsidR="00054C47">
        <w:t xml:space="preserve">Duke should be instructed to file a base rate case within </w:t>
      </w:r>
      <w:r>
        <w:t xml:space="preserve">one </w:t>
      </w:r>
      <w:r w:rsidR="00054C47">
        <w:t xml:space="preserve">year of the Order in this case. </w:t>
      </w:r>
      <w:r w:rsidR="00675D5A">
        <w:t xml:space="preserve">The base rate case </w:t>
      </w:r>
      <w:r w:rsidR="00145A49">
        <w:t xml:space="preserve">will allow Duke’s investment to be reviewed for prudence, </w:t>
      </w:r>
      <w:r w:rsidR="00675D5A">
        <w:t>eliminate the need for continuing Rider AU</w:t>
      </w:r>
      <w:r w:rsidR="00BA7911">
        <w:t>,</w:t>
      </w:r>
      <w:r w:rsidR="00675D5A">
        <w:t xml:space="preserve"> and </w:t>
      </w:r>
      <w:r w:rsidR="00145A49">
        <w:t xml:space="preserve">will </w:t>
      </w:r>
      <w:r w:rsidR="00675D5A">
        <w:t xml:space="preserve">help ensure that </w:t>
      </w:r>
      <w:r w:rsidR="003556F6">
        <w:t xml:space="preserve">actual </w:t>
      </w:r>
      <w:r w:rsidR="00675D5A">
        <w:t xml:space="preserve">operational savings from the smart grid program are being passed on to gas customers. </w:t>
      </w:r>
    </w:p>
    <w:p w:rsidR="00BA7911" w:rsidP="005B07AE">
      <w:pPr>
        <w:ind w:left="4320"/>
      </w:pPr>
    </w:p>
    <w:p w:rsidR="00C743BC" w:rsidP="005B07AE">
      <w:pPr>
        <w:ind w:left="4320"/>
      </w:pPr>
      <w:r w:rsidRPr="00C743BC">
        <w:t>Respectfully submitted,</w:t>
      </w:r>
    </w:p>
    <w:p w:rsidR="005B07AE" w:rsidRPr="00062346" w:rsidP="005B07AE">
      <w:pPr>
        <w:ind w:left="4320"/>
        <w:rPr>
          <w:sz w:val="20"/>
          <w:szCs w:val="16"/>
        </w:rPr>
      </w:pPr>
    </w:p>
    <w:p w:rsidR="00C743BC" w:rsidRPr="00C743BC" w:rsidP="005B07AE">
      <w:pPr>
        <w:ind w:left="4320"/>
      </w:pPr>
      <w:r w:rsidRPr="00C743BC">
        <w:t>Bruce Weston (0016973)</w:t>
      </w:r>
    </w:p>
    <w:p w:rsidR="00C743BC" w:rsidRPr="00C743BC" w:rsidP="005B07AE">
      <w:pPr>
        <w:ind w:left="4320"/>
      </w:pPr>
      <w:r w:rsidRPr="00C743BC">
        <w:t>Ohio Consumers’ Counsel</w:t>
      </w:r>
    </w:p>
    <w:p w:rsidR="00C743BC" w:rsidRPr="00062346" w:rsidP="005B07AE">
      <w:pPr>
        <w:ind w:left="4320"/>
        <w:rPr>
          <w:sz w:val="16"/>
          <w:szCs w:val="12"/>
        </w:rPr>
      </w:pPr>
      <w:r w:rsidRPr="00C743BC">
        <w:tab/>
      </w:r>
    </w:p>
    <w:p w:rsidR="007B6756" w:rsidP="005B07AE">
      <w:pPr>
        <w:ind w:left="4320"/>
      </w:pPr>
      <w:r w:rsidRPr="00C743BC">
        <w:rPr>
          <w:i/>
          <w:u w:val="single"/>
        </w:rPr>
        <w:t>/s/</w:t>
      </w:r>
      <w:r w:rsidR="005B07AE">
        <w:rPr>
          <w:i/>
          <w:u w:val="single"/>
        </w:rPr>
        <w:t xml:space="preserve"> Amy Botschner-O’Brien</w:t>
      </w:r>
      <w:r w:rsidRPr="00C743BC">
        <w:rPr>
          <w:i/>
          <w:u w:val="single"/>
        </w:rPr>
        <w:t xml:space="preserve"> </w:t>
      </w:r>
    </w:p>
    <w:p w:rsidR="00BA7911" w:rsidP="005B07AE">
      <w:pPr>
        <w:ind w:left="4320"/>
      </w:pPr>
      <w:r>
        <w:t>Terry L. Etter (0067445)</w:t>
      </w:r>
    </w:p>
    <w:p w:rsidR="00104D9A" w:rsidP="005B07AE">
      <w:pPr>
        <w:ind w:left="4320"/>
      </w:pPr>
      <w:r w:rsidRPr="00C743BC">
        <w:t>Counsel of Record</w:t>
      </w:r>
    </w:p>
    <w:p w:rsidR="00042E80" w:rsidP="005B07AE">
      <w:pPr>
        <w:ind w:left="4320"/>
      </w:pPr>
      <w:r>
        <w:t>Amy Botschner O’Brien (0074423)</w:t>
      </w:r>
    </w:p>
    <w:p w:rsidR="00C743BC" w:rsidRPr="00C743BC" w:rsidP="005B07AE">
      <w:pPr>
        <w:ind w:left="4320"/>
      </w:pPr>
      <w:r w:rsidRPr="00C743BC">
        <w:t>Assistant Consumers’ Counsel</w:t>
      </w:r>
    </w:p>
    <w:p w:rsidR="00C743BC" w:rsidRPr="00062346" w:rsidP="005B07AE">
      <w:pPr>
        <w:ind w:left="4320"/>
        <w:rPr>
          <w:b/>
          <w:sz w:val="18"/>
          <w:szCs w:val="14"/>
        </w:rPr>
      </w:pPr>
      <w:r w:rsidRPr="00C743BC">
        <w:rPr>
          <w:b/>
        </w:rPr>
        <w:tab/>
      </w:r>
    </w:p>
    <w:p w:rsidR="00C743BC" w:rsidRPr="00C743BC" w:rsidP="005B07AE">
      <w:pPr>
        <w:ind w:left="4320"/>
        <w:rPr>
          <w:b/>
        </w:rPr>
      </w:pPr>
      <w:r w:rsidRPr="00C743BC">
        <w:rPr>
          <w:b/>
        </w:rPr>
        <w:t>Office of the Ohio Consumers’ Counsel</w:t>
      </w:r>
    </w:p>
    <w:p w:rsidR="005B07AE" w:rsidP="005B07AE">
      <w:pPr>
        <w:ind w:left="4320"/>
      </w:pPr>
      <w:r>
        <w:t>65</w:t>
      </w:r>
      <w:r w:rsidRPr="00C743BC" w:rsidR="00C14379">
        <w:t xml:space="preserve"> </w:t>
      </w:r>
      <w:r>
        <w:t xml:space="preserve">East State </w:t>
      </w:r>
      <w:r w:rsidRPr="00C743BC" w:rsidR="00C14379">
        <w:t xml:space="preserve">Street, </w:t>
      </w:r>
      <w:r>
        <w:t>7</w:t>
      </w:r>
      <w:r w:rsidRPr="00042E80">
        <w:rPr>
          <w:vertAlign w:val="superscript"/>
        </w:rPr>
        <w:t>th</w:t>
      </w:r>
      <w:r>
        <w:t xml:space="preserve"> Floor</w:t>
      </w:r>
      <w:r w:rsidRPr="00C743BC" w:rsidR="00C14379">
        <w:tab/>
      </w:r>
    </w:p>
    <w:p w:rsidR="00C743BC" w:rsidRPr="00C743BC" w:rsidP="005B07AE">
      <w:pPr>
        <w:ind w:left="4320"/>
      </w:pPr>
      <w:r w:rsidRPr="00C743BC">
        <w:t>Columbus, Ohio 43215</w:t>
      </w:r>
      <w:r w:rsidR="00BA7911">
        <w:t>-4213</w:t>
      </w:r>
    </w:p>
    <w:p w:rsidR="00C743BC" w:rsidP="005B07AE">
      <w:pPr>
        <w:ind w:left="4320"/>
      </w:pPr>
      <w:r w:rsidRPr="00C743BC">
        <w:t>Telephone [</w:t>
      </w:r>
      <w:r w:rsidR="00042E80">
        <w:t>Etter</w:t>
      </w:r>
      <w:r w:rsidRPr="00C743BC">
        <w:t xml:space="preserve">]: </w:t>
      </w:r>
      <w:r w:rsidR="00042E80">
        <w:t>(614) 466-7964</w:t>
      </w:r>
    </w:p>
    <w:p w:rsidR="00104D9A" w:rsidRPr="00C743BC" w:rsidP="005B07AE">
      <w:pPr>
        <w:ind w:left="4320"/>
      </w:pPr>
      <w:r>
        <w:t>Telephone [</w:t>
      </w:r>
      <w:r w:rsidR="00042E80">
        <w:t>O’Brien</w:t>
      </w:r>
      <w:r>
        <w:t>]: (614) 466-</w:t>
      </w:r>
      <w:r w:rsidR="00042E80">
        <w:t>9575</w:t>
      </w:r>
    </w:p>
    <w:p w:rsidR="00C743BC" w:rsidRPr="00BA7911" w:rsidP="005B07AE">
      <w:pPr>
        <w:ind w:left="4320"/>
      </w:pPr>
      <w:r w:rsidRPr="00BA7911">
        <w:t>terry.etter</w:t>
      </w:r>
      <w:r w:rsidRPr="00BA7911" w:rsidR="00C14379">
        <w:t xml:space="preserve">@occ.ohio.gov </w:t>
      </w:r>
    </w:p>
    <w:p w:rsidR="005B07AE" w:rsidRPr="00BA7911" w:rsidP="005B07AE">
      <w:pPr>
        <w:ind w:left="4320"/>
      </w:pPr>
      <w:r w:rsidRPr="00BA7911" w:rsidR="00BA7911">
        <w:rPr>
          <w:rStyle w:val="DefaultParagraphFont"/>
          <w:color w:val="auto"/>
          <w:u w:val="none"/>
        </w:rPr>
        <w:t>amy.botschner.obrien@occ.ohio.gov</w:t>
      </w:r>
    </w:p>
    <w:p w:rsidR="00C743BC" w:rsidRPr="00BA7911" w:rsidP="005B07AE">
      <w:pPr>
        <w:ind w:left="4320"/>
      </w:pPr>
      <w:r w:rsidRPr="00BA7911">
        <w:t>(will accept service via email)</w:t>
      </w:r>
    </w:p>
    <w:p w:rsidR="00BA7911" w:rsidP="00C743BC">
      <w:pPr>
        <w:ind w:left="1440" w:firstLine="720"/>
        <w:rPr>
          <w:b/>
          <w:bCs/>
          <w:szCs w:val="24"/>
          <w:u w:val="single"/>
        </w:rPr>
        <w:sectPr w:rsidSect="00BA7911">
          <w:footerReference w:type="first" r:id="rId7"/>
          <w:pgSz w:w="12240" w:h="15840"/>
          <w:pgMar w:top="1440" w:right="1800" w:bottom="1440" w:left="1800" w:header="720" w:footer="720" w:gutter="0"/>
          <w:cols w:space="720"/>
          <w:titlePg/>
          <w:docGrid w:linePitch="65"/>
        </w:sectPr>
      </w:pPr>
    </w:p>
    <w:p w:rsidR="000F18EF" w:rsidRPr="000F18EF" w:rsidP="00C743BC">
      <w:pPr>
        <w:ind w:left="1440" w:firstLine="720"/>
        <w:rPr>
          <w:b/>
          <w:bCs/>
          <w:szCs w:val="24"/>
          <w:u w:val="single"/>
        </w:rPr>
      </w:pPr>
      <w:r w:rsidRPr="000F18EF">
        <w:rPr>
          <w:b/>
          <w:bCs/>
          <w:szCs w:val="24"/>
          <w:u w:val="single"/>
        </w:rPr>
        <w:t>CERTIFICATE OF SERVICE</w:t>
      </w:r>
    </w:p>
    <w:p w:rsidR="000F18EF" w:rsidRPr="000F18EF" w:rsidP="000F18EF">
      <w:pPr>
        <w:spacing w:line="480" w:lineRule="atLeast"/>
        <w:ind w:firstLine="720"/>
        <w:rPr>
          <w:szCs w:val="24"/>
        </w:rPr>
      </w:pPr>
      <w:r w:rsidRPr="000F18EF">
        <w:rPr>
          <w:szCs w:val="24"/>
        </w:rPr>
        <w:t xml:space="preserve">I hereby certify that a copy of these Comments was served on the persons stated below via electronic transmission, this </w:t>
      </w:r>
      <w:r>
        <w:rPr>
          <w:szCs w:val="24"/>
        </w:rPr>
        <w:t>2</w:t>
      </w:r>
      <w:r w:rsidR="00684618">
        <w:rPr>
          <w:szCs w:val="24"/>
        </w:rPr>
        <w:t>6</w:t>
      </w:r>
      <w:r w:rsidR="005B07AE">
        <w:rPr>
          <w:szCs w:val="24"/>
        </w:rPr>
        <w:t>th</w:t>
      </w:r>
      <w:r>
        <w:rPr>
          <w:szCs w:val="24"/>
        </w:rPr>
        <w:t xml:space="preserve"> day of </w:t>
      </w:r>
      <w:r w:rsidR="00684618">
        <w:rPr>
          <w:szCs w:val="24"/>
        </w:rPr>
        <w:t xml:space="preserve">October </w:t>
      </w:r>
      <w:r w:rsidRPr="000F18EF">
        <w:rPr>
          <w:szCs w:val="24"/>
        </w:rPr>
        <w:t>201</w:t>
      </w:r>
      <w:r w:rsidR="00684618">
        <w:rPr>
          <w:szCs w:val="24"/>
        </w:rPr>
        <w:t>8</w:t>
      </w:r>
      <w:r w:rsidRPr="000F18EF">
        <w:rPr>
          <w:szCs w:val="24"/>
        </w:rPr>
        <w:t>.</w:t>
      </w:r>
    </w:p>
    <w:p w:rsidR="000F18EF" w:rsidRPr="000F18EF" w:rsidP="000F18EF">
      <w:pPr>
        <w:spacing w:line="480" w:lineRule="atLeast"/>
        <w:rPr>
          <w:szCs w:val="24"/>
        </w:rPr>
      </w:pPr>
    </w:p>
    <w:p w:rsidR="000F18EF" w:rsidRPr="000F18EF" w:rsidP="000F18EF">
      <w:pPr>
        <w:tabs>
          <w:tab w:val="left" w:pos="4320"/>
        </w:tabs>
        <w:rPr>
          <w:szCs w:val="24"/>
          <w:u w:val="single"/>
        </w:rPr>
      </w:pPr>
      <w:r w:rsidRPr="000F18EF">
        <w:rPr>
          <w:szCs w:val="24"/>
        </w:rPr>
        <w:tab/>
      </w:r>
      <w:r w:rsidRPr="000F18EF">
        <w:rPr>
          <w:i/>
          <w:szCs w:val="24"/>
          <w:u w:val="single"/>
        </w:rPr>
        <w:t>/s/</w:t>
      </w:r>
      <w:r w:rsidRPr="000F18EF">
        <w:rPr>
          <w:szCs w:val="24"/>
          <w:u w:val="single"/>
        </w:rPr>
        <w:t> </w:t>
      </w:r>
      <w:r w:rsidR="005B07AE">
        <w:rPr>
          <w:i/>
          <w:szCs w:val="24"/>
          <w:u w:val="single"/>
        </w:rPr>
        <w:t>Amy Botschner-O’Brien</w:t>
      </w:r>
      <w:r w:rsidR="00BA7911">
        <w:rPr>
          <w:szCs w:val="24"/>
          <w:u w:val="single"/>
        </w:rPr>
        <w:t>     </w:t>
      </w:r>
      <w:r w:rsidRPr="000F18EF">
        <w:rPr>
          <w:szCs w:val="24"/>
          <w:u w:val="single"/>
        </w:rPr>
        <w:t> </w:t>
      </w:r>
    </w:p>
    <w:p w:rsidR="00C743BC" w:rsidP="000F18EF">
      <w:pPr>
        <w:tabs>
          <w:tab w:val="left" w:pos="4320"/>
        </w:tabs>
        <w:ind w:left="4320"/>
        <w:rPr>
          <w:szCs w:val="24"/>
        </w:rPr>
      </w:pPr>
      <w:r>
        <w:rPr>
          <w:szCs w:val="24"/>
        </w:rPr>
        <w:t>Amy Botschner-O’Brien</w:t>
      </w:r>
    </w:p>
    <w:p w:rsidR="000F18EF" w:rsidRPr="000F18EF" w:rsidP="000F18EF">
      <w:pPr>
        <w:tabs>
          <w:tab w:val="left" w:pos="4320"/>
        </w:tabs>
        <w:ind w:left="4320"/>
        <w:rPr>
          <w:szCs w:val="24"/>
        </w:rPr>
      </w:pPr>
      <w:r w:rsidRPr="000F18EF">
        <w:rPr>
          <w:szCs w:val="24"/>
        </w:rPr>
        <w:t>Assistant Consumers’ Counsel</w:t>
      </w:r>
    </w:p>
    <w:p w:rsidR="000F18EF" w:rsidRPr="000F18EF" w:rsidP="000F18EF"/>
    <w:p w:rsidR="000F18EF" w:rsidRPr="000F18EF" w:rsidP="000F18EF">
      <w:pPr>
        <w:rPr>
          <w:szCs w:val="24"/>
        </w:rPr>
      </w:pPr>
    </w:p>
    <w:p w:rsidR="000F18EF" w:rsidRPr="000F18EF" w:rsidP="000F18EF">
      <w:pPr>
        <w:jc w:val="center"/>
        <w:rPr>
          <w:b/>
          <w:szCs w:val="24"/>
          <w:u w:val="single"/>
        </w:rPr>
      </w:pPr>
      <w:r w:rsidRPr="000F18EF">
        <w:rPr>
          <w:b/>
          <w:szCs w:val="24"/>
          <w:u w:val="single"/>
        </w:rPr>
        <w:t>SERVICE LIST</w:t>
      </w:r>
    </w:p>
    <w:p w:rsidR="000F18EF" w:rsidRPr="000F18EF" w:rsidP="000F18EF">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7B67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7B6756" w:rsidP="007B6756">
            <w:pPr>
              <w:rPr>
                <w:szCs w:val="24"/>
              </w:rPr>
            </w:pPr>
            <w:r w:rsidRPr="002F27AE">
              <w:rPr>
                <w:szCs w:val="24"/>
              </w:rPr>
              <w:t>William.wright@ohioattorneygeneral.gov</w:t>
            </w:r>
            <w:r>
              <w:rPr>
                <w:szCs w:val="24"/>
              </w:rPr>
              <w:t xml:space="preserve"> </w:t>
            </w:r>
          </w:p>
          <w:p w:rsidR="007B6756" w:rsidP="007B6756">
            <w:pPr>
              <w:rPr>
                <w:szCs w:val="24"/>
              </w:rPr>
            </w:pPr>
            <w:r w:rsidRPr="002F27AE">
              <w:rPr>
                <w:szCs w:val="24"/>
              </w:rPr>
              <w:t>cmmoney@ohiopartners.org</w:t>
            </w:r>
            <w:r>
              <w:rPr>
                <w:szCs w:val="24"/>
              </w:rPr>
              <w:t xml:space="preserve"> </w:t>
            </w:r>
          </w:p>
          <w:p w:rsidR="007B6756" w:rsidP="007B6756">
            <w:pPr>
              <w:rPr>
                <w:szCs w:val="24"/>
              </w:rPr>
            </w:pPr>
          </w:p>
          <w:p w:rsidR="007B6756" w:rsidP="007B6756">
            <w:pPr>
              <w:rPr>
                <w:szCs w:val="24"/>
              </w:rPr>
            </w:pPr>
            <w:r>
              <w:rPr>
                <w:szCs w:val="24"/>
              </w:rPr>
              <w:t>Attorney Examiner:</w:t>
            </w:r>
          </w:p>
          <w:p w:rsidR="007B6756" w:rsidP="007B6756">
            <w:pPr>
              <w:rPr>
                <w:szCs w:val="24"/>
              </w:rPr>
            </w:pPr>
            <w:r w:rsidRPr="002F27AE">
              <w:rPr>
                <w:szCs w:val="24"/>
              </w:rPr>
              <w:t>Kerry.sheets@puc.state.oh.us</w:t>
            </w:r>
            <w:r>
              <w:rPr>
                <w:szCs w:val="24"/>
              </w:rPr>
              <w:t xml:space="preserve"> </w:t>
            </w:r>
          </w:p>
        </w:tc>
        <w:tc>
          <w:tcPr>
            <w:tcW w:w="4315" w:type="dxa"/>
          </w:tcPr>
          <w:p w:rsidR="007B6756" w:rsidP="007B6756">
            <w:pPr>
              <w:rPr>
                <w:szCs w:val="24"/>
              </w:rPr>
            </w:pPr>
            <w:r>
              <w:rPr>
                <w:szCs w:val="24"/>
              </w:rPr>
              <w:t>Rocco.dascenzo</w:t>
            </w:r>
            <w:r w:rsidRPr="002F27AE" w:rsidR="00C14379">
              <w:rPr>
                <w:szCs w:val="24"/>
              </w:rPr>
              <w:t>@duke-energy.com</w:t>
            </w:r>
            <w:r w:rsidR="00C14379">
              <w:rPr>
                <w:szCs w:val="24"/>
              </w:rPr>
              <w:t xml:space="preserve"> </w:t>
            </w:r>
          </w:p>
          <w:p w:rsidR="007B6756" w:rsidP="007B6756">
            <w:pPr>
              <w:rPr>
                <w:szCs w:val="24"/>
              </w:rPr>
            </w:pPr>
            <w:r w:rsidRPr="002F27AE">
              <w:rPr>
                <w:szCs w:val="24"/>
              </w:rPr>
              <w:t>Elizabeth.watts@duke-energy.com</w:t>
            </w:r>
            <w:r>
              <w:rPr>
                <w:szCs w:val="24"/>
              </w:rPr>
              <w:t xml:space="preserve"> </w:t>
            </w:r>
          </w:p>
        </w:tc>
      </w:tr>
    </w:tbl>
    <w:p w:rsidR="000F18EF" w:rsidRPr="000F18EF" w:rsidP="003547B0">
      <w:pPr>
        <w:spacing w:line="480" w:lineRule="auto"/>
        <w:rPr>
          <w:szCs w:val="24"/>
        </w:rPr>
      </w:pPr>
    </w:p>
    <w:sectPr>
      <w:footerReference w:type="first" r:id="rId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195" w:rsidRPr="00D55801">
    <w:pPr>
      <w:pStyle w:val="Footer"/>
      <w:framePr w:wrap="around" w:vAnchor="text" w:hAnchor="margin" w:xAlign="center" w:y="1"/>
      <w:jc w:val="center"/>
      <w:rPr>
        <w:rStyle w:val="PageNumber"/>
        <w:sz w:val="24"/>
        <w:szCs w:val="24"/>
      </w:rPr>
    </w:pPr>
    <w:r w:rsidRPr="00D55801">
      <w:rPr>
        <w:rStyle w:val="PageNumber"/>
        <w:sz w:val="24"/>
        <w:szCs w:val="24"/>
      </w:rPr>
      <w:fldChar w:fldCharType="begin"/>
    </w:r>
    <w:r w:rsidRPr="00D55801">
      <w:rPr>
        <w:rStyle w:val="PageNumber"/>
        <w:sz w:val="24"/>
        <w:szCs w:val="24"/>
      </w:rPr>
      <w:instrText xml:space="preserve">PAGE  </w:instrText>
    </w:r>
    <w:r w:rsidRPr="00D55801">
      <w:rPr>
        <w:rStyle w:val="PageNumber"/>
        <w:sz w:val="24"/>
        <w:szCs w:val="24"/>
      </w:rPr>
      <w:fldChar w:fldCharType="separate"/>
    </w:r>
    <w:r w:rsidRPr="00D55801">
      <w:rPr>
        <w:rStyle w:val="PageNumber"/>
        <w:sz w:val="24"/>
        <w:szCs w:val="24"/>
      </w:rPr>
      <w:t>3</w:t>
    </w:r>
    <w:r w:rsidRPr="00D55801">
      <w:rPr>
        <w:rStyle w:val="PageNumber"/>
        <w:sz w:val="24"/>
        <w:szCs w:val="24"/>
      </w:rPr>
      <w:fldChar w:fldCharType="end"/>
    </w:r>
  </w:p>
  <w:p w:rsidR="006B7195" w:rsidRPr="00D55801">
    <w:pPr>
      <w:pStyle w:val="Footer"/>
      <w:framePr w:wrap="around" w:vAnchor="text" w:hAnchor="margin" w:xAlign="center" w:y="1"/>
      <w:rPr>
        <w:rStyle w:val="PageNumber"/>
      </w:rPr>
    </w:pPr>
  </w:p>
  <w:p w:rsidR="006B7195" w:rsidRPr="00D55801" w:rsidP="00BA7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911" w:rsidRPr="00BA7911">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8032119"/>
      <w:docPartObj>
        <w:docPartGallery w:val="Page Numbers (Bottom of Page)"/>
        <w:docPartUnique/>
      </w:docPartObj>
    </w:sdtPr>
    <w:sdtEndPr>
      <w:rPr>
        <w:noProof/>
        <w:sz w:val="24"/>
        <w:szCs w:val="24"/>
      </w:rPr>
    </w:sdtEndPr>
    <w:sdtContent>
      <w:p w:rsidR="00BA7911" w:rsidRPr="00BA7911">
        <w:pPr>
          <w:pStyle w:val="Footer"/>
          <w:jc w:val="center"/>
          <w:rPr>
            <w:sz w:val="24"/>
            <w:szCs w:val="24"/>
          </w:rPr>
        </w:pPr>
        <w:r w:rsidRPr="00BA7911">
          <w:rPr>
            <w:sz w:val="24"/>
            <w:szCs w:val="24"/>
          </w:rPr>
          <w:fldChar w:fldCharType="begin"/>
        </w:r>
        <w:r w:rsidRPr="00BA7911">
          <w:rPr>
            <w:sz w:val="24"/>
            <w:szCs w:val="24"/>
          </w:rPr>
          <w:instrText xml:space="preserve"> PAGE   \* MERGEFORMAT </w:instrText>
        </w:r>
        <w:r w:rsidRPr="00BA7911">
          <w:rPr>
            <w:sz w:val="24"/>
            <w:szCs w:val="24"/>
          </w:rPr>
          <w:fldChar w:fldCharType="separate"/>
        </w:r>
        <w:r w:rsidRPr="00BA7911">
          <w:rPr>
            <w:noProof/>
            <w:sz w:val="24"/>
            <w:szCs w:val="24"/>
          </w:rPr>
          <w:t>2</w:t>
        </w:r>
        <w:r w:rsidRPr="00BA7911">
          <w:rPr>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911" w:rsidRPr="00BA7911">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68D7">
      <w:r>
        <w:separator/>
      </w:r>
    </w:p>
  </w:footnote>
  <w:footnote w:type="continuationSeparator" w:id="1">
    <w:p w:rsidR="00FD68D7">
      <w:r>
        <w:continuationSeparator/>
      </w:r>
    </w:p>
  </w:footnote>
  <w:footnote w:type="continuationNotice" w:id="2">
    <w:p w:rsidR="00FD68D7"/>
  </w:footnote>
  <w:footnote w:id="3">
    <w:p w:rsidR="00104D9A" w:rsidRPr="00BA7911" w:rsidP="00BA7911">
      <w:pPr>
        <w:pStyle w:val="FootnoteText"/>
        <w:spacing w:before="0" w:after="120"/>
      </w:pPr>
      <w:r w:rsidRPr="00BA7911">
        <w:rPr>
          <w:rStyle w:val="FootnoteReference"/>
        </w:rPr>
        <w:footnoteRef/>
      </w:r>
      <w:r w:rsidRPr="00BA7911">
        <w:t xml:space="preserve"> Application </w:t>
      </w:r>
      <w:r w:rsidRPr="00BA7911" w:rsidR="00684618">
        <w:t>June 29, 2018</w:t>
      </w:r>
      <w:r w:rsidRPr="00BA7911">
        <w:t>.</w:t>
      </w:r>
    </w:p>
  </w:footnote>
  <w:footnote w:id="4">
    <w:p w:rsidR="00654B49" w:rsidRPr="00BA7911" w:rsidP="00BA7911">
      <w:pPr>
        <w:pStyle w:val="FootnoteText"/>
        <w:spacing w:before="0" w:after="120"/>
        <w:rPr>
          <w:u w:val="single"/>
        </w:rPr>
      </w:pPr>
      <w:r w:rsidRPr="00BA7911">
        <w:rPr>
          <w:rStyle w:val="FootnoteReference"/>
        </w:rPr>
        <w:footnoteRef/>
      </w:r>
      <w:r w:rsidRPr="00BA7911">
        <w:t xml:space="preserve"> In Case 10-2326-GE-RDR, Staff was to determine when the SmartGrid deployment was completed so as to trigger Duke to file an electric distribution rate case within 12 months. Staff filed a Notice of Staff Determination on October 22, 2015 stating that deployment was complete. The 2017 expenses in Rider AU are primarily depreciation, taxes, PISCC and incremental communication type expenses, and IT that are associated with the node system.</w:t>
      </w:r>
    </w:p>
  </w:footnote>
  <w:footnote w:id="5">
    <w:p w:rsidR="00104D9A" w:rsidRPr="00BA7911" w:rsidP="00BA7911">
      <w:pPr>
        <w:pStyle w:val="FootnoteText"/>
        <w:spacing w:before="0" w:after="120"/>
      </w:pPr>
      <w:r w:rsidRPr="00BA7911">
        <w:rPr>
          <w:rStyle w:val="FootnoteReference"/>
        </w:rPr>
        <w:footnoteRef/>
      </w:r>
      <w:r w:rsidRPr="00BA7911">
        <w:t xml:space="preserve"> </w:t>
      </w:r>
      <w:r w:rsidRPr="00BA7911" w:rsidR="00684618">
        <w:t>Lawler</w:t>
      </w:r>
      <w:r w:rsidRPr="00BA7911">
        <w:t xml:space="preserve"> testimony at Att. </w:t>
      </w:r>
      <w:r w:rsidRPr="00BA7911" w:rsidR="00684618">
        <w:t>SE</w:t>
      </w:r>
      <w:r w:rsidRPr="00BA7911">
        <w:t xml:space="preserve">L-1, page </w:t>
      </w:r>
      <w:r w:rsidRPr="00BA7911" w:rsidR="00684618">
        <w:t>2</w:t>
      </w:r>
      <w:r w:rsidRPr="00BA7911">
        <w:t>1.</w:t>
      </w:r>
    </w:p>
  </w:footnote>
  <w:footnote w:id="6">
    <w:p w:rsidR="0046494F" w:rsidRPr="00BA7911" w:rsidP="00BA7911">
      <w:pPr>
        <w:pStyle w:val="FootnoteText"/>
        <w:spacing w:before="0" w:after="120"/>
      </w:pPr>
      <w:r w:rsidRPr="00BA7911">
        <w:rPr>
          <w:rStyle w:val="FootnoteReference"/>
        </w:rPr>
        <w:footnoteRef/>
      </w:r>
      <w:r w:rsidRPr="00BA7911">
        <w:t xml:space="preserve"> $28 million represents the total of the revenue requirements from each </w:t>
      </w:r>
      <w:r w:rsidRPr="00BA7911" w:rsidR="00D73F29">
        <w:t xml:space="preserve">Rider AU </w:t>
      </w:r>
      <w:r w:rsidRPr="00BA7911">
        <w:t xml:space="preserve">yearly application filing from the years 2010-2018. </w:t>
      </w:r>
    </w:p>
  </w:footnote>
  <w:footnote w:id="7">
    <w:p w:rsidR="00E76981" w:rsidRPr="00BA7911" w:rsidP="00BA7911">
      <w:pPr>
        <w:pStyle w:val="FootnoteText"/>
        <w:spacing w:before="0" w:after="120"/>
      </w:pPr>
      <w:r w:rsidRPr="00BA7911">
        <w:rPr>
          <w:rStyle w:val="FootnoteReference"/>
        </w:rPr>
        <w:footnoteRef/>
      </w:r>
      <w:r w:rsidRPr="00BA7911">
        <w:t xml:space="preserve">  Comments of the Office of the Ohio Consumers’ Counsel, </w:t>
      </w:r>
      <w:r w:rsidRPr="00BA7911" w:rsidR="00AE2467">
        <w:t>Case No. 17-0690</w:t>
      </w:r>
      <w:r w:rsidRPr="00BA7911" w:rsidR="00A574CF">
        <w:t>-GA-RDR</w:t>
      </w:r>
      <w:r w:rsidRPr="00BA7911" w:rsidR="00AE2467">
        <w:t xml:space="preserve">, </w:t>
      </w:r>
      <w:r w:rsidRPr="00BA7911">
        <w:t xml:space="preserve">July 21,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97268B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C02"/>
    <w:multiLevelType w:val="hybridMultilevel"/>
    <w:tmpl w:val="68AC1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861E96"/>
    <w:multiLevelType w:val="hybridMultilevel"/>
    <w:tmpl w:val="1EB457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107C68"/>
    <w:multiLevelType w:val="hybridMultilevel"/>
    <w:tmpl w:val="32847FF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0A6962"/>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D9F07D3"/>
    <w:multiLevelType w:val="hybridMultilevel"/>
    <w:tmpl w:val="EF483A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DE36EB"/>
    <w:multiLevelType w:val="hybridMultilevel"/>
    <w:tmpl w:val="35FC76C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41905F4"/>
    <w:multiLevelType w:val="hybridMultilevel"/>
    <w:tmpl w:val="D5F49500"/>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97C2BDD"/>
    <w:multiLevelType w:val="hybridMultilevel"/>
    <w:tmpl w:val="5C1E82B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DD74DD0"/>
    <w:multiLevelType w:val="hybridMultilevel"/>
    <w:tmpl w:val="7C30C3E8"/>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E593936"/>
    <w:multiLevelType w:val="hybridMultilevel"/>
    <w:tmpl w:val="0246734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DA58BD"/>
    <w:multiLevelType w:val="hybridMultilevel"/>
    <w:tmpl w:val="A91E72A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1922FD"/>
    <w:multiLevelType w:val="hybridMultilevel"/>
    <w:tmpl w:val="0B28715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20550B0"/>
    <w:multiLevelType w:val="hybridMultilevel"/>
    <w:tmpl w:val="89EA52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E2C7CE8"/>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6"/>
  </w:num>
  <w:num w:numId="2">
    <w:abstractNumId w:val="15"/>
  </w:num>
  <w:num w:numId="3">
    <w:abstractNumId w:val="19"/>
  </w:num>
  <w:num w:numId="4">
    <w:abstractNumId w:val="18"/>
  </w:num>
  <w:num w:numId="5">
    <w:abstractNumId w:val="3"/>
  </w:num>
  <w:num w:numId="6">
    <w:abstractNumId w:val="20"/>
  </w:num>
  <w:num w:numId="7">
    <w:abstractNumId w:val="12"/>
  </w:num>
  <w:num w:numId="8">
    <w:abstractNumId w:val="2"/>
  </w:num>
  <w:num w:numId="9">
    <w:abstractNumId w:val="13"/>
  </w:num>
  <w:num w:numId="10">
    <w:abstractNumId w:val="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
  </w:num>
  <w:num w:numId="16">
    <w:abstractNumId w:val="6"/>
  </w:num>
  <w:num w:numId="17">
    <w:abstractNumId w:val="9"/>
  </w:num>
  <w:num w:numId="18">
    <w:abstractNumId w:val="14"/>
  </w:num>
  <w:num w:numId="19">
    <w:abstractNumId w:val="7"/>
  </w:num>
  <w:num w:numId="20">
    <w:abstractNumId w:val="1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BA7911"/>
    <w:pPr>
      <w:keepNext/>
      <w:spacing w:after="240"/>
      <w:outlineLvl w:val="0"/>
    </w:pPr>
    <w:rPr>
      <w:b/>
      <w:bCs/>
      <w:caps/>
      <w:szCs w:val="24"/>
    </w:rPr>
  </w:style>
  <w:style w:type="paragraph" w:styleId="Heading2">
    <w:name w:val="heading 2"/>
    <w:basedOn w:val="Normal"/>
    <w:next w:val="Normal"/>
    <w:autoRedefine/>
    <w:qFormat/>
    <w:rsid w:val="00383A45"/>
    <w:pPr>
      <w:keepNext/>
      <w:numPr>
        <w:numId w:val="21"/>
      </w:numPr>
      <w:spacing w:after="240"/>
      <w:ind w:left="1440" w:right="720" w:hanging="720"/>
      <w:outlineLvl w:val="1"/>
    </w:pPr>
    <w:rPr>
      <w:b/>
    </w:rPr>
  </w:style>
  <w:style w:type="paragraph" w:styleId="Heading3">
    <w:name w:val="heading 3"/>
    <w:basedOn w:val="Normal"/>
    <w:next w:val="Normal"/>
    <w:autoRedefine/>
    <w:qFormat/>
    <w:rsid w:val="00383A45"/>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n"/>
    <w:basedOn w:val="Normal"/>
    <w:link w:val="FootnoteTextChar"/>
    <w:uiPriority w:val="99"/>
    <w:rsid w:val="00DA7746"/>
    <w:pPr>
      <w:spacing w:before="120"/>
    </w:pPr>
    <w:rPr>
      <w:sz w:val="20"/>
    </w:rPr>
  </w:style>
  <w:style w:type="character" w:styleId="FootnoteReference">
    <w:name w:val="footnote reference"/>
    <w:aliases w:val="(NECG) Footnote Reference,Appel note de bas de p,Style 12,Style 124,Style 13,Style 3,fr,o"/>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ALTS FOOTNOTE Char,Footnote Text Char Char Char Char Char1,Footnote Text Char Char Char1,Footnote Text Char1 Char Char1 Char Char Char Char1,Footnote Text Char1 Char Char1 Char1,Footnote Text Char1 Char1,fn Char1"/>
    <w:link w:val="FootnoteText"/>
    <w:uiPriority w:val="99"/>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BA7911"/>
    <w:rPr>
      <w:b/>
      <w:bCs/>
      <w:caps/>
      <w:sz w:val="24"/>
      <w:szCs w:val="24"/>
    </w:rPr>
  </w:style>
  <w:style w:type="character" w:customStyle="1" w:styleId="FooterChar">
    <w:name w:val="Footer Char"/>
    <w:link w:val="Footer"/>
    <w:uiPriority w:val="99"/>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 w:type="character" w:customStyle="1" w:styleId="HTMLPreformattedChar">
    <w:name w:val="HTML Preformatted Char"/>
    <w:basedOn w:val="DefaultParagraphFont"/>
    <w:link w:val="HTMLPreformatted"/>
    <w:rsid w:val="00D62B78"/>
    <w:rPr>
      <w:rFonts w:ascii="Courier New" w:eastAsia="Courier New" w:hAnsi="Courier New" w:cs="Courier New"/>
    </w:rPr>
  </w:style>
  <w:style w:type="character" w:customStyle="1" w:styleId="ssleftalign">
    <w:name w:val="ss_leftalign"/>
    <w:basedOn w:val="DefaultParagraphFont"/>
    <w:rsid w:val="000A7B09"/>
  </w:style>
  <w:style w:type="character" w:customStyle="1" w:styleId="sssh">
    <w:name w:val="ss_sh"/>
    <w:basedOn w:val="DefaultParagraphFont"/>
    <w:rsid w:val="000A7B09"/>
  </w:style>
  <w:style w:type="character" w:customStyle="1" w:styleId="Mention1">
    <w:name w:val="Mention1"/>
    <w:basedOn w:val="DefaultParagraphFont"/>
    <w:rsid w:val="00104D9A"/>
    <w:rPr>
      <w:color w:val="2B579A"/>
      <w:shd w:val="clear" w:color="auto" w:fill="E6E6E6"/>
    </w:rPr>
  </w:style>
  <w:style w:type="character" w:customStyle="1" w:styleId="UnresolvedMention">
    <w:name w:val="Unresolved Mention"/>
    <w:basedOn w:val="DefaultParagraphFont"/>
    <w:uiPriority w:val="99"/>
    <w:semiHidden/>
    <w:unhideWhenUsed/>
    <w:rsid w:val="005B07AE"/>
    <w:rPr>
      <w:color w:val="605E5C"/>
      <w:shd w:val="clear" w:color="auto" w:fill="E1DFDD"/>
    </w:rPr>
  </w:style>
  <w:style w:type="paragraph" w:styleId="Revision">
    <w:name w:val="Revision"/>
    <w:hidden/>
    <w:uiPriority w:val="99"/>
    <w:semiHidden/>
    <w:rsid w:val="00145A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Duke Rider AU Final mgmt edits 18-0837  (00061530.DOCX;1)</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2018-10-26T20:57:49Z</dcterms:created>
  <dcterms:modified xsi:type="dcterms:W3CDTF">2018-10-26T20:57:49Z</dcterms:modified>
</cp:coreProperties>
</file>