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76" w:rsidRPr="00710E80" w:rsidRDefault="007C2976" w:rsidP="007C2976">
      <w:pPr>
        <w:pStyle w:val="HTMLPreformatted"/>
        <w:jc w:val="center"/>
        <w:rPr>
          <w:rFonts w:ascii="Times New Roman" w:hAnsi="Times New Roman" w:cs="Times New Roman"/>
          <w:b/>
          <w:bCs/>
          <w:sz w:val="24"/>
        </w:rPr>
      </w:pPr>
      <w:bookmarkStart w:id="0" w:name="_GoBack"/>
      <w:bookmarkEnd w:id="0"/>
      <w:r w:rsidRPr="00710E80">
        <w:rPr>
          <w:rFonts w:ascii="Times New Roman" w:hAnsi="Times New Roman" w:cs="Times New Roman"/>
          <w:b/>
          <w:bCs/>
          <w:sz w:val="24"/>
        </w:rPr>
        <w:t>BEFORE</w:t>
      </w:r>
    </w:p>
    <w:p w:rsidR="007C2976" w:rsidRPr="00710E80" w:rsidRDefault="007C2976" w:rsidP="007C2976">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7C2976" w:rsidRPr="00710E80" w:rsidRDefault="007C2976" w:rsidP="007C2976">
      <w:pPr>
        <w:pStyle w:val="HTMLPreformatted"/>
        <w:rPr>
          <w:rFonts w:ascii="Times New Roman" w:hAnsi="Times New Roman" w:cs="Times New Roman"/>
          <w:sz w:val="24"/>
        </w:rPr>
      </w:pPr>
    </w:p>
    <w:tbl>
      <w:tblPr>
        <w:tblW w:w="9092" w:type="dxa"/>
        <w:tblLook w:val="01E0" w:firstRow="1" w:lastRow="1" w:firstColumn="1" w:lastColumn="1" w:noHBand="0" w:noVBand="0"/>
      </w:tblPr>
      <w:tblGrid>
        <w:gridCol w:w="4332"/>
        <w:gridCol w:w="360"/>
        <w:gridCol w:w="4400"/>
      </w:tblGrid>
      <w:tr w:rsidR="007C2976" w:rsidRPr="00710E80" w:rsidTr="00C30244">
        <w:trPr>
          <w:trHeight w:val="807"/>
        </w:trPr>
        <w:tc>
          <w:tcPr>
            <w:tcW w:w="4332" w:type="dxa"/>
            <w:shd w:val="clear" w:color="auto" w:fill="auto"/>
          </w:tcPr>
          <w:p w:rsidR="007C2976" w:rsidRPr="00710E80" w:rsidRDefault="007C2976" w:rsidP="0089240E">
            <w:pPr>
              <w:autoSpaceDE w:val="0"/>
              <w:autoSpaceDN w:val="0"/>
              <w:adjustRightInd w:val="0"/>
            </w:pPr>
            <w:r w:rsidRPr="00710E80">
              <w:t xml:space="preserve">In the Matter of </w:t>
            </w:r>
            <w:r w:rsidR="00A63355" w:rsidRPr="00710E80">
              <w:t xml:space="preserve">the Application of </w:t>
            </w:r>
            <w:r w:rsidR="004E0620">
              <w:t xml:space="preserve">Columbia Gas of Ohio, Inc. for </w:t>
            </w:r>
            <w:r w:rsidR="0089240E">
              <w:t>a Waiver of Ohio Administrative Code Section 4901:1-13-11(B)</w:t>
            </w:r>
          </w:p>
        </w:tc>
        <w:tc>
          <w:tcPr>
            <w:tcW w:w="360" w:type="dxa"/>
            <w:shd w:val="clear" w:color="auto" w:fill="auto"/>
          </w:tcPr>
          <w:p w:rsidR="007C2976" w:rsidRPr="00710E80" w:rsidRDefault="007C2976" w:rsidP="00C31A75">
            <w:pPr>
              <w:pStyle w:val="HTMLPreformatted"/>
              <w:rPr>
                <w:rFonts w:ascii="Times New Roman" w:hAnsi="Times New Roman" w:cs="Times New Roman"/>
                <w:sz w:val="24"/>
              </w:rPr>
            </w:pPr>
            <w:r w:rsidRPr="00710E80">
              <w:rPr>
                <w:rFonts w:ascii="Times New Roman" w:hAnsi="Times New Roman" w:cs="Times New Roman"/>
                <w:sz w:val="24"/>
              </w:rPr>
              <w:t>)</w:t>
            </w:r>
          </w:p>
          <w:p w:rsidR="007C2976" w:rsidRPr="00710E80" w:rsidRDefault="007C2976" w:rsidP="00C31A75">
            <w:pPr>
              <w:pStyle w:val="HTMLPreformatted"/>
              <w:rPr>
                <w:rFonts w:ascii="Times New Roman" w:hAnsi="Times New Roman" w:cs="Times New Roman"/>
                <w:sz w:val="24"/>
              </w:rPr>
            </w:pPr>
            <w:r w:rsidRPr="00710E80">
              <w:rPr>
                <w:rFonts w:ascii="Times New Roman" w:hAnsi="Times New Roman" w:cs="Times New Roman"/>
                <w:sz w:val="24"/>
              </w:rPr>
              <w:t>)</w:t>
            </w:r>
          </w:p>
          <w:p w:rsidR="007C2976" w:rsidRPr="00710E80" w:rsidRDefault="007C2976" w:rsidP="00C31A75">
            <w:pPr>
              <w:pStyle w:val="HTMLPreformatted"/>
              <w:rPr>
                <w:rFonts w:ascii="Times New Roman" w:hAnsi="Times New Roman" w:cs="Times New Roman"/>
                <w:sz w:val="24"/>
              </w:rPr>
            </w:pPr>
            <w:r w:rsidRPr="00710E80">
              <w:rPr>
                <w:rFonts w:ascii="Times New Roman" w:hAnsi="Times New Roman" w:cs="Times New Roman"/>
                <w:sz w:val="24"/>
              </w:rPr>
              <w:t>)</w:t>
            </w:r>
          </w:p>
        </w:tc>
        <w:tc>
          <w:tcPr>
            <w:tcW w:w="4400" w:type="dxa"/>
            <w:shd w:val="clear" w:color="auto" w:fill="auto"/>
          </w:tcPr>
          <w:p w:rsidR="007C2976" w:rsidRPr="00710E80" w:rsidRDefault="007C2976" w:rsidP="00C31A75">
            <w:pPr>
              <w:pStyle w:val="HTMLPreformatted"/>
              <w:rPr>
                <w:rFonts w:ascii="Times New Roman" w:hAnsi="Times New Roman" w:cs="Times New Roman"/>
                <w:sz w:val="24"/>
              </w:rPr>
            </w:pPr>
          </w:p>
          <w:p w:rsidR="007C2976" w:rsidRPr="00710E80" w:rsidRDefault="007C2976" w:rsidP="00C31A75">
            <w:pPr>
              <w:rPr>
                <w:i/>
              </w:rPr>
            </w:pPr>
            <w:r w:rsidRPr="00710E80">
              <w:t xml:space="preserve">Case No. </w:t>
            </w:r>
            <w:r w:rsidR="0089240E">
              <w:rPr>
                <w:szCs w:val="24"/>
              </w:rPr>
              <w:t>16-653</w:t>
            </w:r>
            <w:r w:rsidR="004E0620">
              <w:rPr>
                <w:szCs w:val="24"/>
              </w:rPr>
              <w:t>-GA-</w:t>
            </w:r>
            <w:r w:rsidR="00474298">
              <w:rPr>
                <w:szCs w:val="24"/>
              </w:rPr>
              <w:t>WVR</w:t>
            </w:r>
          </w:p>
          <w:p w:rsidR="007C2976" w:rsidRPr="00710E80" w:rsidRDefault="007C2976" w:rsidP="00C31A75">
            <w:pPr>
              <w:pStyle w:val="HTMLPreformatted"/>
              <w:rPr>
                <w:rFonts w:ascii="Times New Roman" w:hAnsi="Times New Roman" w:cs="Times New Roman"/>
                <w:sz w:val="24"/>
              </w:rPr>
            </w:pPr>
          </w:p>
        </w:tc>
      </w:tr>
    </w:tbl>
    <w:p w:rsidR="007C2976" w:rsidRDefault="007C2976" w:rsidP="007C2976">
      <w:pPr>
        <w:pStyle w:val="HTMLPreformatted"/>
        <w:rPr>
          <w:rFonts w:ascii="Times New Roman" w:hAnsi="Times New Roman" w:cs="Times New Roman"/>
          <w:sz w:val="24"/>
        </w:rPr>
      </w:pPr>
    </w:p>
    <w:p w:rsidR="007C2976" w:rsidRPr="00710E80" w:rsidRDefault="007C2976" w:rsidP="007C2976">
      <w:pPr>
        <w:pStyle w:val="HTMLPreformatted"/>
        <w:pBdr>
          <w:top w:val="single" w:sz="12" w:space="1" w:color="auto"/>
        </w:pBdr>
        <w:rPr>
          <w:rFonts w:ascii="Times New Roman" w:hAnsi="Times New Roman" w:cs="Times New Roman"/>
          <w:sz w:val="24"/>
        </w:rPr>
      </w:pPr>
    </w:p>
    <w:p w:rsidR="007C2976" w:rsidRPr="00710E80" w:rsidRDefault="0089240E" w:rsidP="007C2976">
      <w:pPr>
        <w:jc w:val="center"/>
        <w:rPr>
          <w:b/>
          <w:bCs/>
        </w:rPr>
      </w:pPr>
      <w:r>
        <w:rPr>
          <w:b/>
          <w:bCs/>
        </w:rPr>
        <w:t>OPPOSITION TO THE APPLICATION OF COLUMBIA GAS OF OHIO, INC.</w:t>
      </w:r>
    </w:p>
    <w:p w:rsidR="007C2976" w:rsidRPr="00710E80" w:rsidRDefault="007C2976" w:rsidP="007C2976">
      <w:pPr>
        <w:jc w:val="center"/>
        <w:rPr>
          <w:b/>
          <w:bCs/>
        </w:rPr>
      </w:pPr>
      <w:r w:rsidRPr="00710E80">
        <w:rPr>
          <w:b/>
          <w:bCs/>
        </w:rPr>
        <w:t>BY</w:t>
      </w:r>
    </w:p>
    <w:p w:rsidR="007C2976" w:rsidRPr="00710E80" w:rsidRDefault="007C2976" w:rsidP="007C2976">
      <w:pPr>
        <w:jc w:val="center"/>
        <w:rPr>
          <w:b/>
          <w:bCs/>
        </w:rPr>
      </w:pPr>
      <w:r w:rsidRPr="00710E80">
        <w:rPr>
          <w:b/>
          <w:bCs/>
        </w:rPr>
        <w:t xml:space="preserve">THE OFFICE OF THE </w:t>
      </w:r>
      <w:smartTag w:uri="urn:schemas-microsoft-com:office:smarttags" w:element="place">
        <w:smartTag w:uri="urn:schemas-microsoft-com:office:smarttags" w:element="State">
          <w:r w:rsidRPr="00710E80">
            <w:rPr>
              <w:b/>
              <w:bCs/>
            </w:rPr>
            <w:t>OHIO</w:t>
          </w:r>
        </w:smartTag>
      </w:smartTag>
      <w:r w:rsidRPr="00710E80">
        <w:rPr>
          <w:b/>
          <w:bCs/>
        </w:rPr>
        <w:t xml:space="preserve"> CONSUMERS</w:t>
      </w:r>
      <w:r w:rsidR="00575D19">
        <w:rPr>
          <w:b/>
          <w:bCs/>
        </w:rPr>
        <w:t>'</w:t>
      </w:r>
      <w:r w:rsidRPr="00710E80">
        <w:rPr>
          <w:b/>
          <w:bCs/>
        </w:rPr>
        <w:t xml:space="preserve"> COUNSEL</w:t>
      </w:r>
    </w:p>
    <w:p w:rsidR="007C2976" w:rsidRPr="00710E80" w:rsidRDefault="007C2976" w:rsidP="007C2976">
      <w:pPr>
        <w:pBdr>
          <w:bottom w:val="single" w:sz="12" w:space="1" w:color="auto"/>
        </w:pBdr>
        <w:tabs>
          <w:tab w:val="left" w:pos="4320"/>
        </w:tabs>
      </w:pPr>
    </w:p>
    <w:p w:rsidR="00EE7FE7" w:rsidRDefault="0089240E" w:rsidP="00D37AD5">
      <w:pPr>
        <w:spacing w:before="240" w:line="480" w:lineRule="auto"/>
        <w:ind w:firstLine="720"/>
      </w:pPr>
      <w:r>
        <w:t xml:space="preserve">To ensure that customers receive bills that are accurate, clear, and </w:t>
      </w:r>
      <w:r w:rsidR="00EE7FE7">
        <w:t xml:space="preserve">understandable, the </w:t>
      </w:r>
      <w:r>
        <w:t>Ohio Administrative Code (</w:t>
      </w:r>
      <w:r w:rsidR="00575D19">
        <w:t>"</w:t>
      </w:r>
      <w:r w:rsidRPr="00602D8A">
        <w:t>OAC</w:t>
      </w:r>
      <w:r w:rsidR="00575D19">
        <w:t>"</w:t>
      </w:r>
      <w:r>
        <w:t xml:space="preserve">) </w:t>
      </w:r>
      <w:r w:rsidR="00EE7FE7">
        <w:t xml:space="preserve">provides a list of 29 items that must be included on customer bills.  </w:t>
      </w:r>
      <w:r w:rsidR="00EE7FE7">
        <w:rPr>
          <w:i/>
        </w:rPr>
        <w:t>See</w:t>
      </w:r>
      <w:r w:rsidR="00EE7FE7">
        <w:t xml:space="preserve"> OAC 4901:1-13-11(B).  OAC 4901:1-13-11(B)(9) requires natural gas companies, like Columbia</w:t>
      </w:r>
      <w:r w:rsidR="00F6531F">
        <w:t xml:space="preserve"> Gas of Ohio, Inc. (</w:t>
      </w:r>
      <w:r w:rsidR="00575D19">
        <w:t>"</w:t>
      </w:r>
      <w:r w:rsidR="00F6531F" w:rsidRPr="00602D8A">
        <w:t>Columbia</w:t>
      </w:r>
      <w:r w:rsidR="00575D19">
        <w:t>"</w:t>
      </w:r>
      <w:r w:rsidR="00F6531F">
        <w:t>)</w:t>
      </w:r>
      <w:r w:rsidR="00EE7FE7">
        <w:t xml:space="preserve">, to include the following on all customer gas bills: </w:t>
      </w:r>
      <w:r w:rsidR="00575D19">
        <w:t>"</w:t>
      </w:r>
      <w:r w:rsidR="00EE7FE7">
        <w:t>The rate for purchase of the . . . natural gas commodity, expressed in dollars and cents per Mcf or Ccf . . . .</w:t>
      </w:r>
      <w:r w:rsidR="00575D19">
        <w:t>"</w:t>
      </w:r>
      <w:r w:rsidR="00EE7FE7">
        <w:t xml:space="preserve">  </w:t>
      </w:r>
      <w:r w:rsidR="00D37AD5">
        <w:t xml:space="preserve">In this case, </w:t>
      </w:r>
      <w:r w:rsidR="00EE7FE7">
        <w:t xml:space="preserve">Columbia seeks permission to exclude this information from customer bills and instead to provide only the </w:t>
      </w:r>
      <w:r w:rsidR="00602D8A">
        <w:t xml:space="preserve">gross </w:t>
      </w:r>
      <w:r w:rsidR="00EE7FE7">
        <w:t>supplier charge.</w:t>
      </w:r>
      <w:r w:rsidR="00EE7FE7">
        <w:rPr>
          <w:rStyle w:val="FootnoteReference"/>
        </w:rPr>
        <w:footnoteReference w:id="1"/>
      </w:r>
    </w:p>
    <w:p w:rsidR="00EE7FE7" w:rsidRDefault="00D37AD5" w:rsidP="0089240E">
      <w:pPr>
        <w:spacing w:line="480" w:lineRule="auto"/>
        <w:ind w:firstLine="720"/>
      </w:pPr>
      <w:r>
        <w:t xml:space="preserve">The </w:t>
      </w:r>
      <w:r w:rsidRPr="00710E80">
        <w:t>Office o</w:t>
      </w:r>
      <w:r>
        <w:t>f the Ohio Consumers</w:t>
      </w:r>
      <w:r w:rsidR="00575D19">
        <w:t>'</w:t>
      </w:r>
      <w:r>
        <w:t xml:space="preserve"> Counsel (</w:t>
      </w:r>
      <w:r w:rsidR="00575D19">
        <w:t>"</w:t>
      </w:r>
      <w:r w:rsidRPr="00602D8A">
        <w:t>OCC</w:t>
      </w:r>
      <w:r w:rsidR="00575D19">
        <w:t>"</w:t>
      </w:r>
      <w:r w:rsidRPr="00710E80">
        <w:t>)</w:t>
      </w:r>
      <w:r>
        <w:t>, on behalf of Columbia</w:t>
      </w:r>
      <w:r w:rsidR="00575D19">
        <w:t>'</w:t>
      </w:r>
      <w:r>
        <w:t>s 1.4 million residential natural gas customers, opposes Columbia</w:t>
      </w:r>
      <w:r w:rsidR="00575D19">
        <w:t>'</w:t>
      </w:r>
      <w:r>
        <w:t>s request and respectfully requests that the Public Utilities Commission of Ohio (</w:t>
      </w:r>
      <w:r w:rsidR="00602D8A">
        <w:t xml:space="preserve">the </w:t>
      </w:r>
      <w:r w:rsidR="00575D19">
        <w:t>"</w:t>
      </w:r>
      <w:r w:rsidR="00602D8A" w:rsidRPr="00602D8A">
        <w:t>PUCO</w:t>
      </w:r>
      <w:r w:rsidR="00575D19">
        <w:t>"</w:t>
      </w:r>
      <w:r>
        <w:t>) deny Columbia</w:t>
      </w:r>
      <w:r w:rsidR="00575D19">
        <w:t>'</w:t>
      </w:r>
      <w:r>
        <w:t xml:space="preserve">s </w:t>
      </w:r>
      <w:r w:rsidR="003B29BC">
        <w:t>A</w:t>
      </w:r>
      <w:r>
        <w:t>pplication.</w:t>
      </w:r>
    </w:p>
    <w:p w:rsidR="008651F6" w:rsidRPr="00F242F8" w:rsidRDefault="008651F6" w:rsidP="00F242F8">
      <w:pPr>
        <w:pStyle w:val="Heading2"/>
        <w:ind w:right="720"/>
      </w:pPr>
      <w:r>
        <w:t>A.</w:t>
      </w:r>
      <w:r w:rsidRPr="00F242F8">
        <w:tab/>
        <w:t>The disclosure requirements under OAC 4901:1-13-11(B)(9) are provided by statute and cannot be waived.</w:t>
      </w:r>
    </w:p>
    <w:p w:rsidR="00253B57" w:rsidRDefault="008651F6" w:rsidP="0089240E">
      <w:pPr>
        <w:spacing w:line="480" w:lineRule="auto"/>
        <w:ind w:firstLine="720"/>
        <w:sectPr w:rsidR="00253B57" w:rsidSect="00253B5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2"/>
          <w:cols w:space="720"/>
          <w:docGrid w:linePitch="360"/>
        </w:sectPr>
      </w:pPr>
      <w:r>
        <w:t xml:space="preserve">The Ohio Revised Code requires the PUCO to adopt rules regarding natural gas billing to protect customers.  </w:t>
      </w:r>
      <w:r>
        <w:rPr>
          <w:i/>
        </w:rPr>
        <w:t>See</w:t>
      </w:r>
      <w:r>
        <w:t xml:space="preserve"> R.C. 4929.22 (</w:t>
      </w:r>
      <w:r w:rsidR="00575D19">
        <w:t>"</w:t>
      </w:r>
      <w:r>
        <w:t xml:space="preserve">For the protection of consumers in this </w:t>
      </w:r>
    </w:p>
    <w:p w:rsidR="008651F6" w:rsidRDefault="008651F6" w:rsidP="00253B57">
      <w:pPr>
        <w:spacing w:line="480" w:lineRule="auto"/>
      </w:pPr>
      <w:r>
        <w:lastRenderedPageBreak/>
        <w:t>state, the public utilities commission shall adopt rules . . . regarding the marketing solicitation, sale, or provision, directly or through its billing and collection agent, of any competitive retail natural gas service . . .</w:t>
      </w:r>
      <w:r w:rsidR="00575D19">
        <w:t>"</w:t>
      </w:r>
      <w:r>
        <w:t xml:space="preserve">).  </w:t>
      </w:r>
      <w:r w:rsidR="00747EA9">
        <w:t>The Revised Code requires natural gas bills to include</w:t>
      </w:r>
      <w:r>
        <w:t xml:space="preserve"> </w:t>
      </w:r>
      <w:r w:rsidR="00575D19">
        <w:t>"</w:t>
      </w:r>
      <w:r>
        <w:t>price disclosure and disclosures of total billing units for the billing period</w:t>
      </w:r>
      <w:r w:rsidR="00747EA9">
        <w:t>.</w:t>
      </w:r>
      <w:r w:rsidR="00575D19">
        <w:t>"</w:t>
      </w:r>
      <w:r w:rsidR="00747EA9">
        <w:t xml:space="preserve">  </w:t>
      </w:r>
      <w:r w:rsidR="00747EA9">
        <w:rPr>
          <w:i/>
        </w:rPr>
        <w:t>See</w:t>
      </w:r>
      <w:r w:rsidR="00747EA9">
        <w:t xml:space="preserve"> R.C. 4929.22(C)(2).  It also requires bills to include,</w:t>
      </w:r>
      <w:r>
        <w:t xml:space="preserve"> </w:t>
      </w:r>
      <w:r w:rsidR="00575D19">
        <w:t>"</w:t>
      </w:r>
      <w:r>
        <w:t>to the maximum extent practicable, separate listing of each service component to enable a customer to recalculate its bill for accuracy.</w:t>
      </w:r>
      <w:r w:rsidR="00575D19">
        <w:t>"</w:t>
      </w:r>
      <w:r>
        <w:t xml:space="preserve">  </w:t>
      </w:r>
      <w:r>
        <w:rPr>
          <w:i/>
        </w:rPr>
        <w:t>See</w:t>
      </w:r>
      <w:r w:rsidR="00747EA9">
        <w:t xml:space="preserve"> R.C. 4929.22(C)</w:t>
      </w:r>
      <w:r>
        <w:t>(2).</w:t>
      </w:r>
      <w:r w:rsidR="00747EA9">
        <w:t xml:space="preserve">  OAC 4901:1-13-11(B)(9) implements these statutory requirements by requiring natural gas bills to include the rate for purchase of the natural gas commodity, in dollars and cents per Mcf or Ccf.  With this information, customers can recalculate their bills for accuracy.  Without it, they cannot.</w:t>
      </w:r>
    </w:p>
    <w:p w:rsidR="00747EA9" w:rsidRPr="00747EA9" w:rsidRDefault="00747EA9" w:rsidP="0089240E">
      <w:pPr>
        <w:spacing w:line="480" w:lineRule="auto"/>
        <w:ind w:firstLine="720"/>
      </w:pPr>
      <w:r>
        <w:t xml:space="preserve">The PUCO does not have the authority to waive the requirement of OAC 4901:1-13-11(B)(9) because it is a statutory </w:t>
      </w:r>
      <w:r w:rsidR="0065130D">
        <w:t>mandate</w:t>
      </w:r>
      <w:r>
        <w:t xml:space="preserve">.  The PUCO </w:t>
      </w:r>
      <w:r w:rsidR="00575D19">
        <w:t>"</w:t>
      </w:r>
      <w:r>
        <w:t xml:space="preserve">may, upon an application or a motion filed by a party, waive any requirement of [chapter 4901:1-29], </w:t>
      </w:r>
      <w:r>
        <w:rPr>
          <w:u w:val="single"/>
        </w:rPr>
        <w:t>other than a requirement mandated by statute</w:t>
      </w:r>
      <w:r>
        <w:t>, for good cause shown.</w:t>
      </w:r>
      <w:r w:rsidR="00575D19">
        <w:t>"</w:t>
      </w:r>
      <w:r>
        <w:rPr>
          <w:rStyle w:val="FootnoteReference"/>
        </w:rPr>
        <w:footnoteReference w:id="2"/>
      </w:r>
      <w:r>
        <w:t xml:space="preserve">  B</w:t>
      </w:r>
      <w:r w:rsidR="00A862A9">
        <w:t>ecause OAC 4901:1-13-11(B)(9) is</w:t>
      </w:r>
      <w:r>
        <w:t xml:space="preserve"> </w:t>
      </w:r>
      <w:r w:rsidR="003B29BC">
        <w:t>mandated</w:t>
      </w:r>
      <w:r>
        <w:t xml:space="preserve"> by Revised Code 4929.22(C), the PUCO cannot grant Columbia the waiver that it requests in its Application.  On this basis alone, the Application must be denied.</w:t>
      </w:r>
    </w:p>
    <w:p w:rsidR="00EE7FE7" w:rsidRPr="00D37AD5" w:rsidRDefault="00747EA9" w:rsidP="00F242F8">
      <w:pPr>
        <w:pStyle w:val="Heading2"/>
        <w:ind w:right="720"/>
      </w:pPr>
      <w:r>
        <w:t>B</w:t>
      </w:r>
      <w:r w:rsidR="00D37AD5">
        <w:t>.</w:t>
      </w:r>
      <w:r w:rsidR="00D37AD5">
        <w:tab/>
      </w:r>
      <w:r w:rsidR="00434D00" w:rsidRPr="00F242F8">
        <w:t>Columbia should not be permitted to avoid complying with a rule that is</w:t>
      </w:r>
      <w:r w:rsidR="000F5AD6" w:rsidRPr="00F242F8">
        <w:t xml:space="preserve"> designed to prot</w:t>
      </w:r>
      <w:r w:rsidR="004B622A" w:rsidRPr="00F242F8">
        <w:t xml:space="preserve">ect customers by providing them </w:t>
      </w:r>
      <w:r w:rsidR="000F5AD6" w:rsidRPr="00F242F8">
        <w:t>with detailed rate information.</w:t>
      </w:r>
    </w:p>
    <w:p w:rsidR="00434D00" w:rsidRDefault="00747EA9" w:rsidP="0089240E">
      <w:pPr>
        <w:spacing w:line="480" w:lineRule="auto"/>
        <w:ind w:firstLine="720"/>
      </w:pPr>
      <w:r>
        <w:t xml:space="preserve">Even if the PUCO had the authority to waive the requirements of OAC 4901:1-13-11(B)(9), it should not do so in this case.  </w:t>
      </w:r>
      <w:r w:rsidR="000F5AD6">
        <w:t xml:space="preserve">Under the PUCO rules, customers are entitled to bills that include the rate that they pay for natural gas.  </w:t>
      </w:r>
      <w:r w:rsidR="000F5AD6">
        <w:rPr>
          <w:i/>
        </w:rPr>
        <w:t>See</w:t>
      </w:r>
      <w:r w:rsidR="000F5AD6">
        <w:t xml:space="preserve"> OAC 4901:1-13-</w:t>
      </w:r>
      <w:r w:rsidR="000F5AD6">
        <w:lastRenderedPageBreak/>
        <w:t>11(B)(9).  This requirement is not limited to those customers who receive the standard choice offer (</w:t>
      </w:r>
      <w:r w:rsidR="00575D19">
        <w:t>the "</w:t>
      </w:r>
      <w:r w:rsidR="00926B4A" w:rsidRPr="00EC5D6C">
        <w:t>Standard Offer</w:t>
      </w:r>
      <w:r w:rsidR="00575D19">
        <w:t>"</w:t>
      </w:r>
      <w:r w:rsidR="000F5AD6">
        <w:t>)</w:t>
      </w:r>
      <w:r w:rsidR="00521675">
        <w:t>.  It</w:t>
      </w:r>
      <w:r w:rsidR="000F5AD6">
        <w:t xml:space="preserve"> applies equally to those customers who choose to receive their natural gas from competitive retail natural gas service</w:t>
      </w:r>
      <w:r w:rsidR="00926B4A">
        <w:t xml:space="preserve"> suppliers</w:t>
      </w:r>
      <w:r w:rsidR="000F5AD6">
        <w:t xml:space="preserve"> (</w:t>
      </w:r>
      <w:r w:rsidR="00575D19">
        <w:t>"</w:t>
      </w:r>
      <w:r w:rsidR="00926B4A" w:rsidRPr="00575D19">
        <w:t>Marketers</w:t>
      </w:r>
      <w:r w:rsidR="00575D19">
        <w:t>"</w:t>
      </w:r>
      <w:r w:rsidR="00EC5D6C">
        <w:t>)</w:t>
      </w:r>
      <w:r w:rsidR="000F5AD6">
        <w:t xml:space="preserve">.  </w:t>
      </w:r>
      <w:r w:rsidR="00434D00">
        <w:t xml:space="preserve">Customers that choose to receive gas through a </w:t>
      </w:r>
      <w:r w:rsidR="00926B4A">
        <w:t>Marketer</w:t>
      </w:r>
      <w:r w:rsidR="00434D00">
        <w:t xml:space="preserve"> need clear, accurate, and understandable information to </w:t>
      </w:r>
      <w:r w:rsidR="00F6531F">
        <w:t xml:space="preserve">decide whether a </w:t>
      </w:r>
      <w:r w:rsidR="00926B4A">
        <w:t>Marketer</w:t>
      </w:r>
      <w:r w:rsidR="00F6531F">
        <w:t xml:space="preserve"> will save them money as compared to the </w:t>
      </w:r>
      <w:r w:rsidR="00926B4A">
        <w:t>Standard Offer</w:t>
      </w:r>
      <w:r w:rsidR="00434D00">
        <w:t>.</w:t>
      </w:r>
    </w:p>
    <w:p w:rsidR="003E2DBB" w:rsidRDefault="003E2DBB" w:rsidP="003E2DBB">
      <w:pPr>
        <w:spacing w:line="480" w:lineRule="auto"/>
        <w:ind w:firstLine="720"/>
        <w:rPr>
          <w:szCs w:val="24"/>
        </w:rPr>
      </w:pPr>
      <w:r w:rsidRPr="008A7454">
        <w:rPr>
          <w:szCs w:val="24"/>
        </w:rPr>
        <w:t>Columbia claims that with enhancements that have been made to its billing system to provide suppliers with Bill Ready and CHOICE Prepay functionality, the rate for the commodity service will no longer be place</w:t>
      </w:r>
      <w:r w:rsidR="00F6531F">
        <w:rPr>
          <w:szCs w:val="24"/>
        </w:rPr>
        <w:t>d</w:t>
      </w:r>
      <w:r w:rsidRPr="008A7454">
        <w:rPr>
          <w:szCs w:val="24"/>
        </w:rPr>
        <w:t xml:space="preserve"> on</w:t>
      </w:r>
      <w:r w:rsidR="00F6531F">
        <w:rPr>
          <w:szCs w:val="24"/>
        </w:rPr>
        <w:t xml:space="preserve"> customers</w:t>
      </w:r>
      <w:r w:rsidR="00575D19">
        <w:rPr>
          <w:szCs w:val="24"/>
        </w:rPr>
        <w:t>'</w:t>
      </w:r>
      <w:r w:rsidR="00F6531F">
        <w:rPr>
          <w:szCs w:val="24"/>
        </w:rPr>
        <w:t xml:space="preserve"> </w:t>
      </w:r>
      <w:r w:rsidRPr="008A7454">
        <w:rPr>
          <w:szCs w:val="24"/>
        </w:rPr>
        <w:t>bill</w:t>
      </w:r>
      <w:r w:rsidR="00F6531F">
        <w:rPr>
          <w:szCs w:val="24"/>
        </w:rPr>
        <w:t>s</w:t>
      </w:r>
      <w:r w:rsidRPr="008A7454">
        <w:rPr>
          <w:szCs w:val="24"/>
        </w:rPr>
        <w:t>.  Rather than Columbia calculating the total supplier charges on the bill, both Bill Ready and CHOICE Prepay involve the suppliers providing the total charges to Columbia</w:t>
      </w:r>
      <w:r w:rsidR="00F6531F">
        <w:rPr>
          <w:szCs w:val="24"/>
        </w:rPr>
        <w:t xml:space="preserve">.  Columbia then simply places that number </w:t>
      </w:r>
      <w:r w:rsidRPr="008A7454">
        <w:rPr>
          <w:szCs w:val="24"/>
        </w:rPr>
        <w:t>on the bill.</w:t>
      </w:r>
    </w:p>
    <w:p w:rsidR="003E2DBB" w:rsidRDefault="003E2DBB" w:rsidP="003E2DBB">
      <w:pPr>
        <w:spacing w:line="480" w:lineRule="auto"/>
        <w:ind w:firstLine="720"/>
        <w:rPr>
          <w:szCs w:val="24"/>
        </w:rPr>
      </w:pPr>
      <w:r>
        <w:rPr>
          <w:szCs w:val="24"/>
        </w:rPr>
        <w:t xml:space="preserve">Customers need to know how their </w:t>
      </w:r>
      <w:r w:rsidR="00926B4A">
        <w:rPr>
          <w:szCs w:val="24"/>
        </w:rPr>
        <w:t>Marketer</w:t>
      </w:r>
      <w:r w:rsidR="00575D19">
        <w:rPr>
          <w:szCs w:val="24"/>
        </w:rPr>
        <w:t>'</w:t>
      </w:r>
      <w:r w:rsidR="00926B4A">
        <w:rPr>
          <w:szCs w:val="24"/>
        </w:rPr>
        <w:t>s</w:t>
      </w:r>
      <w:r>
        <w:rPr>
          <w:szCs w:val="24"/>
        </w:rPr>
        <w:t xml:space="preserve"> rates and charges compare with other competitive options available from the market, including the </w:t>
      </w:r>
      <w:r w:rsidR="00575D19">
        <w:rPr>
          <w:szCs w:val="24"/>
        </w:rPr>
        <w:t>Standard Offer</w:t>
      </w:r>
      <w:r>
        <w:rPr>
          <w:szCs w:val="24"/>
        </w:rPr>
        <w:t xml:space="preserve">.  </w:t>
      </w:r>
      <w:r w:rsidR="000F5AD6">
        <w:rPr>
          <w:szCs w:val="24"/>
        </w:rPr>
        <w:t xml:space="preserve">As was recently reported by the Columbus Dispatch, Columbia customers have paid </w:t>
      </w:r>
      <w:r w:rsidR="000F5AD6" w:rsidRPr="000F5AD6">
        <w:rPr>
          <w:szCs w:val="24"/>
          <w:u w:val="single"/>
        </w:rPr>
        <w:t>$1.36 billion more</w:t>
      </w:r>
      <w:r w:rsidR="000F5AD6">
        <w:rPr>
          <w:szCs w:val="24"/>
        </w:rPr>
        <w:t xml:space="preserve"> in obtaining natural gas from </w:t>
      </w:r>
      <w:r w:rsidR="00926B4A">
        <w:rPr>
          <w:szCs w:val="24"/>
        </w:rPr>
        <w:t>Marketers</w:t>
      </w:r>
      <w:r w:rsidR="000F5AD6">
        <w:rPr>
          <w:szCs w:val="24"/>
        </w:rPr>
        <w:t xml:space="preserve"> than they would have paid for the same commodity service through the </w:t>
      </w:r>
      <w:r w:rsidR="00926B4A">
        <w:rPr>
          <w:szCs w:val="24"/>
        </w:rPr>
        <w:t>Standard Offer</w:t>
      </w:r>
      <w:r w:rsidR="000F5AD6">
        <w:rPr>
          <w:szCs w:val="24"/>
        </w:rPr>
        <w:t xml:space="preserve">.  </w:t>
      </w:r>
      <w:r w:rsidR="00A87E79" w:rsidRPr="00A87E79">
        <w:rPr>
          <w:i/>
          <w:szCs w:val="24"/>
        </w:rPr>
        <w:t>See</w:t>
      </w:r>
      <w:r w:rsidR="00A87E79">
        <w:rPr>
          <w:szCs w:val="24"/>
        </w:rPr>
        <w:t xml:space="preserve"> </w:t>
      </w:r>
      <w:r w:rsidR="00A87E79" w:rsidRPr="00A87E79">
        <w:t>Columbus</w:t>
      </w:r>
      <w:r w:rsidR="00A87E79">
        <w:t xml:space="preserve"> Dispatch, Ohio Customers Losing Big on Unregulated Natural Gas Plan (Apr. 5, 2016).</w:t>
      </w:r>
      <w:r w:rsidR="00A87E79">
        <w:rPr>
          <w:rStyle w:val="FootnoteReference"/>
          <w:szCs w:val="24"/>
        </w:rPr>
        <w:footnoteReference w:id="3"/>
      </w:r>
      <w:r w:rsidR="00A87E79">
        <w:t xml:space="preserve">  </w:t>
      </w:r>
      <w:r w:rsidR="00881990">
        <w:t xml:space="preserve">These customers continue to pay </w:t>
      </w:r>
      <w:r>
        <w:t xml:space="preserve">more for natural gas, despite choosing their own provider.  </w:t>
      </w:r>
      <w:r w:rsidR="00521675">
        <w:t>They</w:t>
      </w:r>
      <w:r>
        <w:t xml:space="preserve"> need more information </w:t>
      </w:r>
      <w:r w:rsidR="00A6617A">
        <w:t>—</w:t>
      </w:r>
      <w:r>
        <w:t xml:space="preserve"> not less, as Columbia proposes </w:t>
      </w:r>
      <w:r w:rsidR="00A6617A">
        <w:t>—</w:t>
      </w:r>
      <w:r>
        <w:t xml:space="preserve"> so that they can review, on a month-by-month basis, their choice to use a </w:t>
      </w:r>
      <w:r w:rsidR="00926B4A">
        <w:t>Marketer</w:t>
      </w:r>
      <w:r>
        <w:t xml:space="preserve"> instead of receiving natural gas through the S</w:t>
      </w:r>
      <w:r w:rsidR="00926B4A">
        <w:t>tandard Offer</w:t>
      </w:r>
      <w:r>
        <w:t>.</w:t>
      </w:r>
    </w:p>
    <w:p w:rsidR="003E2DBB" w:rsidRDefault="003E2DBB" w:rsidP="003E2DBB">
      <w:pPr>
        <w:spacing w:line="480" w:lineRule="auto"/>
        <w:ind w:firstLine="720"/>
        <w:rPr>
          <w:szCs w:val="24"/>
        </w:rPr>
      </w:pPr>
      <w:r>
        <w:rPr>
          <w:szCs w:val="24"/>
        </w:rPr>
        <w:t xml:space="preserve">Without the actual </w:t>
      </w:r>
      <w:r w:rsidR="00A6617A">
        <w:rPr>
          <w:szCs w:val="24"/>
        </w:rPr>
        <w:t>supplier rate per C</w:t>
      </w:r>
      <w:r>
        <w:rPr>
          <w:szCs w:val="24"/>
        </w:rPr>
        <w:t xml:space="preserve">cf being listed on the bill, customers have less information about how they are potentially being over-charged for </w:t>
      </w:r>
      <w:r w:rsidR="00575D19">
        <w:rPr>
          <w:szCs w:val="24"/>
        </w:rPr>
        <w:t xml:space="preserve">natural gas through a Marketer </w:t>
      </w:r>
      <w:r>
        <w:rPr>
          <w:szCs w:val="24"/>
        </w:rPr>
        <w:t>and how their natural gas charges compare to other market options.  This is contrary to Ohio policy</w:t>
      </w:r>
      <w:r w:rsidR="00521675">
        <w:rPr>
          <w:szCs w:val="24"/>
        </w:rPr>
        <w:t>,</w:t>
      </w:r>
      <w:r>
        <w:rPr>
          <w:szCs w:val="24"/>
        </w:rPr>
        <w:t xml:space="preserve"> which explicitly promotes the availability of unbundled and comparable natural gas goods and services.  </w:t>
      </w:r>
      <w:r>
        <w:rPr>
          <w:i/>
          <w:szCs w:val="24"/>
        </w:rPr>
        <w:t>See</w:t>
      </w:r>
      <w:r>
        <w:rPr>
          <w:szCs w:val="24"/>
        </w:rPr>
        <w:t xml:space="preserve"> </w:t>
      </w:r>
      <w:r>
        <w:t>R.C. 4929.02(A)(2) (</w:t>
      </w:r>
      <w:r w:rsidR="00575D19">
        <w:t>"</w:t>
      </w:r>
      <w:r>
        <w:t>It is the policy of this sta</w:t>
      </w:r>
      <w:r w:rsidR="00A6617A">
        <w:t>te to, throughout this state</w:t>
      </w:r>
      <w:r w:rsidR="003B29BC">
        <w:t>:</w:t>
      </w:r>
      <w:r w:rsidR="00A6617A">
        <w:t xml:space="preserve"> . . . [p]romote the availability of unbundled and comparable natural gas services and goods that provide wholesale and retail consumers with the supplier, price, terms, conditions, and quality options they elect to meet their respective needs.</w:t>
      </w:r>
      <w:r w:rsidR="00575D19">
        <w:t>"</w:t>
      </w:r>
      <w:r w:rsidR="00A6617A">
        <w:t>).</w:t>
      </w:r>
    </w:p>
    <w:p w:rsidR="003E2DBB" w:rsidRDefault="007B3F72" w:rsidP="003E2DBB">
      <w:pPr>
        <w:spacing w:line="480" w:lineRule="auto"/>
        <w:ind w:firstLine="720"/>
        <w:rPr>
          <w:szCs w:val="24"/>
        </w:rPr>
      </w:pPr>
      <w:r>
        <w:rPr>
          <w:szCs w:val="24"/>
        </w:rPr>
        <w:t>T</w:t>
      </w:r>
      <w:r w:rsidR="003E2DBB">
        <w:rPr>
          <w:szCs w:val="24"/>
        </w:rPr>
        <w:t>he PUCO</w:t>
      </w:r>
      <w:r>
        <w:rPr>
          <w:szCs w:val="24"/>
        </w:rPr>
        <w:t xml:space="preserve"> should </w:t>
      </w:r>
      <w:r w:rsidR="003E2DBB">
        <w:rPr>
          <w:szCs w:val="24"/>
        </w:rPr>
        <w:t xml:space="preserve">deny the waiver request and instead require </w:t>
      </w:r>
      <w:r w:rsidR="00575D19">
        <w:rPr>
          <w:szCs w:val="24"/>
        </w:rPr>
        <w:t>Marketers</w:t>
      </w:r>
      <w:r w:rsidR="00A6617A">
        <w:rPr>
          <w:szCs w:val="24"/>
        </w:rPr>
        <w:t xml:space="preserve"> to disclose their rate per C</w:t>
      </w:r>
      <w:r w:rsidR="003E2DBB">
        <w:rPr>
          <w:szCs w:val="24"/>
        </w:rPr>
        <w:t xml:space="preserve">cf for both Bill Ready and CHOICE Prepay services for inclusion on the Columbia bill.  </w:t>
      </w:r>
    </w:p>
    <w:p w:rsidR="00F6531F" w:rsidRPr="00F6531F" w:rsidRDefault="00747EA9" w:rsidP="00F242F8">
      <w:pPr>
        <w:pStyle w:val="Heading2"/>
        <w:ind w:right="720"/>
      </w:pPr>
      <w:r>
        <w:t>C</w:t>
      </w:r>
      <w:r w:rsidR="00F6531F">
        <w:t>.</w:t>
      </w:r>
      <w:r w:rsidR="00F6531F">
        <w:tab/>
      </w:r>
      <w:r w:rsidR="00F6531F" w:rsidRPr="00F242F8">
        <w:t xml:space="preserve">The bill should include the </w:t>
      </w:r>
      <w:r w:rsidR="00926B4A" w:rsidRPr="00F242F8">
        <w:t>Standard Offer</w:t>
      </w:r>
      <w:r w:rsidR="00F6531F" w:rsidRPr="00F242F8">
        <w:t xml:space="preserve"> rate so that customers can compare their rate and determine whether they are saving money by using a </w:t>
      </w:r>
      <w:r w:rsidR="00926B4A" w:rsidRPr="00F242F8">
        <w:t>Marketer</w:t>
      </w:r>
      <w:r w:rsidR="00F6531F" w:rsidRPr="00F242F8">
        <w:t>.</w:t>
      </w:r>
    </w:p>
    <w:p w:rsidR="00006A15" w:rsidRDefault="00F6531F" w:rsidP="003E2DBB">
      <w:pPr>
        <w:spacing w:line="480" w:lineRule="auto"/>
        <w:ind w:firstLine="720"/>
      </w:pPr>
      <w:r w:rsidRPr="008A7454">
        <w:rPr>
          <w:szCs w:val="24"/>
        </w:rPr>
        <w:t>Columbia has proposed an additional bill mes</w:t>
      </w:r>
      <w:r>
        <w:rPr>
          <w:szCs w:val="24"/>
        </w:rPr>
        <w:t>sage where an average rate per C</w:t>
      </w:r>
      <w:r w:rsidRPr="008A7454">
        <w:rPr>
          <w:szCs w:val="24"/>
        </w:rPr>
        <w:t xml:space="preserve">cf is calculated and customers are </w:t>
      </w:r>
      <w:r w:rsidR="00521675">
        <w:rPr>
          <w:szCs w:val="24"/>
        </w:rPr>
        <w:t>told</w:t>
      </w:r>
      <w:r w:rsidRPr="008A7454">
        <w:rPr>
          <w:szCs w:val="24"/>
        </w:rPr>
        <w:t xml:space="preserve"> to contact their supplier with any questions.</w:t>
      </w:r>
      <w:r w:rsidR="00006A15">
        <w:rPr>
          <w:szCs w:val="24"/>
        </w:rPr>
        <w:t xml:space="preserve">  </w:t>
      </w:r>
      <w:r w:rsidR="007B3F72">
        <w:t xml:space="preserve">The </w:t>
      </w:r>
      <w:r w:rsidR="00006A15">
        <w:t xml:space="preserve">average rate per Ccf information is helpful but incomplete.  It may tell a customer what his or her average rate is, but it does not provide the customer with information regarding the marginal rate </w:t>
      </w:r>
      <w:r w:rsidR="00AF0CDD">
        <w:t xml:space="preserve">that </w:t>
      </w:r>
      <w:r w:rsidR="00006A15">
        <w:t>he or she might pay with increased natural gas usage.</w:t>
      </w:r>
      <w:r w:rsidR="00AF0CDD">
        <w:t xml:space="preserve">  The customer</w:t>
      </w:r>
      <w:r w:rsidR="00575D19">
        <w:t>'</w:t>
      </w:r>
      <w:r w:rsidR="00AF0CDD">
        <w:t>s average rate per Ccf may differ materially depending on the customer</w:t>
      </w:r>
      <w:r w:rsidR="00575D19">
        <w:t>'</w:t>
      </w:r>
      <w:r w:rsidR="00AF0CDD">
        <w:t>s monthly usage.  Thus, average rate may not inform the customer</w:t>
      </w:r>
      <w:r w:rsidR="00575D19">
        <w:t>'</w:t>
      </w:r>
      <w:r w:rsidR="00AF0CDD">
        <w:t xml:space="preserve">s decision to reduce or increase natural gas usage and may not provide any insight on the value that the customer receives through its </w:t>
      </w:r>
      <w:r w:rsidR="00926B4A">
        <w:t>Marketer</w:t>
      </w:r>
      <w:r w:rsidR="00AF0CDD">
        <w:t xml:space="preserve"> as compared to the S</w:t>
      </w:r>
      <w:r w:rsidR="00926B4A">
        <w:t xml:space="preserve">tandard </w:t>
      </w:r>
      <w:r w:rsidR="00AF0CDD">
        <w:t>O</w:t>
      </w:r>
      <w:r w:rsidR="00926B4A">
        <w:t>ffer</w:t>
      </w:r>
      <w:r w:rsidR="00AF0CDD">
        <w:t>.</w:t>
      </w:r>
    </w:p>
    <w:p w:rsidR="00AF0CDD" w:rsidRDefault="00006A15" w:rsidP="003E2DBB">
      <w:pPr>
        <w:spacing w:line="480" w:lineRule="auto"/>
        <w:ind w:firstLine="720"/>
        <w:rPr>
          <w:szCs w:val="24"/>
        </w:rPr>
      </w:pPr>
      <w:r>
        <w:t>The average rate is also much less useful if, as Columbia proposes, the S</w:t>
      </w:r>
      <w:r w:rsidR="00926B4A">
        <w:t xml:space="preserve">tandard </w:t>
      </w:r>
      <w:r>
        <w:t>O</w:t>
      </w:r>
      <w:r w:rsidR="00926B4A">
        <w:t>ffer</w:t>
      </w:r>
      <w:r>
        <w:t xml:space="preserve"> rate is not also included for purposes of comparison.</w:t>
      </w:r>
      <w:r w:rsidR="00AF0CDD">
        <w:t xml:space="preserve">  </w:t>
      </w:r>
      <w:r w:rsidR="007B3F72">
        <w:rPr>
          <w:szCs w:val="24"/>
        </w:rPr>
        <w:t>T</w:t>
      </w:r>
      <w:r w:rsidR="00AF0CDD">
        <w:rPr>
          <w:szCs w:val="24"/>
        </w:rPr>
        <w:t xml:space="preserve">he PUCO </w:t>
      </w:r>
      <w:r w:rsidR="00552591">
        <w:rPr>
          <w:szCs w:val="24"/>
        </w:rPr>
        <w:t xml:space="preserve">should </w:t>
      </w:r>
      <w:r w:rsidR="00AF0CDD">
        <w:rPr>
          <w:szCs w:val="24"/>
        </w:rPr>
        <w:t>require Columbia to include a bill message on all residential customer bills that discloses the S</w:t>
      </w:r>
      <w:r w:rsidR="00926B4A">
        <w:rPr>
          <w:szCs w:val="24"/>
        </w:rPr>
        <w:t xml:space="preserve">tandard </w:t>
      </w:r>
      <w:r w:rsidR="00AF0CDD">
        <w:rPr>
          <w:szCs w:val="24"/>
        </w:rPr>
        <w:t>O</w:t>
      </w:r>
      <w:r w:rsidR="00926B4A">
        <w:rPr>
          <w:szCs w:val="24"/>
        </w:rPr>
        <w:t>ffer</w:t>
      </w:r>
      <w:r w:rsidR="00AF0CDD">
        <w:rPr>
          <w:szCs w:val="24"/>
        </w:rPr>
        <w:t xml:space="preserve"> rate on a monthly basis.  This bill message is similar in form and content to information that electric utilities currently provide all residential customers on a monthly basis.</w:t>
      </w:r>
      <w:r w:rsidR="00AF0CDD">
        <w:rPr>
          <w:rStyle w:val="FootnoteReference"/>
          <w:szCs w:val="24"/>
        </w:rPr>
        <w:footnoteReference w:id="4"/>
      </w:r>
    </w:p>
    <w:p w:rsidR="00F6531F" w:rsidRDefault="00AF0CDD" w:rsidP="003E2DBB">
      <w:pPr>
        <w:spacing w:line="480" w:lineRule="auto"/>
        <w:ind w:firstLine="720"/>
        <w:rPr>
          <w:szCs w:val="24"/>
        </w:rPr>
      </w:pPr>
      <w:r>
        <w:rPr>
          <w:szCs w:val="24"/>
        </w:rPr>
        <w:t xml:space="preserve">If customers receive monthly disclosure of both the rate that they pay through their </w:t>
      </w:r>
      <w:r w:rsidR="00552591">
        <w:rPr>
          <w:szCs w:val="24"/>
        </w:rPr>
        <w:t>Marketer</w:t>
      </w:r>
      <w:r>
        <w:rPr>
          <w:szCs w:val="24"/>
        </w:rPr>
        <w:t xml:space="preserve"> and the prevailing S</w:t>
      </w:r>
      <w:r w:rsidR="00926B4A">
        <w:rPr>
          <w:szCs w:val="24"/>
        </w:rPr>
        <w:t xml:space="preserve">tandard </w:t>
      </w:r>
      <w:r>
        <w:rPr>
          <w:szCs w:val="24"/>
        </w:rPr>
        <w:t>O</w:t>
      </w:r>
      <w:r w:rsidR="00926B4A">
        <w:rPr>
          <w:szCs w:val="24"/>
        </w:rPr>
        <w:t>ffer</w:t>
      </w:r>
      <w:r>
        <w:rPr>
          <w:szCs w:val="24"/>
        </w:rPr>
        <w:t xml:space="preserve"> rate, then they will have sufficient information available on the bill to easily determine if their </w:t>
      </w:r>
      <w:r w:rsidR="00926B4A">
        <w:rPr>
          <w:szCs w:val="24"/>
        </w:rPr>
        <w:t>Marketer</w:t>
      </w:r>
      <w:r>
        <w:rPr>
          <w:szCs w:val="24"/>
        </w:rPr>
        <w:t xml:space="preserve"> rate is saving or costing them money.</w:t>
      </w:r>
    </w:p>
    <w:p w:rsidR="00AF0CA3" w:rsidRDefault="00747EA9" w:rsidP="00F242F8">
      <w:pPr>
        <w:pStyle w:val="Heading2"/>
        <w:ind w:right="720"/>
      </w:pPr>
      <w:r>
        <w:t>D</w:t>
      </w:r>
      <w:r w:rsidR="00AF0CA3">
        <w:t>.</w:t>
      </w:r>
      <w:r w:rsidR="00AF0CA3">
        <w:tab/>
      </w:r>
      <w:r w:rsidR="00AF0CA3" w:rsidRPr="00F242F8">
        <w:t>Bill Ready billing does not prohibit Columbia from including the rate so that customers will remain informed.</w:t>
      </w:r>
    </w:p>
    <w:p w:rsidR="00AF0CA3" w:rsidRDefault="00BE73CB" w:rsidP="0089240E">
      <w:pPr>
        <w:spacing w:line="480" w:lineRule="auto"/>
        <w:ind w:firstLine="720"/>
      </w:pPr>
      <w:r>
        <w:t>In its Application, Columbia cites a stipulation from Case Number 12-2637-GA-EXM</w:t>
      </w:r>
      <w:r w:rsidR="00AF4974">
        <w:rPr>
          <w:rStyle w:val="FootnoteReference"/>
        </w:rPr>
        <w:footnoteReference w:id="5"/>
      </w:r>
      <w:r>
        <w:t xml:space="preserve"> and asserts that it is required to implement Bill Ready and CHOICE Prepay under that stipulation.</w:t>
      </w:r>
      <w:r>
        <w:rPr>
          <w:rStyle w:val="FootnoteReference"/>
        </w:rPr>
        <w:footnoteReference w:id="6"/>
      </w:r>
      <w:r>
        <w:t xml:space="preserve">  Columbia states that Bill Ready and CHOICE Prepay </w:t>
      </w:r>
      <w:r w:rsidR="00575D19">
        <w:t>"</w:t>
      </w:r>
      <w:r>
        <w:t>require Columbia to bill customers a charge, not a rate, provided by suppliers.</w:t>
      </w:r>
      <w:r w:rsidR="00575D19">
        <w:t>"</w:t>
      </w:r>
      <w:r>
        <w:rPr>
          <w:rStyle w:val="FootnoteReference"/>
        </w:rPr>
        <w:footnoteReference w:id="7"/>
      </w:r>
      <w:r w:rsidR="00AF4974">
        <w:t xml:space="preserve">  Columbia also claims that it </w:t>
      </w:r>
      <w:r w:rsidR="00575D19">
        <w:t>"</w:t>
      </w:r>
      <w:r w:rsidR="00AF4974">
        <w:t>cannot provide the suppliers</w:t>
      </w:r>
      <w:r w:rsidR="00575D19">
        <w:t>'</w:t>
      </w:r>
      <w:r w:rsidR="00AF4974">
        <w:t xml:space="preserve"> rate for service, as it is only receiving from the suppliers the total charges for service.</w:t>
      </w:r>
      <w:r w:rsidR="00575D19">
        <w:t>"</w:t>
      </w:r>
      <w:r w:rsidR="00AF4974">
        <w:rPr>
          <w:rStyle w:val="FootnoteReference"/>
        </w:rPr>
        <w:footnoteReference w:id="8"/>
      </w:r>
      <w:r w:rsidR="00AF4974">
        <w:t xml:space="preserve">  Nothing in the stipulation, or otherwise, prevents Columbia from receiving the rate from the </w:t>
      </w:r>
      <w:r w:rsidR="00552591">
        <w:t>Marketer</w:t>
      </w:r>
      <w:r w:rsidR="00AF4974">
        <w:t xml:space="preserve"> and including it on the bill.</w:t>
      </w:r>
    </w:p>
    <w:p w:rsidR="00AF4974" w:rsidRDefault="00AF4974" w:rsidP="0089240E">
      <w:pPr>
        <w:spacing w:line="480" w:lineRule="auto"/>
        <w:ind w:firstLine="720"/>
      </w:pPr>
      <w:r>
        <w:t xml:space="preserve">The stipulation cited by Columbia, in fact, does not require Bill Ready billing at all.  Rather, it provides that Columbia will use best efforts to offer </w:t>
      </w:r>
      <w:r w:rsidR="00575D19">
        <w:t>"</w:t>
      </w:r>
      <w:r>
        <w:t xml:space="preserve">rate ready </w:t>
      </w:r>
      <w:r w:rsidRPr="00AF4974">
        <w:rPr>
          <w:u w:val="single"/>
        </w:rPr>
        <w:t>and/or</w:t>
      </w:r>
      <w:r>
        <w:t xml:space="preserve"> bill ready billing by individual customer</w:t>
      </w:r>
      <w:r w:rsidR="00575D19">
        <w:t>"</w:t>
      </w:r>
      <w:r>
        <w:t xml:space="preserve"> by April 1, 2017.</w:t>
      </w:r>
      <w:r>
        <w:rPr>
          <w:rStyle w:val="FootnoteReference"/>
        </w:rPr>
        <w:footnoteReference w:id="9"/>
      </w:r>
      <w:r>
        <w:t xml:space="preserve">  Nothing in the Stipulation requires </w:t>
      </w:r>
      <w:r w:rsidR="00552591">
        <w:t>Marketers</w:t>
      </w:r>
      <w:r>
        <w:t xml:space="preserve"> to provide only a Bill Ready charge, nothing in the Stipulation prohibits </w:t>
      </w:r>
      <w:r w:rsidR="00552591">
        <w:t>Marketers</w:t>
      </w:r>
      <w:r>
        <w:t xml:space="preserve"> from providing the rate to Columbia, and nothing in the Stipulation prohibits Columbia from including both the Bill Ready charge and the rate structure on the customer</w:t>
      </w:r>
      <w:r w:rsidR="00575D19">
        <w:t>'</w:t>
      </w:r>
      <w:r>
        <w:t xml:space="preserve">s bill.  Thus, </w:t>
      </w:r>
      <w:r w:rsidR="00521675">
        <w:t>the use of</w:t>
      </w:r>
      <w:r>
        <w:t xml:space="preserve"> Bill Ready and CHOICE Prepay in no way inhibits Columbia</w:t>
      </w:r>
      <w:r w:rsidR="00575D19">
        <w:t>'</w:t>
      </w:r>
      <w:r>
        <w:t>s ability to comply with OAC 4901:1-13-11(B)(9) by including the rate that the customer pays.</w:t>
      </w:r>
    </w:p>
    <w:p w:rsidR="00AF0CA3" w:rsidRPr="00AF0CDD" w:rsidRDefault="00747EA9" w:rsidP="00F242F8">
      <w:pPr>
        <w:pStyle w:val="Heading2"/>
        <w:ind w:right="720"/>
      </w:pPr>
      <w:r>
        <w:t>E</w:t>
      </w:r>
      <w:r w:rsidR="00AF0CDD">
        <w:t>.</w:t>
      </w:r>
      <w:r w:rsidR="00AF0CDD">
        <w:tab/>
      </w:r>
      <w:r w:rsidR="00FF79E7">
        <w:t>Columbia should suspend Bill Ready billing because it currently provides incorrect meter reading information to customers.</w:t>
      </w:r>
    </w:p>
    <w:p w:rsidR="00576F32" w:rsidRPr="00521675" w:rsidRDefault="00FF79E7" w:rsidP="00AF0CDD">
      <w:pPr>
        <w:spacing w:line="480" w:lineRule="auto"/>
        <w:ind w:firstLine="720"/>
        <w:rPr>
          <w:szCs w:val="24"/>
        </w:rPr>
      </w:pPr>
      <w:r>
        <w:rPr>
          <w:szCs w:val="24"/>
        </w:rPr>
        <w:t xml:space="preserve">In its Application, Columbia acknowledges that its billing software does not work properly such that </w:t>
      </w:r>
      <w:r w:rsidR="00575D19">
        <w:rPr>
          <w:szCs w:val="24"/>
        </w:rPr>
        <w:t>"</w:t>
      </w:r>
      <w:r>
        <w:rPr>
          <w:szCs w:val="24"/>
        </w:rPr>
        <w:t>actual meter readings show as estimated meter readings on customer bills.</w:t>
      </w:r>
      <w:r w:rsidR="00575D19">
        <w:rPr>
          <w:szCs w:val="24"/>
        </w:rPr>
        <w:t>"</w:t>
      </w:r>
      <w:r>
        <w:rPr>
          <w:rStyle w:val="FootnoteReference"/>
          <w:szCs w:val="24"/>
        </w:rPr>
        <w:footnoteReference w:id="10"/>
      </w:r>
      <w:r w:rsidR="00602D8A">
        <w:rPr>
          <w:szCs w:val="24"/>
        </w:rPr>
        <w:t xml:space="preserve">  </w:t>
      </w:r>
      <w:r w:rsidR="00602D8A" w:rsidRPr="00B3306B">
        <w:rPr>
          <w:szCs w:val="24"/>
        </w:rPr>
        <w:t>Columbia claims that software programming is underway to address this issue by June 2016.</w:t>
      </w:r>
      <w:r w:rsidR="00602D8A">
        <w:rPr>
          <w:rStyle w:val="FootnoteReference"/>
          <w:szCs w:val="24"/>
        </w:rPr>
        <w:footnoteReference w:id="11"/>
      </w:r>
      <w:r w:rsidR="00602D8A">
        <w:rPr>
          <w:szCs w:val="24"/>
        </w:rPr>
        <w:t xml:space="preserve">  B</w:t>
      </w:r>
      <w:r w:rsidR="00602D8A" w:rsidRPr="00B3306B">
        <w:rPr>
          <w:szCs w:val="24"/>
        </w:rPr>
        <w:t xml:space="preserve">ill </w:t>
      </w:r>
      <w:r w:rsidR="00602D8A">
        <w:rPr>
          <w:szCs w:val="24"/>
        </w:rPr>
        <w:t>R</w:t>
      </w:r>
      <w:r w:rsidR="00602D8A" w:rsidRPr="00B3306B">
        <w:rPr>
          <w:szCs w:val="24"/>
        </w:rPr>
        <w:t xml:space="preserve">eady billing </w:t>
      </w:r>
      <w:r w:rsidR="00552591">
        <w:rPr>
          <w:szCs w:val="24"/>
        </w:rPr>
        <w:t xml:space="preserve">should </w:t>
      </w:r>
      <w:r w:rsidR="00602D8A" w:rsidRPr="00B3306B">
        <w:rPr>
          <w:szCs w:val="24"/>
        </w:rPr>
        <w:t>be suspended indefinitely until Columbia has sufficient time to implement and test the needed software changes.  Given the significant money that customers have spent on Automated Meter Readi</w:t>
      </w:r>
      <w:r w:rsidR="00602D8A">
        <w:rPr>
          <w:szCs w:val="24"/>
        </w:rPr>
        <w:t>ng technology</w:t>
      </w:r>
      <w:r w:rsidR="00602D8A" w:rsidRPr="00B3306B">
        <w:rPr>
          <w:szCs w:val="24"/>
        </w:rPr>
        <w:t xml:space="preserve"> across Columbia</w:t>
      </w:r>
      <w:r w:rsidR="00575D19">
        <w:rPr>
          <w:szCs w:val="24"/>
        </w:rPr>
        <w:t>'</w:t>
      </w:r>
      <w:r w:rsidR="00602D8A" w:rsidRPr="00B3306B">
        <w:rPr>
          <w:szCs w:val="24"/>
        </w:rPr>
        <w:t>s service territory</w:t>
      </w:r>
      <w:r w:rsidR="00EC5D6C">
        <w:rPr>
          <w:szCs w:val="24"/>
        </w:rPr>
        <w:t xml:space="preserve"> (at least $79 million to date</w:t>
      </w:r>
      <w:r w:rsidR="00EC5D6C">
        <w:rPr>
          <w:rStyle w:val="FootnoteReference"/>
          <w:szCs w:val="24"/>
        </w:rPr>
        <w:footnoteReference w:id="12"/>
      </w:r>
      <w:r w:rsidR="00EC5D6C">
        <w:rPr>
          <w:szCs w:val="24"/>
        </w:rPr>
        <w:t>)</w:t>
      </w:r>
      <w:r w:rsidR="00602D8A" w:rsidRPr="00B3306B">
        <w:rPr>
          <w:szCs w:val="24"/>
        </w:rPr>
        <w:t xml:space="preserve">, customers should not be provided </w:t>
      </w:r>
      <w:r w:rsidR="00602D8A">
        <w:rPr>
          <w:szCs w:val="24"/>
        </w:rPr>
        <w:t xml:space="preserve">with </w:t>
      </w:r>
      <w:r w:rsidR="00602D8A" w:rsidRPr="00B3306B">
        <w:rPr>
          <w:szCs w:val="24"/>
        </w:rPr>
        <w:t>inaccurate information concerning meter reading on their bill</w:t>
      </w:r>
      <w:r w:rsidR="00602D8A">
        <w:rPr>
          <w:szCs w:val="24"/>
        </w:rPr>
        <w:t>s</w:t>
      </w:r>
      <w:r w:rsidR="00602D8A" w:rsidRPr="00B3306B">
        <w:rPr>
          <w:szCs w:val="24"/>
        </w:rPr>
        <w:t>.</w:t>
      </w:r>
    </w:p>
    <w:p w:rsidR="00576F32" w:rsidRPr="00F242F8" w:rsidRDefault="004B622A" w:rsidP="00F242F8">
      <w:pPr>
        <w:pStyle w:val="Heading2"/>
      </w:pPr>
      <w:r w:rsidRPr="00F242F8">
        <w:t>F</w:t>
      </w:r>
      <w:r w:rsidR="00602D8A" w:rsidRPr="00F242F8">
        <w:t>.</w:t>
      </w:r>
      <w:r w:rsidR="00602D8A" w:rsidRPr="00F242F8">
        <w:tab/>
        <w:t>Conclusion</w:t>
      </w:r>
    </w:p>
    <w:p w:rsidR="00602D8A" w:rsidRDefault="00747EA9" w:rsidP="000A16DA">
      <w:pPr>
        <w:spacing w:line="480" w:lineRule="auto"/>
        <w:ind w:firstLine="720"/>
      </w:pPr>
      <w:r>
        <w:t xml:space="preserve">By law, Columbia cannot obtain a waiver of the disclosure requirement under OAC 4901:1-13-11(B).  </w:t>
      </w:r>
      <w:r w:rsidR="003B29BC">
        <w:t>S</w:t>
      </w:r>
      <w:r>
        <w:t>uch a waiver is against the best interests of Columbia</w:t>
      </w:r>
      <w:r w:rsidR="00575D19">
        <w:t>'</w:t>
      </w:r>
      <w:r>
        <w:t xml:space="preserve">s customers. </w:t>
      </w:r>
      <w:r w:rsidR="00602D8A">
        <w:t xml:space="preserve"> Customers have lost well over a billion dollars by choosing </w:t>
      </w:r>
      <w:r w:rsidR="00926B4A">
        <w:t>Marketers</w:t>
      </w:r>
      <w:r w:rsidR="00602D8A">
        <w:t xml:space="preserve"> over the S</w:t>
      </w:r>
      <w:r w:rsidR="00926B4A">
        <w:t xml:space="preserve">tandard </w:t>
      </w:r>
      <w:r w:rsidR="00602D8A">
        <w:t>O</w:t>
      </w:r>
      <w:r w:rsidR="00926B4A">
        <w:t>ffer</w:t>
      </w:r>
      <w:r w:rsidR="00602D8A">
        <w:t>, and they will continue to lose money if they cannot make informed decisions.  Customers</w:t>
      </w:r>
      <w:r w:rsidR="00575D19">
        <w:t>'</w:t>
      </w:r>
      <w:r w:rsidR="00602D8A">
        <w:t xml:space="preserve"> monthly bills should include (a) the rate that they pay for natural gas through their </w:t>
      </w:r>
      <w:r w:rsidR="00926B4A">
        <w:t>Marketer</w:t>
      </w:r>
      <w:r w:rsidR="00602D8A">
        <w:t xml:space="preserve"> and (b) the S</w:t>
      </w:r>
      <w:r w:rsidR="00926B4A">
        <w:t xml:space="preserve">tandard </w:t>
      </w:r>
      <w:r w:rsidR="00602D8A">
        <w:t>O</w:t>
      </w:r>
      <w:r w:rsidR="00926B4A">
        <w:t>ffer</w:t>
      </w:r>
      <w:r w:rsidR="00602D8A">
        <w:t xml:space="preserve"> rate.  Then, at the very least, customers can compare what they pay for natural gas to the S</w:t>
      </w:r>
      <w:r w:rsidR="00926B4A">
        <w:t xml:space="preserve">tandard </w:t>
      </w:r>
      <w:r w:rsidR="00602D8A">
        <w:t>O</w:t>
      </w:r>
      <w:r w:rsidR="00926B4A">
        <w:t>ffer</w:t>
      </w:r>
      <w:r w:rsidR="00602D8A">
        <w:t xml:space="preserve"> rate to determine whether they are saving or losing money by using a </w:t>
      </w:r>
      <w:r w:rsidR="00926B4A">
        <w:t>Marketer</w:t>
      </w:r>
      <w:r w:rsidR="00602D8A">
        <w:t xml:space="preserve">.  </w:t>
      </w:r>
      <w:r w:rsidR="00521675">
        <w:t xml:space="preserve">OAC 4901:1-13-11(B) </w:t>
      </w:r>
      <w:r w:rsidR="00602D8A">
        <w:t>is designed to protect consumers by providing them with detailed rate information</w:t>
      </w:r>
      <w:r w:rsidR="00521675">
        <w:t>.  Columbia</w:t>
      </w:r>
      <w:r w:rsidR="00575D19">
        <w:t>'</w:t>
      </w:r>
      <w:r w:rsidR="00521675">
        <w:t>s proposed waiver</w:t>
      </w:r>
      <w:r w:rsidR="00602D8A">
        <w:t xml:space="preserve"> makes customers less informed and increases the likelihood that customers will continue to pay natural gas bills that are significantly higher than they need to be.</w:t>
      </w:r>
      <w:r w:rsidR="00521675">
        <w:t xml:space="preserve">  To protect the interests of consumers, the PUCO should deny Columbia</w:t>
      </w:r>
      <w:r w:rsidR="00575D19">
        <w:t>'</w:t>
      </w:r>
      <w:r w:rsidR="00521675">
        <w:t>s Application and should require Columbia to comply with OAC 4901:1-13-11(B).</w:t>
      </w:r>
    </w:p>
    <w:p w:rsidR="00552591" w:rsidRDefault="00552591">
      <w:pPr>
        <w:rPr>
          <w:szCs w:val="24"/>
        </w:rPr>
      </w:pPr>
      <w:r>
        <w:rPr>
          <w:szCs w:val="24"/>
        </w:rPr>
        <w:br w:type="page"/>
      </w:r>
    </w:p>
    <w:p w:rsidR="007C2976" w:rsidRPr="00710E80" w:rsidRDefault="007C2976" w:rsidP="00A25FE5">
      <w:pPr>
        <w:pStyle w:val="BodyTextIndent3"/>
        <w:widowControl w:val="0"/>
        <w:spacing w:line="480" w:lineRule="auto"/>
        <w:ind w:left="4320" w:firstLine="0"/>
        <w:rPr>
          <w:szCs w:val="24"/>
        </w:rPr>
      </w:pPr>
      <w:r w:rsidRPr="00710E80">
        <w:rPr>
          <w:szCs w:val="24"/>
        </w:rPr>
        <w:t>Respectfully submitted,</w:t>
      </w:r>
    </w:p>
    <w:p w:rsidR="007C2976" w:rsidRPr="00710E80" w:rsidRDefault="007C2976" w:rsidP="003B5047">
      <w:pPr>
        <w:ind w:left="4320"/>
      </w:pPr>
      <w:r w:rsidRPr="00710E80">
        <w:t>BRUCE J. WESTON</w:t>
      </w:r>
      <w:r w:rsidR="003B5047" w:rsidRPr="00710E80">
        <w:t xml:space="preserve"> (0016973)</w:t>
      </w:r>
    </w:p>
    <w:p w:rsidR="007C2976" w:rsidRPr="00710E80" w:rsidRDefault="003B5047" w:rsidP="007C2976">
      <w:pPr>
        <w:tabs>
          <w:tab w:val="left" w:pos="4320"/>
        </w:tabs>
        <w:ind w:left="4320"/>
        <w:rPr>
          <w:szCs w:val="24"/>
        </w:rPr>
      </w:pPr>
      <w:r w:rsidRPr="00710E80">
        <w:rPr>
          <w:szCs w:val="24"/>
        </w:rPr>
        <w:t>OHIO</w:t>
      </w:r>
      <w:r w:rsidR="007C2976" w:rsidRPr="00710E80">
        <w:rPr>
          <w:szCs w:val="24"/>
        </w:rPr>
        <w:t xml:space="preserve"> CONSUMERS</w:t>
      </w:r>
      <w:r w:rsidR="00575D19">
        <w:rPr>
          <w:szCs w:val="24"/>
        </w:rPr>
        <w:t>'</w:t>
      </w:r>
      <w:r w:rsidR="007C2976" w:rsidRPr="00710E80">
        <w:rPr>
          <w:szCs w:val="24"/>
        </w:rPr>
        <w:t xml:space="preserve"> COUNSEL</w:t>
      </w:r>
    </w:p>
    <w:p w:rsidR="007C2976" w:rsidRPr="00710E80" w:rsidRDefault="007C2976" w:rsidP="007C2976">
      <w:pPr>
        <w:tabs>
          <w:tab w:val="left" w:pos="4320"/>
        </w:tabs>
        <w:ind w:left="4320"/>
        <w:rPr>
          <w:szCs w:val="24"/>
        </w:rPr>
      </w:pPr>
    </w:p>
    <w:p w:rsidR="00C05D8D" w:rsidRPr="00710E80" w:rsidRDefault="00C05D8D" w:rsidP="00C05D8D">
      <w:pPr>
        <w:autoSpaceDE w:val="0"/>
        <w:autoSpaceDN w:val="0"/>
        <w:adjustRightInd w:val="0"/>
        <w:ind w:left="4320"/>
        <w:rPr>
          <w:i/>
        </w:rPr>
      </w:pPr>
      <w:r w:rsidRPr="00710E80">
        <w:rPr>
          <w:i/>
          <w:u w:val="single"/>
        </w:rPr>
        <w:t>/s/</w:t>
      </w:r>
      <w:r w:rsidR="004C1B7C" w:rsidRPr="00710E80">
        <w:rPr>
          <w:i/>
          <w:u w:val="single"/>
        </w:rPr>
        <w:t xml:space="preserve"> Christopher Healey</w:t>
      </w:r>
      <w:r w:rsidR="004C1B7C" w:rsidRPr="00710E80">
        <w:rPr>
          <w:i/>
          <w:u w:val="single"/>
        </w:rPr>
        <w:tab/>
      </w:r>
    </w:p>
    <w:p w:rsidR="007C2976" w:rsidRPr="00710E80" w:rsidRDefault="001A5489" w:rsidP="007C2976">
      <w:pPr>
        <w:tabs>
          <w:tab w:val="left" w:pos="4320"/>
        </w:tabs>
        <w:ind w:left="4320"/>
        <w:rPr>
          <w:szCs w:val="24"/>
        </w:rPr>
      </w:pPr>
      <w:r w:rsidRPr="00710E80">
        <w:rPr>
          <w:szCs w:val="24"/>
        </w:rPr>
        <w:t>Christopher Healey</w:t>
      </w:r>
      <w:r w:rsidR="003B5047" w:rsidRPr="00710E80">
        <w:rPr>
          <w:szCs w:val="24"/>
        </w:rPr>
        <w:t xml:space="preserve"> (00</w:t>
      </w:r>
      <w:r w:rsidRPr="00710E80">
        <w:rPr>
          <w:szCs w:val="24"/>
        </w:rPr>
        <w:t>86027</w:t>
      </w:r>
      <w:r w:rsidR="003B5047" w:rsidRPr="00710E80">
        <w:rPr>
          <w:szCs w:val="24"/>
        </w:rPr>
        <w:t>)</w:t>
      </w:r>
      <w:r w:rsidRPr="00710E80">
        <w:rPr>
          <w:szCs w:val="24"/>
        </w:rPr>
        <w:br/>
      </w:r>
      <w:r w:rsidR="007C2976" w:rsidRPr="00710E80">
        <w:rPr>
          <w:szCs w:val="24"/>
        </w:rPr>
        <w:t>Counsel of Record</w:t>
      </w:r>
    </w:p>
    <w:p w:rsidR="003B5047" w:rsidRPr="00710E80" w:rsidRDefault="001A5489" w:rsidP="003B5047">
      <w:pPr>
        <w:tabs>
          <w:tab w:val="left" w:pos="4320"/>
        </w:tabs>
        <w:ind w:left="4320"/>
        <w:rPr>
          <w:szCs w:val="24"/>
        </w:rPr>
      </w:pPr>
      <w:r w:rsidRPr="00710E80">
        <w:rPr>
          <w:szCs w:val="24"/>
        </w:rPr>
        <w:t>Jodi Bair</w:t>
      </w:r>
      <w:r w:rsidR="003B5047" w:rsidRPr="00710E80">
        <w:rPr>
          <w:szCs w:val="24"/>
        </w:rPr>
        <w:t xml:space="preserve"> (</w:t>
      </w:r>
      <w:r w:rsidRPr="00710E80">
        <w:rPr>
          <w:rFonts w:eastAsiaTheme="minorEastAsia"/>
          <w:szCs w:val="24"/>
        </w:rPr>
        <w:t>0062921</w:t>
      </w:r>
      <w:r w:rsidR="003B5047" w:rsidRPr="00710E80">
        <w:t>)</w:t>
      </w:r>
    </w:p>
    <w:p w:rsidR="003B5047" w:rsidRPr="00710E80" w:rsidRDefault="001A5489" w:rsidP="003B5047">
      <w:pPr>
        <w:tabs>
          <w:tab w:val="left" w:pos="4320"/>
        </w:tabs>
        <w:ind w:left="4320"/>
        <w:rPr>
          <w:szCs w:val="24"/>
        </w:rPr>
      </w:pPr>
      <w:r w:rsidRPr="00710E80">
        <w:rPr>
          <w:szCs w:val="24"/>
        </w:rPr>
        <w:t>Assistant Consumers</w:t>
      </w:r>
      <w:r w:rsidR="00575D19">
        <w:rPr>
          <w:szCs w:val="24"/>
        </w:rPr>
        <w:t>'</w:t>
      </w:r>
      <w:r w:rsidRPr="00710E80">
        <w:rPr>
          <w:szCs w:val="24"/>
        </w:rPr>
        <w:t xml:space="preserve"> Counsel</w:t>
      </w:r>
    </w:p>
    <w:p w:rsidR="007C2976" w:rsidRPr="004B622A" w:rsidRDefault="007C2976" w:rsidP="004B622A">
      <w:pPr>
        <w:ind w:firstLine="4320"/>
      </w:pPr>
      <w:r w:rsidRPr="004B622A">
        <w:t>Office of the Ohio Consumers</w:t>
      </w:r>
      <w:r w:rsidR="00575D19">
        <w:t>'</w:t>
      </w:r>
      <w:r w:rsidRPr="004B622A">
        <w:t xml:space="preserve"> Counsel</w:t>
      </w:r>
    </w:p>
    <w:p w:rsidR="007C2976" w:rsidRPr="004B622A" w:rsidRDefault="007C2976" w:rsidP="004B622A">
      <w:pPr>
        <w:ind w:firstLine="4320"/>
      </w:pPr>
      <w:r w:rsidRPr="004B622A">
        <w:t>10 West Broad Street, Suite 1800</w:t>
      </w:r>
    </w:p>
    <w:p w:rsidR="007C2976" w:rsidRPr="004B622A" w:rsidRDefault="007C2976" w:rsidP="004B622A">
      <w:pPr>
        <w:ind w:firstLine="4320"/>
      </w:pPr>
      <w:r w:rsidRPr="004B622A">
        <w:t>Columbus, Ohio 43215-3485</w:t>
      </w:r>
    </w:p>
    <w:p w:rsidR="003B5047" w:rsidRPr="00710E80" w:rsidRDefault="001A5489" w:rsidP="003B5047">
      <w:pPr>
        <w:autoSpaceDE w:val="0"/>
        <w:autoSpaceDN w:val="0"/>
        <w:adjustRightInd w:val="0"/>
        <w:ind w:left="3600" w:firstLine="720"/>
        <w:rPr>
          <w:szCs w:val="24"/>
        </w:rPr>
      </w:pPr>
      <w:r w:rsidRPr="00710E80">
        <w:rPr>
          <w:szCs w:val="24"/>
        </w:rPr>
        <w:t>Telephone</w:t>
      </w:r>
      <w:r w:rsidR="004B622A">
        <w:rPr>
          <w:szCs w:val="24"/>
        </w:rPr>
        <w:t xml:space="preserve"> [Healey]</w:t>
      </w:r>
      <w:r w:rsidRPr="00710E80">
        <w:rPr>
          <w:szCs w:val="24"/>
        </w:rPr>
        <w:t xml:space="preserve">: </w:t>
      </w:r>
      <w:r w:rsidR="003B5047" w:rsidRPr="00710E80">
        <w:rPr>
          <w:szCs w:val="24"/>
        </w:rPr>
        <w:t xml:space="preserve">(614) 466-9571 </w:t>
      </w:r>
    </w:p>
    <w:p w:rsidR="001A5489" w:rsidRPr="00710E80" w:rsidRDefault="001A5489" w:rsidP="001A5489">
      <w:pPr>
        <w:ind w:left="4320"/>
        <w:rPr>
          <w:szCs w:val="24"/>
        </w:rPr>
      </w:pPr>
      <w:r w:rsidRPr="00710E80">
        <w:t>Telephone</w:t>
      </w:r>
      <w:r w:rsidR="004B622A">
        <w:t xml:space="preserve"> [Bair]</w:t>
      </w:r>
      <w:r w:rsidRPr="00710E80">
        <w:t xml:space="preserve">: (614) </w:t>
      </w:r>
      <w:r w:rsidRPr="00710E80">
        <w:rPr>
          <w:szCs w:val="24"/>
        </w:rPr>
        <w:t xml:space="preserve">466-9559 </w:t>
      </w:r>
    </w:p>
    <w:p w:rsidR="003B5047" w:rsidRDefault="00762E17" w:rsidP="003B5047">
      <w:pPr>
        <w:ind w:left="4320"/>
        <w:rPr>
          <w:rStyle w:val="Hyperlink"/>
          <w:szCs w:val="24"/>
        </w:rPr>
      </w:pPr>
      <w:hyperlink r:id="rId14" w:history="1">
        <w:r w:rsidR="001A5489" w:rsidRPr="00710E80">
          <w:rPr>
            <w:rStyle w:val="Hyperlink"/>
            <w:szCs w:val="24"/>
          </w:rPr>
          <w:t>christopher.healey@occ.ohio.gov</w:t>
        </w:r>
      </w:hyperlink>
    </w:p>
    <w:p w:rsidR="001A5489" w:rsidRPr="00710E80" w:rsidRDefault="00762E17" w:rsidP="003B5047">
      <w:pPr>
        <w:ind w:left="4320"/>
        <w:rPr>
          <w:szCs w:val="24"/>
        </w:rPr>
      </w:pPr>
      <w:hyperlink r:id="rId15" w:history="1">
        <w:r w:rsidR="001A5489" w:rsidRPr="00710E80">
          <w:rPr>
            <w:rStyle w:val="Hyperlink"/>
            <w:szCs w:val="24"/>
          </w:rPr>
          <w:t>jodi.bair@occ.ohio.gov</w:t>
        </w:r>
      </w:hyperlink>
      <w:r w:rsidR="001A5489" w:rsidRPr="00710E80">
        <w:rPr>
          <w:szCs w:val="24"/>
        </w:rPr>
        <w:t xml:space="preserve"> </w:t>
      </w:r>
    </w:p>
    <w:p w:rsidR="008504E7" w:rsidRDefault="007A66D1" w:rsidP="00C27D5C">
      <w:pPr>
        <w:ind w:left="4320"/>
        <w:rPr>
          <w:szCs w:val="24"/>
        </w:rPr>
      </w:pPr>
      <w:r>
        <w:rPr>
          <w:szCs w:val="24"/>
        </w:rPr>
        <w:t>(</w:t>
      </w:r>
      <w:r w:rsidR="004B622A">
        <w:rPr>
          <w:szCs w:val="24"/>
        </w:rPr>
        <w:t>A</w:t>
      </w:r>
      <w:r w:rsidR="008504E7">
        <w:rPr>
          <w:szCs w:val="24"/>
        </w:rPr>
        <w:t xml:space="preserve">ll </w:t>
      </w:r>
      <w:r w:rsidR="00D0554D" w:rsidRPr="00710E80">
        <w:rPr>
          <w:szCs w:val="24"/>
        </w:rPr>
        <w:t>will accept service via email)</w:t>
      </w:r>
    </w:p>
    <w:p w:rsidR="00253B57" w:rsidRDefault="008504E7">
      <w:pPr>
        <w:rPr>
          <w:szCs w:val="24"/>
        </w:rPr>
        <w:sectPr w:rsidR="00253B57" w:rsidSect="00253B57">
          <w:footerReference w:type="default" r:id="rId16"/>
          <w:pgSz w:w="12240" w:h="15840"/>
          <w:pgMar w:top="1440" w:right="1800" w:bottom="1440" w:left="1800" w:header="720" w:footer="720" w:gutter="0"/>
          <w:pgNumType w:start="2"/>
          <w:cols w:space="720"/>
          <w:docGrid w:linePitch="360"/>
        </w:sectPr>
      </w:pPr>
      <w:r>
        <w:rPr>
          <w:szCs w:val="24"/>
        </w:rPr>
        <w:br w:type="page"/>
      </w:r>
    </w:p>
    <w:p w:rsidR="007C2976" w:rsidRPr="00710E80" w:rsidRDefault="007C2976" w:rsidP="007C2976">
      <w:pPr>
        <w:jc w:val="center"/>
        <w:rPr>
          <w:b/>
          <w:bCs/>
          <w:u w:val="single"/>
        </w:rPr>
      </w:pPr>
      <w:r w:rsidRPr="00710E80">
        <w:rPr>
          <w:b/>
          <w:bCs/>
          <w:u w:val="single"/>
        </w:rPr>
        <w:t>CERTIFICATE OF SERVICE</w:t>
      </w:r>
    </w:p>
    <w:p w:rsidR="007C2976" w:rsidRPr="00710E80" w:rsidRDefault="007C2976" w:rsidP="00D0554D">
      <w:pPr>
        <w:spacing w:line="480" w:lineRule="atLeast"/>
        <w:ind w:firstLine="720"/>
      </w:pPr>
      <w:r w:rsidRPr="00710E80">
        <w:t>I he</w:t>
      </w:r>
      <w:r w:rsidR="00357F27">
        <w:t xml:space="preserve">reby certify that a copy of these Comments </w:t>
      </w:r>
      <w:r w:rsidRPr="00710E80">
        <w:t>was served on the persons stated below via</w:t>
      </w:r>
      <w:r w:rsidRPr="00710E80">
        <w:rPr>
          <w:i/>
        </w:rPr>
        <w:t xml:space="preserve"> </w:t>
      </w:r>
      <w:r w:rsidR="00D50439" w:rsidRPr="00710E80">
        <w:t>electric transmission</w:t>
      </w:r>
      <w:r w:rsidRPr="00710E80">
        <w:t xml:space="preserve"> this </w:t>
      </w:r>
      <w:r w:rsidR="00552591">
        <w:t>6th</w:t>
      </w:r>
      <w:r w:rsidR="00385370" w:rsidRPr="00710E80">
        <w:t xml:space="preserve"> </w:t>
      </w:r>
      <w:r w:rsidRPr="00710E80">
        <w:t xml:space="preserve">day of </w:t>
      </w:r>
      <w:r w:rsidR="00602D8A">
        <w:t>May</w:t>
      </w:r>
      <w:r w:rsidRPr="00710E80">
        <w:t xml:space="preserve"> 201</w:t>
      </w:r>
      <w:r w:rsidR="00666AB5" w:rsidRPr="00710E80">
        <w:t>6</w:t>
      </w:r>
      <w:r w:rsidRPr="00710E80">
        <w:t>.</w:t>
      </w:r>
    </w:p>
    <w:p w:rsidR="007C2976" w:rsidRPr="00710E80" w:rsidRDefault="007C2976" w:rsidP="007C2976">
      <w:pPr>
        <w:spacing w:line="480" w:lineRule="atLeast"/>
      </w:pPr>
    </w:p>
    <w:p w:rsidR="00C05D8D" w:rsidRPr="00710E80" w:rsidRDefault="00C05D8D" w:rsidP="00C05D8D">
      <w:pPr>
        <w:autoSpaceDE w:val="0"/>
        <w:autoSpaceDN w:val="0"/>
        <w:adjustRightInd w:val="0"/>
        <w:ind w:left="4320"/>
        <w:rPr>
          <w:i/>
        </w:rPr>
      </w:pPr>
      <w:r w:rsidRPr="00710E80">
        <w:rPr>
          <w:i/>
          <w:u w:val="single"/>
        </w:rPr>
        <w:t>/s/ </w:t>
      </w:r>
      <w:r w:rsidR="00385370" w:rsidRPr="00710E80">
        <w:rPr>
          <w:i/>
          <w:u w:val="single"/>
        </w:rPr>
        <w:t>Christopher Healey</w:t>
      </w:r>
      <w:r w:rsidR="00385370" w:rsidRPr="00710E80">
        <w:rPr>
          <w:i/>
          <w:u w:val="single"/>
        </w:rPr>
        <w:tab/>
      </w:r>
    </w:p>
    <w:p w:rsidR="007C2976" w:rsidRPr="00710E80" w:rsidRDefault="00D0554D" w:rsidP="00C05D8D">
      <w:pPr>
        <w:tabs>
          <w:tab w:val="left" w:pos="4320"/>
        </w:tabs>
        <w:ind w:left="4320"/>
      </w:pPr>
      <w:r w:rsidRPr="00710E80">
        <w:t>Christopher Healey</w:t>
      </w:r>
      <w:r w:rsidRPr="00710E80">
        <w:br/>
      </w:r>
      <w:r w:rsidR="0091432F">
        <w:t>Assistant Consumers</w:t>
      </w:r>
      <w:r w:rsidR="00575D19">
        <w:t>'</w:t>
      </w:r>
      <w:r w:rsidR="0091432F">
        <w:t xml:space="preserve"> Counsel</w:t>
      </w:r>
    </w:p>
    <w:p w:rsidR="007C2976" w:rsidRPr="00710E80" w:rsidRDefault="007C2976" w:rsidP="007C2976">
      <w:pPr>
        <w:pStyle w:val="CommentSubject"/>
      </w:pPr>
    </w:p>
    <w:p w:rsidR="007C2976" w:rsidRPr="00710E80" w:rsidRDefault="007C2976" w:rsidP="007C2976">
      <w:pPr>
        <w:pStyle w:val="CommentText"/>
      </w:pPr>
    </w:p>
    <w:p w:rsidR="007C2976" w:rsidRDefault="007C2976" w:rsidP="00C11533">
      <w:pPr>
        <w:pStyle w:val="CommentText"/>
        <w:jc w:val="center"/>
        <w:rPr>
          <w:b/>
          <w:u w:val="single"/>
        </w:rPr>
      </w:pPr>
      <w:r w:rsidRPr="00710E80">
        <w:rPr>
          <w:b/>
          <w:u w:val="single"/>
        </w:rPr>
        <w:t>SERVICE LIST</w:t>
      </w:r>
    </w:p>
    <w:p w:rsidR="009B2C44" w:rsidRPr="00710E80" w:rsidRDefault="009B2C44" w:rsidP="00C11533">
      <w:pPr>
        <w:pStyle w:val="CommentText"/>
        <w:jc w:val="center"/>
        <w:rPr>
          <w:b/>
          <w:bCs/>
        </w:rPr>
      </w:pPr>
    </w:p>
    <w:tbl>
      <w:tblPr>
        <w:tblW w:w="0" w:type="auto"/>
        <w:tblLook w:val="01E0" w:firstRow="1" w:lastRow="1" w:firstColumn="1" w:lastColumn="1" w:noHBand="0" w:noVBand="0"/>
      </w:tblPr>
      <w:tblGrid>
        <w:gridCol w:w="4428"/>
        <w:gridCol w:w="4428"/>
      </w:tblGrid>
      <w:tr w:rsidR="007C2976" w:rsidRPr="00710E80" w:rsidTr="00C30244">
        <w:tc>
          <w:tcPr>
            <w:tcW w:w="4428" w:type="dxa"/>
            <w:shd w:val="clear" w:color="auto" w:fill="auto"/>
          </w:tcPr>
          <w:p w:rsidR="00E77996" w:rsidRDefault="00E77996" w:rsidP="00E77996">
            <w:pPr>
              <w:autoSpaceDE w:val="0"/>
              <w:autoSpaceDN w:val="0"/>
              <w:adjustRightInd w:val="0"/>
              <w:rPr>
                <w:rFonts w:ascii="PalatinoLinotype" w:hAnsi="PalatinoLinotype" w:cs="PalatinoLinotype"/>
                <w:szCs w:val="24"/>
              </w:rPr>
            </w:pPr>
            <w:r>
              <w:rPr>
                <w:rFonts w:ascii="PalatinoLinotype" w:hAnsi="PalatinoLinotype" w:cs="PalatinoLinotype"/>
                <w:szCs w:val="24"/>
              </w:rPr>
              <w:t>Stephen B. Seiple</w:t>
            </w:r>
          </w:p>
          <w:p w:rsidR="00E77996" w:rsidRDefault="00E77996" w:rsidP="00E77996">
            <w:pPr>
              <w:autoSpaceDE w:val="0"/>
              <w:autoSpaceDN w:val="0"/>
              <w:adjustRightInd w:val="0"/>
              <w:rPr>
                <w:rFonts w:ascii="PalatinoLinotype" w:hAnsi="PalatinoLinotype" w:cs="PalatinoLinotype"/>
                <w:szCs w:val="24"/>
              </w:rPr>
            </w:pPr>
            <w:r>
              <w:rPr>
                <w:rFonts w:ascii="PalatinoLinotype" w:hAnsi="PalatinoLinotype" w:cs="PalatinoLinotype"/>
                <w:szCs w:val="24"/>
              </w:rPr>
              <w:t>Joseph M. Clark</w:t>
            </w:r>
          </w:p>
          <w:p w:rsidR="00E77996" w:rsidRDefault="00E77996" w:rsidP="00E77996">
            <w:pPr>
              <w:autoSpaceDE w:val="0"/>
              <w:autoSpaceDN w:val="0"/>
              <w:adjustRightInd w:val="0"/>
              <w:rPr>
                <w:rFonts w:ascii="PalatinoLinotype" w:hAnsi="PalatinoLinotype" w:cs="PalatinoLinotype"/>
                <w:szCs w:val="24"/>
              </w:rPr>
            </w:pPr>
            <w:r>
              <w:rPr>
                <w:rFonts w:ascii="PalatinoLinotype" w:hAnsi="PalatinoLinotype" w:cs="PalatinoLinotype"/>
                <w:szCs w:val="24"/>
              </w:rPr>
              <w:t>P.O. Box 117</w:t>
            </w:r>
          </w:p>
          <w:p w:rsidR="00E77996" w:rsidRDefault="00E77996" w:rsidP="00E77996">
            <w:pPr>
              <w:autoSpaceDE w:val="0"/>
              <w:autoSpaceDN w:val="0"/>
              <w:adjustRightInd w:val="0"/>
              <w:rPr>
                <w:rFonts w:ascii="PalatinoLinotype" w:hAnsi="PalatinoLinotype" w:cs="PalatinoLinotype"/>
                <w:szCs w:val="24"/>
              </w:rPr>
            </w:pPr>
            <w:r>
              <w:rPr>
                <w:rFonts w:ascii="PalatinoLinotype" w:hAnsi="PalatinoLinotype" w:cs="PalatinoLinotype"/>
                <w:szCs w:val="24"/>
              </w:rPr>
              <w:t>290 W. Nationwide Blvd.</w:t>
            </w:r>
          </w:p>
          <w:p w:rsidR="00E77996" w:rsidRDefault="00E77996" w:rsidP="00E77996">
            <w:pPr>
              <w:autoSpaceDE w:val="0"/>
              <w:autoSpaceDN w:val="0"/>
              <w:adjustRightInd w:val="0"/>
              <w:rPr>
                <w:rFonts w:ascii="PalatinoLinotype" w:hAnsi="PalatinoLinotype" w:cs="PalatinoLinotype"/>
                <w:szCs w:val="24"/>
              </w:rPr>
            </w:pPr>
            <w:r>
              <w:rPr>
                <w:rFonts w:ascii="PalatinoLinotype" w:hAnsi="PalatinoLinotype" w:cs="PalatinoLinotype"/>
                <w:szCs w:val="24"/>
              </w:rPr>
              <w:t>Columbus, Ohio 43216-0117</w:t>
            </w:r>
          </w:p>
          <w:p w:rsidR="00E77996" w:rsidRDefault="00762E17" w:rsidP="00E77996">
            <w:pPr>
              <w:autoSpaceDE w:val="0"/>
              <w:autoSpaceDN w:val="0"/>
              <w:adjustRightInd w:val="0"/>
              <w:rPr>
                <w:rFonts w:ascii="PalatinoLinotype" w:hAnsi="PalatinoLinotype" w:cs="PalatinoLinotype"/>
                <w:szCs w:val="24"/>
              </w:rPr>
            </w:pPr>
            <w:hyperlink r:id="rId17" w:history="1">
              <w:r w:rsidR="00E77996" w:rsidRPr="00A52877">
                <w:rPr>
                  <w:rStyle w:val="Hyperlink"/>
                  <w:rFonts w:ascii="PalatinoLinotype" w:hAnsi="PalatinoLinotype" w:cs="PalatinoLinotype"/>
                  <w:szCs w:val="24"/>
                </w:rPr>
                <w:t>sseiple@nisource.com</w:t>
              </w:r>
            </w:hyperlink>
            <w:r w:rsidR="00E77996">
              <w:rPr>
                <w:rFonts w:ascii="PalatinoLinotype" w:hAnsi="PalatinoLinotype" w:cs="PalatinoLinotype"/>
                <w:szCs w:val="24"/>
              </w:rPr>
              <w:t xml:space="preserve"> </w:t>
            </w:r>
          </w:p>
          <w:p w:rsidR="007C2976" w:rsidRPr="00710E80" w:rsidRDefault="00762E17" w:rsidP="00E77996">
            <w:pPr>
              <w:autoSpaceDE w:val="0"/>
              <w:autoSpaceDN w:val="0"/>
              <w:adjustRightInd w:val="0"/>
              <w:rPr>
                <w:bCs/>
              </w:rPr>
            </w:pPr>
            <w:hyperlink r:id="rId18" w:history="1">
              <w:r w:rsidR="00E77996" w:rsidRPr="00A52877">
                <w:rPr>
                  <w:rStyle w:val="Hyperlink"/>
                  <w:rFonts w:ascii="PalatinoLinotype" w:hAnsi="PalatinoLinotype" w:cs="PalatinoLinotype"/>
                  <w:szCs w:val="24"/>
                </w:rPr>
                <w:t>josephclark@nisource.com</w:t>
              </w:r>
            </w:hyperlink>
            <w:r w:rsidR="00E77996">
              <w:rPr>
                <w:rFonts w:ascii="PalatinoLinotype" w:hAnsi="PalatinoLinotype" w:cs="PalatinoLinotype"/>
                <w:szCs w:val="24"/>
              </w:rPr>
              <w:t xml:space="preserve"> </w:t>
            </w:r>
          </w:p>
        </w:tc>
        <w:tc>
          <w:tcPr>
            <w:tcW w:w="4428" w:type="dxa"/>
            <w:shd w:val="clear" w:color="auto" w:fill="auto"/>
          </w:tcPr>
          <w:p w:rsidR="00666AB5" w:rsidRDefault="004B622A" w:rsidP="00666AB5">
            <w:pPr>
              <w:pStyle w:val="BodyText"/>
              <w:jc w:val="left"/>
            </w:pPr>
            <w:r>
              <w:t>William Wright</w:t>
            </w:r>
          </w:p>
          <w:p w:rsidR="004B622A" w:rsidRDefault="004B622A" w:rsidP="00666AB5">
            <w:pPr>
              <w:pStyle w:val="BodyText"/>
              <w:jc w:val="left"/>
            </w:pPr>
            <w:r>
              <w:t>180 East Broad Street</w:t>
            </w:r>
          </w:p>
          <w:p w:rsidR="004B622A" w:rsidRDefault="004B622A" w:rsidP="00666AB5">
            <w:pPr>
              <w:pStyle w:val="BodyText"/>
              <w:jc w:val="left"/>
            </w:pPr>
            <w:r>
              <w:t>Columbus, Ohio 43215</w:t>
            </w:r>
          </w:p>
          <w:p w:rsidR="004B622A" w:rsidRPr="00710E80" w:rsidRDefault="00762E17" w:rsidP="00666AB5">
            <w:pPr>
              <w:pStyle w:val="BodyText"/>
              <w:jc w:val="left"/>
            </w:pPr>
            <w:hyperlink r:id="rId19" w:history="1">
              <w:r w:rsidR="00253B57" w:rsidRPr="00792F98">
                <w:rPr>
                  <w:rStyle w:val="Hyperlink"/>
                </w:rPr>
                <w:t>William.wright@puc.state.oh.us</w:t>
              </w:r>
            </w:hyperlink>
            <w:r w:rsidR="00253B57">
              <w:t xml:space="preserve"> </w:t>
            </w:r>
          </w:p>
        </w:tc>
      </w:tr>
    </w:tbl>
    <w:p w:rsidR="007C2976" w:rsidRPr="00710E80" w:rsidRDefault="007C2976" w:rsidP="007C2976">
      <w:pPr>
        <w:pStyle w:val="BodyText"/>
        <w:rPr>
          <w:b/>
          <w:bCs/>
        </w:rPr>
      </w:pPr>
    </w:p>
    <w:p w:rsidR="007C2976" w:rsidRPr="00710E80" w:rsidRDefault="007C2976" w:rsidP="007C2976">
      <w:pPr>
        <w:pStyle w:val="BodyText"/>
        <w:rPr>
          <w:b/>
          <w:bCs/>
        </w:rPr>
      </w:pPr>
    </w:p>
    <w:p w:rsidR="007C2976" w:rsidRPr="00710E80" w:rsidRDefault="007C2976" w:rsidP="007C2976">
      <w:pPr>
        <w:pStyle w:val="BodyText"/>
        <w:ind w:firstLine="720"/>
      </w:pPr>
    </w:p>
    <w:p w:rsidR="000A0880" w:rsidRPr="00710E80" w:rsidRDefault="000A0880"/>
    <w:sectPr w:rsidR="000A0880" w:rsidRPr="00710E80" w:rsidSect="00D50439">
      <w:footerReference w:type="default" r:id="rId2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D23" w:rsidRDefault="00716D23">
      <w:r>
        <w:separator/>
      </w:r>
    </w:p>
  </w:endnote>
  <w:endnote w:type="continuationSeparator" w:id="0">
    <w:p w:rsidR="00716D23" w:rsidRDefault="0071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Linotyp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5F4" w:rsidRDefault="00D505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B57" w:rsidRDefault="00253B57">
    <w:pPr>
      <w:pStyle w:val="Footer"/>
      <w:jc w:val="center"/>
    </w:pPr>
  </w:p>
  <w:p w:rsidR="00D50439" w:rsidRDefault="00D504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5F4" w:rsidRDefault="00D505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958628"/>
      <w:docPartObj>
        <w:docPartGallery w:val="Page Numbers (Bottom of Page)"/>
        <w:docPartUnique/>
      </w:docPartObj>
    </w:sdtPr>
    <w:sdtEndPr>
      <w:rPr>
        <w:noProof/>
        <w:sz w:val="24"/>
      </w:rPr>
    </w:sdtEndPr>
    <w:sdtContent>
      <w:p w:rsidR="00253B57" w:rsidRPr="00253B57" w:rsidRDefault="00253B57">
        <w:pPr>
          <w:pStyle w:val="Footer"/>
          <w:jc w:val="center"/>
          <w:rPr>
            <w:sz w:val="24"/>
          </w:rPr>
        </w:pPr>
        <w:r w:rsidRPr="00253B57">
          <w:rPr>
            <w:sz w:val="24"/>
          </w:rPr>
          <w:fldChar w:fldCharType="begin"/>
        </w:r>
        <w:r w:rsidRPr="00253B57">
          <w:rPr>
            <w:sz w:val="24"/>
          </w:rPr>
          <w:instrText xml:space="preserve"> PAGE   \* MERGEFORMAT </w:instrText>
        </w:r>
        <w:r w:rsidRPr="00253B57">
          <w:rPr>
            <w:sz w:val="24"/>
          </w:rPr>
          <w:fldChar w:fldCharType="separate"/>
        </w:r>
        <w:r w:rsidR="00762E17">
          <w:rPr>
            <w:noProof/>
            <w:sz w:val="24"/>
          </w:rPr>
          <w:t>2</w:t>
        </w:r>
        <w:r w:rsidRPr="00253B57">
          <w:rPr>
            <w:noProof/>
            <w:sz w:val="24"/>
          </w:rPr>
          <w:fldChar w:fldCharType="end"/>
        </w:r>
      </w:p>
    </w:sdtContent>
  </w:sdt>
  <w:p w:rsidR="00253B57" w:rsidRDefault="00253B5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B57" w:rsidRPr="00D50439" w:rsidRDefault="00253B57">
    <w:pPr>
      <w:pStyle w:val="Footer"/>
      <w:jc w:val="center"/>
      <w:rPr>
        <w:sz w:val="24"/>
        <w:szCs w:val="24"/>
      </w:rPr>
    </w:pPr>
  </w:p>
  <w:p w:rsidR="00253B57" w:rsidRDefault="00253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D23" w:rsidRDefault="00716D23">
      <w:r>
        <w:separator/>
      </w:r>
    </w:p>
  </w:footnote>
  <w:footnote w:type="continuationSeparator" w:id="0">
    <w:p w:rsidR="00716D23" w:rsidRDefault="00716D23">
      <w:r>
        <w:continuationSeparator/>
      </w:r>
    </w:p>
  </w:footnote>
  <w:footnote w:id="1">
    <w:p w:rsidR="00EE7FE7" w:rsidRPr="00E42AA9" w:rsidRDefault="00EE7FE7" w:rsidP="00F242F8">
      <w:pPr>
        <w:pStyle w:val="FootnoteText"/>
        <w:spacing w:before="0" w:after="120"/>
      </w:pPr>
      <w:r>
        <w:rPr>
          <w:rStyle w:val="FootnoteReference"/>
        </w:rPr>
        <w:footnoteRef/>
      </w:r>
      <w:r>
        <w:t xml:space="preserve"> </w:t>
      </w:r>
      <w:r>
        <w:rPr>
          <w:i/>
        </w:rPr>
        <w:t>See</w:t>
      </w:r>
      <w:r>
        <w:t xml:space="preserve"> Application of Columbia Gas of Ohio, Inc. ¶¶ 3-4 (Mar. 25, 2016) (the </w:t>
      </w:r>
      <w:r w:rsidR="00575D19">
        <w:t>"</w:t>
      </w:r>
      <w:r w:rsidRPr="00575D19">
        <w:t>Application</w:t>
      </w:r>
      <w:r w:rsidR="00575D19">
        <w:t>"</w:t>
      </w:r>
      <w:r>
        <w:t>).</w:t>
      </w:r>
    </w:p>
  </w:footnote>
  <w:footnote w:id="2">
    <w:p w:rsidR="00747EA9" w:rsidRPr="00747EA9" w:rsidRDefault="00747EA9" w:rsidP="00F242F8">
      <w:pPr>
        <w:pStyle w:val="FootnoteText"/>
        <w:spacing w:before="0" w:after="120"/>
      </w:pPr>
      <w:r>
        <w:rPr>
          <w:rStyle w:val="FootnoteReference"/>
        </w:rPr>
        <w:footnoteRef/>
      </w:r>
      <w:r>
        <w:t xml:space="preserve"> </w:t>
      </w:r>
      <w:r>
        <w:rPr>
          <w:i/>
        </w:rPr>
        <w:t>See</w:t>
      </w:r>
      <w:r>
        <w:t xml:space="preserve"> OAC 4901:1-29-02(C) (emphasis added).</w:t>
      </w:r>
    </w:p>
  </w:footnote>
  <w:footnote w:id="3">
    <w:p w:rsidR="00A87E79" w:rsidRDefault="00A87E79" w:rsidP="00F242F8">
      <w:pPr>
        <w:pStyle w:val="FootnoteText"/>
        <w:spacing w:before="0" w:after="120"/>
      </w:pPr>
      <w:r>
        <w:rPr>
          <w:rStyle w:val="FootnoteReference"/>
        </w:rPr>
        <w:footnoteRef/>
      </w:r>
      <w:r>
        <w:t xml:space="preserve">, </w:t>
      </w:r>
      <w:hyperlink r:id="rId1" w:anchor="f108ece6c38f784" w:history="1">
        <w:r w:rsidRPr="008C32CF">
          <w:rPr>
            <w:rStyle w:val="Hyperlink"/>
          </w:rPr>
          <w:t>http://www.dispatch.com/content/stories/business/2016/04/05/1-customers-losing-big-on-unregulated-natural-gas-plans.html?fb_comment_id=1005957776159533_1006193682802609#f108ece6c38f784</w:t>
        </w:r>
      </w:hyperlink>
      <w:r>
        <w:t>.</w:t>
      </w:r>
    </w:p>
  </w:footnote>
  <w:footnote w:id="4">
    <w:p w:rsidR="00AF0CDD" w:rsidRDefault="00AF0CDD" w:rsidP="00F242F8">
      <w:pPr>
        <w:pStyle w:val="FootnoteText"/>
        <w:spacing w:before="0" w:after="120"/>
      </w:pPr>
      <w:r>
        <w:rPr>
          <w:rStyle w:val="FootnoteReference"/>
        </w:rPr>
        <w:footnoteRef/>
      </w:r>
      <w:r>
        <w:t xml:space="preserve"> </w:t>
      </w:r>
      <w:r w:rsidRPr="00A6617A">
        <w:rPr>
          <w:i/>
        </w:rPr>
        <w:t>See</w:t>
      </w:r>
      <w:r>
        <w:t xml:space="preserve"> </w:t>
      </w:r>
      <w:r w:rsidRPr="00A6617A">
        <w:t>OAC</w:t>
      </w:r>
      <w:r>
        <w:t xml:space="preserve"> 4901:1-10-22(B)(24) (requiring electric utility bills to include the </w:t>
      </w:r>
      <w:r w:rsidR="00575D19">
        <w:t>"</w:t>
      </w:r>
      <w:r>
        <w:t>price-to-compare notice . . . and a notice that such customers can obtain a written explanation of the price-to-compare from their electric utility</w:t>
      </w:r>
      <w:r w:rsidR="00575D19">
        <w:t>"</w:t>
      </w:r>
      <w:r>
        <w:t>).</w:t>
      </w:r>
    </w:p>
  </w:footnote>
  <w:footnote w:id="5">
    <w:p w:rsidR="00AF4974" w:rsidRPr="00AF4974" w:rsidRDefault="00AF4974" w:rsidP="00F242F8">
      <w:pPr>
        <w:pStyle w:val="FootnoteText"/>
        <w:spacing w:before="0" w:after="120"/>
      </w:pPr>
      <w:r>
        <w:rPr>
          <w:rStyle w:val="FootnoteReference"/>
        </w:rPr>
        <w:footnoteRef/>
      </w:r>
      <w:r>
        <w:t xml:space="preserve"> </w:t>
      </w:r>
      <w:r>
        <w:rPr>
          <w:i/>
        </w:rPr>
        <w:t>See</w:t>
      </w:r>
      <w:r>
        <w:t xml:space="preserve"> Amended Joint Motion to Modify Orders Granting Exemption, Joint Exhibit No. 2, Case No. 12-2637-GA-EXM (Nov. 27, 2012) (the </w:t>
      </w:r>
      <w:r w:rsidR="00575D19">
        <w:t>"</w:t>
      </w:r>
      <w:r>
        <w:rPr>
          <w:u w:val="single"/>
        </w:rPr>
        <w:t>Stipulation</w:t>
      </w:r>
      <w:r w:rsidR="00575D19">
        <w:t>"</w:t>
      </w:r>
      <w:r>
        <w:t>).</w:t>
      </w:r>
    </w:p>
  </w:footnote>
  <w:footnote w:id="6">
    <w:p w:rsidR="00BE73CB" w:rsidRPr="00BE73CB" w:rsidRDefault="00BE73CB" w:rsidP="00F242F8">
      <w:pPr>
        <w:pStyle w:val="FootnoteText"/>
        <w:spacing w:before="0" w:after="120"/>
      </w:pPr>
      <w:r>
        <w:rPr>
          <w:rStyle w:val="FootnoteReference"/>
        </w:rPr>
        <w:footnoteRef/>
      </w:r>
      <w:r>
        <w:t xml:space="preserve"> </w:t>
      </w:r>
      <w:r>
        <w:rPr>
          <w:i/>
        </w:rPr>
        <w:t>See</w:t>
      </w:r>
      <w:r>
        <w:t xml:space="preserve"> Application ¶ 3.</w:t>
      </w:r>
    </w:p>
  </w:footnote>
  <w:footnote w:id="7">
    <w:p w:rsidR="00BE73CB" w:rsidRPr="00BE73CB" w:rsidRDefault="00BE73CB" w:rsidP="00F242F8">
      <w:pPr>
        <w:pStyle w:val="FootnoteText"/>
        <w:spacing w:before="0" w:after="120"/>
      </w:pPr>
      <w:r>
        <w:rPr>
          <w:rStyle w:val="FootnoteReference"/>
        </w:rPr>
        <w:footnoteRef/>
      </w:r>
      <w:r>
        <w:t xml:space="preserve"> </w:t>
      </w:r>
      <w:r w:rsidR="00AF4974">
        <w:rPr>
          <w:i/>
        </w:rPr>
        <w:t>Id.</w:t>
      </w:r>
    </w:p>
  </w:footnote>
  <w:footnote w:id="8">
    <w:p w:rsidR="00AF4974" w:rsidRPr="00AF4974" w:rsidRDefault="00AF4974" w:rsidP="00F242F8">
      <w:pPr>
        <w:pStyle w:val="FootnoteText"/>
        <w:spacing w:before="0" w:after="120"/>
      </w:pPr>
      <w:r>
        <w:rPr>
          <w:rStyle w:val="FootnoteReference"/>
        </w:rPr>
        <w:footnoteRef/>
      </w:r>
      <w:r>
        <w:t xml:space="preserve"> </w:t>
      </w:r>
      <w:r>
        <w:rPr>
          <w:i/>
        </w:rPr>
        <w:t>Id.</w:t>
      </w:r>
      <w:r>
        <w:t xml:space="preserve"> ¶ 4.</w:t>
      </w:r>
    </w:p>
  </w:footnote>
  <w:footnote w:id="9">
    <w:p w:rsidR="00AF4974" w:rsidRPr="00AF4974" w:rsidRDefault="00AF4974" w:rsidP="00F242F8">
      <w:pPr>
        <w:pStyle w:val="FootnoteText"/>
        <w:spacing w:before="0" w:after="120"/>
      </w:pPr>
      <w:r>
        <w:rPr>
          <w:rStyle w:val="FootnoteReference"/>
        </w:rPr>
        <w:footnoteRef/>
      </w:r>
      <w:r>
        <w:t xml:space="preserve"> </w:t>
      </w:r>
      <w:r>
        <w:rPr>
          <w:i/>
        </w:rPr>
        <w:t>See</w:t>
      </w:r>
      <w:r>
        <w:t xml:space="preserve"> Stipulation ¶ 44</w:t>
      </w:r>
      <w:r w:rsidR="00521675">
        <w:t xml:space="preserve"> (emphasis added)</w:t>
      </w:r>
      <w:r>
        <w:t>.</w:t>
      </w:r>
    </w:p>
  </w:footnote>
  <w:footnote w:id="10">
    <w:p w:rsidR="00FF79E7" w:rsidRPr="00FF79E7" w:rsidRDefault="00FF79E7" w:rsidP="00F242F8">
      <w:pPr>
        <w:pStyle w:val="FootnoteText"/>
        <w:spacing w:before="0" w:after="120"/>
      </w:pPr>
      <w:r>
        <w:rPr>
          <w:rStyle w:val="FootnoteReference"/>
        </w:rPr>
        <w:footnoteRef/>
      </w:r>
      <w:r>
        <w:t xml:space="preserve"> Application ¶ 6.</w:t>
      </w:r>
    </w:p>
  </w:footnote>
  <w:footnote w:id="11">
    <w:p w:rsidR="00602D8A" w:rsidRPr="00602D8A" w:rsidRDefault="00602D8A" w:rsidP="00F242F8">
      <w:pPr>
        <w:pStyle w:val="FootnoteText"/>
        <w:spacing w:before="0" w:after="120"/>
      </w:pPr>
      <w:r>
        <w:rPr>
          <w:rStyle w:val="FootnoteReference"/>
        </w:rPr>
        <w:footnoteRef/>
      </w:r>
      <w:r>
        <w:t xml:space="preserve"> </w:t>
      </w:r>
      <w:r>
        <w:rPr>
          <w:i/>
        </w:rPr>
        <w:t>Id.</w:t>
      </w:r>
    </w:p>
  </w:footnote>
  <w:footnote w:id="12">
    <w:p w:rsidR="00EC5D6C" w:rsidRPr="0078142E" w:rsidRDefault="00EC5D6C" w:rsidP="00F242F8">
      <w:pPr>
        <w:pStyle w:val="FootnoteText"/>
        <w:spacing w:before="0" w:after="120"/>
      </w:pPr>
      <w:r>
        <w:rPr>
          <w:rStyle w:val="FootnoteReference"/>
        </w:rPr>
        <w:footnoteRef/>
      </w:r>
      <w:r>
        <w:t xml:space="preserve"> </w:t>
      </w:r>
      <w:r>
        <w:rPr>
          <w:i/>
        </w:rPr>
        <w:t>See</w:t>
      </w:r>
      <w:r>
        <w:t xml:space="preserve"> Application, </w:t>
      </w:r>
      <w:r>
        <w:rPr>
          <w:i/>
        </w:rPr>
        <w:t>In re Annual Application of Columbia Gas of Ohio, Inc. for an Adjustment to Rider IRP and Rider DSM Rates</w:t>
      </w:r>
      <w:r>
        <w:t>, Case No. 15-1918-GA-RDR (Feb. 26, 2016) (showing total plant in service related to AMR of $79,581,132).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5F4" w:rsidRDefault="00D505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5F4" w:rsidRDefault="00D505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5F4" w:rsidRDefault="00D50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61B2"/>
    <w:multiLevelType w:val="hybridMultilevel"/>
    <w:tmpl w:val="F86CE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7965BD"/>
    <w:multiLevelType w:val="hybridMultilevel"/>
    <w:tmpl w:val="AD60B96C"/>
    <w:lvl w:ilvl="0" w:tplc="CD98B6FE">
      <w:start w:val="1"/>
      <w:numFmt w:val="lowerLetter"/>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E9F43ED"/>
    <w:multiLevelType w:val="hybridMultilevel"/>
    <w:tmpl w:val="D4F8B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7F045B"/>
    <w:multiLevelType w:val="hybridMultilevel"/>
    <w:tmpl w:val="850E0D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76"/>
    <w:rsid w:val="0000400A"/>
    <w:rsid w:val="000068EB"/>
    <w:rsid w:val="00006A15"/>
    <w:rsid w:val="000204BC"/>
    <w:rsid w:val="00024994"/>
    <w:rsid w:val="00026EEC"/>
    <w:rsid w:val="000A0880"/>
    <w:rsid w:val="000A16DA"/>
    <w:rsid w:val="000C4EFE"/>
    <w:rsid w:val="000D1EFE"/>
    <w:rsid w:val="000F5AD6"/>
    <w:rsid w:val="00126F3C"/>
    <w:rsid w:val="0019088A"/>
    <w:rsid w:val="00195797"/>
    <w:rsid w:val="00196DFC"/>
    <w:rsid w:val="001A5489"/>
    <w:rsid w:val="001D2CE6"/>
    <w:rsid w:val="001D62AD"/>
    <w:rsid w:val="0020317B"/>
    <w:rsid w:val="00230CE6"/>
    <w:rsid w:val="002374C0"/>
    <w:rsid w:val="00241884"/>
    <w:rsid w:val="00253B57"/>
    <w:rsid w:val="002729A5"/>
    <w:rsid w:val="00273C80"/>
    <w:rsid w:val="00280E63"/>
    <w:rsid w:val="002C1E59"/>
    <w:rsid w:val="002D0BAE"/>
    <w:rsid w:val="002E330A"/>
    <w:rsid w:val="002F4E48"/>
    <w:rsid w:val="002F6C1E"/>
    <w:rsid w:val="00304E4D"/>
    <w:rsid w:val="00315853"/>
    <w:rsid w:val="003175CC"/>
    <w:rsid w:val="0033340B"/>
    <w:rsid w:val="00335C9D"/>
    <w:rsid w:val="003559D9"/>
    <w:rsid w:val="00357F27"/>
    <w:rsid w:val="00371B6C"/>
    <w:rsid w:val="00385370"/>
    <w:rsid w:val="00394064"/>
    <w:rsid w:val="003B29BC"/>
    <w:rsid w:val="003B5047"/>
    <w:rsid w:val="003C5AC5"/>
    <w:rsid w:val="003D16CE"/>
    <w:rsid w:val="003D69D6"/>
    <w:rsid w:val="003E2DBB"/>
    <w:rsid w:val="004004DF"/>
    <w:rsid w:val="00417B20"/>
    <w:rsid w:val="00434D00"/>
    <w:rsid w:val="00436030"/>
    <w:rsid w:val="00474298"/>
    <w:rsid w:val="00482806"/>
    <w:rsid w:val="00495675"/>
    <w:rsid w:val="004B47A1"/>
    <w:rsid w:val="004B622A"/>
    <w:rsid w:val="004B7D79"/>
    <w:rsid w:val="004C1B7C"/>
    <w:rsid w:val="004C5778"/>
    <w:rsid w:val="004D303A"/>
    <w:rsid w:val="004E0620"/>
    <w:rsid w:val="004F297B"/>
    <w:rsid w:val="004F2AA4"/>
    <w:rsid w:val="004F2BBB"/>
    <w:rsid w:val="00521675"/>
    <w:rsid w:val="0053126A"/>
    <w:rsid w:val="00544D71"/>
    <w:rsid w:val="00552591"/>
    <w:rsid w:val="005706D7"/>
    <w:rsid w:val="00575D19"/>
    <w:rsid w:val="00576F32"/>
    <w:rsid w:val="00594F47"/>
    <w:rsid w:val="005A2F4A"/>
    <w:rsid w:val="005C2BE2"/>
    <w:rsid w:val="005D73EF"/>
    <w:rsid w:val="005E3329"/>
    <w:rsid w:val="00602D8A"/>
    <w:rsid w:val="00647866"/>
    <w:rsid w:val="0065130D"/>
    <w:rsid w:val="00661D4E"/>
    <w:rsid w:val="00666AB5"/>
    <w:rsid w:val="0068480B"/>
    <w:rsid w:val="006B5977"/>
    <w:rsid w:val="006C19C3"/>
    <w:rsid w:val="006F00E5"/>
    <w:rsid w:val="00704D0E"/>
    <w:rsid w:val="00710E80"/>
    <w:rsid w:val="007126ED"/>
    <w:rsid w:val="00716D23"/>
    <w:rsid w:val="00725532"/>
    <w:rsid w:val="00747EA9"/>
    <w:rsid w:val="00762E17"/>
    <w:rsid w:val="0076357A"/>
    <w:rsid w:val="00771822"/>
    <w:rsid w:val="00786279"/>
    <w:rsid w:val="007A66D1"/>
    <w:rsid w:val="007B3F72"/>
    <w:rsid w:val="007C2976"/>
    <w:rsid w:val="007C5C7C"/>
    <w:rsid w:val="00800009"/>
    <w:rsid w:val="00837FEE"/>
    <w:rsid w:val="00843AB0"/>
    <w:rsid w:val="008504E7"/>
    <w:rsid w:val="008651F6"/>
    <w:rsid w:val="00881990"/>
    <w:rsid w:val="00883EF7"/>
    <w:rsid w:val="0089240E"/>
    <w:rsid w:val="00896208"/>
    <w:rsid w:val="008A2D58"/>
    <w:rsid w:val="008C12AA"/>
    <w:rsid w:val="008D1A75"/>
    <w:rsid w:val="008F4D44"/>
    <w:rsid w:val="0091432F"/>
    <w:rsid w:val="00926B4A"/>
    <w:rsid w:val="00926FA2"/>
    <w:rsid w:val="0093729A"/>
    <w:rsid w:val="00983AB2"/>
    <w:rsid w:val="009B2C44"/>
    <w:rsid w:val="009B7294"/>
    <w:rsid w:val="009D07C8"/>
    <w:rsid w:val="009F044C"/>
    <w:rsid w:val="00A07D30"/>
    <w:rsid w:val="00A25FE5"/>
    <w:rsid w:val="00A40DA9"/>
    <w:rsid w:val="00A57341"/>
    <w:rsid w:val="00A63355"/>
    <w:rsid w:val="00A63F3D"/>
    <w:rsid w:val="00A6617A"/>
    <w:rsid w:val="00A8485C"/>
    <w:rsid w:val="00A862A9"/>
    <w:rsid w:val="00A87E79"/>
    <w:rsid w:val="00A96F30"/>
    <w:rsid w:val="00AA41B6"/>
    <w:rsid w:val="00AF0CA3"/>
    <w:rsid w:val="00AF0CDD"/>
    <w:rsid w:val="00AF4974"/>
    <w:rsid w:val="00B10098"/>
    <w:rsid w:val="00B204D3"/>
    <w:rsid w:val="00B27046"/>
    <w:rsid w:val="00B403CB"/>
    <w:rsid w:val="00B52F22"/>
    <w:rsid w:val="00B53601"/>
    <w:rsid w:val="00BA3551"/>
    <w:rsid w:val="00BD1874"/>
    <w:rsid w:val="00BE73CB"/>
    <w:rsid w:val="00C01903"/>
    <w:rsid w:val="00C05D8D"/>
    <w:rsid w:val="00C11533"/>
    <w:rsid w:val="00C16CD2"/>
    <w:rsid w:val="00C27D5C"/>
    <w:rsid w:val="00C30244"/>
    <w:rsid w:val="00C31A75"/>
    <w:rsid w:val="00C7667E"/>
    <w:rsid w:val="00C82804"/>
    <w:rsid w:val="00CB03A2"/>
    <w:rsid w:val="00CE0972"/>
    <w:rsid w:val="00D040F4"/>
    <w:rsid w:val="00D0554D"/>
    <w:rsid w:val="00D109CB"/>
    <w:rsid w:val="00D34044"/>
    <w:rsid w:val="00D37AD5"/>
    <w:rsid w:val="00D444D2"/>
    <w:rsid w:val="00D50439"/>
    <w:rsid w:val="00D505F4"/>
    <w:rsid w:val="00D710A2"/>
    <w:rsid w:val="00D96076"/>
    <w:rsid w:val="00DA25DE"/>
    <w:rsid w:val="00DA3B10"/>
    <w:rsid w:val="00DC77AF"/>
    <w:rsid w:val="00DD0611"/>
    <w:rsid w:val="00DD1CB9"/>
    <w:rsid w:val="00DF3058"/>
    <w:rsid w:val="00E14F5A"/>
    <w:rsid w:val="00E243A4"/>
    <w:rsid w:val="00E40893"/>
    <w:rsid w:val="00E42AA9"/>
    <w:rsid w:val="00E77996"/>
    <w:rsid w:val="00E81242"/>
    <w:rsid w:val="00E9125E"/>
    <w:rsid w:val="00EC5D6C"/>
    <w:rsid w:val="00ED248D"/>
    <w:rsid w:val="00EE7FE7"/>
    <w:rsid w:val="00EF3DB3"/>
    <w:rsid w:val="00F01A72"/>
    <w:rsid w:val="00F242F8"/>
    <w:rsid w:val="00F4567C"/>
    <w:rsid w:val="00F60641"/>
    <w:rsid w:val="00F6531F"/>
    <w:rsid w:val="00F80B53"/>
    <w:rsid w:val="00FB24B6"/>
    <w:rsid w:val="00FB3452"/>
    <w:rsid w:val="00FC03F9"/>
    <w:rsid w:val="00FD70CC"/>
    <w:rsid w:val="00FF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2F8"/>
    <w:rPr>
      <w:sz w:val="24"/>
    </w:rPr>
  </w:style>
  <w:style w:type="paragraph" w:styleId="Heading1">
    <w:name w:val="heading 1"/>
    <w:basedOn w:val="Normal"/>
    <w:next w:val="Normal"/>
    <w:autoRedefine/>
    <w:qFormat/>
    <w:rsid w:val="004B622A"/>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autoRedefine/>
    <w:qFormat/>
    <w:rsid w:val="00F242F8"/>
    <w:pPr>
      <w:keepNext/>
      <w:tabs>
        <w:tab w:val="left" w:pos="4320"/>
      </w:tabs>
      <w:spacing w:after="240"/>
      <w:ind w:left="1440" w:hanging="720"/>
      <w:outlineLvl w:val="1"/>
    </w:pPr>
    <w:rPr>
      <w:rFonts w:ascii="Times New Roman Bold" w:hAnsi="Times New Roman Bold"/>
      <w:b/>
    </w:rPr>
  </w:style>
  <w:style w:type="paragraph" w:styleId="Heading3">
    <w:name w:val="heading 3"/>
    <w:basedOn w:val="Normal"/>
    <w:next w:val="Normal"/>
    <w:link w:val="Heading3Char"/>
    <w:autoRedefine/>
    <w:semiHidden/>
    <w:unhideWhenUsed/>
    <w:qFormat/>
    <w:rsid w:val="00F242F8"/>
    <w:pPr>
      <w:keepNext/>
      <w:keepLines/>
      <w:spacing w:after="240"/>
      <w:ind w:left="2160" w:hanging="720"/>
      <w:outlineLvl w:val="2"/>
    </w:pPr>
    <w:rPr>
      <w:rFonts w:ascii="Times New Roman Bold" w:eastAsiaTheme="majorEastAsia" w:hAnsi="Times New Roman Bold"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rsid w:val="007C2976"/>
    <w:rPr>
      <w:color w:val="0000FF"/>
      <w:u w:val="single"/>
    </w:rPr>
  </w:style>
  <w:style w:type="paragraph" w:styleId="FootnoteText">
    <w:name w:val="footnote text"/>
    <w:basedOn w:val="Normal"/>
    <w:link w:val="FootnoteTextChar"/>
    <w:uiPriority w:val="99"/>
    <w:rsid w:val="007C2976"/>
    <w:pPr>
      <w:spacing w:before="120"/>
    </w:pPr>
    <w:rPr>
      <w:sz w:val="20"/>
    </w:rPr>
  </w:style>
  <w:style w:type="character" w:styleId="FootnoteReference">
    <w:name w:val="footnote reference"/>
    <w:uiPriority w:val="99"/>
    <w:semiHidden/>
    <w:rsid w:val="007C2976"/>
    <w:rPr>
      <w:vertAlign w:val="superscript"/>
    </w:rPr>
  </w:style>
  <w:style w:type="paragraph" w:styleId="BodyTextIndent">
    <w:name w:val="Body Text Indent"/>
    <w:basedOn w:val="Normal"/>
    <w:link w:val="BodyTextIndentChar"/>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link w:val="BodyTextChar"/>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link w:val="FootnoteText"/>
    <w:uiPriority w:val="99"/>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 w:type="paragraph" w:styleId="ListParagraph">
    <w:name w:val="List Paragraph"/>
    <w:basedOn w:val="Normal"/>
    <w:uiPriority w:val="34"/>
    <w:qFormat/>
    <w:rsid w:val="00576F32"/>
    <w:pPr>
      <w:spacing w:after="200" w:line="276"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semiHidden/>
    <w:rsid w:val="00F242F8"/>
    <w:rPr>
      <w:rFonts w:ascii="Times New Roman Bold" w:eastAsiaTheme="majorEastAsia" w:hAnsi="Times New Roman Bold" w:cstheme="majorBidi"/>
      <w:b/>
      <w:bCs/>
      <w:sz w:val="24"/>
    </w:rPr>
  </w:style>
  <w:style w:type="character" w:customStyle="1" w:styleId="BodyTextChar">
    <w:name w:val="Body Text Char"/>
    <w:basedOn w:val="DefaultParagraphFont"/>
    <w:link w:val="BodyText"/>
    <w:rsid w:val="00F242F8"/>
    <w:rPr>
      <w:sz w:val="24"/>
    </w:rPr>
  </w:style>
  <w:style w:type="character" w:customStyle="1" w:styleId="BodyTextIndentChar">
    <w:name w:val="Body Text Indent Char"/>
    <w:basedOn w:val="DefaultParagraphFont"/>
    <w:link w:val="BodyTextIndent"/>
    <w:rsid w:val="00F242F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2F8"/>
    <w:rPr>
      <w:sz w:val="24"/>
    </w:rPr>
  </w:style>
  <w:style w:type="paragraph" w:styleId="Heading1">
    <w:name w:val="heading 1"/>
    <w:basedOn w:val="Normal"/>
    <w:next w:val="Normal"/>
    <w:autoRedefine/>
    <w:qFormat/>
    <w:rsid w:val="004B622A"/>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autoRedefine/>
    <w:qFormat/>
    <w:rsid w:val="00F242F8"/>
    <w:pPr>
      <w:keepNext/>
      <w:tabs>
        <w:tab w:val="left" w:pos="4320"/>
      </w:tabs>
      <w:spacing w:after="240"/>
      <w:ind w:left="1440" w:hanging="720"/>
      <w:outlineLvl w:val="1"/>
    </w:pPr>
    <w:rPr>
      <w:rFonts w:ascii="Times New Roman Bold" w:hAnsi="Times New Roman Bold"/>
      <w:b/>
    </w:rPr>
  </w:style>
  <w:style w:type="paragraph" w:styleId="Heading3">
    <w:name w:val="heading 3"/>
    <w:basedOn w:val="Normal"/>
    <w:next w:val="Normal"/>
    <w:link w:val="Heading3Char"/>
    <w:autoRedefine/>
    <w:semiHidden/>
    <w:unhideWhenUsed/>
    <w:qFormat/>
    <w:rsid w:val="00F242F8"/>
    <w:pPr>
      <w:keepNext/>
      <w:keepLines/>
      <w:spacing w:after="240"/>
      <w:ind w:left="2160" w:hanging="720"/>
      <w:outlineLvl w:val="2"/>
    </w:pPr>
    <w:rPr>
      <w:rFonts w:ascii="Times New Roman Bold" w:eastAsiaTheme="majorEastAsia" w:hAnsi="Times New Roman Bold"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rsid w:val="007C2976"/>
    <w:rPr>
      <w:color w:val="0000FF"/>
      <w:u w:val="single"/>
    </w:rPr>
  </w:style>
  <w:style w:type="paragraph" w:styleId="FootnoteText">
    <w:name w:val="footnote text"/>
    <w:basedOn w:val="Normal"/>
    <w:link w:val="FootnoteTextChar"/>
    <w:uiPriority w:val="99"/>
    <w:rsid w:val="007C2976"/>
    <w:pPr>
      <w:spacing w:before="120"/>
    </w:pPr>
    <w:rPr>
      <w:sz w:val="20"/>
    </w:rPr>
  </w:style>
  <w:style w:type="character" w:styleId="FootnoteReference">
    <w:name w:val="footnote reference"/>
    <w:uiPriority w:val="99"/>
    <w:semiHidden/>
    <w:rsid w:val="007C2976"/>
    <w:rPr>
      <w:vertAlign w:val="superscript"/>
    </w:rPr>
  </w:style>
  <w:style w:type="paragraph" w:styleId="BodyTextIndent">
    <w:name w:val="Body Text Indent"/>
    <w:basedOn w:val="Normal"/>
    <w:link w:val="BodyTextIndentChar"/>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link w:val="BodyTextChar"/>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link w:val="FootnoteText"/>
    <w:uiPriority w:val="99"/>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 w:type="paragraph" w:styleId="ListParagraph">
    <w:name w:val="List Paragraph"/>
    <w:basedOn w:val="Normal"/>
    <w:uiPriority w:val="34"/>
    <w:qFormat/>
    <w:rsid w:val="00576F32"/>
    <w:pPr>
      <w:spacing w:after="200" w:line="276"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semiHidden/>
    <w:rsid w:val="00F242F8"/>
    <w:rPr>
      <w:rFonts w:ascii="Times New Roman Bold" w:eastAsiaTheme="majorEastAsia" w:hAnsi="Times New Roman Bold" w:cstheme="majorBidi"/>
      <w:b/>
      <w:bCs/>
      <w:sz w:val="24"/>
    </w:rPr>
  </w:style>
  <w:style w:type="character" w:customStyle="1" w:styleId="BodyTextChar">
    <w:name w:val="Body Text Char"/>
    <w:basedOn w:val="DefaultParagraphFont"/>
    <w:link w:val="BodyText"/>
    <w:rsid w:val="00F242F8"/>
    <w:rPr>
      <w:sz w:val="24"/>
    </w:rPr>
  </w:style>
  <w:style w:type="character" w:customStyle="1" w:styleId="BodyTextIndentChar">
    <w:name w:val="Body Text Indent Char"/>
    <w:basedOn w:val="DefaultParagraphFont"/>
    <w:link w:val="BodyTextIndent"/>
    <w:rsid w:val="00F242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josephclark@nisource.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seiple@nisource.co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odi.bair@occ.ohio.gov" TargetMode="External"/><Relationship Id="rId10" Type="http://schemas.openxmlformats.org/officeDocument/2006/relationships/footer" Target="footer1.xml"/><Relationship Id="rId19" Type="http://schemas.openxmlformats.org/officeDocument/2006/relationships/hyperlink" Target="mailto:William.wright@puc.state.oh.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hristopher.healey@occ.ohio.go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spatch.com/content/stories/business/2016/04/05/1-customers-losing-big-on-unregulated-natural-gas-plans.html?fb_comment_id=1005957776159533_1006193682802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1822</Words>
  <Characters>9918</Characters>
  <Application>Microsoft Office Word</Application>
  <DocSecurity>0</DocSecurity>
  <Lines>204</Lines>
  <Paragraphs>64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11735</CharactersWithSpaces>
  <SharedDoc>false</SharedDoc>
  <HyperlinkBase> </HyperlinkBase>
  <HLinks>
    <vt:vector size="36" baseType="variant">
      <vt:variant>
        <vt:i4>917549</vt:i4>
      </vt:variant>
      <vt:variant>
        <vt:i4>15</vt:i4>
      </vt:variant>
      <vt:variant>
        <vt:i4>0</vt:i4>
      </vt:variant>
      <vt:variant>
        <vt:i4>5</vt:i4>
      </vt:variant>
      <vt:variant>
        <vt:lpwstr>mailto:cdunn@firstenergycorp.com</vt:lpwstr>
      </vt:variant>
      <vt:variant>
        <vt:lpwstr/>
      </vt:variant>
      <vt:variant>
        <vt:i4>2293828</vt:i4>
      </vt:variant>
      <vt:variant>
        <vt:i4>12</vt:i4>
      </vt:variant>
      <vt:variant>
        <vt:i4>0</vt:i4>
      </vt:variant>
      <vt:variant>
        <vt:i4>5</vt:i4>
      </vt:variant>
      <vt:variant>
        <vt:lpwstr>mailto:William.wright@puc.state.oh.us</vt:lpwstr>
      </vt:variant>
      <vt:variant>
        <vt:lpwstr/>
      </vt:variant>
      <vt:variant>
        <vt:i4>131135</vt:i4>
      </vt:variant>
      <vt:variant>
        <vt:i4>9</vt:i4>
      </vt:variant>
      <vt:variant>
        <vt:i4>0</vt:i4>
      </vt:variant>
      <vt:variant>
        <vt:i4>5</vt:i4>
      </vt:variant>
      <vt:variant>
        <vt:lpwstr>mailto:christopher.healey@occ.ohio.gov</vt:lpwstr>
      </vt:variant>
      <vt:variant>
        <vt:lpwstr/>
      </vt:variant>
      <vt:variant>
        <vt:i4>3473423</vt:i4>
      </vt:variant>
      <vt:variant>
        <vt:i4>6</vt:i4>
      </vt:variant>
      <vt:variant>
        <vt:i4>0</vt:i4>
      </vt:variant>
      <vt:variant>
        <vt:i4>5</vt:i4>
      </vt:variant>
      <vt:variant>
        <vt:lpwstr>mailto:terry.etter@occ.ohio.gov</vt:lpwstr>
      </vt:variant>
      <vt:variant>
        <vt:lpwstr/>
      </vt:variant>
      <vt:variant>
        <vt:i4>131135</vt:i4>
      </vt:variant>
      <vt:variant>
        <vt:i4>3</vt:i4>
      </vt:variant>
      <vt:variant>
        <vt:i4>0</vt:i4>
      </vt:variant>
      <vt:variant>
        <vt:i4>5</vt:i4>
      </vt:variant>
      <vt:variant>
        <vt:lpwstr>mailto:christopher.healey@occ.ohio.gov</vt:lpwstr>
      </vt:variant>
      <vt:variant>
        <vt:lpwstr/>
      </vt:variant>
      <vt:variant>
        <vt:i4>3473423</vt:i4>
      </vt:variant>
      <vt:variant>
        <vt:i4>0</vt:i4>
      </vt:variant>
      <vt:variant>
        <vt:i4>0</vt:i4>
      </vt:variant>
      <vt:variant>
        <vt:i4>5</vt:i4>
      </vt:variant>
      <vt:variant>
        <vt:lpwstr>mailto:terry.etter@occ.ohio.gov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2016-05-06T12:27:00Z</cp:lastPrinted>
  <dcterms:created xsi:type="dcterms:W3CDTF">2016-05-06T15:23:00Z</dcterms:created>
  <dcterms:modified xsi:type="dcterms:W3CDTF">2016-05-06T15:23:00Z</dcterms:modified>
  <cp:category> </cp:category>
  <cp:contentStatus> </cp:contentStatus>
</cp:coreProperties>
</file>