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862" w:rsidRPr="00E94C11" w:rsidRDefault="00EB6862" w:rsidP="00EB6862">
      <w:pPr>
        <w:pStyle w:val="Title"/>
        <w:rPr>
          <w:sz w:val="28"/>
          <w:szCs w:val="28"/>
        </w:rPr>
      </w:pPr>
      <w:r w:rsidRPr="00E94C11">
        <w:rPr>
          <w:sz w:val="28"/>
          <w:szCs w:val="28"/>
        </w:rPr>
        <w:t>Before</w:t>
      </w:r>
    </w:p>
    <w:p w:rsidR="00EB6862" w:rsidRPr="00E94C11" w:rsidRDefault="00EB6862" w:rsidP="00EB6862">
      <w:pPr>
        <w:jc w:val="center"/>
        <w:rPr>
          <w:rFonts w:cs="Arial"/>
          <w:b/>
          <w:smallCaps/>
          <w:sz w:val="28"/>
          <w:szCs w:val="28"/>
        </w:rPr>
      </w:pPr>
      <w:r w:rsidRPr="00E94C11">
        <w:rPr>
          <w:rFonts w:cs="Arial"/>
          <w:b/>
          <w:smallCaps/>
          <w:sz w:val="28"/>
          <w:szCs w:val="28"/>
        </w:rPr>
        <w:t>The Public Utilities Commission of Ohio</w:t>
      </w:r>
    </w:p>
    <w:p w:rsidR="00EB6862" w:rsidRDefault="00EB6862" w:rsidP="00EB6862">
      <w:pPr>
        <w:autoSpaceDE w:val="0"/>
        <w:autoSpaceDN w:val="0"/>
        <w:adjustRightInd w:val="0"/>
        <w:rPr>
          <w:rFonts w:cs="Arial"/>
        </w:rPr>
      </w:pPr>
    </w:p>
    <w:p w:rsidR="00EB6862" w:rsidRDefault="00EB6862" w:rsidP="00EB6862">
      <w:pPr>
        <w:autoSpaceDE w:val="0"/>
        <w:autoSpaceDN w:val="0"/>
        <w:adjustRightInd w:val="0"/>
        <w:rPr>
          <w:rFonts w:cs="Arial"/>
        </w:rPr>
      </w:pPr>
    </w:p>
    <w:p w:rsidR="00EB6862" w:rsidRDefault="00EB6862" w:rsidP="00EB6862">
      <w:pPr>
        <w:pStyle w:val="BodyText"/>
        <w:tabs>
          <w:tab w:val="left" w:pos="4500"/>
        </w:tabs>
      </w:pPr>
      <w:r>
        <w:t>In the Matter of the Application of</w:t>
      </w:r>
      <w:r>
        <w:tab/>
        <w:t>)</w:t>
      </w:r>
    </w:p>
    <w:p w:rsidR="00EB6862" w:rsidRDefault="00EB6862" w:rsidP="00EB6862">
      <w:pPr>
        <w:pStyle w:val="BodyText"/>
        <w:tabs>
          <w:tab w:val="left" w:pos="4500"/>
        </w:tabs>
      </w:pPr>
      <w:r>
        <w:t>Duke Energy Ohio, Inc. for Approval to</w:t>
      </w:r>
      <w:r>
        <w:tab/>
        <w:t>)</w:t>
      </w:r>
    </w:p>
    <w:p w:rsidR="00EB6862" w:rsidRDefault="00EB6862" w:rsidP="00EB6862">
      <w:pPr>
        <w:pStyle w:val="BodyText"/>
        <w:tabs>
          <w:tab w:val="left" w:pos="4500"/>
        </w:tabs>
      </w:pPr>
      <w:r>
        <w:t>Continue its Cost Recovery Mechanism</w:t>
      </w:r>
      <w:r>
        <w:tab/>
        <w:t>)</w:t>
      </w:r>
      <w:r>
        <w:tab/>
        <w:t>Case No. 14-1580-EL-RDR</w:t>
      </w:r>
    </w:p>
    <w:p w:rsidR="00EB6862" w:rsidRDefault="00EB6862" w:rsidP="00EB6862">
      <w:pPr>
        <w:pStyle w:val="BodyText"/>
        <w:tabs>
          <w:tab w:val="left" w:pos="4500"/>
        </w:tabs>
      </w:pPr>
      <w:r>
        <w:t>for Energy Efficiency Programs</w:t>
      </w:r>
      <w:r>
        <w:tab/>
        <w:t>)</w:t>
      </w:r>
    </w:p>
    <w:p w:rsidR="00EB6862" w:rsidRDefault="00EB6862" w:rsidP="00EB6862">
      <w:pPr>
        <w:pStyle w:val="BodyText"/>
        <w:tabs>
          <w:tab w:val="left" w:pos="4500"/>
        </w:tabs>
      </w:pPr>
      <w:r>
        <w:t>Through 2016.</w:t>
      </w:r>
      <w:r>
        <w:tab/>
        <w:t>)</w:t>
      </w:r>
    </w:p>
    <w:p w:rsidR="00EB6862" w:rsidRDefault="00EB6862" w:rsidP="005A066C"/>
    <w:p w:rsidR="00EB6862" w:rsidRDefault="001C0058" w:rsidP="005A066C">
      <w:r>
        <w:t>______________________________________________________________________</w:t>
      </w:r>
    </w:p>
    <w:p w:rsidR="001C0058" w:rsidRDefault="001C0058" w:rsidP="005A066C"/>
    <w:p w:rsidR="001426EE" w:rsidRDefault="00CD7367" w:rsidP="00CD7367">
      <w:pPr>
        <w:jc w:val="center"/>
        <w:rPr>
          <w:rFonts w:ascii="Arial Bold" w:hAnsi="Arial Bold"/>
          <w:b/>
          <w:caps/>
          <w:sz w:val="28"/>
          <w:szCs w:val="28"/>
        </w:rPr>
      </w:pPr>
      <w:r w:rsidRPr="00E94C11">
        <w:rPr>
          <w:rFonts w:ascii="Arial Bold" w:hAnsi="Arial Bold"/>
          <w:b/>
          <w:caps/>
          <w:sz w:val="28"/>
          <w:szCs w:val="28"/>
        </w:rPr>
        <w:t>I</w:t>
      </w:r>
      <w:r w:rsidR="00990731" w:rsidRPr="00E94C11">
        <w:rPr>
          <w:rFonts w:ascii="Arial Bold" w:hAnsi="Arial Bold"/>
          <w:b/>
          <w:caps/>
          <w:sz w:val="28"/>
          <w:szCs w:val="28"/>
        </w:rPr>
        <w:t xml:space="preserve">nitial Comments </w:t>
      </w:r>
      <w:r w:rsidRPr="00E94C11">
        <w:rPr>
          <w:rFonts w:ascii="Arial Bold" w:hAnsi="Arial Bold"/>
          <w:b/>
          <w:caps/>
          <w:sz w:val="28"/>
          <w:szCs w:val="28"/>
        </w:rPr>
        <w:t xml:space="preserve">and Objection </w:t>
      </w:r>
      <w:r w:rsidR="00990731" w:rsidRPr="00E94C11">
        <w:rPr>
          <w:rFonts w:ascii="Arial Bold" w:hAnsi="Arial Bold"/>
          <w:b/>
          <w:caps/>
          <w:sz w:val="28"/>
          <w:szCs w:val="28"/>
        </w:rPr>
        <w:t>of</w:t>
      </w:r>
    </w:p>
    <w:p w:rsidR="001C0058" w:rsidRPr="00E94C11" w:rsidRDefault="00990731" w:rsidP="00CD7367">
      <w:pPr>
        <w:jc w:val="center"/>
        <w:rPr>
          <w:rFonts w:ascii="Arial Bold" w:hAnsi="Arial Bold"/>
          <w:b/>
          <w:caps/>
        </w:rPr>
      </w:pPr>
      <w:r w:rsidRPr="00E94C11">
        <w:rPr>
          <w:rFonts w:ascii="Arial Bold" w:hAnsi="Arial Bold"/>
          <w:b/>
          <w:caps/>
          <w:sz w:val="28"/>
          <w:szCs w:val="28"/>
        </w:rPr>
        <w:t xml:space="preserve"> Industrial Energy Users-Ohio</w:t>
      </w:r>
    </w:p>
    <w:p w:rsidR="001C0058" w:rsidRDefault="001C0058" w:rsidP="005A066C">
      <w:r>
        <w:t>______________________________________________________________________</w:t>
      </w:r>
    </w:p>
    <w:p w:rsidR="001C0058" w:rsidRDefault="001C0058" w:rsidP="005A066C"/>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p>
    <w:p w:rsidR="001C0058" w:rsidRDefault="001C0058" w:rsidP="001C0058">
      <w:pPr>
        <w:widowControl w:val="0"/>
        <w:ind w:left="4320"/>
        <w:rPr>
          <w:rFonts w:eastAsia="Calibri" w:cs="Arial"/>
          <w:bCs/>
        </w:rPr>
      </w:pPr>
      <w:r w:rsidRPr="0074338B">
        <w:rPr>
          <w:rFonts w:eastAsia="Calibri" w:cs="Arial"/>
          <w:bCs/>
        </w:rPr>
        <w:t>Frank P. Darr (Reg. No. 0025469)</w:t>
      </w:r>
    </w:p>
    <w:p w:rsidR="001C0058" w:rsidRPr="0074338B" w:rsidRDefault="001C0058" w:rsidP="001C0058">
      <w:pPr>
        <w:widowControl w:val="0"/>
        <w:ind w:left="4320"/>
        <w:rPr>
          <w:rFonts w:eastAsia="Calibri" w:cs="Arial"/>
          <w:bCs/>
        </w:rPr>
      </w:pPr>
      <w:r>
        <w:rPr>
          <w:rFonts w:eastAsia="Calibri" w:cs="Arial"/>
          <w:bCs/>
        </w:rPr>
        <w:t>(Counsel of Record)</w:t>
      </w:r>
    </w:p>
    <w:p w:rsidR="001C0058" w:rsidRPr="0074338B" w:rsidRDefault="001C0058" w:rsidP="001C0058">
      <w:pPr>
        <w:widowControl w:val="0"/>
        <w:ind w:left="4320"/>
        <w:rPr>
          <w:rFonts w:eastAsia="Calibri" w:cs="Arial"/>
          <w:b/>
          <w:bCs/>
        </w:rPr>
      </w:pPr>
      <w:r w:rsidRPr="0074338B">
        <w:rPr>
          <w:rFonts w:eastAsia="Calibri" w:cs="Arial"/>
          <w:bCs/>
        </w:rPr>
        <w:t>Matthew R. Pritchard (Reg. No. 0088070)</w:t>
      </w:r>
    </w:p>
    <w:p w:rsidR="001C0058" w:rsidRPr="0074338B" w:rsidRDefault="001C0058" w:rsidP="001C0058">
      <w:pPr>
        <w:widowControl w:val="0"/>
        <w:ind w:left="4320"/>
        <w:rPr>
          <w:rFonts w:eastAsia="Calibri" w:cs="Arial"/>
          <w:b/>
          <w:bCs/>
          <w:smallCaps/>
        </w:rPr>
      </w:pPr>
      <w:r w:rsidRPr="0074338B">
        <w:rPr>
          <w:rFonts w:eastAsia="Calibri" w:cs="Arial"/>
          <w:bCs/>
          <w:smallCaps/>
        </w:rPr>
        <w:t>McNees Wallace &amp; Nurick LLC</w:t>
      </w:r>
    </w:p>
    <w:p w:rsidR="001C0058" w:rsidRPr="0074338B" w:rsidRDefault="001C0058" w:rsidP="001C0058">
      <w:pPr>
        <w:widowControl w:val="0"/>
        <w:ind w:left="4320"/>
        <w:rPr>
          <w:rFonts w:eastAsia="Calibri" w:cs="Arial"/>
          <w:b/>
          <w:bCs/>
        </w:rPr>
      </w:pPr>
      <w:r w:rsidRPr="0074338B">
        <w:rPr>
          <w:rFonts w:eastAsia="Calibri" w:cs="Arial"/>
          <w:bCs/>
        </w:rPr>
        <w:t>21 East State Street, 17</w:t>
      </w:r>
      <w:r w:rsidRPr="0074338B">
        <w:rPr>
          <w:rFonts w:eastAsia="Calibri" w:cs="Arial"/>
          <w:bCs/>
          <w:vertAlign w:val="superscript"/>
        </w:rPr>
        <w:t>TH</w:t>
      </w:r>
      <w:r w:rsidRPr="0074338B">
        <w:rPr>
          <w:rFonts w:eastAsia="Calibri" w:cs="Arial"/>
          <w:bCs/>
        </w:rPr>
        <w:t xml:space="preserve"> Floor</w:t>
      </w:r>
    </w:p>
    <w:p w:rsidR="001C0058" w:rsidRPr="0074338B" w:rsidRDefault="001C0058" w:rsidP="001C0058">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Columbus, OH  43215</w:t>
      </w:r>
    </w:p>
    <w:p w:rsidR="001C0058" w:rsidRPr="0074338B" w:rsidRDefault="001C0058" w:rsidP="001C0058">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Telephone:  (614) 469-8000</w:t>
      </w:r>
    </w:p>
    <w:p w:rsidR="001C0058" w:rsidRPr="0074338B" w:rsidRDefault="001C0058" w:rsidP="001C0058">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Telecopier:  (614) 469-4653</w:t>
      </w:r>
    </w:p>
    <w:p w:rsidR="001C0058" w:rsidRPr="0074338B" w:rsidRDefault="001C0058" w:rsidP="001C0058">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rPr>
        <w:t>fdarr@mwncmh.com</w:t>
      </w:r>
    </w:p>
    <w:p w:rsidR="001C0058" w:rsidRPr="0074338B" w:rsidRDefault="001C0058" w:rsidP="001C0058">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1C0058" w:rsidRPr="0074338B" w:rsidRDefault="001C0058" w:rsidP="001C0058">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74338B">
        <w:rPr>
          <w:rFonts w:eastAsia="Calibri" w:cs="Arial"/>
          <w:color w:val="000000"/>
        </w:rPr>
        <w:t>mpritchard@mwncmh.com</w:t>
      </w:r>
    </w:p>
    <w:p w:rsidR="001C0058" w:rsidRPr="0074338B" w:rsidRDefault="001C0058" w:rsidP="001C0058">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1C0058" w:rsidRPr="0074338B" w:rsidRDefault="001C0058" w:rsidP="001C0058">
      <w:pPr>
        <w:tabs>
          <w:tab w:val="left" w:pos="-1440"/>
          <w:tab w:val="left" w:pos="-720"/>
          <w:tab w:val="left" w:pos="5040"/>
          <w:tab w:val="center" w:pos="7200"/>
        </w:tabs>
        <w:overflowPunct w:val="0"/>
        <w:autoSpaceDE w:val="0"/>
        <w:autoSpaceDN w:val="0"/>
        <w:adjustRightInd w:val="0"/>
        <w:ind w:left="4320"/>
        <w:rPr>
          <w:rFonts w:eastAsia="Calibri" w:cs="Arial"/>
          <w:color w:val="000000"/>
        </w:rPr>
      </w:pPr>
    </w:p>
    <w:p w:rsidR="001C0058" w:rsidRDefault="00990731" w:rsidP="001C0058">
      <w:pPr>
        <w:ind w:left="4320" w:hanging="4320"/>
        <w:rPr>
          <w:rFonts w:cs="Arial"/>
          <w:b/>
          <w:bCs/>
        </w:rPr>
      </w:pPr>
      <w:r>
        <w:rPr>
          <w:rFonts w:cs="Arial"/>
          <w:b/>
          <w:smallCaps/>
          <w:color w:val="000000"/>
        </w:rPr>
        <w:t>December 5</w:t>
      </w:r>
      <w:r w:rsidR="001C0058" w:rsidRPr="0074338B">
        <w:rPr>
          <w:rFonts w:cs="Arial"/>
          <w:b/>
          <w:smallCaps/>
          <w:color w:val="000000"/>
        </w:rPr>
        <w:t>, 2014</w:t>
      </w:r>
      <w:r w:rsidR="001C0058" w:rsidRPr="0074338B">
        <w:rPr>
          <w:rFonts w:cs="Arial"/>
          <w:b/>
          <w:smallCaps/>
          <w:color w:val="000000"/>
        </w:rPr>
        <w:tab/>
        <w:t>On Behalf of Industrial Energy Users-Ohio</w:t>
      </w:r>
    </w:p>
    <w:p w:rsidR="001C0058" w:rsidRPr="00930D83" w:rsidRDefault="001C0058" w:rsidP="001C0058">
      <w:pPr>
        <w:pStyle w:val="BodyText"/>
        <w:rPr>
          <w:rFonts w:asciiTheme="minorHAnsi" w:hAnsiTheme="minorHAnsi"/>
          <w:b/>
          <w:smallCaps/>
          <w:sz w:val="28"/>
          <w:szCs w:val="28"/>
        </w:rPr>
        <w:sectPr w:rsidR="001C0058" w:rsidRPr="00930D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pPr>
    </w:p>
    <w:p w:rsidR="001C0058" w:rsidRPr="00E94C11" w:rsidRDefault="001C0058" w:rsidP="001C0058">
      <w:pPr>
        <w:pStyle w:val="Title"/>
        <w:rPr>
          <w:sz w:val="28"/>
          <w:szCs w:val="28"/>
        </w:rPr>
      </w:pPr>
      <w:r w:rsidRPr="00E94C11">
        <w:rPr>
          <w:sz w:val="28"/>
          <w:szCs w:val="28"/>
        </w:rPr>
        <w:lastRenderedPageBreak/>
        <w:t>Before</w:t>
      </w:r>
    </w:p>
    <w:p w:rsidR="001C0058" w:rsidRPr="00E94C11" w:rsidRDefault="001C0058" w:rsidP="001C0058">
      <w:pPr>
        <w:jc w:val="center"/>
        <w:rPr>
          <w:rFonts w:cs="Arial"/>
          <w:b/>
          <w:smallCaps/>
          <w:sz w:val="28"/>
          <w:szCs w:val="28"/>
        </w:rPr>
      </w:pPr>
      <w:r w:rsidRPr="00E94C11">
        <w:rPr>
          <w:rFonts w:cs="Arial"/>
          <w:b/>
          <w:smallCaps/>
          <w:sz w:val="28"/>
          <w:szCs w:val="28"/>
        </w:rPr>
        <w:t>The Public Utilities Commission of Ohio</w:t>
      </w:r>
    </w:p>
    <w:p w:rsidR="001C0058" w:rsidRPr="00E94C11" w:rsidRDefault="001C0058" w:rsidP="001C0058">
      <w:pPr>
        <w:autoSpaceDE w:val="0"/>
        <w:autoSpaceDN w:val="0"/>
        <w:adjustRightInd w:val="0"/>
        <w:rPr>
          <w:rFonts w:cs="Arial"/>
          <w:sz w:val="28"/>
          <w:szCs w:val="28"/>
        </w:rPr>
      </w:pPr>
    </w:p>
    <w:p w:rsidR="001C0058" w:rsidRDefault="001C0058" w:rsidP="001C0058">
      <w:pPr>
        <w:autoSpaceDE w:val="0"/>
        <w:autoSpaceDN w:val="0"/>
        <w:adjustRightInd w:val="0"/>
        <w:rPr>
          <w:rFonts w:cs="Arial"/>
        </w:rPr>
      </w:pPr>
    </w:p>
    <w:p w:rsidR="001C0058" w:rsidRDefault="001C0058" w:rsidP="001C0058">
      <w:pPr>
        <w:pStyle w:val="BodyText"/>
        <w:tabs>
          <w:tab w:val="left" w:pos="4500"/>
        </w:tabs>
      </w:pPr>
      <w:r>
        <w:t>In the Matter of the Application of</w:t>
      </w:r>
      <w:r>
        <w:tab/>
        <w:t>)</w:t>
      </w:r>
    </w:p>
    <w:p w:rsidR="001C0058" w:rsidRDefault="001C0058" w:rsidP="001C0058">
      <w:pPr>
        <w:pStyle w:val="BodyText"/>
        <w:tabs>
          <w:tab w:val="left" w:pos="4500"/>
        </w:tabs>
      </w:pPr>
      <w:r>
        <w:t>Duke Energy Ohio, Inc. for Approval to</w:t>
      </w:r>
      <w:r>
        <w:tab/>
        <w:t>)</w:t>
      </w:r>
    </w:p>
    <w:p w:rsidR="001C0058" w:rsidRDefault="001C0058" w:rsidP="001C0058">
      <w:pPr>
        <w:pStyle w:val="BodyText"/>
        <w:tabs>
          <w:tab w:val="left" w:pos="4500"/>
        </w:tabs>
      </w:pPr>
      <w:r>
        <w:t>Continue its Cost Recovery Mechanism</w:t>
      </w:r>
      <w:r>
        <w:tab/>
        <w:t>)</w:t>
      </w:r>
      <w:r>
        <w:tab/>
        <w:t>Case No. 14-1580-EL-RDR</w:t>
      </w:r>
    </w:p>
    <w:p w:rsidR="001C0058" w:rsidRDefault="001C0058" w:rsidP="001C0058">
      <w:pPr>
        <w:pStyle w:val="BodyText"/>
        <w:tabs>
          <w:tab w:val="left" w:pos="4500"/>
        </w:tabs>
      </w:pPr>
      <w:r>
        <w:t>for Energy Efficiency Programs</w:t>
      </w:r>
      <w:r>
        <w:tab/>
        <w:t>)</w:t>
      </w:r>
    </w:p>
    <w:p w:rsidR="001C0058" w:rsidRDefault="001C0058" w:rsidP="001C0058">
      <w:pPr>
        <w:pStyle w:val="BodyText"/>
        <w:tabs>
          <w:tab w:val="left" w:pos="4500"/>
        </w:tabs>
      </w:pPr>
      <w:r>
        <w:t>Through 2016.</w:t>
      </w:r>
      <w:r>
        <w:tab/>
        <w:t>)</w:t>
      </w:r>
    </w:p>
    <w:p w:rsidR="001C0058" w:rsidRDefault="001C0058" w:rsidP="001C0058"/>
    <w:p w:rsidR="001C0058" w:rsidRDefault="001C0058" w:rsidP="001C0058">
      <w:r>
        <w:t>______________________________________________________________________</w:t>
      </w:r>
    </w:p>
    <w:p w:rsidR="001C0058" w:rsidRDefault="001C0058" w:rsidP="001C0058"/>
    <w:p w:rsidR="001426EE" w:rsidRDefault="00990731" w:rsidP="00CD7367">
      <w:pPr>
        <w:jc w:val="center"/>
        <w:rPr>
          <w:rFonts w:ascii="Arial Bold" w:hAnsi="Arial Bold"/>
          <w:b/>
          <w:caps/>
          <w:sz w:val="28"/>
          <w:szCs w:val="28"/>
        </w:rPr>
      </w:pPr>
      <w:r w:rsidRPr="00E94C11">
        <w:rPr>
          <w:rFonts w:ascii="Arial Bold" w:hAnsi="Arial Bold"/>
          <w:b/>
          <w:caps/>
          <w:sz w:val="28"/>
          <w:szCs w:val="28"/>
        </w:rPr>
        <w:t xml:space="preserve">Initial Comments </w:t>
      </w:r>
      <w:r w:rsidR="00CD7367" w:rsidRPr="00E94C11">
        <w:rPr>
          <w:rFonts w:ascii="Arial Bold" w:hAnsi="Arial Bold"/>
          <w:b/>
          <w:caps/>
          <w:sz w:val="28"/>
          <w:szCs w:val="28"/>
        </w:rPr>
        <w:t xml:space="preserve">and Objection </w:t>
      </w:r>
      <w:r w:rsidRPr="00E94C11">
        <w:rPr>
          <w:rFonts w:ascii="Arial Bold" w:hAnsi="Arial Bold"/>
          <w:b/>
          <w:caps/>
          <w:sz w:val="28"/>
          <w:szCs w:val="28"/>
        </w:rPr>
        <w:t xml:space="preserve">of </w:t>
      </w:r>
    </w:p>
    <w:p w:rsidR="00990731" w:rsidRPr="00E94C11" w:rsidRDefault="00990731" w:rsidP="00CD7367">
      <w:pPr>
        <w:jc w:val="center"/>
        <w:rPr>
          <w:rFonts w:ascii="Arial Bold" w:hAnsi="Arial Bold"/>
          <w:b/>
          <w:caps/>
          <w:sz w:val="28"/>
          <w:szCs w:val="28"/>
        </w:rPr>
      </w:pPr>
      <w:r w:rsidRPr="00E94C11">
        <w:rPr>
          <w:rFonts w:ascii="Arial Bold" w:hAnsi="Arial Bold"/>
          <w:b/>
          <w:caps/>
          <w:sz w:val="28"/>
          <w:szCs w:val="28"/>
        </w:rPr>
        <w:t>Industrial Energy Users-Ohio</w:t>
      </w:r>
    </w:p>
    <w:p w:rsidR="001C0058" w:rsidRDefault="001C0058" w:rsidP="001C0058">
      <w:r>
        <w:t>______________________________________________________________________</w:t>
      </w:r>
    </w:p>
    <w:p w:rsidR="001C0058" w:rsidRDefault="001C0058" w:rsidP="005A066C"/>
    <w:p w:rsidR="00EB6862" w:rsidRDefault="00EB6862" w:rsidP="005A066C"/>
    <w:p w:rsidR="005A066C" w:rsidRDefault="005A066C" w:rsidP="005A066C">
      <w:pPr>
        <w:pStyle w:val="Heading1"/>
      </w:pPr>
      <w:r>
        <w:t>Introduction</w:t>
      </w:r>
    </w:p>
    <w:p w:rsidR="003E61A0" w:rsidRDefault="001D221B" w:rsidP="003E61A0">
      <w:pPr>
        <w:spacing w:line="480" w:lineRule="auto"/>
        <w:ind w:firstLine="720"/>
        <w:jc w:val="both"/>
      </w:pPr>
      <w:r>
        <w:t>The Public Utilities Commission of Ohio (“Commission”) approved a</w:t>
      </w:r>
      <w:r w:rsidR="003E61A0">
        <w:t>n</w:t>
      </w:r>
      <w:r>
        <w:t xml:space="preserve"> energy efficiency and peak demand reduction portfolio compliance plan (“portfolio plan”) for Duke Energy Ohio (“Duke”) on December 4, 2013</w:t>
      </w:r>
      <w:r w:rsidR="00D614E6">
        <w:t xml:space="preserve"> that includes a recovery mechanism</w:t>
      </w:r>
      <w:r>
        <w:t xml:space="preserve">.  </w:t>
      </w:r>
      <w:r w:rsidR="00881FB5">
        <w:t>Through the</w:t>
      </w:r>
      <w:r>
        <w:t xml:space="preserve"> </w:t>
      </w:r>
      <w:r w:rsidR="00D614E6">
        <w:t>recovery</w:t>
      </w:r>
      <w:r w:rsidR="00881FB5">
        <w:t xml:space="preserve"> mechanism,</w:t>
      </w:r>
      <w:r>
        <w:t xml:space="preserve"> Duke bills and collects program c</w:t>
      </w:r>
      <w:r w:rsidR="00A40BB8">
        <w:t>osts, lost distribution revenue</w:t>
      </w:r>
      <w:r>
        <w:t>, and “shared savings.”  Although t</w:t>
      </w:r>
      <w:r w:rsidR="00C352A7">
        <w:t xml:space="preserve">he </w:t>
      </w:r>
      <w:r>
        <w:t xml:space="preserve">term of the portfolio plan’s provisions to achieve state energy efficiency and peak demand portfolio requirements </w:t>
      </w:r>
      <w:r w:rsidR="00C352A7">
        <w:t>expire</w:t>
      </w:r>
      <w:r w:rsidR="00A40BB8">
        <w:t>s</w:t>
      </w:r>
      <w:r w:rsidR="00C352A7">
        <w:t xml:space="preserve"> </w:t>
      </w:r>
      <w:r>
        <w:t>at</w:t>
      </w:r>
      <w:r w:rsidR="00C352A7">
        <w:t xml:space="preserve"> the end of 2016, the </w:t>
      </w:r>
      <w:r w:rsidR="00A40BB8">
        <w:t xml:space="preserve">authorization of the </w:t>
      </w:r>
      <w:r w:rsidR="001F4609">
        <w:t xml:space="preserve">plan’s </w:t>
      </w:r>
      <w:r w:rsidR="00C352A7">
        <w:t>recovery mechanism</w:t>
      </w:r>
      <w:r w:rsidR="00BF6328">
        <w:t xml:space="preserve"> terminates on December 31, 2015. </w:t>
      </w:r>
      <w:r w:rsidR="00C352A7">
        <w:t xml:space="preserve"> </w:t>
      </w:r>
    </w:p>
    <w:p w:rsidR="00B830AC" w:rsidRDefault="00A803C2" w:rsidP="00590F2B">
      <w:pPr>
        <w:spacing w:after="240" w:line="480" w:lineRule="auto"/>
        <w:ind w:firstLine="720"/>
        <w:jc w:val="both"/>
      </w:pPr>
      <w:r>
        <w:t xml:space="preserve">In an </w:t>
      </w:r>
      <w:r w:rsidR="00BF6328">
        <w:t>A</w:t>
      </w:r>
      <w:r>
        <w:t>pplication filed on September 9, 2014,</w:t>
      </w:r>
      <w:r w:rsidR="00BF6328">
        <w:rPr>
          <w:rStyle w:val="FootnoteReference"/>
        </w:rPr>
        <w:footnoteReference w:id="1"/>
      </w:r>
      <w:r>
        <w:t xml:space="preserve"> Duke has sought to amend its current portfolio plan to extend </w:t>
      </w:r>
      <w:r w:rsidR="00CD7367">
        <w:t>the</w:t>
      </w:r>
      <w:r w:rsidR="00A40BB8">
        <w:t xml:space="preserve"> term of the </w:t>
      </w:r>
      <w:r w:rsidR="00A40BB8">
        <w:t>authorizatio</w:t>
      </w:r>
      <w:r w:rsidR="001426EE">
        <w:t>n</w:t>
      </w:r>
      <w:r w:rsidR="00A40BB8">
        <w:t xml:space="preserve"> o</w:t>
      </w:r>
      <w:r w:rsidR="00A40BB8">
        <w:t>f the</w:t>
      </w:r>
      <w:r w:rsidR="00CD7367">
        <w:t xml:space="preserve"> </w:t>
      </w:r>
      <w:r w:rsidR="00C352A7">
        <w:t xml:space="preserve">recovery </w:t>
      </w:r>
      <w:r w:rsidR="00CD7367">
        <w:t xml:space="preserve">mechanism </w:t>
      </w:r>
      <w:r w:rsidR="00C352A7">
        <w:t xml:space="preserve">to December 31, 2016.  </w:t>
      </w:r>
      <w:r w:rsidR="00BF6328">
        <w:t>As provided by Substitute Senate Bill 310 (“SB 310”), t</w:t>
      </w:r>
      <w:r w:rsidR="00D7690D">
        <w:t>he Commission should</w:t>
      </w:r>
      <w:r w:rsidR="00AB1520">
        <w:t xml:space="preserve"> deny the Application since the Commission has no authority to </w:t>
      </w:r>
      <w:r w:rsidR="00AB1520">
        <w:lastRenderedPageBreak/>
        <w:t xml:space="preserve">modify a portfolio plan </w:t>
      </w:r>
      <w:r w:rsidR="00724FFA">
        <w:t>unless</w:t>
      </w:r>
      <w:r w:rsidR="00AB1520">
        <w:t xml:space="preserve"> </w:t>
      </w:r>
      <w:r w:rsidR="00724FFA">
        <w:t>an</w:t>
      </w:r>
      <w:r w:rsidR="00AB1520">
        <w:t xml:space="preserve"> electric distribution company is seeking an amendment of its current portfolio plan.  If the Commission </w:t>
      </w:r>
      <w:r w:rsidR="005B4949">
        <w:t>deems</w:t>
      </w:r>
      <w:r w:rsidR="00AB1520">
        <w:t xml:space="preserve"> the Application as one seeking to amend the current portfolio plan, however, the Commission should </w:t>
      </w:r>
      <w:r w:rsidR="00881FB5">
        <w:t>approve a</w:t>
      </w:r>
      <w:r w:rsidR="00AB1520">
        <w:t xml:space="preserve"> </w:t>
      </w:r>
      <w:r w:rsidR="00881FB5">
        <w:t xml:space="preserve">modified </w:t>
      </w:r>
      <w:r w:rsidR="004D0105">
        <w:t xml:space="preserve">recovery mechanism </w:t>
      </w:r>
      <w:r w:rsidR="00881FB5">
        <w:t>that does not permit</w:t>
      </w:r>
      <w:r w:rsidR="001F4609">
        <w:t xml:space="preserve"> </w:t>
      </w:r>
      <w:r w:rsidR="00C454DB">
        <w:t>Duke</w:t>
      </w:r>
      <w:r w:rsidR="00CD7367">
        <w:t xml:space="preserve"> to bill and collect shared savings</w:t>
      </w:r>
      <w:r w:rsidR="00C454DB">
        <w:t xml:space="preserve">. </w:t>
      </w:r>
      <w:r w:rsidR="00CD7367">
        <w:t xml:space="preserve"> </w:t>
      </w:r>
      <w:r w:rsidR="00AB1520">
        <w:t>If the Commission does modify and approve an amended portfolio plan</w:t>
      </w:r>
      <w:r w:rsidR="00C454DB">
        <w:t xml:space="preserve">, the Commission </w:t>
      </w:r>
      <w:r w:rsidR="00AB1520">
        <w:t xml:space="preserve">also </w:t>
      </w:r>
      <w:r w:rsidR="00C454DB">
        <w:t xml:space="preserve">should </w:t>
      </w:r>
      <w:r w:rsidR="005B4949">
        <w:t>find</w:t>
      </w:r>
      <w:r w:rsidR="00CD7367">
        <w:t xml:space="preserve"> that the </w:t>
      </w:r>
      <w:r w:rsidR="00C454DB">
        <w:t>energy</w:t>
      </w:r>
      <w:r w:rsidR="00B604FC">
        <w:t>-</w:t>
      </w:r>
      <w:r w:rsidR="00C454DB">
        <w:t xml:space="preserve">intensive </w:t>
      </w:r>
      <w:r w:rsidR="00B830AC">
        <w:t xml:space="preserve">customers </w:t>
      </w:r>
      <w:r w:rsidR="00F86BEC">
        <w:t xml:space="preserve">of Duke </w:t>
      </w:r>
      <w:r w:rsidR="00C454DB">
        <w:t xml:space="preserve">may </w:t>
      </w:r>
      <w:r w:rsidR="00B830AC">
        <w:t xml:space="preserve">elect </w:t>
      </w:r>
      <w:r w:rsidR="00F86BEC">
        <w:t xml:space="preserve">to opt out of the benefits and costs of Duke’s </w:t>
      </w:r>
      <w:r w:rsidR="00CD7367">
        <w:t xml:space="preserve">amended </w:t>
      </w:r>
      <w:r w:rsidR="00F86BEC">
        <w:t xml:space="preserve">portfolio plan </w:t>
      </w:r>
      <w:r w:rsidR="00B830AC">
        <w:t>on January 1, 2015.</w:t>
      </w:r>
    </w:p>
    <w:p w:rsidR="006223F4" w:rsidRDefault="00D7690D" w:rsidP="005A066C">
      <w:pPr>
        <w:pStyle w:val="Heading1"/>
      </w:pPr>
      <w:r>
        <w:t xml:space="preserve">Objection: </w:t>
      </w:r>
      <w:r w:rsidR="00C454DB">
        <w:t xml:space="preserve">the Commission should deny Duke’s request to include a shared savings provision in its recovery mechanism because Duke has failed to demonstrate that the </w:t>
      </w:r>
      <w:r w:rsidR="00AB1520">
        <w:t>Commission may amend Duke’s current portfolio plan</w:t>
      </w:r>
      <w:r w:rsidR="00C454DB">
        <w:t xml:space="preserve"> </w:t>
      </w:r>
      <w:r w:rsidR="00AB1520">
        <w:t>or that a</w:t>
      </w:r>
      <w:r w:rsidR="00C454DB">
        <w:t xml:space="preserve"> </w:t>
      </w:r>
      <w:r w:rsidR="00AB1520">
        <w:t xml:space="preserve">shared savings provision is </w:t>
      </w:r>
      <w:r w:rsidR="00C454DB">
        <w:t>reasonable</w:t>
      </w:r>
      <w:r w:rsidR="00B830AC">
        <w:rPr>
          <w:rStyle w:val="FootnoteReference"/>
        </w:rPr>
        <w:footnoteReference w:id="2"/>
      </w:r>
    </w:p>
    <w:p w:rsidR="003266AF" w:rsidRDefault="004D0105" w:rsidP="005A066C">
      <w:pPr>
        <w:spacing w:line="480" w:lineRule="auto"/>
        <w:ind w:firstLine="720"/>
        <w:jc w:val="both"/>
      </w:pPr>
      <w:r>
        <w:t>The Commission authorized Duke’s initial energy efficiency</w:t>
      </w:r>
      <w:r w:rsidR="00A40BB8">
        <w:t xml:space="preserve"> program</w:t>
      </w:r>
      <w:r w:rsidR="00232C04">
        <w:t xml:space="preserve"> recovery mechanism</w:t>
      </w:r>
      <w:r>
        <w:t xml:space="preserve"> as part of Duke’s first electric security plan</w:t>
      </w:r>
      <w:r w:rsidR="00AB1520">
        <w:t xml:space="preserve"> in 2008</w:t>
      </w:r>
      <w:r>
        <w:t>.</w:t>
      </w:r>
      <w:r>
        <w:rPr>
          <w:rStyle w:val="FootnoteReference"/>
        </w:rPr>
        <w:footnoteReference w:id="3"/>
      </w:r>
      <w:r>
        <w:t xml:space="preserve">  </w:t>
      </w:r>
      <w:r w:rsidR="0018636C">
        <w:t>On August 15, 2012</w:t>
      </w:r>
      <w:r w:rsidR="0045018C">
        <w:t>,</w:t>
      </w:r>
      <w:r w:rsidR="0018636C">
        <w:t xml:space="preserve"> the Commission issued an order </w:t>
      </w:r>
      <w:r w:rsidR="00C454DB">
        <w:t>authorizing</w:t>
      </w:r>
      <w:r w:rsidR="0018636C">
        <w:t xml:space="preserve"> a</w:t>
      </w:r>
      <w:r w:rsidR="00232C04">
        <w:t xml:space="preserve"> new</w:t>
      </w:r>
      <w:r w:rsidR="0018636C">
        <w:t xml:space="preserve"> </w:t>
      </w:r>
      <w:r w:rsidR="00C454DB">
        <w:t xml:space="preserve">recovery </w:t>
      </w:r>
      <w:r w:rsidR="0018636C">
        <w:t xml:space="preserve">mechanism, the </w:t>
      </w:r>
      <w:r w:rsidR="009C1925">
        <w:t>Energy Efficiency and Peak Demand Reduction (“</w:t>
      </w:r>
      <w:r w:rsidR="0018636C">
        <w:t>EE/PDR</w:t>
      </w:r>
      <w:r w:rsidR="009C1925">
        <w:t>”)</w:t>
      </w:r>
      <w:r w:rsidR="0018636C">
        <w:t xml:space="preserve"> Rider, and approved terms of a stipulation that permitted </w:t>
      </w:r>
      <w:r w:rsidR="00B830AC">
        <w:t xml:space="preserve">Duke </w:t>
      </w:r>
      <w:r w:rsidR="0018636C">
        <w:t>to recover “</w:t>
      </w:r>
      <w:r w:rsidR="0045018C">
        <w:t>shared savings</w:t>
      </w:r>
      <w:r w:rsidR="0018636C">
        <w:t>”</w:t>
      </w:r>
      <w:r w:rsidR="0045018C">
        <w:t xml:space="preserve"> </w:t>
      </w:r>
      <w:r w:rsidR="0018636C">
        <w:t>through the rider</w:t>
      </w:r>
      <w:r w:rsidR="00B830AC">
        <w:t>.</w:t>
      </w:r>
      <w:r w:rsidR="005A066C">
        <w:rPr>
          <w:rStyle w:val="FootnoteReference"/>
        </w:rPr>
        <w:footnoteReference w:id="4"/>
      </w:r>
      <w:r w:rsidR="00B830AC">
        <w:t xml:space="preserve">  </w:t>
      </w:r>
      <w:r>
        <w:t>T</w:t>
      </w:r>
      <w:r w:rsidR="0059746D">
        <w:t xml:space="preserve">he </w:t>
      </w:r>
      <w:r w:rsidR="00A40BB8">
        <w:t xml:space="preserve">authorization of the </w:t>
      </w:r>
      <w:r w:rsidR="0018636C">
        <w:t xml:space="preserve">shared savings </w:t>
      </w:r>
      <w:r w:rsidR="00C454DB">
        <w:t>provision</w:t>
      </w:r>
      <w:r w:rsidR="0018636C">
        <w:t xml:space="preserve"> of the recovery mechanism </w:t>
      </w:r>
      <w:r>
        <w:t>was</w:t>
      </w:r>
      <w:r w:rsidR="0018636C">
        <w:t xml:space="preserve"> to</w:t>
      </w:r>
      <w:r w:rsidR="003266AF">
        <w:t xml:space="preserve"> </w:t>
      </w:r>
      <w:r w:rsidR="0059746D">
        <w:t>expire</w:t>
      </w:r>
      <w:r w:rsidR="00B830AC">
        <w:t xml:space="preserve"> </w:t>
      </w:r>
      <w:r w:rsidR="00B830AC">
        <w:lastRenderedPageBreak/>
        <w:t>at the end of 2015.</w:t>
      </w:r>
      <w:r w:rsidR="00B830AC" w:rsidRPr="00F56C4E">
        <w:rPr>
          <w:vertAlign w:val="superscript"/>
        </w:rPr>
        <w:footnoteReference w:id="5"/>
      </w:r>
      <w:r w:rsidR="00B830AC">
        <w:t xml:space="preserve">  </w:t>
      </w:r>
      <w:r>
        <w:t xml:space="preserve">Parties, however, agreed to reevaluate the provision </w:t>
      </w:r>
      <w:r w:rsidR="00B830AC">
        <w:t>no sooner than the third quarter of 2014.</w:t>
      </w:r>
      <w:r w:rsidR="0045018C">
        <w:rPr>
          <w:rStyle w:val="FootnoteReference"/>
        </w:rPr>
        <w:footnoteReference w:id="6"/>
      </w:r>
      <w:r w:rsidR="00B830AC">
        <w:t xml:space="preserve">  </w:t>
      </w:r>
    </w:p>
    <w:p w:rsidR="003266AF" w:rsidRDefault="00881FB5" w:rsidP="005A066C">
      <w:pPr>
        <w:spacing w:line="480" w:lineRule="auto"/>
        <w:ind w:firstLine="720"/>
        <w:jc w:val="both"/>
      </w:pPr>
      <w:r>
        <w:t xml:space="preserve">The terms of the recovery mechanism were addressed </w:t>
      </w:r>
      <w:r w:rsidR="00A40BB8">
        <w:t xml:space="preserve">again </w:t>
      </w:r>
      <w:r>
        <w:t>when Duke sought approval of its current portfolio plan.</w:t>
      </w:r>
      <w:r w:rsidR="003266AF">
        <w:rPr>
          <w:rStyle w:val="FootnoteReference"/>
        </w:rPr>
        <w:footnoteReference w:id="7"/>
      </w:r>
      <w:r w:rsidR="003266AF">
        <w:t xml:space="preserve">  </w:t>
      </w:r>
      <w:r w:rsidR="00232C04">
        <w:t>T</w:t>
      </w:r>
      <w:r w:rsidR="002106DE">
        <w:t>he approved portfolio plan</w:t>
      </w:r>
      <w:r w:rsidR="00232C04">
        <w:t xml:space="preserve"> expires at the end of 2016</w:t>
      </w:r>
      <w:r w:rsidR="002106DE">
        <w:t xml:space="preserve">, </w:t>
      </w:r>
      <w:r w:rsidR="00232C04">
        <w:t>but the recovery mechanism</w:t>
      </w:r>
      <w:r w:rsidR="00A40BB8">
        <w:t>, including the shared savings provision,</w:t>
      </w:r>
      <w:r w:rsidR="00232C04">
        <w:t xml:space="preserve"> </w:t>
      </w:r>
      <w:r w:rsidR="003266AF">
        <w:t>expire</w:t>
      </w:r>
      <w:r w:rsidR="009E4D36">
        <w:t>s</w:t>
      </w:r>
      <w:r w:rsidR="003266AF">
        <w:t xml:space="preserve"> at the end of 2015</w:t>
      </w:r>
      <w:r w:rsidR="009E4D36">
        <w:t>.</w:t>
      </w:r>
      <w:r w:rsidR="003266AF">
        <w:rPr>
          <w:rStyle w:val="FootnoteReference"/>
        </w:rPr>
        <w:footnoteReference w:id="8"/>
      </w:r>
      <w:r w:rsidR="002106DE">
        <w:t xml:space="preserve">  </w:t>
      </w:r>
    </w:p>
    <w:p w:rsidR="00B830AC" w:rsidRDefault="00A40BB8" w:rsidP="005A066C">
      <w:pPr>
        <w:spacing w:line="480" w:lineRule="auto"/>
        <w:ind w:firstLine="720"/>
        <w:jc w:val="both"/>
      </w:pPr>
      <w:r>
        <w:t xml:space="preserve">Duke filed the Application in this case on September 9, 2014.  </w:t>
      </w:r>
      <w:r w:rsidR="00F86BEC">
        <w:t xml:space="preserve">According to the Application, </w:t>
      </w:r>
      <w:r w:rsidR="002106DE">
        <w:t xml:space="preserve">Duke and </w:t>
      </w:r>
      <w:r w:rsidR="001F4609">
        <w:t>other interested parties</w:t>
      </w:r>
      <w:r w:rsidR="002106DE">
        <w:t xml:space="preserve"> have</w:t>
      </w:r>
      <w:r w:rsidR="00F86BEC">
        <w:t xml:space="preserve"> not </w:t>
      </w:r>
      <w:r w:rsidR="009C1925">
        <w:t xml:space="preserve">been </w:t>
      </w:r>
      <w:r w:rsidR="00F86BEC">
        <w:t xml:space="preserve">able to </w:t>
      </w:r>
      <w:r w:rsidR="00F86BEC">
        <w:t>reach</w:t>
      </w:r>
      <w:r w:rsidR="00FB56F1">
        <w:t xml:space="preserve"> an</w:t>
      </w:r>
      <w:r w:rsidR="00F86BEC">
        <w:t xml:space="preserve"> </w:t>
      </w:r>
      <w:r w:rsidR="00F86BEC">
        <w:t xml:space="preserve">agreement on an extension of </w:t>
      </w:r>
      <w:r w:rsidR="0059746D">
        <w:t xml:space="preserve">a </w:t>
      </w:r>
      <w:r w:rsidR="00D614E6">
        <w:t>recovery</w:t>
      </w:r>
      <w:r w:rsidR="00AB1520">
        <w:t xml:space="preserve"> mechanism that includes</w:t>
      </w:r>
      <w:r w:rsidR="0059746D">
        <w:t xml:space="preserve"> a</w:t>
      </w:r>
      <w:r w:rsidR="00F86BEC">
        <w:t xml:space="preserve"> shared savings provision</w:t>
      </w:r>
      <w:r w:rsidR="001F4609">
        <w:t>,</w:t>
      </w:r>
      <w:r w:rsidR="00F86BEC">
        <w:t xml:space="preserve"> and Duke is seeking Commission approval </w:t>
      </w:r>
      <w:r w:rsidR="0019342F">
        <w:t>to extend it</w:t>
      </w:r>
      <w:r w:rsidR="00B36519">
        <w:t>s</w:t>
      </w:r>
      <w:r w:rsidR="0019342F">
        <w:t xml:space="preserve"> current collection mechanism</w:t>
      </w:r>
      <w:r>
        <w:t xml:space="preserve"> to the end of 2016</w:t>
      </w:r>
      <w:r w:rsidR="00B830AC">
        <w:t>.</w:t>
      </w:r>
      <w:r w:rsidR="00B830AC">
        <w:rPr>
          <w:rStyle w:val="FootnoteReference"/>
        </w:rPr>
        <w:footnoteReference w:id="9"/>
      </w:r>
    </w:p>
    <w:p w:rsidR="00A62D0D" w:rsidRDefault="001F4609">
      <w:pPr>
        <w:spacing w:line="480" w:lineRule="auto"/>
        <w:ind w:firstLine="720"/>
        <w:jc w:val="both"/>
      </w:pPr>
      <w:r>
        <w:t>Because Duke is seeking to change provisions of its current portfolio plan, t</w:t>
      </w:r>
      <w:r w:rsidR="002A4334">
        <w:t xml:space="preserve">his Application is governed by the requirements of SB 310.  </w:t>
      </w:r>
      <w:r w:rsidR="00232C04">
        <w:t>Under Section 7(A) of SB 310, the Commission may neither review nor approve an application for a portfolio plan if the application is pending on September 12, 2014.  Under Section 7(B) of SB 310, t</w:t>
      </w:r>
      <w:r w:rsidR="00232C04" w:rsidRPr="003917BC">
        <w:t>he Commission</w:t>
      </w:r>
      <w:r w:rsidR="00232C04">
        <w:t xml:space="preserve">, prior to January 1, 2017, </w:t>
      </w:r>
      <w:r w:rsidR="00232C04" w:rsidRPr="003917BC">
        <w:t>is prohibited from taking any action with regard to any portfolio plan or application regarding a portfolio plan</w:t>
      </w:r>
      <w:r w:rsidR="00724FFA">
        <w:t xml:space="preserve"> with two exceptions</w:t>
      </w:r>
      <w:r w:rsidR="00AB1520">
        <w:t xml:space="preserve">.  </w:t>
      </w:r>
    </w:p>
    <w:p w:rsidR="002A4334" w:rsidRDefault="00A62D0D">
      <w:pPr>
        <w:spacing w:line="480" w:lineRule="auto"/>
        <w:ind w:firstLine="720"/>
        <w:jc w:val="both"/>
      </w:pPr>
      <w:r>
        <w:t xml:space="preserve">Under </w:t>
      </w:r>
      <w:r w:rsidR="00724FFA">
        <w:t xml:space="preserve">the first exception contained in </w:t>
      </w:r>
      <w:r>
        <w:t>Section 7(B)</w:t>
      </w:r>
      <w:bookmarkStart w:id="0" w:name="_GoBack"/>
      <w:bookmarkEnd w:id="0"/>
      <w:r>
        <w:t>, the Commission may approve, or modify and approve, an application to amend a portfolio plan</w:t>
      </w:r>
      <w:r w:rsidR="00881FB5">
        <w:t xml:space="preserve"> if the </w:t>
      </w:r>
      <w:r w:rsidR="00881FB5">
        <w:lastRenderedPageBreak/>
        <w:t>application is to amend an existing portfolio plan under Section 6(B)</w:t>
      </w:r>
      <w:r w:rsidR="005129A6">
        <w:t xml:space="preserve"> (“plan exception”)</w:t>
      </w:r>
      <w:r>
        <w:t>.</w:t>
      </w:r>
      <w:r>
        <w:rPr>
          <w:rStyle w:val="FootnoteReference"/>
        </w:rPr>
        <w:footnoteReference w:id="10"/>
      </w:r>
      <w:r>
        <w:t xml:space="preserve">  </w:t>
      </w:r>
      <w:r w:rsidR="00724FFA">
        <w:t>Under the second exception</w:t>
      </w:r>
      <w:r>
        <w:t xml:space="preserve">, the Commission may take </w:t>
      </w:r>
      <w:r w:rsidR="00232C04" w:rsidRPr="003917BC">
        <w:t>those act</w:t>
      </w:r>
      <w:r w:rsidR="00232C04">
        <w:t xml:space="preserve">ions </w:t>
      </w:r>
      <w:r w:rsidR="00232C04" w:rsidRPr="003917BC">
        <w:t>necessary to administer the implementation o</w:t>
      </w:r>
      <w:r>
        <w:t>f the existing portfolio plan</w:t>
      </w:r>
      <w:r w:rsidR="005129A6">
        <w:t xml:space="preserve"> (“implementation exception”)</w:t>
      </w:r>
      <w:r>
        <w:t>.</w:t>
      </w:r>
    </w:p>
    <w:p w:rsidR="00D92B06" w:rsidRDefault="005129A6" w:rsidP="002A4334">
      <w:pPr>
        <w:spacing w:line="480" w:lineRule="auto"/>
        <w:ind w:firstLine="720"/>
        <w:jc w:val="both"/>
      </w:pPr>
      <w:r>
        <w:t>The implementation exception does not provide the Commission authority to act on Duke’s Application</w:t>
      </w:r>
      <w:r w:rsidR="002A4334">
        <w:t xml:space="preserve">.  </w:t>
      </w:r>
      <w:r>
        <w:t>Duke’s authorization for a recovery mechanism</w:t>
      </w:r>
      <w:r w:rsidR="00D92B06">
        <w:t xml:space="preserve"> ends on December 31, 2015.  </w:t>
      </w:r>
      <w:r>
        <w:t>Through this Application, Duke is seeking to add a new provision to its plan</w:t>
      </w:r>
      <w:r w:rsidR="00A40BB8">
        <w:t xml:space="preserve"> to extend the authorization through December 31, 2016</w:t>
      </w:r>
      <w:r>
        <w:t xml:space="preserve">.  </w:t>
      </w:r>
      <w:r w:rsidR="008A029F">
        <w:t>Because</w:t>
      </w:r>
      <w:r w:rsidR="00D92B06">
        <w:t xml:space="preserve"> </w:t>
      </w:r>
      <w:r w:rsidR="004A7B9F">
        <w:t>Duke is seeking to add</w:t>
      </w:r>
      <w:r>
        <w:t xml:space="preserve"> a provision rather than implement an existing one</w:t>
      </w:r>
      <w:r w:rsidR="008A029F">
        <w:t xml:space="preserve">, the </w:t>
      </w:r>
      <w:r>
        <w:t xml:space="preserve">implementation </w:t>
      </w:r>
      <w:r w:rsidR="008A029F">
        <w:t>exception to the prohibition in Section 7(B) does not apply</w:t>
      </w:r>
      <w:r w:rsidR="00A40BB8">
        <w:t xml:space="preserve"> and Section 7 requires that the Application be dismissed</w:t>
      </w:r>
      <w:r w:rsidR="008A029F">
        <w:t>.</w:t>
      </w:r>
      <w:r w:rsidR="008A029F">
        <w:rPr>
          <w:rStyle w:val="FootnoteReference"/>
        </w:rPr>
        <w:footnoteReference w:id="11"/>
      </w:r>
    </w:p>
    <w:p w:rsidR="00990731" w:rsidRPr="00990731" w:rsidRDefault="00A62D0D" w:rsidP="00990731">
      <w:pPr>
        <w:spacing w:line="480" w:lineRule="auto"/>
        <w:ind w:firstLine="720"/>
        <w:jc w:val="both"/>
      </w:pPr>
      <w:r>
        <w:t>Because</w:t>
      </w:r>
      <w:r w:rsidR="00475B6A">
        <w:t xml:space="preserve"> Duke is seeking to amend its current portfolio plan to extend the recovery </w:t>
      </w:r>
      <w:r>
        <w:t>mechanism,</w:t>
      </w:r>
      <w:r w:rsidR="00D92B06">
        <w:rPr>
          <w:rStyle w:val="FootnoteReference"/>
        </w:rPr>
        <w:footnoteReference w:id="12"/>
      </w:r>
      <w:r w:rsidR="008409D4">
        <w:t xml:space="preserve"> </w:t>
      </w:r>
      <w:r>
        <w:t xml:space="preserve">however, the </w:t>
      </w:r>
      <w:r w:rsidR="005129A6">
        <w:t>plan</w:t>
      </w:r>
      <w:r>
        <w:t xml:space="preserve"> exception </w:t>
      </w:r>
      <w:r w:rsidR="008A029F">
        <w:t>may require</w:t>
      </w:r>
      <w:r w:rsidR="00990731">
        <w:t xml:space="preserve"> </w:t>
      </w:r>
      <w:r w:rsidR="008E2D68" w:rsidRPr="00990731">
        <w:t>the Commis</w:t>
      </w:r>
      <w:r w:rsidR="008E2D68">
        <w:t xml:space="preserve">sion </w:t>
      </w:r>
      <w:r w:rsidR="0059746D">
        <w:t>to</w:t>
      </w:r>
      <w:r w:rsidR="00392796" w:rsidRPr="00990731">
        <w:t xml:space="preserve"> approve</w:t>
      </w:r>
      <w:r w:rsidR="006A6B12">
        <w:t>,</w:t>
      </w:r>
      <w:r w:rsidR="00392796" w:rsidRPr="00990731">
        <w:t xml:space="preserve"> or </w:t>
      </w:r>
      <w:r w:rsidR="0059746D">
        <w:t>modify</w:t>
      </w:r>
      <w:r w:rsidR="006E6296">
        <w:t xml:space="preserve"> and approve</w:t>
      </w:r>
      <w:r w:rsidR="006A6B12">
        <w:t>,</w:t>
      </w:r>
      <w:r w:rsidR="006E6296">
        <w:t xml:space="preserve"> the A</w:t>
      </w:r>
      <w:r w:rsidR="00392796" w:rsidRPr="00990731">
        <w:t>pplication.</w:t>
      </w:r>
      <w:r w:rsidR="00392796" w:rsidRPr="00990731">
        <w:rPr>
          <w:vertAlign w:val="superscript"/>
        </w:rPr>
        <w:footnoteReference w:id="13"/>
      </w:r>
      <w:r w:rsidR="00392796" w:rsidRPr="00990731">
        <w:t xml:space="preserve">  </w:t>
      </w:r>
      <w:r w:rsidR="00990731" w:rsidRPr="00990731">
        <w:t>The amended plan</w:t>
      </w:r>
      <w:r w:rsidR="00232C04">
        <w:t xml:space="preserve"> or amended plan </w:t>
      </w:r>
      <w:r w:rsidR="00232C04">
        <w:lastRenderedPageBreak/>
        <w:t>as modified</w:t>
      </w:r>
      <w:r w:rsidR="00990731" w:rsidRPr="00990731">
        <w:t xml:space="preserve"> then will be effective January 1, 2015 and </w:t>
      </w:r>
      <w:r w:rsidR="008A029F">
        <w:t xml:space="preserve">will </w:t>
      </w:r>
      <w:r w:rsidR="00990731" w:rsidRPr="00990731">
        <w:t>expire on December 31, 2016.</w:t>
      </w:r>
      <w:r w:rsidR="00990731" w:rsidRPr="00990731">
        <w:rPr>
          <w:vertAlign w:val="superscript"/>
        </w:rPr>
        <w:footnoteReference w:id="14"/>
      </w:r>
    </w:p>
    <w:p w:rsidR="0059746D" w:rsidRDefault="005129A6" w:rsidP="00E94C11">
      <w:pPr>
        <w:spacing w:after="240" w:line="480" w:lineRule="auto"/>
        <w:ind w:firstLine="720"/>
        <w:jc w:val="both"/>
      </w:pPr>
      <w:r>
        <w:t>If the plan exception applies</w:t>
      </w:r>
      <w:r w:rsidR="00D92B06">
        <w:t xml:space="preserve">, the Commission </w:t>
      </w:r>
      <w:r w:rsidR="00394D96">
        <w:t>may</w:t>
      </w:r>
      <w:r w:rsidR="00FB56F1">
        <w:t>,</w:t>
      </w:r>
      <w:r w:rsidR="00394D96">
        <w:t xml:space="preserve"> and in this case, should</w:t>
      </w:r>
      <w:r w:rsidR="00D92B06">
        <w:t xml:space="preserve"> </w:t>
      </w:r>
      <w:r w:rsidR="000E478C">
        <w:t xml:space="preserve">modify the mechanism requested by Duke </w:t>
      </w:r>
      <w:r w:rsidR="00D614E6">
        <w:t xml:space="preserve">to </w:t>
      </w:r>
      <w:r w:rsidR="000E478C">
        <w:t>remove the provision that would permit Duke to recover shared savings</w:t>
      </w:r>
      <w:r w:rsidR="00D92B06">
        <w:t xml:space="preserve">.  In </w:t>
      </w:r>
      <w:r w:rsidR="00394D96">
        <w:t>the</w:t>
      </w:r>
      <w:r w:rsidR="00D92B06">
        <w:t xml:space="preserve"> </w:t>
      </w:r>
      <w:r w:rsidR="00550A40">
        <w:t>Application</w:t>
      </w:r>
      <w:r w:rsidR="00D92B06">
        <w:t xml:space="preserve">, </w:t>
      </w:r>
      <w:r w:rsidR="00550A40">
        <w:t>t</w:t>
      </w:r>
      <w:r w:rsidR="00D540BC">
        <w:t xml:space="preserve">he only claim </w:t>
      </w:r>
      <w:r w:rsidR="002513FC">
        <w:t>that Duke makes to</w:t>
      </w:r>
      <w:r w:rsidR="00D540BC">
        <w:t xml:space="preserve"> support the continuation of the shared savings provision is that the</w:t>
      </w:r>
      <w:r w:rsidR="002513FC">
        <w:t xml:space="preserve"> </w:t>
      </w:r>
      <w:r w:rsidR="00D540BC">
        <w:t xml:space="preserve">net present value of the avoided costs associated with the energy and </w:t>
      </w:r>
      <w:r w:rsidR="002513FC">
        <w:t>capacity</w:t>
      </w:r>
      <w:r w:rsidR="00D540BC">
        <w:t xml:space="preserve"> </w:t>
      </w:r>
      <w:r w:rsidR="002513FC">
        <w:t>achievements</w:t>
      </w:r>
      <w:r w:rsidR="00D540BC">
        <w:t xml:space="preserve"> has been over 3.5 times the costs incurred to achieve those results.</w:t>
      </w:r>
      <w:r w:rsidR="00D540BC">
        <w:rPr>
          <w:rStyle w:val="FootnoteReference"/>
        </w:rPr>
        <w:footnoteReference w:id="15"/>
      </w:r>
      <w:r w:rsidR="00D540BC">
        <w:t xml:space="preserve"> </w:t>
      </w:r>
      <w:r w:rsidR="00394D96">
        <w:t xml:space="preserve"> By law, however, Duke</w:t>
      </w:r>
      <w:r w:rsidR="00D540BC">
        <w:t xml:space="preserve"> </w:t>
      </w:r>
      <w:r w:rsidR="002513FC">
        <w:t>is required to provide a cost-effective program</w:t>
      </w:r>
      <w:r w:rsidR="00D540BC">
        <w:t>.</w:t>
      </w:r>
      <w:r w:rsidR="00D540BC">
        <w:rPr>
          <w:rStyle w:val="FootnoteReference"/>
        </w:rPr>
        <w:footnoteReference w:id="16"/>
      </w:r>
      <w:r w:rsidR="002513FC">
        <w:t xml:space="preserve">  </w:t>
      </w:r>
      <w:r w:rsidR="00FD2296">
        <w:rPr>
          <w:rFonts w:eastAsia="Calibri" w:cs="Times New Roman"/>
        </w:rPr>
        <w:t>The requirement to demonstrate prudent management of the compliance obligations should be an adequate “incentive” for Duke to reduce its portfolio compliance costs</w:t>
      </w:r>
      <w:r w:rsidR="00FD2296" w:rsidRPr="00AE7E00">
        <w:rPr>
          <w:rFonts w:eastAsia="Calibri" w:cs="Times New Roman"/>
        </w:rPr>
        <w:t xml:space="preserve">. </w:t>
      </w:r>
      <w:r w:rsidR="00FD2296">
        <w:rPr>
          <w:rFonts w:eastAsia="Calibri" w:cs="Times New Roman"/>
        </w:rPr>
        <w:t xml:space="preserve"> </w:t>
      </w:r>
      <w:r w:rsidR="002513FC">
        <w:t xml:space="preserve">There is no reason for the Commission to find that a shared savings provision is necessary when Duke has demonstrated </w:t>
      </w:r>
      <w:r w:rsidR="00724FFA">
        <w:t xml:space="preserve">only </w:t>
      </w:r>
      <w:r w:rsidR="002513FC">
        <w:t xml:space="preserve">that it is doing what the law requires it to do.  </w:t>
      </w:r>
      <w:r w:rsidR="00FD2296">
        <w:rPr>
          <w:rFonts w:eastAsia="Calibri" w:cs="Times New Roman"/>
        </w:rPr>
        <w:t>Because Duke has failed to provide a reasoned basis for extending the shared savings provision</w:t>
      </w:r>
      <w:r w:rsidR="00550A40">
        <w:t xml:space="preserve">, </w:t>
      </w:r>
      <w:r w:rsidR="00C454DB">
        <w:t xml:space="preserve">the Commission should </w:t>
      </w:r>
      <w:r w:rsidR="00FD2296">
        <w:t>remove the requested shared savings provision Duke requested and approve the portfolio plan as modified</w:t>
      </w:r>
      <w:r w:rsidR="00C454DB">
        <w:t xml:space="preserve">.  </w:t>
      </w:r>
    </w:p>
    <w:p w:rsidR="008E2D68" w:rsidRPr="00806163" w:rsidRDefault="001F4609" w:rsidP="008E2D68">
      <w:pPr>
        <w:pStyle w:val="Heading1"/>
      </w:pPr>
      <w:r>
        <w:t xml:space="preserve">The Commission should find that duke’s </w:t>
      </w:r>
      <w:r w:rsidR="00115813">
        <w:t>energy-</w:t>
      </w:r>
      <w:r w:rsidR="008E2D68">
        <w:t xml:space="preserve">intensive customers </w:t>
      </w:r>
      <w:r w:rsidR="00724FFA">
        <w:t xml:space="preserve">may </w:t>
      </w:r>
      <w:r w:rsidR="008E2D68">
        <w:t>opt out of the amended plan</w:t>
      </w:r>
    </w:p>
    <w:p w:rsidR="00E70BF3" w:rsidRDefault="00AB788E" w:rsidP="00590F2B">
      <w:pPr>
        <w:spacing w:after="240" w:line="480" w:lineRule="auto"/>
        <w:ind w:firstLine="720"/>
        <w:jc w:val="both"/>
      </w:pPr>
      <w:r>
        <w:t>Section 8 of SB 310 provid</w:t>
      </w:r>
      <w:r w:rsidR="001F4609">
        <w:t>es, “[b]eginning January 1, 2015</w:t>
      </w:r>
      <w:r>
        <w:t>, a customer of an electric distribution utility may opt out of the opportunity and ability to obtain direct benefits from the utility’s portfolio plan that is amended under division (B) of Section 6</w:t>
      </w:r>
      <w:r w:rsidR="00550A40">
        <w:t>.</w:t>
      </w:r>
      <w:r>
        <w:t xml:space="preserve">”  </w:t>
      </w:r>
      <w:r w:rsidR="00D614E6">
        <w:lastRenderedPageBreak/>
        <w:t>If</w:t>
      </w:r>
      <w:r>
        <w:t xml:space="preserve"> the </w:t>
      </w:r>
      <w:r w:rsidR="00D614E6">
        <w:t xml:space="preserve">Commission </w:t>
      </w:r>
      <w:r w:rsidR="0001282B">
        <w:t>deems</w:t>
      </w:r>
      <w:r w:rsidR="00D614E6">
        <w:t xml:space="preserve"> the </w:t>
      </w:r>
      <w:r>
        <w:t>Application</w:t>
      </w:r>
      <w:r w:rsidR="00874AC4">
        <w:t xml:space="preserve"> </w:t>
      </w:r>
      <w:r>
        <w:t xml:space="preserve">in this proceeding </w:t>
      </w:r>
      <w:r w:rsidR="000E478C">
        <w:t xml:space="preserve">as </w:t>
      </w:r>
      <w:r w:rsidR="0001282B">
        <w:t xml:space="preserve">one seeking </w:t>
      </w:r>
      <w:r w:rsidR="000E478C">
        <w:t xml:space="preserve">an amendment to the current portfolio plan </w:t>
      </w:r>
      <w:r w:rsidR="00D614E6">
        <w:t xml:space="preserve">(and it must </w:t>
      </w:r>
      <w:r w:rsidR="000E478C">
        <w:t xml:space="preserve">if Duke is to secure authorization to bill and collect </w:t>
      </w:r>
      <w:r w:rsidR="0001282B">
        <w:t>any</w:t>
      </w:r>
      <w:r w:rsidR="000E478C">
        <w:t xml:space="preserve"> compliance costs from cust</w:t>
      </w:r>
      <w:r w:rsidR="00D614E6">
        <w:t xml:space="preserve">omers after December 31, 2015), </w:t>
      </w:r>
      <w:r w:rsidR="000E478C">
        <w:t>a</w:t>
      </w:r>
      <w:r w:rsidR="00573B62">
        <w:t xml:space="preserve"> customer of Duke that take</w:t>
      </w:r>
      <w:r w:rsidR="000E478C">
        <w:t>s</w:t>
      </w:r>
      <w:r w:rsidR="00573B62">
        <w:t xml:space="preserve"> service above primary </w:t>
      </w:r>
      <w:r w:rsidR="009B2B66">
        <w:t xml:space="preserve">voltage </w:t>
      </w:r>
      <w:r w:rsidR="00573B62">
        <w:t xml:space="preserve">levels or </w:t>
      </w:r>
      <w:r w:rsidR="009B2B66">
        <w:t>a commercial or industrial customer that has made a written request for registration as a self-assessing purchaser pursuant to R.C. 5727.81 (</w:t>
      </w:r>
      <w:r w:rsidR="009B2B66" w:rsidRPr="00E94C11">
        <w:rPr>
          <w:i/>
        </w:rPr>
        <w:t>i.e.,</w:t>
      </w:r>
      <w:r w:rsidR="009B2B66">
        <w:t xml:space="preserve"> the customer </w:t>
      </w:r>
      <w:r w:rsidR="005129A6">
        <w:t xml:space="preserve">may </w:t>
      </w:r>
      <w:r w:rsidR="009B2B66">
        <w:t xml:space="preserve">self-assess the </w:t>
      </w:r>
      <w:r w:rsidR="00D80B4B">
        <w:t xml:space="preserve">kilowatt-hour </w:t>
      </w:r>
      <w:r w:rsidR="009B2B66">
        <w:t xml:space="preserve">tax) may </w:t>
      </w:r>
      <w:r>
        <w:t xml:space="preserve">elect to </w:t>
      </w:r>
      <w:r w:rsidR="009B2B66">
        <w:t xml:space="preserve">opt out of </w:t>
      </w:r>
      <w:r>
        <w:t>the portfolio plan on January 1, 2015 (rather than January 1, 2017)</w:t>
      </w:r>
      <w:r w:rsidR="009B2B66">
        <w:t>.</w:t>
      </w:r>
      <w:r>
        <w:rPr>
          <w:rStyle w:val="FootnoteReference"/>
        </w:rPr>
        <w:footnoteReference w:id="17"/>
      </w:r>
      <w:r w:rsidR="005A066C">
        <w:t xml:space="preserve">  </w:t>
      </w:r>
      <w:r w:rsidR="000E478C">
        <w:t>So that it is clear that the effect of this Application triggers the customer</w:t>
      </w:r>
      <w:r w:rsidR="003D6D6F">
        <w:t>’s right</w:t>
      </w:r>
      <w:r w:rsidR="000E478C">
        <w:t xml:space="preserve"> to accelerate the opportunity to opt out of the portfolio plan</w:t>
      </w:r>
      <w:r w:rsidR="00181AA5">
        <w:t xml:space="preserve">, the Commission </w:t>
      </w:r>
      <w:r w:rsidR="0001282B">
        <w:t xml:space="preserve">should </w:t>
      </w:r>
      <w:r w:rsidR="00181AA5">
        <w:t xml:space="preserve">make an affirmative finding that </w:t>
      </w:r>
      <w:r w:rsidR="003D6D6F">
        <w:t>the Commission is approving an amended portfolio plan</w:t>
      </w:r>
      <w:r w:rsidR="00181AA5">
        <w:t xml:space="preserve"> and that eligible customers may opt</w:t>
      </w:r>
      <w:r w:rsidR="00D80B4B">
        <w:t xml:space="preserve"> </w:t>
      </w:r>
      <w:r w:rsidR="00181AA5">
        <w:t xml:space="preserve">out </w:t>
      </w:r>
      <w:r w:rsidR="001F4609">
        <w:t xml:space="preserve">as </w:t>
      </w:r>
      <w:r w:rsidR="00181AA5">
        <w:t xml:space="preserve">provided by Section 8 of </w:t>
      </w:r>
      <w:r w:rsidR="00405917">
        <w:t>SB 310</w:t>
      </w:r>
      <w:r w:rsidR="00181AA5">
        <w:t>.</w:t>
      </w:r>
    </w:p>
    <w:p w:rsidR="001229C3" w:rsidRDefault="001229C3" w:rsidP="001229C3">
      <w:pPr>
        <w:pStyle w:val="Heading1"/>
      </w:pPr>
      <w:r>
        <w:t>Conclusion</w:t>
      </w:r>
    </w:p>
    <w:p w:rsidR="00EB6862" w:rsidRDefault="00394D96" w:rsidP="0059746D">
      <w:pPr>
        <w:spacing w:line="480" w:lineRule="auto"/>
        <w:ind w:firstLine="720"/>
        <w:jc w:val="both"/>
      </w:pPr>
      <w:r>
        <w:t xml:space="preserve">Unless the Commission finds that Duke is seeking an amended portfolio plan, the Commission must deny the Application.  If the Commission deems the Application as one seeking an amended portfolio plan, however, </w:t>
      </w:r>
      <w:r w:rsidR="006E6296">
        <w:t>t</w:t>
      </w:r>
      <w:r w:rsidR="0059746D">
        <w:t>he Commission must either approve</w:t>
      </w:r>
      <w:r w:rsidR="006A6B12">
        <w:t>,</w:t>
      </w:r>
      <w:r w:rsidR="0059746D">
        <w:t xml:space="preserve"> or modify and approve</w:t>
      </w:r>
      <w:r w:rsidR="006A6B12">
        <w:t>,</w:t>
      </w:r>
      <w:r w:rsidR="0059746D">
        <w:t xml:space="preserve"> the </w:t>
      </w:r>
      <w:r w:rsidR="00FF6E13">
        <w:t>A</w:t>
      </w:r>
      <w:r w:rsidR="00D614E6">
        <w:t>pplication</w:t>
      </w:r>
      <w:r w:rsidR="0059746D">
        <w:t xml:space="preserve">.  In this instance, the Commission should modify and approve the </w:t>
      </w:r>
      <w:r w:rsidR="00CD7367">
        <w:t>Application</w:t>
      </w:r>
      <w:r w:rsidR="0059746D">
        <w:t xml:space="preserve"> by </w:t>
      </w:r>
      <w:r w:rsidR="006E6296">
        <w:t xml:space="preserve">removing </w:t>
      </w:r>
      <w:r w:rsidR="001F4609">
        <w:t>authorization</w:t>
      </w:r>
      <w:r w:rsidR="006E6296">
        <w:t xml:space="preserve"> for Duke to bill and collect shared savings </w:t>
      </w:r>
      <w:r w:rsidR="00DA7E7D">
        <w:t>because Duke has failed to provide any</w:t>
      </w:r>
      <w:r w:rsidR="00550A40">
        <w:t xml:space="preserve"> reasoned</w:t>
      </w:r>
      <w:r w:rsidR="00DA7E7D">
        <w:t xml:space="preserve"> basis </w:t>
      </w:r>
      <w:r w:rsidR="0001282B">
        <w:t>for that provision</w:t>
      </w:r>
      <w:r w:rsidR="0059746D">
        <w:t xml:space="preserve">. </w:t>
      </w:r>
      <w:r w:rsidR="001229C3">
        <w:t xml:space="preserve"> </w:t>
      </w:r>
      <w:r w:rsidR="005129A6">
        <w:t>If the Commission modifies and approves the amended portfolio plan</w:t>
      </w:r>
      <w:r w:rsidR="0001282B">
        <w:t xml:space="preserve">, </w:t>
      </w:r>
      <w:r w:rsidR="00CD7367">
        <w:t xml:space="preserve">the Commission </w:t>
      </w:r>
      <w:r w:rsidR="0001282B">
        <w:t xml:space="preserve">also </w:t>
      </w:r>
      <w:r w:rsidR="00CD7367">
        <w:t xml:space="preserve">should find </w:t>
      </w:r>
      <w:r w:rsidR="00CD7367" w:rsidRPr="00CD7367">
        <w:t xml:space="preserve">that </w:t>
      </w:r>
      <w:r w:rsidR="00550A40">
        <w:t>Duke’s energy</w:t>
      </w:r>
      <w:r w:rsidR="00044EDD">
        <w:t>-</w:t>
      </w:r>
      <w:r w:rsidR="00550A40">
        <w:t>intensive</w:t>
      </w:r>
      <w:r w:rsidR="00550A40" w:rsidRPr="00CD7367">
        <w:t xml:space="preserve"> </w:t>
      </w:r>
      <w:r w:rsidR="00CD7367" w:rsidRPr="00CD7367">
        <w:t>customers may opt</w:t>
      </w:r>
      <w:r w:rsidR="00FB38A0">
        <w:t xml:space="preserve"> </w:t>
      </w:r>
      <w:r w:rsidR="00CD7367" w:rsidRPr="00CD7367">
        <w:t xml:space="preserve">out </w:t>
      </w:r>
      <w:r w:rsidR="00DA7E7D">
        <w:t>of the amended plan</w:t>
      </w:r>
      <w:r w:rsidR="00CD7367" w:rsidRPr="00CD7367">
        <w:t>.</w:t>
      </w:r>
      <w:r w:rsidR="00CD7367">
        <w:t xml:space="preserve"> </w:t>
      </w:r>
    </w:p>
    <w:p w:rsidR="00EB6862" w:rsidRDefault="00EB6862" w:rsidP="00EB6862">
      <w:pPr>
        <w:pStyle w:val="BodyTextIndent"/>
        <w:spacing w:after="0"/>
        <w:ind w:left="4320"/>
      </w:pPr>
      <w:r>
        <w:lastRenderedPageBreak/>
        <w:t>Respectfully submitted,</w:t>
      </w:r>
    </w:p>
    <w:p w:rsidR="00EB6862" w:rsidRDefault="00EB6862" w:rsidP="00EB6862">
      <w:pPr>
        <w:pStyle w:val="BodyTextIndent"/>
        <w:spacing w:after="0"/>
        <w:ind w:left="4320"/>
        <w:rPr>
          <w:lang w:val="en-US"/>
        </w:rPr>
      </w:pPr>
    </w:p>
    <w:p w:rsidR="00EB6862" w:rsidRPr="0074338B" w:rsidRDefault="00EB6862" w:rsidP="00EB6862">
      <w:pPr>
        <w:pStyle w:val="BodyTextIndent"/>
        <w:spacing w:after="0"/>
        <w:ind w:left="0"/>
        <w:rPr>
          <w:lang w:val="en-US"/>
        </w:rPr>
      </w:pPr>
    </w:p>
    <w:p w:rsidR="00EB6862" w:rsidRPr="003E61A0" w:rsidRDefault="00B604FC" w:rsidP="00EB6862">
      <w:pPr>
        <w:tabs>
          <w:tab w:val="left" w:pos="4320"/>
          <w:tab w:val="right" w:pos="8640"/>
        </w:tabs>
        <w:ind w:left="4320"/>
        <w:jc w:val="both"/>
        <w:rPr>
          <w:rFonts w:cs="Arial"/>
          <w:i/>
        </w:rPr>
      </w:pPr>
      <w:r w:rsidRPr="003E61A0">
        <w:rPr>
          <w:rFonts w:cs="Arial"/>
          <w:i/>
          <w:u w:val="single"/>
        </w:rPr>
        <w:t>/s/ Frank P. Darr</w:t>
      </w:r>
      <w:r w:rsidR="00EB6862" w:rsidRPr="003E61A0">
        <w:rPr>
          <w:rFonts w:cs="Arial"/>
          <w:i/>
          <w:u w:val="single"/>
        </w:rPr>
        <w:tab/>
      </w:r>
      <w:r w:rsidR="00EB6862" w:rsidRPr="003E61A0">
        <w:rPr>
          <w:rFonts w:cs="Arial"/>
          <w:i/>
        </w:rPr>
        <w:t xml:space="preserve"> </w:t>
      </w:r>
    </w:p>
    <w:p w:rsidR="00EB6862" w:rsidRPr="0074338B" w:rsidRDefault="00EB6862" w:rsidP="00EB6862">
      <w:pPr>
        <w:widowControl w:val="0"/>
        <w:ind w:left="4320"/>
        <w:rPr>
          <w:rFonts w:eastAsia="Calibri" w:cs="Arial"/>
          <w:bCs/>
        </w:rPr>
      </w:pPr>
      <w:r w:rsidRPr="0074338B">
        <w:rPr>
          <w:rFonts w:eastAsia="Calibri" w:cs="Arial"/>
          <w:bCs/>
        </w:rPr>
        <w:t>Frank P. Darr (Reg. No. 0025469)</w:t>
      </w:r>
    </w:p>
    <w:p w:rsidR="00EB6862" w:rsidRPr="0074338B" w:rsidRDefault="00EB6862" w:rsidP="00EB6862">
      <w:pPr>
        <w:widowControl w:val="0"/>
        <w:ind w:left="4320"/>
        <w:rPr>
          <w:rFonts w:eastAsia="Calibri" w:cs="Arial"/>
          <w:bCs/>
        </w:rPr>
      </w:pPr>
      <w:r w:rsidRPr="0074338B">
        <w:rPr>
          <w:rFonts w:eastAsia="Calibri" w:cs="Arial"/>
        </w:rPr>
        <w:t>(Counsel of Record)</w:t>
      </w:r>
    </w:p>
    <w:p w:rsidR="00EB6862" w:rsidRPr="0074338B" w:rsidRDefault="00EB6862" w:rsidP="00EB6862">
      <w:pPr>
        <w:widowControl w:val="0"/>
        <w:ind w:left="4320"/>
        <w:rPr>
          <w:rFonts w:eastAsia="Calibri" w:cs="Arial"/>
          <w:b/>
          <w:bCs/>
        </w:rPr>
      </w:pPr>
      <w:r w:rsidRPr="0074338B">
        <w:rPr>
          <w:rFonts w:eastAsia="Calibri" w:cs="Arial"/>
          <w:bCs/>
        </w:rPr>
        <w:t>Matthew R. Pritchard (Reg. No. 0088070)</w:t>
      </w:r>
    </w:p>
    <w:p w:rsidR="00EB6862" w:rsidRPr="0074338B" w:rsidRDefault="00EB6862" w:rsidP="00EB6862">
      <w:pPr>
        <w:widowControl w:val="0"/>
        <w:ind w:left="4320"/>
        <w:rPr>
          <w:rFonts w:eastAsia="Calibri" w:cs="Arial"/>
          <w:b/>
          <w:bCs/>
          <w:smallCaps/>
        </w:rPr>
      </w:pPr>
      <w:r w:rsidRPr="0074338B">
        <w:rPr>
          <w:rFonts w:eastAsia="Calibri" w:cs="Arial"/>
          <w:bCs/>
          <w:smallCaps/>
        </w:rPr>
        <w:t>McNees Wallace &amp; Nurick LLC</w:t>
      </w:r>
    </w:p>
    <w:p w:rsidR="00EB6862" w:rsidRPr="0074338B" w:rsidRDefault="00EB6862" w:rsidP="00EB6862">
      <w:pPr>
        <w:widowControl w:val="0"/>
        <w:ind w:left="4320"/>
        <w:rPr>
          <w:rFonts w:eastAsia="Calibri" w:cs="Arial"/>
          <w:b/>
          <w:bCs/>
        </w:rPr>
      </w:pPr>
      <w:r w:rsidRPr="0074338B">
        <w:rPr>
          <w:rFonts w:eastAsia="Calibri" w:cs="Arial"/>
          <w:bCs/>
        </w:rPr>
        <w:t>21 East State Street, 17</w:t>
      </w:r>
      <w:r w:rsidRPr="0074338B">
        <w:rPr>
          <w:rFonts w:eastAsia="Calibri" w:cs="Arial"/>
          <w:bCs/>
          <w:vertAlign w:val="superscript"/>
        </w:rPr>
        <w:t>TH</w:t>
      </w:r>
      <w:r w:rsidRPr="0074338B">
        <w:rPr>
          <w:rFonts w:eastAsia="Calibri" w:cs="Arial"/>
          <w:bCs/>
        </w:rPr>
        <w:t xml:space="preserve"> Floor</w:t>
      </w:r>
    </w:p>
    <w:p w:rsidR="00EB6862" w:rsidRPr="0074338B" w:rsidRDefault="00EB6862" w:rsidP="00EB6862">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Columbus, OH  43215</w:t>
      </w:r>
    </w:p>
    <w:p w:rsidR="00EB6862" w:rsidRPr="0074338B" w:rsidRDefault="00EB6862" w:rsidP="00EB6862">
      <w:pPr>
        <w:tabs>
          <w:tab w:val="left" w:pos="-1440"/>
          <w:tab w:val="left" w:pos="-720"/>
          <w:tab w:val="left" w:pos="5040"/>
          <w:tab w:val="center" w:pos="7200"/>
        </w:tabs>
        <w:overflowPunct w:val="0"/>
        <w:autoSpaceDE w:val="0"/>
        <w:autoSpaceDN w:val="0"/>
        <w:adjustRightInd w:val="0"/>
        <w:ind w:left="4320"/>
        <w:rPr>
          <w:rFonts w:eastAsia="Calibri" w:cs="Arial"/>
        </w:rPr>
      </w:pPr>
      <w:r w:rsidRPr="0074338B">
        <w:rPr>
          <w:rFonts w:eastAsia="Calibri" w:cs="Arial"/>
        </w:rPr>
        <w:t>Telephone:  (614) 469-8000</w:t>
      </w:r>
    </w:p>
    <w:p w:rsidR="00EB6862" w:rsidRPr="0074338B" w:rsidRDefault="00EB6862" w:rsidP="00EB6862">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Telecopier:  (614) 469-4653</w:t>
      </w:r>
    </w:p>
    <w:p w:rsidR="00EB6862" w:rsidRPr="0074338B" w:rsidRDefault="00EB6862" w:rsidP="00EB6862">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rPr>
        <w:t>fdarr@mwncmh.com</w:t>
      </w:r>
    </w:p>
    <w:p w:rsidR="00EB6862" w:rsidRPr="0074338B" w:rsidRDefault="00EB6862" w:rsidP="00EB6862">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EB6862" w:rsidRPr="0074338B" w:rsidRDefault="00EB6862" w:rsidP="00EB6862">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sidRPr="0074338B">
        <w:rPr>
          <w:rFonts w:eastAsia="Calibri" w:cs="Arial"/>
          <w:color w:val="000000"/>
        </w:rPr>
        <w:t>mpritchard@mwncmh.com</w:t>
      </w:r>
    </w:p>
    <w:p w:rsidR="00EB6862" w:rsidRPr="0074338B" w:rsidRDefault="00EB6862" w:rsidP="00EB6862">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74338B">
        <w:rPr>
          <w:rFonts w:eastAsia="Calibri" w:cs="Arial"/>
          <w:color w:val="000000"/>
        </w:rPr>
        <w:t>(willing to accept service by e-mail)</w:t>
      </w:r>
    </w:p>
    <w:p w:rsidR="00EB6862" w:rsidRDefault="00EB6862" w:rsidP="00EB6862">
      <w:pPr>
        <w:tabs>
          <w:tab w:val="left" w:pos="-1440"/>
          <w:tab w:val="left" w:pos="-720"/>
          <w:tab w:val="left" w:pos="4680"/>
          <w:tab w:val="left" w:pos="5040"/>
        </w:tabs>
        <w:jc w:val="both"/>
        <w:rPr>
          <w:rFonts w:cs="Arial"/>
        </w:rPr>
      </w:pPr>
    </w:p>
    <w:p w:rsidR="00EB6862" w:rsidRDefault="00EB6862" w:rsidP="00EB6862">
      <w:pPr>
        <w:tabs>
          <w:tab w:val="left" w:pos="-1440"/>
          <w:tab w:val="left" w:pos="-720"/>
          <w:tab w:val="left" w:pos="4320"/>
        </w:tabs>
        <w:ind w:left="4320" w:hanging="4320"/>
        <w:jc w:val="both"/>
        <w:rPr>
          <w:rFonts w:cs="Arial"/>
          <w:b/>
        </w:rPr>
        <w:sectPr w:rsidR="00EB6862" w:rsidSect="00A16F6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r>
        <w:rPr>
          <w:rFonts w:cs="Arial"/>
        </w:rPr>
        <w:tab/>
      </w:r>
      <w:r>
        <w:rPr>
          <w:rFonts w:cs="Arial"/>
          <w:b/>
        </w:rPr>
        <w:t>Attorneys for Industrial Energy Users-Ohio</w:t>
      </w:r>
    </w:p>
    <w:p w:rsidR="00EB6862" w:rsidRPr="00EB6862" w:rsidRDefault="00EB6862" w:rsidP="00EB6862">
      <w:pPr>
        <w:jc w:val="center"/>
        <w:rPr>
          <w:rFonts w:ascii="Arial Bold" w:eastAsia="Times New Roman" w:hAnsi="Arial Bold" w:cs="Arial"/>
          <w:b/>
          <w:smallCaps/>
          <w:sz w:val="28"/>
          <w:szCs w:val="28"/>
          <w:u w:val="single"/>
        </w:rPr>
      </w:pPr>
      <w:r w:rsidRPr="00EB6862">
        <w:rPr>
          <w:rFonts w:ascii="Arial Bold" w:eastAsia="Times New Roman" w:hAnsi="Arial Bold" w:cs="Arial"/>
          <w:b/>
          <w:smallCaps/>
          <w:sz w:val="28"/>
          <w:szCs w:val="28"/>
          <w:u w:val="single"/>
        </w:rPr>
        <w:lastRenderedPageBreak/>
        <w:t>Certificate Of Service</w:t>
      </w:r>
    </w:p>
    <w:p w:rsidR="00EB6862" w:rsidRPr="00EB6862" w:rsidRDefault="00EB6862" w:rsidP="00EB6862">
      <w:pPr>
        <w:spacing w:line="480" w:lineRule="auto"/>
        <w:ind w:firstLine="720"/>
        <w:jc w:val="both"/>
        <w:rPr>
          <w:rFonts w:eastAsia="Times New Roman" w:cs="Arial"/>
        </w:rPr>
      </w:pPr>
    </w:p>
    <w:p w:rsidR="00EB6862" w:rsidRPr="00EB6862" w:rsidRDefault="00EB6862" w:rsidP="00EB6862">
      <w:pPr>
        <w:spacing w:line="480" w:lineRule="auto"/>
        <w:ind w:firstLine="720"/>
        <w:jc w:val="both"/>
        <w:rPr>
          <w:rFonts w:eastAsia="Times New Roman" w:cs="Arial"/>
          <w:b/>
          <w:smallCaps/>
        </w:rPr>
      </w:pPr>
      <w:r w:rsidRPr="00EB6862">
        <w:rPr>
          <w:rFonts w:eastAsia="Times New Roman"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00DB2B21">
        <w:rPr>
          <w:rFonts w:eastAsia="Times New Roman" w:cs="Arial"/>
          <w:i/>
        </w:rPr>
        <w:t>Initial Comments and Objection of Industrial Energy Users-Ohio</w:t>
      </w:r>
      <w:r w:rsidR="00DB2B21" w:rsidRPr="00EB6862">
        <w:rPr>
          <w:rFonts w:eastAsia="Times New Roman" w:cs="Arial"/>
          <w:i/>
        </w:rPr>
        <w:t xml:space="preserve"> </w:t>
      </w:r>
      <w:r w:rsidRPr="00EB6862">
        <w:rPr>
          <w:rFonts w:eastAsia="Times New Roman" w:cs="Arial"/>
        </w:rPr>
        <w:t xml:space="preserve">was sent by, or on behalf of, the undersigned counsel for IEU-Ohio to the following parties of record this </w:t>
      </w:r>
      <w:r w:rsidR="00DB2B21">
        <w:rPr>
          <w:rFonts w:eastAsia="Times New Roman" w:cs="Arial"/>
        </w:rPr>
        <w:t>5</w:t>
      </w:r>
      <w:r w:rsidR="00DB2B21" w:rsidRPr="00E94C11">
        <w:rPr>
          <w:rFonts w:eastAsia="Times New Roman" w:cs="Arial"/>
          <w:vertAlign w:val="superscript"/>
        </w:rPr>
        <w:t>th</w:t>
      </w:r>
      <w:r w:rsidR="00DB2B21" w:rsidRPr="00EB6862">
        <w:rPr>
          <w:rFonts w:eastAsia="Times New Roman" w:cs="Arial"/>
        </w:rPr>
        <w:t xml:space="preserve"> </w:t>
      </w:r>
      <w:r w:rsidRPr="00EB6862">
        <w:rPr>
          <w:rFonts w:eastAsia="Times New Roman" w:cs="Arial"/>
        </w:rPr>
        <w:t xml:space="preserve">day of </w:t>
      </w:r>
      <w:r w:rsidR="00DB2B21">
        <w:rPr>
          <w:rFonts w:eastAsia="Times New Roman" w:cs="Arial"/>
        </w:rPr>
        <w:t>December</w:t>
      </w:r>
      <w:r w:rsidR="00DB2B21" w:rsidRPr="00EB6862">
        <w:rPr>
          <w:rFonts w:eastAsia="Times New Roman" w:cs="Arial"/>
        </w:rPr>
        <w:t xml:space="preserve"> </w:t>
      </w:r>
      <w:r w:rsidRPr="00EB6862">
        <w:rPr>
          <w:rFonts w:eastAsia="Times New Roman" w:cs="Arial"/>
        </w:rPr>
        <w:t xml:space="preserve">2014, </w:t>
      </w:r>
      <w:r w:rsidRPr="00EB6862">
        <w:rPr>
          <w:rFonts w:eastAsia="Times New Roman" w:cs="Arial"/>
          <w:i/>
        </w:rPr>
        <w:t>via</w:t>
      </w:r>
      <w:r w:rsidRPr="00EB6862">
        <w:rPr>
          <w:rFonts w:eastAsia="Times New Roman" w:cs="Arial"/>
        </w:rPr>
        <w:t xml:space="preserve"> electronic transmission. </w:t>
      </w:r>
    </w:p>
    <w:p w:rsidR="00EB6862" w:rsidRPr="00EB6862" w:rsidRDefault="00EB6862" w:rsidP="00EB6862">
      <w:pPr>
        <w:tabs>
          <w:tab w:val="left" w:pos="-1440"/>
          <w:tab w:val="left" w:pos="-720"/>
          <w:tab w:val="left" w:pos="5040"/>
          <w:tab w:val="center" w:pos="7200"/>
          <w:tab w:val="right" w:pos="9360"/>
        </w:tabs>
        <w:ind w:firstLine="5040"/>
        <w:rPr>
          <w:rFonts w:eastAsia="Times New Roman" w:cs="Arial"/>
          <w:i/>
        </w:rPr>
      </w:pPr>
      <w:r w:rsidRPr="00EB6862">
        <w:rPr>
          <w:rFonts w:eastAsia="Times New Roman" w:cs="Arial"/>
          <w:i/>
          <w:u w:val="single"/>
        </w:rPr>
        <w:t xml:space="preserve">/s/ </w:t>
      </w:r>
      <w:r>
        <w:rPr>
          <w:rFonts w:eastAsia="Times New Roman" w:cs="Arial"/>
          <w:i/>
          <w:u w:val="single"/>
        </w:rPr>
        <w:t>Frank P. Darr</w:t>
      </w:r>
      <w:r>
        <w:rPr>
          <w:rFonts w:eastAsia="Times New Roman" w:cs="Arial"/>
          <w:i/>
          <w:u w:val="single"/>
        </w:rPr>
        <w:tab/>
      </w:r>
      <w:r w:rsidRPr="00EB6862">
        <w:rPr>
          <w:rFonts w:eastAsia="Times New Roman" w:cs="Arial"/>
          <w:i/>
          <w:u w:val="single"/>
        </w:rPr>
        <w:tab/>
      </w:r>
    </w:p>
    <w:p w:rsidR="00EB6862" w:rsidRPr="00EB6862" w:rsidRDefault="00EB6862" w:rsidP="00EB6862">
      <w:pPr>
        <w:tabs>
          <w:tab w:val="left" w:pos="4320"/>
          <w:tab w:val="center" w:pos="6840"/>
        </w:tabs>
        <w:rPr>
          <w:rFonts w:eastAsia="Times New Roman" w:cs="Arial"/>
        </w:rPr>
      </w:pPr>
      <w:r w:rsidRPr="00EB6862">
        <w:rPr>
          <w:rFonts w:eastAsia="Times New Roman" w:cs="Arial"/>
        </w:rPr>
        <w:tab/>
      </w:r>
      <w:r w:rsidRPr="00EB6862">
        <w:rPr>
          <w:rFonts w:eastAsia="Times New Roman" w:cs="Arial"/>
        </w:rPr>
        <w:tab/>
      </w:r>
      <w:r>
        <w:rPr>
          <w:rFonts w:eastAsia="Times New Roman" w:cs="Arial"/>
        </w:rPr>
        <w:t>Frank P. Darr</w:t>
      </w:r>
    </w:p>
    <w:p w:rsidR="00EB6862" w:rsidRPr="00EB6862" w:rsidRDefault="00EB6862" w:rsidP="00EB6862">
      <w:pPr>
        <w:rPr>
          <w:rFonts w:eastAsia="Times New Roman" w:cs="Arial"/>
        </w:rPr>
      </w:pPr>
    </w:p>
    <w:p w:rsidR="00EB6862" w:rsidRPr="00EB6862" w:rsidRDefault="00EB6862" w:rsidP="00EB6862">
      <w:pPr>
        <w:rPr>
          <w:rFonts w:eastAsia="Times New Roman" w:cs="Arial"/>
          <w:sz w:val="22"/>
          <w:szCs w:val="22"/>
        </w:rPr>
      </w:pPr>
    </w:p>
    <w:p w:rsidR="00EB6862" w:rsidRPr="00EB6862" w:rsidRDefault="00EB6862" w:rsidP="00EB6862">
      <w:pPr>
        <w:rPr>
          <w:rFonts w:eastAsia="Times New Roman" w:cs="Arial"/>
          <w:sz w:val="22"/>
          <w:szCs w:val="22"/>
        </w:rPr>
        <w:sectPr w:rsidR="00EB6862" w:rsidRPr="00EB6862">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41" w:left="1440" w:header="720" w:footer="720" w:gutter="0"/>
          <w:pgNumType w:start="1"/>
          <w:cols w:space="720"/>
          <w:titlePg/>
          <w:docGrid w:linePitch="326"/>
        </w:sectPr>
      </w:pPr>
    </w:p>
    <w:p w:rsidR="00EB6862" w:rsidRPr="00EB6862" w:rsidRDefault="00EB6862" w:rsidP="00EB6862">
      <w:pPr>
        <w:rPr>
          <w:rFonts w:eastAsia="Times New Roman" w:cs="Arial"/>
          <w:sz w:val="22"/>
          <w:szCs w:val="22"/>
        </w:rPr>
      </w:pPr>
      <w:r w:rsidRPr="00EB6862">
        <w:rPr>
          <w:rFonts w:eastAsia="Times New Roman" w:cs="Arial"/>
          <w:sz w:val="22"/>
          <w:szCs w:val="22"/>
        </w:rPr>
        <w:lastRenderedPageBreak/>
        <w:t>Amy B. Spiller (Reg. No. 0047277)</w:t>
      </w:r>
    </w:p>
    <w:p w:rsidR="00EB6862" w:rsidRPr="00EB6862" w:rsidRDefault="00EB6862" w:rsidP="00EB6862">
      <w:pPr>
        <w:rPr>
          <w:rFonts w:eastAsia="Times New Roman" w:cs="Arial"/>
          <w:sz w:val="22"/>
          <w:szCs w:val="22"/>
        </w:rPr>
      </w:pPr>
      <w:r w:rsidRPr="00EB6862">
        <w:rPr>
          <w:rFonts w:eastAsia="Times New Roman" w:cs="Arial"/>
          <w:sz w:val="22"/>
          <w:szCs w:val="22"/>
        </w:rPr>
        <w:t>Deputy General Counsel</w:t>
      </w:r>
    </w:p>
    <w:p w:rsidR="00EB6862" w:rsidRPr="00EB6862" w:rsidRDefault="00EB6862" w:rsidP="00EB6862">
      <w:pPr>
        <w:rPr>
          <w:rFonts w:eastAsia="Times New Roman" w:cs="Arial"/>
          <w:sz w:val="22"/>
          <w:szCs w:val="22"/>
        </w:rPr>
      </w:pPr>
      <w:r w:rsidRPr="00EB6862">
        <w:rPr>
          <w:rFonts w:eastAsia="Times New Roman" w:cs="Arial"/>
          <w:sz w:val="22"/>
          <w:szCs w:val="22"/>
        </w:rPr>
        <w:t>Elizabeth H. Watts (Reg. No. 0031092)</w:t>
      </w:r>
    </w:p>
    <w:p w:rsidR="00EB6862" w:rsidRPr="00EB6862" w:rsidRDefault="00EB6862" w:rsidP="00EB6862">
      <w:pPr>
        <w:rPr>
          <w:rFonts w:eastAsia="Times New Roman" w:cs="Arial"/>
          <w:sz w:val="22"/>
          <w:szCs w:val="22"/>
        </w:rPr>
      </w:pPr>
      <w:r w:rsidRPr="00EB6862">
        <w:rPr>
          <w:rFonts w:eastAsia="Times New Roman" w:cs="Arial"/>
          <w:sz w:val="22"/>
          <w:szCs w:val="22"/>
        </w:rPr>
        <w:t>Counsel of Record</w:t>
      </w:r>
    </w:p>
    <w:p w:rsidR="00EB6862" w:rsidRPr="00EB6862" w:rsidRDefault="00EB6862" w:rsidP="00EB6862">
      <w:pPr>
        <w:rPr>
          <w:rFonts w:eastAsia="Times New Roman" w:cs="Arial"/>
          <w:sz w:val="22"/>
          <w:szCs w:val="22"/>
        </w:rPr>
      </w:pPr>
      <w:r w:rsidRPr="00EB6862">
        <w:rPr>
          <w:rFonts w:eastAsia="Times New Roman" w:cs="Arial"/>
          <w:sz w:val="22"/>
          <w:szCs w:val="22"/>
        </w:rPr>
        <w:t>Associate General Counsel</w:t>
      </w:r>
    </w:p>
    <w:p w:rsidR="00EB6862" w:rsidRPr="00EB6862" w:rsidRDefault="00EB6862" w:rsidP="00EB6862">
      <w:pPr>
        <w:rPr>
          <w:rFonts w:eastAsia="Times New Roman" w:cs="Arial"/>
          <w:sz w:val="22"/>
          <w:szCs w:val="22"/>
        </w:rPr>
      </w:pPr>
      <w:r w:rsidRPr="00EB6862">
        <w:rPr>
          <w:rFonts w:eastAsia="Times New Roman" w:cs="Arial"/>
          <w:sz w:val="22"/>
          <w:szCs w:val="22"/>
        </w:rPr>
        <w:t>Duke Energy Business Services LLC</w:t>
      </w:r>
    </w:p>
    <w:p w:rsidR="00EB6862" w:rsidRPr="00EB6862" w:rsidRDefault="00EB6862" w:rsidP="00EB6862">
      <w:pPr>
        <w:rPr>
          <w:rFonts w:eastAsia="Times New Roman" w:cs="Arial"/>
          <w:sz w:val="22"/>
          <w:szCs w:val="22"/>
        </w:rPr>
      </w:pPr>
      <w:r w:rsidRPr="00EB6862">
        <w:rPr>
          <w:rFonts w:eastAsia="Times New Roman" w:cs="Arial"/>
          <w:sz w:val="22"/>
          <w:szCs w:val="22"/>
        </w:rPr>
        <w:t>139 East Fourth Street, 1303-Main</w:t>
      </w:r>
    </w:p>
    <w:p w:rsidR="00EB6862" w:rsidRPr="00EB6862" w:rsidRDefault="00EB6862" w:rsidP="00EB6862">
      <w:pPr>
        <w:rPr>
          <w:rFonts w:eastAsia="Times New Roman" w:cs="Arial"/>
          <w:sz w:val="22"/>
          <w:szCs w:val="22"/>
        </w:rPr>
      </w:pPr>
      <w:r w:rsidRPr="00EB6862">
        <w:rPr>
          <w:rFonts w:eastAsia="Times New Roman" w:cs="Arial"/>
          <w:sz w:val="22"/>
          <w:szCs w:val="22"/>
        </w:rPr>
        <w:t>P.O. Box 960</w:t>
      </w:r>
    </w:p>
    <w:p w:rsidR="00EB6862" w:rsidRPr="00EB6862" w:rsidRDefault="00EB6862" w:rsidP="00EB6862">
      <w:pPr>
        <w:rPr>
          <w:rFonts w:eastAsia="Times New Roman" w:cs="Arial"/>
          <w:sz w:val="22"/>
          <w:szCs w:val="22"/>
        </w:rPr>
      </w:pPr>
      <w:r w:rsidRPr="00EB6862">
        <w:rPr>
          <w:rFonts w:eastAsia="Times New Roman" w:cs="Arial"/>
          <w:sz w:val="22"/>
          <w:szCs w:val="22"/>
        </w:rPr>
        <w:t>Cincinnati, OH  45201-0960</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Amy.Spiller@duke-energy.com</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Elizabeth.watts@duke-energy.com</w:t>
      </w:r>
    </w:p>
    <w:p w:rsidR="00EB6862" w:rsidRPr="00EB6862" w:rsidRDefault="00EB6862" w:rsidP="00EB6862">
      <w:pPr>
        <w:autoSpaceDE w:val="0"/>
        <w:autoSpaceDN w:val="0"/>
        <w:adjustRightInd w:val="0"/>
        <w:rPr>
          <w:rFonts w:eastAsia="Times New Roman" w:cs="Arial"/>
          <w:color w:val="000000"/>
          <w:sz w:val="22"/>
          <w:szCs w:val="22"/>
        </w:rPr>
      </w:pPr>
    </w:p>
    <w:p w:rsidR="00EB6862" w:rsidRPr="00EB6862" w:rsidRDefault="00EB6862" w:rsidP="00EB6862">
      <w:pPr>
        <w:autoSpaceDE w:val="0"/>
        <w:autoSpaceDN w:val="0"/>
        <w:adjustRightInd w:val="0"/>
        <w:rPr>
          <w:rFonts w:eastAsia="Times New Roman" w:cs="Arial"/>
          <w:b/>
          <w:smallCaps/>
          <w:color w:val="000000"/>
          <w:sz w:val="22"/>
          <w:szCs w:val="22"/>
        </w:rPr>
      </w:pPr>
      <w:r w:rsidRPr="00EB6862">
        <w:rPr>
          <w:rFonts w:eastAsia="Times New Roman" w:cs="Arial"/>
          <w:b/>
          <w:smallCaps/>
          <w:color w:val="000000"/>
          <w:sz w:val="22"/>
          <w:szCs w:val="22"/>
        </w:rPr>
        <w:t>Counsel for Duke Energy Ohio, Inc.</w:t>
      </w:r>
    </w:p>
    <w:p w:rsidR="00EB6862" w:rsidRPr="00EB6862" w:rsidRDefault="00EB6862" w:rsidP="00EB6862">
      <w:pPr>
        <w:autoSpaceDE w:val="0"/>
        <w:autoSpaceDN w:val="0"/>
        <w:adjustRightInd w:val="0"/>
        <w:rPr>
          <w:rFonts w:eastAsia="Times New Roman" w:cs="Arial"/>
          <w:color w:val="000000"/>
          <w:sz w:val="22"/>
          <w:szCs w:val="22"/>
        </w:rPr>
      </w:pP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David C. Rinebolt (Counsel of Record)</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Colleen L. Mooney</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Ohio Partners for Affordable Energy</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231 West Lima Street</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P.O. Box 1793</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Findlay, OH 45839-1793</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drinebolt@ohiopartners.org</w:t>
      </w:r>
    </w:p>
    <w:p w:rsidR="00EB6862" w:rsidRPr="00EB6862" w:rsidRDefault="00EB6862" w:rsidP="00EB6862">
      <w:pPr>
        <w:rPr>
          <w:rFonts w:eastAsia="Times New Roman" w:cs="Arial"/>
          <w:color w:val="000000"/>
          <w:sz w:val="22"/>
          <w:szCs w:val="22"/>
        </w:rPr>
      </w:pPr>
      <w:r w:rsidRPr="00EB6862">
        <w:rPr>
          <w:rFonts w:eastAsia="Times New Roman" w:cs="Arial"/>
          <w:sz w:val="22"/>
          <w:szCs w:val="22"/>
        </w:rPr>
        <w:t>cmooney@ohiopartners.org</w:t>
      </w:r>
    </w:p>
    <w:p w:rsidR="00EB6862" w:rsidRPr="00EB6862" w:rsidRDefault="00EB6862" w:rsidP="00EB6862">
      <w:pPr>
        <w:autoSpaceDE w:val="0"/>
        <w:autoSpaceDN w:val="0"/>
        <w:adjustRightInd w:val="0"/>
        <w:rPr>
          <w:rFonts w:eastAsia="Times New Roman" w:cs="Arial"/>
          <w:color w:val="000000"/>
          <w:sz w:val="22"/>
          <w:szCs w:val="22"/>
        </w:rPr>
      </w:pPr>
    </w:p>
    <w:p w:rsidR="00EB6862" w:rsidRPr="00EB6862" w:rsidRDefault="00EB6862" w:rsidP="00EB6862">
      <w:pPr>
        <w:autoSpaceDE w:val="0"/>
        <w:autoSpaceDN w:val="0"/>
        <w:adjustRightInd w:val="0"/>
        <w:rPr>
          <w:rFonts w:eastAsia="Times New Roman" w:cs="Arial"/>
          <w:b/>
          <w:smallCaps/>
          <w:color w:val="000000"/>
          <w:sz w:val="22"/>
          <w:szCs w:val="22"/>
        </w:rPr>
      </w:pPr>
      <w:r w:rsidRPr="00EB6862">
        <w:rPr>
          <w:rFonts w:eastAsia="Times New Roman" w:cs="Arial"/>
          <w:b/>
          <w:smallCaps/>
          <w:color w:val="000000"/>
          <w:sz w:val="22"/>
          <w:szCs w:val="22"/>
        </w:rPr>
        <w:t>Counsel for Ohio Partners for Affordable Energy</w:t>
      </w:r>
    </w:p>
    <w:p w:rsidR="00EB6862" w:rsidRPr="00EB6862" w:rsidRDefault="00EB6862" w:rsidP="00EB6862">
      <w:pPr>
        <w:autoSpaceDE w:val="0"/>
        <w:autoSpaceDN w:val="0"/>
        <w:adjustRightInd w:val="0"/>
        <w:rPr>
          <w:rFonts w:eastAsia="Times New Roman" w:cs="Arial"/>
          <w:color w:val="000000"/>
          <w:sz w:val="22"/>
          <w:szCs w:val="22"/>
        </w:rPr>
      </w:pP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br w:type="column"/>
      </w:r>
      <w:r w:rsidRPr="00EB6862">
        <w:rPr>
          <w:rFonts w:eastAsia="Times New Roman" w:cs="Arial"/>
          <w:color w:val="000000"/>
          <w:sz w:val="22"/>
          <w:szCs w:val="22"/>
        </w:rPr>
        <w:lastRenderedPageBreak/>
        <w:t>BRUCE J. WESTON</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OHIO CONSUMERS’ COUNSEL</w:t>
      </w:r>
    </w:p>
    <w:p w:rsidR="00EB6862" w:rsidRPr="00EB6862" w:rsidRDefault="00EB6862" w:rsidP="00EB6862">
      <w:pPr>
        <w:autoSpaceDE w:val="0"/>
        <w:autoSpaceDN w:val="0"/>
        <w:adjustRightInd w:val="0"/>
        <w:rPr>
          <w:rFonts w:eastAsia="Times New Roman" w:cs="Arial"/>
          <w:i/>
          <w:iCs/>
          <w:color w:val="000000"/>
          <w:sz w:val="22"/>
          <w:szCs w:val="22"/>
        </w:rPr>
      </w:pP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Kyle L. Kern (Counsel of Record)</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Michael J. Schuler</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Assistant Consumers’ Counsel</w:t>
      </w:r>
    </w:p>
    <w:p w:rsidR="00EB6862" w:rsidRPr="00EB6862" w:rsidRDefault="00EB6862" w:rsidP="00EB6862">
      <w:pPr>
        <w:autoSpaceDE w:val="0"/>
        <w:autoSpaceDN w:val="0"/>
        <w:adjustRightInd w:val="0"/>
        <w:rPr>
          <w:rFonts w:eastAsia="Times New Roman" w:cs="Arial"/>
          <w:bCs/>
          <w:color w:val="000000"/>
          <w:sz w:val="22"/>
          <w:szCs w:val="22"/>
        </w:rPr>
      </w:pPr>
      <w:r w:rsidRPr="00EB6862">
        <w:rPr>
          <w:rFonts w:eastAsia="Times New Roman" w:cs="Arial"/>
          <w:bCs/>
          <w:color w:val="000000"/>
          <w:sz w:val="22"/>
          <w:szCs w:val="22"/>
        </w:rPr>
        <w:t>Office of the Ohio Consumers’ Counsel</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10 West Broad Street, Suite 1800</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Columbus, Ohio 43215-3485</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Kyle.kern@occ.ohio.gov</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Michael.schuler@occ.ohio.gov</w:t>
      </w:r>
    </w:p>
    <w:p w:rsidR="00EB6862" w:rsidRPr="00EB6862" w:rsidRDefault="00EB6862" w:rsidP="00EB6862">
      <w:pPr>
        <w:autoSpaceDE w:val="0"/>
        <w:autoSpaceDN w:val="0"/>
        <w:adjustRightInd w:val="0"/>
        <w:rPr>
          <w:rFonts w:eastAsia="Times New Roman" w:cs="Arial"/>
          <w:color w:val="000000"/>
          <w:sz w:val="22"/>
          <w:szCs w:val="22"/>
        </w:rPr>
      </w:pPr>
    </w:p>
    <w:p w:rsidR="00EB6862" w:rsidRPr="00EB6862" w:rsidRDefault="00EB6862" w:rsidP="00EB6862">
      <w:pPr>
        <w:autoSpaceDE w:val="0"/>
        <w:autoSpaceDN w:val="0"/>
        <w:adjustRightInd w:val="0"/>
        <w:rPr>
          <w:rFonts w:eastAsia="Times New Roman" w:cs="Arial"/>
          <w:b/>
          <w:smallCaps/>
          <w:color w:val="000000"/>
          <w:sz w:val="22"/>
          <w:szCs w:val="22"/>
        </w:rPr>
      </w:pPr>
      <w:r w:rsidRPr="00EB6862">
        <w:rPr>
          <w:rFonts w:eastAsia="Times New Roman" w:cs="Arial"/>
          <w:b/>
          <w:smallCaps/>
          <w:color w:val="000000"/>
          <w:sz w:val="22"/>
          <w:szCs w:val="22"/>
        </w:rPr>
        <w:t>Counsel for the Office of the Ohio Consumers’ Counsel</w:t>
      </w:r>
    </w:p>
    <w:p w:rsidR="00EB6862" w:rsidRPr="00EB6862" w:rsidRDefault="00EB6862" w:rsidP="00EB6862">
      <w:pPr>
        <w:autoSpaceDE w:val="0"/>
        <w:autoSpaceDN w:val="0"/>
        <w:adjustRightInd w:val="0"/>
        <w:rPr>
          <w:rFonts w:eastAsia="Times New Roman" w:cs="Arial"/>
          <w:color w:val="000000"/>
          <w:sz w:val="22"/>
          <w:szCs w:val="22"/>
        </w:rPr>
      </w:pP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Kimberly W. Bojko (</w:t>
      </w:r>
      <w:r w:rsidR="00DB2B21" w:rsidRPr="00EB6862">
        <w:rPr>
          <w:rFonts w:eastAsia="Times New Roman" w:cs="Arial"/>
          <w:color w:val="000000"/>
          <w:sz w:val="22"/>
          <w:szCs w:val="22"/>
        </w:rPr>
        <w:t>R</w:t>
      </w:r>
      <w:r w:rsidR="00DB2B21">
        <w:rPr>
          <w:rFonts w:eastAsia="Times New Roman" w:cs="Arial"/>
          <w:color w:val="000000"/>
          <w:sz w:val="22"/>
          <w:szCs w:val="22"/>
        </w:rPr>
        <w:t>e</w:t>
      </w:r>
      <w:r w:rsidR="00DB2B21" w:rsidRPr="00EB6862">
        <w:rPr>
          <w:rFonts w:eastAsia="Times New Roman" w:cs="Arial"/>
          <w:color w:val="000000"/>
          <w:sz w:val="22"/>
          <w:szCs w:val="22"/>
        </w:rPr>
        <w:t>g</w:t>
      </w:r>
      <w:r w:rsidRPr="00EB6862">
        <w:rPr>
          <w:rFonts w:eastAsia="Times New Roman" w:cs="Arial"/>
          <w:color w:val="000000"/>
          <w:sz w:val="22"/>
          <w:szCs w:val="22"/>
        </w:rPr>
        <w:t>. No. 0069402)</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Jonathan A. Allison (Reg. No. 0062720)</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Carpenter Lipps &amp; Leland LLP</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280 North High Street, Suite 1300</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Columbus, OH  43215</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Bojko@carpenterlipps.com</w:t>
      </w:r>
    </w:p>
    <w:p w:rsidR="00EB6862" w:rsidRPr="00EB6862" w:rsidRDefault="005F2D46" w:rsidP="00EB6862">
      <w:pPr>
        <w:rPr>
          <w:rFonts w:eastAsia="Times New Roman" w:cs="Arial"/>
          <w:color w:val="000000"/>
          <w:sz w:val="22"/>
          <w:szCs w:val="22"/>
        </w:rPr>
      </w:pPr>
      <w:hyperlink r:id="rId26" w:history="1">
        <w:r w:rsidR="00EB6862" w:rsidRPr="00EB6862">
          <w:rPr>
            <w:rFonts w:eastAsia="Times New Roman" w:cs="Arial"/>
            <w:color w:val="000000"/>
            <w:sz w:val="22"/>
            <w:szCs w:val="22"/>
          </w:rPr>
          <w:t>Allison@carpenterlipps.com</w:t>
        </w:r>
      </w:hyperlink>
    </w:p>
    <w:p w:rsidR="00EB6862" w:rsidRPr="00EB6862" w:rsidRDefault="00EB6862" w:rsidP="00EB6862">
      <w:pPr>
        <w:autoSpaceDE w:val="0"/>
        <w:autoSpaceDN w:val="0"/>
        <w:adjustRightInd w:val="0"/>
        <w:rPr>
          <w:rFonts w:eastAsia="Times New Roman" w:cs="Arial"/>
          <w:color w:val="000000"/>
          <w:sz w:val="22"/>
          <w:szCs w:val="22"/>
        </w:rPr>
      </w:pPr>
    </w:p>
    <w:p w:rsidR="00EB6862" w:rsidRPr="00EB6862" w:rsidRDefault="00EB6862" w:rsidP="00EB6862">
      <w:pPr>
        <w:autoSpaceDE w:val="0"/>
        <w:autoSpaceDN w:val="0"/>
        <w:adjustRightInd w:val="0"/>
        <w:rPr>
          <w:rFonts w:eastAsia="Times New Roman" w:cs="Arial"/>
          <w:b/>
          <w:smallCaps/>
          <w:color w:val="000000"/>
          <w:sz w:val="22"/>
          <w:szCs w:val="22"/>
        </w:rPr>
      </w:pPr>
      <w:r w:rsidRPr="00EB6862">
        <w:rPr>
          <w:rFonts w:eastAsia="Times New Roman" w:cs="Arial"/>
          <w:b/>
          <w:smallCaps/>
          <w:color w:val="000000"/>
          <w:sz w:val="22"/>
          <w:szCs w:val="22"/>
        </w:rPr>
        <w:t>Counsel for the Ohio Manufacturers’ Association</w:t>
      </w:r>
    </w:p>
    <w:p w:rsidR="00EB6862" w:rsidRPr="00EB6862" w:rsidRDefault="00EB6862" w:rsidP="00EB6862">
      <w:pPr>
        <w:autoSpaceDE w:val="0"/>
        <w:autoSpaceDN w:val="0"/>
        <w:adjustRightInd w:val="0"/>
        <w:rPr>
          <w:rFonts w:eastAsia="Times New Roman" w:cs="Arial"/>
          <w:color w:val="000000"/>
          <w:sz w:val="22"/>
          <w:szCs w:val="22"/>
        </w:rPr>
      </w:pPr>
    </w:p>
    <w:p w:rsidR="00EB6862" w:rsidRPr="00EB6862" w:rsidRDefault="00EB6862" w:rsidP="00EB6862">
      <w:pPr>
        <w:autoSpaceDE w:val="0"/>
        <w:autoSpaceDN w:val="0"/>
        <w:adjustRightInd w:val="0"/>
        <w:rPr>
          <w:rFonts w:eastAsia="Times New Roman" w:cs="Arial"/>
          <w:color w:val="000000"/>
          <w:sz w:val="22"/>
          <w:szCs w:val="22"/>
        </w:rPr>
      </w:pPr>
    </w:p>
    <w:p w:rsidR="00EB6862" w:rsidRPr="00EB6862" w:rsidRDefault="00EB6862" w:rsidP="00EB6862">
      <w:pPr>
        <w:autoSpaceDE w:val="0"/>
        <w:autoSpaceDN w:val="0"/>
        <w:adjustRightInd w:val="0"/>
        <w:rPr>
          <w:rFonts w:eastAsia="Times New Roman" w:cs="Arial"/>
          <w:color w:val="000000"/>
          <w:sz w:val="22"/>
          <w:szCs w:val="22"/>
        </w:rPr>
        <w:sectPr w:rsidR="00EB6862" w:rsidRPr="00EB6862">
          <w:type w:val="continuous"/>
          <w:pgSz w:w="12240" w:h="15840" w:code="1"/>
          <w:pgMar w:top="1440" w:right="1440" w:bottom="1141" w:left="1440" w:header="720" w:footer="720" w:gutter="0"/>
          <w:pgNumType w:start="1"/>
          <w:cols w:num="2" w:space="720"/>
          <w:titlePg/>
          <w:docGrid w:linePitch="326"/>
        </w:sectPr>
      </w:pP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lastRenderedPageBreak/>
        <w:t>Andrew J. Sonderman (Reg. No. 0008610)</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Margeaux Kimbrough (Reg. No. 0085152)</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Kegler Brown Hill &amp; Ritter LPA</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Capitol Square, Suite 1800</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65 East State Street</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Columbus, OH  43215-4294</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asonderman@keglerbrown.com</w:t>
      </w:r>
    </w:p>
    <w:p w:rsidR="00EB6862" w:rsidRPr="00EB6862" w:rsidRDefault="00EB6862" w:rsidP="00EB6862">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t>mkimbrough@keglerbrown.com</w:t>
      </w:r>
    </w:p>
    <w:p w:rsidR="00EB6862" w:rsidRPr="00EB6862" w:rsidRDefault="00EB6862" w:rsidP="00EB6862">
      <w:pPr>
        <w:autoSpaceDE w:val="0"/>
        <w:autoSpaceDN w:val="0"/>
        <w:adjustRightInd w:val="0"/>
        <w:rPr>
          <w:rFonts w:eastAsia="Times New Roman" w:cs="Arial"/>
          <w:color w:val="000000"/>
          <w:sz w:val="22"/>
          <w:szCs w:val="22"/>
        </w:rPr>
      </w:pPr>
    </w:p>
    <w:p w:rsidR="00EB6862" w:rsidRPr="00EB6862" w:rsidRDefault="00EB6862" w:rsidP="00EB6862">
      <w:pPr>
        <w:autoSpaceDE w:val="0"/>
        <w:autoSpaceDN w:val="0"/>
        <w:adjustRightInd w:val="0"/>
        <w:rPr>
          <w:rFonts w:eastAsia="Times New Roman" w:cs="Arial"/>
          <w:b/>
          <w:smallCaps/>
          <w:color w:val="000000"/>
          <w:sz w:val="22"/>
          <w:szCs w:val="22"/>
        </w:rPr>
      </w:pPr>
      <w:r w:rsidRPr="00EB6862">
        <w:rPr>
          <w:rFonts w:eastAsia="Times New Roman" w:cs="Arial"/>
          <w:b/>
          <w:smallCaps/>
          <w:color w:val="000000"/>
          <w:sz w:val="22"/>
          <w:szCs w:val="22"/>
        </w:rPr>
        <w:t>Counsel for People Working Cooperatively, Inc.</w:t>
      </w:r>
    </w:p>
    <w:p w:rsidR="00EB6862" w:rsidRPr="00EB6862" w:rsidRDefault="00EB6862" w:rsidP="00EB6862">
      <w:pPr>
        <w:autoSpaceDE w:val="0"/>
        <w:autoSpaceDN w:val="0"/>
        <w:adjustRightInd w:val="0"/>
        <w:rPr>
          <w:rFonts w:eastAsia="Times New Roman" w:cs="Arial"/>
          <w:color w:val="000000"/>
          <w:sz w:val="22"/>
          <w:szCs w:val="22"/>
        </w:rPr>
      </w:pP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David Boehm (Reg. No. 0021881)</w:t>
      </w: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Michael Kurtz (Reg. No. 0033350)</w:t>
      </w: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Jody Kyler Cohn (Reg. No. 0085402)</w:t>
      </w: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Boehm, Kurtz &amp; Lowry</w:t>
      </w: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36 East Seventh St., Suite 1510</w:t>
      </w: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Cincinnati, OH  45202</w:t>
      </w:r>
    </w:p>
    <w:p w:rsidR="00EB6862" w:rsidRPr="00EB6862" w:rsidRDefault="005F2D46" w:rsidP="00EB6862">
      <w:pPr>
        <w:tabs>
          <w:tab w:val="left" w:pos="2160"/>
          <w:tab w:val="left" w:pos="2280"/>
        </w:tabs>
        <w:rPr>
          <w:rFonts w:eastAsia="Times New Roman" w:cs="Arial"/>
          <w:sz w:val="22"/>
          <w:szCs w:val="22"/>
        </w:rPr>
      </w:pPr>
      <w:hyperlink r:id="rId27" w:history="1">
        <w:r w:rsidR="00EB6862" w:rsidRPr="00EB6862">
          <w:rPr>
            <w:rFonts w:eastAsia="Times New Roman" w:cs="Arial"/>
            <w:sz w:val="22"/>
            <w:szCs w:val="22"/>
          </w:rPr>
          <w:t>dboehm@BKLlawfirm.com</w:t>
        </w:r>
      </w:hyperlink>
    </w:p>
    <w:p w:rsidR="00EB6862" w:rsidRPr="00EB6862" w:rsidRDefault="005F2D46" w:rsidP="00EB6862">
      <w:pPr>
        <w:tabs>
          <w:tab w:val="left" w:pos="2160"/>
          <w:tab w:val="left" w:pos="2280"/>
        </w:tabs>
        <w:rPr>
          <w:rFonts w:eastAsia="Times New Roman" w:cs="Arial"/>
          <w:sz w:val="22"/>
          <w:szCs w:val="22"/>
        </w:rPr>
      </w:pPr>
      <w:hyperlink r:id="rId28" w:history="1">
        <w:r w:rsidR="00EB6862" w:rsidRPr="00EB6862">
          <w:rPr>
            <w:rFonts w:eastAsia="Times New Roman" w:cs="Arial"/>
            <w:sz w:val="22"/>
            <w:szCs w:val="22"/>
          </w:rPr>
          <w:t>mkurtz@BKLlawfirm.com</w:t>
        </w:r>
      </w:hyperlink>
    </w:p>
    <w:p w:rsidR="00EB6862" w:rsidRPr="00EB6862" w:rsidRDefault="005F2D46" w:rsidP="00EB6862">
      <w:pPr>
        <w:tabs>
          <w:tab w:val="left" w:pos="2160"/>
          <w:tab w:val="left" w:pos="2280"/>
        </w:tabs>
        <w:rPr>
          <w:rFonts w:eastAsia="Times New Roman" w:cs="Arial"/>
          <w:sz w:val="22"/>
          <w:szCs w:val="22"/>
        </w:rPr>
      </w:pPr>
      <w:hyperlink r:id="rId29" w:history="1">
        <w:r w:rsidR="00EB6862" w:rsidRPr="00EB6862">
          <w:rPr>
            <w:rFonts w:eastAsia="Times New Roman" w:cs="Arial"/>
            <w:sz w:val="22"/>
            <w:szCs w:val="22"/>
          </w:rPr>
          <w:t>jkylercohn@BKLlawfirm.com</w:t>
        </w:r>
      </w:hyperlink>
    </w:p>
    <w:p w:rsidR="00EB6862" w:rsidRPr="00EB6862" w:rsidRDefault="00EB6862" w:rsidP="00EB6862">
      <w:pPr>
        <w:tabs>
          <w:tab w:val="left" w:pos="2160"/>
          <w:tab w:val="left" w:pos="2280"/>
        </w:tabs>
        <w:rPr>
          <w:rFonts w:eastAsia="Times New Roman" w:cs="Arial"/>
          <w:sz w:val="22"/>
          <w:szCs w:val="22"/>
        </w:rPr>
      </w:pPr>
    </w:p>
    <w:p w:rsidR="00EB6862" w:rsidRPr="00EB6862" w:rsidRDefault="00EB6862" w:rsidP="00EB6862">
      <w:pPr>
        <w:tabs>
          <w:tab w:val="left" w:pos="2160"/>
          <w:tab w:val="left" w:pos="2280"/>
        </w:tabs>
        <w:rPr>
          <w:rFonts w:eastAsia="Times New Roman" w:cs="Arial"/>
          <w:b/>
          <w:smallCaps/>
          <w:sz w:val="22"/>
          <w:szCs w:val="22"/>
        </w:rPr>
      </w:pPr>
      <w:r w:rsidRPr="00EB6862">
        <w:rPr>
          <w:rFonts w:eastAsia="Times New Roman" w:cs="Arial"/>
          <w:b/>
          <w:smallCaps/>
          <w:sz w:val="22"/>
          <w:szCs w:val="22"/>
        </w:rPr>
        <w:t>Counsel for the Ohio Energy Group</w:t>
      </w:r>
    </w:p>
    <w:p w:rsidR="00EB6862" w:rsidRPr="00EB6862" w:rsidRDefault="00EB6862" w:rsidP="00EB6862">
      <w:pPr>
        <w:tabs>
          <w:tab w:val="left" w:pos="2160"/>
          <w:tab w:val="left" w:pos="2280"/>
        </w:tabs>
        <w:rPr>
          <w:rFonts w:eastAsia="Times New Roman" w:cs="Arial"/>
          <w:sz w:val="22"/>
          <w:szCs w:val="22"/>
        </w:rPr>
      </w:pP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Rebecca L. Hussey (Reg. No. 0079444)</w:t>
      </w: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Counsel of Record</w:t>
      </w: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Carpenter Lipps &amp; Leland LLP</w:t>
      </w: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280 Plaza, Suite 1300</w:t>
      </w: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280 North High Street</w:t>
      </w:r>
    </w:p>
    <w:p w:rsidR="00EB6862" w:rsidRPr="00EB6862" w:rsidRDefault="00EB6862" w:rsidP="00EB6862">
      <w:pPr>
        <w:tabs>
          <w:tab w:val="left" w:pos="2160"/>
          <w:tab w:val="left" w:pos="2280"/>
        </w:tabs>
        <w:rPr>
          <w:rFonts w:eastAsia="Times New Roman" w:cs="Arial"/>
          <w:sz w:val="22"/>
          <w:szCs w:val="22"/>
        </w:rPr>
      </w:pPr>
      <w:r w:rsidRPr="00EB6862">
        <w:rPr>
          <w:rFonts w:eastAsia="Times New Roman" w:cs="Arial"/>
          <w:sz w:val="22"/>
          <w:szCs w:val="22"/>
        </w:rPr>
        <w:t>Columbus, OH  43215</w:t>
      </w:r>
    </w:p>
    <w:p w:rsidR="00EB6862" w:rsidRPr="00EB6862" w:rsidRDefault="005F2D46" w:rsidP="00EB6862">
      <w:pPr>
        <w:tabs>
          <w:tab w:val="left" w:pos="2160"/>
          <w:tab w:val="left" w:pos="2280"/>
        </w:tabs>
        <w:rPr>
          <w:rFonts w:eastAsia="Times New Roman" w:cs="Arial"/>
          <w:sz w:val="22"/>
          <w:szCs w:val="22"/>
        </w:rPr>
      </w:pPr>
      <w:hyperlink r:id="rId30" w:history="1">
        <w:r w:rsidR="00EB6862" w:rsidRPr="00EB6862">
          <w:rPr>
            <w:rFonts w:eastAsia="Times New Roman" w:cs="Arial"/>
            <w:sz w:val="22"/>
            <w:szCs w:val="22"/>
          </w:rPr>
          <w:t>Hussey@carpenterlipps.com</w:t>
        </w:r>
      </w:hyperlink>
    </w:p>
    <w:p w:rsidR="00EB6862" w:rsidRPr="00EB6862" w:rsidRDefault="00EB6862" w:rsidP="00EB6862">
      <w:pPr>
        <w:tabs>
          <w:tab w:val="left" w:pos="2160"/>
          <w:tab w:val="left" w:pos="2280"/>
        </w:tabs>
        <w:rPr>
          <w:rFonts w:eastAsia="Times New Roman" w:cs="Arial"/>
          <w:sz w:val="22"/>
          <w:szCs w:val="22"/>
        </w:rPr>
      </w:pPr>
    </w:p>
    <w:p w:rsidR="00EB6862" w:rsidRPr="00EB6862" w:rsidRDefault="00EB6862" w:rsidP="00EB6862">
      <w:pPr>
        <w:tabs>
          <w:tab w:val="left" w:pos="2160"/>
          <w:tab w:val="left" w:pos="2280"/>
        </w:tabs>
        <w:rPr>
          <w:rFonts w:eastAsia="Times New Roman" w:cs="Arial"/>
          <w:b/>
          <w:smallCaps/>
          <w:sz w:val="22"/>
          <w:szCs w:val="22"/>
        </w:rPr>
      </w:pPr>
      <w:r w:rsidRPr="00EB6862">
        <w:rPr>
          <w:rFonts w:eastAsia="Times New Roman" w:cs="Arial"/>
          <w:b/>
          <w:smallCaps/>
          <w:sz w:val="22"/>
          <w:szCs w:val="22"/>
        </w:rPr>
        <w:t xml:space="preserve">Counsel for The </w:t>
      </w:r>
      <w:r w:rsidR="00DB2B21">
        <w:rPr>
          <w:rFonts w:eastAsia="Times New Roman" w:cs="Arial"/>
          <w:b/>
          <w:smallCaps/>
          <w:sz w:val="22"/>
          <w:szCs w:val="22"/>
        </w:rPr>
        <w:t>K</w:t>
      </w:r>
      <w:r w:rsidR="00DB2B21" w:rsidRPr="00EB6862">
        <w:rPr>
          <w:rFonts w:eastAsia="Times New Roman" w:cs="Arial"/>
          <w:b/>
          <w:smallCaps/>
          <w:sz w:val="22"/>
          <w:szCs w:val="22"/>
        </w:rPr>
        <w:t xml:space="preserve">roger </w:t>
      </w:r>
      <w:r w:rsidRPr="00EB6862">
        <w:rPr>
          <w:rFonts w:eastAsia="Times New Roman" w:cs="Arial"/>
          <w:b/>
          <w:smallCaps/>
          <w:sz w:val="22"/>
          <w:szCs w:val="22"/>
        </w:rPr>
        <w:t>Company</w:t>
      </w:r>
    </w:p>
    <w:p w:rsidR="00EB6862" w:rsidRDefault="00EB6862" w:rsidP="00EB6862">
      <w:pPr>
        <w:tabs>
          <w:tab w:val="left" w:pos="2160"/>
          <w:tab w:val="left" w:pos="2280"/>
        </w:tabs>
        <w:rPr>
          <w:rFonts w:eastAsia="Times New Roman" w:cs="Arial"/>
          <w:sz w:val="22"/>
          <w:szCs w:val="22"/>
        </w:rPr>
      </w:pPr>
    </w:p>
    <w:p w:rsidR="008A2808" w:rsidRPr="008A2808" w:rsidRDefault="008A2808" w:rsidP="008A2808">
      <w:pPr>
        <w:tabs>
          <w:tab w:val="left" w:pos="2160"/>
          <w:tab w:val="left" w:pos="2280"/>
        </w:tabs>
        <w:rPr>
          <w:rFonts w:eastAsia="Times New Roman" w:cs="Arial"/>
          <w:sz w:val="22"/>
          <w:szCs w:val="22"/>
        </w:rPr>
      </w:pPr>
      <w:r w:rsidRPr="008A2808">
        <w:rPr>
          <w:rFonts w:eastAsia="Times New Roman" w:cs="Arial"/>
          <w:sz w:val="22"/>
          <w:szCs w:val="22"/>
        </w:rPr>
        <w:t>Samantha Williams</w:t>
      </w:r>
    </w:p>
    <w:p w:rsidR="008A2808" w:rsidRPr="008A2808" w:rsidRDefault="008A2808" w:rsidP="008A2808">
      <w:pPr>
        <w:tabs>
          <w:tab w:val="left" w:pos="2160"/>
          <w:tab w:val="left" w:pos="2280"/>
        </w:tabs>
        <w:rPr>
          <w:rFonts w:eastAsia="Times New Roman" w:cs="Arial"/>
          <w:sz w:val="22"/>
          <w:szCs w:val="22"/>
        </w:rPr>
      </w:pPr>
      <w:r w:rsidRPr="008A2808">
        <w:rPr>
          <w:rFonts w:eastAsia="Times New Roman" w:cs="Arial"/>
          <w:sz w:val="22"/>
          <w:szCs w:val="22"/>
        </w:rPr>
        <w:t>Staff Attorney</w:t>
      </w:r>
    </w:p>
    <w:p w:rsidR="008A2808" w:rsidRPr="008A2808" w:rsidRDefault="008A2808" w:rsidP="008A2808">
      <w:pPr>
        <w:tabs>
          <w:tab w:val="left" w:pos="2160"/>
          <w:tab w:val="left" w:pos="2280"/>
        </w:tabs>
        <w:rPr>
          <w:rFonts w:eastAsia="Times New Roman" w:cs="Arial"/>
          <w:sz w:val="22"/>
          <w:szCs w:val="22"/>
        </w:rPr>
      </w:pPr>
      <w:r w:rsidRPr="008A2808">
        <w:rPr>
          <w:rFonts w:eastAsia="Times New Roman" w:cs="Arial"/>
          <w:sz w:val="22"/>
          <w:szCs w:val="22"/>
        </w:rPr>
        <w:t>Natural Resources Defense Council</w:t>
      </w:r>
    </w:p>
    <w:p w:rsidR="008A2808" w:rsidRPr="008A2808" w:rsidRDefault="008A2808" w:rsidP="008A2808">
      <w:pPr>
        <w:tabs>
          <w:tab w:val="left" w:pos="2160"/>
          <w:tab w:val="left" w:pos="2280"/>
        </w:tabs>
        <w:rPr>
          <w:rFonts w:eastAsia="Times New Roman" w:cs="Arial"/>
          <w:sz w:val="22"/>
          <w:szCs w:val="22"/>
        </w:rPr>
      </w:pPr>
      <w:r w:rsidRPr="008A2808">
        <w:rPr>
          <w:rFonts w:eastAsia="Times New Roman" w:cs="Arial"/>
          <w:sz w:val="22"/>
          <w:szCs w:val="22"/>
        </w:rPr>
        <w:t>20 N. Wacker Drive, Suite 1600</w:t>
      </w:r>
    </w:p>
    <w:p w:rsidR="008A2808" w:rsidRPr="008A2808" w:rsidRDefault="008A2808" w:rsidP="008A2808">
      <w:pPr>
        <w:tabs>
          <w:tab w:val="left" w:pos="2160"/>
          <w:tab w:val="left" w:pos="2280"/>
        </w:tabs>
        <w:rPr>
          <w:rFonts w:eastAsia="Times New Roman" w:cs="Arial"/>
          <w:sz w:val="22"/>
          <w:szCs w:val="22"/>
        </w:rPr>
      </w:pPr>
      <w:r w:rsidRPr="008A2808">
        <w:rPr>
          <w:rFonts w:eastAsia="Times New Roman" w:cs="Arial"/>
          <w:sz w:val="22"/>
          <w:szCs w:val="22"/>
        </w:rPr>
        <w:t>Chicago, IL  60606</w:t>
      </w:r>
    </w:p>
    <w:p w:rsidR="008A2808" w:rsidRPr="008A2808" w:rsidRDefault="005F2D46" w:rsidP="008A2808">
      <w:pPr>
        <w:tabs>
          <w:tab w:val="left" w:pos="2160"/>
          <w:tab w:val="left" w:pos="2280"/>
        </w:tabs>
        <w:rPr>
          <w:rFonts w:eastAsia="Times New Roman" w:cs="Arial"/>
          <w:sz w:val="22"/>
          <w:szCs w:val="22"/>
        </w:rPr>
      </w:pPr>
      <w:hyperlink r:id="rId31" w:history="1">
        <w:r w:rsidR="008A2808" w:rsidRPr="008A2808">
          <w:rPr>
            <w:rFonts w:eastAsia="Times New Roman" w:cs="Arial"/>
            <w:sz w:val="22"/>
            <w:szCs w:val="22"/>
          </w:rPr>
          <w:t>swilliams@nrdc.org</w:t>
        </w:r>
      </w:hyperlink>
    </w:p>
    <w:p w:rsidR="008A2808" w:rsidRPr="008A2808" w:rsidRDefault="008A2808" w:rsidP="008A2808">
      <w:pPr>
        <w:tabs>
          <w:tab w:val="left" w:pos="2160"/>
          <w:tab w:val="left" w:pos="2280"/>
        </w:tabs>
        <w:rPr>
          <w:rFonts w:eastAsia="Times New Roman" w:cs="Arial"/>
          <w:sz w:val="22"/>
          <w:szCs w:val="22"/>
        </w:rPr>
      </w:pPr>
    </w:p>
    <w:p w:rsidR="008A2808" w:rsidRPr="008A2808" w:rsidRDefault="008A2808" w:rsidP="008A2808">
      <w:pPr>
        <w:tabs>
          <w:tab w:val="left" w:pos="2160"/>
          <w:tab w:val="left" w:pos="2280"/>
        </w:tabs>
        <w:rPr>
          <w:rFonts w:eastAsia="Times New Roman" w:cs="Arial"/>
          <w:b/>
          <w:smallCaps/>
          <w:sz w:val="22"/>
          <w:szCs w:val="22"/>
        </w:rPr>
      </w:pPr>
      <w:r w:rsidRPr="008A2808">
        <w:rPr>
          <w:rFonts w:eastAsia="Times New Roman" w:cs="Arial"/>
          <w:b/>
          <w:smallCaps/>
          <w:sz w:val="22"/>
          <w:szCs w:val="22"/>
        </w:rPr>
        <w:t>Counsel for Natural Resources Defense Council</w:t>
      </w:r>
    </w:p>
    <w:p w:rsidR="008A2808" w:rsidRPr="00EB6862" w:rsidRDefault="008A2808" w:rsidP="00EB6862">
      <w:pPr>
        <w:tabs>
          <w:tab w:val="left" w:pos="2160"/>
          <w:tab w:val="left" w:pos="2280"/>
        </w:tabs>
        <w:rPr>
          <w:rFonts w:eastAsia="Times New Roman" w:cs="Arial"/>
          <w:sz w:val="22"/>
          <w:szCs w:val="22"/>
        </w:rPr>
      </w:pPr>
    </w:p>
    <w:p w:rsidR="008A2808" w:rsidRPr="008A2808" w:rsidRDefault="00EB6862" w:rsidP="008A2808">
      <w:pPr>
        <w:autoSpaceDE w:val="0"/>
        <w:autoSpaceDN w:val="0"/>
        <w:adjustRightInd w:val="0"/>
        <w:rPr>
          <w:rFonts w:eastAsia="Times New Roman" w:cs="Arial"/>
          <w:color w:val="000000"/>
          <w:sz w:val="22"/>
          <w:szCs w:val="22"/>
        </w:rPr>
      </w:pPr>
      <w:r w:rsidRPr="00EB6862">
        <w:rPr>
          <w:rFonts w:eastAsia="Times New Roman" w:cs="Arial"/>
          <w:color w:val="000000"/>
          <w:sz w:val="22"/>
          <w:szCs w:val="22"/>
        </w:rPr>
        <w:br w:type="column"/>
      </w:r>
      <w:r w:rsidR="008A2808" w:rsidRPr="008A2808">
        <w:rPr>
          <w:rFonts w:eastAsia="Times New Roman" w:cs="Arial"/>
          <w:color w:val="000000"/>
          <w:sz w:val="22"/>
          <w:szCs w:val="22"/>
        </w:rPr>
        <w:lastRenderedPageBreak/>
        <w:t>Trent A. Dougherty (Reg. No. 0079817)</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Counsel of Record</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1207 Grandview Avenue, Suite 201</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Columbus, OH  43212-3449</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TDougherty@theOEC.org</w:t>
      </w:r>
    </w:p>
    <w:p w:rsidR="008A2808" w:rsidRPr="008A2808" w:rsidRDefault="008A2808" w:rsidP="008A2808">
      <w:pPr>
        <w:autoSpaceDE w:val="0"/>
        <w:autoSpaceDN w:val="0"/>
        <w:adjustRightInd w:val="0"/>
        <w:rPr>
          <w:rFonts w:eastAsia="Times New Roman" w:cs="Arial"/>
          <w:color w:val="000000"/>
          <w:sz w:val="22"/>
          <w:szCs w:val="22"/>
        </w:rPr>
      </w:pPr>
    </w:p>
    <w:p w:rsidR="008A2808" w:rsidRPr="008A2808" w:rsidRDefault="008A2808" w:rsidP="008A2808">
      <w:pPr>
        <w:autoSpaceDE w:val="0"/>
        <w:autoSpaceDN w:val="0"/>
        <w:adjustRightInd w:val="0"/>
        <w:rPr>
          <w:rFonts w:ascii="Arial Bold" w:eastAsia="Times New Roman" w:hAnsi="Arial Bold" w:cs="Arial"/>
          <w:b/>
          <w:smallCaps/>
          <w:color w:val="000000"/>
          <w:sz w:val="22"/>
          <w:szCs w:val="22"/>
        </w:rPr>
      </w:pPr>
      <w:r w:rsidRPr="008A2808">
        <w:rPr>
          <w:rFonts w:ascii="Arial Bold" w:eastAsia="Times New Roman" w:hAnsi="Arial Bold" w:cs="Arial"/>
          <w:b/>
          <w:smallCaps/>
          <w:color w:val="000000"/>
          <w:sz w:val="22"/>
          <w:szCs w:val="22"/>
        </w:rPr>
        <w:t>Counsel for the Ohio Environmental Council</w:t>
      </w:r>
    </w:p>
    <w:p w:rsidR="008A2808" w:rsidRPr="008A2808" w:rsidRDefault="008A2808" w:rsidP="008A2808">
      <w:pPr>
        <w:autoSpaceDE w:val="0"/>
        <w:autoSpaceDN w:val="0"/>
        <w:adjustRightInd w:val="0"/>
        <w:rPr>
          <w:rFonts w:eastAsia="Times New Roman" w:cs="Arial"/>
          <w:color w:val="000000"/>
          <w:sz w:val="22"/>
          <w:szCs w:val="22"/>
        </w:rPr>
      </w:pP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Justin Vickers</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Environmental Law &amp; Policy Center</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35 East Wacker Drive, Suite 1600</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Chicago, IL  60601</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jvickers@elpc.org</w:t>
      </w:r>
    </w:p>
    <w:p w:rsidR="008A2808" w:rsidRPr="008A2808" w:rsidRDefault="008A2808" w:rsidP="008A2808">
      <w:pPr>
        <w:autoSpaceDE w:val="0"/>
        <w:autoSpaceDN w:val="0"/>
        <w:adjustRightInd w:val="0"/>
        <w:rPr>
          <w:rFonts w:eastAsia="Times New Roman" w:cs="Arial"/>
          <w:color w:val="000000"/>
          <w:sz w:val="22"/>
          <w:szCs w:val="22"/>
        </w:rPr>
      </w:pPr>
    </w:p>
    <w:p w:rsidR="008A2808" w:rsidRPr="008A2808" w:rsidRDefault="008A2808" w:rsidP="008A2808">
      <w:pPr>
        <w:autoSpaceDE w:val="0"/>
        <w:autoSpaceDN w:val="0"/>
        <w:adjustRightInd w:val="0"/>
        <w:rPr>
          <w:rFonts w:ascii="Arial Bold" w:eastAsia="Times New Roman" w:hAnsi="Arial Bold" w:cs="Arial"/>
          <w:b/>
          <w:smallCaps/>
          <w:color w:val="000000"/>
          <w:sz w:val="22"/>
          <w:szCs w:val="22"/>
        </w:rPr>
      </w:pPr>
      <w:r w:rsidRPr="008A2808">
        <w:rPr>
          <w:rFonts w:ascii="Arial Bold" w:eastAsia="Times New Roman" w:hAnsi="Arial Bold" w:cs="Arial"/>
          <w:b/>
          <w:smallCaps/>
          <w:color w:val="000000"/>
          <w:sz w:val="22"/>
          <w:szCs w:val="22"/>
        </w:rPr>
        <w:t>Counsel for the Environmental Law &amp; Policy Center</w:t>
      </w:r>
    </w:p>
    <w:p w:rsidR="008A2808" w:rsidRPr="008A2808" w:rsidRDefault="008A2808" w:rsidP="008A2808">
      <w:pPr>
        <w:autoSpaceDE w:val="0"/>
        <w:autoSpaceDN w:val="0"/>
        <w:adjustRightInd w:val="0"/>
        <w:rPr>
          <w:rFonts w:eastAsia="Times New Roman" w:cs="Arial"/>
          <w:color w:val="000000"/>
          <w:sz w:val="22"/>
          <w:szCs w:val="22"/>
        </w:rPr>
      </w:pP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Katie Johnson</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John Jones</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 xml:space="preserve">Assistant Attorney General </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Public Utilities Section</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180 East Broad Street, 6th Floor</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Columbus, OH 43215</w:t>
      </w:r>
    </w:p>
    <w:p w:rsidR="008A2808" w:rsidRPr="008A2808" w:rsidRDefault="008A2808" w:rsidP="008A2808">
      <w:pPr>
        <w:tabs>
          <w:tab w:val="left" w:pos="2160"/>
          <w:tab w:val="left" w:pos="2280"/>
        </w:tabs>
        <w:rPr>
          <w:rFonts w:eastAsia="Times New Roman" w:cs="Arial"/>
          <w:color w:val="000000"/>
          <w:sz w:val="22"/>
          <w:szCs w:val="22"/>
        </w:rPr>
      </w:pPr>
      <w:r w:rsidRPr="008A2808">
        <w:rPr>
          <w:rFonts w:eastAsia="Times New Roman" w:cs="Arial"/>
          <w:color w:val="000000"/>
          <w:sz w:val="22"/>
          <w:szCs w:val="22"/>
        </w:rPr>
        <w:t>Katie.johnson@puc.state.oh.us</w:t>
      </w:r>
      <w:r w:rsidRPr="008A2808">
        <w:rPr>
          <w:rFonts w:eastAsia="Times New Roman" w:cs="Arial"/>
          <w:color w:val="000000"/>
          <w:sz w:val="22"/>
          <w:szCs w:val="22"/>
        </w:rPr>
        <w:br/>
        <w:t>john.jones@puc.state.oh.us</w:t>
      </w:r>
    </w:p>
    <w:p w:rsidR="008A2808" w:rsidRPr="008A2808" w:rsidRDefault="008A2808" w:rsidP="008A2808">
      <w:pPr>
        <w:tabs>
          <w:tab w:val="left" w:pos="2160"/>
          <w:tab w:val="left" w:pos="2280"/>
        </w:tabs>
        <w:rPr>
          <w:rFonts w:eastAsia="Times New Roman" w:cs="Arial"/>
          <w:color w:val="000000"/>
          <w:sz w:val="22"/>
          <w:szCs w:val="22"/>
        </w:rPr>
      </w:pPr>
    </w:p>
    <w:p w:rsidR="008A2808" w:rsidRPr="008A2808" w:rsidRDefault="008A2808" w:rsidP="008A2808">
      <w:pPr>
        <w:autoSpaceDE w:val="0"/>
        <w:autoSpaceDN w:val="0"/>
        <w:adjustRightInd w:val="0"/>
        <w:rPr>
          <w:rFonts w:eastAsia="Times New Roman" w:cs="Arial"/>
          <w:b/>
          <w:smallCaps/>
          <w:color w:val="000000"/>
          <w:sz w:val="22"/>
          <w:szCs w:val="22"/>
        </w:rPr>
      </w:pPr>
      <w:r w:rsidRPr="008A2808">
        <w:rPr>
          <w:rFonts w:eastAsia="Times New Roman" w:cs="Arial"/>
          <w:b/>
          <w:smallCaps/>
          <w:color w:val="000000"/>
          <w:sz w:val="22"/>
          <w:szCs w:val="22"/>
        </w:rPr>
        <w:t>Counsel for the Staff of the Public Utilities Commission of Ohio</w:t>
      </w:r>
    </w:p>
    <w:p w:rsidR="008A2808" w:rsidRPr="008A2808" w:rsidRDefault="008A2808" w:rsidP="008A2808">
      <w:pPr>
        <w:autoSpaceDE w:val="0"/>
        <w:autoSpaceDN w:val="0"/>
        <w:adjustRightInd w:val="0"/>
        <w:rPr>
          <w:rFonts w:eastAsia="Times New Roman" w:cs="Arial"/>
          <w:color w:val="000000"/>
          <w:sz w:val="22"/>
          <w:szCs w:val="22"/>
        </w:rPr>
      </w:pP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Christine Pirik</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Nicholas Walstra</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Attorney Examiners</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Public Utilities Commission of Ohio</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180 East Broad Street, 12</w:t>
      </w:r>
      <w:r w:rsidRPr="008A2808">
        <w:rPr>
          <w:rFonts w:eastAsia="Times New Roman" w:cs="Arial"/>
          <w:color w:val="000000"/>
          <w:sz w:val="22"/>
          <w:szCs w:val="22"/>
          <w:vertAlign w:val="superscript"/>
        </w:rPr>
        <w:t>th</w:t>
      </w:r>
      <w:r w:rsidRPr="008A2808">
        <w:rPr>
          <w:rFonts w:eastAsia="Times New Roman" w:cs="Arial"/>
          <w:color w:val="000000"/>
          <w:sz w:val="22"/>
          <w:szCs w:val="22"/>
        </w:rPr>
        <w:t xml:space="preserve"> Floor</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Columbus, OH 43215</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Christine.pirik@puc.state.oh.us</w:t>
      </w:r>
    </w:p>
    <w:p w:rsidR="008A2808" w:rsidRPr="008A2808" w:rsidRDefault="008A2808" w:rsidP="008A2808">
      <w:pPr>
        <w:autoSpaceDE w:val="0"/>
        <w:autoSpaceDN w:val="0"/>
        <w:adjustRightInd w:val="0"/>
        <w:rPr>
          <w:rFonts w:eastAsia="Times New Roman" w:cs="Arial"/>
          <w:color w:val="000000"/>
          <w:sz w:val="22"/>
          <w:szCs w:val="22"/>
        </w:rPr>
      </w:pPr>
      <w:r w:rsidRPr="008A2808">
        <w:rPr>
          <w:rFonts w:eastAsia="Times New Roman" w:cs="Arial"/>
          <w:color w:val="000000"/>
          <w:sz w:val="22"/>
          <w:szCs w:val="22"/>
        </w:rPr>
        <w:t>Nicholas.walstra@puc.state.oh.us</w:t>
      </w:r>
    </w:p>
    <w:p w:rsidR="008A2808" w:rsidRPr="008A2808" w:rsidRDefault="008A2808" w:rsidP="008A2808">
      <w:pPr>
        <w:tabs>
          <w:tab w:val="left" w:pos="2160"/>
          <w:tab w:val="left" w:pos="2280"/>
        </w:tabs>
        <w:rPr>
          <w:rFonts w:eastAsia="Times New Roman" w:cs="Arial"/>
          <w:sz w:val="22"/>
          <w:szCs w:val="22"/>
        </w:rPr>
      </w:pPr>
    </w:p>
    <w:p w:rsidR="008A2808" w:rsidRPr="008A2808" w:rsidRDefault="008A2808" w:rsidP="008A2808">
      <w:pPr>
        <w:autoSpaceDE w:val="0"/>
        <w:autoSpaceDN w:val="0"/>
        <w:adjustRightInd w:val="0"/>
        <w:rPr>
          <w:rFonts w:eastAsia="Times New Roman" w:cs="Arial"/>
          <w:b/>
          <w:smallCaps/>
          <w:color w:val="000000"/>
          <w:sz w:val="22"/>
          <w:szCs w:val="22"/>
        </w:rPr>
      </w:pPr>
      <w:r w:rsidRPr="008A2808">
        <w:rPr>
          <w:rFonts w:eastAsia="Times New Roman" w:cs="Arial"/>
          <w:b/>
          <w:smallCaps/>
          <w:color w:val="000000"/>
          <w:sz w:val="22"/>
          <w:szCs w:val="22"/>
        </w:rPr>
        <w:t>Attorney Examiners</w:t>
      </w:r>
    </w:p>
    <w:p w:rsidR="00EB6862" w:rsidRPr="00EB6862" w:rsidRDefault="00EB6862">
      <w:pPr>
        <w:autoSpaceDE w:val="0"/>
        <w:autoSpaceDN w:val="0"/>
        <w:adjustRightInd w:val="0"/>
        <w:rPr>
          <w:rFonts w:eastAsia="Times New Roman" w:cs="Arial"/>
          <w:b/>
          <w:smallCaps/>
          <w:color w:val="000000"/>
          <w:sz w:val="22"/>
          <w:szCs w:val="22"/>
        </w:rPr>
      </w:pPr>
    </w:p>
    <w:p w:rsidR="00EB6862" w:rsidRPr="00EB6862" w:rsidRDefault="00EB6862" w:rsidP="00EB6862">
      <w:pPr>
        <w:tabs>
          <w:tab w:val="left" w:pos="2160"/>
          <w:tab w:val="left" w:pos="2280"/>
        </w:tabs>
        <w:rPr>
          <w:rFonts w:eastAsia="Times New Roman" w:cs="Arial"/>
          <w:sz w:val="22"/>
          <w:szCs w:val="22"/>
        </w:rPr>
      </w:pPr>
    </w:p>
    <w:p w:rsidR="00EB6862" w:rsidRDefault="00EB6862" w:rsidP="001229C3">
      <w:pPr>
        <w:spacing w:line="480" w:lineRule="auto"/>
        <w:jc w:val="both"/>
      </w:pPr>
    </w:p>
    <w:sectPr w:rsidR="00EB6862">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4E" w:rsidRDefault="00F56C4E" w:rsidP="00F56C4E">
      <w:r>
        <w:separator/>
      </w:r>
    </w:p>
  </w:endnote>
  <w:endnote w:type="continuationSeparator" w:id="0">
    <w:p w:rsidR="00F56C4E" w:rsidRDefault="00F56C4E" w:rsidP="00F5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58" w:rsidRDefault="001C0058">
    <w:pPr>
      <w:pStyle w:val="Footer"/>
    </w:pPr>
    <w:r>
      <w:rPr>
        <w:noProof/>
        <w:sz w:val="16"/>
      </w:rPr>
      <w:t>{C30194:3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58" w:rsidRDefault="005F2D46">
    <w:pPr>
      <w:pStyle w:val="Footer"/>
      <w:jc w:val="center"/>
    </w:pPr>
    <w:r w:rsidRPr="005F2D46">
      <w:rPr>
        <w:noProof/>
        <w:sz w:val="16"/>
      </w:rPr>
      <w:t>{C46025:4 }</w:t>
    </w:r>
    <w:r w:rsidR="001C0058">
      <w:fldChar w:fldCharType="begin"/>
    </w:r>
    <w:r w:rsidR="001C0058">
      <w:instrText xml:space="preserve"> PAGE   \* MERGEFORMAT </w:instrText>
    </w:r>
    <w:r w:rsidR="001C0058">
      <w:fldChar w:fldCharType="separate"/>
    </w:r>
    <w:r w:rsidR="001C0058">
      <w:rPr>
        <w:noProof/>
      </w:rPr>
      <w:t>1</w:t>
    </w:r>
    <w:r w:rsidR="001C0058">
      <w:rPr>
        <w:noProof/>
      </w:rPr>
      <w:fldChar w:fldCharType="end"/>
    </w:r>
  </w:p>
  <w:p w:rsidR="001C0058" w:rsidRDefault="001C0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58" w:rsidRDefault="005F2D46">
    <w:pPr>
      <w:pStyle w:val="Footer"/>
    </w:pPr>
    <w:r w:rsidRPr="005F2D46">
      <w:rPr>
        <w:noProof/>
        <w:sz w:val="16"/>
      </w:rPr>
      <w:t>{C46025:4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Default="00EB68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Pr="0029719A" w:rsidRDefault="005F2D46">
    <w:pPr>
      <w:pStyle w:val="Footer"/>
    </w:pPr>
    <w:r w:rsidRPr="005F2D46">
      <w:rPr>
        <w:noProof/>
        <w:sz w:val="16"/>
      </w:rPr>
      <w:t>{C46025:4 }</w:t>
    </w:r>
    <w:sdt>
      <w:sdtPr>
        <w:id w:val="1273367022"/>
        <w:docPartObj>
          <w:docPartGallery w:val="Page Numbers (Bottom of Page)"/>
          <w:docPartUnique/>
        </w:docPartObj>
      </w:sdtPr>
      <w:sdtEndPr>
        <w:rPr>
          <w:noProof/>
        </w:rPr>
      </w:sdtEndPr>
      <w:sdtContent>
        <w:r w:rsidR="00A16F60">
          <w:tab/>
        </w:r>
        <w:r w:rsidR="00EB6862" w:rsidRPr="0029719A">
          <w:fldChar w:fldCharType="begin"/>
        </w:r>
        <w:r w:rsidR="00EB6862" w:rsidRPr="0029719A">
          <w:instrText xml:space="preserve"> PAGE   \* MERGEFORMAT </w:instrText>
        </w:r>
        <w:r w:rsidR="00EB6862" w:rsidRPr="0029719A">
          <w:fldChar w:fldCharType="separate"/>
        </w:r>
        <w:r>
          <w:rPr>
            <w:noProof/>
          </w:rPr>
          <w:t>7</w:t>
        </w:r>
        <w:r w:rsidR="00EB6862" w:rsidRPr="0029719A">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Pr="004A0983" w:rsidRDefault="005F2D46">
    <w:pPr>
      <w:pStyle w:val="Footer"/>
    </w:pPr>
    <w:r w:rsidRPr="005F2D46">
      <w:rPr>
        <w:noProof/>
        <w:sz w:val="16"/>
      </w:rPr>
      <w:t>{C46025:4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Default="00EB686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Default="005F2D46">
    <w:pPr>
      <w:pStyle w:val="Footer"/>
      <w:rPr>
        <w:rFonts w:cs="Arial"/>
      </w:rPr>
    </w:pPr>
    <w:r w:rsidRPr="005F2D46">
      <w:rPr>
        <w:rFonts w:cs="Arial"/>
        <w:noProof/>
        <w:sz w:val="16"/>
      </w:rPr>
      <w:t>{C46025:4 }</w:t>
    </w:r>
  </w:p>
  <w:p w:rsidR="00EB6862" w:rsidRDefault="00EB6862">
    <w:pPr>
      <w:pStyle w:val="Footer"/>
      <w:rPr>
        <w:rFonts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Pr="00E65492" w:rsidRDefault="005F2D46">
    <w:pPr>
      <w:pStyle w:val="Footer"/>
      <w:rPr>
        <w:rFonts w:cs="Arial"/>
      </w:rPr>
    </w:pPr>
    <w:r w:rsidRPr="005F2D46">
      <w:rPr>
        <w:rFonts w:cs="Arial"/>
        <w:noProof/>
        <w:sz w:val="16"/>
      </w:rPr>
      <w:t>{C46025:4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4E" w:rsidRDefault="00F56C4E" w:rsidP="00F56C4E">
      <w:pPr>
        <w:rPr>
          <w:noProof/>
        </w:rPr>
      </w:pPr>
      <w:r>
        <w:rPr>
          <w:noProof/>
        </w:rPr>
        <w:separator/>
      </w:r>
    </w:p>
  </w:footnote>
  <w:footnote w:type="continuationSeparator" w:id="0">
    <w:p w:rsidR="00F56C4E" w:rsidRDefault="00F56C4E" w:rsidP="00F56C4E">
      <w:r>
        <w:continuationSeparator/>
      </w:r>
    </w:p>
  </w:footnote>
  <w:footnote w:id="1">
    <w:p w:rsidR="00BF6328" w:rsidRDefault="00BF6328" w:rsidP="001F4609">
      <w:pPr>
        <w:pStyle w:val="FootnoteText"/>
        <w:jc w:val="both"/>
      </w:pPr>
      <w:r>
        <w:rPr>
          <w:rStyle w:val="FootnoteReference"/>
        </w:rPr>
        <w:footnoteRef/>
      </w:r>
      <w:r>
        <w:t xml:space="preserve"> Application of Duke </w:t>
      </w:r>
      <w:r w:rsidR="001426EE">
        <w:t>E</w:t>
      </w:r>
      <w:r>
        <w:t xml:space="preserve">nergy Ohio, Inc. for Approval to Continue Cost </w:t>
      </w:r>
      <w:r w:rsidR="00D614E6">
        <w:t>Recovery</w:t>
      </w:r>
      <w:r>
        <w:t xml:space="preserve"> Mechanism for Energy Efficiency Programs Through 2016 (Sept. 9, 2014) (“Application”).</w:t>
      </w:r>
    </w:p>
  </w:footnote>
  <w:footnote w:id="2">
    <w:p w:rsidR="00B830AC" w:rsidRPr="00590F2B" w:rsidRDefault="00B830AC" w:rsidP="001F4609">
      <w:pPr>
        <w:pStyle w:val="FootnoteText"/>
        <w:spacing w:after="120"/>
        <w:jc w:val="both"/>
      </w:pPr>
      <w:r w:rsidRPr="00590F2B">
        <w:rPr>
          <w:rStyle w:val="FootnoteReference"/>
        </w:rPr>
        <w:footnoteRef/>
      </w:r>
      <w:r w:rsidRPr="00590F2B">
        <w:t xml:space="preserve"> By an Entry filed on </w:t>
      </w:r>
      <w:r w:rsidR="005A066C" w:rsidRPr="00590F2B">
        <w:t>October 22, 2014</w:t>
      </w:r>
      <w:r w:rsidRPr="00590F2B">
        <w:t xml:space="preserve">, an Attorney Examiner set this matter for comments.  Commission rules provide for a party to file objections to an application for approval of a portfolio plan.  </w:t>
      </w:r>
      <w:r w:rsidR="005A066C" w:rsidRPr="00590F2B">
        <w:t>Rule 4901:1-39-04(D), Ohio Administrative Code (“OAC”).</w:t>
      </w:r>
    </w:p>
  </w:footnote>
  <w:footnote w:id="3">
    <w:p w:rsidR="004D0105" w:rsidRDefault="004D0105" w:rsidP="001F4609">
      <w:pPr>
        <w:pStyle w:val="FootnoteText"/>
        <w:spacing w:after="120"/>
        <w:jc w:val="both"/>
      </w:pPr>
      <w:r>
        <w:rPr>
          <w:rStyle w:val="FootnoteReference"/>
        </w:rPr>
        <w:footnoteRef/>
      </w:r>
      <w:r>
        <w:t xml:space="preserve"> </w:t>
      </w:r>
      <w:r w:rsidRPr="003E61A0">
        <w:rPr>
          <w:i/>
        </w:rPr>
        <w:t>In the Matter of the Application of Duke Energy Ohio, Inc., for Approval of an Electric Security Plan</w:t>
      </w:r>
      <w:r>
        <w:t>, Case No</w:t>
      </w:r>
      <w:r w:rsidR="00FB56F1">
        <w:t>s</w:t>
      </w:r>
      <w:r>
        <w:t xml:space="preserve">. 08-920 EL-SSO, </w:t>
      </w:r>
      <w:r w:rsidRPr="003E61A0">
        <w:rPr>
          <w:i/>
        </w:rPr>
        <w:t>e</w:t>
      </w:r>
      <w:r w:rsidR="00232C04" w:rsidRPr="003E61A0">
        <w:rPr>
          <w:i/>
        </w:rPr>
        <w:t>t al</w:t>
      </w:r>
      <w:r w:rsidR="00232C04">
        <w:t>., Opinion</w:t>
      </w:r>
      <w:r>
        <w:t xml:space="preserve"> a</w:t>
      </w:r>
      <w:r w:rsidR="00FF6E13">
        <w:t>nd Order at 18-19 (Dec. 17, 2008</w:t>
      </w:r>
      <w:r>
        <w:t>) (authorizing Rider DR-SAW).</w:t>
      </w:r>
    </w:p>
  </w:footnote>
  <w:footnote w:id="4">
    <w:p w:rsidR="005A066C" w:rsidRPr="00590F2B" w:rsidRDefault="005A066C" w:rsidP="001F4609">
      <w:pPr>
        <w:pStyle w:val="FootnoteText"/>
        <w:spacing w:after="120"/>
        <w:jc w:val="both"/>
      </w:pPr>
      <w:r w:rsidRPr="00590F2B">
        <w:rPr>
          <w:rStyle w:val="FootnoteReference"/>
        </w:rPr>
        <w:footnoteRef/>
      </w:r>
      <w:r w:rsidRPr="00590F2B">
        <w:t xml:space="preserve"> </w:t>
      </w:r>
      <w:r w:rsidR="0045018C" w:rsidRPr="00E94C11">
        <w:rPr>
          <w:i/>
        </w:rPr>
        <w:t>In the Matter of the Applicatio</w:t>
      </w:r>
      <w:r w:rsidR="0019342F" w:rsidRPr="00E94C11">
        <w:rPr>
          <w:i/>
        </w:rPr>
        <w:t>n of Duke E</w:t>
      </w:r>
      <w:r w:rsidR="0045018C" w:rsidRPr="00E94C11">
        <w:rPr>
          <w:i/>
        </w:rPr>
        <w:t>nergy Ohio, Inc. for an Energy Efficiency Cost Recovery Mechanism and for Approval of Additional Programs for Inclusion in its Existing Portfolio</w:t>
      </w:r>
      <w:r w:rsidR="0045018C" w:rsidRPr="00590F2B">
        <w:t xml:space="preserve">, Case No. 11-4393-EL-RDR, </w:t>
      </w:r>
      <w:r w:rsidR="0018636C">
        <w:t>Opinion and Order at 8</w:t>
      </w:r>
      <w:r w:rsidR="0045018C" w:rsidRPr="00590F2B">
        <w:t xml:space="preserve"> (</w:t>
      </w:r>
      <w:r w:rsidR="0018636C">
        <w:t>Aug. 15, 2012</w:t>
      </w:r>
      <w:r w:rsidR="0045018C" w:rsidRPr="00590F2B">
        <w:t>)</w:t>
      </w:r>
      <w:r w:rsidR="00F86BEC">
        <w:t xml:space="preserve"> (“</w:t>
      </w:r>
      <w:r w:rsidR="0018636C">
        <w:t>4393 Order</w:t>
      </w:r>
      <w:r w:rsidR="00F86BEC">
        <w:t>”)</w:t>
      </w:r>
      <w:r w:rsidR="0045018C" w:rsidRPr="00590F2B">
        <w:t>.</w:t>
      </w:r>
    </w:p>
  </w:footnote>
  <w:footnote w:id="5">
    <w:p w:rsidR="00B830AC" w:rsidRPr="00590F2B" w:rsidRDefault="00B830AC" w:rsidP="001F4609">
      <w:pPr>
        <w:pStyle w:val="FootnoteText"/>
        <w:spacing w:after="120"/>
        <w:jc w:val="both"/>
      </w:pPr>
      <w:r w:rsidRPr="00590F2B">
        <w:rPr>
          <w:rStyle w:val="FootnoteReference"/>
        </w:rPr>
        <w:footnoteRef/>
      </w:r>
      <w:r w:rsidR="00F86BEC">
        <w:t xml:space="preserve"> </w:t>
      </w:r>
      <w:r w:rsidR="00232C04" w:rsidRPr="003E61A0">
        <w:rPr>
          <w:i/>
        </w:rPr>
        <w:t>Id</w:t>
      </w:r>
      <w:r w:rsidR="0045018C" w:rsidRPr="00590F2B">
        <w:t>.</w:t>
      </w:r>
    </w:p>
  </w:footnote>
  <w:footnote w:id="6">
    <w:p w:rsidR="0045018C" w:rsidRPr="00590F2B" w:rsidRDefault="0045018C" w:rsidP="001F4609">
      <w:pPr>
        <w:pStyle w:val="FootnoteText"/>
        <w:spacing w:after="120"/>
        <w:jc w:val="both"/>
      </w:pPr>
      <w:r w:rsidRPr="00590F2B">
        <w:rPr>
          <w:rStyle w:val="FootnoteReference"/>
        </w:rPr>
        <w:footnoteRef/>
      </w:r>
      <w:r w:rsidRPr="00590F2B">
        <w:t xml:space="preserve"> </w:t>
      </w:r>
      <w:r w:rsidRPr="00E94C11">
        <w:rPr>
          <w:i/>
        </w:rPr>
        <w:t>Id</w:t>
      </w:r>
      <w:r w:rsidRPr="00590F2B">
        <w:t>.</w:t>
      </w:r>
    </w:p>
  </w:footnote>
  <w:footnote w:id="7">
    <w:p w:rsidR="003266AF" w:rsidRDefault="003266AF" w:rsidP="001F4609">
      <w:pPr>
        <w:pStyle w:val="FootnoteText"/>
        <w:spacing w:after="120"/>
        <w:jc w:val="both"/>
      </w:pPr>
      <w:r>
        <w:rPr>
          <w:rStyle w:val="FootnoteReference"/>
        </w:rPr>
        <w:footnoteRef/>
      </w:r>
      <w:r>
        <w:t xml:space="preserve"> </w:t>
      </w:r>
      <w:r w:rsidRPr="00E94C11">
        <w:rPr>
          <w:i/>
        </w:rPr>
        <w:t>In the Matter of the Application of Duke Energy Ohio, Inc. for Approval of its Energy Efficiency and Peak-Demand Reduction Portfolio Programs</w:t>
      </w:r>
      <w:r w:rsidRPr="0019342F">
        <w:t xml:space="preserve">, Case No. 13-431-EL-POR, </w:t>
      </w:r>
      <w:r w:rsidR="002106DE">
        <w:t>Opinion and Order (Dec. 4, 2013) (“431 Order”)</w:t>
      </w:r>
      <w:r w:rsidRPr="0019342F">
        <w:t>.</w:t>
      </w:r>
    </w:p>
  </w:footnote>
  <w:footnote w:id="8">
    <w:p w:rsidR="003266AF" w:rsidRDefault="003266AF" w:rsidP="001F4609">
      <w:pPr>
        <w:pStyle w:val="FootnoteText"/>
        <w:spacing w:after="120"/>
        <w:jc w:val="both"/>
      </w:pPr>
      <w:r>
        <w:rPr>
          <w:rStyle w:val="FootnoteReference"/>
        </w:rPr>
        <w:footnoteRef/>
      </w:r>
      <w:r>
        <w:t xml:space="preserve"> </w:t>
      </w:r>
      <w:r w:rsidRPr="00E94C11">
        <w:rPr>
          <w:i/>
        </w:rPr>
        <w:t>Id</w:t>
      </w:r>
      <w:r>
        <w:t xml:space="preserve">. at </w:t>
      </w:r>
      <w:r w:rsidR="002106DE">
        <w:t>6 &amp; 14</w:t>
      </w:r>
      <w:r>
        <w:t>.</w:t>
      </w:r>
    </w:p>
  </w:footnote>
  <w:footnote w:id="9">
    <w:p w:rsidR="00B830AC" w:rsidRPr="00590F2B" w:rsidRDefault="00B830AC" w:rsidP="001F4609">
      <w:pPr>
        <w:pStyle w:val="FootnoteText"/>
        <w:spacing w:after="120"/>
        <w:jc w:val="both"/>
      </w:pPr>
      <w:r w:rsidRPr="00590F2B">
        <w:rPr>
          <w:rStyle w:val="FootnoteReference"/>
        </w:rPr>
        <w:footnoteRef/>
      </w:r>
      <w:r w:rsidRPr="00590F2B">
        <w:t xml:space="preserve"> </w:t>
      </w:r>
      <w:r w:rsidR="005A066C" w:rsidRPr="00590F2B">
        <w:t xml:space="preserve">Application </w:t>
      </w:r>
      <w:r w:rsidR="007A7E20">
        <w:t>at 3-4.</w:t>
      </w:r>
      <w:r w:rsidR="005A066C" w:rsidRPr="00590F2B">
        <w:t xml:space="preserve"> </w:t>
      </w:r>
    </w:p>
  </w:footnote>
  <w:footnote w:id="10">
    <w:p w:rsidR="00A62D0D" w:rsidRDefault="00A62D0D" w:rsidP="008A029F">
      <w:pPr>
        <w:pStyle w:val="FootnoteText"/>
        <w:spacing w:after="120"/>
        <w:jc w:val="both"/>
      </w:pPr>
      <w:r>
        <w:rPr>
          <w:rStyle w:val="FootnoteReference"/>
        </w:rPr>
        <w:footnoteRef/>
      </w:r>
      <w:r>
        <w:t xml:space="preserve"> </w:t>
      </w:r>
      <w:r w:rsidRPr="00717AFA">
        <w:rPr>
          <w:i/>
        </w:rPr>
        <w:t>See In the Matter of the Application of Ohio Edison Company, The Cleveland Electric Illuminating Company, and The Toledo Edison Company for Approval of Their Energy Efficiency and Peak Demand Reduction Program Plans for 2013 through 2015</w:t>
      </w:r>
      <w:r>
        <w:t xml:space="preserve">, Case No. 12-2190-EL-POR, </w:t>
      </w:r>
      <w:r w:rsidRPr="00717AFA">
        <w:rPr>
          <w:i/>
        </w:rPr>
        <w:t>et al</w:t>
      </w:r>
      <w:r>
        <w:t>., Finding and Order (Nov. 20, 2014) (approving modification to current portfolio plan).</w:t>
      </w:r>
    </w:p>
  </w:footnote>
  <w:footnote w:id="11">
    <w:p w:rsidR="008A029F" w:rsidRDefault="008A029F" w:rsidP="008A029F">
      <w:pPr>
        <w:pStyle w:val="FootnoteText"/>
        <w:spacing w:after="120"/>
        <w:jc w:val="both"/>
      </w:pPr>
      <w:r>
        <w:rPr>
          <w:rStyle w:val="FootnoteReference"/>
        </w:rPr>
        <w:footnoteRef/>
      </w:r>
      <w:r>
        <w:t xml:space="preserve"> The</w:t>
      </w:r>
      <w:r w:rsidRPr="008A029F">
        <w:t xml:space="preserve"> Motion to Dismiss and supporting memorandum by Ohio Partners for Affordable Energy</w:t>
      </w:r>
      <w:r>
        <w:t xml:space="preserve"> takes a similar position</w:t>
      </w:r>
      <w:r w:rsidRPr="008A029F">
        <w:t xml:space="preserve">.  Ohio Partners for Affordable Energy’s Motion to Intervene and Memorandum in Support and Motion to Dismiss and Memorandum in Support (Sept. 30, 2014).  </w:t>
      </w:r>
    </w:p>
  </w:footnote>
  <w:footnote w:id="12">
    <w:p w:rsidR="00D92B06" w:rsidRDefault="00D92B06" w:rsidP="001F4609">
      <w:pPr>
        <w:pStyle w:val="FootnoteText"/>
        <w:spacing w:after="120"/>
        <w:jc w:val="both"/>
      </w:pPr>
      <w:r>
        <w:rPr>
          <w:rStyle w:val="FootnoteReference"/>
        </w:rPr>
        <w:footnoteRef/>
      </w:r>
      <w:r>
        <w:t xml:space="preserve"> By filing its application to amend the portfolio plan on September 9, 2014, Duke has created a potential procedural problem because the provisions allowing for an amendment of the current portfolio plan were not effective until September 12, 2014.  As a matter of efficiency, the Commission should address the Application as if </w:t>
      </w:r>
      <w:r w:rsidR="008652F0">
        <w:t>Duke</w:t>
      </w:r>
      <w:r>
        <w:t xml:space="preserve"> had properly sought an amendment to the current portfolio plan.  </w:t>
      </w:r>
      <w:r w:rsidR="00475B6A">
        <w:t>As a factual matter, the Ap</w:t>
      </w:r>
      <w:r w:rsidR="00D614E6">
        <w:t xml:space="preserve">plication was filed before October 12, 2014, thus meeting the filing deadline established by SB 310.  </w:t>
      </w:r>
      <w:r>
        <w:t>The alternative is a dismissal as required by Section 7(A) of SB 310, in which case Duke will apparently seek to file a new application seeking authority for a recovery mechanism.</w:t>
      </w:r>
      <w:r w:rsidR="008652F0">
        <w:t xml:space="preserve">  Application at 4 (requesting waiver of requirement of Section 6(B) concerning the time by which an application must be filed).</w:t>
      </w:r>
      <w:r w:rsidR="008A029F">
        <w:t xml:space="preserve">  Whether the waiver of the filing deadline is lawful is not addressed in these comments since the issue is not currently before the Commission.</w:t>
      </w:r>
    </w:p>
  </w:footnote>
  <w:footnote w:id="13">
    <w:p w:rsidR="00392796" w:rsidRPr="00590F2B" w:rsidRDefault="00392796" w:rsidP="001F4609">
      <w:pPr>
        <w:pStyle w:val="FootnoteText"/>
        <w:spacing w:after="120"/>
        <w:jc w:val="both"/>
      </w:pPr>
      <w:r w:rsidRPr="00590F2B">
        <w:rPr>
          <w:rStyle w:val="FootnoteReference"/>
        </w:rPr>
        <w:footnoteRef/>
      </w:r>
      <w:r w:rsidRPr="00590F2B">
        <w:t xml:space="preserve"> </w:t>
      </w:r>
      <w:r w:rsidR="003917BC">
        <w:t xml:space="preserve">SB 310, </w:t>
      </w:r>
      <w:r w:rsidR="00FB56F1">
        <w:t>Section</w:t>
      </w:r>
      <w:r w:rsidR="003917BC">
        <w:t xml:space="preserve"> 6</w:t>
      </w:r>
      <w:r w:rsidR="003917BC" w:rsidRPr="003917BC">
        <w:t>(B)</w:t>
      </w:r>
    </w:p>
  </w:footnote>
  <w:footnote w:id="14">
    <w:p w:rsidR="00990731" w:rsidRPr="00590F2B" w:rsidRDefault="00990731" w:rsidP="001F4609">
      <w:pPr>
        <w:pStyle w:val="FootnoteText"/>
        <w:spacing w:after="120"/>
        <w:jc w:val="both"/>
      </w:pPr>
      <w:r w:rsidRPr="00590F2B">
        <w:rPr>
          <w:rStyle w:val="FootnoteReference"/>
        </w:rPr>
        <w:footnoteRef/>
      </w:r>
      <w:r w:rsidRPr="00590F2B">
        <w:t xml:space="preserve"> </w:t>
      </w:r>
      <w:r w:rsidRPr="00E94C11">
        <w:rPr>
          <w:i/>
        </w:rPr>
        <w:t>Id</w:t>
      </w:r>
      <w:r w:rsidRPr="00590F2B">
        <w:t>.</w:t>
      </w:r>
    </w:p>
  </w:footnote>
  <w:footnote w:id="15">
    <w:p w:rsidR="00D540BC" w:rsidRDefault="00D540BC" w:rsidP="001F4609">
      <w:pPr>
        <w:pStyle w:val="FootnoteText"/>
        <w:spacing w:after="120"/>
        <w:jc w:val="both"/>
      </w:pPr>
      <w:r>
        <w:rPr>
          <w:rStyle w:val="FootnoteReference"/>
        </w:rPr>
        <w:footnoteRef/>
      </w:r>
      <w:r>
        <w:t xml:space="preserve"> Application at 3.</w:t>
      </w:r>
    </w:p>
  </w:footnote>
  <w:footnote w:id="16">
    <w:p w:rsidR="00D540BC" w:rsidRDefault="00D540BC" w:rsidP="001F4609">
      <w:pPr>
        <w:pStyle w:val="FootnoteText"/>
        <w:spacing w:after="120"/>
        <w:jc w:val="both"/>
      </w:pPr>
      <w:r>
        <w:rPr>
          <w:rStyle w:val="FootnoteReference"/>
        </w:rPr>
        <w:footnoteRef/>
      </w:r>
      <w:r>
        <w:t xml:space="preserve"> </w:t>
      </w:r>
      <w:r w:rsidR="002513FC">
        <w:t>Rule 4901:1-39-04(A),</w:t>
      </w:r>
      <w:r w:rsidR="006A6B12" w:rsidDel="006A6B12">
        <w:t xml:space="preserve"> </w:t>
      </w:r>
      <w:r w:rsidR="00405917">
        <w:t>OAC</w:t>
      </w:r>
      <w:r w:rsidR="002513FC">
        <w:t>.</w:t>
      </w:r>
    </w:p>
  </w:footnote>
  <w:footnote w:id="17">
    <w:p w:rsidR="00AB788E" w:rsidRDefault="00AB788E" w:rsidP="001F4609">
      <w:pPr>
        <w:pStyle w:val="FootnoteText"/>
        <w:spacing w:after="120"/>
        <w:jc w:val="both"/>
      </w:pPr>
      <w:r>
        <w:rPr>
          <w:rStyle w:val="FootnoteReference"/>
        </w:rPr>
        <w:footnoteRef/>
      </w:r>
      <w:r>
        <w:t xml:space="preserve"> All customers meeting certain voltage or usage levels will have the right to opt out beginning January 1, 2017.  R.C. 4928.6611.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BF" w:rsidRDefault="00DA1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BF" w:rsidRDefault="00DA1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BF" w:rsidRDefault="00DA1C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Default="00EB68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Default="00EB68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Default="00EB686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Default="00EB686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Default="00EB686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62" w:rsidRDefault="00EB6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F03F2"/>
    <w:multiLevelType w:val="multilevel"/>
    <w:tmpl w:val="2B98C208"/>
    <w:name w:val="Ind. Energy Users Group"/>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
    <w:nsid w:val="58BA1E0C"/>
    <w:multiLevelType w:val="hybridMultilevel"/>
    <w:tmpl w:val="F2AC5C1C"/>
    <w:lvl w:ilvl="0" w:tplc="21A0622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gnword-docGUID" w:val="{B71DD0EC-F277-419D-BB52-570004D6043B}"/>
    <w:docVar w:name="dgnword-eventsink" w:val="265432784"/>
    <w:docVar w:name="LastSchemeChoice" w:val="Ind. Energy Users Group"/>
    <w:docVar w:name="LastSchemeUniqueID" w:val="1"/>
    <w:docVar w:name="Option0True" w:val="False"/>
    <w:docVar w:name="Option1True" w:val="False"/>
    <w:docVar w:name="Option2True" w:val="False"/>
  </w:docVars>
  <w:rsids>
    <w:rsidRoot w:val="00A803C2"/>
    <w:rsid w:val="0001282B"/>
    <w:rsid w:val="00044EDD"/>
    <w:rsid w:val="0005424C"/>
    <w:rsid w:val="000D78D7"/>
    <w:rsid w:val="000E478C"/>
    <w:rsid w:val="00115813"/>
    <w:rsid w:val="001229C3"/>
    <w:rsid w:val="001243A1"/>
    <w:rsid w:val="001426EE"/>
    <w:rsid w:val="00181AA5"/>
    <w:rsid w:val="0018636C"/>
    <w:rsid w:val="0019342F"/>
    <w:rsid w:val="001A75E8"/>
    <w:rsid w:val="001C0058"/>
    <w:rsid w:val="001C19CF"/>
    <w:rsid w:val="001D221B"/>
    <w:rsid w:val="001F4609"/>
    <w:rsid w:val="002106DE"/>
    <w:rsid w:val="00232C04"/>
    <w:rsid w:val="002513FC"/>
    <w:rsid w:val="0028203F"/>
    <w:rsid w:val="002A1753"/>
    <w:rsid w:val="002A4334"/>
    <w:rsid w:val="002B2D68"/>
    <w:rsid w:val="002B63AE"/>
    <w:rsid w:val="002E10A8"/>
    <w:rsid w:val="003266AF"/>
    <w:rsid w:val="00346CB1"/>
    <w:rsid w:val="003917BC"/>
    <w:rsid w:val="00392796"/>
    <w:rsid w:val="00394D96"/>
    <w:rsid w:val="003B68C6"/>
    <w:rsid w:val="003D6D6F"/>
    <w:rsid w:val="003E61A0"/>
    <w:rsid w:val="00405917"/>
    <w:rsid w:val="0045018C"/>
    <w:rsid w:val="00475B6A"/>
    <w:rsid w:val="004A7B9F"/>
    <w:rsid w:val="004B6565"/>
    <w:rsid w:val="004C4318"/>
    <w:rsid w:val="004D0105"/>
    <w:rsid w:val="005129A6"/>
    <w:rsid w:val="00550A40"/>
    <w:rsid w:val="00573B62"/>
    <w:rsid w:val="00590F2B"/>
    <w:rsid w:val="0059746D"/>
    <w:rsid w:val="005A066C"/>
    <w:rsid w:val="005B4949"/>
    <w:rsid w:val="005F2D46"/>
    <w:rsid w:val="006223F4"/>
    <w:rsid w:val="00642A89"/>
    <w:rsid w:val="006431E2"/>
    <w:rsid w:val="00685708"/>
    <w:rsid w:val="006A6B12"/>
    <w:rsid w:val="006B7A57"/>
    <w:rsid w:val="006C3E9E"/>
    <w:rsid w:val="006E32DD"/>
    <w:rsid w:val="006E6296"/>
    <w:rsid w:val="007049AD"/>
    <w:rsid w:val="00717AFA"/>
    <w:rsid w:val="00724FFA"/>
    <w:rsid w:val="007A7E20"/>
    <w:rsid w:val="007B0DFF"/>
    <w:rsid w:val="007C2E3D"/>
    <w:rsid w:val="00806163"/>
    <w:rsid w:val="008409D4"/>
    <w:rsid w:val="008652F0"/>
    <w:rsid w:val="00870699"/>
    <w:rsid w:val="00874AC4"/>
    <w:rsid w:val="00881FB5"/>
    <w:rsid w:val="008A029F"/>
    <w:rsid w:val="008A2808"/>
    <w:rsid w:val="008C6AD1"/>
    <w:rsid w:val="008E2D68"/>
    <w:rsid w:val="008E3BF4"/>
    <w:rsid w:val="009574FE"/>
    <w:rsid w:val="00990731"/>
    <w:rsid w:val="009B2B66"/>
    <w:rsid w:val="009C1925"/>
    <w:rsid w:val="009E4D36"/>
    <w:rsid w:val="00A16F60"/>
    <w:rsid w:val="00A40AEB"/>
    <w:rsid w:val="00A40BB8"/>
    <w:rsid w:val="00A4665E"/>
    <w:rsid w:val="00A62D0D"/>
    <w:rsid w:val="00A803C2"/>
    <w:rsid w:val="00AA47F4"/>
    <w:rsid w:val="00AB1520"/>
    <w:rsid w:val="00AB788E"/>
    <w:rsid w:val="00AC1CFC"/>
    <w:rsid w:val="00AF22DC"/>
    <w:rsid w:val="00B0185B"/>
    <w:rsid w:val="00B36519"/>
    <w:rsid w:val="00B604FC"/>
    <w:rsid w:val="00B830AC"/>
    <w:rsid w:val="00BE7603"/>
    <w:rsid w:val="00BF6328"/>
    <w:rsid w:val="00C0405A"/>
    <w:rsid w:val="00C06AA7"/>
    <w:rsid w:val="00C345D3"/>
    <w:rsid w:val="00C352A7"/>
    <w:rsid w:val="00C454DB"/>
    <w:rsid w:val="00CD7367"/>
    <w:rsid w:val="00D04C37"/>
    <w:rsid w:val="00D35966"/>
    <w:rsid w:val="00D540BC"/>
    <w:rsid w:val="00D614E6"/>
    <w:rsid w:val="00D7690D"/>
    <w:rsid w:val="00D80B4B"/>
    <w:rsid w:val="00D92B06"/>
    <w:rsid w:val="00DA1CBF"/>
    <w:rsid w:val="00DA7E7D"/>
    <w:rsid w:val="00DB2B21"/>
    <w:rsid w:val="00E400C2"/>
    <w:rsid w:val="00E70BF3"/>
    <w:rsid w:val="00E94C11"/>
    <w:rsid w:val="00EB6862"/>
    <w:rsid w:val="00EF62F3"/>
    <w:rsid w:val="00F35344"/>
    <w:rsid w:val="00F56C4E"/>
    <w:rsid w:val="00F8625B"/>
    <w:rsid w:val="00F86BEC"/>
    <w:rsid w:val="00FB38A0"/>
    <w:rsid w:val="00FB56F1"/>
    <w:rsid w:val="00FD2296"/>
    <w:rsid w:val="00FE213C"/>
    <w:rsid w:val="00F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66C"/>
    <w:pPr>
      <w:numPr>
        <w:numId w:val="2"/>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5A066C"/>
    <w:pPr>
      <w:numPr>
        <w:ilvl w:val="1"/>
        <w:numId w:val="2"/>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5A066C"/>
    <w:pPr>
      <w:numPr>
        <w:ilvl w:val="2"/>
        <w:numId w:val="2"/>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5A066C"/>
    <w:pPr>
      <w:numPr>
        <w:ilvl w:val="3"/>
        <w:numId w:val="2"/>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A066C"/>
    <w:pPr>
      <w:numPr>
        <w:ilvl w:val="4"/>
        <w:numId w:val="2"/>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A066C"/>
    <w:pPr>
      <w:numPr>
        <w:ilvl w:val="5"/>
        <w:numId w:val="2"/>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A066C"/>
    <w:pPr>
      <w:numPr>
        <w:ilvl w:val="6"/>
        <w:numId w:val="2"/>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A066C"/>
    <w:pPr>
      <w:numPr>
        <w:ilvl w:val="7"/>
        <w:numId w:val="2"/>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A066C"/>
    <w:pPr>
      <w:numPr>
        <w:ilvl w:val="8"/>
        <w:numId w:val="2"/>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6C4E"/>
    <w:rPr>
      <w:sz w:val="20"/>
      <w:szCs w:val="20"/>
    </w:rPr>
  </w:style>
  <w:style w:type="character" w:customStyle="1" w:styleId="FootnoteTextChar">
    <w:name w:val="Footnote Text Char"/>
    <w:basedOn w:val="DefaultParagraphFont"/>
    <w:link w:val="FootnoteText"/>
    <w:uiPriority w:val="99"/>
    <w:semiHidden/>
    <w:rsid w:val="00F56C4E"/>
    <w:rPr>
      <w:sz w:val="20"/>
      <w:szCs w:val="20"/>
    </w:rPr>
  </w:style>
  <w:style w:type="character" w:styleId="FootnoteReference">
    <w:name w:val="footnote reference"/>
    <w:basedOn w:val="DefaultParagraphFont"/>
    <w:uiPriority w:val="99"/>
    <w:semiHidden/>
    <w:unhideWhenUsed/>
    <w:rsid w:val="00F56C4E"/>
    <w:rPr>
      <w:vertAlign w:val="superscript"/>
    </w:rPr>
  </w:style>
  <w:style w:type="paragraph" w:styleId="Header">
    <w:name w:val="header"/>
    <w:basedOn w:val="Normal"/>
    <w:link w:val="HeaderChar"/>
    <w:unhideWhenUsed/>
    <w:rsid w:val="000D78D7"/>
    <w:pPr>
      <w:tabs>
        <w:tab w:val="center" w:pos="4680"/>
        <w:tab w:val="right" w:pos="9360"/>
      </w:tabs>
    </w:pPr>
  </w:style>
  <w:style w:type="character" w:customStyle="1" w:styleId="HeaderChar">
    <w:name w:val="Header Char"/>
    <w:basedOn w:val="DefaultParagraphFont"/>
    <w:link w:val="Header"/>
    <w:rsid w:val="000D78D7"/>
  </w:style>
  <w:style w:type="paragraph" w:styleId="Footer">
    <w:name w:val="footer"/>
    <w:basedOn w:val="Normal"/>
    <w:link w:val="FooterChar"/>
    <w:unhideWhenUsed/>
    <w:rsid w:val="000D78D7"/>
    <w:pPr>
      <w:tabs>
        <w:tab w:val="center" w:pos="4680"/>
        <w:tab w:val="right" w:pos="9360"/>
      </w:tabs>
    </w:pPr>
  </w:style>
  <w:style w:type="character" w:customStyle="1" w:styleId="FooterChar">
    <w:name w:val="Footer Char"/>
    <w:basedOn w:val="DefaultParagraphFont"/>
    <w:link w:val="Footer"/>
    <w:rsid w:val="000D78D7"/>
  </w:style>
  <w:style w:type="character" w:customStyle="1" w:styleId="Heading1Char">
    <w:name w:val="Heading 1 Char"/>
    <w:basedOn w:val="DefaultParagraphFont"/>
    <w:link w:val="Heading1"/>
    <w:uiPriority w:val="9"/>
    <w:rsid w:val="005A066C"/>
    <w:rPr>
      <w:rFonts w:eastAsiaTheme="majorEastAsia" w:cs="Arial"/>
      <w:b/>
      <w:bCs/>
      <w:caps/>
      <w:szCs w:val="28"/>
      <w:u w:val="single"/>
    </w:rPr>
  </w:style>
  <w:style w:type="paragraph" w:styleId="BalloonText">
    <w:name w:val="Balloon Text"/>
    <w:basedOn w:val="Normal"/>
    <w:link w:val="BalloonTextChar"/>
    <w:uiPriority w:val="99"/>
    <w:semiHidden/>
    <w:unhideWhenUsed/>
    <w:rsid w:val="00D35966"/>
    <w:rPr>
      <w:rFonts w:ascii="Tahoma" w:hAnsi="Tahoma" w:cs="Tahoma"/>
      <w:sz w:val="16"/>
      <w:szCs w:val="16"/>
    </w:rPr>
  </w:style>
  <w:style w:type="character" w:customStyle="1" w:styleId="BalloonTextChar">
    <w:name w:val="Balloon Text Char"/>
    <w:basedOn w:val="DefaultParagraphFont"/>
    <w:link w:val="BalloonText"/>
    <w:uiPriority w:val="99"/>
    <w:semiHidden/>
    <w:rsid w:val="00D35966"/>
    <w:rPr>
      <w:rFonts w:ascii="Tahoma" w:hAnsi="Tahoma" w:cs="Tahoma"/>
      <w:sz w:val="16"/>
      <w:szCs w:val="16"/>
    </w:rPr>
  </w:style>
  <w:style w:type="character" w:customStyle="1" w:styleId="Heading2Char">
    <w:name w:val="Heading 2 Char"/>
    <w:basedOn w:val="DefaultParagraphFont"/>
    <w:link w:val="Heading2"/>
    <w:uiPriority w:val="9"/>
    <w:semiHidden/>
    <w:rsid w:val="005A066C"/>
    <w:rPr>
      <w:rFonts w:eastAsiaTheme="majorEastAsia" w:cs="Arial"/>
      <w:b/>
      <w:bCs/>
      <w:szCs w:val="26"/>
    </w:rPr>
  </w:style>
  <w:style w:type="character" w:customStyle="1" w:styleId="Heading3Char">
    <w:name w:val="Heading 3 Char"/>
    <w:basedOn w:val="DefaultParagraphFont"/>
    <w:link w:val="Heading3"/>
    <w:uiPriority w:val="9"/>
    <w:semiHidden/>
    <w:rsid w:val="005A066C"/>
    <w:rPr>
      <w:rFonts w:eastAsiaTheme="majorEastAsia" w:cs="Arial"/>
      <w:b/>
      <w:bCs/>
    </w:rPr>
  </w:style>
  <w:style w:type="character" w:customStyle="1" w:styleId="Heading4Char">
    <w:name w:val="Heading 4 Char"/>
    <w:basedOn w:val="DefaultParagraphFont"/>
    <w:link w:val="Heading4"/>
    <w:uiPriority w:val="9"/>
    <w:semiHidden/>
    <w:rsid w:val="005A066C"/>
    <w:rPr>
      <w:rFonts w:eastAsiaTheme="majorEastAsia" w:cs="Arial"/>
      <w:b/>
      <w:bCs/>
      <w:i/>
      <w:iCs/>
    </w:rPr>
  </w:style>
  <w:style w:type="character" w:customStyle="1" w:styleId="Heading5Char">
    <w:name w:val="Heading 5 Char"/>
    <w:basedOn w:val="DefaultParagraphFont"/>
    <w:link w:val="Heading5"/>
    <w:uiPriority w:val="9"/>
    <w:semiHidden/>
    <w:rsid w:val="005A066C"/>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A066C"/>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A066C"/>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A066C"/>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A066C"/>
    <w:rPr>
      <w:rFonts w:asciiTheme="majorHAnsi" w:eastAsiaTheme="majorEastAsia" w:hAnsiTheme="majorHAnsi" w:cs="Arial"/>
      <w:iCs/>
      <w:color w:val="404040" w:themeColor="text1" w:themeTint="BF"/>
      <w:szCs w:val="20"/>
    </w:rPr>
  </w:style>
  <w:style w:type="paragraph" w:styleId="BodyText">
    <w:name w:val="Body Text"/>
    <w:basedOn w:val="Normal"/>
    <w:link w:val="BodyTextChar"/>
    <w:rsid w:val="00EB6862"/>
    <w:pPr>
      <w:jc w:val="both"/>
    </w:pPr>
    <w:rPr>
      <w:rFonts w:eastAsia="Times New Roman" w:cs="Arial"/>
    </w:rPr>
  </w:style>
  <w:style w:type="character" w:customStyle="1" w:styleId="BodyTextChar">
    <w:name w:val="Body Text Char"/>
    <w:basedOn w:val="DefaultParagraphFont"/>
    <w:link w:val="BodyText"/>
    <w:rsid w:val="00EB6862"/>
    <w:rPr>
      <w:rFonts w:eastAsia="Times New Roman" w:cs="Arial"/>
    </w:rPr>
  </w:style>
  <w:style w:type="paragraph" w:styleId="Title">
    <w:name w:val="Title"/>
    <w:basedOn w:val="Normal"/>
    <w:link w:val="TitleChar"/>
    <w:qFormat/>
    <w:rsid w:val="00EB6862"/>
    <w:pPr>
      <w:jc w:val="center"/>
    </w:pPr>
    <w:rPr>
      <w:rFonts w:eastAsia="Times New Roman" w:cs="Arial"/>
      <w:b/>
      <w:smallCaps/>
      <w:sz w:val="32"/>
    </w:rPr>
  </w:style>
  <w:style w:type="character" w:customStyle="1" w:styleId="TitleChar">
    <w:name w:val="Title Char"/>
    <w:basedOn w:val="DefaultParagraphFont"/>
    <w:link w:val="Title"/>
    <w:rsid w:val="00EB6862"/>
    <w:rPr>
      <w:rFonts w:eastAsia="Times New Roman" w:cs="Arial"/>
      <w:b/>
      <w:smallCaps/>
      <w:sz w:val="32"/>
    </w:rPr>
  </w:style>
  <w:style w:type="paragraph" w:styleId="BodyTextIndent">
    <w:name w:val="Body Text Indent"/>
    <w:basedOn w:val="Normal"/>
    <w:link w:val="BodyTextIndentChar"/>
    <w:rsid w:val="00EB6862"/>
    <w:pPr>
      <w:spacing w:after="120"/>
      <w:ind w:left="360"/>
    </w:pPr>
    <w:rPr>
      <w:rFonts w:eastAsia="Times New Roman" w:cs="Times New Roman"/>
      <w:lang w:val="x-none" w:eastAsia="x-none"/>
    </w:rPr>
  </w:style>
  <w:style w:type="character" w:customStyle="1" w:styleId="BodyTextIndentChar">
    <w:name w:val="Body Text Indent Char"/>
    <w:basedOn w:val="DefaultParagraphFont"/>
    <w:link w:val="BodyTextIndent"/>
    <w:rsid w:val="00EB6862"/>
    <w:rPr>
      <w:rFonts w:eastAsia="Times New Roman" w:cs="Times New Roman"/>
      <w:lang w:val="x-none" w:eastAsia="x-none"/>
    </w:rPr>
  </w:style>
  <w:style w:type="character" w:styleId="CommentReference">
    <w:name w:val="annotation reference"/>
    <w:basedOn w:val="DefaultParagraphFont"/>
    <w:uiPriority w:val="99"/>
    <w:semiHidden/>
    <w:unhideWhenUsed/>
    <w:rsid w:val="00B36519"/>
    <w:rPr>
      <w:sz w:val="16"/>
      <w:szCs w:val="16"/>
    </w:rPr>
  </w:style>
  <w:style w:type="paragraph" w:styleId="CommentText">
    <w:name w:val="annotation text"/>
    <w:basedOn w:val="Normal"/>
    <w:link w:val="CommentTextChar"/>
    <w:uiPriority w:val="99"/>
    <w:semiHidden/>
    <w:unhideWhenUsed/>
    <w:rsid w:val="00B36519"/>
    <w:rPr>
      <w:sz w:val="20"/>
      <w:szCs w:val="20"/>
    </w:rPr>
  </w:style>
  <w:style w:type="character" w:customStyle="1" w:styleId="CommentTextChar">
    <w:name w:val="Comment Text Char"/>
    <w:basedOn w:val="DefaultParagraphFont"/>
    <w:link w:val="CommentText"/>
    <w:uiPriority w:val="99"/>
    <w:semiHidden/>
    <w:rsid w:val="00B36519"/>
    <w:rPr>
      <w:sz w:val="20"/>
      <w:szCs w:val="20"/>
    </w:rPr>
  </w:style>
  <w:style w:type="paragraph" w:styleId="CommentSubject">
    <w:name w:val="annotation subject"/>
    <w:basedOn w:val="CommentText"/>
    <w:next w:val="CommentText"/>
    <w:link w:val="CommentSubjectChar"/>
    <w:uiPriority w:val="99"/>
    <w:semiHidden/>
    <w:unhideWhenUsed/>
    <w:rsid w:val="00B36519"/>
    <w:rPr>
      <w:b/>
      <w:bCs/>
    </w:rPr>
  </w:style>
  <w:style w:type="character" w:customStyle="1" w:styleId="CommentSubjectChar">
    <w:name w:val="Comment Subject Char"/>
    <w:basedOn w:val="CommentTextChar"/>
    <w:link w:val="CommentSubject"/>
    <w:uiPriority w:val="99"/>
    <w:semiHidden/>
    <w:rsid w:val="00B365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66C"/>
    <w:pPr>
      <w:numPr>
        <w:numId w:val="2"/>
      </w:numPr>
      <w:tabs>
        <w:tab w:val="clear" w:pos="720"/>
      </w:tabs>
      <w:spacing w:after="240"/>
      <w:jc w:val="both"/>
      <w:outlineLvl w:val="0"/>
    </w:pPr>
    <w:rPr>
      <w:rFonts w:eastAsiaTheme="majorEastAsia" w:cs="Arial"/>
      <w:b/>
      <w:bCs/>
      <w:caps/>
      <w:szCs w:val="28"/>
      <w:u w:val="single"/>
    </w:rPr>
  </w:style>
  <w:style w:type="paragraph" w:styleId="Heading2">
    <w:name w:val="heading 2"/>
    <w:basedOn w:val="Normal"/>
    <w:next w:val="Normal"/>
    <w:link w:val="Heading2Char"/>
    <w:uiPriority w:val="9"/>
    <w:semiHidden/>
    <w:unhideWhenUsed/>
    <w:qFormat/>
    <w:rsid w:val="005A066C"/>
    <w:pPr>
      <w:numPr>
        <w:ilvl w:val="1"/>
        <w:numId w:val="2"/>
      </w:numPr>
      <w:spacing w:after="240"/>
      <w:jc w:val="both"/>
      <w:outlineLvl w:val="1"/>
    </w:pPr>
    <w:rPr>
      <w:rFonts w:eastAsiaTheme="majorEastAsia" w:cs="Arial"/>
      <w:b/>
      <w:bCs/>
      <w:szCs w:val="26"/>
    </w:rPr>
  </w:style>
  <w:style w:type="paragraph" w:styleId="Heading3">
    <w:name w:val="heading 3"/>
    <w:basedOn w:val="Normal"/>
    <w:next w:val="Normal"/>
    <w:link w:val="Heading3Char"/>
    <w:uiPriority w:val="9"/>
    <w:semiHidden/>
    <w:unhideWhenUsed/>
    <w:qFormat/>
    <w:rsid w:val="005A066C"/>
    <w:pPr>
      <w:numPr>
        <w:ilvl w:val="2"/>
        <w:numId w:val="2"/>
      </w:numPr>
      <w:spacing w:after="240"/>
      <w:jc w:val="both"/>
      <w:outlineLvl w:val="2"/>
    </w:pPr>
    <w:rPr>
      <w:rFonts w:eastAsiaTheme="majorEastAsia" w:cs="Arial"/>
      <w:b/>
      <w:bCs/>
    </w:rPr>
  </w:style>
  <w:style w:type="paragraph" w:styleId="Heading4">
    <w:name w:val="heading 4"/>
    <w:basedOn w:val="Normal"/>
    <w:next w:val="Normal"/>
    <w:link w:val="Heading4Char"/>
    <w:uiPriority w:val="9"/>
    <w:semiHidden/>
    <w:unhideWhenUsed/>
    <w:qFormat/>
    <w:rsid w:val="005A066C"/>
    <w:pPr>
      <w:numPr>
        <w:ilvl w:val="3"/>
        <w:numId w:val="2"/>
      </w:numPr>
      <w:spacing w:after="240"/>
      <w:jc w:val="both"/>
      <w:outlineLvl w:val="3"/>
    </w:pPr>
    <w:rPr>
      <w:rFonts w:eastAsiaTheme="majorEastAsia" w:cs="Arial"/>
      <w:b/>
      <w:bCs/>
      <w:i/>
      <w:iCs/>
    </w:rPr>
  </w:style>
  <w:style w:type="paragraph" w:styleId="Heading5">
    <w:name w:val="heading 5"/>
    <w:basedOn w:val="Normal"/>
    <w:next w:val="Normal"/>
    <w:link w:val="Heading5Char"/>
    <w:uiPriority w:val="9"/>
    <w:semiHidden/>
    <w:unhideWhenUsed/>
    <w:qFormat/>
    <w:rsid w:val="005A066C"/>
    <w:pPr>
      <w:numPr>
        <w:ilvl w:val="4"/>
        <w:numId w:val="2"/>
      </w:numPr>
      <w:spacing w:after="240"/>
      <w:jc w:val="both"/>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qFormat/>
    <w:rsid w:val="005A066C"/>
    <w:pPr>
      <w:numPr>
        <w:ilvl w:val="5"/>
        <w:numId w:val="2"/>
      </w:numPr>
      <w:spacing w:after="240"/>
      <w:jc w:val="both"/>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qFormat/>
    <w:rsid w:val="005A066C"/>
    <w:pPr>
      <w:numPr>
        <w:ilvl w:val="6"/>
        <w:numId w:val="2"/>
      </w:numPr>
      <w:spacing w:after="240"/>
      <w:jc w:val="both"/>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qFormat/>
    <w:rsid w:val="005A066C"/>
    <w:pPr>
      <w:numPr>
        <w:ilvl w:val="7"/>
        <w:numId w:val="2"/>
      </w:numPr>
      <w:spacing w:after="240"/>
      <w:jc w:val="both"/>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qFormat/>
    <w:rsid w:val="005A066C"/>
    <w:pPr>
      <w:numPr>
        <w:ilvl w:val="8"/>
        <w:numId w:val="2"/>
      </w:numPr>
      <w:spacing w:after="240"/>
      <w:jc w:val="both"/>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6C4E"/>
    <w:rPr>
      <w:sz w:val="20"/>
      <w:szCs w:val="20"/>
    </w:rPr>
  </w:style>
  <w:style w:type="character" w:customStyle="1" w:styleId="FootnoteTextChar">
    <w:name w:val="Footnote Text Char"/>
    <w:basedOn w:val="DefaultParagraphFont"/>
    <w:link w:val="FootnoteText"/>
    <w:uiPriority w:val="99"/>
    <w:semiHidden/>
    <w:rsid w:val="00F56C4E"/>
    <w:rPr>
      <w:sz w:val="20"/>
      <w:szCs w:val="20"/>
    </w:rPr>
  </w:style>
  <w:style w:type="character" w:styleId="FootnoteReference">
    <w:name w:val="footnote reference"/>
    <w:basedOn w:val="DefaultParagraphFont"/>
    <w:uiPriority w:val="99"/>
    <w:semiHidden/>
    <w:unhideWhenUsed/>
    <w:rsid w:val="00F56C4E"/>
    <w:rPr>
      <w:vertAlign w:val="superscript"/>
    </w:rPr>
  </w:style>
  <w:style w:type="paragraph" w:styleId="Header">
    <w:name w:val="header"/>
    <w:basedOn w:val="Normal"/>
    <w:link w:val="HeaderChar"/>
    <w:unhideWhenUsed/>
    <w:rsid w:val="000D78D7"/>
    <w:pPr>
      <w:tabs>
        <w:tab w:val="center" w:pos="4680"/>
        <w:tab w:val="right" w:pos="9360"/>
      </w:tabs>
    </w:pPr>
  </w:style>
  <w:style w:type="character" w:customStyle="1" w:styleId="HeaderChar">
    <w:name w:val="Header Char"/>
    <w:basedOn w:val="DefaultParagraphFont"/>
    <w:link w:val="Header"/>
    <w:rsid w:val="000D78D7"/>
  </w:style>
  <w:style w:type="paragraph" w:styleId="Footer">
    <w:name w:val="footer"/>
    <w:basedOn w:val="Normal"/>
    <w:link w:val="FooterChar"/>
    <w:unhideWhenUsed/>
    <w:rsid w:val="000D78D7"/>
    <w:pPr>
      <w:tabs>
        <w:tab w:val="center" w:pos="4680"/>
        <w:tab w:val="right" w:pos="9360"/>
      </w:tabs>
    </w:pPr>
  </w:style>
  <w:style w:type="character" w:customStyle="1" w:styleId="FooterChar">
    <w:name w:val="Footer Char"/>
    <w:basedOn w:val="DefaultParagraphFont"/>
    <w:link w:val="Footer"/>
    <w:rsid w:val="000D78D7"/>
  </w:style>
  <w:style w:type="character" w:customStyle="1" w:styleId="Heading1Char">
    <w:name w:val="Heading 1 Char"/>
    <w:basedOn w:val="DefaultParagraphFont"/>
    <w:link w:val="Heading1"/>
    <w:uiPriority w:val="9"/>
    <w:rsid w:val="005A066C"/>
    <w:rPr>
      <w:rFonts w:eastAsiaTheme="majorEastAsia" w:cs="Arial"/>
      <w:b/>
      <w:bCs/>
      <w:caps/>
      <w:szCs w:val="28"/>
      <w:u w:val="single"/>
    </w:rPr>
  </w:style>
  <w:style w:type="paragraph" w:styleId="BalloonText">
    <w:name w:val="Balloon Text"/>
    <w:basedOn w:val="Normal"/>
    <w:link w:val="BalloonTextChar"/>
    <w:uiPriority w:val="99"/>
    <w:semiHidden/>
    <w:unhideWhenUsed/>
    <w:rsid w:val="00D35966"/>
    <w:rPr>
      <w:rFonts w:ascii="Tahoma" w:hAnsi="Tahoma" w:cs="Tahoma"/>
      <w:sz w:val="16"/>
      <w:szCs w:val="16"/>
    </w:rPr>
  </w:style>
  <w:style w:type="character" w:customStyle="1" w:styleId="BalloonTextChar">
    <w:name w:val="Balloon Text Char"/>
    <w:basedOn w:val="DefaultParagraphFont"/>
    <w:link w:val="BalloonText"/>
    <w:uiPriority w:val="99"/>
    <w:semiHidden/>
    <w:rsid w:val="00D35966"/>
    <w:rPr>
      <w:rFonts w:ascii="Tahoma" w:hAnsi="Tahoma" w:cs="Tahoma"/>
      <w:sz w:val="16"/>
      <w:szCs w:val="16"/>
    </w:rPr>
  </w:style>
  <w:style w:type="character" w:customStyle="1" w:styleId="Heading2Char">
    <w:name w:val="Heading 2 Char"/>
    <w:basedOn w:val="DefaultParagraphFont"/>
    <w:link w:val="Heading2"/>
    <w:uiPriority w:val="9"/>
    <w:semiHidden/>
    <w:rsid w:val="005A066C"/>
    <w:rPr>
      <w:rFonts w:eastAsiaTheme="majorEastAsia" w:cs="Arial"/>
      <w:b/>
      <w:bCs/>
      <w:szCs w:val="26"/>
    </w:rPr>
  </w:style>
  <w:style w:type="character" w:customStyle="1" w:styleId="Heading3Char">
    <w:name w:val="Heading 3 Char"/>
    <w:basedOn w:val="DefaultParagraphFont"/>
    <w:link w:val="Heading3"/>
    <w:uiPriority w:val="9"/>
    <w:semiHidden/>
    <w:rsid w:val="005A066C"/>
    <w:rPr>
      <w:rFonts w:eastAsiaTheme="majorEastAsia" w:cs="Arial"/>
      <w:b/>
      <w:bCs/>
    </w:rPr>
  </w:style>
  <w:style w:type="character" w:customStyle="1" w:styleId="Heading4Char">
    <w:name w:val="Heading 4 Char"/>
    <w:basedOn w:val="DefaultParagraphFont"/>
    <w:link w:val="Heading4"/>
    <w:uiPriority w:val="9"/>
    <w:semiHidden/>
    <w:rsid w:val="005A066C"/>
    <w:rPr>
      <w:rFonts w:eastAsiaTheme="majorEastAsia" w:cs="Arial"/>
      <w:b/>
      <w:bCs/>
      <w:i/>
      <w:iCs/>
    </w:rPr>
  </w:style>
  <w:style w:type="character" w:customStyle="1" w:styleId="Heading5Char">
    <w:name w:val="Heading 5 Char"/>
    <w:basedOn w:val="DefaultParagraphFont"/>
    <w:link w:val="Heading5"/>
    <w:uiPriority w:val="9"/>
    <w:semiHidden/>
    <w:rsid w:val="005A066C"/>
    <w:rPr>
      <w:rFonts w:asciiTheme="majorHAnsi" w:eastAsiaTheme="majorEastAsia" w:hAnsiTheme="majorHAnsi" w:cs="Arial"/>
      <w:color w:val="243F60" w:themeColor="accent1" w:themeShade="7F"/>
    </w:rPr>
  </w:style>
  <w:style w:type="character" w:customStyle="1" w:styleId="Heading6Char">
    <w:name w:val="Heading 6 Char"/>
    <w:basedOn w:val="DefaultParagraphFont"/>
    <w:link w:val="Heading6"/>
    <w:uiPriority w:val="9"/>
    <w:semiHidden/>
    <w:rsid w:val="005A066C"/>
    <w:rPr>
      <w:rFonts w:asciiTheme="majorHAnsi" w:eastAsiaTheme="majorEastAsia" w:hAnsiTheme="majorHAnsi" w:cs="Arial"/>
      <w:iCs/>
      <w:color w:val="243F60" w:themeColor="accent1" w:themeShade="7F"/>
    </w:rPr>
  </w:style>
  <w:style w:type="character" w:customStyle="1" w:styleId="Heading7Char">
    <w:name w:val="Heading 7 Char"/>
    <w:basedOn w:val="DefaultParagraphFont"/>
    <w:link w:val="Heading7"/>
    <w:uiPriority w:val="9"/>
    <w:semiHidden/>
    <w:rsid w:val="005A066C"/>
    <w:rPr>
      <w:rFonts w:asciiTheme="majorHAnsi" w:eastAsiaTheme="majorEastAsia" w:hAnsiTheme="majorHAnsi" w:cs="Arial"/>
      <w:iCs/>
      <w:color w:val="404040" w:themeColor="text1" w:themeTint="BF"/>
    </w:rPr>
  </w:style>
  <w:style w:type="character" w:customStyle="1" w:styleId="Heading8Char">
    <w:name w:val="Heading 8 Char"/>
    <w:basedOn w:val="DefaultParagraphFont"/>
    <w:link w:val="Heading8"/>
    <w:uiPriority w:val="9"/>
    <w:semiHidden/>
    <w:rsid w:val="005A066C"/>
    <w:rPr>
      <w:rFonts w:asciiTheme="majorHAnsi" w:eastAsiaTheme="majorEastAsia" w:hAnsiTheme="majorHAnsi" w:cs="Arial"/>
      <w:color w:val="404040" w:themeColor="text1" w:themeTint="BF"/>
      <w:szCs w:val="20"/>
    </w:rPr>
  </w:style>
  <w:style w:type="character" w:customStyle="1" w:styleId="Heading9Char">
    <w:name w:val="Heading 9 Char"/>
    <w:basedOn w:val="DefaultParagraphFont"/>
    <w:link w:val="Heading9"/>
    <w:uiPriority w:val="9"/>
    <w:semiHidden/>
    <w:rsid w:val="005A066C"/>
    <w:rPr>
      <w:rFonts w:asciiTheme="majorHAnsi" w:eastAsiaTheme="majorEastAsia" w:hAnsiTheme="majorHAnsi" w:cs="Arial"/>
      <w:iCs/>
      <w:color w:val="404040" w:themeColor="text1" w:themeTint="BF"/>
      <w:szCs w:val="20"/>
    </w:rPr>
  </w:style>
  <w:style w:type="paragraph" w:styleId="BodyText">
    <w:name w:val="Body Text"/>
    <w:basedOn w:val="Normal"/>
    <w:link w:val="BodyTextChar"/>
    <w:rsid w:val="00EB6862"/>
    <w:pPr>
      <w:jc w:val="both"/>
    </w:pPr>
    <w:rPr>
      <w:rFonts w:eastAsia="Times New Roman" w:cs="Arial"/>
    </w:rPr>
  </w:style>
  <w:style w:type="character" w:customStyle="1" w:styleId="BodyTextChar">
    <w:name w:val="Body Text Char"/>
    <w:basedOn w:val="DefaultParagraphFont"/>
    <w:link w:val="BodyText"/>
    <w:rsid w:val="00EB6862"/>
    <w:rPr>
      <w:rFonts w:eastAsia="Times New Roman" w:cs="Arial"/>
    </w:rPr>
  </w:style>
  <w:style w:type="paragraph" w:styleId="Title">
    <w:name w:val="Title"/>
    <w:basedOn w:val="Normal"/>
    <w:link w:val="TitleChar"/>
    <w:qFormat/>
    <w:rsid w:val="00EB6862"/>
    <w:pPr>
      <w:jc w:val="center"/>
    </w:pPr>
    <w:rPr>
      <w:rFonts w:eastAsia="Times New Roman" w:cs="Arial"/>
      <w:b/>
      <w:smallCaps/>
      <w:sz w:val="32"/>
    </w:rPr>
  </w:style>
  <w:style w:type="character" w:customStyle="1" w:styleId="TitleChar">
    <w:name w:val="Title Char"/>
    <w:basedOn w:val="DefaultParagraphFont"/>
    <w:link w:val="Title"/>
    <w:rsid w:val="00EB6862"/>
    <w:rPr>
      <w:rFonts w:eastAsia="Times New Roman" w:cs="Arial"/>
      <w:b/>
      <w:smallCaps/>
      <w:sz w:val="32"/>
    </w:rPr>
  </w:style>
  <w:style w:type="paragraph" w:styleId="BodyTextIndent">
    <w:name w:val="Body Text Indent"/>
    <w:basedOn w:val="Normal"/>
    <w:link w:val="BodyTextIndentChar"/>
    <w:rsid w:val="00EB6862"/>
    <w:pPr>
      <w:spacing w:after="120"/>
      <w:ind w:left="360"/>
    </w:pPr>
    <w:rPr>
      <w:rFonts w:eastAsia="Times New Roman" w:cs="Times New Roman"/>
      <w:lang w:val="x-none" w:eastAsia="x-none"/>
    </w:rPr>
  </w:style>
  <w:style w:type="character" w:customStyle="1" w:styleId="BodyTextIndentChar">
    <w:name w:val="Body Text Indent Char"/>
    <w:basedOn w:val="DefaultParagraphFont"/>
    <w:link w:val="BodyTextIndent"/>
    <w:rsid w:val="00EB6862"/>
    <w:rPr>
      <w:rFonts w:eastAsia="Times New Roman" w:cs="Times New Roman"/>
      <w:lang w:val="x-none" w:eastAsia="x-none"/>
    </w:rPr>
  </w:style>
  <w:style w:type="character" w:styleId="CommentReference">
    <w:name w:val="annotation reference"/>
    <w:basedOn w:val="DefaultParagraphFont"/>
    <w:uiPriority w:val="99"/>
    <w:semiHidden/>
    <w:unhideWhenUsed/>
    <w:rsid w:val="00B36519"/>
    <w:rPr>
      <w:sz w:val="16"/>
      <w:szCs w:val="16"/>
    </w:rPr>
  </w:style>
  <w:style w:type="paragraph" w:styleId="CommentText">
    <w:name w:val="annotation text"/>
    <w:basedOn w:val="Normal"/>
    <w:link w:val="CommentTextChar"/>
    <w:uiPriority w:val="99"/>
    <w:semiHidden/>
    <w:unhideWhenUsed/>
    <w:rsid w:val="00B36519"/>
    <w:rPr>
      <w:sz w:val="20"/>
      <w:szCs w:val="20"/>
    </w:rPr>
  </w:style>
  <w:style w:type="character" w:customStyle="1" w:styleId="CommentTextChar">
    <w:name w:val="Comment Text Char"/>
    <w:basedOn w:val="DefaultParagraphFont"/>
    <w:link w:val="CommentText"/>
    <w:uiPriority w:val="99"/>
    <w:semiHidden/>
    <w:rsid w:val="00B36519"/>
    <w:rPr>
      <w:sz w:val="20"/>
      <w:szCs w:val="20"/>
    </w:rPr>
  </w:style>
  <w:style w:type="paragraph" w:styleId="CommentSubject">
    <w:name w:val="annotation subject"/>
    <w:basedOn w:val="CommentText"/>
    <w:next w:val="CommentText"/>
    <w:link w:val="CommentSubjectChar"/>
    <w:uiPriority w:val="99"/>
    <w:semiHidden/>
    <w:unhideWhenUsed/>
    <w:rsid w:val="00B36519"/>
    <w:rPr>
      <w:b/>
      <w:bCs/>
    </w:rPr>
  </w:style>
  <w:style w:type="character" w:customStyle="1" w:styleId="CommentSubjectChar">
    <w:name w:val="Comment Subject Char"/>
    <w:basedOn w:val="CommentTextChar"/>
    <w:link w:val="CommentSubject"/>
    <w:uiPriority w:val="99"/>
    <w:semiHidden/>
    <w:rsid w:val="00B365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mailto:Allison@carpenterlipps.com" TargetMode="Externa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mailto:jkylercohn@BKLlawfirm.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mailto:mkurtz@BKLlawfirm.com"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mailto:jkylercohn@BKLlawfirm.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mailto:dboehm@BKLlawfirm.com" TargetMode="External"/><Relationship Id="rId30" Type="http://schemas.openxmlformats.org/officeDocument/2006/relationships/hyperlink" Target="mailto:jkylercohn@BKL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1939</Words>
  <Characters>11144</Characters>
  <Application>Microsoft Office Word</Application>
  <DocSecurity>0</DocSecurity>
  <PresentationFormat/>
  <Lines>343</Lines>
  <Paragraphs>173</Paragraphs>
  <ScaleCrop>false</ScaleCrop>
  <HeadingPairs>
    <vt:vector size="2" baseType="variant">
      <vt:variant>
        <vt:lpstr>Title</vt:lpstr>
      </vt:variant>
      <vt:variant>
        <vt:i4>1</vt:i4>
      </vt:variant>
    </vt:vector>
  </HeadingPairs>
  <TitlesOfParts>
    <vt:vector size="1" baseType="lpstr">
      <vt:lpstr>14-1580; initial comments (C46025-4).DOCX</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14-1580; initial comments (C46025-4).DOCX</dc:title>
  <dc:subject>C46025:4 /font=8</dc:subject>
  <dc:creator>_</dc:creator>
  <cp:keywords/>
  <dc:description/>
  <cp:lastModifiedBy>Renee Gannon</cp:lastModifiedBy>
  <cp:revision>11</cp:revision>
  <cp:lastPrinted>2014-12-05T18:35:00Z</cp:lastPrinted>
  <dcterms:created xsi:type="dcterms:W3CDTF">2014-11-26T13:44:00Z</dcterms:created>
  <dcterms:modified xsi:type="dcterms:W3CDTF">2014-12-05T18:36:00Z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12/5/2014 1:35:57 PM</vt:lpwstr>
  </property>
</Properties>
</file>