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29" w:rsidRPr="00532AA2" w:rsidRDefault="0056270F">
      <w:pPr>
        <w:pStyle w:val="Title"/>
        <w:widowControl w:val="0"/>
        <w:rPr>
          <w:rFonts w:ascii="Arial" w:hAnsi="Arial" w:cs="Arial"/>
          <w:szCs w:val="24"/>
        </w:rPr>
      </w:pPr>
      <w:r w:rsidRPr="00532AA2">
        <w:rPr>
          <w:rFonts w:ascii="Arial" w:hAnsi="Arial" w:cs="Arial"/>
          <w:szCs w:val="24"/>
        </w:rPr>
        <w:t>BEFORE</w:t>
      </w:r>
    </w:p>
    <w:p w:rsidR="00545F29" w:rsidRPr="00532AA2" w:rsidRDefault="0056270F">
      <w:pPr>
        <w:widowControl w:val="0"/>
        <w:jc w:val="center"/>
        <w:rPr>
          <w:rFonts w:ascii="Arial" w:hAnsi="Arial" w:cs="Arial"/>
          <w:b/>
          <w:sz w:val="24"/>
          <w:szCs w:val="24"/>
        </w:rPr>
      </w:pPr>
      <w:r w:rsidRPr="00532AA2">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69"/>
        <w:gridCol w:w="634"/>
        <w:gridCol w:w="3954"/>
      </w:tblGrid>
      <w:tr w:rsidR="00545F29" w:rsidRPr="00532AA2" w:rsidTr="00FD1CCF">
        <w:trPr>
          <w:trHeight w:val="1288"/>
          <w:jc w:val="center"/>
        </w:trPr>
        <w:tc>
          <w:tcPr>
            <w:tcW w:w="4769" w:type="dxa"/>
          </w:tcPr>
          <w:p w:rsidR="00545F29" w:rsidRPr="00532AA2" w:rsidRDefault="00FD1CCF" w:rsidP="00AF2F97">
            <w:pPr>
              <w:widowControl w:val="0"/>
              <w:spacing w:after="0" w:line="240" w:lineRule="auto"/>
              <w:rPr>
                <w:rFonts w:ascii="Arial" w:hAnsi="Arial" w:cs="Arial"/>
                <w:sz w:val="24"/>
                <w:szCs w:val="24"/>
              </w:rPr>
            </w:pPr>
            <w:r w:rsidRPr="00532AA2">
              <w:rPr>
                <w:rFonts w:ascii="Arial" w:hAnsi="Arial" w:cs="Arial"/>
                <w:sz w:val="24"/>
                <w:szCs w:val="24"/>
              </w:rPr>
              <w:t>In the Matter of the Commission's Review of Chapter 4901:1-10, Ohio Administrative Code, Regarding Electric Companies.</w:t>
            </w:r>
          </w:p>
        </w:tc>
        <w:tc>
          <w:tcPr>
            <w:tcW w:w="634" w:type="dxa"/>
          </w:tcPr>
          <w:p w:rsidR="00545F29" w:rsidRPr="00532AA2" w:rsidRDefault="0056270F">
            <w:pPr>
              <w:widowControl w:val="0"/>
              <w:spacing w:after="0" w:line="240" w:lineRule="auto"/>
              <w:jc w:val="center"/>
              <w:rPr>
                <w:rFonts w:ascii="Arial" w:hAnsi="Arial" w:cs="Arial"/>
                <w:sz w:val="24"/>
                <w:szCs w:val="24"/>
              </w:rPr>
            </w:pPr>
            <w:r w:rsidRPr="00532AA2">
              <w:rPr>
                <w:rFonts w:ascii="Arial" w:hAnsi="Arial" w:cs="Arial"/>
                <w:sz w:val="24"/>
                <w:szCs w:val="24"/>
              </w:rPr>
              <w:t>)</w:t>
            </w:r>
          </w:p>
          <w:p w:rsidR="00545F29" w:rsidRPr="00532AA2" w:rsidRDefault="0056270F">
            <w:pPr>
              <w:widowControl w:val="0"/>
              <w:spacing w:after="0" w:line="240" w:lineRule="auto"/>
              <w:jc w:val="center"/>
              <w:rPr>
                <w:rFonts w:ascii="Arial" w:hAnsi="Arial" w:cs="Arial"/>
                <w:sz w:val="24"/>
                <w:szCs w:val="24"/>
              </w:rPr>
            </w:pPr>
            <w:r w:rsidRPr="00532AA2">
              <w:rPr>
                <w:rFonts w:ascii="Arial" w:hAnsi="Arial" w:cs="Arial"/>
                <w:sz w:val="24"/>
                <w:szCs w:val="24"/>
              </w:rPr>
              <w:t>)</w:t>
            </w:r>
          </w:p>
          <w:p w:rsidR="00545F29" w:rsidRPr="00532AA2" w:rsidRDefault="0056270F" w:rsidP="00FD1CCF">
            <w:pPr>
              <w:widowControl w:val="0"/>
              <w:spacing w:after="0" w:line="240" w:lineRule="auto"/>
              <w:jc w:val="center"/>
              <w:rPr>
                <w:rFonts w:ascii="Arial" w:hAnsi="Arial" w:cs="Arial"/>
                <w:sz w:val="24"/>
                <w:szCs w:val="24"/>
              </w:rPr>
            </w:pPr>
            <w:r w:rsidRPr="00532AA2">
              <w:rPr>
                <w:rFonts w:ascii="Arial" w:hAnsi="Arial" w:cs="Arial"/>
                <w:sz w:val="24"/>
                <w:szCs w:val="24"/>
              </w:rPr>
              <w:t>)</w:t>
            </w:r>
          </w:p>
        </w:tc>
        <w:tc>
          <w:tcPr>
            <w:tcW w:w="3954" w:type="dxa"/>
          </w:tcPr>
          <w:p w:rsidR="00545F29" w:rsidRPr="00532AA2" w:rsidRDefault="00545F29">
            <w:pPr>
              <w:widowControl w:val="0"/>
              <w:spacing w:after="0" w:line="240" w:lineRule="auto"/>
              <w:rPr>
                <w:rFonts w:ascii="Arial" w:hAnsi="Arial" w:cs="Arial"/>
                <w:sz w:val="24"/>
                <w:szCs w:val="24"/>
              </w:rPr>
            </w:pPr>
          </w:p>
          <w:p w:rsidR="00545F29" w:rsidRPr="00532AA2" w:rsidRDefault="00FD1CCF">
            <w:pPr>
              <w:widowControl w:val="0"/>
              <w:spacing w:after="0" w:line="240" w:lineRule="auto"/>
              <w:rPr>
                <w:rFonts w:ascii="Arial" w:hAnsi="Arial" w:cs="Arial"/>
                <w:sz w:val="24"/>
                <w:szCs w:val="24"/>
              </w:rPr>
            </w:pPr>
            <w:r w:rsidRPr="00532AA2">
              <w:rPr>
                <w:rFonts w:ascii="Arial" w:hAnsi="Arial" w:cs="Arial"/>
                <w:sz w:val="24"/>
                <w:szCs w:val="24"/>
              </w:rPr>
              <w:t>Case No. 12-2050-EL-ORD</w:t>
            </w:r>
          </w:p>
          <w:p w:rsidR="00545F29" w:rsidRPr="00532AA2" w:rsidRDefault="00545F29">
            <w:pPr>
              <w:widowControl w:val="0"/>
              <w:spacing w:after="0" w:line="240" w:lineRule="auto"/>
              <w:rPr>
                <w:rFonts w:ascii="Arial" w:hAnsi="Arial" w:cs="Arial"/>
                <w:sz w:val="24"/>
                <w:szCs w:val="24"/>
              </w:rPr>
            </w:pPr>
          </w:p>
        </w:tc>
      </w:tr>
    </w:tbl>
    <w:p w:rsidR="00FD1CCF" w:rsidRPr="00532AA2" w:rsidRDefault="00FD1CCF" w:rsidP="00FD1CCF">
      <w:pPr>
        <w:pStyle w:val="Footer"/>
        <w:pBdr>
          <w:top w:val="single" w:sz="12" w:space="1" w:color="auto"/>
          <w:bottom w:val="single" w:sz="12" w:space="1" w:color="auto"/>
        </w:pBdr>
        <w:tabs>
          <w:tab w:val="left" w:pos="4320"/>
        </w:tabs>
        <w:rPr>
          <w:rFonts w:ascii="Arial" w:hAnsi="Arial" w:cs="Arial"/>
          <w:sz w:val="24"/>
          <w:szCs w:val="24"/>
        </w:rPr>
      </w:pPr>
    </w:p>
    <w:p w:rsidR="00FD1CCF" w:rsidRPr="00532AA2" w:rsidRDefault="00FD1CCF" w:rsidP="00FD1CCF">
      <w:pPr>
        <w:pStyle w:val="Footer"/>
        <w:pBdr>
          <w:top w:val="single" w:sz="12" w:space="1" w:color="auto"/>
          <w:bottom w:val="single" w:sz="12" w:space="1" w:color="auto"/>
        </w:pBdr>
        <w:tabs>
          <w:tab w:val="left" w:pos="4320"/>
        </w:tabs>
        <w:jc w:val="center"/>
        <w:rPr>
          <w:rFonts w:ascii="Arial" w:hAnsi="Arial" w:cs="Arial"/>
          <w:b/>
          <w:sz w:val="24"/>
          <w:szCs w:val="24"/>
        </w:rPr>
      </w:pPr>
      <w:proofErr w:type="gramStart"/>
      <w:r w:rsidRPr="00532AA2">
        <w:rPr>
          <w:rFonts w:ascii="Arial" w:hAnsi="Arial" w:cs="Arial"/>
          <w:b/>
          <w:sz w:val="24"/>
          <w:szCs w:val="24"/>
        </w:rPr>
        <w:t>COMMENTS OF INTERSTATE GAS SUPPLY, INC.</w:t>
      </w:r>
      <w:proofErr w:type="gramEnd"/>
    </w:p>
    <w:p w:rsidR="00FD1CCF" w:rsidRPr="00532AA2" w:rsidRDefault="00FD1CCF" w:rsidP="00FD1CCF">
      <w:pPr>
        <w:pStyle w:val="Footer"/>
        <w:pBdr>
          <w:top w:val="single" w:sz="12" w:space="1" w:color="auto"/>
          <w:bottom w:val="single" w:sz="12" w:space="1" w:color="auto"/>
        </w:pBdr>
        <w:tabs>
          <w:tab w:val="left" w:pos="4320"/>
        </w:tabs>
        <w:rPr>
          <w:rFonts w:ascii="Arial" w:hAnsi="Arial" w:cs="Arial"/>
          <w:sz w:val="24"/>
          <w:szCs w:val="24"/>
        </w:rPr>
      </w:pPr>
    </w:p>
    <w:p w:rsidR="00545F29" w:rsidRPr="00532AA2" w:rsidRDefault="00545F29">
      <w:pPr>
        <w:tabs>
          <w:tab w:val="left" w:pos="360"/>
        </w:tabs>
        <w:spacing w:after="0" w:line="240" w:lineRule="auto"/>
        <w:ind w:left="360" w:hanging="360"/>
        <w:jc w:val="both"/>
        <w:rPr>
          <w:rFonts w:ascii="Arial" w:hAnsi="Arial" w:cs="Arial"/>
          <w:sz w:val="24"/>
          <w:szCs w:val="24"/>
        </w:rPr>
      </w:pPr>
    </w:p>
    <w:p w:rsidR="0027726F" w:rsidRPr="00532AA2" w:rsidRDefault="0027726F" w:rsidP="0027726F">
      <w:pPr>
        <w:pStyle w:val="ListParagraph"/>
        <w:numPr>
          <w:ilvl w:val="0"/>
          <w:numId w:val="8"/>
        </w:numPr>
        <w:spacing w:after="0" w:line="480" w:lineRule="auto"/>
        <w:rPr>
          <w:rFonts w:ascii="Arial" w:hAnsi="Arial" w:cs="Arial"/>
          <w:b/>
          <w:sz w:val="24"/>
          <w:szCs w:val="24"/>
          <w:u w:val="single"/>
        </w:rPr>
      </w:pPr>
      <w:r w:rsidRPr="00532AA2">
        <w:rPr>
          <w:rFonts w:ascii="Arial" w:hAnsi="Arial" w:cs="Arial"/>
          <w:b/>
          <w:sz w:val="24"/>
          <w:szCs w:val="24"/>
          <w:u w:val="single"/>
        </w:rPr>
        <w:t>INTRODUCTION</w:t>
      </w:r>
    </w:p>
    <w:p w:rsidR="00210CCE" w:rsidRPr="00532AA2" w:rsidRDefault="00FD1CCF" w:rsidP="00210CCE">
      <w:pPr>
        <w:autoSpaceDE w:val="0"/>
        <w:autoSpaceDN w:val="0"/>
        <w:adjustRightInd w:val="0"/>
        <w:spacing w:line="480" w:lineRule="auto"/>
        <w:ind w:firstLine="360"/>
        <w:rPr>
          <w:rFonts w:ascii="Arial" w:eastAsiaTheme="minorHAnsi" w:hAnsi="Arial" w:cs="Arial"/>
          <w:sz w:val="24"/>
          <w:szCs w:val="24"/>
        </w:rPr>
      </w:pPr>
      <w:r w:rsidRPr="00532AA2">
        <w:rPr>
          <w:rFonts w:ascii="Arial" w:eastAsiaTheme="minorHAnsi" w:hAnsi="Arial" w:cs="Arial"/>
          <w:sz w:val="24"/>
          <w:szCs w:val="24"/>
        </w:rPr>
        <w:t>Pursuant to the Entry issued on November 7, 2012 (“November 7 Entry”) in the above captioned proceeding, Interstate Gas Supply, Inc. (“IGS Energy” or “IGS”) respectfully submits these comments</w:t>
      </w:r>
      <w:r w:rsidR="00210CCE" w:rsidRPr="00532AA2">
        <w:rPr>
          <w:rFonts w:ascii="Arial" w:eastAsiaTheme="minorHAnsi" w:hAnsi="Arial" w:cs="Arial"/>
          <w:sz w:val="24"/>
          <w:szCs w:val="24"/>
        </w:rPr>
        <w:t xml:space="preserve"> to the Ohio Administrative Code (“OAC”) Chapter 4901:1-10 rules</w:t>
      </w:r>
      <w:r w:rsidRPr="00532AA2">
        <w:rPr>
          <w:rFonts w:ascii="Arial" w:eastAsiaTheme="minorHAnsi" w:hAnsi="Arial" w:cs="Arial"/>
          <w:sz w:val="24"/>
          <w:szCs w:val="24"/>
        </w:rPr>
        <w:t>.</w:t>
      </w:r>
      <w:r w:rsidR="00210CCE" w:rsidRPr="00532AA2">
        <w:rPr>
          <w:rFonts w:ascii="Arial" w:eastAsiaTheme="minorHAnsi" w:hAnsi="Arial" w:cs="Arial"/>
          <w:sz w:val="24"/>
          <w:szCs w:val="24"/>
        </w:rPr>
        <w:t xml:space="preserve">  </w:t>
      </w:r>
    </w:p>
    <w:p w:rsidR="00561DEB" w:rsidRPr="00532AA2" w:rsidRDefault="00A3048A" w:rsidP="00210CCE">
      <w:pPr>
        <w:autoSpaceDE w:val="0"/>
        <w:autoSpaceDN w:val="0"/>
        <w:adjustRightInd w:val="0"/>
        <w:spacing w:line="480" w:lineRule="auto"/>
        <w:ind w:firstLine="360"/>
        <w:rPr>
          <w:rFonts w:ascii="Arial" w:hAnsi="Arial" w:cs="Arial"/>
          <w:sz w:val="24"/>
          <w:szCs w:val="24"/>
        </w:rPr>
      </w:pPr>
      <w:r w:rsidRPr="00532AA2">
        <w:rPr>
          <w:rFonts w:ascii="Arial" w:hAnsi="Arial" w:cs="Arial"/>
          <w:sz w:val="24"/>
          <w:szCs w:val="24"/>
        </w:rPr>
        <w:t>In the November 7 Entry,</w:t>
      </w:r>
      <w:r w:rsidR="0027726F" w:rsidRPr="00532AA2">
        <w:rPr>
          <w:rFonts w:ascii="Arial" w:hAnsi="Arial" w:cs="Arial"/>
          <w:sz w:val="24"/>
          <w:szCs w:val="24"/>
        </w:rPr>
        <w:t xml:space="preserve"> the Commission </w:t>
      </w:r>
      <w:r w:rsidR="00210CCE" w:rsidRPr="00532AA2">
        <w:rPr>
          <w:rFonts w:ascii="Arial" w:hAnsi="Arial" w:cs="Arial"/>
          <w:sz w:val="24"/>
          <w:szCs w:val="24"/>
        </w:rPr>
        <w:t>requested</w:t>
      </w:r>
      <w:r w:rsidR="0027726F" w:rsidRPr="00532AA2">
        <w:rPr>
          <w:rFonts w:ascii="Arial" w:hAnsi="Arial" w:cs="Arial"/>
          <w:sz w:val="24"/>
          <w:szCs w:val="24"/>
        </w:rPr>
        <w:t xml:space="preserve"> comments </w:t>
      </w:r>
      <w:r w:rsidR="00210CCE" w:rsidRPr="00532AA2">
        <w:rPr>
          <w:rFonts w:ascii="Arial" w:hAnsi="Arial" w:cs="Arial"/>
          <w:sz w:val="24"/>
          <w:szCs w:val="24"/>
        </w:rPr>
        <w:t xml:space="preserve">to </w:t>
      </w:r>
      <w:r w:rsidRPr="00532AA2">
        <w:rPr>
          <w:rFonts w:ascii="Arial" w:hAnsi="Arial" w:cs="Arial"/>
          <w:sz w:val="24"/>
          <w:szCs w:val="24"/>
        </w:rPr>
        <w:t>the Commission Staff</w:t>
      </w:r>
      <w:r w:rsidR="0027726F" w:rsidRPr="00532AA2">
        <w:rPr>
          <w:rFonts w:ascii="Arial" w:hAnsi="Arial" w:cs="Arial"/>
          <w:sz w:val="24"/>
          <w:szCs w:val="24"/>
        </w:rPr>
        <w:t>’s</w:t>
      </w:r>
      <w:r w:rsidRPr="00532AA2">
        <w:rPr>
          <w:rFonts w:ascii="Arial" w:hAnsi="Arial" w:cs="Arial"/>
          <w:sz w:val="24"/>
          <w:szCs w:val="24"/>
        </w:rPr>
        <w:t xml:space="preserve"> (“Staff”) proposed modifications to </w:t>
      </w:r>
      <w:r w:rsidR="0027726F" w:rsidRPr="00532AA2">
        <w:rPr>
          <w:rFonts w:ascii="Arial" w:hAnsi="Arial" w:cs="Arial"/>
          <w:sz w:val="24"/>
          <w:szCs w:val="24"/>
        </w:rPr>
        <w:t>the OAC 4901:1-10 rules</w:t>
      </w:r>
      <w:r w:rsidR="00210CCE" w:rsidRPr="00532AA2">
        <w:rPr>
          <w:rFonts w:ascii="Arial" w:hAnsi="Arial" w:cs="Arial"/>
          <w:sz w:val="24"/>
          <w:szCs w:val="24"/>
        </w:rPr>
        <w:t xml:space="preserve"> regarding electric companies</w:t>
      </w:r>
      <w:r w:rsidR="0027726F" w:rsidRPr="00532AA2">
        <w:rPr>
          <w:rFonts w:ascii="Arial" w:hAnsi="Arial" w:cs="Arial"/>
          <w:sz w:val="24"/>
          <w:szCs w:val="24"/>
        </w:rPr>
        <w:t xml:space="preserve">.  Staff’s </w:t>
      </w:r>
      <w:r w:rsidRPr="00532AA2">
        <w:rPr>
          <w:rFonts w:ascii="Arial" w:hAnsi="Arial" w:cs="Arial"/>
          <w:sz w:val="24"/>
          <w:szCs w:val="24"/>
        </w:rPr>
        <w:t xml:space="preserve">proposed modifications affect a number of activities related to electric companies including net metering, environmental disclosures and customer data.  Conspicuously missing from Staff’s proposed modifications, however, </w:t>
      </w:r>
      <w:r w:rsidR="0027726F" w:rsidRPr="00532AA2">
        <w:rPr>
          <w:rFonts w:ascii="Arial" w:hAnsi="Arial" w:cs="Arial"/>
          <w:sz w:val="24"/>
          <w:szCs w:val="24"/>
        </w:rPr>
        <w:t xml:space="preserve">is any mention of a purchase of receivables (“POR”) program for </w:t>
      </w:r>
      <w:r w:rsidR="0028099E" w:rsidRPr="00532AA2">
        <w:rPr>
          <w:rFonts w:ascii="Arial" w:hAnsi="Arial" w:cs="Arial"/>
          <w:sz w:val="24"/>
          <w:szCs w:val="24"/>
        </w:rPr>
        <w:t xml:space="preserve">Ohio </w:t>
      </w:r>
      <w:r w:rsidR="0027726F" w:rsidRPr="00532AA2">
        <w:rPr>
          <w:rFonts w:ascii="Arial" w:hAnsi="Arial" w:cs="Arial"/>
          <w:sz w:val="24"/>
          <w:szCs w:val="24"/>
        </w:rPr>
        <w:t>electric utilities.  This is despite the fact that in the</w:t>
      </w:r>
      <w:r w:rsidR="0028099E" w:rsidRPr="00532AA2">
        <w:rPr>
          <w:rFonts w:ascii="Arial" w:hAnsi="Arial" w:cs="Arial"/>
          <w:sz w:val="24"/>
          <w:szCs w:val="24"/>
        </w:rPr>
        <w:t xml:space="preserve"> most recent</w:t>
      </w:r>
      <w:r w:rsidR="0027726F" w:rsidRPr="00532AA2">
        <w:rPr>
          <w:rFonts w:ascii="Arial" w:hAnsi="Arial" w:cs="Arial"/>
          <w:sz w:val="24"/>
          <w:szCs w:val="24"/>
        </w:rPr>
        <w:t xml:space="preserve"> FirstEnergy and AEP ESP </w:t>
      </w:r>
      <w:r w:rsidR="00E2417C" w:rsidRPr="00532AA2">
        <w:rPr>
          <w:rFonts w:ascii="Arial" w:hAnsi="Arial" w:cs="Arial"/>
          <w:sz w:val="24"/>
          <w:szCs w:val="24"/>
        </w:rPr>
        <w:t>proceedings</w:t>
      </w:r>
      <w:r w:rsidR="0027726F" w:rsidRPr="00532AA2">
        <w:rPr>
          <w:rFonts w:ascii="Arial" w:hAnsi="Arial" w:cs="Arial"/>
          <w:sz w:val="24"/>
          <w:szCs w:val="24"/>
        </w:rPr>
        <w:t>, the Commission ordered that the OAC 4901:1-10 rules review</w:t>
      </w:r>
      <w:r w:rsidR="007B5118" w:rsidRPr="00532AA2">
        <w:rPr>
          <w:rFonts w:ascii="Arial" w:hAnsi="Arial" w:cs="Arial"/>
          <w:sz w:val="24"/>
          <w:szCs w:val="24"/>
        </w:rPr>
        <w:t xml:space="preserve"> was the appropriate proceeding to address </w:t>
      </w:r>
      <w:r w:rsidR="00E230C4" w:rsidRPr="00532AA2">
        <w:rPr>
          <w:rFonts w:ascii="Arial" w:hAnsi="Arial" w:cs="Arial"/>
          <w:sz w:val="24"/>
          <w:szCs w:val="24"/>
        </w:rPr>
        <w:t>the implementation of</w:t>
      </w:r>
      <w:r w:rsidR="007B5118" w:rsidRPr="00532AA2">
        <w:rPr>
          <w:rFonts w:ascii="Arial" w:hAnsi="Arial" w:cs="Arial"/>
          <w:sz w:val="24"/>
          <w:szCs w:val="24"/>
        </w:rPr>
        <w:t xml:space="preserve"> POR</w:t>
      </w:r>
      <w:r w:rsidR="00E230C4" w:rsidRPr="00532AA2">
        <w:rPr>
          <w:rFonts w:ascii="Arial" w:hAnsi="Arial" w:cs="Arial"/>
          <w:sz w:val="24"/>
          <w:szCs w:val="24"/>
        </w:rPr>
        <w:t xml:space="preserve"> programs for Ohio electric utilities</w:t>
      </w:r>
      <w:r w:rsidR="0027726F" w:rsidRPr="00532AA2">
        <w:rPr>
          <w:rFonts w:ascii="Arial" w:hAnsi="Arial" w:cs="Arial"/>
          <w:sz w:val="24"/>
          <w:szCs w:val="24"/>
        </w:rPr>
        <w:t>.</w:t>
      </w:r>
      <w:r w:rsidR="00EA05C2" w:rsidRPr="00532AA2">
        <w:rPr>
          <w:rStyle w:val="FootnoteReference"/>
          <w:rFonts w:ascii="Arial" w:hAnsi="Arial" w:cs="Arial"/>
          <w:sz w:val="24"/>
          <w:szCs w:val="24"/>
        </w:rPr>
        <w:footnoteReference w:id="1"/>
      </w:r>
    </w:p>
    <w:p w:rsidR="00561DEB" w:rsidRPr="00532AA2" w:rsidRDefault="00561DEB" w:rsidP="00794907">
      <w:pPr>
        <w:spacing w:after="0" w:line="480" w:lineRule="auto"/>
        <w:ind w:firstLine="360"/>
        <w:rPr>
          <w:rFonts w:ascii="Arial" w:hAnsi="Arial" w:cs="Arial"/>
          <w:sz w:val="24"/>
          <w:szCs w:val="24"/>
        </w:rPr>
      </w:pPr>
      <w:r w:rsidRPr="00532AA2">
        <w:rPr>
          <w:rFonts w:ascii="Arial" w:hAnsi="Arial" w:cs="Arial"/>
          <w:sz w:val="24"/>
          <w:szCs w:val="24"/>
        </w:rPr>
        <w:lastRenderedPageBreak/>
        <w:t xml:space="preserve">As contemplated in the FirstEnergy and AEP ESP proceedings, IGS proposes that OAC 4901:1-10 rules be modified to require </w:t>
      </w:r>
      <w:r w:rsidR="006478F3" w:rsidRPr="00532AA2">
        <w:rPr>
          <w:rFonts w:ascii="Arial" w:hAnsi="Arial" w:cs="Arial"/>
          <w:sz w:val="24"/>
          <w:szCs w:val="24"/>
        </w:rPr>
        <w:t>that electric utilities</w:t>
      </w:r>
      <w:r w:rsidRPr="00532AA2">
        <w:rPr>
          <w:rFonts w:ascii="Arial" w:hAnsi="Arial" w:cs="Arial"/>
          <w:sz w:val="24"/>
          <w:szCs w:val="24"/>
        </w:rPr>
        <w:t xml:space="preserve"> offer POR programs.  IGS believes that the appropriate place to make such rule change is in 4901:1-10-29(G)</w:t>
      </w:r>
      <w:r w:rsidR="00184265" w:rsidRPr="00532AA2">
        <w:rPr>
          <w:rFonts w:ascii="Arial" w:hAnsi="Arial" w:cs="Arial"/>
          <w:sz w:val="24"/>
          <w:szCs w:val="24"/>
        </w:rPr>
        <w:t xml:space="preserve"> and 4901:1-10-29(B) </w:t>
      </w:r>
      <w:r w:rsidRPr="00532AA2">
        <w:rPr>
          <w:rFonts w:ascii="Arial" w:hAnsi="Arial" w:cs="Arial"/>
          <w:sz w:val="24"/>
          <w:szCs w:val="24"/>
        </w:rPr>
        <w:t>whi</w:t>
      </w:r>
      <w:r w:rsidR="00184265" w:rsidRPr="00532AA2">
        <w:rPr>
          <w:rFonts w:ascii="Arial" w:hAnsi="Arial" w:cs="Arial"/>
          <w:sz w:val="24"/>
          <w:szCs w:val="24"/>
        </w:rPr>
        <w:t>ch already require</w:t>
      </w:r>
      <w:r w:rsidRPr="00532AA2">
        <w:rPr>
          <w:rFonts w:ascii="Arial" w:hAnsi="Arial" w:cs="Arial"/>
          <w:sz w:val="24"/>
          <w:szCs w:val="24"/>
        </w:rPr>
        <w:t xml:space="preserve"> that electric utilities make consolidated billing available to CRES suppliers.</w:t>
      </w:r>
      <w:r w:rsidR="00794907" w:rsidRPr="00532AA2">
        <w:rPr>
          <w:rFonts w:ascii="Arial" w:hAnsi="Arial" w:cs="Arial"/>
          <w:sz w:val="24"/>
          <w:szCs w:val="24"/>
        </w:rPr>
        <w:t xml:space="preserve"> </w:t>
      </w:r>
      <w:r w:rsidRPr="00532AA2">
        <w:rPr>
          <w:rFonts w:ascii="Arial" w:hAnsi="Arial" w:cs="Arial"/>
          <w:sz w:val="24"/>
          <w:szCs w:val="24"/>
        </w:rPr>
        <w:t>As such, and for the reasons more fully explained herein,</w:t>
      </w:r>
      <w:r w:rsidR="000E3930" w:rsidRPr="00532AA2">
        <w:rPr>
          <w:rFonts w:ascii="Arial" w:hAnsi="Arial" w:cs="Arial"/>
          <w:sz w:val="24"/>
          <w:szCs w:val="24"/>
        </w:rPr>
        <w:t xml:space="preserve"> OAC</w:t>
      </w:r>
      <w:r w:rsidRPr="00532AA2">
        <w:rPr>
          <w:rFonts w:ascii="Arial" w:hAnsi="Arial" w:cs="Arial"/>
          <w:sz w:val="24"/>
          <w:szCs w:val="24"/>
        </w:rPr>
        <w:t xml:space="preserve"> 4901:1-10-29(G) should be modified accordingly: </w:t>
      </w:r>
      <w:r w:rsidRPr="00532AA2">
        <w:rPr>
          <w:rFonts w:ascii="Arial" w:hAnsi="Arial" w:cs="Arial"/>
          <w:sz w:val="24"/>
          <w:szCs w:val="24"/>
        </w:rPr>
        <w:tab/>
        <w:t xml:space="preserve"> </w:t>
      </w:r>
    </w:p>
    <w:p w:rsidR="00561DEB" w:rsidRPr="00532AA2" w:rsidRDefault="00561DEB" w:rsidP="00561DEB">
      <w:pPr>
        <w:pStyle w:val="NormalWeb"/>
        <w:shd w:val="clear" w:color="auto" w:fill="FFFFFF"/>
        <w:ind w:left="720" w:right="720"/>
        <w:jc w:val="both"/>
        <w:rPr>
          <w:rFonts w:ascii="Arial" w:hAnsi="Arial" w:cs="Arial"/>
          <w:i/>
          <w:color w:val="000000"/>
        </w:rPr>
      </w:pPr>
      <w:r w:rsidRPr="00532AA2">
        <w:rPr>
          <w:rFonts w:ascii="Arial" w:hAnsi="Arial" w:cs="Arial"/>
          <w:i/>
          <w:color w:val="000000"/>
        </w:rPr>
        <w:t xml:space="preserve">(G) Customer billing </w:t>
      </w:r>
      <w:r w:rsidRPr="00532AA2">
        <w:rPr>
          <w:rFonts w:ascii="Arial" w:hAnsi="Arial" w:cs="Arial"/>
          <w:color w:val="000000"/>
          <w:u w:val="single"/>
        </w:rPr>
        <w:t>and purchase of receivables</w:t>
      </w:r>
      <w:r w:rsidRPr="00532AA2">
        <w:rPr>
          <w:rFonts w:ascii="Arial" w:hAnsi="Arial" w:cs="Arial"/>
          <w:i/>
          <w:color w:val="000000"/>
        </w:rPr>
        <w:t>.</w:t>
      </w:r>
    </w:p>
    <w:p w:rsidR="00561DEB" w:rsidRPr="00532AA2" w:rsidRDefault="00561DEB" w:rsidP="00561DEB">
      <w:pPr>
        <w:pStyle w:val="NormalWeb"/>
        <w:shd w:val="clear" w:color="auto" w:fill="FFFFFF"/>
        <w:ind w:left="720" w:right="720"/>
        <w:jc w:val="both"/>
        <w:rPr>
          <w:rFonts w:ascii="Arial" w:hAnsi="Arial" w:cs="Arial"/>
          <w:i/>
          <w:color w:val="000000"/>
        </w:rPr>
      </w:pPr>
      <w:r w:rsidRPr="00532AA2">
        <w:rPr>
          <w:rFonts w:ascii="Arial" w:hAnsi="Arial" w:cs="Arial"/>
          <w:i/>
          <w:color w:val="000000"/>
        </w:rPr>
        <w:t>(1) Electric utilities shall make consolidated billing available to</w:t>
      </w:r>
      <w:r w:rsidRPr="00532AA2">
        <w:rPr>
          <w:rStyle w:val="apple-converted-space"/>
          <w:rFonts w:ascii="Arial" w:hAnsi="Arial" w:cs="Arial"/>
          <w:i/>
          <w:color w:val="000000"/>
        </w:rPr>
        <w:t> </w:t>
      </w:r>
      <w:r w:rsidRPr="00532AA2">
        <w:rPr>
          <w:rStyle w:val="caps"/>
          <w:rFonts w:ascii="Arial" w:hAnsi="Arial" w:cs="Arial"/>
          <w:i/>
          <w:color w:val="000000"/>
        </w:rPr>
        <w:t>CRES</w:t>
      </w:r>
      <w:r w:rsidRPr="00532AA2">
        <w:rPr>
          <w:rStyle w:val="apple-converted-space"/>
          <w:rFonts w:ascii="Arial" w:hAnsi="Arial" w:cs="Arial"/>
          <w:i/>
          <w:color w:val="000000"/>
        </w:rPr>
        <w:t> </w:t>
      </w:r>
      <w:r w:rsidRPr="00532AA2">
        <w:rPr>
          <w:rFonts w:ascii="Arial" w:hAnsi="Arial" w:cs="Arial"/>
          <w:i/>
          <w:color w:val="000000"/>
        </w:rPr>
        <w:t>providers and shall not take any actions to inhibit or prohibit dual billing by</w:t>
      </w:r>
      <w:r w:rsidRPr="00532AA2">
        <w:rPr>
          <w:rStyle w:val="apple-converted-space"/>
          <w:rFonts w:ascii="Arial" w:hAnsi="Arial" w:cs="Arial"/>
          <w:i/>
          <w:color w:val="000000"/>
        </w:rPr>
        <w:t> </w:t>
      </w:r>
      <w:r w:rsidRPr="00532AA2">
        <w:rPr>
          <w:rStyle w:val="caps"/>
          <w:rFonts w:ascii="Arial" w:hAnsi="Arial" w:cs="Arial"/>
          <w:i/>
          <w:color w:val="000000"/>
        </w:rPr>
        <w:t>CRES</w:t>
      </w:r>
      <w:r w:rsidRPr="00532AA2">
        <w:rPr>
          <w:rStyle w:val="apple-converted-space"/>
          <w:rFonts w:ascii="Arial" w:hAnsi="Arial" w:cs="Arial"/>
          <w:i/>
          <w:color w:val="000000"/>
        </w:rPr>
        <w:t> </w:t>
      </w:r>
      <w:r w:rsidRPr="00532AA2">
        <w:rPr>
          <w:rFonts w:ascii="Arial" w:hAnsi="Arial" w:cs="Arial"/>
          <w:i/>
          <w:color w:val="000000"/>
        </w:rPr>
        <w:t>providers.</w:t>
      </w:r>
    </w:p>
    <w:p w:rsidR="00561DEB" w:rsidRPr="00532AA2" w:rsidRDefault="00561DEB" w:rsidP="00561DEB">
      <w:pPr>
        <w:pStyle w:val="NormalWeb"/>
        <w:shd w:val="clear" w:color="auto" w:fill="FFFFFF"/>
        <w:ind w:left="720" w:right="720"/>
        <w:jc w:val="both"/>
        <w:rPr>
          <w:rFonts w:ascii="Arial" w:hAnsi="Arial" w:cs="Arial"/>
          <w:i/>
          <w:color w:val="000000"/>
        </w:rPr>
      </w:pPr>
      <w:r w:rsidRPr="00532AA2">
        <w:rPr>
          <w:rFonts w:ascii="Arial" w:hAnsi="Arial" w:cs="Arial"/>
          <w:i/>
          <w:color w:val="000000"/>
        </w:rPr>
        <w:t>(2) Consolidated billing shall include budget billing as a customer-elected option.</w:t>
      </w:r>
    </w:p>
    <w:p w:rsidR="00561DEB" w:rsidRPr="00532AA2" w:rsidRDefault="00561DEB" w:rsidP="00561DEB">
      <w:pPr>
        <w:spacing w:after="0" w:line="240" w:lineRule="auto"/>
        <w:ind w:left="720" w:right="720"/>
        <w:rPr>
          <w:rFonts w:ascii="Arial" w:hAnsi="Arial" w:cs="Arial"/>
          <w:i/>
          <w:sz w:val="24"/>
          <w:szCs w:val="24"/>
          <w:u w:val="single"/>
        </w:rPr>
      </w:pPr>
      <w:r w:rsidRPr="00532AA2">
        <w:rPr>
          <w:rFonts w:ascii="Arial" w:hAnsi="Arial" w:cs="Arial"/>
          <w:i/>
          <w:sz w:val="24"/>
          <w:szCs w:val="24"/>
          <w:u w:val="single"/>
        </w:rPr>
        <w:t xml:space="preserve">(3) Electric utilities shall make available to CRES providers a purchase of receivables program </w:t>
      </w:r>
      <w:r w:rsidR="00CD247E">
        <w:rPr>
          <w:rFonts w:ascii="Arial" w:hAnsi="Arial" w:cs="Arial"/>
          <w:i/>
          <w:sz w:val="24"/>
          <w:szCs w:val="24"/>
          <w:u w:val="single"/>
        </w:rPr>
        <w:t>pursuant to which</w:t>
      </w:r>
      <w:r w:rsidRPr="00532AA2">
        <w:rPr>
          <w:rFonts w:ascii="Arial" w:hAnsi="Arial" w:cs="Arial"/>
          <w:i/>
          <w:sz w:val="24"/>
          <w:szCs w:val="24"/>
          <w:u w:val="single"/>
        </w:rPr>
        <w:t xml:space="preserve"> the electric utilities will purchase the accounts receivables of CRES providers for the electric generation commodity CRES suppliers sell to customers</w:t>
      </w:r>
      <w:r w:rsidR="00CD247E">
        <w:rPr>
          <w:rFonts w:ascii="Arial" w:hAnsi="Arial" w:cs="Arial"/>
          <w:i/>
          <w:sz w:val="24"/>
          <w:szCs w:val="24"/>
          <w:u w:val="single"/>
        </w:rPr>
        <w:t xml:space="preserve"> and include on the electric utility’s bill</w:t>
      </w:r>
      <w:r w:rsidRPr="00532AA2">
        <w:rPr>
          <w:rFonts w:ascii="Arial" w:hAnsi="Arial" w:cs="Arial"/>
          <w:i/>
          <w:sz w:val="24"/>
          <w:szCs w:val="24"/>
          <w:u w:val="single"/>
        </w:rPr>
        <w:t xml:space="preserve">: </w:t>
      </w:r>
    </w:p>
    <w:p w:rsidR="00561DEB" w:rsidRPr="00532AA2" w:rsidRDefault="00561DEB" w:rsidP="00561DEB">
      <w:pPr>
        <w:spacing w:after="0" w:line="240" w:lineRule="auto"/>
        <w:ind w:left="720" w:right="720"/>
        <w:rPr>
          <w:rFonts w:ascii="Arial" w:hAnsi="Arial" w:cs="Arial"/>
          <w:i/>
          <w:sz w:val="24"/>
          <w:szCs w:val="24"/>
          <w:u w:val="single"/>
        </w:rPr>
      </w:pPr>
      <w:r w:rsidRPr="00532AA2">
        <w:rPr>
          <w:rFonts w:ascii="Arial" w:hAnsi="Arial" w:cs="Arial"/>
          <w:i/>
          <w:sz w:val="24"/>
          <w:szCs w:val="24"/>
          <w:u w:val="single"/>
        </w:rPr>
        <w:t>(a) If the electric utility has an uncollectible expense rider for the electric generation commodity, the electric utility shall recover all costs associated with its purchase of receivables program through its uncollectible expense rider</w:t>
      </w:r>
    </w:p>
    <w:p w:rsidR="00561DEB" w:rsidRPr="00532AA2" w:rsidRDefault="00561DEB" w:rsidP="00561DEB">
      <w:pPr>
        <w:spacing w:after="0" w:line="240" w:lineRule="auto"/>
        <w:ind w:left="720" w:right="720"/>
        <w:rPr>
          <w:rFonts w:ascii="Arial" w:hAnsi="Arial" w:cs="Arial"/>
          <w:i/>
          <w:sz w:val="24"/>
          <w:szCs w:val="24"/>
          <w:u w:val="single"/>
        </w:rPr>
      </w:pPr>
      <w:r w:rsidRPr="00532AA2">
        <w:rPr>
          <w:rFonts w:ascii="Arial" w:hAnsi="Arial" w:cs="Arial"/>
          <w:i/>
          <w:sz w:val="24"/>
          <w:szCs w:val="24"/>
          <w:u w:val="single"/>
        </w:rPr>
        <w:t>(b) If the electric utility does not have an uncollectible expense rider for the electric generation commodity, the electric utility shall either adopt an uncollectible expense rider and recover all costs of the purchase of receivables program from such rider or recover the costs of the purchase of receivable</w:t>
      </w:r>
      <w:r w:rsidR="00B7429A">
        <w:rPr>
          <w:rFonts w:ascii="Arial" w:hAnsi="Arial" w:cs="Arial"/>
          <w:i/>
          <w:sz w:val="24"/>
          <w:szCs w:val="24"/>
          <w:u w:val="single"/>
        </w:rPr>
        <w:t>s</w:t>
      </w:r>
      <w:r w:rsidRPr="00532AA2">
        <w:rPr>
          <w:rFonts w:ascii="Arial" w:hAnsi="Arial" w:cs="Arial"/>
          <w:i/>
          <w:sz w:val="24"/>
          <w:szCs w:val="24"/>
          <w:u w:val="single"/>
        </w:rPr>
        <w:t xml:space="preserve"> program by purchasing CRES provider’s receivables at a percentage discount.</w:t>
      </w:r>
    </w:p>
    <w:p w:rsidR="00561DEB" w:rsidRPr="00532AA2" w:rsidRDefault="00561DEB" w:rsidP="00561DEB">
      <w:pPr>
        <w:autoSpaceDE w:val="0"/>
        <w:autoSpaceDN w:val="0"/>
        <w:adjustRightInd w:val="0"/>
        <w:spacing w:after="0" w:line="240" w:lineRule="auto"/>
        <w:ind w:left="720" w:right="720"/>
        <w:rPr>
          <w:rFonts w:ascii="Arial" w:hAnsi="Arial" w:cs="Arial"/>
          <w:sz w:val="26"/>
          <w:szCs w:val="26"/>
        </w:rPr>
      </w:pPr>
    </w:p>
    <w:p w:rsidR="00561DEB" w:rsidRPr="00532AA2" w:rsidRDefault="00561DEB" w:rsidP="00561DEB">
      <w:pPr>
        <w:autoSpaceDE w:val="0"/>
        <w:autoSpaceDN w:val="0"/>
        <w:adjustRightInd w:val="0"/>
        <w:spacing w:after="0" w:line="240" w:lineRule="auto"/>
        <w:ind w:left="720" w:right="720"/>
        <w:rPr>
          <w:rFonts w:ascii="Arial" w:hAnsi="Arial" w:cs="Arial"/>
          <w:sz w:val="24"/>
          <w:szCs w:val="24"/>
        </w:rPr>
      </w:pPr>
      <w:r w:rsidRPr="00532AA2">
        <w:rPr>
          <w:rFonts w:ascii="Arial" w:hAnsi="Arial" w:cs="Arial"/>
          <w:sz w:val="24"/>
          <w:szCs w:val="24"/>
        </w:rPr>
        <w:t>4901:1-10-29(B) should also be modified accordingly:</w:t>
      </w:r>
    </w:p>
    <w:p w:rsidR="00561DEB" w:rsidRPr="00532AA2" w:rsidRDefault="00561DEB" w:rsidP="00561DEB">
      <w:pPr>
        <w:autoSpaceDE w:val="0"/>
        <w:autoSpaceDN w:val="0"/>
        <w:adjustRightInd w:val="0"/>
        <w:spacing w:after="0" w:line="240" w:lineRule="auto"/>
        <w:ind w:left="720" w:right="720"/>
        <w:rPr>
          <w:rFonts w:ascii="Arial" w:hAnsi="Arial" w:cs="Arial"/>
          <w:sz w:val="24"/>
          <w:szCs w:val="24"/>
        </w:rPr>
      </w:pPr>
    </w:p>
    <w:p w:rsidR="00561DEB" w:rsidRPr="00532AA2" w:rsidRDefault="00561DEB" w:rsidP="00561DEB">
      <w:pPr>
        <w:autoSpaceDE w:val="0"/>
        <w:autoSpaceDN w:val="0"/>
        <w:adjustRightInd w:val="0"/>
        <w:spacing w:after="0" w:line="240" w:lineRule="auto"/>
        <w:ind w:left="720" w:right="720"/>
        <w:rPr>
          <w:rFonts w:ascii="Arial" w:hAnsi="Arial" w:cs="Arial"/>
          <w:i/>
          <w:sz w:val="24"/>
          <w:szCs w:val="24"/>
        </w:rPr>
      </w:pPr>
      <w:r w:rsidRPr="00532AA2">
        <w:rPr>
          <w:rFonts w:ascii="Arial" w:hAnsi="Arial" w:cs="Arial"/>
          <w:i/>
          <w:color w:val="000000"/>
          <w:sz w:val="24"/>
          <w:szCs w:val="24"/>
          <w:shd w:val="clear" w:color="auto" w:fill="FFFFFF"/>
        </w:rPr>
        <w:t>(B) Each electric utility shall adopt a supplier tariff containing standardized requirements to the extent such standardization is feasible. At a minimum, such tariff shall include requirements for imbalances, load profiles, scheduling, billing (between the electric utility and</w:t>
      </w:r>
      <w:r w:rsidRPr="00532AA2">
        <w:rPr>
          <w:rStyle w:val="apple-converted-space"/>
          <w:rFonts w:ascii="Arial" w:hAnsi="Arial" w:cs="Arial"/>
          <w:i/>
          <w:color w:val="000000"/>
          <w:sz w:val="24"/>
          <w:szCs w:val="24"/>
          <w:shd w:val="clear" w:color="auto" w:fill="FFFFFF"/>
        </w:rPr>
        <w:t> </w:t>
      </w:r>
      <w:r w:rsidRPr="00532AA2">
        <w:rPr>
          <w:rStyle w:val="caps"/>
          <w:rFonts w:ascii="Arial" w:hAnsi="Arial" w:cs="Arial"/>
          <w:i/>
          <w:color w:val="000000"/>
          <w:sz w:val="24"/>
          <w:szCs w:val="24"/>
          <w:shd w:val="clear" w:color="auto" w:fill="FFFFFF"/>
        </w:rPr>
        <w:t>CRES</w:t>
      </w:r>
      <w:r w:rsidRPr="00532AA2">
        <w:rPr>
          <w:rStyle w:val="apple-converted-space"/>
          <w:rFonts w:ascii="Arial" w:hAnsi="Arial" w:cs="Arial"/>
          <w:i/>
          <w:color w:val="000000"/>
          <w:sz w:val="24"/>
          <w:szCs w:val="24"/>
          <w:shd w:val="clear" w:color="auto" w:fill="FFFFFF"/>
        </w:rPr>
        <w:t> </w:t>
      </w:r>
      <w:r w:rsidRPr="00532AA2">
        <w:rPr>
          <w:rFonts w:ascii="Arial" w:hAnsi="Arial" w:cs="Arial"/>
          <w:i/>
          <w:color w:val="000000"/>
          <w:sz w:val="24"/>
          <w:szCs w:val="24"/>
          <w:shd w:val="clear" w:color="auto" w:fill="FFFFFF"/>
        </w:rPr>
        <w:t>provider),</w:t>
      </w:r>
      <w:r w:rsidRPr="00532AA2">
        <w:rPr>
          <w:rFonts w:ascii="Arial" w:hAnsi="Arial" w:cs="Arial"/>
          <w:i/>
          <w:color w:val="000000"/>
          <w:sz w:val="24"/>
          <w:szCs w:val="24"/>
          <w:u w:val="single"/>
          <w:shd w:val="clear" w:color="auto" w:fill="FFFFFF"/>
        </w:rPr>
        <w:t xml:space="preserve"> a purchase of receivables program for CRES providers,</w:t>
      </w:r>
      <w:r w:rsidRPr="00532AA2">
        <w:rPr>
          <w:rFonts w:ascii="Arial" w:hAnsi="Arial" w:cs="Arial"/>
          <w:i/>
          <w:color w:val="000000"/>
          <w:sz w:val="24"/>
          <w:szCs w:val="24"/>
          <w:shd w:val="clear" w:color="auto" w:fill="FFFFFF"/>
        </w:rPr>
        <w:t xml:space="preserve"> customer billing (options, collection, and application of customer payments), metering, </w:t>
      </w:r>
      <w:r w:rsidRPr="00532AA2">
        <w:rPr>
          <w:rFonts w:ascii="Arial" w:hAnsi="Arial" w:cs="Arial"/>
          <w:i/>
          <w:color w:val="000000"/>
          <w:sz w:val="24"/>
          <w:szCs w:val="24"/>
          <w:shd w:val="clear" w:color="auto" w:fill="FFFFFF"/>
        </w:rPr>
        <w:lastRenderedPageBreak/>
        <w:t>retail settlements, scheduling coordinators, losses, customer information</w:t>
      </w:r>
      <w:r w:rsidR="001C1420" w:rsidRPr="00532AA2">
        <w:rPr>
          <w:rFonts w:ascii="Arial" w:hAnsi="Arial" w:cs="Arial"/>
          <w:i/>
          <w:color w:val="000000"/>
          <w:sz w:val="24"/>
          <w:szCs w:val="24"/>
          <w:shd w:val="clear" w:color="auto" w:fill="FFFFFF"/>
        </w:rPr>
        <w:t>,</w:t>
      </w:r>
      <w:r w:rsidRPr="00532AA2">
        <w:rPr>
          <w:rFonts w:ascii="Arial" w:hAnsi="Arial" w:cs="Arial"/>
          <w:i/>
          <w:color w:val="000000"/>
          <w:sz w:val="24"/>
          <w:szCs w:val="24"/>
          <w:shd w:val="clear" w:color="auto" w:fill="FFFFFF"/>
        </w:rPr>
        <w:t xml:space="preserve"> (procedures for disclosing load profile, account information, and payment history), dispute resolution processes (between the electric utility and</w:t>
      </w:r>
      <w:r w:rsidRPr="00532AA2">
        <w:rPr>
          <w:rStyle w:val="apple-converted-space"/>
          <w:rFonts w:ascii="Arial" w:hAnsi="Arial" w:cs="Arial"/>
          <w:i/>
          <w:color w:val="000000"/>
          <w:sz w:val="24"/>
          <w:szCs w:val="24"/>
          <w:shd w:val="clear" w:color="auto" w:fill="FFFFFF"/>
        </w:rPr>
        <w:t> </w:t>
      </w:r>
      <w:r w:rsidRPr="00532AA2">
        <w:rPr>
          <w:rStyle w:val="caps"/>
          <w:rFonts w:ascii="Arial" w:hAnsi="Arial" w:cs="Arial"/>
          <w:i/>
          <w:color w:val="000000"/>
          <w:sz w:val="24"/>
          <w:szCs w:val="24"/>
          <w:shd w:val="clear" w:color="auto" w:fill="FFFFFF"/>
        </w:rPr>
        <w:t>CRES</w:t>
      </w:r>
      <w:r w:rsidRPr="00532AA2">
        <w:rPr>
          <w:rStyle w:val="apple-converted-space"/>
          <w:rFonts w:ascii="Arial" w:hAnsi="Arial" w:cs="Arial"/>
          <w:i/>
          <w:color w:val="000000"/>
          <w:sz w:val="24"/>
          <w:szCs w:val="24"/>
          <w:shd w:val="clear" w:color="auto" w:fill="FFFFFF"/>
        </w:rPr>
        <w:t> </w:t>
      </w:r>
      <w:r w:rsidRPr="00532AA2">
        <w:rPr>
          <w:rFonts w:ascii="Arial" w:hAnsi="Arial" w:cs="Arial"/>
          <w:i/>
          <w:color w:val="000000"/>
          <w:sz w:val="24"/>
          <w:szCs w:val="24"/>
          <w:shd w:val="clear" w:color="auto" w:fill="FFFFFF"/>
        </w:rPr>
        <w:t>provider), standard operating rules, performance incentives and standards, creditworthiness and default security, supplier agreement, electronic data interchange protocols,</w:t>
      </w:r>
      <w:r w:rsidRPr="00532AA2">
        <w:rPr>
          <w:rStyle w:val="apple-converted-space"/>
          <w:rFonts w:ascii="Arial" w:hAnsi="Arial" w:cs="Arial"/>
          <w:i/>
          <w:color w:val="000000"/>
          <w:sz w:val="24"/>
          <w:szCs w:val="24"/>
          <w:shd w:val="clear" w:color="auto" w:fill="FFFFFF"/>
        </w:rPr>
        <w:t> </w:t>
      </w:r>
      <w:r w:rsidRPr="00532AA2">
        <w:rPr>
          <w:rStyle w:val="caps"/>
          <w:rFonts w:ascii="Arial" w:hAnsi="Arial" w:cs="Arial"/>
          <w:i/>
          <w:color w:val="000000"/>
          <w:sz w:val="24"/>
          <w:szCs w:val="24"/>
          <w:shd w:val="clear" w:color="auto" w:fill="FFFFFF"/>
        </w:rPr>
        <w:t>CRES</w:t>
      </w:r>
      <w:r w:rsidRPr="00532AA2">
        <w:rPr>
          <w:rStyle w:val="apple-converted-space"/>
          <w:rFonts w:ascii="Arial" w:hAnsi="Arial" w:cs="Arial"/>
          <w:i/>
          <w:color w:val="000000"/>
          <w:sz w:val="24"/>
          <w:szCs w:val="24"/>
          <w:shd w:val="clear" w:color="auto" w:fill="FFFFFF"/>
        </w:rPr>
        <w:t> </w:t>
      </w:r>
      <w:r w:rsidRPr="00532AA2">
        <w:rPr>
          <w:rFonts w:ascii="Arial" w:hAnsi="Arial" w:cs="Arial"/>
          <w:i/>
          <w:color w:val="000000"/>
          <w:sz w:val="24"/>
          <w:szCs w:val="24"/>
          <w:shd w:val="clear" w:color="auto" w:fill="FFFFFF"/>
        </w:rPr>
        <w:t>provider enrollment with the electric utility, service termination and disconnection (of end-user customer), certified</w:t>
      </w:r>
      <w:r w:rsidRPr="00532AA2">
        <w:rPr>
          <w:rStyle w:val="apple-converted-space"/>
          <w:rFonts w:ascii="Arial" w:hAnsi="Arial" w:cs="Arial"/>
          <w:i/>
          <w:color w:val="000000"/>
          <w:sz w:val="24"/>
          <w:szCs w:val="24"/>
          <w:shd w:val="clear" w:color="auto" w:fill="FFFFFF"/>
        </w:rPr>
        <w:t> </w:t>
      </w:r>
      <w:r w:rsidRPr="00532AA2">
        <w:rPr>
          <w:rStyle w:val="caps"/>
          <w:rFonts w:ascii="Arial" w:hAnsi="Arial" w:cs="Arial"/>
          <w:i/>
          <w:color w:val="000000"/>
          <w:sz w:val="24"/>
          <w:szCs w:val="24"/>
          <w:shd w:val="clear" w:color="auto" w:fill="FFFFFF"/>
        </w:rPr>
        <w:t>CRES</w:t>
      </w:r>
      <w:r w:rsidRPr="00532AA2">
        <w:rPr>
          <w:rStyle w:val="apple-converted-space"/>
          <w:rFonts w:ascii="Arial" w:hAnsi="Arial" w:cs="Arial"/>
          <w:i/>
          <w:color w:val="000000"/>
          <w:sz w:val="24"/>
          <w:szCs w:val="24"/>
          <w:shd w:val="clear" w:color="auto" w:fill="FFFFFF"/>
        </w:rPr>
        <w:t> </w:t>
      </w:r>
      <w:r w:rsidRPr="00532AA2">
        <w:rPr>
          <w:rFonts w:ascii="Arial" w:hAnsi="Arial" w:cs="Arial"/>
          <w:i/>
          <w:color w:val="000000"/>
          <w:sz w:val="24"/>
          <w:szCs w:val="24"/>
          <w:shd w:val="clear" w:color="auto" w:fill="FFFFFF"/>
        </w:rPr>
        <w:t>provider lists, return to standard offer, customer enrollment and switching, supplier training, and supplier proof of certification</w:t>
      </w:r>
    </w:p>
    <w:p w:rsidR="001C1420" w:rsidRPr="00532AA2" w:rsidRDefault="007B5118" w:rsidP="00561DEB">
      <w:pPr>
        <w:autoSpaceDE w:val="0"/>
        <w:autoSpaceDN w:val="0"/>
        <w:adjustRightInd w:val="0"/>
        <w:spacing w:after="0" w:line="360" w:lineRule="auto"/>
        <w:rPr>
          <w:rFonts w:ascii="Arial" w:hAnsi="Arial" w:cs="Arial"/>
          <w:sz w:val="24"/>
          <w:szCs w:val="24"/>
        </w:rPr>
      </w:pPr>
      <w:r w:rsidRPr="00532AA2">
        <w:rPr>
          <w:rFonts w:ascii="Arial" w:hAnsi="Arial" w:cs="Arial"/>
          <w:sz w:val="24"/>
          <w:szCs w:val="24"/>
        </w:rPr>
        <w:t xml:space="preserve"> </w:t>
      </w:r>
    </w:p>
    <w:p w:rsidR="00794907" w:rsidRPr="00532AA2" w:rsidRDefault="00794907" w:rsidP="007165E1">
      <w:pPr>
        <w:autoSpaceDE w:val="0"/>
        <w:autoSpaceDN w:val="0"/>
        <w:adjustRightInd w:val="0"/>
        <w:spacing w:after="0" w:line="480" w:lineRule="auto"/>
        <w:ind w:firstLine="360"/>
        <w:rPr>
          <w:rFonts w:ascii="Arial" w:hAnsi="Arial" w:cs="Arial"/>
          <w:sz w:val="24"/>
          <w:szCs w:val="24"/>
        </w:rPr>
      </w:pPr>
      <w:r w:rsidRPr="00532AA2">
        <w:rPr>
          <w:rFonts w:ascii="Arial" w:hAnsi="Arial" w:cs="Arial"/>
          <w:sz w:val="24"/>
          <w:szCs w:val="24"/>
        </w:rPr>
        <w:t>In addition to the rules above that would require POR program</w:t>
      </w:r>
      <w:r w:rsidR="00B7429A">
        <w:rPr>
          <w:rFonts w:ascii="Arial" w:hAnsi="Arial" w:cs="Arial"/>
          <w:sz w:val="24"/>
          <w:szCs w:val="24"/>
        </w:rPr>
        <w:t>s</w:t>
      </w:r>
      <w:r w:rsidRPr="00532AA2">
        <w:rPr>
          <w:rFonts w:ascii="Arial" w:hAnsi="Arial" w:cs="Arial"/>
          <w:sz w:val="24"/>
          <w:szCs w:val="24"/>
        </w:rPr>
        <w:t xml:space="preserve"> to be offered by electric utilities, IGS also proposes </w:t>
      </w:r>
      <w:r w:rsidR="00CD247E">
        <w:rPr>
          <w:rFonts w:ascii="Arial" w:hAnsi="Arial" w:cs="Arial"/>
          <w:sz w:val="24"/>
          <w:szCs w:val="24"/>
        </w:rPr>
        <w:t xml:space="preserve">a requirement that </w:t>
      </w:r>
      <w:r w:rsidR="00B7429A">
        <w:rPr>
          <w:rFonts w:ascii="Arial" w:hAnsi="Arial" w:cs="Arial"/>
          <w:sz w:val="24"/>
          <w:szCs w:val="24"/>
        </w:rPr>
        <w:t xml:space="preserve">electric </w:t>
      </w:r>
      <w:r w:rsidRPr="00532AA2">
        <w:rPr>
          <w:rFonts w:ascii="Arial" w:hAnsi="Arial" w:cs="Arial"/>
          <w:sz w:val="24"/>
          <w:szCs w:val="24"/>
        </w:rPr>
        <w:t xml:space="preserve">utilities </w:t>
      </w:r>
      <w:r w:rsidR="00F94E93">
        <w:rPr>
          <w:rFonts w:ascii="Arial" w:hAnsi="Arial" w:cs="Arial"/>
          <w:sz w:val="24"/>
          <w:szCs w:val="24"/>
        </w:rPr>
        <w:t>include</w:t>
      </w:r>
      <w:r w:rsidRPr="00532AA2">
        <w:rPr>
          <w:rFonts w:ascii="Arial" w:hAnsi="Arial" w:cs="Arial"/>
          <w:sz w:val="24"/>
          <w:szCs w:val="24"/>
        </w:rPr>
        <w:t xml:space="preserve"> customer account numbers to CRES providers </w:t>
      </w:r>
      <w:r w:rsidR="00F94E93">
        <w:rPr>
          <w:rFonts w:ascii="Arial" w:hAnsi="Arial" w:cs="Arial"/>
          <w:sz w:val="24"/>
          <w:szCs w:val="24"/>
        </w:rPr>
        <w:t>in</w:t>
      </w:r>
      <w:r w:rsidRPr="00532AA2">
        <w:rPr>
          <w:rFonts w:ascii="Arial" w:hAnsi="Arial" w:cs="Arial"/>
          <w:sz w:val="24"/>
          <w:szCs w:val="24"/>
        </w:rPr>
        <w:t xml:space="preserve"> the customer lists that are already available to CRES providers.  </w:t>
      </w:r>
      <w:r w:rsidR="00CD247E">
        <w:rPr>
          <w:rFonts w:ascii="Arial" w:hAnsi="Arial" w:cs="Arial"/>
          <w:sz w:val="24"/>
          <w:szCs w:val="24"/>
        </w:rPr>
        <w:t>Providing acc</w:t>
      </w:r>
      <w:bookmarkStart w:id="0" w:name="_GoBack"/>
      <w:bookmarkEnd w:id="0"/>
      <w:r w:rsidR="00CD247E">
        <w:rPr>
          <w:rFonts w:ascii="Arial" w:hAnsi="Arial" w:cs="Arial"/>
          <w:sz w:val="24"/>
          <w:szCs w:val="24"/>
        </w:rPr>
        <w:t>ount number</w:t>
      </w:r>
      <w:r w:rsidR="00B7429A">
        <w:rPr>
          <w:rFonts w:ascii="Arial" w:hAnsi="Arial" w:cs="Arial"/>
          <w:sz w:val="24"/>
          <w:szCs w:val="24"/>
        </w:rPr>
        <w:t>s</w:t>
      </w:r>
      <w:r w:rsidR="00CD247E">
        <w:rPr>
          <w:rFonts w:ascii="Arial" w:hAnsi="Arial" w:cs="Arial"/>
          <w:sz w:val="24"/>
          <w:szCs w:val="24"/>
        </w:rPr>
        <w:t xml:space="preserve"> to CRES suppliers will allow the suppliers to pre-populate data bases with information required for enrollment thus making the enrollment experience more efficient, more accurate, and more customer-friendly.  Additionally, these enhancements to the customer enrollment </w:t>
      </w:r>
      <w:proofErr w:type="gramStart"/>
      <w:r w:rsidR="00CD247E">
        <w:rPr>
          <w:rFonts w:ascii="Arial" w:hAnsi="Arial" w:cs="Arial"/>
          <w:sz w:val="24"/>
          <w:szCs w:val="24"/>
        </w:rPr>
        <w:t xml:space="preserve">experience </w:t>
      </w:r>
      <w:r w:rsidR="00CD247E" w:rsidRPr="00532AA2">
        <w:rPr>
          <w:rFonts w:ascii="Arial" w:hAnsi="Arial" w:cs="Arial"/>
          <w:sz w:val="24"/>
          <w:szCs w:val="24"/>
        </w:rPr>
        <w:t xml:space="preserve"> </w:t>
      </w:r>
      <w:r w:rsidRPr="00532AA2">
        <w:rPr>
          <w:rFonts w:ascii="Arial" w:hAnsi="Arial" w:cs="Arial"/>
          <w:sz w:val="24"/>
          <w:szCs w:val="24"/>
        </w:rPr>
        <w:t>would</w:t>
      </w:r>
      <w:proofErr w:type="gramEnd"/>
      <w:r w:rsidRPr="00532AA2">
        <w:rPr>
          <w:rFonts w:ascii="Arial" w:hAnsi="Arial" w:cs="Arial"/>
          <w:sz w:val="24"/>
          <w:szCs w:val="24"/>
        </w:rPr>
        <w:t xml:space="preserve"> help facilitate the transition to competitive markets consistent with the State’s and the Commission’s stated policy.  Accordingly the following changes should be made to     4901:1-10-29(E):</w:t>
      </w:r>
    </w:p>
    <w:p w:rsidR="00794907" w:rsidRPr="00532AA2" w:rsidRDefault="00794907" w:rsidP="00794907">
      <w:pPr>
        <w:autoSpaceDE w:val="0"/>
        <w:autoSpaceDN w:val="0"/>
        <w:adjustRightInd w:val="0"/>
        <w:spacing w:after="0" w:line="240" w:lineRule="auto"/>
        <w:ind w:right="720"/>
        <w:rPr>
          <w:rFonts w:ascii="Arial" w:hAnsi="Arial" w:cs="Arial"/>
          <w:sz w:val="24"/>
          <w:szCs w:val="24"/>
        </w:rPr>
      </w:pPr>
    </w:p>
    <w:p w:rsidR="00794907" w:rsidRPr="00532AA2" w:rsidRDefault="00794907" w:rsidP="00794907">
      <w:pPr>
        <w:autoSpaceDE w:val="0"/>
        <w:autoSpaceDN w:val="0"/>
        <w:adjustRightInd w:val="0"/>
        <w:spacing w:after="0" w:line="240" w:lineRule="auto"/>
        <w:ind w:left="720" w:right="720"/>
        <w:rPr>
          <w:rFonts w:ascii="Arial" w:hAnsi="Arial" w:cs="Arial"/>
          <w:sz w:val="24"/>
          <w:szCs w:val="24"/>
        </w:rPr>
      </w:pPr>
      <w:proofErr w:type="gramStart"/>
      <w:r w:rsidRPr="00532AA2">
        <w:rPr>
          <w:rFonts w:ascii="Arial" w:hAnsi="Arial" w:cs="Arial"/>
          <w:color w:val="000000"/>
          <w:sz w:val="24"/>
          <w:szCs w:val="24"/>
          <w:shd w:val="clear" w:color="auto" w:fill="FFFFFF"/>
        </w:rPr>
        <w:t>Pre-enrollment.</w:t>
      </w:r>
      <w:proofErr w:type="gramEnd"/>
      <w:r w:rsidRPr="00532AA2">
        <w:rPr>
          <w:rFonts w:ascii="Arial" w:hAnsi="Arial" w:cs="Arial"/>
          <w:color w:val="000000"/>
          <w:sz w:val="24"/>
          <w:szCs w:val="24"/>
          <w:shd w:val="clear" w:color="auto" w:fill="FFFFFF"/>
        </w:rPr>
        <w:t xml:space="preserve"> Electric utilities shall make eligible-customer lists available to certified</w:t>
      </w:r>
      <w:r w:rsidRPr="00532AA2">
        <w:rPr>
          <w:rStyle w:val="apple-converted-space"/>
          <w:rFonts w:ascii="Arial" w:hAnsi="Arial" w:cs="Arial"/>
          <w:color w:val="000000"/>
          <w:sz w:val="24"/>
          <w:szCs w:val="24"/>
          <w:shd w:val="clear" w:color="auto" w:fill="FFFFFF"/>
        </w:rPr>
        <w:t> </w:t>
      </w:r>
      <w:r w:rsidRPr="00532AA2">
        <w:rPr>
          <w:rStyle w:val="caps"/>
          <w:rFonts w:ascii="Arial" w:hAnsi="Arial" w:cs="Arial"/>
          <w:color w:val="000000"/>
          <w:sz w:val="24"/>
          <w:szCs w:val="24"/>
          <w:shd w:val="clear" w:color="auto" w:fill="FFFFFF"/>
        </w:rPr>
        <w:t>CRES</w:t>
      </w:r>
      <w:r w:rsidRPr="00532AA2">
        <w:rPr>
          <w:rStyle w:val="apple-converted-space"/>
          <w:rFonts w:ascii="Arial" w:hAnsi="Arial" w:cs="Arial"/>
          <w:color w:val="000000"/>
          <w:sz w:val="24"/>
          <w:szCs w:val="24"/>
          <w:shd w:val="clear" w:color="auto" w:fill="FFFFFF"/>
        </w:rPr>
        <w:t> </w:t>
      </w:r>
      <w:r w:rsidRPr="00532AA2">
        <w:rPr>
          <w:rFonts w:ascii="Arial" w:hAnsi="Arial" w:cs="Arial"/>
          <w:color w:val="000000"/>
          <w:sz w:val="24"/>
          <w:szCs w:val="24"/>
          <w:shd w:val="clear" w:color="auto" w:fill="FFFFFF"/>
        </w:rPr>
        <w:t>providers in spreadsheet, word processing, or an electronic non-image-based format, with formula intact, compatible with personal computers. Such lists shall be updated quarterly. The eligible customer list shall, at a minimum, contain customer name,</w:t>
      </w:r>
      <w:r w:rsidRPr="00532AA2">
        <w:rPr>
          <w:rFonts w:ascii="Arial" w:hAnsi="Arial" w:cs="Arial"/>
          <w:color w:val="000000"/>
          <w:sz w:val="24"/>
          <w:szCs w:val="24"/>
          <w:u w:val="single"/>
          <w:shd w:val="clear" w:color="auto" w:fill="FFFFFF"/>
        </w:rPr>
        <w:t xml:space="preserve"> customer account numbe</w:t>
      </w:r>
      <w:r w:rsidRPr="00532AA2">
        <w:rPr>
          <w:rFonts w:ascii="Arial" w:hAnsi="Arial" w:cs="Arial"/>
          <w:color w:val="000000"/>
          <w:sz w:val="24"/>
          <w:szCs w:val="24"/>
          <w:shd w:val="clear" w:color="auto" w:fill="FFFFFF"/>
        </w:rPr>
        <w:t>r, service and mailing address, rate schedule (class and sub-class), applicable riders, load profile reference category, meter type, interval meter data indicator, budget bill indicator, meter read date or schedule, and historical consumption data (actual energy usage plus any applicable demand) for each of the most recent twelve months.</w:t>
      </w:r>
    </w:p>
    <w:p w:rsidR="00794907" w:rsidRPr="00532AA2" w:rsidRDefault="00794907" w:rsidP="00794907">
      <w:pPr>
        <w:autoSpaceDE w:val="0"/>
        <w:autoSpaceDN w:val="0"/>
        <w:adjustRightInd w:val="0"/>
        <w:spacing w:after="0" w:line="240" w:lineRule="auto"/>
        <w:ind w:right="720"/>
        <w:rPr>
          <w:rFonts w:ascii="Arial" w:hAnsi="Arial" w:cs="Arial"/>
          <w:sz w:val="24"/>
          <w:szCs w:val="24"/>
        </w:rPr>
      </w:pPr>
    </w:p>
    <w:p w:rsidR="00794907" w:rsidRDefault="00794907" w:rsidP="00794907">
      <w:pPr>
        <w:autoSpaceDE w:val="0"/>
        <w:autoSpaceDN w:val="0"/>
        <w:adjustRightInd w:val="0"/>
        <w:spacing w:after="0" w:line="240" w:lineRule="auto"/>
        <w:ind w:right="720"/>
        <w:rPr>
          <w:rFonts w:ascii="Arial" w:hAnsi="Arial" w:cs="Arial"/>
          <w:sz w:val="24"/>
          <w:szCs w:val="24"/>
        </w:rPr>
      </w:pPr>
    </w:p>
    <w:p w:rsidR="00B7429A" w:rsidRDefault="00B7429A" w:rsidP="00794907">
      <w:pPr>
        <w:autoSpaceDE w:val="0"/>
        <w:autoSpaceDN w:val="0"/>
        <w:adjustRightInd w:val="0"/>
        <w:spacing w:after="0" w:line="240" w:lineRule="auto"/>
        <w:ind w:right="720"/>
        <w:rPr>
          <w:rFonts w:ascii="Arial" w:hAnsi="Arial" w:cs="Arial"/>
          <w:sz w:val="24"/>
          <w:szCs w:val="24"/>
        </w:rPr>
      </w:pPr>
    </w:p>
    <w:p w:rsidR="00B7429A" w:rsidRDefault="00B7429A" w:rsidP="00794907">
      <w:pPr>
        <w:autoSpaceDE w:val="0"/>
        <w:autoSpaceDN w:val="0"/>
        <w:adjustRightInd w:val="0"/>
        <w:spacing w:after="0" w:line="240" w:lineRule="auto"/>
        <w:ind w:right="720"/>
        <w:rPr>
          <w:rFonts w:ascii="Arial" w:hAnsi="Arial" w:cs="Arial"/>
          <w:sz w:val="24"/>
          <w:szCs w:val="24"/>
        </w:rPr>
      </w:pPr>
    </w:p>
    <w:p w:rsidR="00B7429A" w:rsidRDefault="00B7429A" w:rsidP="00794907">
      <w:pPr>
        <w:autoSpaceDE w:val="0"/>
        <w:autoSpaceDN w:val="0"/>
        <w:adjustRightInd w:val="0"/>
        <w:spacing w:after="0" w:line="240" w:lineRule="auto"/>
        <w:ind w:right="720"/>
        <w:rPr>
          <w:rFonts w:ascii="Arial" w:hAnsi="Arial" w:cs="Arial"/>
          <w:sz w:val="24"/>
          <w:szCs w:val="24"/>
        </w:rPr>
      </w:pPr>
    </w:p>
    <w:p w:rsidR="00B7429A" w:rsidRDefault="00B7429A" w:rsidP="00794907">
      <w:pPr>
        <w:autoSpaceDE w:val="0"/>
        <w:autoSpaceDN w:val="0"/>
        <w:adjustRightInd w:val="0"/>
        <w:spacing w:after="0" w:line="240" w:lineRule="auto"/>
        <w:ind w:right="720"/>
        <w:rPr>
          <w:rFonts w:ascii="Arial" w:hAnsi="Arial" w:cs="Arial"/>
          <w:sz w:val="24"/>
          <w:szCs w:val="24"/>
        </w:rPr>
      </w:pPr>
    </w:p>
    <w:p w:rsidR="00B7429A" w:rsidRDefault="00B7429A" w:rsidP="00794907">
      <w:pPr>
        <w:autoSpaceDE w:val="0"/>
        <w:autoSpaceDN w:val="0"/>
        <w:adjustRightInd w:val="0"/>
        <w:spacing w:after="0" w:line="240" w:lineRule="auto"/>
        <w:ind w:right="720"/>
        <w:rPr>
          <w:rFonts w:ascii="Arial" w:hAnsi="Arial" w:cs="Arial"/>
          <w:sz w:val="24"/>
          <w:szCs w:val="24"/>
        </w:rPr>
      </w:pPr>
    </w:p>
    <w:p w:rsidR="00B7429A" w:rsidRPr="00532AA2" w:rsidRDefault="00B7429A" w:rsidP="00794907">
      <w:pPr>
        <w:autoSpaceDE w:val="0"/>
        <w:autoSpaceDN w:val="0"/>
        <w:adjustRightInd w:val="0"/>
        <w:spacing w:after="0" w:line="240" w:lineRule="auto"/>
        <w:ind w:right="720"/>
        <w:rPr>
          <w:rFonts w:ascii="Arial" w:hAnsi="Arial" w:cs="Arial"/>
          <w:sz w:val="24"/>
          <w:szCs w:val="24"/>
        </w:rPr>
      </w:pPr>
    </w:p>
    <w:p w:rsidR="00794907" w:rsidRPr="00532AA2" w:rsidRDefault="00794907" w:rsidP="00794907">
      <w:pPr>
        <w:autoSpaceDE w:val="0"/>
        <w:autoSpaceDN w:val="0"/>
        <w:adjustRightInd w:val="0"/>
        <w:spacing w:after="0" w:line="240" w:lineRule="auto"/>
        <w:ind w:right="720"/>
        <w:rPr>
          <w:rFonts w:ascii="Arial" w:hAnsi="Arial" w:cs="Arial"/>
          <w:sz w:val="24"/>
          <w:szCs w:val="24"/>
        </w:rPr>
      </w:pPr>
    </w:p>
    <w:p w:rsidR="00B0319C" w:rsidRPr="00532AA2" w:rsidRDefault="00B0319C" w:rsidP="00B0319C">
      <w:pPr>
        <w:pStyle w:val="ListParagraph"/>
        <w:numPr>
          <w:ilvl w:val="0"/>
          <w:numId w:val="8"/>
        </w:numPr>
        <w:spacing w:after="0" w:line="480" w:lineRule="auto"/>
        <w:rPr>
          <w:rFonts w:ascii="Arial" w:hAnsi="Arial" w:cs="Arial"/>
          <w:b/>
          <w:sz w:val="24"/>
          <w:szCs w:val="24"/>
          <w:u w:val="single"/>
        </w:rPr>
      </w:pPr>
      <w:r w:rsidRPr="00532AA2">
        <w:rPr>
          <w:rFonts w:ascii="Arial" w:hAnsi="Arial" w:cs="Arial"/>
          <w:b/>
          <w:sz w:val="24"/>
          <w:szCs w:val="24"/>
          <w:u w:val="single"/>
        </w:rPr>
        <w:t>PURCHASE OF RECE</w:t>
      </w:r>
      <w:r w:rsidR="006C5F1C" w:rsidRPr="00532AA2">
        <w:rPr>
          <w:rFonts w:ascii="Arial" w:hAnsi="Arial" w:cs="Arial"/>
          <w:b/>
          <w:sz w:val="24"/>
          <w:szCs w:val="24"/>
          <w:u w:val="single"/>
        </w:rPr>
        <w:t>I</w:t>
      </w:r>
      <w:r w:rsidRPr="00532AA2">
        <w:rPr>
          <w:rFonts w:ascii="Arial" w:hAnsi="Arial" w:cs="Arial"/>
          <w:b/>
          <w:sz w:val="24"/>
          <w:szCs w:val="24"/>
          <w:u w:val="single"/>
        </w:rPr>
        <w:t>VABLES</w:t>
      </w:r>
    </w:p>
    <w:p w:rsidR="00277703" w:rsidRPr="00532AA2" w:rsidRDefault="00277703" w:rsidP="00277703">
      <w:pPr>
        <w:pStyle w:val="ListParagraph"/>
        <w:numPr>
          <w:ilvl w:val="0"/>
          <w:numId w:val="10"/>
        </w:numPr>
        <w:spacing w:after="0" w:line="480" w:lineRule="auto"/>
        <w:rPr>
          <w:rFonts w:ascii="Arial" w:hAnsi="Arial" w:cs="Arial"/>
          <w:b/>
          <w:sz w:val="24"/>
          <w:szCs w:val="24"/>
        </w:rPr>
      </w:pPr>
      <w:r w:rsidRPr="00532AA2">
        <w:rPr>
          <w:rFonts w:ascii="Arial" w:hAnsi="Arial" w:cs="Arial"/>
          <w:b/>
          <w:sz w:val="24"/>
          <w:szCs w:val="24"/>
        </w:rPr>
        <w:t>Procedural Background</w:t>
      </w:r>
    </w:p>
    <w:p w:rsidR="006F52B1" w:rsidRPr="00532AA2" w:rsidRDefault="00B0319C" w:rsidP="00FB6CA5">
      <w:pPr>
        <w:spacing w:after="0" w:line="480" w:lineRule="auto"/>
        <w:ind w:firstLine="360"/>
        <w:rPr>
          <w:rFonts w:ascii="Arial" w:hAnsi="Arial" w:cs="Arial"/>
          <w:sz w:val="24"/>
          <w:szCs w:val="24"/>
        </w:rPr>
      </w:pPr>
      <w:r w:rsidRPr="00532AA2">
        <w:rPr>
          <w:rFonts w:ascii="Arial" w:hAnsi="Arial" w:cs="Arial"/>
          <w:sz w:val="24"/>
          <w:szCs w:val="24"/>
        </w:rPr>
        <w:t xml:space="preserve">In the FirstEnergy and AEP ESP proceedings, IGS and a number of other parties submitted testimony requesting that the Commission require the implementation of POR programs for </w:t>
      </w:r>
      <w:r w:rsidR="00101875" w:rsidRPr="00532AA2">
        <w:rPr>
          <w:rFonts w:ascii="Arial" w:hAnsi="Arial" w:cs="Arial"/>
          <w:sz w:val="24"/>
          <w:szCs w:val="24"/>
        </w:rPr>
        <w:t>FirstEnergy and AEP</w:t>
      </w:r>
      <w:r w:rsidRPr="00532AA2">
        <w:rPr>
          <w:rFonts w:ascii="Arial" w:hAnsi="Arial" w:cs="Arial"/>
          <w:sz w:val="24"/>
          <w:szCs w:val="24"/>
        </w:rPr>
        <w:t>.</w:t>
      </w:r>
      <w:r w:rsidR="00101875" w:rsidRPr="00532AA2">
        <w:rPr>
          <w:rStyle w:val="FootnoteReference"/>
          <w:rFonts w:ascii="Arial" w:hAnsi="Arial" w:cs="Arial"/>
          <w:sz w:val="24"/>
          <w:szCs w:val="24"/>
        </w:rPr>
        <w:footnoteReference w:id="2"/>
      </w:r>
      <w:r w:rsidRPr="00532AA2">
        <w:rPr>
          <w:rFonts w:ascii="Arial" w:hAnsi="Arial" w:cs="Arial"/>
          <w:sz w:val="24"/>
          <w:szCs w:val="24"/>
        </w:rPr>
        <w:t xml:space="preserve">  </w:t>
      </w:r>
      <w:r w:rsidR="00101875" w:rsidRPr="00532AA2">
        <w:rPr>
          <w:rFonts w:ascii="Arial" w:hAnsi="Arial" w:cs="Arial"/>
          <w:sz w:val="24"/>
          <w:szCs w:val="24"/>
        </w:rPr>
        <w:t xml:space="preserve">In both those proceedings, the Commission determined that the OAC 4901:1-10 rules review proceeding was the appropriate venue to discuss issues relating to POR.  Specifically, in the AEP ESP Order, the Commission directed </w:t>
      </w:r>
      <w:r w:rsidR="006F52B1" w:rsidRPr="00532AA2">
        <w:rPr>
          <w:rFonts w:ascii="Arial" w:hAnsi="Arial" w:cs="Arial"/>
          <w:sz w:val="24"/>
          <w:szCs w:val="24"/>
        </w:rPr>
        <w:t>the parties to discuss the issue of</w:t>
      </w:r>
      <w:r w:rsidR="00101875" w:rsidRPr="00532AA2">
        <w:rPr>
          <w:rFonts w:ascii="Arial" w:hAnsi="Arial" w:cs="Arial"/>
          <w:sz w:val="24"/>
          <w:szCs w:val="24"/>
        </w:rPr>
        <w:t xml:space="preserve"> </w:t>
      </w:r>
      <w:r w:rsidR="00FB6CA5" w:rsidRPr="00532AA2">
        <w:rPr>
          <w:rFonts w:ascii="Arial" w:hAnsi="Arial" w:cs="Arial"/>
          <w:sz w:val="24"/>
          <w:szCs w:val="24"/>
        </w:rPr>
        <w:t xml:space="preserve">POR in the </w:t>
      </w:r>
      <w:r w:rsidR="006F52B1" w:rsidRPr="00532AA2">
        <w:rPr>
          <w:rFonts w:ascii="Arial" w:hAnsi="Arial" w:cs="Arial"/>
          <w:sz w:val="24"/>
          <w:szCs w:val="24"/>
        </w:rPr>
        <w:t xml:space="preserve">OAC 4901:1-10 </w:t>
      </w:r>
      <w:r w:rsidR="00FB6CA5" w:rsidRPr="00532AA2">
        <w:rPr>
          <w:rFonts w:ascii="Arial" w:hAnsi="Arial" w:cs="Arial"/>
          <w:sz w:val="24"/>
          <w:szCs w:val="24"/>
        </w:rPr>
        <w:t>rules review workshop</w:t>
      </w:r>
      <w:r w:rsidR="00CF7FA7" w:rsidRPr="00532AA2">
        <w:rPr>
          <w:rFonts w:ascii="Arial" w:hAnsi="Arial" w:cs="Arial"/>
          <w:sz w:val="24"/>
          <w:szCs w:val="24"/>
        </w:rPr>
        <w:t xml:space="preserve"> (“Supplier Billing Workshop”)</w:t>
      </w:r>
      <w:r w:rsidR="00FB6CA5" w:rsidRPr="00532AA2">
        <w:rPr>
          <w:rFonts w:ascii="Arial" w:hAnsi="Arial" w:cs="Arial"/>
          <w:sz w:val="24"/>
          <w:szCs w:val="24"/>
        </w:rPr>
        <w:t>.</w:t>
      </w:r>
      <w:r w:rsidR="00FB6CA5" w:rsidRPr="00532AA2">
        <w:rPr>
          <w:rStyle w:val="FootnoteReference"/>
          <w:rFonts w:ascii="Arial" w:hAnsi="Arial" w:cs="Arial"/>
          <w:sz w:val="24"/>
          <w:szCs w:val="24"/>
        </w:rPr>
        <w:footnoteReference w:id="3"/>
      </w:r>
      <w:r w:rsidR="00FB6CA5" w:rsidRPr="00532AA2">
        <w:rPr>
          <w:rFonts w:ascii="Arial" w:hAnsi="Arial" w:cs="Arial"/>
          <w:sz w:val="24"/>
          <w:szCs w:val="24"/>
        </w:rPr>
        <w:t xml:space="preserve">  </w:t>
      </w:r>
      <w:r w:rsidR="006F52B1" w:rsidRPr="00532AA2">
        <w:rPr>
          <w:rFonts w:ascii="Arial" w:hAnsi="Arial" w:cs="Arial"/>
          <w:sz w:val="24"/>
          <w:szCs w:val="24"/>
        </w:rPr>
        <w:t xml:space="preserve">Further, in the </w:t>
      </w:r>
      <w:r w:rsidR="00FB6CA5" w:rsidRPr="00532AA2">
        <w:rPr>
          <w:rFonts w:ascii="Arial" w:hAnsi="Arial" w:cs="Arial"/>
          <w:sz w:val="24"/>
          <w:szCs w:val="24"/>
        </w:rPr>
        <w:t xml:space="preserve">FirstEnergy ESP </w:t>
      </w:r>
      <w:r w:rsidR="00CF7FA7" w:rsidRPr="00532AA2">
        <w:rPr>
          <w:rFonts w:ascii="Arial" w:hAnsi="Arial" w:cs="Arial"/>
          <w:sz w:val="24"/>
          <w:szCs w:val="24"/>
        </w:rPr>
        <w:t xml:space="preserve">Order </w:t>
      </w:r>
      <w:r w:rsidR="00FB6CA5" w:rsidRPr="00532AA2">
        <w:rPr>
          <w:rFonts w:ascii="Arial" w:hAnsi="Arial" w:cs="Arial"/>
          <w:sz w:val="24"/>
          <w:szCs w:val="24"/>
        </w:rPr>
        <w:t>the Commission directed Staff</w:t>
      </w:r>
      <w:r w:rsidR="00CF7FA7" w:rsidRPr="00532AA2">
        <w:rPr>
          <w:rFonts w:ascii="Arial" w:hAnsi="Arial" w:cs="Arial"/>
          <w:sz w:val="24"/>
          <w:szCs w:val="24"/>
        </w:rPr>
        <w:t>, after the Supplier Billing Workshop,</w:t>
      </w:r>
      <w:r w:rsidR="00FB6CA5" w:rsidRPr="00532AA2">
        <w:rPr>
          <w:rFonts w:ascii="Arial" w:hAnsi="Arial" w:cs="Arial"/>
          <w:sz w:val="24"/>
          <w:szCs w:val="24"/>
        </w:rPr>
        <w:t xml:space="preserve"> to identify changes to the OAC 4901:1-10 rules </w:t>
      </w:r>
      <w:r w:rsidR="003C168F" w:rsidRPr="00532AA2">
        <w:rPr>
          <w:rFonts w:ascii="Arial" w:hAnsi="Arial" w:cs="Arial"/>
          <w:sz w:val="24"/>
          <w:szCs w:val="24"/>
        </w:rPr>
        <w:t xml:space="preserve">that </w:t>
      </w:r>
      <w:r w:rsidR="00FB6CA5" w:rsidRPr="00532AA2">
        <w:rPr>
          <w:rFonts w:ascii="Arial" w:hAnsi="Arial" w:cs="Arial"/>
          <w:sz w:val="24"/>
          <w:szCs w:val="24"/>
        </w:rPr>
        <w:t>are needed in order to address the issues raised in the workshop.</w:t>
      </w:r>
      <w:r w:rsidR="00FB6CA5" w:rsidRPr="00532AA2">
        <w:rPr>
          <w:rStyle w:val="FootnoteReference"/>
          <w:rFonts w:ascii="Arial" w:hAnsi="Arial" w:cs="Arial"/>
          <w:sz w:val="24"/>
          <w:szCs w:val="24"/>
        </w:rPr>
        <w:footnoteReference w:id="4"/>
      </w:r>
      <w:r w:rsidR="00FB6CA5" w:rsidRPr="00532AA2">
        <w:rPr>
          <w:rFonts w:ascii="Arial" w:hAnsi="Arial" w:cs="Arial"/>
          <w:sz w:val="24"/>
          <w:szCs w:val="24"/>
        </w:rPr>
        <w:t xml:space="preserve"> </w:t>
      </w:r>
    </w:p>
    <w:p w:rsidR="004C560D" w:rsidRPr="00532AA2" w:rsidRDefault="004C560D" w:rsidP="00FB6CA5">
      <w:pPr>
        <w:spacing w:after="0" w:line="480" w:lineRule="auto"/>
        <w:ind w:firstLine="360"/>
        <w:rPr>
          <w:rFonts w:ascii="Arial" w:hAnsi="Arial" w:cs="Arial"/>
          <w:sz w:val="24"/>
          <w:szCs w:val="24"/>
        </w:rPr>
      </w:pPr>
      <w:r w:rsidRPr="00532AA2">
        <w:rPr>
          <w:rFonts w:ascii="Arial" w:hAnsi="Arial" w:cs="Arial"/>
          <w:sz w:val="24"/>
          <w:szCs w:val="24"/>
        </w:rPr>
        <w:lastRenderedPageBreak/>
        <w:tab/>
        <w:t>On August 31, 2012</w:t>
      </w:r>
      <w:r w:rsidR="00210CCE" w:rsidRPr="00532AA2">
        <w:rPr>
          <w:rFonts w:ascii="Arial" w:hAnsi="Arial" w:cs="Arial"/>
          <w:sz w:val="24"/>
          <w:szCs w:val="24"/>
        </w:rPr>
        <w:t>, consistent with both th</w:t>
      </w:r>
      <w:r w:rsidR="004F5C68" w:rsidRPr="00532AA2">
        <w:rPr>
          <w:rFonts w:ascii="Arial" w:hAnsi="Arial" w:cs="Arial"/>
          <w:sz w:val="24"/>
          <w:szCs w:val="24"/>
        </w:rPr>
        <w:t>e</w:t>
      </w:r>
      <w:r w:rsidR="00210CCE" w:rsidRPr="00532AA2">
        <w:rPr>
          <w:rFonts w:ascii="Arial" w:hAnsi="Arial" w:cs="Arial"/>
          <w:sz w:val="24"/>
          <w:szCs w:val="24"/>
        </w:rPr>
        <w:t xml:space="preserve"> AEP and FirstEnergy ESP Orders,</w:t>
      </w:r>
      <w:r w:rsidR="00CF7FA7" w:rsidRPr="00532AA2">
        <w:rPr>
          <w:rFonts w:ascii="Arial" w:hAnsi="Arial" w:cs="Arial"/>
          <w:sz w:val="24"/>
          <w:szCs w:val="24"/>
        </w:rPr>
        <w:t xml:space="preserve"> the Supplier Billing Workshop was held </w:t>
      </w:r>
      <w:r w:rsidRPr="00532AA2">
        <w:rPr>
          <w:rFonts w:ascii="Arial" w:hAnsi="Arial" w:cs="Arial"/>
          <w:sz w:val="24"/>
          <w:szCs w:val="24"/>
        </w:rPr>
        <w:t>to</w:t>
      </w:r>
      <w:r w:rsidR="003A09BE" w:rsidRPr="00532AA2">
        <w:rPr>
          <w:rFonts w:ascii="Arial" w:hAnsi="Arial" w:cs="Arial"/>
          <w:sz w:val="24"/>
          <w:szCs w:val="24"/>
        </w:rPr>
        <w:t xml:space="preserve"> discuss POR and other CRES supplier billing issues.  </w:t>
      </w:r>
      <w:r w:rsidR="00016A5F" w:rsidRPr="00532AA2">
        <w:rPr>
          <w:rFonts w:ascii="Arial" w:hAnsi="Arial" w:cs="Arial"/>
          <w:sz w:val="24"/>
          <w:szCs w:val="24"/>
        </w:rPr>
        <w:t>At the workshop</w:t>
      </w:r>
      <w:r w:rsidR="00DA6C9B" w:rsidRPr="00532AA2">
        <w:rPr>
          <w:rFonts w:ascii="Arial" w:hAnsi="Arial" w:cs="Arial"/>
          <w:sz w:val="24"/>
          <w:szCs w:val="24"/>
        </w:rPr>
        <w:t>,</w:t>
      </w:r>
      <w:r w:rsidR="00016A5F" w:rsidRPr="00532AA2">
        <w:rPr>
          <w:rFonts w:ascii="Arial" w:hAnsi="Arial" w:cs="Arial"/>
          <w:sz w:val="24"/>
          <w:szCs w:val="24"/>
        </w:rPr>
        <w:t xml:space="preserve"> the</w:t>
      </w:r>
      <w:r w:rsidR="00CF7FA7" w:rsidRPr="00532AA2">
        <w:rPr>
          <w:rFonts w:ascii="Arial" w:hAnsi="Arial" w:cs="Arial"/>
          <w:sz w:val="24"/>
          <w:szCs w:val="24"/>
        </w:rPr>
        <w:t xml:space="preserve"> Retail Energy Supply Association (“RESA”)</w:t>
      </w:r>
      <w:r w:rsidR="003A09BE" w:rsidRPr="00532AA2">
        <w:rPr>
          <w:rFonts w:ascii="Arial" w:hAnsi="Arial" w:cs="Arial"/>
          <w:sz w:val="24"/>
          <w:szCs w:val="24"/>
        </w:rPr>
        <w:t xml:space="preserve"> </w:t>
      </w:r>
      <w:r w:rsidR="00210CCE" w:rsidRPr="00532AA2">
        <w:rPr>
          <w:rFonts w:ascii="Arial" w:hAnsi="Arial" w:cs="Arial"/>
          <w:sz w:val="24"/>
          <w:szCs w:val="24"/>
        </w:rPr>
        <w:t xml:space="preserve">presented to the group on </w:t>
      </w:r>
      <w:r w:rsidR="00B7429A">
        <w:rPr>
          <w:rFonts w:ascii="Arial" w:hAnsi="Arial" w:cs="Arial"/>
          <w:sz w:val="24"/>
          <w:szCs w:val="24"/>
        </w:rPr>
        <w:t xml:space="preserve">the </w:t>
      </w:r>
      <w:r w:rsidR="00210CCE" w:rsidRPr="00532AA2">
        <w:rPr>
          <w:rFonts w:ascii="Arial" w:hAnsi="Arial" w:cs="Arial"/>
          <w:sz w:val="24"/>
          <w:szCs w:val="24"/>
        </w:rPr>
        <w:t>benefits of</w:t>
      </w:r>
      <w:r w:rsidR="003A09BE" w:rsidRPr="00532AA2">
        <w:rPr>
          <w:rFonts w:ascii="Arial" w:hAnsi="Arial" w:cs="Arial"/>
          <w:sz w:val="24"/>
          <w:szCs w:val="24"/>
        </w:rPr>
        <w:t xml:space="preserve"> POR</w:t>
      </w:r>
      <w:r w:rsidR="00CF7FA7" w:rsidRPr="00532AA2">
        <w:rPr>
          <w:rFonts w:ascii="Arial" w:hAnsi="Arial" w:cs="Arial"/>
          <w:sz w:val="24"/>
          <w:szCs w:val="24"/>
        </w:rPr>
        <w:t xml:space="preserve"> and</w:t>
      </w:r>
      <w:r w:rsidR="004F5C68" w:rsidRPr="00532AA2">
        <w:rPr>
          <w:rFonts w:ascii="Arial" w:hAnsi="Arial" w:cs="Arial"/>
          <w:sz w:val="24"/>
          <w:szCs w:val="24"/>
        </w:rPr>
        <w:t>,</w:t>
      </w:r>
      <w:r w:rsidR="00016A5F" w:rsidRPr="00532AA2">
        <w:rPr>
          <w:rFonts w:ascii="Arial" w:hAnsi="Arial" w:cs="Arial"/>
          <w:sz w:val="24"/>
          <w:szCs w:val="24"/>
        </w:rPr>
        <w:t xml:space="preserve"> specifically proposed that </w:t>
      </w:r>
      <w:r w:rsidR="000B2D00" w:rsidRPr="00532AA2">
        <w:rPr>
          <w:rFonts w:ascii="Arial" w:hAnsi="Arial" w:cs="Arial"/>
          <w:sz w:val="24"/>
          <w:szCs w:val="24"/>
        </w:rPr>
        <w:t xml:space="preserve">the OAC 4901:1-10 rules require </w:t>
      </w:r>
      <w:r w:rsidR="00016A5F" w:rsidRPr="00532AA2">
        <w:rPr>
          <w:rFonts w:ascii="Arial" w:hAnsi="Arial" w:cs="Arial"/>
          <w:sz w:val="24"/>
          <w:szCs w:val="24"/>
        </w:rPr>
        <w:t xml:space="preserve">Ohio electric utilities </w:t>
      </w:r>
      <w:r w:rsidR="000B2D00" w:rsidRPr="00532AA2">
        <w:rPr>
          <w:rFonts w:ascii="Arial" w:hAnsi="Arial" w:cs="Arial"/>
          <w:sz w:val="24"/>
          <w:szCs w:val="24"/>
        </w:rPr>
        <w:t>to offer</w:t>
      </w:r>
      <w:r w:rsidR="00016A5F" w:rsidRPr="00532AA2">
        <w:rPr>
          <w:rFonts w:ascii="Arial" w:hAnsi="Arial" w:cs="Arial"/>
          <w:sz w:val="24"/>
          <w:szCs w:val="24"/>
        </w:rPr>
        <w:t xml:space="preserve"> POR program</w:t>
      </w:r>
      <w:r w:rsidR="004F5C68" w:rsidRPr="00532AA2">
        <w:rPr>
          <w:rFonts w:ascii="Arial" w:hAnsi="Arial" w:cs="Arial"/>
          <w:sz w:val="24"/>
          <w:szCs w:val="24"/>
        </w:rPr>
        <w:t>s</w:t>
      </w:r>
      <w:r w:rsidR="000B2D00" w:rsidRPr="00532AA2">
        <w:rPr>
          <w:rFonts w:ascii="Arial" w:hAnsi="Arial" w:cs="Arial"/>
          <w:sz w:val="24"/>
          <w:szCs w:val="24"/>
        </w:rPr>
        <w:t xml:space="preserve"> to CRES suppliers</w:t>
      </w:r>
      <w:r w:rsidR="00210CCE" w:rsidRPr="00532AA2">
        <w:rPr>
          <w:rFonts w:ascii="Arial" w:hAnsi="Arial" w:cs="Arial"/>
          <w:sz w:val="24"/>
          <w:szCs w:val="24"/>
        </w:rPr>
        <w:t>.</w:t>
      </w:r>
      <w:r w:rsidR="00CF7FA7" w:rsidRPr="00532AA2">
        <w:rPr>
          <w:rFonts w:ascii="Arial" w:hAnsi="Arial" w:cs="Arial"/>
          <w:sz w:val="24"/>
          <w:szCs w:val="24"/>
        </w:rPr>
        <w:t xml:space="preserve">  A number of parties attended the workshop </w:t>
      </w:r>
      <w:r w:rsidR="004C2D05" w:rsidRPr="00532AA2">
        <w:rPr>
          <w:rFonts w:ascii="Arial" w:hAnsi="Arial" w:cs="Arial"/>
          <w:sz w:val="24"/>
          <w:szCs w:val="24"/>
        </w:rPr>
        <w:t>(</w:t>
      </w:r>
      <w:r w:rsidR="00CF7FA7" w:rsidRPr="00532AA2">
        <w:rPr>
          <w:rFonts w:ascii="Arial" w:hAnsi="Arial" w:cs="Arial"/>
          <w:sz w:val="24"/>
          <w:szCs w:val="24"/>
        </w:rPr>
        <w:t>including CRES suppliers, Staff and electric utilities</w:t>
      </w:r>
      <w:r w:rsidR="004C2D05" w:rsidRPr="00532AA2">
        <w:rPr>
          <w:rFonts w:ascii="Arial" w:hAnsi="Arial" w:cs="Arial"/>
          <w:sz w:val="24"/>
          <w:szCs w:val="24"/>
        </w:rPr>
        <w:t>)</w:t>
      </w:r>
      <w:r w:rsidR="00CF7FA7" w:rsidRPr="00532AA2">
        <w:rPr>
          <w:rFonts w:ascii="Arial" w:hAnsi="Arial" w:cs="Arial"/>
          <w:sz w:val="24"/>
          <w:szCs w:val="24"/>
        </w:rPr>
        <w:t xml:space="preserve"> and had</w:t>
      </w:r>
      <w:r w:rsidR="00016A5F" w:rsidRPr="00532AA2">
        <w:rPr>
          <w:rFonts w:ascii="Arial" w:hAnsi="Arial" w:cs="Arial"/>
          <w:sz w:val="24"/>
          <w:szCs w:val="24"/>
        </w:rPr>
        <w:t xml:space="preserve"> the</w:t>
      </w:r>
      <w:r w:rsidR="00CF7FA7" w:rsidRPr="00532AA2">
        <w:rPr>
          <w:rFonts w:ascii="Arial" w:hAnsi="Arial" w:cs="Arial"/>
          <w:sz w:val="24"/>
          <w:szCs w:val="24"/>
        </w:rPr>
        <w:t xml:space="preserve"> </w:t>
      </w:r>
      <w:r w:rsidR="000B2D00" w:rsidRPr="00532AA2">
        <w:rPr>
          <w:rFonts w:ascii="Arial" w:hAnsi="Arial" w:cs="Arial"/>
          <w:sz w:val="24"/>
          <w:szCs w:val="24"/>
        </w:rPr>
        <w:t>opportunity</w:t>
      </w:r>
      <w:r w:rsidR="00CF7FA7" w:rsidRPr="00532AA2">
        <w:rPr>
          <w:rFonts w:ascii="Arial" w:hAnsi="Arial" w:cs="Arial"/>
          <w:sz w:val="24"/>
          <w:szCs w:val="24"/>
        </w:rPr>
        <w:t xml:space="preserve"> to ask questions </w:t>
      </w:r>
      <w:r w:rsidR="00016A5F" w:rsidRPr="00532AA2">
        <w:rPr>
          <w:rFonts w:ascii="Arial" w:hAnsi="Arial" w:cs="Arial"/>
          <w:sz w:val="24"/>
          <w:szCs w:val="24"/>
        </w:rPr>
        <w:t>regarding RESA’s</w:t>
      </w:r>
      <w:r w:rsidR="00CF7FA7" w:rsidRPr="00532AA2">
        <w:rPr>
          <w:rFonts w:ascii="Arial" w:hAnsi="Arial" w:cs="Arial"/>
          <w:sz w:val="24"/>
          <w:szCs w:val="24"/>
        </w:rPr>
        <w:t xml:space="preserve"> POR</w:t>
      </w:r>
      <w:r w:rsidR="00016A5F" w:rsidRPr="00532AA2">
        <w:rPr>
          <w:rFonts w:ascii="Arial" w:hAnsi="Arial" w:cs="Arial"/>
          <w:sz w:val="24"/>
          <w:szCs w:val="24"/>
        </w:rPr>
        <w:t xml:space="preserve"> presentation</w:t>
      </w:r>
      <w:r w:rsidR="00CF7FA7" w:rsidRPr="00532AA2">
        <w:rPr>
          <w:rFonts w:ascii="Arial" w:hAnsi="Arial" w:cs="Arial"/>
          <w:sz w:val="24"/>
          <w:szCs w:val="24"/>
        </w:rPr>
        <w:t xml:space="preserve">.  </w:t>
      </w:r>
    </w:p>
    <w:p w:rsidR="00016A5F" w:rsidRPr="00532AA2" w:rsidRDefault="000B2D00" w:rsidP="00CD5E2F">
      <w:pPr>
        <w:spacing w:after="0" w:line="480" w:lineRule="auto"/>
        <w:ind w:firstLine="360"/>
        <w:rPr>
          <w:rFonts w:ascii="Arial" w:hAnsi="Arial" w:cs="Arial"/>
          <w:sz w:val="24"/>
          <w:szCs w:val="24"/>
        </w:rPr>
      </w:pPr>
      <w:r w:rsidRPr="00532AA2">
        <w:rPr>
          <w:rFonts w:ascii="Arial" w:hAnsi="Arial" w:cs="Arial"/>
          <w:sz w:val="24"/>
          <w:szCs w:val="24"/>
        </w:rPr>
        <w:t>Per the FirstEnergy and AEP ESP Orders</w:t>
      </w:r>
      <w:r w:rsidR="00016A5F" w:rsidRPr="00532AA2">
        <w:rPr>
          <w:rFonts w:ascii="Arial" w:hAnsi="Arial" w:cs="Arial"/>
          <w:sz w:val="24"/>
          <w:szCs w:val="24"/>
        </w:rPr>
        <w:t xml:space="preserve"> the </w:t>
      </w:r>
      <w:r w:rsidR="00145DEA" w:rsidRPr="00532AA2">
        <w:rPr>
          <w:rFonts w:ascii="Arial" w:hAnsi="Arial" w:cs="Arial"/>
          <w:sz w:val="24"/>
          <w:szCs w:val="24"/>
        </w:rPr>
        <w:t>Commission intended that the inequities identified by CRES suppliers</w:t>
      </w:r>
      <w:r w:rsidR="00016A5F" w:rsidRPr="00532AA2">
        <w:rPr>
          <w:rFonts w:ascii="Arial" w:hAnsi="Arial" w:cs="Arial"/>
          <w:sz w:val="24"/>
          <w:szCs w:val="24"/>
        </w:rPr>
        <w:t xml:space="preserve"> </w:t>
      </w:r>
      <w:r w:rsidR="00145DEA" w:rsidRPr="00532AA2">
        <w:rPr>
          <w:rFonts w:ascii="Arial" w:hAnsi="Arial" w:cs="Arial"/>
          <w:sz w:val="24"/>
          <w:szCs w:val="24"/>
        </w:rPr>
        <w:t>in the FirstEnergy and AEP ESP proceedings be addressed in the OAC 4901:1-10 rules review proceeding</w:t>
      </w:r>
      <w:r w:rsidR="0028099E" w:rsidRPr="00532AA2">
        <w:rPr>
          <w:rFonts w:ascii="Arial" w:hAnsi="Arial" w:cs="Arial"/>
          <w:sz w:val="24"/>
          <w:szCs w:val="24"/>
        </w:rPr>
        <w:t xml:space="preserve">. </w:t>
      </w:r>
      <w:r w:rsidR="00CD5E2F" w:rsidRPr="00532AA2">
        <w:rPr>
          <w:rFonts w:ascii="Arial" w:hAnsi="Arial" w:cs="Arial"/>
          <w:sz w:val="24"/>
          <w:szCs w:val="24"/>
        </w:rPr>
        <w:t xml:space="preserve"> </w:t>
      </w:r>
      <w:r w:rsidR="0028099E" w:rsidRPr="00532AA2">
        <w:rPr>
          <w:rFonts w:ascii="Arial" w:hAnsi="Arial" w:cs="Arial"/>
          <w:sz w:val="24"/>
          <w:szCs w:val="24"/>
        </w:rPr>
        <w:t xml:space="preserve">It is understandable that the Commission would want </w:t>
      </w:r>
      <w:r w:rsidR="00D85FDB" w:rsidRPr="00532AA2">
        <w:rPr>
          <w:rFonts w:ascii="Arial" w:hAnsi="Arial" w:cs="Arial"/>
          <w:sz w:val="24"/>
          <w:szCs w:val="24"/>
        </w:rPr>
        <w:t xml:space="preserve">to </w:t>
      </w:r>
      <w:r w:rsidR="0028099E" w:rsidRPr="00532AA2">
        <w:rPr>
          <w:rFonts w:ascii="Arial" w:hAnsi="Arial" w:cs="Arial"/>
          <w:sz w:val="24"/>
          <w:szCs w:val="24"/>
        </w:rPr>
        <w:t>implement utility POR programs through a rules review proceeding</w:t>
      </w:r>
      <w:r w:rsidR="001975B2" w:rsidRPr="00532AA2">
        <w:rPr>
          <w:rFonts w:ascii="Arial" w:hAnsi="Arial" w:cs="Arial"/>
          <w:sz w:val="24"/>
          <w:szCs w:val="24"/>
        </w:rPr>
        <w:t xml:space="preserve">.  </w:t>
      </w:r>
      <w:r w:rsidR="00277703" w:rsidRPr="00532AA2">
        <w:rPr>
          <w:rFonts w:ascii="Arial" w:hAnsi="Arial" w:cs="Arial"/>
          <w:sz w:val="24"/>
          <w:szCs w:val="24"/>
        </w:rPr>
        <w:t xml:space="preserve">A requirement in </w:t>
      </w:r>
      <w:r w:rsidR="00EA05C2" w:rsidRPr="00532AA2">
        <w:rPr>
          <w:rFonts w:ascii="Arial" w:hAnsi="Arial" w:cs="Arial"/>
          <w:sz w:val="24"/>
          <w:szCs w:val="24"/>
        </w:rPr>
        <w:t xml:space="preserve">the </w:t>
      </w:r>
      <w:r w:rsidR="00277703" w:rsidRPr="00532AA2">
        <w:rPr>
          <w:rFonts w:ascii="Arial" w:hAnsi="Arial" w:cs="Arial"/>
          <w:sz w:val="24"/>
          <w:szCs w:val="24"/>
        </w:rPr>
        <w:t>4901:1-10 rules that electric utilities offer POR would be applicable to all utilities</w:t>
      </w:r>
      <w:r w:rsidR="0028099E" w:rsidRPr="00532AA2">
        <w:rPr>
          <w:rFonts w:ascii="Arial" w:hAnsi="Arial" w:cs="Arial"/>
          <w:sz w:val="24"/>
          <w:szCs w:val="24"/>
        </w:rPr>
        <w:t xml:space="preserve"> and </w:t>
      </w:r>
      <w:r w:rsidR="00277703" w:rsidRPr="00532AA2">
        <w:rPr>
          <w:rFonts w:ascii="Arial" w:hAnsi="Arial" w:cs="Arial"/>
          <w:sz w:val="24"/>
          <w:szCs w:val="24"/>
        </w:rPr>
        <w:t xml:space="preserve">would ensure that </w:t>
      </w:r>
      <w:r w:rsidR="0028099E" w:rsidRPr="00532AA2">
        <w:rPr>
          <w:rFonts w:ascii="Arial" w:hAnsi="Arial" w:cs="Arial"/>
          <w:sz w:val="24"/>
          <w:szCs w:val="24"/>
        </w:rPr>
        <w:t xml:space="preserve">POR programs are implemented uniformly.  </w:t>
      </w:r>
      <w:r w:rsidR="004C2D05" w:rsidRPr="00532AA2">
        <w:rPr>
          <w:rFonts w:ascii="Arial" w:hAnsi="Arial" w:cs="Arial"/>
          <w:sz w:val="24"/>
          <w:szCs w:val="24"/>
        </w:rPr>
        <w:t>Further, a rules review proceeding offers a mechanism where a discrete issue such as POR can be addressed in a way that does not implicate broader issues such as those that were agreed to in the context of the package of an ESP Stipulation.</w:t>
      </w:r>
      <w:r w:rsidR="00277703" w:rsidRPr="00532AA2">
        <w:rPr>
          <w:rFonts w:ascii="Arial" w:hAnsi="Arial" w:cs="Arial"/>
          <w:sz w:val="24"/>
          <w:szCs w:val="24"/>
        </w:rPr>
        <w:t xml:space="preserve"> </w:t>
      </w:r>
      <w:r w:rsidR="00E230C4" w:rsidRPr="00532AA2">
        <w:rPr>
          <w:rFonts w:ascii="Arial" w:hAnsi="Arial" w:cs="Arial"/>
          <w:sz w:val="24"/>
          <w:szCs w:val="24"/>
        </w:rPr>
        <w:t xml:space="preserve">Disappointingly, however, and contrary to the most recent AEP and FirstEnergy Orders, </w:t>
      </w:r>
      <w:r w:rsidR="002D3210" w:rsidRPr="00532AA2">
        <w:rPr>
          <w:rFonts w:ascii="Arial" w:hAnsi="Arial" w:cs="Arial"/>
          <w:sz w:val="24"/>
          <w:szCs w:val="24"/>
        </w:rPr>
        <w:t>Staff’s</w:t>
      </w:r>
      <w:r w:rsidR="00E230C4" w:rsidRPr="00532AA2">
        <w:rPr>
          <w:rFonts w:ascii="Arial" w:hAnsi="Arial" w:cs="Arial"/>
          <w:sz w:val="24"/>
          <w:szCs w:val="24"/>
        </w:rPr>
        <w:t xml:space="preserve"> proposed OAC 4901:1-10</w:t>
      </w:r>
      <w:r w:rsidR="002D3210" w:rsidRPr="00532AA2">
        <w:rPr>
          <w:rFonts w:ascii="Arial" w:hAnsi="Arial" w:cs="Arial"/>
          <w:sz w:val="24"/>
          <w:szCs w:val="24"/>
        </w:rPr>
        <w:t xml:space="preserve"> rule modifications</w:t>
      </w:r>
      <w:r w:rsidR="00E230C4" w:rsidRPr="00532AA2">
        <w:rPr>
          <w:rFonts w:ascii="Arial" w:hAnsi="Arial" w:cs="Arial"/>
          <w:sz w:val="24"/>
          <w:szCs w:val="24"/>
        </w:rPr>
        <w:t xml:space="preserve"> </w:t>
      </w:r>
      <w:r w:rsidR="002D3210" w:rsidRPr="00532AA2">
        <w:rPr>
          <w:rFonts w:ascii="Arial" w:hAnsi="Arial" w:cs="Arial"/>
          <w:sz w:val="24"/>
          <w:szCs w:val="24"/>
        </w:rPr>
        <w:t>fail to address POR</w:t>
      </w:r>
      <w:r w:rsidR="00E230C4" w:rsidRPr="00532AA2">
        <w:rPr>
          <w:rFonts w:ascii="Arial" w:hAnsi="Arial" w:cs="Arial"/>
          <w:sz w:val="24"/>
          <w:szCs w:val="24"/>
        </w:rPr>
        <w:t>.</w:t>
      </w:r>
    </w:p>
    <w:p w:rsidR="000B2D00" w:rsidRPr="00532AA2" w:rsidRDefault="001F7F40" w:rsidP="00277703">
      <w:pPr>
        <w:pStyle w:val="ListParagraph"/>
        <w:numPr>
          <w:ilvl w:val="0"/>
          <w:numId w:val="10"/>
        </w:numPr>
        <w:spacing w:after="0" w:line="480" w:lineRule="auto"/>
        <w:rPr>
          <w:rFonts w:ascii="Arial" w:hAnsi="Arial" w:cs="Arial"/>
          <w:b/>
          <w:sz w:val="24"/>
          <w:szCs w:val="24"/>
        </w:rPr>
      </w:pPr>
      <w:bookmarkStart w:id="3" w:name="OLE_LINK5"/>
      <w:bookmarkStart w:id="4" w:name="OLE_LINK6"/>
      <w:r w:rsidRPr="00532AA2">
        <w:rPr>
          <w:rFonts w:ascii="Arial" w:hAnsi="Arial" w:cs="Arial"/>
          <w:b/>
          <w:sz w:val="24"/>
          <w:szCs w:val="24"/>
        </w:rPr>
        <w:t>POR Programs Enhance Competition and Benefit</w:t>
      </w:r>
      <w:r w:rsidR="007C21E2" w:rsidRPr="00532AA2">
        <w:rPr>
          <w:rFonts w:ascii="Arial" w:hAnsi="Arial" w:cs="Arial"/>
          <w:b/>
          <w:sz w:val="24"/>
          <w:szCs w:val="24"/>
        </w:rPr>
        <w:t xml:space="preserve"> Ohio </w:t>
      </w:r>
      <w:r w:rsidRPr="00532AA2">
        <w:rPr>
          <w:rFonts w:ascii="Arial" w:hAnsi="Arial" w:cs="Arial"/>
          <w:b/>
          <w:sz w:val="24"/>
          <w:szCs w:val="24"/>
        </w:rPr>
        <w:t>Customers</w:t>
      </w:r>
    </w:p>
    <w:bookmarkEnd w:id="3"/>
    <w:bookmarkEnd w:id="4"/>
    <w:p w:rsidR="00023A72" w:rsidRPr="00532AA2" w:rsidRDefault="00B329F4" w:rsidP="00B329F4">
      <w:pPr>
        <w:spacing w:after="0" w:line="480" w:lineRule="auto"/>
        <w:ind w:firstLine="360"/>
        <w:rPr>
          <w:rFonts w:ascii="Arial" w:hAnsi="Arial" w:cs="Arial"/>
          <w:sz w:val="24"/>
          <w:szCs w:val="24"/>
        </w:rPr>
      </w:pPr>
      <w:r w:rsidRPr="00532AA2">
        <w:rPr>
          <w:rFonts w:ascii="Arial" w:hAnsi="Arial" w:cs="Arial"/>
          <w:sz w:val="24"/>
          <w:szCs w:val="24"/>
        </w:rPr>
        <w:t xml:space="preserve">Utility POR programs have had a long history of </w:t>
      </w:r>
      <w:r w:rsidR="000F1EC4" w:rsidRPr="00532AA2">
        <w:rPr>
          <w:rFonts w:ascii="Arial" w:hAnsi="Arial" w:cs="Arial"/>
          <w:sz w:val="24"/>
          <w:szCs w:val="24"/>
        </w:rPr>
        <w:t>success</w:t>
      </w:r>
      <w:r w:rsidR="007C21E2" w:rsidRPr="00532AA2">
        <w:rPr>
          <w:rFonts w:ascii="Arial" w:hAnsi="Arial" w:cs="Arial"/>
          <w:sz w:val="24"/>
          <w:szCs w:val="24"/>
        </w:rPr>
        <w:t>.</w:t>
      </w:r>
      <w:r w:rsidR="004E37F2" w:rsidRPr="00532AA2">
        <w:rPr>
          <w:rFonts w:ascii="Arial" w:hAnsi="Arial" w:cs="Arial"/>
          <w:sz w:val="24"/>
          <w:szCs w:val="24"/>
        </w:rPr>
        <w:t xml:space="preserve">  Throughout the United States</w:t>
      </w:r>
      <w:r w:rsidR="00DA6C9B" w:rsidRPr="00532AA2">
        <w:rPr>
          <w:rFonts w:ascii="Arial" w:hAnsi="Arial" w:cs="Arial"/>
          <w:sz w:val="24"/>
          <w:szCs w:val="24"/>
        </w:rPr>
        <w:t>,</w:t>
      </w:r>
      <w:r w:rsidR="004E37F2" w:rsidRPr="00532AA2">
        <w:rPr>
          <w:rFonts w:ascii="Arial" w:hAnsi="Arial" w:cs="Arial"/>
          <w:sz w:val="24"/>
          <w:szCs w:val="24"/>
        </w:rPr>
        <w:t xml:space="preserve"> </w:t>
      </w:r>
      <w:r w:rsidR="0040018D">
        <w:rPr>
          <w:rFonts w:ascii="Arial" w:hAnsi="Arial" w:cs="Arial"/>
          <w:sz w:val="24"/>
          <w:szCs w:val="24"/>
        </w:rPr>
        <w:t xml:space="preserve">nearly </w:t>
      </w:r>
      <w:r w:rsidR="004E37F2" w:rsidRPr="00532AA2">
        <w:rPr>
          <w:rFonts w:ascii="Arial" w:hAnsi="Arial" w:cs="Arial"/>
          <w:sz w:val="24"/>
          <w:szCs w:val="24"/>
        </w:rPr>
        <w:t>50 natural gas and electric utilities offer POR programs.</w:t>
      </w:r>
      <w:r w:rsidR="0030162A" w:rsidRPr="00532AA2">
        <w:rPr>
          <w:rStyle w:val="FootnoteReference"/>
          <w:rFonts w:ascii="Arial" w:hAnsi="Arial" w:cs="Arial"/>
          <w:sz w:val="24"/>
          <w:szCs w:val="24"/>
        </w:rPr>
        <w:footnoteReference w:id="5"/>
      </w:r>
      <w:r w:rsidR="004E37F2" w:rsidRPr="00532AA2">
        <w:rPr>
          <w:rFonts w:ascii="Arial" w:hAnsi="Arial" w:cs="Arial"/>
          <w:sz w:val="24"/>
          <w:szCs w:val="24"/>
        </w:rPr>
        <w:t xml:space="preserve">  </w:t>
      </w:r>
      <w:r w:rsidR="007C21E2" w:rsidRPr="00532AA2">
        <w:rPr>
          <w:rFonts w:ascii="Arial" w:hAnsi="Arial" w:cs="Arial"/>
          <w:sz w:val="24"/>
          <w:szCs w:val="24"/>
        </w:rPr>
        <w:t xml:space="preserve">  Since the </w:t>
      </w:r>
      <w:r w:rsidR="007C21E2" w:rsidRPr="00532AA2">
        <w:rPr>
          <w:rFonts w:ascii="Arial" w:hAnsi="Arial" w:cs="Arial"/>
          <w:sz w:val="24"/>
          <w:szCs w:val="24"/>
        </w:rPr>
        <w:lastRenderedPageBreak/>
        <w:t xml:space="preserve">early 2000s all of the </w:t>
      </w:r>
      <w:r w:rsidR="00CD247E">
        <w:rPr>
          <w:rFonts w:ascii="Arial" w:hAnsi="Arial" w:cs="Arial"/>
          <w:sz w:val="24"/>
          <w:szCs w:val="24"/>
        </w:rPr>
        <w:t xml:space="preserve">Ohio </w:t>
      </w:r>
      <w:r w:rsidR="007C21E2" w:rsidRPr="00532AA2">
        <w:rPr>
          <w:rFonts w:ascii="Arial" w:hAnsi="Arial" w:cs="Arial"/>
          <w:sz w:val="24"/>
          <w:szCs w:val="24"/>
        </w:rPr>
        <w:t>natural gas utilities</w:t>
      </w:r>
      <w:r w:rsidR="000F1EC4" w:rsidRPr="00532AA2">
        <w:rPr>
          <w:rFonts w:ascii="Arial" w:hAnsi="Arial" w:cs="Arial"/>
          <w:sz w:val="24"/>
          <w:szCs w:val="24"/>
        </w:rPr>
        <w:t xml:space="preserve"> with</w:t>
      </w:r>
      <w:r w:rsidR="007C21E2" w:rsidRPr="00532AA2">
        <w:rPr>
          <w:rFonts w:ascii="Arial" w:hAnsi="Arial" w:cs="Arial"/>
          <w:sz w:val="24"/>
          <w:szCs w:val="24"/>
        </w:rPr>
        <w:t xml:space="preserve"> Choice program</w:t>
      </w:r>
      <w:r w:rsidR="000F1EC4" w:rsidRPr="00532AA2">
        <w:rPr>
          <w:rFonts w:ascii="Arial" w:hAnsi="Arial" w:cs="Arial"/>
          <w:sz w:val="24"/>
          <w:szCs w:val="24"/>
        </w:rPr>
        <w:t>s</w:t>
      </w:r>
      <w:r w:rsidR="007C21E2" w:rsidRPr="00532AA2">
        <w:rPr>
          <w:rFonts w:ascii="Arial" w:hAnsi="Arial" w:cs="Arial"/>
          <w:sz w:val="24"/>
          <w:szCs w:val="24"/>
        </w:rPr>
        <w:t xml:space="preserve"> </w:t>
      </w:r>
      <w:r w:rsidR="000F1EC4" w:rsidRPr="00532AA2">
        <w:rPr>
          <w:rFonts w:ascii="Arial" w:hAnsi="Arial" w:cs="Arial"/>
          <w:sz w:val="24"/>
          <w:szCs w:val="24"/>
        </w:rPr>
        <w:t>offer</w:t>
      </w:r>
      <w:r w:rsidR="007C21E2" w:rsidRPr="00532AA2">
        <w:rPr>
          <w:rFonts w:ascii="Arial" w:hAnsi="Arial" w:cs="Arial"/>
          <w:sz w:val="24"/>
          <w:szCs w:val="24"/>
        </w:rPr>
        <w:t xml:space="preserve"> POR to competitive suppliers. </w:t>
      </w:r>
      <w:r w:rsidR="004E37F2" w:rsidRPr="00532AA2">
        <w:rPr>
          <w:rFonts w:ascii="Arial" w:hAnsi="Arial" w:cs="Arial"/>
          <w:sz w:val="24"/>
          <w:szCs w:val="24"/>
        </w:rPr>
        <w:t>The</w:t>
      </w:r>
      <w:r w:rsidR="007C21E2" w:rsidRPr="00532AA2">
        <w:rPr>
          <w:rFonts w:ascii="Arial" w:hAnsi="Arial" w:cs="Arial"/>
          <w:sz w:val="24"/>
          <w:szCs w:val="24"/>
        </w:rPr>
        <w:t xml:space="preserve"> </w:t>
      </w:r>
      <w:r w:rsidRPr="00532AA2">
        <w:rPr>
          <w:rFonts w:ascii="Arial" w:hAnsi="Arial" w:cs="Arial"/>
          <w:sz w:val="24"/>
          <w:szCs w:val="24"/>
        </w:rPr>
        <w:t>Duke</w:t>
      </w:r>
      <w:r w:rsidR="004E37F2" w:rsidRPr="00532AA2">
        <w:rPr>
          <w:rFonts w:ascii="Arial" w:hAnsi="Arial" w:cs="Arial"/>
          <w:sz w:val="24"/>
          <w:szCs w:val="24"/>
        </w:rPr>
        <w:t xml:space="preserve"> Energy Ohio</w:t>
      </w:r>
      <w:r w:rsidRPr="00532AA2">
        <w:rPr>
          <w:rFonts w:ascii="Arial" w:hAnsi="Arial" w:cs="Arial"/>
          <w:sz w:val="24"/>
          <w:szCs w:val="24"/>
        </w:rPr>
        <w:t xml:space="preserve"> electric</w:t>
      </w:r>
      <w:r w:rsidR="004E37F2" w:rsidRPr="00532AA2">
        <w:rPr>
          <w:rFonts w:ascii="Arial" w:hAnsi="Arial" w:cs="Arial"/>
          <w:sz w:val="24"/>
          <w:szCs w:val="24"/>
        </w:rPr>
        <w:t xml:space="preserve"> utility</w:t>
      </w:r>
      <w:r w:rsidRPr="00532AA2">
        <w:rPr>
          <w:rFonts w:ascii="Arial" w:hAnsi="Arial" w:cs="Arial"/>
          <w:sz w:val="24"/>
          <w:szCs w:val="24"/>
        </w:rPr>
        <w:t xml:space="preserve"> </w:t>
      </w:r>
      <w:r w:rsidR="00597802" w:rsidRPr="00532AA2">
        <w:rPr>
          <w:rFonts w:ascii="Arial" w:hAnsi="Arial" w:cs="Arial"/>
          <w:sz w:val="24"/>
          <w:szCs w:val="24"/>
        </w:rPr>
        <w:t xml:space="preserve">has had a successful POR program for </w:t>
      </w:r>
      <w:r w:rsidR="004F146B" w:rsidRPr="00532AA2">
        <w:rPr>
          <w:rFonts w:ascii="Arial" w:hAnsi="Arial" w:cs="Arial"/>
          <w:sz w:val="24"/>
          <w:szCs w:val="24"/>
        </w:rPr>
        <w:t>several years</w:t>
      </w:r>
      <w:r w:rsidRPr="00532AA2">
        <w:rPr>
          <w:rFonts w:ascii="Arial" w:hAnsi="Arial" w:cs="Arial"/>
          <w:sz w:val="24"/>
          <w:szCs w:val="24"/>
        </w:rPr>
        <w:t xml:space="preserve">.  </w:t>
      </w:r>
      <w:r w:rsidR="004E37F2" w:rsidRPr="00532AA2">
        <w:rPr>
          <w:rFonts w:ascii="Arial" w:hAnsi="Arial" w:cs="Arial"/>
          <w:sz w:val="24"/>
          <w:szCs w:val="24"/>
        </w:rPr>
        <w:t>Also</w:t>
      </w:r>
      <w:r w:rsidR="000516C6" w:rsidRPr="00532AA2">
        <w:rPr>
          <w:rFonts w:ascii="Arial" w:hAnsi="Arial" w:cs="Arial"/>
          <w:sz w:val="24"/>
          <w:szCs w:val="24"/>
        </w:rPr>
        <w:t>,</w:t>
      </w:r>
      <w:r w:rsidR="00023A72" w:rsidRPr="00532AA2">
        <w:rPr>
          <w:rFonts w:ascii="Arial" w:hAnsi="Arial" w:cs="Arial"/>
          <w:sz w:val="24"/>
          <w:szCs w:val="24"/>
        </w:rPr>
        <w:t xml:space="preserve"> the number of</w:t>
      </w:r>
      <w:r w:rsidR="002B5AFB" w:rsidRPr="00532AA2">
        <w:rPr>
          <w:rFonts w:ascii="Arial" w:hAnsi="Arial" w:cs="Arial"/>
          <w:sz w:val="24"/>
          <w:szCs w:val="24"/>
        </w:rPr>
        <w:t xml:space="preserve"> POR programs </w:t>
      </w:r>
      <w:r w:rsidR="000F1EC4" w:rsidRPr="00532AA2">
        <w:rPr>
          <w:rFonts w:ascii="Arial" w:hAnsi="Arial" w:cs="Arial"/>
          <w:sz w:val="24"/>
          <w:szCs w:val="24"/>
        </w:rPr>
        <w:t>continues to grow</w:t>
      </w:r>
      <w:r w:rsidR="00023A72" w:rsidRPr="00532AA2">
        <w:rPr>
          <w:rFonts w:ascii="Arial" w:hAnsi="Arial" w:cs="Arial"/>
          <w:sz w:val="24"/>
          <w:szCs w:val="24"/>
        </w:rPr>
        <w:t xml:space="preserve">.  </w:t>
      </w:r>
      <w:r w:rsidR="000516C6" w:rsidRPr="00532AA2">
        <w:rPr>
          <w:rFonts w:ascii="Arial" w:hAnsi="Arial" w:cs="Arial"/>
          <w:sz w:val="24"/>
          <w:szCs w:val="24"/>
        </w:rPr>
        <w:t>For</w:t>
      </w:r>
      <w:r w:rsidR="00023A72" w:rsidRPr="00532AA2">
        <w:rPr>
          <w:rFonts w:ascii="Arial" w:hAnsi="Arial" w:cs="Arial"/>
          <w:sz w:val="24"/>
          <w:szCs w:val="24"/>
        </w:rPr>
        <w:t xml:space="preserve"> in</w:t>
      </w:r>
      <w:r w:rsidR="000516C6" w:rsidRPr="00532AA2">
        <w:rPr>
          <w:rFonts w:ascii="Arial" w:hAnsi="Arial" w:cs="Arial"/>
          <w:sz w:val="24"/>
          <w:szCs w:val="24"/>
        </w:rPr>
        <w:t>stance,</w:t>
      </w:r>
      <w:r w:rsidR="002B5AFB" w:rsidRPr="00532AA2">
        <w:rPr>
          <w:rFonts w:ascii="Arial" w:hAnsi="Arial" w:cs="Arial"/>
          <w:sz w:val="24"/>
          <w:szCs w:val="24"/>
        </w:rPr>
        <w:t xml:space="preserve"> in Maryland and Illinois POR was recently adopted by the</w:t>
      </w:r>
      <w:r w:rsidR="00502D84" w:rsidRPr="00532AA2">
        <w:rPr>
          <w:rFonts w:ascii="Arial" w:hAnsi="Arial" w:cs="Arial"/>
          <w:sz w:val="24"/>
          <w:szCs w:val="24"/>
        </w:rPr>
        <w:t xml:space="preserve"> major</w:t>
      </w:r>
      <w:r w:rsidR="002B5AFB" w:rsidRPr="00532AA2">
        <w:rPr>
          <w:rFonts w:ascii="Arial" w:hAnsi="Arial" w:cs="Arial"/>
          <w:sz w:val="24"/>
          <w:szCs w:val="24"/>
        </w:rPr>
        <w:t xml:space="preserve"> electric utilities. In</w:t>
      </w:r>
      <w:r w:rsidR="00023A72" w:rsidRPr="00532AA2">
        <w:rPr>
          <w:rFonts w:ascii="Arial" w:hAnsi="Arial" w:cs="Arial"/>
          <w:sz w:val="24"/>
          <w:szCs w:val="24"/>
        </w:rPr>
        <w:t xml:space="preserve"> Massachusetts </w:t>
      </w:r>
      <w:r w:rsidR="00502D84" w:rsidRPr="00532AA2">
        <w:rPr>
          <w:rFonts w:ascii="Arial" w:hAnsi="Arial" w:cs="Arial"/>
          <w:sz w:val="24"/>
          <w:szCs w:val="24"/>
        </w:rPr>
        <w:t>all</w:t>
      </w:r>
      <w:r w:rsidR="002B5AFB" w:rsidRPr="00532AA2">
        <w:rPr>
          <w:rFonts w:ascii="Arial" w:hAnsi="Arial" w:cs="Arial"/>
          <w:sz w:val="24"/>
          <w:szCs w:val="24"/>
        </w:rPr>
        <w:t xml:space="preserve"> major electric utilities will soon offer </w:t>
      </w:r>
      <w:r w:rsidR="000516C6" w:rsidRPr="00532AA2">
        <w:rPr>
          <w:rFonts w:ascii="Arial" w:hAnsi="Arial" w:cs="Arial"/>
          <w:sz w:val="24"/>
          <w:szCs w:val="24"/>
        </w:rPr>
        <w:t>POR programs</w:t>
      </w:r>
      <w:r w:rsidR="002B5AFB" w:rsidRPr="00532AA2">
        <w:rPr>
          <w:rFonts w:ascii="Arial" w:hAnsi="Arial" w:cs="Arial"/>
          <w:sz w:val="24"/>
          <w:szCs w:val="24"/>
        </w:rPr>
        <w:t xml:space="preserve">. </w:t>
      </w:r>
      <w:r w:rsidR="000516C6" w:rsidRPr="00532AA2">
        <w:rPr>
          <w:rFonts w:ascii="Arial" w:hAnsi="Arial" w:cs="Arial"/>
          <w:sz w:val="24"/>
          <w:szCs w:val="24"/>
        </w:rPr>
        <w:t xml:space="preserve"> </w:t>
      </w:r>
      <w:r w:rsidR="004E37F2" w:rsidRPr="00532AA2">
        <w:rPr>
          <w:rFonts w:ascii="Arial" w:hAnsi="Arial" w:cs="Arial"/>
          <w:sz w:val="24"/>
          <w:szCs w:val="24"/>
        </w:rPr>
        <w:t xml:space="preserve">Put simply, POR programs are, and continue to be, adopted </w:t>
      </w:r>
      <w:r w:rsidR="003C7E46" w:rsidRPr="00532AA2">
        <w:rPr>
          <w:rFonts w:ascii="Arial" w:hAnsi="Arial" w:cs="Arial"/>
          <w:sz w:val="24"/>
          <w:szCs w:val="24"/>
        </w:rPr>
        <w:t>throughout the U.S. because POR</w:t>
      </w:r>
      <w:r w:rsidR="002B5AFB" w:rsidRPr="00532AA2">
        <w:rPr>
          <w:rFonts w:ascii="Arial" w:hAnsi="Arial" w:cs="Arial"/>
          <w:sz w:val="24"/>
          <w:szCs w:val="24"/>
        </w:rPr>
        <w:t xml:space="preserve"> make sense</w:t>
      </w:r>
      <w:r w:rsidR="004E37F2" w:rsidRPr="00532AA2">
        <w:rPr>
          <w:rFonts w:ascii="Arial" w:hAnsi="Arial" w:cs="Arial"/>
          <w:sz w:val="24"/>
          <w:szCs w:val="24"/>
        </w:rPr>
        <w:t xml:space="preserve"> </w:t>
      </w:r>
      <w:r w:rsidR="004F5C68" w:rsidRPr="00532AA2">
        <w:rPr>
          <w:rFonts w:ascii="Arial" w:hAnsi="Arial" w:cs="Arial"/>
          <w:sz w:val="24"/>
          <w:szCs w:val="24"/>
        </w:rPr>
        <w:t xml:space="preserve">and is constructive </w:t>
      </w:r>
      <w:r w:rsidR="004E37F2" w:rsidRPr="00532AA2">
        <w:rPr>
          <w:rFonts w:ascii="Arial" w:hAnsi="Arial" w:cs="Arial"/>
          <w:sz w:val="24"/>
          <w:szCs w:val="24"/>
        </w:rPr>
        <w:t>for competitive markets</w:t>
      </w:r>
      <w:r w:rsidR="002B5AFB" w:rsidRPr="00532AA2">
        <w:rPr>
          <w:rFonts w:ascii="Arial" w:hAnsi="Arial" w:cs="Arial"/>
          <w:sz w:val="24"/>
          <w:szCs w:val="24"/>
        </w:rPr>
        <w:t xml:space="preserve">.  </w:t>
      </w:r>
      <w:r w:rsidR="00023A72" w:rsidRPr="00532AA2">
        <w:rPr>
          <w:rFonts w:ascii="Arial" w:hAnsi="Arial" w:cs="Arial"/>
          <w:sz w:val="24"/>
          <w:szCs w:val="24"/>
        </w:rPr>
        <w:t xml:space="preserve"> </w:t>
      </w:r>
      <w:r w:rsidRPr="00532AA2">
        <w:rPr>
          <w:rFonts w:ascii="Arial" w:hAnsi="Arial" w:cs="Arial"/>
          <w:sz w:val="24"/>
          <w:szCs w:val="24"/>
        </w:rPr>
        <w:t xml:space="preserve">  </w:t>
      </w:r>
    </w:p>
    <w:p w:rsidR="001F7F40" w:rsidRPr="00532AA2" w:rsidRDefault="002B5AFB" w:rsidP="00B329F4">
      <w:pPr>
        <w:spacing w:after="0" w:line="480" w:lineRule="auto"/>
        <w:ind w:firstLine="360"/>
        <w:rPr>
          <w:rFonts w:ascii="Arial" w:hAnsi="Arial" w:cs="Arial"/>
          <w:sz w:val="24"/>
          <w:szCs w:val="24"/>
        </w:rPr>
      </w:pPr>
      <w:r w:rsidRPr="00532AA2">
        <w:rPr>
          <w:rFonts w:ascii="Arial" w:hAnsi="Arial" w:cs="Arial"/>
          <w:sz w:val="24"/>
          <w:szCs w:val="24"/>
        </w:rPr>
        <w:t>POR makes sense</w:t>
      </w:r>
      <w:r w:rsidR="00023A72" w:rsidRPr="00532AA2">
        <w:rPr>
          <w:rFonts w:ascii="Arial" w:hAnsi="Arial" w:cs="Arial"/>
          <w:sz w:val="24"/>
          <w:szCs w:val="24"/>
        </w:rPr>
        <w:t xml:space="preserve"> because </w:t>
      </w:r>
      <w:r w:rsidR="001C4C85" w:rsidRPr="00532AA2">
        <w:rPr>
          <w:rFonts w:ascii="Arial" w:hAnsi="Arial" w:cs="Arial"/>
          <w:sz w:val="24"/>
          <w:szCs w:val="24"/>
        </w:rPr>
        <w:t>POR program</w:t>
      </w:r>
      <w:r w:rsidR="00023A72" w:rsidRPr="00532AA2">
        <w:rPr>
          <w:rFonts w:ascii="Arial" w:hAnsi="Arial" w:cs="Arial"/>
          <w:sz w:val="24"/>
          <w:szCs w:val="24"/>
        </w:rPr>
        <w:t>s</w:t>
      </w:r>
      <w:r w:rsidR="001C4C85" w:rsidRPr="00532AA2">
        <w:rPr>
          <w:rFonts w:ascii="Arial" w:hAnsi="Arial" w:cs="Arial"/>
          <w:sz w:val="24"/>
          <w:szCs w:val="24"/>
        </w:rPr>
        <w:t xml:space="preserve"> maximize the efficiency of the utilit</w:t>
      </w:r>
      <w:r w:rsidR="00CD247E">
        <w:rPr>
          <w:rFonts w:ascii="Arial" w:hAnsi="Arial" w:cs="Arial"/>
          <w:sz w:val="24"/>
          <w:szCs w:val="24"/>
        </w:rPr>
        <w:t>y’s</w:t>
      </w:r>
      <w:r w:rsidR="001C4C85" w:rsidRPr="00532AA2">
        <w:rPr>
          <w:rFonts w:ascii="Arial" w:hAnsi="Arial" w:cs="Arial"/>
          <w:sz w:val="24"/>
          <w:szCs w:val="24"/>
        </w:rPr>
        <w:t xml:space="preserve"> collect</w:t>
      </w:r>
      <w:r w:rsidR="00502D84" w:rsidRPr="00532AA2">
        <w:rPr>
          <w:rFonts w:ascii="Arial" w:hAnsi="Arial" w:cs="Arial"/>
          <w:sz w:val="24"/>
          <w:szCs w:val="24"/>
        </w:rPr>
        <w:t xml:space="preserve">ion and billing infrastructure </w:t>
      </w:r>
      <w:r w:rsidR="00023A72" w:rsidRPr="00532AA2">
        <w:rPr>
          <w:rFonts w:ascii="Arial" w:hAnsi="Arial" w:cs="Arial"/>
          <w:sz w:val="24"/>
          <w:szCs w:val="24"/>
        </w:rPr>
        <w:t>for the benefit of customers, the utility</w:t>
      </w:r>
      <w:r w:rsidR="004F5C68" w:rsidRPr="00532AA2">
        <w:rPr>
          <w:rFonts w:ascii="Arial" w:hAnsi="Arial" w:cs="Arial"/>
          <w:sz w:val="24"/>
          <w:szCs w:val="24"/>
        </w:rPr>
        <w:t>,</w:t>
      </w:r>
      <w:r w:rsidR="00023A72" w:rsidRPr="00532AA2">
        <w:rPr>
          <w:rFonts w:ascii="Arial" w:hAnsi="Arial" w:cs="Arial"/>
          <w:sz w:val="24"/>
          <w:szCs w:val="24"/>
        </w:rPr>
        <w:t xml:space="preserve"> and CRES supplier</w:t>
      </w:r>
      <w:r w:rsidR="004F5C68" w:rsidRPr="00532AA2">
        <w:rPr>
          <w:rFonts w:ascii="Arial" w:hAnsi="Arial" w:cs="Arial"/>
          <w:sz w:val="24"/>
          <w:szCs w:val="24"/>
        </w:rPr>
        <w:t>s</w:t>
      </w:r>
      <w:r w:rsidR="00023A72" w:rsidRPr="00532AA2">
        <w:rPr>
          <w:rFonts w:ascii="Arial" w:hAnsi="Arial" w:cs="Arial"/>
          <w:sz w:val="24"/>
          <w:szCs w:val="24"/>
        </w:rPr>
        <w:t>.</w:t>
      </w:r>
      <w:r w:rsidR="00B42522" w:rsidRPr="00532AA2">
        <w:rPr>
          <w:rFonts w:ascii="Arial" w:hAnsi="Arial" w:cs="Arial"/>
          <w:sz w:val="24"/>
          <w:szCs w:val="24"/>
        </w:rPr>
        <w:t xml:space="preserve"> </w:t>
      </w:r>
      <w:r w:rsidR="00023A72" w:rsidRPr="00532AA2">
        <w:rPr>
          <w:rFonts w:ascii="Arial" w:hAnsi="Arial" w:cs="Arial"/>
          <w:sz w:val="24"/>
          <w:szCs w:val="24"/>
        </w:rPr>
        <w:t>POR reduce</w:t>
      </w:r>
      <w:r w:rsidR="004F5C68" w:rsidRPr="00532AA2">
        <w:rPr>
          <w:rFonts w:ascii="Arial" w:hAnsi="Arial" w:cs="Arial"/>
          <w:sz w:val="24"/>
          <w:szCs w:val="24"/>
        </w:rPr>
        <w:t>s</w:t>
      </w:r>
      <w:r w:rsidR="00023A72" w:rsidRPr="00532AA2">
        <w:rPr>
          <w:rFonts w:ascii="Arial" w:hAnsi="Arial" w:cs="Arial"/>
          <w:sz w:val="24"/>
          <w:szCs w:val="24"/>
        </w:rPr>
        <w:t xml:space="preserve"> the system</w:t>
      </w:r>
      <w:r w:rsidR="004F5C68" w:rsidRPr="00532AA2">
        <w:rPr>
          <w:rFonts w:ascii="Arial" w:hAnsi="Arial" w:cs="Arial"/>
          <w:sz w:val="24"/>
          <w:szCs w:val="24"/>
        </w:rPr>
        <w:t>’</w:t>
      </w:r>
      <w:r w:rsidR="00023A72" w:rsidRPr="00532AA2">
        <w:rPr>
          <w:rFonts w:ascii="Arial" w:hAnsi="Arial" w:cs="Arial"/>
          <w:sz w:val="24"/>
          <w:szCs w:val="24"/>
        </w:rPr>
        <w:t xml:space="preserve">s net billing and collection costs, POR reduces customer confusion, POR attracts more competitive suppliers to the market, and ultimately POR results in lower priced </w:t>
      </w:r>
      <w:r w:rsidR="0030162A" w:rsidRPr="00532AA2">
        <w:rPr>
          <w:rFonts w:ascii="Arial" w:hAnsi="Arial" w:cs="Arial"/>
          <w:sz w:val="24"/>
          <w:szCs w:val="24"/>
        </w:rPr>
        <w:t xml:space="preserve">and more dynamic </w:t>
      </w:r>
      <w:r w:rsidR="00023A72" w:rsidRPr="00532AA2">
        <w:rPr>
          <w:rFonts w:ascii="Arial" w:hAnsi="Arial" w:cs="Arial"/>
          <w:sz w:val="24"/>
          <w:szCs w:val="24"/>
        </w:rPr>
        <w:t>electric offers to customers.</w:t>
      </w:r>
    </w:p>
    <w:p w:rsidR="002B5AFB" w:rsidRPr="00532AA2" w:rsidRDefault="002B5AFB" w:rsidP="00B329F4">
      <w:pPr>
        <w:spacing w:after="0" w:line="480" w:lineRule="auto"/>
        <w:ind w:firstLine="360"/>
        <w:rPr>
          <w:rFonts w:ascii="Arial" w:hAnsi="Arial" w:cs="Arial"/>
          <w:sz w:val="24"/>
          <w:szCs w:val="24"/>
        </w:rPr>
      </w:pPr>
      <w:r w:rsidRPr="00532AA2">
        <w:rPr>
          <w:rFonts w:ascii="Arial" w:hAnsi="Arial" w:cs="Arial"/>
          <w:sz w:val="24"/>
          <w:szCs w:val="24"/>
        </w:rPr>
        <w:t>In a typical POR program the utility purchases competitive suppliers</w:t>
      </w:r>
      <w:r w:rsidR="004F5C68" w:rsidRPr="00532AA2">
        <w:rPr>
          <w:rFonts w:ascii="Arial" w:hAnsi="Arial" w:cs="Arial"/>
          <w:sz w:val="24"/>
          <w:szCs w:val="24"/>
        </w:rPr>
        <w:t>’</w:t>
      </w:r>
      <w:r w:rsidRPr="00532AA2">
        <w:rPr>
          <w:rFonts w:ascii="Arial" w:hAnsi="Arial" w:cs="Arial"/>
          <w:sz w:val="24"/>
          <w:szCs w:val="24"/>
        </w:rPr>
        <w:t xml:space="preserve"> account</w:t>
      </w:r>
      <w:r w:rsidR="00CD247E">
        <w:rPr>
          <w:rFonts w:ascii="Arial" w:hAnsi="Arial" w:cs="Arial"/>
          <w:sz w:val="24"/>
          <w:szCs w:val="24"/>
        </w:rPr>
        <w:t>s</w:t>
      </w:r>
      <w:r w:rsidRPr="00532AA2">
        <w:rPr>
          <w:rFonts w:ascii="Arial" w:hAnsi="Arial" w:cs="Arial"/>
          <w:sz w:val="24"/>
          <w:szCs w:val="24"/>
        </w:rPr>
        <w:t xml:space="preserve"> receivables, an</w:t>
      </w:r>
      <w:r w:rsidR="004E37F2" w:rsidRPr="00532AA2">
        <w:rPr>
          <w:rFonts w:ascii="Arial" w:hAnsi="Arial" w:cs="Arial"/>
          <w:sz w:val="24"/>
          <w:szCs w:val="24"/>
        </w:rPr>
        <w:t>d then uses t</w:t>
      </w:r>
      <w:r w:rsidR="004F5C68" w:rsidRPr="00532AA2">
        <w:rPr>
          <w:rFonts w:ascii="Arial" w:hAnsi="Arial" w:cs="Arial"/>
          <w:sz w:val="24"/>
          <w:szCs w:val="24"/>
        </w:rPr>
        <w:t>he</w:t>
      </w:r>
      <w:r w:rsidR="004E37F2" w:rsidRPr="00532AA2">
        <w:rPr>
          <w:rFonts w:ascii="Arial" w:hAnsi="Arial" w:cs="Arial"/>
          <w:sz w:val="24"/>
          <w:szCs w:val="24"/>
        </w:rPr>
        <w:t xml:space="preserve"> utility’s</w:t>
      </w:r>
      <w:r w:rsidRPr="00532AA2">
        <w:rPr>
          <w:rFonts w:ascii="Arial" w:hAnsi="Arial" w:cs="Arial"/>
          <w:sz w:val="24"/>
          <w:szCs w:val="24"/>
        </w:rPr>
        <w:t xml:space="preserve"> existing billing and collections infrastructure to bill and collect on the CRES customers</w:t>
      </w:r>
      <w:r w:rsidR="004F5C68" w:rsidRPr="00532AA2">
        <w:rPr>
          <w:rFonts w:ascii="Arial" w:hAnsi="Arial" w:cs="Arial"/>
          <w:sz w:val="24"/>
          <w:szCs w:val="24"/>
        </w:rPr>
        <w:t>’</w:t>
      </w:r>
      <w:r w:rsidRPr="00532AA2">
        <w:rPr>
          <w:rFonts w:ascii="Arial" w:hAnsi="Arial" w:cs="Arial"/>
          <w:sz w:val="24"/>
          <w:szCs w:val="24"/>
        </w:rPr>
        <w:t xml:space="preserve"> accounts.</w:t>
      </w:r>
      <w:r w:rsidR="00502D84" w:rsidRPr="00532AA2">
        <w:rPr>
          <w:rFonts w:ascii="Arial" w:hAnsi="Arial" w:cs="Arial"/>
          <w:sz w:val="24"/>
          <w:szCs w:val="24"/>
        </w:rPr>
        <w:t xml:space="preserve">  </w:t>
      </w:r>
      <w:r w:rsidR="004E37F2" w:rsidRPr="00532AA2">
        <w:rPr>
          <w:rFonts w:ascii="Arial" w:hAnsi="Arial" w:cs="Arial"/>
          <w:sz w:val="24"/>
          <w:szCs w:val="24"/>
        </w:rPr>
        <w:t xml:space="preserve">Why would the utility </w:t>
      </w:r>
      <w:r w:rsidR="00793C17" w:rsidRPr="00532AA2">
        <w:rPr>
          <w:rFonts w:ascii="Arial" w:hAnsi="Arial" w:cs="Arial"/>
          <w:sz w:val="24"/>
          <w:szCs w:val="24"/>
        </w:rPr>
        <w:t xml:space="preserve">purchase </w:t>
      </w:r>
      <w:r w:rsidR="004E37F2" w:rsidRPr="00532AA2">
        <w:rPr>
          <w:rFonts w:ascii="Arial" w:hAnsi="Arial" w:cs="Arial"/>
          <w:sz w:val="24"/>
          <w:szCs w:val="24"/>
        </w:rPr>
        <w:t>CRES supplier</w:t>
      </w:r>
      <w:r w:rsidR="00793C17" w:rsidRPr="00532AA2">
        <w:rPr>
          <w:rFonts w:ascii="Arial" w:hAnsi="Arial" w:cs="Arial"/>
          <w:sz w:val="24"/>
          <w:szCs w:val="24"/>
        </w:rPr>
        <w:t>’</w:t>
      </w:r>
      <w:r w:rsidR="004E37F2" w:rsidRPr="00532AA2">
        <w:rPr>
          <w:rFonts w:ascii="Arial" w:hAnsi="Arial" w:cs="Arial"/>
          <w:sz w:val="24"/>
          <w:szCs w:val="24"/>
        </w:rPr>
        <w:t>s</w:t>
      </w:r>
      <w:r w:rsidR="00793C17" w:rsidRPr="00532AA2">
        <w:rPr>
          <w:rFonts w:ascii="Arial" w:hAnsi="Arial" w:cs="Arial"/>
          <w:sz w:val="24"/>
          <w:szCs w:val="24"/>
        </w:rPr>
        <w:t xml:space="preserve"> receivables</w:t>
      </w:r>
      <w:r w:rsidR="004E37F2" w:rsidRPr="00532AA2">
        <w:rPr>
          <w:rFonts w:ascii="Arial" w:hAnsi="Arial" w:cs="Arial"/>
          <w:sz w:val="24"/>
          <w:szCs w:val="24"/>
        </w:rPr>
        <w:t xml:space="preserve">, one might </w:t>
      </w:r>
      <w:r w:rsidR="004F146B" w:rsidRPr="00532AA2">
        <w:rPr>
          <w:rFonts w:ascii="Arial" w:hAnsi="Arial" w:cs="Arial"/>
          <w:sz w:val="24"/>
          <w:szCs w:val="24"/>
        </w:rPr>
        <w:t>ask?  The reasons are many</w:t>
      </w:r>
      <w:r w:rsidR="004E37F2" w:rsidRPr="00532AA2">
        <w:rPr>
          <w:rFonts w:ascii="Arial" w:hAnsi="Arial" w:cs="Arial"/>
          <w:sz w:val="24"/>
          <w:szCs w:val="24"/>
        </w:rPr>
        <w:t>.</w:t>
      </w:r>
    </w:p>
    <w:p w:rsidR="0002605C" w:rsidRPr="00532AA2" w:rsidRDefault="007C23AB" w:rsidP="0002605C">
      <w:pPr>
        <w:pStyle w:val="ListParagraph"/>
        <w:numPr>
          <w:ilvl w:val="0"/>
          <w:numId w:val="12"/>
        </w:numPr>
        <w:spacing w:after="0" w:line="480" w:lineRule="auto"/>
        <w:rPr>
          <w:rFonts w:ascii="Arial" w:hAnsi="Arial" w:cs="Arial"/>
          <w:sz w:val="24"/>
          <w:szCs w:val="24"/>
        </w:rPr>
      </w:pPr>
      <w:r w:rsidRPr="00532AA2">
        <w:rPr>
          <w:rFonts w:ascii="Arial" w:hAnsi="Arial" w:cs="Arial"/>
          <w:b/>
          <w:sz w:val="24"/>
          <w:szCs w:val="24"/>
        </w:rPr>
        <w:t xml:space="preserve">It is </w:t>
      </w:r>
      <w:proofErr w:type="gramStart"/>
      <w:r w:rsidRPr="00532AA2">
        <w:rPr>
          <w:rFonts w:ascii="Arial" w:hAnsi="Arial" w:cs="Arial"/>
          <w:b/>
          <w:sz w:val="24"/>
          <w:szCs w:val="24"/>
        </w:rPr>
        <w:t>an anti-competitive subsidy to have all customers</w:t>
      </w:r>
      <w:r w:rsidR="004E37F2" w:rsidRPr="00532AA2">
        <w:rPr>
          <w:rFonts w:ascii="Arial" w:hAnsi="Arial" w:cs="Arial"/>
          <w:b/>
          <w:sz w:val="24"/>
          <w:szCs w:val="24"/>
        </w:rPr>
        <w:t xml:space="preserve"> pay</w:t>
      </w:r>
      <w:proofErr w:type="gramEnd"/>
      <w:r w:rsidR="004E37F2" w:rsidRPr="00532AA2">
        <w:rPr>
          <w:rFonts w:ascii="Arial" w:hAnsi="Arial" w:cs="Arial"/>
          <w:b/>
          <w:sz w:val="24"/>
          <w:szCs w:val="24"/>
        </w:rPr>
        <w:t xml:space="preserve"> for the utility collections infrastructure </w:t>
      </w:r>
      <w:r w:rsidR="00CD247E">
        <w:rPr>
          <w:rFonts w:ascii="Arial" w:hAnsi="Arial" w:cs="Arial"/>
          <w:b/>
          <w:sz w:val="24"/>
          <w:szCs w:val="24"/>
        </w:rPr>
        <w:t>if that infrastructure is</w:t>
      </w:r>
      <w:r w:rsidRPr="00532AA2">
        <w:rPr>
          <w:rFonts w:ascii="Arial" w:hAnsi="Arial" w:cs="Arial"/>
          <w:b/>
          <w:sz w:val="24"/>
          <w:szCs w:val="24"/>
        </w:rPr>
        <w:t xml:space="preserve"> only used to collect on default service account</w:t>
      </w:r>
      <w:r w:rsidR="0009648F" w:rsidRPr="00532AA2">
        <w:rPr>
          <w:rFonts w:ascii="Arial" w:hAnsi="Arial" w:cs="Arial"/>
          <w:b/>
          <w:sz w:val="24"/>
          <w:szCs w:val="24"/>
        </w:rPr>
        <w:t>s</w:t>
      </w:r>
      <w:r w:rsidR="004E37F2" w:rsidRPr="00532AA2">
        <w:rPr>
          <w:rFonts w:ascii="Arial" w:hAnsi="Arial" w:cs="Arial"/>
          <w:b/>
          <w:sz w:val="24"/>
          <w:szCs w:val="24"/>
        </w:rPr>
        <w:t xml:space="preserve">. </w:t>
      </w:r>
    </w:p>
    <w:p w:rsidR="004E37F2" w:rsidRPr="00532AA2" w:rsidRDefault="00CD247E" w:rsidP="0002605C">
      <w:pPr>
        <w:spacing w:after="0" w:line="480" w:lineRule="auto"/>
        <w:ind w:firstLine="360"/>
        <w:rPr>
          <w:rFonts w:ascii="Arial" w:hAnsi="Arial" w:cs="Arial"/>
          <w:sz w:val="24"/>
          <w:szCs w:val="24"/>
        </w:rPr>
      </w:pPr>
      <w:r>
        <w:rPr>
          <w:rFonts w:ascii="Arial" w:hAnsi="Arial" w:cs="Arial"/>
          <w:sz w:val="24"/>
          <w:szCs w:val="24"/>
        </w:rPr>
        <w:lastRenderedPageBreak/>
        <w:t>A u</w:t>
      </w:r>
      <w:r w:rsidR="004A0FA6" w:rsidRPr="00532AA2">
        <w:rPr>
          <w:rFonts w:ascii="Arial" w:hAnsi="Arial" w:cs="Arial"/>
          <w:sz w:val="24"/>
          <w:szCs w:val="24"/>
        </w:rPr>
        <w:t>tilit</w:t>
      </w:r>
      <w:r>
        <w:rPr>
          <w:rFonts w:ascii="Arial" w:hAnsi="Arial" w:cs="Arial"/>
          <w:sz w:val="24"/>
          <w:szCs w:val="24"/>
        </w:rPr>
        <w:t>y’</w:t>
      </w:r>
      <w:r w:rsidR="004A0FA6" w:rsidRPr="00532AA2">
        <w:rPr>
          <w:rFonts w:ascii="Arial" w:hAnsi="Arial" w:cs="Arial"/>
          <w:sz w:val="24"/>
          <w:szCs w:val="24"/>
        </w:rPr>
        <w:t>s</w:t>
      </w:r>
      <w:r w:rsidR="004E37F2" w:rsidRPr="00532AA2">
        <w:rPr>
          <w:rFonts w:ascii="Arial" w:hAnsi="Arial" w:cs="Arial"/>
          <w:sz w:val="24"/>
          <w:szCs w:val="24"/>
        </w:rPr>
        <w:t xml:space="preserve"> </w:t>
      </w:r>
      <w:r w:rsidR="007C23AB" w:rsidRPr="00532AA2">
        <w:rPr>
          <w:rFonts w:ascii="Arial" w:hAnsi="Arial" w:cs="Arial"/>
          <w:sz w:val="24"/>
          <w:szCs w:val="24"/>
        </w:rPr>
        <w:t xml:space="preserve">past due </w:t>
      </w:r>
      <w:r w:rsidR="004E37F2" w:rsidRPr="00532AA2">
        <w:rPr>
          <w:rFonts w:ascii="Arial" w:hAnsi="Arial" w:cs="Arial"/>
          <w:sz w:val="24"/>
          <w:szCs w:val="24"/>
        </w:rPr>
        <w:t>collections</w:t>
      </w:r>
      <w:r w:rsidR="004A0FA6" w:rsidRPr="00532AA2">
        <w:rPr>
          <w:rFonts w:ascii="Arial" w:hAnsi="Arial" w:cs="Arial"/>
          <w:sz w:val="24"/>
          <w:szCs w:val="24"/>
        </w:rPr>
        <w:t xml:space="preserve"> costs</w:t>
      </w:r>
      <w:r w:rsidR="004E37F2" w:rsidRPr="00532AA2">
        <w:rPr>
          <w:rFonts w:ascii="Arial" w:hAnsi="Arial" w:cs="Arial"/>
          <w:sz w:val="24"/>
          <w:szCs w:val="24"/>
        </w:rPr>
        <w:t xml:space="preserve"> are recovered through utility distribution rates.  This includes accounting and IT software, billing costs, and employees</w:t>
      </w:r>
      <w:r w:rsidR="007C23AB" w:rsidRPr="00532AA2">
        <w:rPr>
          <w:rFonts w:ascii="Arial" w:hAnsi="Arial" w:cs="Arial"/>
          <w:sz w:val="24"/>
          <w:szCs w:val="24"/>
        </w:rPr>
        <w:t xml:space="preserve"> that are dedicated to collecting past due accounts</w:t>
      </w:r>
      <w:r w:rsidR="004E37F2" w:rsidRPr="00532AA2">
        <w:rPr>
          <w:rFonts w:ascii="Arial" w:hAnsi="Arial" w:cs="Arial"/>
          <w:sz w:val="24"/>
          <w:szCs w:val="24"/>
        </w:rPr>
        <w:t xml:space="preserve">.  </w:t>
      </w:r>
      <w:r w:rsidR="004A0FA6" w:rsidRPr="00532AA2">
        <w:rPr>
          <w:rFonts w:ascii="Arial" w:hAnsi="Arial" w:cs="Arial"/>
          <w:sz w:val="24"/>
          <w:szCs w:val="24"/>
        </w:rPr>
        <w:t>However, in a non-POR market, shopping customers do not get the benefit of the</w:t>
      </w:r>
      <w:r w:rsidR="00141D40" w:rsidRPr="00532AA2">
        <w:rPr>
          <w:rFonts w:ascii="Arial" w:hAnsi="Arial" w:cs="Arial"/>
          <w:sz w:val="24"/>
          <w:szCs w:val="24"/>
        </w:rPr>
        <w:t>se</w:t>
      </w:r>
      <w:r w:rsidR="004A0FA6" w:rsidRPr="00532AA2">
        <w:rPr>
          <w:rFonts w:ascii="Arial" w:hAnsi="Arial" w:cs="Arial"/>
          <w:sz w:val="24"/>
          <w:szCs w:val="24"/>
        </w:rPr>
        <w:t xml:space="preserve"> costs.  Rather, CRES suppliers must establish their own </w:t>
      </w:r>
      <w:r w:rsidR="009D136B" w:rsidRPr="00532AA2">
        <w:rPr>
          <w:rFonts w:ascii="Arial" w:hAnsi="Arial" w:cs="Arial"/>
          <w:sz w:val="24"/>
          <w:szCs w:val="24"/>
        </w:rPr>
        <w:t xml:space="preserve">billing and </w:t>
      </w:r>
      <w:r w:rsidR="004A0FA6" w:rsidRPr="00532AA2">
        <w:rPr>
          <w:rFonts w:ascii="Arial" w:hAnsi="Arial" w:cs="Arial"/>
          <w:sz w:val="24"/>
          <w:szCs w:val="24"/>
        </w:rPr>
        <w:t>collections infrastructure,</w:t>
      </w:r>
      <w:r w:rsidR="00141D40" w:rsidRPr="00532AA2">
        <w:rPr>
          <w:rFonts w:ascii="Arial" w:hAnsi="Arial" w:cs="Arial"/>
          <w:sz w:val="24"/>
          <w:szCs w:val="24"/>
        </w:rPr>
        <w:t xml:space="preserve"> often redundant of the utilities</w:t>
      </w:r>
      <w:r w:rsidR="004F5C68" w:rsidRPr="00532AA2">
        <w:rPr>
          <w:rFonts w:ascii="Arial" w:hAnsi="Arial" w:cs="Arial"/>
          <w:sz w:val="24"/>
          <w:szCs w:val="24"/>
        </w:rPr>
        <w:t>’</w:t>
      </w:r>
      <w:r w:rsidR="00141D40" w:rsidRPr="00532AA2">
        <w:rPr>
          <w:rFonts w:ascii="Arial" w:hAnsi="Arial" w:cs="Arial"/>
          <w:sz w:val="24"/>
          <w:szCs w:val="24"/>
        </w:rPr>
        <w:t xml:space="preserve">, in order to collect on non-paying accounts.  </w:t>
      </w:r>
      <w:r w:rsidR="004A0FA6" w:rsidRPr="00532AA2">
        <w:rPr>
          <w:rFonts w:ascii="Arial" w:hAnsi="Arial" w:cs="Arial"/>
          <w:sz w:val="24"/>
          <w:szCs w:val="24"/>
        </w:rPr>
        <w:t xml:space="preserve"> </w:t>
      </w:r>
      <w:r w:rsidR="00141D40" w:rsidRPr="00532AA2">
        <w:rPr>
          <w:rFonts w:ascii="Arial" w:hAnsi="Arial" w:cs="Arial"/>
          <w:sz w:val="24"/>
          <w:szCs w:val="24"/>
        </w:rPr>
        <w:t xml:space="preserve">The </w:t>
      </w:r>
      <w:r w:rsidR="000F47BB" w:rsidRPr="00532AA2">
        <w:rPr>
          <w:rFonts w:ascii="Arial" w:hAnsi="Arial" w:cs="Arial"/>
          <w:sz w:val="24"/>
          <w:szCs w:val="24"/>
        </w:rPr>
        <w:t xml:space="preserve">billing and </w:t>
      </w:r>
      <w:r w:rsidR="00141D40" w:rsidRPr="00532AA2">
        <w:rPr>
          <w:rFonts w:ascii="Arial" w:hAnsi="Arial" w:cs="Arial"/>
          <w:sz w:val="24"/>
          <w:szCs w:val="24"/>
        </w:rPr>
        <w:t>collection cost to CRES suppliers is not trivial</w:t>
      </w:r>
      <w:r w:rsidR="009D136B" w:rsidRPr="00532AA2">
        <w:rPr>
          <w:rFonts w:ascii="Arial" w:hAnsi="Arial" w:cs="Arial"/>
          <w:sz w:val="24"/>
          <w:szCs w:val="24"/>
        </w:rPr>
        <w:t xml:space="preserve"> and</w:t>
      </w:r>
      <w:r w:rsidR="00141D40" w:rsidRPr="00532AA2">
        <w:rPr>
          <w:rFonts w:ascii="Arial" w:hAnsi="Arial" w:cs="Arial"/>
          <w:sz w:val="24"/>
          <w:szCs w:val="24"/>
        </w:rPr>
        <w:t xml:space="preserve"> s</w:t>
      </w:r>
      <w:r w:rsidR="00CD5E2F" w:rsidRPr="00532AA2">
        <w:rPr>
          <w:rFonts w:ascii="Arial" w:hAnsi="Arial" w:cs="Arial"/>
          <w:sz w:val="24"/>
          <w:szCs w:val="24"/>
        </w:rPr>
        <w:t>ince</w:t>
      </w:r>
      <w:r w:rsidR="00141D40" w:rsidRPr="00532AA2">
        <w:rPr>
          <w:rFonts w:ascii="Arial" w:hAnsi="Arial" w:cs="Arial"/>
          <w:sz w:val="24"/>
          <w:szCs w:val="24"/>
        </w:rPr>
        <w:t xml:space="preserve"> </w:t>
      </w:r>
      <w:r w:rsidR="0030162A" w:rsidRPr="00532AA2">
        <w:rPr>
          <w:rFonts w:ascii="Arial" w:hAnsi="Arial" w:cs="Arial"/>
          <w:sz w:val="24"/>
          <w:szCs w:val="24"/>
        </w:rPr>
        <w:t xml:space="preserve">not having POR increases </w:t>
      </w:r>
      <w:r w:rsidR="00141D40" w:rsidRPr="00532AA2">
        <w:rPr>
          <w:rFonts w:ascii="Arial" w:hAnsi="Arial" w:cs="Arial"/>
          <w:sz w:val="24"/>
          <w:szCs w:val="24"/>
        </w:rPr>
        <w:t>CRES supplier</w:t>
      </w:r>
      <w:r w:rsidR="0030162A" w:rsidRPr="00532AA2">
        <w:rPr>
          <w:rFonts w:ascii="Arial" w:hAnsi="Arial" w:cs="Arial"/>
          <w:sz w:val="24"/>
          <w:szCs w:val="24"/>
        </w:rPr>
        <w:t xml:space="preserve"> costs,</w:t>
      </w:r>
      <w:r w:rsidR="004F146B" w:rsidRPr="00532AA2">
        <w:rPr>
          <w:rFonts w:ascii="Arial" w:hAnsi="Arial" w:cs="Arial"/>
          <w:sz w:val="24"/>
          <w:szCs w:val="24"/>
        </w:rPr>
        <w:t xml:space="preserve"> these costs are </w:t>
      </w:r>
      <w:r w:rsidR="004F5C68" w:rsidRPr="00532AA2">
        <w:rPr>
          <w:rFonts w:ascii="Arial" w:hAnsi="Arial" w:cs="Arial"/>
          <w:sz w:val="24"/>
          <w:szCs w:val="24"/>
        </w:rPr>
        <w:t xml:space="preserve">ultimately </w:t>
      </w:r>
      <w:r w:rsidR="00141D40" w:rsidRPr="00532AA2">
        <w:rPr>
          <w:rFonts w:ascii="Arial" w:hAnsi="Arial" w:cs="Arial"/>
          <w:sz w:val="24"/>
          <w:szCs w:val="24"/>
        </w:rPr>
        <w:t>reflected in CRES suppliers</w:t>
      </w:r>
      <w:r w:rsidR="004F5C68" w:rsidRPr="00532AA2">
        <w:rPr>
          <w:rFonts w:ascii="Arial" w:hAnsi="Arial" w:cs="Arial"/>
          <w:sz w:val="24"/>
          <w:szCs w:val="24"/>
        </w:rPr>
        <w:t>’</w:t>
      </w:r>
      <w:r w:rsidR="00141D40" w:rsidRPr="00532AA2">
        <w:rPr>
          <w:rFonts w:ascii="Arial" w:hAnsi="Arial" w:cs="Arial"/>
          <w:sz w:val="24"/>
          <w:szCs w:val="24"/>
        </w:rPr>
        <w:t xml:space="preserve"> offers to customers.</w:t>
      </w:r>
    </w:p>
    <w:p w:rsidR="0002605C" w:rsidRPr="00532AA2" w:rsidRDefault="0002605C" w:rsidP="00E710AC">
      <w:pPr>
        <w:spacing w:after="0" w:line="480" w:lineRule="auto"/>
        <w:ind w:firstLine="360"/>
        <w:rPr>
          <w:rFonts w:ascii="Arial" w:hAnsi="Arial" w:cs="Arial"/>
          <w:sz w:val="24"/>
          <w:szCs w:val="24"/>
        </w:rPr>
      </w:pPr>
      <w:r w:rsidRPr="00532AA2">
        <w:rPr>
          <w:rFonts w:ascii="Arial" w:hAnsi="Arial" w:cs="Arial"/>
          <w:sz w:val="24"/>
          <w:szCs w:val="24"/>
        </w:rPr>
        <w:t xml:space="preserve">Requiring CRES customers to pay for the collections activities and infrastructure </w:t>
      </w:r>
      <w:r w:rsidR="007C23AB" w:rsidRPr="00532AA2">
        <w:rPr>
          <w:rFonts w:ascii="Arial" w:hAnsi="Arial" w:cs="Arial"/>
          <w:sz w:val="24"/>
          <w:szCs w:val="24"/>
        </w:rPr>
        <w:t>used only for</w:t>
      </w:r>
      <w:r w:rsidRPr="00532AA2">
        <w:rPr>
          <w:rFonts w:ascii="Arial" w:hAnsi="Arial" w:cs="Arial"/>
          <w:sz w:val="24"/>
          <w:szCs w:val="24"/>
        </w:rPr>
        <w:t xml:space="preserve"> default service customers is an anticompetitive subsidy in the retail electric marketplace. R.C. 4928.02(H) provides that it is the policy of the state of Ohio to ensure "effective competition in the provision of retail electric service by avoiding anticompetitive subsidies." In a non-POR market, the default service rate is advantaged because the cost of collection of the default service commodity is paid for by all distribution ratepayers.  On the other hand, shopping customers must pay the cost of collecting on past due default service commodity </w:t>
      </w:r>
      <w:r w:rsidRPr="00532AA2">
        <w:rPr>
          <w:rFonts w:ascii="Arial" w:hAnsi="Arial" w:cs="Arial"/>
          <w:i/>
          <w:sz w:val="24"/>
          <w:szCs w:val="24"/>
        </w:rPr>
        <w:t>in addition to</w:t>
      </w:r>
      <w:r w:rsidRPr="00532AA2">
        <w:rPr>
          <w:rFonts w:ascii="Arial" w:hAnsi="Arial" w:cs="Arial"/>
          <w:sz w:val="24"/>
          <w:szCs w:val="24"/>
        </w:rPr>
        <w:t xml:space="preserve"> the cost of CRES supplier collections on past due accounts which is reflected in the CRES supplier charges.  This subsidy distorts prices by artificially suppressing the default service rate and artificially increasing prices for shopping customers.  Subsidies are bad for competition and contrary to R.C. 4928.02(H).  Adopting POR would remedy this subsidy by requiring shopping customers and default service customers to pa</w:t>
      </w:r>
      <w:r w:rsidR="00E710AC">
        <w:rPr>
          <w:rFonts w:ascii="Arial" w:hAnsi="Arial" w:cs="Arial"/>
          <w:sz w:val="24"/>
          <w:szCs w:val="24"/>
        </w:rPr>
        <w:t>y for collection costs equally.</w:t>
      </w:r>
    </w:p>
    <w:p w:rsidR="007C23AB" w:rsidRPr="00532AA2" w:rsidRDefault="007C23AB" w:rsidP="007C23AB">
      <w:pPr>
        <w:pStyle w:val="ListParagraph"/>
        <w:numPr>
          <w:ilvl w:val="0"/>
          <w:numId w:val="12"/>
        </w:numPr>
        <w:spacing w:after="0" w:line="480" w:lineRule="auto"/>
        <w:rPr>
          <w:rFonts w:ascii="Arial" w:hAnsi="Arial" w:cs="Arial"/>
          <w:sz w:val="24"/>
          <w:szCs w:val="24"/>
        </w:rPr>
      </w:pPr>
      <w:r w:rsidRPr="00532AA2">
        <w:rPr>
          <w:rFonts w:ascii="Arial" w:hAnsi="Arial" w:cs="Arial"/>
          <w:b/>
          <w:sz w:val="24"/>
          <w:szCs w:val="24"/>
        </w:rPr>
        <w:lastRenderedPageBreak/>
        <w:t>M</w:t>
      </w:r>
      <w:r w:rsidR="00141D40" w:rsidRPr="00532AA2">
        <w:rPr>
          <w:rFonts w:ascii="Arial" w:hAnsi="Arial" w:cs="Arial"/>
          <w:b/>
          <w:sz w:val="24"/>
          <w:szCs w:val="24"/>
        </w:rPr>
        <w:t>ore CRES suppliers are attracted to competitive market</w:t>
      </w:r>
      <w:r w:rsidR="00CD5E2F" w:rsidRPr="00532AA2">
        <w:rPr>
          <w:rFonts w:ascii="Arial" w:hAnsi="Arial" w:cs="Arial"/>
          <w:b/>
          <w:sz w:val="24"/>
          <w:szCs w:val="24"/>
        </w:rPr>
        <w:t xml:space="preserve">s </w:t>
      </w:r>
      <w:r w:rsidR="00572932" w:rsidRPr="00532AA2">
        <w:rPr>
          <w:rFonts w:ascii="Arial" w:hAnsi="Arial" w:cs="Arial"/>
          <w:b/>
          <w:sz w:val="24"/>
          <w:szCs w:val="24"/>
        </w:rPr>
        <w:t>with</w:t>
      </w:r>
      <w:r w:rsidR="00CD5E2F" w:rsidRPr="00532AA2">
        <w:rPr>
          <w:rFonts w:ascii="Arial" w:hAnsi="Arial" w:cs="Arial"/>
          <w:b/>
          <w:sz w:val="24"/>
          <w:szCs w:val="24"/>
        </w:rPr>
        <w:t xml:space="preserve"> POR</w:t>
      </w:r>
      <w:r w:rsidR="00572932" w:rsidRPr="00532AA2">
        <w:rPr>
          <w:rFonts w:ascii="Arial" w:hAnsi="Arial" w:cs="Arial"/>
          <w:b/>
          <w:sz w:val="24"/>
          <w:szCs w:val="24"/>
        </w:rPr>
        <w:t xml:space="preserve"> programs</w:t>
      </w:r>
      <w:r w:rsidRPr="00532AA2">
        <w:rPr>
          <w:rFonts w:ascii="Arial" w:hAnsi="Arial" w:cs="Arial"/>
          <w:b/>
          <w:sz w:val="24"/>
          <w:szCs w:val="24"/>
        </w:rPr>
        <w:t>.</w:t>
      </w:r>
      <w:r w:rsidR="00572932" w:rsidRPr="00532AA2">
        <w:rPr>
          <w:rFonts w:ascii="Arial" w:hAnsi="Arial" w:cs="Arial"/>
          <w:sz w:val="24"/>
          <w:szCs w:val="24"/>
        </w:rPr>
        <w:t xml:space="preserve"> </w:t>
      </w:r>
    </w:p>
    <w:p w:rsidR="002E0340" w:rsidRPr="00532AA2" w:rsidRDefault="002E0340" w:rsidP="002E0340">
      <w:pPr>
        <w:spacing w:after="0" w:line="480" w:lineRule="auto"/>
        <w:ind w:firstLine="360"/>
        <w:rPr>
          <w:rFonts w:ascii="Arial" w:hAnsi="Arial" w:cs="Arial"/>
          <w:sz w:val="24"/>
          <w:szCs w:val="24"/>
        </w:rPr>
      </w:pPr>
      <w:r w:rsidRPr="00532AA2">
        <w:rPr>
          <w:rFonts w:ascii="Arial" w:hAnsi="Arial" w:cs="Arial"/>
          <w:sz w:val="24"/>
          <w:szCs w:val="24"/>
        </w:rPr>
        <w:t>R.C. 4928.02(C) provides that it is the policy of the state of Ohio to “</w:t>
      </w:r>
      <w:r w:rsidRPr="00532AA2">
        <w:rPr>
          <w:rFonts w:ascii="Arial" w:hAnsi="Arial" w:cs="Arial"/>
          <w:color w:val="000000"/>
          <w:sz w:val="24"/>
          <w:szCs w:val="24"/>
          <w:shd w:val="clear" w:color="auto" w:fill="FFFFFF"/>
        </w:rPr>
        <w:t>ensure diversity of electricity supplies and suppliers, by giving consumers effective choices over the selection of those supplies and suppliers.”</w:t>
      </w:r>
      <w:r w:rsidR="006F2DB3" w:rsidRPr="00532AA2">
        <w:rPr>
          <w:rFonts w:ascii="Arial" w:hAnsi="Arial" w:cs="Arial"/>
          <w:color w:val="000000"/>
          <w:sz w:val="24"/>
          <w:szCs w:val="24"/>
          <w:shd w:val="clear" w:color="auto" w:fill="FFFFFF"/>
        </w:rPr>
        <w:t xml:space="preserve">  POR</w:t>
      </w:r>
      <w:r w:rsidRPr="00532AA2">
        <w:rPr>
          <w:rFonts w:ascii="Arial" w:hAnsi="Arial" w:cs="Arial"/>
          <w:color w:val="000000"/>
          <w:sz w:val="24"/>
          <w:szCs w:val="24"/>
          <w:shd w:val="clear" w:color="auto" w:fill="FFFFFF"/>
        </w:rPr>
        <w:t xml:space="preserve"> </w:t>
      </w:r>
      <w:r w:rsidR="004728F1">
        <w:rPr>
          <w:rFonts w:ascii="Arial" w:hAnsi="Arial" w:cs="Arial"/>
          <w:color w:val="000000"/>
          <w:sz w:val="24"/>
          <w:szCs w:val="24"/>
          <w:shd w:val="clear" w:color="auto" w:fill="FFFFFF"/>
        </w:rPr>
        <w:t xml:space="preserve">allows suppliers to </w:t>
      </w:r>
      <w:r w:rsidR="004728F1" w:rsidRPr="00532AA2">
        <w:rPr>
          <w:rFonts w:ascii="Arial" w:hAnsi="Arial" w:cs="Arial"/>
          <w:sz w:val="24"/>
          <w:szCs w:val="24"/>
        </w:rPr>
        <w:t>avoid much of the cost and risk of build</w:t>
      </w:r>
      <w:r w:rsidR="004728F1">
        <w:rPr>
          <w:rFonts w:ascii="Arial" w:hAnsi="Arial" w:cs="Arial"/>
          <w:sz w:val="24"/>
          <w:szCs w:val="24"/>
        </w:rPr>
        <w:t>ing</w:t>
      </w:r>
      <w:r w:rsidR="004728F1" w:rsidRPr="00532AA2">
        <w:rPr>
          <w:rFonts w:ascii="Arial" w:hAnsi="Arial" w:cs="Arial"/>
          <w:sz w:val="24"/>
          <w:szCs w:val="24"/>
        </w:rPr>
        <w:t xml:space="preserve"> collections infrastructure that is duplicative of the utility’s</w:t>
      </w:r>
      <w:r w:rsidR="004728F1">
        <w:rPr>
          <w:rFonts w:ascii="Arial" w:hAnsi="Arial" w:cs="Arial"/>
          <w:sz w:val="24"/>
          <w:szCs w:val="24"/>
        </w:rPr>
        <w:t xml:space="preserve">, thus attracting suppliers to the market and increasing the amount and diversity of products in the market, consistent with </w:t>
      </w:r>
      <w:r w:rsidR="004728F1" w:rsidRPr="00532AA2">
        <w:rPr>
          <w:rFonts w:ascii="Arial" w:hAnsi="Arial" w:cs="Arial"/>
          <w:sz w:val="24"/>
          <w:szCs w:val="24"/>
        </w:rPr>
        <w:t>R.C. 4928.02(C).</w:t>
      </w:r>
    </w:p>
    <w:p w:rsidR="002E0340" w:rsidRPr="00532AA2" w:rsidRDefault="00CD5E2F" w:rsidP="006F2DB3">
      <w:pPr>
        <w:spacing w:after="0" w:line="480" w:lineRule="auto"/>
        <w:ind w:firstLine="360"/>
        <w:rPr>
          <w:rFonts w:ascii="Arial" w:hAnsi="Arial" w:cs="Arial"/>
          <w:sz w:val="24"/>
          <w:szCs w:val="24"/>
        </w:rPr>
      </w:pPr>
      <w:r w:rsidRPr="00532AA2">
        <w:rPr>
          <w:rFonts w:ascii="Arial" w:hAnsi="Arial" w:cs="Arial"/>
          <w:sz w:val="24"/>
          <w:szCs w:val="24"/>
        </w:rPr>
        <w:t xml:space="preserve">The evidence is uncontroverted that once POR is introduced into the market competitive </w:t>
      </w:r>
      <w:proofErr w:type="gramStart"/>
      <w:r w:rsidRPr="00532AA2">
        <w:rPr>
          <w:rFonts w:ascii="Arial" w:hAnsi="Arial" w:cs="Arial"/>
          <w:sz w:val="24"/>
          <w:szCs w:val="24"/>
        </w:rPr>
        <w:t>suppliers</w:t>
      </w:r>
      <w:proofErr w:type="gramEnd"/>
      <w:r w:rsidRPr="00532AA2">
        <w:rPr>
          <w:rFonts w:ascii="Arial" w:hAnsi="Arial" w:cs="Arial"/>
          <w:sz w:val="24"/>
          <w:szCs w:val="24"/>
        </w:rPr>
        <w:t xml:space="preserve"> flock to that market.  For instance, </w:t>
      </w:r>
      <w:r w:rsidR="00732964" w:rsidRPr="00532AA2">
        <w:rPr>
          <w:rFonts w:ascii="Arial" w:hAnsi="Arial" w:cs="Arial"/>
          <w:sz w:val="24"/>
          <w:szCs w:val="24"/>
        </w:rPr>
        <w:t>in 2010</w:t>
      </w:r>
      <w:r w:rsidR="005B5893">
        <w:rPr>
          <w:rFonts w:ascii="Arial" w:hAnsi="Arial" w:cs="Arial"/>
          <w:sz w:val="24"/>
          <w:szCs w:val="24"/>
        </w:rPr>
        <w:t xml:space="preserve"> when</w:t>
      </w:r>
      <w:r w:rsidR="00732964" w:rsidRPr="00532AA2">
        <w:rPr>
          <w:rFonts w:ascii="Arial" w:hAnsi="Arial" w:cs="Arial"/>
          <w:sz w:val="24"/>
          <w:szCs w:val="24"/>
        </w:rPr>
        <w:t xml:space="preserve"> the Illinois</w:t>
      </w:r>
      <w:r w:rsidRPr="00532AA2">
        <w:rPr>
          <w:rFonts w:ascii="Arial" w:hAnsi="Arial" w:cs="Arial"/>
          <w:sz w:val="24"/>
          <w:szCs w:val="24"/>
        </w:rPr>
        <w:t xml:space="preserve"> electric utilities </w:t>
      </w:r>
      <w:r w:rsidR="0030162A" w:rsidRPr="00532AA2">
        <w:rPr>
          <w:rFonts w:ascii="Arial" w:hAnsi="Arial" w:cs="Arial"/>
          <w:sz w:val="24"/>
          <w:szCs w:val="24"/>
        </w:rPr>
        <w:t>began</w:t>
      </w:r>
      <w:r w:rsidR="00982FD5" w:rsidRPr="00532AA2">
        <w:rPr>
          <w:rFonts w:ascii="Arial" w:hAnsi="Arial" w:cs="Arial"/>
          <w:sz w:val="24"/>
          <w:szCs w:val="24"/>
        </w:rPr>
        <w:t xml:space="preserve"> </w:t>
      </w:r>
      <w:r w:rsidR="00732964" w:rsidRPr="00532AA2">
        <w:rPr>
          <w:rFonts w:ascii="Arial" w:hAnsi="Arial" w:cs="Arial"/>
          <w:sz w:val="24"/>
          <w:szCs w:val="24"/>
        </w:rPr>
        <w:t>offering POR</w:t>
      </w:r>
      <w:r w:rsidR="005B5893">
        <w:rPr>
          <w:rFonts w:ascii="Arial" w:hAnsi="Arial" w:cs="Arial"/>
          <w:sz w:val="24"/>
          <w:szCs w:val="24"/>
        </w:rPr>
        <w:t>,</w:t>
      </w:r>
      <w:r w:rsidR="00732964" w:rsidRPr="00532AA2">
        <w:rPr>
          <w:rFonts w:ascii="Arial" w:hAnsi="Arial" w:cs="Arial"/>
          <w:sz w:val="24"/>
          <w:szCs w:val="24"/>
        </w:rPr>
        <w:t xml:space="preserve"> </w:t>
      </w:r>
      <w:r w:rsidR="005B5893">
        <w:rPr>
          <w:rFonts w:ascii="Arial" w:hAnsi="Arial" w:cs="Arial"/>
          <w:sz w:val="24"/>
          <w:szCs w:val="24"/>
        </w:rPr>
        <w:t>only 10</w:t>
      </w:r>
      <w:r w:rsidR="0030162A" w:rsidRPr="00532AA2">
        <w:rPr>
          <w:rFonts w:ascii="Arial" w:hAnsi="Arial" w:cs="Arial"/>
          <w:sz w:val="24"/>
          <w:szCs w:val="24"/>
        </w:rPr>
        <w:t xml:space="preserve"> supplier</w:t>
      </w:r>
      <w:r w:rsidR="005B5893">
        <w:rPr>
          <w:rFonts w:ascii="Arial" w:hAnsi="Arial" w:cs="Arial"/>
          <w:sz w:val="24"/>
          <w:szCs w:val="24"/>
        </w:rPr>
        <w:t>s had obtained certification to serve residential customers</w:t>
      </w:r>
      <w:r w:rsidR="0030162A" w:rsidRPr="00532AA2">
        <w:rPr>
          <w:rFonts w:ascii="Arial" w:hAnsi="Arial" w:cs="Arial"/>
          <w:sz w:val="24"/>
          <w:szCs w:val="24"/>
        </w:rPr>
        <w:t xml:space="preserve"> </w:t>
      </w:r>
      <w:r w:rsidR="00982FD5" w:rsidRPr="00532AA2">
        <w:rPr>
          <w:rFonts w:ascii="Arial" w:hAnsi="Arial" w:cs="Arial"/>
          <w:sz w:val="24"/>
          <w:szCs w:val="24"/>
        </w:rPr>
        <w:t>in Illinois.</w:t>
      </w:r>
      <w:r w:rsidR="00982FD5" w:rsidRPr="00532AA2">
        <w:rPr>
          <w:rStyle w:val="FootnoteReference"/>
          <w:rFonts w:ascii="Arial" w:hAnsi="Arial" w:cs="Arial"/>
          <w:sz w:val="24"/>
          <w:szCs w:val="24"/>
        </w:rPr>
        <w:footnoteReference w:id="6"/>
      </w:r>
      <w:r w:rsidR="00982FD5" w:rsidRPr="00532AA2">
        <w:rPr>
          <w:rFonts w:ascii="Arial" w:hAnsi="Arial" w:cs="Arial"/>
          <w:sz w:val="24"/>
          <w:szCs w:val="24"/>
        </w:rPr>
        <w:t xml:space="preserve">  </w:t>
      </w:r>
      <w:r w:rsidR="009D136B" w:rsidRPr="00532AA2">
        <w:rPr>
          <w:rFonts w:ascii="Arial" w:hAnsi="Arial" w:cs="Arial"/>
          <w:sz w:val="24"/>
          <w:szCs w:val="24"/>
        </w:rPr>
        <w:t>By</w:t>
      </w:r>
      <w:r w:rsidR="00982FD5" w:rsidRPr="00532AA2">
        <w:rPr>
          <w:rFonts w:ascii="Arial" w:hAnsi="Arial" w:cs="Arial"/>
          <w:sz w:val="24"/>
          <w:szCs w:val="24"/>
        </w:rPr>
        <w:t xml:space="preserve"> June 2012</w:t>
      </w:r>
      <w:r w:rsidR="005B5893">
        <w:rPr>
          <w:rFonts w:ascii="Arial" w:hAnsi="Arial" w:cs="Arial"/>
          <w:sz w:val="24"/>
          <w:szCs w:val="24"/>
        </w:rPr>
        <w:t xml:space="preserve"> (</w:t>
      </w:r>
      <w:r w:rsidR="009D136B" w:rsidRPr="00532AA2">
        <w:rPr>
          <w:rFonts w:ascii="Arial" w:hAnsi="Arial" w:cs="Arial"/>
          <w:sz w:val="24"/>
          <w:szCs w:val="24"/>
        </w:rPr>
        <w:t xml:space="preserve">just </w:t>
      </w:r>
      <w:r w:rsidR="005B5893">
        <w:rPr>
          <w:rFonts w:ascii="Arial" w:hAnsi="Arial" w:cs="Arial"/>
          <w:sz w:val="24"/>
          <w:szCs w:val="24"/>
        </w:rPr>
        <w:t>2 years later)</w:t>
      </w:r>
      <w:r w:rsidR="009D136B" w:rsidRPr="00532AA2">
        <w:rPr>
          <w:rFonts w:ascii="Arial" w:hAnsi="Arial" w:cs="Arial"/>
          <w:sz w:val="24"/>
          <w:szCs w:val="24"/>
        </w:rPr>
        <w:t xml:space="preserve"> the number of certified </w:t>
      </w:r>
      <w:r w:rsidR="005B5893">
        <w:rPr>
          <w:rFonts w:ascii="Arial" w:hAnsi="Arial" w:cs="Arial"/>
          <w:sz w:val="24"/>
          <w:szCs w:val="24"/>
        </w:rPr>
        <w:t xml:space="preserve">residential </w:t>
      </w:r>
      <w:r w:rsidR="009D136B" w:rsidRPr="00532AA2">
        <w:rPr>
          <w:rFonts w:ascii="Arial" w:hAnsi="Arial" w:cs="Arial"/>
          <w:sz w:val="24"/>
          <w:szCs w:val="24"/>
        </w:rPr>
        <w:t>suppliers increase</w:t>
      </w:r>
      <w:r w:rsidR="00C52308" w:rsidRPr="00532AA2">
        <w:rPr>
          <w:rFonts w:ascii="Arial" w:hAnsi="Arial" w:cs="Arial"/>
          <w:sz w:val="24"/>
          <w:szCs w:val="24"/>
        </w:rPr>
        <w:t>d</w:t>
      </w:r>
      <w:r w:rsidR="009D136B" w:rsidRPr="00532AA2">
        <w:rPr>
          <w:rFonts w:ascii="Arial" w:hAnsi="Arial" w:cs="Arial"/>
          <w:sz w:val="24"/>
          <w:szCs w:val="24"/>
        </w:rPr>
        <w:t xml:space="preserve"> to</w:t>
      </w:r>
      <w:r w:rsidR="00982FD5" w:rsidRPr="00532AA2">
        <w:rPr>
          <w:rFonts w:ascii="Arial" w:hAnsi="Arial" w:cs="Arial"/>
          <w:sz w:val="24"/>
          <w:szCs w:val="24"/>
        </w:rPr>
        <w:t xml:space="preserve"> </w:t>
      </w:r>
      <w:r w:rsidR="005B5893">
        <w:rPr>
          <w:rFonts w:ascii="Arial" w:hAnsi="Arial" w:cs="Arial"/>
          <w:sz w:val="24"/>
          <w:szCs w:val="24"/>
        </w:rPr>
        <w:t>40</w:t>
      </w:r>
      <w:r w:rsidR="009D136B" w:rsidRPr="00532AA2">
        <w:rPr>
          <w:rFonts w:ascii="Arial" w:hAnsi="Arial" w:cs="Arial"/>
          <w:sz w:val="24"/>
          <w:szCs w:val="24"/>
        </w:rPr>
        <w:t>.</w:t>
      </w:r>
      <w:r w:rsidR="009D136B" w:rsidRPr="00532AA2">
        <w:rPr>
          <w:rStyle w:val="FootnoteReference"/>
          <w:rFonts w:ascii="Arial" w:hAnsi="Arial" w:cs="Arial"/>
          <w:sz w:val="24"/>
          <w:szCs w:val="24"/>
        </w:rPr>
        <w:footnoteReference w:id="7"/>
      </w:r>
      <w:r w:rsidR="0030162A" w:rsidRPr="00532AA2">
        <w:rPr>
          <w:rFonts w:ascii="Arial" w:hAnsi="Arial" w:cs="Arial"/>
          <w:sz w:val="24"/>
          <w:szCs w:val="24"/>
        </w:rPr>
        <w:t xml:space="preserve"> </w:t>
      </w:r>
      <w:r w:rsidR="009D136B" w:rsidRPr="00532AA2">
        <w:rPr>
          <w:rFonts w:ascii="Arial" w:hAnsi="Arial" w:cs="Arial"/>
          <w:sz w:val="24"/>
          <w:szCs w:val="24"/>
        </w:rPr>
        <w:t xml:space="preserve"> </w:t>
      </w:r>
      <w:r w:rsidR="00D45C02" w:rsidRPr="00532AA2">
        <w:rPr>
          <w:rFonts w:ascii="Arial" w:hAnsi="Arial" w:cs="Arial"/>
          <w:sz w:val="24"/>
          <w:szCs w:val="24"/>
        </w:rPr>
        <w:t xml:space="preserve">In June 2010 when POR programs were adopted </w:t>
      </w:r>
      <w:r w:rsidR="004A10AD">
        <w:rPr>
          <w:rFonts w:ascii="Arial" w:hAnsi="Arial" w:cs="Arial"/>
          <w:sz w:val="24"/>
          <w:szCs w:val="24"/>
        </w:rPr>
        <w:t>for</w:t>
      </w:r>
      <w:r w:rsidR="00D45C02" w:rsidRPr="00532AA2">
        <w:rPr>
          <w:rFonts w:ascii="Arial" w:hAnsi="Arial" w:cs="Arial"/>
          <w:sz w:val="24"/>
          <w:szCs w:val="24"/>
        </w:rPr>
        <w:t xml:space="preserve"> </w:t>
      </w:r>
      <w:r w:rsidR="004728F1" w:rsidRPr="00532AA2">
        <w:rPr>
          <w:rFonts w:ascii="Arial" w:hAnsi="Arial" w:cs="Arial"/>
          <w:sz w:val="24"/>
          <w:szCs w:val="24"/>
        </w:rPr>
        <w:t>Maryland</w:t>
      </w:r>
      <w:r w:rsidR="00D45C02" w:rsidRPr="00532AA2">
        <w:rPr>
          <w:rFonts w:ascii="Arial" w:hAnsi="Arial" w:cs="Arial"/>
          <w:sz w:val="24"/>
          <w:szCs w:val="24"/>
        </w:rPr>
        <w:t xml:space="preserve"> electric utilities there were </w:t>
      </w:r>
      <w:r w:rsidR="004728F1">
        <w:rPr>
          <w:rFonts w:ascii="Arial" w:hAnsi="Arial" w:cs="Arial"/>
          <w:sz w:val="24"/>
          <w:szCs w:val="24"/>
        </w:rPr>
        <w:t xml:space="preserve">14 </w:t>
      </w:r>
      <w:r w:rsidR="00D45C02" w:rsidRPr="00532AA2">
        <w:rPr>
          <w:rFonts w:ascii="Arial" w:hAnsi="Arial" w:cs="Arial"/>
          <w:sz w:val="24"/>
          <w:szCs w:val="24"/>
        </w:rPr>
        <w:t xml:space="preserve">electric suppliers serving residential customers </w:t>
      </w:r>
      <w:r w:rsidR="004728F1">
        <w:rPr>
          <w:rFonts w:ascii="Arial" w:hAnsi="Arial" w:cs="Arial"/>
          <w:sz w:val="24"/>
          <w:szCs w:val="24"/>
        </w:rPr>
        <w:t>in the Baltimore Gas &amp; Electric territory</w:t>
      </w:r>
      <w:r w:rsidR="00D45C02" w:rsidRPr="00532AA2">
        <w:rPr>
          <w:rFonts w:ascii="Arial" w:hAnsi="Arial" w:cs="Arial"/>
          <w:sz w:val="24"/>
          <w:szCs w:val="24"/>
        </w:rPr>
        <w:t>.</w:t>
      </w:r>
      <w:r w:rsidR="00D45C02" w:rsidRPr="00532AA2">
        <w:rPr>
          <w:rStyle w:val="FootnoteReference"/>
          <w:rFonts w:ascii="Arial" w:hAnsi="Arial" w:cs="Arial"/>
          <w:sz w:val="24"/>
          <w:szCs w:val="24"/>
        </w:rPr>
        <w:footnoteReference w:id="8"/>
      </w:r>
      <w:r w:rsidR="00D45C02" w:rsidRPr="00532AA2">
        <w:rPr>
          <w:rFonts w:ascii="Arial" w:hAnsi="Arial" w:cs="Arial"/>
          <w:sz w:val="24"/>
          <w:szCs w:val="24"/>
        </w:rPr>
        <w:t xml:space="preserve">  </w:t>
      </w:r>
      <w:r w:rsidR="004728F1">
        <w:rPr>
          <w:rFonts w:ascii="Arial" w:hAnsi="Arial" w:cs="Arial"/>
          <w:sz w:val="24"/>
          <w:szCs w:val="24"/>
        </w:rPr>
        <w:t>By</w:t>
      </w:r>
      <w:r w:rsidR="00D45C02" w:rsidRPr="00532AA2">
        <w:rPr>
          <w:rFonts w:ascii="Arial" w:hAnsi="Arial" w:cs="Arial"/>
          <w:sz w:val="24"/>
          <w:szCs w:val="24"/>
        </w:rPr>
        <w:t xml:space="preserve"> </w:t>
      </w:r>
      <w:r w:rsidR="00AD169B">
        <w:rPr>
          <w:rFonts w:ascii="Arial" w:hAnsi="Arial" w:cs="Arial"/>
          <w:sz w:val="24"/>
          <w:szCs w:val="24"/>
        </w:rPr>
        <w:t xml:space="preserve">November </w:t>
      </w:r>
      <w:r w:rsidR="00D45C02" w:rsidRPr="00532AA2">
        <w:rPr>
          <w:rFonts w:ascii="Arial" w:hAnsi="Arial" w:cs="Arial"/>
          <w:sz w:val="24"/>
          <w:szCs w:val="24"/>
        </w:rPr>
        <w:t xml:space="preserve">2012 the number of electric suppliers </w:t>
      </w:r>
      <w:r w:rsidR="004728F1">
        <w:rPr>
          <w:rFonts w:ascii="Arial" w:hAnsi="Arial" w:cs="Arial"/>
          <w:sz w:val="24"/>
          <w:szCs w:val="24"/>
        </w:rPr>
        <w:t>serving BG&amp;E residential customers increase</w:t>
      </w:r>
      <w:r w:rsidR="004A10AD">
        <w:rPr>
          <w:rFonts w:ascii="Arial" w:hAnsi="Arial" w:cs="Arial"/>
          <w:sz w:val="24"/>
          <w:szCs w:val="24"/>
        </w:rPr>
        <w:t xml:space="preserve">d </w:t>
      </w:r>
      <w:r w:rsidR="004728F1">
        <w:rPr>
          <w:rFonts w:ascii="Arial" w:hAnsi="Arial" w:cs="Arial"/>
          <w:sz w:val="24"/>
          <w:szCs w:val="24"/>
        </w:rPr>
        <w:t>to 44</w:t>
      </w:r>
      <w:r w:rsidR="00D45C02" w:rsidRPr="00532AA2">
        <w:rPr>
          <w:rFonts w:ascii="Arial" w:hAnsi="Arial" w:cs="Arial"/>
          <w:sz w:val="24"/>
          <w:szCs w:val="24"/>
        </w:rPr>
        <w:t>.</w:t>
      </w:r>
      <w:r w:rsidR="00AD169B">
        <w:rPr>
          <w:rStyle w:val="FootnoteReference"/>
          <w:rFonts w:ascii="Arial" w:hAnsi="Arial" w:cs="Arial"/>
          <w:sz w:val="24"/>
          <w:szCs w:val="24"/>
        </w:rPr>
        <w:footnoteReference w:id="9"/>
      </w:r>
      <w:r w:rsidR="00AD169B" w:rsidRPr="00532AA2">
        <w:rPr>
          <w:rFonts w:ascii="Arial" w:hAnsi="Arial" w:cs="Arial"/>
          <w:sz w:val="24"/>
          <w:szCs w:val="24"/>
        </w:rPr>
        <w:t xml:space="preserve"> </w:t>
      </w:r>
      <w:r w:rsidR="004728F1">
        <w:rPr>
          <w:rFonts w:ascii="Arial" w:hAnsi="Arial" w:cs="Arial"/>
          <w:sz w:val="24"/>
          <w:szCs w:val="24"/>
        </w:rPr>
        <w:t>Further, all of the Maryland electric utilities saw substantial growth in electric suppliers over that time.</w:t>
      </w:r>
      <w:r w:rsidR="004728F1">
        <w:rPr>
          <w:rStyle w:val="FootnoteReference"/>
          <w:rFonts w:ascii="Arial" w:hAnsi="Arial" w:cs="Arial"/>
          <w:sz w:val="24"/>
          <w:szCs w:val="24"/>
        </w:rPr>
        <w:footnoteReference w:id="10"/>
      </w:r>
      <w:r w:rsidR="00D45C02" w:rsidRPr="00532AA2">
        <w:rPr>
          <w:rFonts w:ascii="Arial" w:hAnsi="Arial" w:cs="Arial"/>
          <w:sz w:val="24"/>
          <w:szCs w:val="24"/>
        </w:rPr>
        <w:t xml:space="preserve"> </w:t>
      </w:r>
      <w:r w:rsidR="000F47BB" w:rsidRPr="00532AA2">
        <w:rPr>
          <w:rFonts w:ascii="Arial" w:hAnsi="Arial" w:cs="Arial"/>
          <w:sz w:val="24"/>
          <w:szCs w:val="24"/>
        </w:rPr>
        <w:t>A</w:t>
      </w:r>
      <w:r w:rsidR="009536EC" w:rsidRPr="00532AA2">
        <w:rPr>
          <w:rFonts w:ascii="Arial" w:hAnsi="Arial" w:cs="Arial"/>
          <w:sz w:val="24"/>
          <w:szCs w:val="24"/>
        </w:rPr>
        <w:t>s</w:t>
      </w:r>
      <w:r w:rsidR="009D136B" w:rsidRPr="00532AA2">
        <w:rPr>
          <w:rFonts w:ascii="Arial" w:hAnsi="Arial" w:cs="Arial"/>
          <w:sz w:val="24"/>
          <w:szCs w:val="24"/>
        </w:rPr>
        <w:t xml:space="preserve"> </w:t>
      </w:r>
      <w:r w:rsidR="005829F3" w:rsidRPr="00532AA2">
        <w:rPr>
          <w:rFonts w:ascii="Arial" w:hAnsi="Arial" w:cs="Arial"/>
          <w:sz w:val="24"/>
          <w:szCs w:val="24"/>
        </w:rPr>
        <w:t>IGS’ witness Vincent</w:t>
      </w:r>
      <w:r w:rsidR="009D136B" w:rsidRPr="00532AA2">
        <w:rPr>
          <w:rFonts w:ascii="Arial" w:hAnsi="Arial" w:cs="Arial"/>
          <w:sz w:val="24"/>
          <w:szCs w:val="24"/>
        </w:rPr>
        <w:t xml:space="preserve"> Parisi testified</w:t>
      </w:r>
      <w:r w:rsidR="009536EC" w:rsidRPr="00532AA2">
        <w:rPr>
          <w:rFonts w:ascii="Arial" w:hAnsi="Arial" w:cs="Arial"/>
          <w:sz w:val="24"/>
          <w:szCs w:val="24"/>
        </w:rPr>
        <w:t xml:space="preserve"> in the FirstEnergy ESP proceeding, Duke </w:t>
      </w:r>
      <w:r w:rsidR="009536EC" w:rsidRPr="00532AA2">
        <w:rPr>
          <w:rFonts w:ascii="Arial" w:hAnsi="Arial" w:cs="Arial"/>
          <w:sz w:val="24"/>
          <w:szCs w:val="24"/>
        </w:rPr>
        <w:lastRenderedPageBreak/>
        <w:t>Energy Ohio is the only</w:t>
      </w:r>
      <w:r w:rsidR="000F47BB" w:rsidRPr="00532AA2">
        <w:rPr>
          <w:rFonts w:ascii="Arial" w:hAnsi="Arial" w:cs="Arial"/>
          <w:sz w:val="24"/>
          <w:szCs w:val="24"/>
        </w:rPr>
        <w:t xml:space="preserve"> Ohio</w:t>
      </w:r>
      <w:r w:rsidR="009536EC" w:rsidRPr="00532AA2">
        <w:rPr>
          <w:rFonts w:ascii="Arial" w:hAnsi="Arial" w:cs="Arial"/>
          <w:sz w:val="24"/>
          <w:szCs w:val="24"/>
        </w:rPr>
        <w:t xml:space="preserve"> electric utility with a POR program</w:t>
      </w:r>
      <w:r w:rsidR="00CD247E">
        <w:rPr>
          <w:rFonts w:ascii="Arial" w:hAnsi="Arial" w:cs="Arial"/>
          <w:sz w:val="24"/>
          <w:szCs w:val="24"/>
        </w:rPr>
        <w:t>;</w:t>
      </w:r>
      <w:r w:rsidR="009536EC" w:rsidRPr="00532AA2">
        <w:rPr>
          <w:rFonts w:ascii="Arial" w:hAnsi="Arial" w:cs="Arial"/>
          <w:sz w:val="24"/>
          <w:szCs w:val="24"/>
        </w:rPr>
        <w:t xml:space="preserve"> and</w:t>
      </w:r>
      <w:r w:rsidR="00DA6C9B" w:rsidRPr="00532AA2">
        <w:rPr>
          <w:rFonts w:ascii="Arial" w:hAnsi="Arial" w:cs="Arial"/>
          <w:sz w:val="24"/>
          <w:szCs w:val="24"/>
        </w:rPr>
        <w:t>,</w:t>
      </w:r>
      <w:r w:rsidR="009536EC" w:rsidRPr="00532AA2">
        <w:rPr>
          <w:rFonts w:ascii="Arial" w:hAnsi="Arial" w:cs="Arial"/>
          <w:sz w:val="24"/>
          <w:szCs w:val="24"/>
        </w:rPr>
        <w:t xml:space="preserve"> not coincidently, it is the electric utility with the most offers on the Commission</w:t>
      </w:r>
      <w:r w:rsidR="00F247D1" w:rsidRPr="00532AA2">
        <w:rPr>
          <w:rFonts w:ascii="Arial" w:hAnsi="Arial" w:cs="Arial"/>
          <w:sz w:val="24"/>
          <w:szCs w:val="24"/>
        </w:rPr>
        <w:t>’</w:t>
      </w:r>
      <w:r w:rsidR="009536EC" w:rsidRPr="00532AA2">
        <w:rPr>
          <w:rFonts w:ascii="Arial" w:hAnsi="Arial" w:cs="Arial"/>
          <w:sz w:val="24"/>
          <w:szCs w:val="24"/>
        </w:rPr>
        <w:t>s apples-to-apples website and it is the utility with the most non-aggregation</w:t>
      </w:r>
      <w:r w:rsidR="00CD247E">
        <w:rPr>
          <w:rFonts w:ascii="Arial" w:hAnsi="Arial" w:cs="Arial"/>
          <w:sz w:val="24"/>
          <w:szCs w:val="24"/>
        </w:rPr>
        <w:t xml:space="preserve"> electric</w:t>
      </w:r>
      <w:r w:rsidR="009536EC" w:rsidRPr="00532AA2">
        <w:rPr>
          <w:rFonts w:ascii="Arial" w:hAnsi="Arial" w:cs="Arial"/>
          <w:sz w:val="24"/>
          <w:szCs w:val="24"/>
        </w:rPr>
        <w:t xml:space="preserve"> migration in Ohio</w:t>
      </w:r>
      <w:r w:rsidR="009D136B" w:rsidRPr="00532AA2">
        <w:rPr>
          <w:rFonts w:ascii="Arial" w:hAnsi="Arial" w:cs="Arial"/>
          <w:sz w:val="24"/>
          <w:szCs w:val="24"/>
        </w:rPr>
        <w:t>.</w:t>
      </w:r>
      <w:r w:rsidR="009536EC" w:rsidRPr="00532AA2">
        <w:rPr>
          <w:rStyle w:val="FootnoteReference"/>
          <w:rFonts w:ascii="Arial" w:hAnsi="Arial" w:cs="Arial"/>
          <w:sz w:val="24"/>
          <w:szCs w:val="24"/>
        </w:rPr>
        <w:footnoteReference w:id="11"/>
      </w:r>
      <w:r w:rsidR="009D136B" w:rsidRPr="00532AA2">
        <w:rPr>
          <w:rFonts w:ascii="Arial" w:hAnsi="Arial" w:cs="Arial"/>
          <w:sz w:val="24"/>
          <w:szCs w:val="24"/>
        </w:rPr>
        <w:t xml:space="preserve">   </w:t>
      </w:r>
      <w:r w:rsidR="00982FD5" w:rsidRPr="00532AA2">
        <w:rPr>
          <w:rFonts w:ascii="Arial" w:hAnsi="Arial" w:cs="Arial"/>
          <w:sz w:val="24"/>
          <w:szCs w:val="24"/>
        </w:rPr>
        <w:t xml:space="preserve"> </w:t>
      </w:r>
    </w:p>
    <w:p w:rsidR="0009648F" w:rsidRPr="00532AA2" w:rsidRDefault="00B914C1" w:rsidP="0009648F">
      <w:pPr>
        <w:pStyle w:val="ListParagraph"/>
        <w:numPr>
          <w:ilvl w:val="0"/>
          <w:numId w:val="12"/>
        </w:numPr>
        <w:spacing w:after="0" w:line="480" w:lineRule="auto"/>
        <w:rPr>
          <w:rFonts w:ascii="Arial" w:hAnsi="Arial" w:cs="Arial"/>
          <w:b/>
          <w:sz w:val="24"/>
          <w:szCs w:val="24"/>
        </w:rPr>
      </w:pPr>
      <w:r w:rsidRPr="00532AA2">
        <w:rPr>
          <w:rFonts w:ascii="Arial" w:hAnsi="Arial" w:cs="Arial"/>
          <w:b/>
          <w:sz w:val="24"/>
          <w:szCs w:val="24"/>
        </w:rPr>
        <w:t xml:space="preserve">POR reduces customer confusion and simplifies the billing and collections process for customers.  </w:t>
      </w:r>
    </w:p>
    <w:p w:rsidR="00B914C1" w:rsidRPr="00532AA2" w:rsidRDefault="00B914C1" w:rsidP="00184265">
      <w:pPr>
        <w:spacing w:after="0" w:line="480" w:lineRule="auto"/>
        <w:ind w:firstLine="360"/>
        <w:rPr>
          <w:rFonts w:ascii="Arial" w:hAnsi="Arial" w:cs="Arial"/>
          <w:sz w:val="24"/>
          <w:szCs w:val="24"/>
        </w:rPr>
      </w:pPr>
      <w:r w:rsidRPr="00532AA2">
        <w:rPr>
          <w:rFonts w:ascii="Arial" w:hAnsi="Arial" w:cs="Arial"/>
          <w:sz w:val="24"/>
          <w:szCs w:val="24"/>
        </w:rPr>
        <w:t>In Ohio</w:t>
      </w:r>
      <w:r w:rsidR="00DA6C9B" w:rsidRPr="00532AA2">
        <w:rPr>
          <w:rFonts w:ascii="Arial" w:hAnsi="Arial" w:cs="Arial"/>
          <w:sz w:val="24"/>
          <w:szCs w:val="24"/>
        </w:rPr>
        <w:t>,</w:t>
      </w:r>
      <w:r w:rsidRPr="00532AA2">
        <w:rPr>
          <w:rFonts w:ascii="Arial" w:hAnsi="Arial" w:cs="Arial"/>
          <w:sz w:val="24"/>
          <w:szCs w:val="24"/>
        </w:rPr>
        <w:t xml:space="preserve"> all of the investor owned electric utilities utilize consolidated billing</w:t>
      </w:r>
      <w:r w:rsidR="00F247D1" w:rsidRPr="00532AA2">
        <w:rPr>
          <w:rFonts w:ascii="Arial" w:hAnsi="Arial" w:cs="Arial"/>
          <w:sz w:val="24"/>
          <w:szCs w:val="24"/>
        </w:rPr>
        <w:t>,</w:t>
      </w:r>
      <w:r w:rsidRPr="00532AA2">
        <w:rPr>
          <w:rFonts w:ascii="Arial" w:hAnsi="Arial" w:cs="Arial"/>
          <w:sz w:val="24"/>
          <w:szCs w:val="24"/>
        </w:rPr>
        <w:t xml:space="preserve"> </w:t>
      </w:r>
      <w:r w:rsidR="00572932" w:rsidRPr="00532AA2">
        <w:rPr>
          <w:rFonts w:ascii="Arial" w:hAnsi="Arial" w:cs="Arial"/>
          <w:sz w:val="24"/>
          <w:szCs w:val="24"/>
        </w:rPr>
        <w:t>meaning</w:t>
      </w:r>
      <w:r w:rsidRPr="00532AA2">
        <w:rPr>
          <w:rFonts w:ascii="Arial" w:hAnsi="Arial" w:cs="Arial"/>
          <w:sz w:val="24"/>
          <w:szCs w:val="24"/>
        </w:rPr>
        <w:t xml:space="preserve"> th</w:t>
      </w:r>
      <w:r w:rsidR="00572932" w:rsidRPr="00532AA2">
        <w:rPr>
          <w:rFonts w:ascii="Arial" w:hAnsi="Arial" w:cs="Arial"/>
          <w:sz w:val="24"/>
          <w:szCs w:val="24"/>
        </w:rPr>
        <w:t>at electric utilities</w:t>
      </w:r>
      <w:r w:rsidRPr="00532AA2">
        <w:rPr>
          <w:rFonts w:ascii="Arial" w:hAnsi="Arial" w:cs="Arial"/>
          <w:sz w:val="24"/>
          <w:szCs w:val="24"/>
        </w:rPr>
        <w:t xml:space="preserve"> bill and receive customer payment</w:t>
      </w:r>
      <w:r w:rsidR="004F146B" w:rsidRPr="00532AA2">
        <w:rPr>
          <w:rFonts w:ascii="Arial" w:hAnsi="Arial" w:cs="Arial"/>
          <w:sz w:val="24"/>
          <w:szCs w:val="24"/>
        </w:rPr>
        <w:t>s</w:t>
      </w:r>
      <w:r w:rsidR="00572932" w:rsidRPr="00532AA2">
        <w:rPr>
          <w:rFonts w:ascii="Arial" w:hAnsi="Arial" w:cs="Arial"/>
          <w:sz w:val="24"/>
          <w:szCs w:val="24"/>
        </w:rPr>
        <w:t xml:space="preserve"> on behalf of </w:t>
      </w:r>
      <w:r w:rsidR="00C573FF" w:rsidRPr="00532AA2">
        <w:rPr>
          <w:rFonts w:ascii="Arial" w:hAnsi="Arial" w:cs="Arial"/>
          <w:sz w:val="24"/>
          <w:szCs w:val="24"/>
        </w:rPr>
        <w:t>CRES supplier</w:t>
      </w:r>
      <w:r w:rsidR="00572932" w:rsidRPr="00532AA2">
        <w:rPr>
          <w:rFonts w:ascii="Arial" w:hAnsi="Arial" w:cs="Arial"/>
          <w:sz w:val="24"/>
          <w:szCs w:val="24"/>
        </w:rPr>
        <w:t>s</w:t>
      </w:r>
      <w:r w:rsidR="00C573FF" w:rsidRPr="00532AA2">
        <w:rPr>
          <w:rFonts w:ascii="Arial" w:hAnsi="Arial" w:cs="Arial"/>
          <w:sz w:val="24"/>
          <w:szCs w:val="24"/>
        </w:rPr>
        <w:t xml:space="preserve">.  However, in non POR utilities, </w:t>
      </w:r>
      <w:r w:rsidR="009E37D0" w:rsidRPr="00532AA2">
        <w:rPr>
          <w:rFonts w:ascii="Arial" w:hAnsi="Arial" w:cs="Arial"/>
          <w:sz w:val="24"/>
          <w:szCs w:val="24"/>
        </w:rPr>
        <w:t xml:space="preserve">within a certain period of time </w:t>
      </w:r>
      <w:r w:rsidR="00C573FF" w:rsidRPr="00532AA2">
        <w:rPr>
          <w:rFonts w:ascii="Arial" w:hAnsi="Arial" w:cs="Arial"/>
          <w:sz w:val="24"/>
          <w:szCs w:val="24"/>
        </w:rPr>
        <w:t>after a customer</w:t>
      </w:r>
      <w:r w:rsidR="003C168F" w:rsidRPr="00532AA2">
        <w:rPr>
          <w:rFonts w:ascii="Arial" w:hAnsi="Arial" w:cs="Arial"/>
          <w:sz w:val="24"/>
          <w:szCs w:val="24"/>
        </w:rPr>
        <w:t>’s</w:t>
      </w:r>
      <w:r w:rsidR="00C573FF" w:rsidRPr="00532AA2">
        <w:rPr>
          <w:rFonts w:ascii="Arial" w:hAnsi="Arial" w:cs="Arial"/>
          <w:sz w:val="24"/>
          <w:szCs w:val="24"/>
        </w:rPr>
        <w:t xml:space="preserve"> </w:t>
      </w:r>
      <w:r w:rsidRPr="00532AA2">
        <w:rPr>
          <w:rFonts w:ascii="Arial" w:hAnsi="Arial" w:cs="Arial"/>
          <w:sz w:val="24"/>
          <w:szCs w:val="24"/>
        </w:rPr>
        <w:t>bill becomes past</w:t>
      </w:r>
      <w:r w:rsidR="007E362A" w:rsidRPr="00532AA2">
        <w:rPr>
          <w:rFonts w:ascii="Arial" w:hAnsi="Arial" w:cs="Arial"/>
          <w:sz w:val="24"/>
          <w:szCs w:val="24"/>
        </w:rPr>
        <w:t xml:space="preserve"> due, the utility turns over the</w:t>
      </w:r>
      <w:r w:rsidR="004F146B" w:rsidRPr="00532AA2">
        <w:rPr>
          <w:rFonts w:ascii="Arial" w:hAnsi="Arial" w:cs="Arial"/>
          <w:sz w:val="24"/>
          <w:szCs w:val="24"/>
        </w:rPr>
        <w:t xml:space="preserve"> billing</w:t>
      </w:r>
      <w:r w:rsidR="003C168F" w:rsidRPr="00532AA2">
        <w:rPr>
          <w:rFonts w:ascii="Arial" w:hAnsi="Arial" w:cs="Arial"/>
          <w:sz w:val="24"/>
          <w:szCs w:val="24"/>
        </w:rPr>
        <w:t xml:space="preserve"> and</w:t>
      </w:r>
      <w:r w:rsidR="004F146B" w:rsidRPr="00532AA2">
        <w:rPr>
          <w:rFonts w:ascii="Arial" w:hAnsi="Arial" w:cs="Arial"/>
          <w:sz w:val="24"/>
          <w:szCs w:val="24"/>
        </w:rPr>
        <w:t xml:space="preserve"> collection responsibilities for the CRES supplier charges</w:t>
      </w:r>
      <w:r w:rsidRPr="00532AA2">
        <w:rPr>
          <w:rFonts w:ascii="Arial" w:hAnsi="Arial" w:cs="Arial"/>
          <w:sz w:val="24"/>
          <w:szCs w:val="24"/>
        </w:rPr>
        <w:t xml:space="preserve"> </w:t>
      </w:r>
      <w:r w:rsidR="004F146B" w:rsidRPr="00532AA2">
        <w:rPr>
          <w:rFonts w:ascii="Arial" w:hAnsi="Arial" w:cs="Arial"/>
          <w:sz w:val="24"/>
          <w:szCs w:val="24"/>
        </w:rPr>
        <w:t>to the CRES supplier.  This means that once a shopping customer becomes</w:t>
      </w:r>
      <w:r w:rsidR="00C573FF" w:rsidRPr="00532AA2">
        <w:rPr>
          <w:rFonts w:ascii="Arial" w:hAnsi="Arial" w:cs="Arial"/>
          <w:sz w:val="24"/>
          <w:szCs w:val="24"/>
        </w:rPr>
        <w:t xml:space="preserve"> past due, customer</w:t>
      </w:r>
      <w:r w:rsidR="007E362A" w:rsidRPr="00532AA2">
        <w:rPr>
          <w:rFonts w:ascii="Arial" w:hAnsi="Arial" w:cs="Arial"/>
          <w:sz w:val="24"/>
          <w:szCs w:val="24"/>
        </w:rPr>
        <w:t>s</w:t>
      </w:r>
      <w:r w:rsidR="00C573FF" w:rsidRPr="00532AA2">
        <w:rPr>
          <w:rFonts w:ascii="Arial" w:hAnsi="Arial" w:cs="Arial"/>
          <w:sz w:val="24"/>
          <w:szCs w:val="24"/>
        </w:rPr>
        <w:t xml:space="preserve"> are</w:t>
      </w:r>
      <w:r w:rsidR="007E362A" w:rsidRPr="00532AA2">
        <w:rPr>
          <w:rFonts w:ascii="Arial" w:hAnsi="Arial" w:cs="Arial"/>
          <w:sz w:val="24"/>
          <w:szCs w:val="24"/>
        </w:rPr>
        <w:t xml:space="preserve"> billed by two parties for their</w:t>
      </w:r>
      <w:r w:rsidR="004F146B" w:rsidRPr="00532AA2">
        <w:rPr>
          <w:rFonts w:ascii="Arial" w:hAnsi="Arial" w:cs="Arial"/>
          <w:sz w:val="24"/>
          <w:szCs w:val="24"/>
        </w:rPr>
        <w:t xml:space="preserve"> electric charges (the utility for distribution and CRES supplier for commodity).  This can be extremely confusing for customers </w:t>
      </w:r>
      <w:r w:rsidR="00793C17" w:rsidRPr="00532AA2">
        <w:rPr>
          <w:rFonts w:ascii="Arial" w:hAnsi="Arial" w:cs="Arial"/>
          <w:sz w:val="24"/>
          <w:szCs w:val="24"/>
        </w:rPr>
        <w:t>accustom</w:t>
      </w:r>
      <w:r w:rsidR="00A62A73" w:rsidRPr="00532AA2">
        <w:rPr>
          <w:rFonts w:ascii="Arial" w:hAnsi="Arial" w:cs="Arial"/>
          <w:sz w:val="24"/>
          <w:szCs w:val="24"/>
        </w:rPr>
        <w:t>ed</w:t>
      </w:r>
      <w:r w:rsidR="00793C17" w:rsidRPr="00532AA2">
        <w:rPr>
          <w:rFonts w:ascii="Arial" w:hAnsi="Arial" w:cs="Arial"/>
          <w:sz w:val="24"/>
          <w:szCs w:val="24"/>
        </w:rPr>
        <w:t xml:space="preserve"> </w:t>
      </w:r>
      <w:r w:rsidR="004F146B" w:rsidRPr="00532AA2">
        <w:rPr>
          <w:rFonts w:ascii="Arial" w:hAnsi="Arial" w:cs="Arial"/>
          <w:sz w:val="24"/>
          <w:szCs w:val="24"/>
        </w:rPr>
        <w:t>to receiving</w:t>
      </w:r>
      <w:r w:rsidR="00C573FF" w:rsidRPr="00532AA2">
        <w:rPr>
          <w:rFonts w:ascii="Arial" w:hAnsi="Arial" w:cs="Arial"/>
          <w:sz w:val="24"/>
          <w:szCs w:val="24"/>
        </w:rPr>
        <w:t xml:space="preserve"> </w:t>
      </w:r>
      <w:r w:rsidR="00CD247E" w:rsidRPr="00532AA2">
        <w:rPr>
          <w:rFonts w:ascii="Arial" w:hAnsi="Arial" w:cs="Arial"/>
          <w:sz w:val="24"/>
          <w:szCs w:val="24"/>
        </w:rPr>
        <w:t xml:space="preserve">only </w:t>
      </w:r>
      <w:r w:rsidR="00C573FF" w:rsidRPr="00532AA2">
        <w:rPr>
          <w:rFonts w:ascii="Arial" w:hAnsi="Arial" w:cs="Arial"/>
          <w:sz w:val="24"/>
          <w:szCs w:val="24"/>
        </w:rPr>
        <w:t xml:space="preserve">one </w:t>
      </w:r>
      <w:r w:rsidR="00D45C02" w:rsidRPr="00532AA2">
        <w:rPr>
          <w:rFonts w:ascii="Arial" w:hAnsi="Arial" w:cs="Arial"/>
          <w:sz w:val="24"/>
          <w:szCs w:val="24"/>
        </w:rPr>
        <w:t xml:space="preserve">electric </w:t>
      </w:r>
      <w:r w:rsidR="00C573FF" w:rsidRPr="00532AA2">
        <w:rPr>
          <w:rFonts w:ascii="Arial" w:hAnsi="Arial" w:cs="Arial"/>
          <w:sz w:val="24"/>
          <w:szCs w:val="24"/>
        </w:rPr>
        <w:t>bill.  Further,</w:t>
      </w:r>
      <w:r w:rsidR="00D45C02" w:rsidRPr="00532AA2">
        <w:rPr>
          <w:rFonts w:ascii="Arial" w:hAnsi="Arial" w:cs="Arial"/>
          <w:sz w:val="24"/>
          <w:szCs w:val="24"/>
        </w:rPr>
        <w:t xml:space="preserve"> customers are</w:t>
      </w:r>
      <w:r w:rsidR="004F146B" w:rsidRPr="00532AA2">
        <w:rPr>
          <w:rFonts w:ascii="Arial" w:hAnsi="Arial" w:cs="Arial"/>
          <w:sz w:val="24"/>
          <w:szCs w:val="24"/>
        </w:rPr>
        <w:t xml:space="preserve"> not</w:t>
      </w:r>
      <w:r w:rsidR="00D45C02" w:rsidRPr="00532AA2">
        <w:rPr>
          <w:rFonts w:ascii="Arial" w:hAnsi="Arial" w:cs="Arial"/>
          <w:sz w:val="24"/>
          <w:szCs w:val="24"/>
        </w:rPr>
        <w:t xml:space="preserve"> likely to</w:t>
      </w:r>
      <w:r w:rsidR="004F146B" w:rsidRPr="00532AA2">
        <w:rPr>
          <w:rFonts w:ascii="Arial" w:hAnsi="Arial" w:cs="Arial"/>
          <w:sz w:val="24"/>
          <w:szCs w:val="24"/>
        </w:rPr>
        <w:t xml:space="preserve"> understand why they </w:t>
      </w:r>
      <w:r w:rsidR="00D45C02" w:rsidRPr="00532AA2">
        <w:rPr>
          <w:rFonts w:ascii="Arial" w:hAnsi="Arial" w:cs="Arial"/>
          <w:sz w:val="24"/>
          <w:szCs w:val="24"/>
        </w:rPr>
        <w:t xml:space="preserve">may </w:t>
      </w:r>
      <w:r w:rsidR="004F146B" w:rsidRPr="00532AA2">
        <w:rPr>
          <w:rFonts w:ascii="Arial" w:hAnsi="Arial" w:cs="Arial"/>
          <w:sz w:val="24"/>
          <w:szCs w:val="24"/>
        </w:rPr>
        <w:t xml:space="preserve">still owe </w:t>
      </w:r>
      <w:r w:rsidR="00D45C02" w:rsidRPr="00532AA2">
        <w:rPr>
          <w:rFonts w:ascii="Arial" w:hAnsi="Arial" w:cs="Arial"/>
          <w:sz w:val="24"/>
          <w:szCs w:val="24"/>
        </w:rPr>
        <w:t>on one electricity bill</w:t>
      </w:r>
      <w:r w:rsidR="004F146B" w:rsidRPr="00532AA2">
        <w:rPr>
          <w:rFonts w:ascii="Arial" w:hAnsi="Arial" w:cs="Arial"/>
          <w:sz w:val="24"/>
          <w:szCs w:val="24"/>
        </w:rPr>
        <w:t>, even aft</w:t>
      </w:r>
      <w:r w:rsidR="00D45C02" w:rsidRPr="00532AA2">
        <w:rPr>
          <w:rFonts w:ascii="Arial" w:hAnsi="Arial" w:cs="Arial"/>
          <w:sz w:val="24"/>
          <w:szCs w:val="24"/>
        </w:rPr>
        <w:t>er they have paid their other electric bill in full</w:t>
      </w:r>
      <w:r w:rsidR="004F146B" w:rsidRPr="00532AA2">
        <w:rPr>
          <w:rFonts w:ascii="Arial" w:hAnsi="Arial" w:cs="Arial"/>
          <w:sz w:val="24"/>
          <w:szCs w:val="24"/>
        </w:rPr>
        <w:t xml:space="preserve">.  </w:t>
      </w:r>
      <w:r w:rsidR="00C573FF" w:rsidRPr="00532AA2">
        <w:rPr>
          <w:rFonts w:ascii="Arial" w:hAnsi="Arial" w:cs="Arial"/>
          <w:sz w:val="24"/>
          <w:szCs w:val="24"/>
        </w:rPr>
        <w:t xml:space="preserve">This </w:t>
      </w:r>
      <w:r w:rsidR="000F47BB" w:rsidRPr="00532AA2">
        <w:rPr>
          <w:rFonts w:ascii="Arial" w:hAnsi="Arial" w:cs="Arial"/>
          <w:sz w:val="24"/>
          <w:szCs w:val="24"/>
        </w:rPr>
        <w:t>confusion</w:t>
      </w:r>
      <w:r w:rsidR="007E362A" w:rsidRPr="00532AA2">
        <w:rPr>
          <w:rFonts w:ascii="Arial" w:hAnsi="Arial" w:cs="Arial"/>
          <w:sz w:val="24"/>
          <w:szCs w:val="24"/>
        </w:rPr>
        <w:t xml:space="preserve"> add</w:t>
      </w:r>
      <w:r w:rsidR="000F47BB" w:rsidRPr="00532AA2">
        <w:rPr>
          <w:rFonts w:ascii="Arial" w:hAnsi="Arial" w:cs="Arial"/>
          <w:sz w:val="24"/>
          <w:szCs w:val="24"/>
        </w:rPr>
        <w:t>s</w:t>
      </w:r>
      <w:r w:rsidR="007E362A" w:rsidRPr="00532AA2">
        <w:rPr>
          <w:rFonts w:ascii="Arial" w:hAnsi="Arial" w:cs="Arial"/>
          <w:sz w:val="24"/>
          <w:szCs w:val="24"/>
        </w:rPr>
        <w:t xml:space="preserve"> stress to customer</w:t>
      </w:r>
      <w:r w:rsidR="00A62A73" w:rsidRPr="00532AA2">
        <w:rPr>
          <w:rFonts w:ascii="Arial" w:hAnsi="Arial" w:cs="Arial"/>
          <w:sz w:val="24"/>
          <w:szCs w:val="24"/>
        </w:rPr>
        <w:t>s</w:t>
      </w:r>
      <w:r w:rsidR="00C573FF" w:rsidRPr="00532AA2">
        <w:rPr>
          <w:rFonts w:ascii="Arial" w:hAnsi="Arial" w:cs="Arial"/>
          <w:sz w:val="24"/>
          <w:szCs w:val="24"/>
        </w:rPr>
        <w:t xml:space="preserve"> in the already stressful situat</w:t>
      </w:r>
      <w:r w:rsidR="007E362A" w:rsidRPr="00532AA2">
        <w:rPr>
          <w:rFonts w:ascii="Arial" w:hAnsi="Arial" w:cs="Arial"/>
          <w:sz w:val="24"/>
          <w:szCs w:val="24"/>
        </w:rPr>
        <w:t>ion of not being current on their utility bill</w:t>
      </w:r>
      <w:r w:rsidR="00A62A73" w:rsidRPr="00532AA2">
        <w:rPr>
          <w:rFonts w:ascii="Arial" w:hAnsi="Arial" w:cs="Arial"/>
          <w:sz w:val="24"/>
          <w:szCs w:val="24"/>
        </w:rPr>
        <w:t>s</w:t>
      </w:r>
      <w:r w:rsidR="00C573FF" w:rsidRPr="00532AA2">
        <w:rPr>
          <w:rFonts w:ascii="Arial" w:hAnsi="Arial" w:cs="Arial"/>
          <w:sz w:val="24"/>
          <w:szCs w:val="24"/>
        </w:rPr>
        <w:t xml:space="preserve">. </w:t>
      </w:r>
      <w:r w:rsidR="007E362A" w:rsidRPr="00532AA2">
        <w:rPr>
          <w:rFonts w:ascii="Arial" w:hAnsi="Arial" w:cs="Arial"/>
          <w:sz w:val="24"/>
          <w:szCs w:val="24"/>
        </w:rPr>
        <w:t xml:space="preserve">POR would </w:t>
      </w:r>
      <w:r w:rsidR="004F146B" w:rsidRPr="00532AA2">
        <w:rPr>
          <w:rFonts w:ascii="Arial" w:hAnsi="Arial" w:cs="Arial"/>
          <w:sz w:val="24"/>
          <w:szCs w:val="24"/>
        </w:rPr>
        <w:t xml:space="preserve">eliminate this type of customer confusion </w:t>
      </w:r>
      <w:r w:rsidR="007E362A" w:rsidRPr="00532AA2">
        <w:rPr>
          <w:rFonts w:ascii="Arial" w:hAnsi="Arial" w:cs="Arial"/>
          <w:sz w:val="24"/>
          <w:szCs w:val="24"/>
        </w:rPr>
        <w:t>because under POR programs utilities assume</w:t>
      </w:r>
      <w:r w:rsidR="004F146B" w:rsidRPr="00532AA2">
        <w:rPr>
          <w:rFonts w:ascii="Arial" w:hAnsi="Arial" w:cs="Arial"/>
          <w:sz w:val="24"/>
          <w:szCs w:val="24"/>
        </w:rPr>
        <w:t xml:space="preserve"> full control of the customer billing and collection process</w:t>
      </w:r>
      <w:r w:rsidR="007E362A" w:rsidRPr="00532AA2">
        <w:rPr>
          <w:rFonts w:ascii="Arial" w:hAnsi="Arial" w:cs="Arial"/>
          <w:sz w:val="24"/>
          <w:szCs w:val="24"/>
        </w:rPr>
        <w:t xml:space="preserve"> from beginning to end</w:t>
      </w:r>
      <w:r w:rsidR="004F146B" w:rsidRPr="00532AA2">
        <w:rPr>
          <w:rFonts w:ascii="Arial" w:hAnsi="Arial" w:cs="Arial"/>
          <w:sz w:val="24"/>
          <w:szCs w:val="24"/>
        </w:rPr>
        <w:t xml:space="preserve">.  </w:t>
      </w:r>
    </w:p>
    <w:p w:rsidR="0009648F" w:rsidRPr="00532AA2" w:rsidRDefault="0009648F" w:rsidP="0009648F">
      <w:pPr>
        <w:pStyle w:val="ListParagraph"/>
        <w:numPr>
          <w:ilvl w:val="0"/>
          <w:numId w:val="12"/>
        </w:numPr>
        <w:spacing w:after="0" w:line="480" w:lineRule="auto"/>
        <w:rPr>
          <w:rFonts w:ascii="Arial" w:hAnsi="Arial" w:cs="Arial"/>
          <w:b/>
          <w:sz w:val="24"/>
          <w:szCs w:val="24"/>
        </w:rPr>
      </w:pPr>
      <w:r w:rsidRPr="00532AA2">
        <w:rPr>
          <w:rFonts w:ascii="Arial" w:hAnsi="Arial" w:cs="Arial"/>
          <w:b/>
          <w:sz w:val="24"/>
          <w:szCs w:val="24"/>
        </w:rPr>
        <w:t>POR reduces overall system costs with no additional risk or cost to the utility.</w:t>
      </w:r>
    </w:p>
    <w:p w:rsidR="0009648F" w:rsidRPr="00532AA2" w:rsidRDefault="00E813F8" w:rsidP="0009648F">
      <w:pPr>
        <w:spacing w:after="0" w:line="480" w:lineRule="auto"/>
        <w:ind w:firstLine="360"/>
        <w:rPr>
          <w:rFonts w:ascii="Arial" w:hAnsi="Arial" w:cs="Arial"/>
          <w:sz w:val="24"/>
          <w:szCs w:val="24"/>
        </w:rPr>
      </w:pPr>
      <w:r w:rsidRPr="00532AA2">
        <w:rPr>
          <w:rFonts w:ascii="Arial" w:hAnsi="Arial" w:cs="Arial"/>
          <w:sz w:val="24"/>
          <w:szCs w:val="24"/>
        </w:rPr>
        <w:lastRenderedPageBreak/>
        <w:t xml:space="preserve">POR </w:t>
      </w:r>
      <w:r w:rsidR="00F00EB6" w:rsidRPr="00532AA2">
        <w:rPr>
          <w:rFonts w:ascii="Arial" w:hAnsi="Arial" w:cs="Arial"/>
          <w:sz w:val="24"/>
          <w:szCs w:val="24"/>
        </w:rPr>
        <w:t>add</w:t>
      </w:r>
      <w:r w:rsidR="006478F3" w:rsidRPr="00532AA2">
        <w:rPr>
          <w:rFonts w:ascii="Arial" w:hAnsi="Arial" w:cs="Arial"/>
          <w:sz w:val="24"/>
          <w:szCs w:val="24"/>
        </w:rPr>
        <w:t>s</w:t>
      </w:r>
      <w:r w:rsidR="00F00EB6" w:rsidRPr="00532AA2">
        <w:rPr>
          <w:rFonts w:ascii="Arial" w:hAnsi="Arial" w:cs="Arial"/>
          <w:sz w:val="24"/>
          <w:szCs w:val="24"/>
        </w:rPr>
        <w:t xml:space="preserve"> little or </w:t>
      </w:r>
      <w:r w:rsidRPr="00532AA2">
        <w:rPr>
          <w:rFonts w:ascii="Arial" w:hAnsi="Arial" w:cs="Arial"/>
          <w:sz w:val="24"/>
          <w:szCs w:val="24"/>
        </w:rPr>
        <w:t>no cost or additional risk to t</w:t>
      </w:r>
      <w:r w:rsidR="0038250E" w:rsidRPr="00532AA2">
        <w:rPr>
          <w:rFonts w:ascii="Arial" w:hAnsi="Arial" w:cs="Arial"/>
          <w:sz w:val="24"/>
          <w:szCs w:val="24"/>
        </w:rPr>
        <w:t xml:space="preserve">he electric utility </w:t>
      </w:r>
      <w:r w:rsidR="00F36EAB" w:rsidRPr="00532AA2">
        <w:rPr>
          <w:rFonts w:ascii="Arial" w:hAnsi="Arial" w:cs="Arial"/>
          <w:sz w:val="24"/>
          <w:szCs w:val="24"/>
        </w:rPr>
        <w:t>while reducing the overall collection cost to the system</w:t>
      </w:r>
      <w:r w:rsidRPr="00532AA2">
        <w:rPr>
          <w:rFonts w:ascii="Arial" w:hAnsi="Arial" w:cs="Arial"/>
          <w:sz w:val="24"/>
          <w:szCs w:val="24"/>
        </w:rPr>
        <w:t xml:space="preserve">.  Under a POR program, utilities recover </w:t>
      </w:r>
      <w:r w:rsidR="0038250E" w:rsidRPr="00532AA2">
        <w:rPr>
          <w:rFonts w:ascii="Arial" w:hAnsi="Arial" w:cs="Arial"/>
          <w:sz w:val="24"/>
          <w:szCs w:val="24"/>
        </w:rPr>
        <w:t>all</w:t>
      </w:r>
      <w:r w:rsidRPr="00532AA2">
        <w:rPr>
          <w:rFonts w:ascii="Arial" w:hAnsi="Arial" w:cs="Arial"/>
          <w:sz w:val="24"/>
          <w:szCs w:val="24"/>
        </w:rPr>
        <w:t xml:space="preserve"> costs associated with the assumption of a supplier's collection risk through either a discount rate applied to the purchase of receivables, an uncollectible expense rider, or a combination of the two.</w:t>
      </w:r>
      <w:r w:rsidR="0038250E" w:rsidRPr="00532AA2">
        <w:rPr>
          <w:rFonts w:ascii="Arial" w:hAnsi="Arial" w:cs="Arial"/>
          <w:sz w:val="24"/>
          <w:szCs w:val="24"/>
        </w:rPr>
        <w:t xml:space="preserve"> Under both approaches, however, the utility is always made whole. </w:t>
      </w:r>
      <w:r w:rsidR="0009648F" w:rsidRPr="00532AA2">
        <w:rPr>
          <w:rFonts w:ascii="Arial" w:hAnsi="Arial" w:cs="Arial"/>
          <w:sz w:val="24"/>
          <w:szCs w:val="24"/>
        </w:rPr>
        <w:t xml:space="preserve"> </w:t>
      </w:r>
      <w:r w:rsidR="00825EE0" w:rsidRPr="00532AA2">
        <w:rPr>
          <w:rFonts w:ascii="Arial" w:hAnsi="Arial" w:cs="Arial"/>
          <w:sz w:val="24"/>
          <w:szCs w:val="24"/>
        </w:rPr>
        <w:t>I</w:t>
      </w:r>
      <w:r w:rsidR="004B0400" w:rsidRPr="00532AA2">
        <w:rPr>
          <w:rFonts w:ascii="Arial" w:hAnsi="Arial" w:cs="Arial"/>
          <w:sz w:val="24"/>
          <w:szCs w:val="24"/>
        </w:rPr>
        <w:t>n</w:t>
      </w:r>
      <w:r w:rsidR="00825EE0" w:rsidRPr="00532AA2">
        <w:rPr>
          <w:rFonts w:ascii="Arial" w:hAnsi="Arial" w:cs="Arial"/>
          <w:sz w:val="24"/>
          <w:szCs w:val="24"/>
        </w:rPr>
        <w:t xml:space="preserve"> addition, utilities are generally authorized by the Commission full recovery of the</w:t>
      </w:r>
      <w:r w:rsidR="004B0400" w:rsidRPr="00532AA2">
        <w:rPr>
          <w:rFonts w:ascii="Arial" w:hAnsi="Arial" w:cs="Arial"/>
          <w:sz w:val="24"/>
          <w:szCs w:val="24"/>
        </w:rPr>
        <w:t xml:space="preserve"> incremental cost to implement POR program</w:t>
      </w:r>
      <w:r w:rsidR="00825EE0" w:rsidRPr="00532AA2">
        <w:rPr>
          <w:rFonts w:ascii="Arial" w:hAnsi="Arial" w:cs="Arial"/>
          <w:sz w:val="24"/>
          <w:szCs w:val="24"/>
        </w:rPr>
        <w:t>s</w:t>
      </w:r>
      <w:r w:rsidR="004B0400" w:rsidRPr="00532AA2">
        <w:rPr>
          <w:rFonts w:ascii="Arial" w:hAnsi="Arial" w:cs="Arial"/>
          <w:sz w:val="24"/>
          <w:szCs w:val="24"/>
        </w:rPr>
        <w:t xml:space="preserve"> to ensure </w:t>
      </w:r>
      <w:r w:rsidR="00F94E93">
        <w:rPr>
          <w:rFonts w:ascii="Arial" w:hAnsi="Arial" w:cs="Arial"/>
          <w:sz w:val="24"/>
          <w:szCs w:val="24"/>
        </w:rPr>
        <w:t>the utility recovers all these costs</w:t>
      </w:r>
      <w:r w:rsidR="004B0400" w:rsidRPr="00532AA2">
        <w:rPr>
          <w:rFonts w:ascii="Arial" w:hAnsi="Arial" w:cs="Arial"/>
          <w:sz w:val="24"/>
          <w:szCs w:val="24"/>
        </w:rPr>
        <w:t xml:space="preserve">. </w:t>
      </w:r>
      <w:r w:rsidR="0009648F" w:rsidRPr="00532AA2">
        <w:rPr>
          <w:rFonts w:ascii="Arial" w:hAnsi="Arial" w:cs="Arial"/>
          <w:sz w:val="24"/>
          <w:szCs w:val="24"/>
        </w:rPr>
        <w:t xml:space="preserve"> </w:t>
      </w:r>
      <w:r w:rsidR="0038250E" w:rsidRPr="00532AA2">
        <w:rPr>
          <w:rFonts w:ascii="Arial" w:hAnsi="Arial" w:cs="Arial"/>
          <w:sz w:val="24"/>
          <w:szCs w:val="24"/>
        </w:rPr>
        <w:t xml:space="preserve"> </w:t>
      </w:r>
      <w:r w:rsidR="00B7021D" w:rsidRPr="00532AA2">
        <w:rPr>
          <w:rFonts w:ascii="Arial" w:hAnsi="Arial" w:cs="Arial"/>
          <w:sz w:val="24"/>
          <w:szCs w:val="24"/>
        </w:rPr>
        <w:t xml:space="preserve"> </w:t>
      </w:r>
    </w:p>
    <w:p w:rsidR="004B0400" w:rsidRPr="00532AA2" w:rsidRDefault="0038250E" w:rsidP="0009648F">
      <w:pPr>
        <w:spacing w:after="0" w:line="480" w:lineRule="auto"/>
        <w:ind w:firstLine="360"/>
        <w:rPr>
          <w:rFonts w:ascii="Arial" w:hAnsi="Arial" w:cs="Arial"/>
          <w:sz w:val="24"/>
          <w:szCs w:val="24"/>
        </w:rPr>
      </w:pPr>
      <w:r w:rsidRPr="00532AA2">
        <w:rPr>
          <w:rFonts w:ascii="Arial" w:hAnsi="Arial" w:cs="Arial"/>
          <w:sz w:val="24"/>
          <w:szCs w:val="24"/>
        </w:rPr>
        <w:t xml:space="preserve">Moreover, </w:t>
      </w:r>
      <w:r w:rsidR="00B7429A">
        <w:rPr>
          <w:rFonts w:ascii="Arial" w:hAnsi="Arial" w:cs="Arial"/>
          <w:sz w:val="24"/>
          <w:szCs w:val="24"/>
        </w:rPr>
        <w:t>a</w:t>
      </w:r>
      <w:r w:rsidRPr="00532AA2">
        <w:rPr>
          <w:rFonts w:ascii="Arial" w:hAnsi="Arial" w:cs="Arial"/>
          <w:sz w:val="24"/>
          <w:szCs w:val="24"/>
        </w:rPr>
        <w:t xml:space="preserve"> POR program reduces the overall cost of service for the utility's customers, regardless of whether they receive commodity or generation service under the utility's SSO rate or from a competitive supplier. </w:t>
      </w:r>
      <w:r w:rsidR="003C168F" w:rsidRPr="00532AA2">
        <w:rPr>
          <w:rFonts w:ascii="Arial" w:hAnsi="Arial" w:cs="Arial"/>
          <w:sz w:val="24"/>
          <w:szCs w:val="24"/>
        </w:rPr>
        <w:t>Since</w:t>
      </w:r>
      <w:r w:rsidRPr="00532AA2">
        <w:rPr>
          <w:rFonts w:ascii="Arial" w:hAnsi="Arial" w:cs="Arial"/>
          <w:sz w:val="24"/>
          <w:szCs w:val="24"/>
        </w:rPr>
        <w:t xml:space="preserve"> utilities already have the collections infrastructure</w:t>
      </w:r>
      <w:r w:rsidR="00F36EAB" w:rsidRPr="00532AA2">
        <w:rPr>
          <w:rFonts w:ascii="Arial" w:hAnsi="Arial" w:cs="Arial"/>
          <w:sz w:val="24"/>
          <w:szCs w:val="24"/>
        </w:rPr>
        <w:t xml:space="preserve"> and processes</w:t>
      </w:r>
      <w:r w:rsidRPr="00532AA2">
        <w:rPr>
          <w:rFonts w:ascii="Arial" w:hAnsi="Arial" w:cs="Arial"/>
          <w:sz w:val="24"/>
          <w:szCs w:val="24"/>
        </w:rPr>
        <w:t xml:space="preserve"> in place</w:t>
      </w:r>
      <w:r w:rsidR="00F36EAB" w:rsidRPr="00532AA2">
        <w:rPr>
          <w:rFonts w:ascii="Arial" w:hAnsi="Arial" w:cs="Arial"/>
          <w:sz w:val="24"/>
          <w:szCs w:val="24"/>
        </w:rPr>
        <w:t xml:space="preserve"> and have the ability to disconnect </w:t>
      </w:r>
      <w:r w:rsidR="00A62A73" w:rsidRPr="00532AA2">
        <w:rPr>
          <w:rFonts w:ascii="Arial" w:hAnsi="Arial" w:cs="Arial"/>
          <w:sz w:val="24"/>
          <w:szCs w:val="24"/>
        </w:rPr>
        <w:t xml:space="preserve">in the event of </w:t>
      </w:r>
      <w:r w:rsidR="00F36EAB" w:rsidRPr="00532AA2">
        <w:rPr>
          <w:rFonts w:ascii="Arial" w:hAnsi="Arial" w:cs="Arial"/>
          <w:sz w:val="24"/>
          <w:szCs w:val="24"/>
        </w:rPr>
        <w:t xml:space="preserve">non-payment, the overall cost to the system is reduced by having this responsibility assumed entirely by the utility, rather than having it </w:t>
      </w:r>
      <w:r w:rsidR="00A62A73" w:rsidRPr="00532AA2">
        <w:rPr>
          <w:rFonts w:ascii="Arial" w:hAnsi="Arial" w:cs="Arial"/>
          <w:sz w:val="24"/>
          <w:szCs w:val="24"/>
        </w:rPr>
        <w:t xml:space="preserve">unnecessarily </w:t>
      </w:r>
      <w:r w:rsidR="00F36EAB" w:rsidRPr="00532AA2">
        <w:rPr>
          <w:rFonts w:ascii="Arial" w:hAnsi="Arial" w:cs="Arial"/>
          <w:sz w:val="24"/>
          <w:szCs w:val="24"/>
        </w:rPr>
        <w:t>duplicated by a number of competitive suppliers.</w:t>
      </w:r>
      <w:r w:rsidR="00B7021D" w:rsidRPr="00532AA2">
        <w:rPr>
          <w:rFonts w:ascii="Arial" w:hAnsi="Arial" w:cs="Arial"/>
          <w:sz w:val="24"/>
          <w:szCs w:val="24"/>
        </w:rPr>
        <w:t xml:space="preserve">  </w:t>
      </w:r>
    </w:p>
    <w:p w:rsidR="00B7021D" w:rsidRPr="00532AA2" w:rsidRDefault="00B7021D" w:rsidP="0009648F">
      <w:pPr>
        <w:spacing w:after="0" w:line="480" w:lineRule="auto"/>
        <w:ind w:firstLine="360"/>
        <w:rPr>
          <w:rFonts w:ascii="Arial" w:hAnsi="Arial" w:cs="Arial"/>
          <w:sz w:val="24"/>
          <w:szCs w:val="24"/>
        </w:rPr>
      </w:pPr>
      <w:r w:rsidRPr="00532AA2">
        <w:rPr>
          <w:rFonts w:ascii="Arial" w:hAnsi="Arial" w:cs="Arial"/>
          <w:sz w:val="24"/>
          <w:szCs w:val="24"/>
        </w:rPr>
        <w:t>In fact, POR actually reduces some costs that must be incurred by the utility and customers because it eliminate</w:t>
      </w:r>
      <w:r w:rsidR="004B0400" w:rsidRPr="00532AA2">
        <w:rPr>
          <w:rFonts w:ascii="Arial" w:hAnsi="Arial" w:cs="Arial"/>
          <w:sz w:val="24"/>
          <w:szCs w:val="24"/>
        </w:rPr>
        <w:t>s the complexities of distinguishing between CRES uncollectible accounts and default service uncollectible accounts.</w:t>
      </w:r>
      <w:r w:rsidRPr="00532AA2">
        <w:rPr>
          <w:rFonts w:ascii="Arial" w:hAnsi="Arial" w:cs="Arial"/>
          <w:sz w:val="24"/>
          <w:szCs w:val="24"/>
        </w:rPr>
        <w:t xml:space="preserve"> </w:t>
      </w:r>
      <w:r w:rsidR="004B0400" w:rsidRPr="00532AA2">
        <w:rPr>
          <w:rFonts w:ascii="Arial" w:hAnsi="Arial" w:cs="Arial"/>
          <w:sz w:val="24"/>
          <w:szCs w:val="24"/>
        </w:rPr>
        <w:t xml:space="preserve"> T</w:t>
      </w:r>
      <w:r w:rsidRPr="00532AA2">
        <w:rPr>
          <w:rFonts w:ascii="Arial" w:hAnsi="Arial" w:cs="Arial"/>
          <w:sz w:val="24"/>
          <w:szCs w:val="24"/>
        </w:rPr>
        <w:t xml:space="preserve">he systems </w:t>
      </w:r>
      <w:r w:rsidR="00825EE0" w:rsidRPr="00532AA2">
        <w:rPr>
          <w:rFonts w:ascii="Arial" w:hAnsi="Arial" w:cs="Arial"/>
          <w:sz w:val="24"/>
          <w:szCs w:val="24"/>
        </w:rPr>
        <w:t xml:space="preserve">requirements </w:t>
      </w:r>
      <w:r w:rsidRPr="00532AA2">
        <w:rPr>
          <w:rFonts w:ascii="Arial" w:hAnsi="Arial" w:cs="Arial"/>
          <w:sz w:val="24"/>
          <w:szCs w:val="24"/>
        </w:rPr>
        <w:t>to allocat</w:t>
      </w:r>
      <w:r w:rsidR="004B0400" w:rsidRPr="00532AA2">
        <w:rPr>
          <w:rFonts w:ascii="Arial" w:hAnsi="Arial" w:cs="Arial"/>
          <w:sz w:val="24"/>
          <w:szCs w:val="24"/>
        </w:rPr>
        <w:t>e</w:t>
      </w:r>
      <w:r w:rsidRPr="00532AA2">
        <w:rPr>
          <w:rFonts w:ascii="Arial" w:hAnsi="Arial" w:cs="Arial"/>
          <w:sz w:val="24"/>
          <w:szCs w:val="24"/>
        </w:rPr>
        <w:t xml:space="preserve"> and account</w:t>
      </w:r>
      <w:r w:rsidR="00825EE0" w:rsidRPr="00532AA2">
        <w:rPr>
          <w:rFonts w:ascii="Arial" w:hAnsi="Arial" w:cs="Arial"/>
          <w:sz w:val="24"/>
          <w:szCs w:val="24"/>
        </w:rPr>
        <w:t xml:space="preserve"> for</w:t>
      </w:r>
      <w:r w:rsidRPr="00532AA2">
        <w:rPr>
          <w:rFonts w:ascii="Arial" w:hAnsi="Arial" w:cs="Arial"/>
          <w:sz w:val="24"/>
          <w:szCs w:val="24"/>
        </w:rPr>
        <w:t xml:space="preserve"> those </w:t>
      </w:r>
      <w:r w:rsidR="00825EE0" w:rsidRPr="00532AA2">
        <w:rPr>
          <w:rFonts w:ascii="Arial" w:hAnsi="Arial" w:cs="Arial"/>
          <w:sz w:val="24"/>
          <w:szCs w:val="24"/>
        </w:rPr>
        <w:t>separate</w:t>
      </w:r>
      <w:r w:rsidRPr="00532AA2">
        <w:rPr>
          <w:rFonts w:ascii="Arial" w:hAnsi="Arial" w:cs="Arial"/>
          <w:sz w:val="24"/>
          <w:szCs w:val="24"/>
        </w:rPr>
        <w:t xml:space="preserve"> account balances held between the utility and the supplier</w:t>
      </w:r>
      <w:r w:rsidR="00825EE0" w:rsidRPr="00532AA2">
        <w:rPr>
          <w:rFonts w:ascii="Arial" w:hAnsi="Arial" w:cs="Arial"/>
          <w:sz w:val="24"/>
          <w:szCs w:val="24"/>
        </w:rPr>
        <w:t xml:space="preserve"> will be diminished as well</w:t>
      </w:r>
      <w:r w:rsidRPr="00532AA2">
        <w:rPr>
          <w:rFonts w:ascii="Arial" w:hAnsi="Arial" w:cs="Arial"/>
          <w:sz w:val="24"/>
          <w:szCs w:val="24"/>
        </w:rPr>
        <w:t>.  This is an administrative cost that is eliminated and also reduces complexity for the end-user.</w:t>
      </w:r>
    </w:p>
    <w:p w:rsidR="00F232FD" w:rsidRPr="00532AA2" w:rsidRDefault="00F232FD" w:rsidP="00F232FD">
      <w:pPr>
        <w:autoSpaceDE w:val="0"/>
        <w:autoSpaceDN w:val="0"/>
        <w:adjustRightInd w:val="0"/>
        <w:spacing w:after="0" w:line="240" w:lineRule="auto"/>
        <w:rPr>
          <w:rFonts w:ascii="Arial" w:hAnsi="Arial" w:cs="Arial"/>
          <w:i/>
          <w:sz w:val="24"/>
          <w:szCs w:val="24"/>
        </w:rPr>
      </w:pPr>
    </w:p>
    <w:p w:rsidR="006478F3" w:rsidRPr="00532AA2" w:rsidRDefault="006478F3" w:rsidP="00825EE0">
      <w:pPr>
        <w:pStyle w:val="ListParagraph"/>
        <w:numPr>
          <w:ilvl w:val="0"/>
          <w:numId w:val="10"/>
        </w:numPr>
        <w:spacing w:after="0" w:line="480" w:lineRule="auto"/>
        <w:rPr>
          <w:rFonts w:ascii="Arial" w:hAnsi="Arial" w:cs="Arial"/>
          <w:b/>
          <w:sz w:val="24"/>
          <w:szCs w:val="24"/>
        </w:rPr>
      </w:pPr>
      <w:r w:rsidRPr="00532AA2">
        <w:rPr>
          <w:rFonts w:ascii="Arial" w:hAnsi="Arial" w:cs="Arial"/>
          <w:b/>
          <w:sz w:val="24"/>
          <w:szCs w:val="24"/>
        </w:rPr>
        <w:t>Payment Priority System</w:t>
      </w:r>
    </w:p>
    <w:p w:rsidR="00337A76" w:rsidRPr="00532AA2" w:rsidRDefault="004A10AD" w:rsidP="00337A76">
      <w:pPr>
        <w:spacing w:after="0" w:line="480" w:lineRule="auto"/>
        <w:ind w:firstLine="360"/>
        <w:rPr>
          <w:rFonts w:ascii="Arial" w:hAnsi="Arial" w:cs="Arial"/>
          <w:sz w:val="24"/>
          <w:szCs w:val="24"/>
        </w:rPr>
      </w:pPr>
      <w:r>
        <w:rPr>
          <w:rFonts w:ascii="Arial" w:hAnsi="Arial" w:cs="Arial"/>
          <w:sz w:val="24"/>
          <w:szCs w:val="24"/>
        </w:rPr>
        <w:lastRenderedPageBreak/>
        <w:t xml:space="preserve">Some may argue that a payment priority system that credits CRES supplier charges before utility supplier charges is sufficient to remedy the inherent inequities that arise from the utilities collections process in a competitive market </w:t>
      </w:r>
      <w:r w:rsidR="00954376">
        <w:rPr>
          <w:rFonts w:ascii="Arial" w:hAnsi="Arial" w:cs="Arial"/>
          <w:sz w:val="24"/>
          <w:szCs w:val="24"/>
        </w:rPr>
        <w:t>with</w:t>
      </w:r>
      <w:r>
        <w:rPr>
          <w:rFonts w:ascii="Arial" w:hAnsi="Arial" w:cs="Arial"/>
          <w:sz w:val="24"/>
          <w:szCs w:val="24"/>
        </w:rPr>
        <w:t xml:space="preserve"> a default service rate.  In fact, c</w:t>
      </w:r>
      <w:r w:rsidR="00337A76" w:rsidRPr="00532AA2">
        <w:rPr>
          <w:rFonts w:ascii="Arial" w:hAnsi="Arial" w:cs="Arial"/>
          <w:sz w:val="24"/>
          <w:szCs w:val="24"/>
        </w:rPr>
        <w:t>urrently in the three non-POR Ohio</w:t>
      </w:r>
      <w:r w:rsidR="00532AA2">
        <w:rPr>
          <w:rFonts w:ascii="Arial" w:hAnsi="Arial" w:cs="Arial"/>
          <w:sz w:val="24"/>
          <w:szCs w:val="24"/>
        </w:rPr>
        <w:t xml:space="preserve"> electric</w:t>
      </w:r>
      <w:r w:rsidR="00337A76" w:rsidRPr="00532AA2">
        <w:rPr>
          <w:rFonts w:ascii="Arial" w:hAnsi="Arial" w:cs="Arial"/>
          <w:sz w:val="24"/>
          <w:szCs w:val="24"/>
        </w:rPr>
        <w:t xml:space="preserve"> utilities (DP&amp;L, AEP and FirstEnergy) customer payments are applied </w:t>
      </w:r>
      <w:r w:rsidR="002C234C" w:rsidRPr="00532AA2">
        <w:rPr>
          <w:rFonts w:ascii="Arial" w:hAnsi="Arial" w:cs="Arial"/>
          <w:sz w:val="24"/>
          <w:szCs w:val="24"/>
        </w:rPr>
        <w:t xml:space="preserve">to </w:t>
      </w:r>
      <w:r w:rsidR="00337A76" w:rsidRPr="00532AA2">
        <w:rPr>
          <w:rFonts w:ascii="Arial" w:hAnsi="Arial" w:cs="Arial"/>
          <w:sz w:val="24"/>
          <w:szCs w:val="24"/>
        </w:rPr>
        <w:t>CRES provider past due</w:t>
      </w:r>
      <w:r w:rsidR="002C234C" w:rsidRPr="00532AA2">
        <w:rPr>
          <w:rFonts w:ascii="Arial" w:hAnsi="Arial" w:cs="Arial"/>
          <w:sz w:val="24"/>
          <w:szCs w:val="24"/>
        </w:rPr>
        <w:t xml:space="preserve"> charges first</w:t>
      </w:r>
      <w:r w:rsidR="00337A76" w:rsidRPr="00532AA2">
        <w:rPr>
          <w:rFonts w:ascii="Arial" w:hAnsi="Arial" w:cs="Arial"/>
          <w:sz w:val="24"/>
          <w:szCs w:val="24"/>
        </w:rPr>
        <w:t>, utility past due</w:t>
      </w:r>
      <w:r w:rsidR="002C234C" w:rsidRPr="00532AA2">
        <w:rPr>
          <w:rFonts w:ascii="Arial" w:hAnsi="Arial" w:cs="Arial"/>
          <w:sz w:val="24"/>
          <w:szCs w:val="24"/>
        </w:rPr>
        <w:t xml:space="preserve"> charges second</w:t>
      </w:r>
      <w:r w:rsidR="00337A76" w:rsidRPr="00532AA2">
        <w:rPr>
          <w:rFonts w:ascii="Arial" w:hAnsi="Arial" w:cs="Arial"/>
          <w:sz w:val="24"/>
          <w:szCs w:val="24"/>
        </w:rPr>
        <w:t>, CRES provider current</w:t>
      </w:r>
      <w:r w:rsidR="002C234C" w:rsidRPr="00532AA2">
        <w:rPr>
          <w:rFonts w:ascii="Arial" w:hAnsi="Arial" w:cs="Arial"/>
          <w:sz w:val="24"/>
          <w:szCs w:val="24"/>
        </w:rPr>
        <w:t xml:space="preserve"> charges third and</w:t>
      </w:r>
      <w:r w:rsidR="00337A76" w:rsidRPr="00532AA2">
        <w:rPr>
          <w:rFonts w:ascii="Arial" w:hAnsi="Arial" w:cs="Arial"/>
          <w:sz w:val="24"/>
          <w:szCs w:val="24"/>
        </w:rPr>
        <w:t xml:space="preserve"> utility current</w:t>
      </w:r>
      <w:r w:rsidR="002C234C" w:rsidRPr="00532AA2">
        <w:rPr>
          <w:rFonts w:ascii="Arial" w:hAnsi="Arial" w:cs="Arial"/>
          <w:sz w:val="24"/>
          <w:szCs w:val="24"/>
        </w:rPr>
        <w:t xml:space="preserve"> charges fourth (“Payment Priority System”)</w:t>
      </w:r>
      <w:r w:rsidR="00337A76" w:rsidRPr="00532AA2">
        <w:rPr>
          <w:rFonts w:ascii="Arial" w:hAnsi="Arial" w:cs="Arial"/>
          <w:sz w:val="24"/>
          <w:szCs w:val="24"/>
        </w:rPr>
        <w:t>.</w:t>
      </w:r>
      <w:r w:rsidR="002C234C" w:rsidRPr="00532AA2">
        <w:rPr>
          <w:rFonts w:ascii="Arial" w:hAnsi="Arial" w:cs="Arial"/>
          <w:sz w:val="20"/>
          <w:szCs w:val="20"/>
        </w:rPr>
        <w:t xml:space="preserve"> </w:t>
      </w:r>
      <w:r w:rsidR="002C234C" w:rsidRPr="00532AA2">
        <w:rPr>
          <w:rFonts w:ascii="Arial" w:hAnsi="Arial" w:cs="Arial"/>
          <w:sz w:val="24"/>
          <w:szCs w:val="24"/>
        </w:rPr>
        <w:t>This system, which resulted from a settlement in the Green Mountain Energy FirstEnergy complain</w:t>
      </w:r>
      <w:r w:rsidR="00E542BB" w:rsidRPr="00532AA2">
        <w:rPr>
          <w:rFonts w:ascii="Arial" w:hAnsi="Arial" w:cs="Arial"/>
          <w:sz w:val="24"/>
          <w:szCs w:val="24"/>
        </w:rPr>
        <w:t>t</w:t>
      </w:r>
      <w:r w:rsidR="002C234C" w:rsidRPr="00532AA2">
        <w:rPr>
          <w:rFonts w:ascii="Arial" w:hAnsi="Arial" w:cs="Arial"/>
          <w:sz w:val="24"/>
          <w:szCs w:val="24"/>
        </w:rPr>
        <w:t xml:space="preserve"> case,</w:t>
      </w:r>
      <w:r w:rsidR="0070494A" w:rsidRPr="00532AA2">
        <w:rPr>
          <w:rFonts w:ascii="Arial" w:hAnsi="Arial" w:cs="Arial"/>
          <w:sz w:val="24"/>
          <w:szCs w:val="24"/>
        </w:rPr>
        <w:t xml:space="preserve"> was intended to </w:t>
      </w:r>
      <w:r>
        <w:rPr>
          <w:rFonts w:ascii="Arial" w:hAnsi="Arial" w:cs="Arial"/>
          <w:sz w:val="24"/>
          <w:szCs w:val="24"/>
        </w:rPr>
        <w:t>help put CRES suppliers on a level playing field in a collections process that favors default rate customers</w:t>
      </w:r>
      <w:r w:rsidR="0070494A" w:rsidRPr="00532AA2">
        <w:rPr>
          <w:rFonts w:ascii="Arial" w:hAnsi="Arial" w:cs="Arial"/>
          <w:sz w:val="24"/>
          <w:szCs w:val="24"/>
        </w:rPr>
        <w:t>.</w:t>
      </w:r>
      <w:r w:rsidR="0070494A" w:rsidRPr="00532AA2">
        <w:rPr>
          <w:rStyle w:val="FootnoteReference"/>
          <w:rFonts w:ascii="Arial" w:hAnsi="Arial" w:cs="Arial"/>
          <w:sz w:val="24"/>
          <w:szCs w:val="24"/>
        </w:rPr>
        <w:t xml:space="preserve"> </w:t>
      </w:r>
      <w:r w:rsidR="0070494A" w:rsidRPr="00532AA2">
        <w:rPr>
          <w:rStyle w:val="FootnoteReference"/>
          <w:rFonts w:ascii="Arial" w:hAnsi="Arial" w:cs="Arial"/>
          <w:sz w:val="24"/>
          <w:szCs w:val="24"/>
        </w:rPr>
        <w:footnoteReference w:id="12"/>
      </w:r>
      <w:r w:rsidR="0070494A" w:rsidRPr="00532AA2">
        <w:rPr>
          <w:rFonts w:ascii="Arial" w:hAnsi="Arial" w:cs="Arial"/>
          <w:sz w:val="24"/>
          <w:szCs w:val="24"/>
        </w:rPr>
        <w:t xml:space="preserve">  This system, however,</w:t>
      </w:r>
      <w:r w:rsidR="002C234C" w:rsidRPr="00532AA2">
        <w:rPr>
          <w:rFonts w:ascii="Arial" w:hAnsi="Arial" w:cs="Arial"/>
          <w:sz w:val="24"/>
          <w:szCs w:val="24"/>
        </w:rPr>
        <w:t xml:space="preserve"> has proven </w:t>
      </w:r>
      <w:r w:rsidR="0087408C">
        <w:rPr>
          <w:rFonts w:ascii="Arial" w:hAnsi="Arial" w:cs="Arial"/>
          <w:sz w:val="24"/>
          <w:szCs w:val="24"/>
        </w:rPr>
        <w:t>inefficacious in</w:t>
      </w:r>
      <w:r w:rsidR="0087408C" w:rsidRPr="00532AA2">
        <w:rPr>
          <w:rFonts w:ascii="Arial" w:hAnsi="Arial" w:cs="Arial"/>
          <w:sz w:val="24"/>
          <w:szCs w:val="24"/>
        </w:rPr>
        <w:t xml:space="preserve"> </w:t>
      </w:r>
      <w:r w:rsidR="002C234C" w:rsidRPr="00532AA2">
        <w:rPr>
          <w:rFonts w:ascii="Arial" w:hAnsi="Arial" w:cs="Arial"/>
          <w:sz w:val="24"/>
          <w:szCs w:val="24"/>
        </w:rPr>
        <w:t>correct</w:t>
      </w:r>
      <w:r w:rsidR="0070494A" w:rsidRPr="00532AA2">
        <w:rPr>
          <w:rFonts w:ascii="Arial" w:hAnsi="Arial" w:cs="Arial"/>
          <w:sz w:val="24"/>
          <w:szCs w:val="24"/>
        </w:rPr>
        <w:t>ing</w:t>
      </w:r>
      <w:r w:rsidR="00473A68">
        <w:rPr>
          <w:rFonts w:ascii="Arial" w:hAnsi="Arial" w:cs="Arial"/>
          <w:sz w:val="24"/>
          <w:szCs w:val="24"/>
        </w:rPr>
        <w:t xml:space="preserve"> the i</w:t>
      </w:r>
      <w:r w:rsidR="002C234C" w:rsidRPr="00532AA2">
        <w:rPr>
          <w:rFonts w:ascii="Arial" w:hAnsi="Arial" w:cs="Arial"/>
          <w:sz w:val="24"/>
          <w:szCs w:val="24"/>
        </w:rPr>
        <w:t>nequities and subsidies</w:t>
      </w:r>
      <w:r w:rsidR="00473A68">
        <w:rPr>
          <w:rFonts w:ascii="Arial" w:hAnsi="Arial" w:cs="Arial"/>
          <w:sz w:val="24"/>
          <w:szCs w:val="24"/>
        </w:rPr>
        <w:t xml:space="preserve"> in the utility collections process</w:t>
      </w:r>
      <w:r w:rsidR="002C234C" w:rsidRPr="00532AA2">
        <w:rPr>
          <w:rFonts w:ascii="Arial" w:hAnsi="Arial" w:cs="Arial"/>
          <w:sz w:val="24"/>
          <w:szCs w:val="24"/>
        </w:rPr>
        <w:t>.</w:t>
      </w:r>
    </w:p>
    <w:p w:rsidR="007F5FE5" w:rsidRPr="00532AA2" w:rsidRDefault="00337A76" w:rsidP="00337A76">
      <w:pPr>
        <w:spacing w:after="0" w:line="480" w:lineRule="auto"/>
        <w:ind w:firstLine="360"/>
        <w:rPr>
          <w:rFonts w:ascii="Arial" w:hAnsi="Arial" w:cs="Arial"/>
          <w:sz w:val="24"/>
          <w:szCs w:val="24"/>
        </w:rPr>
      </w:pPr>
      <w:r w:rsidRPr="00532AA2">
        <w:rPr>
          <w:rFonts w:ascii="Arial" w:hAnsi="Arial" w:cs="Arial"/>
          <w:sz w:val="24"/>
          <w:szCs w:val="24"/>
        </w:rPr>
        <w:t xml:space="preserve"> </w:t>
      </w:r>
      <w:r w:rsidR="001E61FE" w:rsidRPr="00532AA2">
        <w:rPr>
          <w:rFonts w:ascii="Arial" w:hAnsi="Arial" w:cs="Arial"/>
          <w:sz w:val="24"/>
          <w:szCs w:val="24"/>
        </w:rPr>
        <w:t>For one, the Payment Prior</w:t>
      </w:r>
      <w:r w:rsidR="0087408C">
        <w:rPr>
          <w:rFonts w:ascii="Arial" w:hAnsi="Arial" w:cs="Arial"/>
          <w:sz w:val="24"/>
          <w:szCs w:val="24"/>
        </w:rPr>
        <w:t>it</w:t>
      </w:r>
      <w:r w:rsidR="001E61FE" w:rsidRPr="00532AA2">
        <w:rPr>
          <w:rFonts w:ascii="Arial" w:hAnsi="Arial" w:cs="Arial"/>
          <w:sz w:val="24"/>
          <w:szCs w:val="24"/>
        </w:rPr>
        <w:t>y System does not remedy the anti-competit</w:t>
      </w:r>
      <w:r w:rsidR="0070494A" w:rsidRPr="00532AA2">
        <w:rPr>
          <w:rFonts w:ascii="Arial" w:hAnsi="Arial" w:cs="Arial"/>
          <w:sz w:val="24"/>
          <w:szCs w:val="24"/>
        </w:rPr>
        <w:t>i</w:t>
      </w:r>
      <w:r w:rsidR="001E61FE" w:rsidRPr="00532AA2">
        <w:rPr>
          <w:rFonts w:ascii="Arial" w:hAnsi="Arial" w:cs="Arial"/>
          <w:sz w:val="24"/>
          <w:szCs w:val="24"/>
        </w:rPr>
        <w:t>ve subsidies</w:t>
      </w:r>
      <w:r w:rsidR="007F5FE5" w:rsidRPr="00532AA2">
        <w:rPr>
          <w:rFonts w:ascii="Arial" w:hAnsi="Arial" w:cs="Arial"/>
          <w:sz w:val="24"/>
          <w:szCs w:val="24"/>
        </w:rPr>
        <w:t xml:space="preserve"> flowing from CRES customers to the default rate</w:t>
      </w:r>
      <w:r w:rsidR="001E61FE" w:rsidRPr="00532AA2">
        <w:rPr>
          <w:rFonts w:ascii="Arial" w:hAnsi="Arial" w:cs="Arial"/>
          <w:sz w:val="24"/>
          <w:szCs w:val="24"/>
        </w:rPr>
        <w:t>.</w:t>
      </w:r>
      <w:r w:rsidR="00473A68">
        <w:rPr>
          <w:rFonts w:ascii="Arial" w:hAnsi="Arial" w:cs="Arial"/>
          <w:sz w:val="24"/>
          <w:szCs w:val="24"/>
        </w:rPr>
        <w:t xml:space="preserve"> </w:t>
      </w:r>
      <w:r w:rsidR="00473A68" w:rsidRPr="00532AA2">
        <w:rPr>
          <w:rFonts w:ascii="Arial" w:hAnsi="Arial" w:cs="Arial"/>
          <w:sz w:val="24"/>
          <w:szCs w:val="24"/>
        </w:rPr>
        <w:t xml:space="preserve">CRES supplier customers must still pay for collection systems and infrastructure that is used to collect only on default service past due accounts.  </w:t>
      </w:r>
      <w:r w:rsidR="007F5FE5" w:rsidRPr="00532AA2">
        <w:rPr>
          <w:rFonts w:ascii="Arial" w:hAnsi="Arial" w:cs="Arial"/>
          <w:sz w:val="24"/>
          <w:szCs w:val="24"/>
        </w:rPr>
        <w:t xml:space="preserve"> The current Payment Priority System</w:t>
      </w:r>
      <w:r w:rsidR="00473A68">
        <w:rPr>
          <w:rFonts w:ascii="Arial" w:hAnsi="Arial" w:cs="Arial"/>
          <w:sz w:val="24"/>
          <w:szCs w:val="24"/>
        </w:rPr>
        <w:t xml:space="preserve"> also</w:t>
      </w:r>
      <w:r w:rsidR="007F5FE5" w:rsidRPr="00532AA2">
        <w:rPr>
          <w:rFonts w:ascii="Arial" w:hAnsi="Arial" w:cs="Arial"/>
          <w:sz w:val="24"/>
          <w:szCs w:val="24"/>
        </w:rPr>
        <w:t xml:space="preserve"> does not ensure payment on CRES supplier charges so CRES suppliers still must develop the collections infrastructure and systems that are </w:t>
      </w:r>
      <w:r w:rsidR="00E542BB" w:rsidRPr="00532AA2">
        <w:rPr>
          <w:rFonts w:ascii="Arial" w:hAnsi="Arial" w:cs="Arial"/>
          <w:sz w:val="24"/>
          <w:szCs w:val="24"/>
        </w:rPr>
        <w:t xml:space="preserve">duplicative </w:t>
      </w:r>
      <w:r w:rsidR="0087408C" w:rsidRPr="00532AA2">
        <w:rPr>
          <w:rFonts w:ascii="Arial" w:hAnsi="Arial" w:cs="Arial"/>
          <w:sz w:val="24"/>
          <w:szCs w:val="24"/>
        </w:rPr>
        <w:t>of th</w:t>
      </w:r>
      <w:r w:rsidR="0087408C">
        <w:rPr>
          <w:rFonts w:ascii="Arial" w:hAnsi="Arial" w:cs="Arial"/>
          <w:sz w:val="24"/>
          <w:szCs w:val="24"/>
        </w:rPr>
        <w:t>os</w:t>
      </w:r>
      <w:r w:rsidR="0087408C" w:rsidRPr="00532AA2">
        <w:rPr>
          <w:rFonts w:ascii="Arial" w:hAnsi="Arial" w:cs="Arial"/>
          <w:sz w:val="24"/>
          <w:szCs w:val="24"/>
        </w:rPr>
        <w:t xml:space="preserve">e </w:t>
      </w:r>
      <w:r w:rsidR="0087408C">
        <w:rPr>
          <w:rFonts w:ascii="Arial" w:hAnsi="Arial" w:cs="Arial"/>
          <w:sz w:val="24"/>
          <w:szCs w:val="24"/>
        </w:rPr>
        <w:t xml:space="preserve">of the </w:t>
      </w:r>
      <w:r w:rsidR="0087408C" w:rsidRPr="00532AA2">
        <w:rPr>
          <w:rFonts w:ascii="Arial" w:hAnsi="Arial" w:cs="Arial"/>
          <w:sz w:val="24"/>
          <w:szCs w:val="24"/>
        </w:rPr>
        <w:t>utility</w:t>
      </w:r>
      <w:r w:rsidR="00E542BB" w:rsidRPr="00532AA2">
        <w:rPr>
          <w:rFonts w:ascii="Arial" w:hAnsi="Arial" w:cs="Arial"/>
          <w:sz w:val="24"/>
          <w:szCs w:val="24"/>
        </w:rPr>
        <w:t xml:space="preserve">. </w:t>
      </w:r>
      <w:r w:rsidR="001E61FE" w:rsidRPr="00532AA2">
        <w:rPr>
          <w:rFonts w:ascii="Arial" w:hAnsi="Arial" w:cs="Arial"/>
          <w:sz w:val="24"/>
          <w:szCs w:val="24"/>
        </w:rPr>
        <w:t xml:space="preserve"> </w:t>
      </w:r>
    </w:p>
    <w:p w:rsidR="007F5FE5" w:rsidRPr="00532AA2" w:rsidRDefault="007F5FE5" w:rsidP="0070494A">
      <w:pPr>
        <w:spacing w:after="0" w:line="480" w:lineRule="auto"/>
        <w:ind w:firstLine="360"/>
        <w:rPr>
          <w:rFonts w:ascii="Arial" w:hAnsi="Arial" w:cs="Arial"/>
          <w:sz w:val="24"/>
          <w:szCs w:val="24"/>
        </w:rPr>
      </w:pPr>
      <w:r w:rsidRPr="00532AA2">
        <w:rPr>
          <w:rFonts w:ascii="Arial" w:hAnsi="Arial" w:cs="Arial"/>
          <w:sz w:val="24"/>
          <w:szCs w:val="24"/>
        </w:rPr>
        <w:t xml:space="preserve"> </w:t>
      </w:r>
      <w:r w:rsidR="00FF2E30" w:rsidRPr="00532AA2">
        <w:rPr>
          <w:rFonts w:ascii="Arial" w:hAnsi="Arial" w:cs="Arial"/>
          <w:sz w:val="24"/>
          <w:szCs w:val="24"/>
        </w:rPr>
        <w:t>Also, t</w:t>
      </w:r>
      <w:r w:rsidR="001E61FE" w:rsidRPr="00532AA2">
        <w:rPr>
          <w:rFonts w:ascii="Arial" w:hAnsi="Arial" w:cs="Arial"/>
          <w:sz w:val="24"/>
          <w:szCs w:val="24"/>
        </w:rPr>
        <w:t>he issues with customer confusion still exist because even with the Payment P</w:t>
      </w:r>
      <w:r w:rsidR="0070494A" w:rsidRPr="00532AA2">
        <w:rPr>
          <w:rFonts w:ascii="Arial" w:hAnsi="Arial" w:cs="Arial"/>
          <w:sz w:val="24"/>
          <w:szCs w:val="24"/>
        </w:rPr>
        <w:t>riority System customers are</w:t>
      </w:r>
      <w:r w:rsidR="001E61FE" w:rsidRPr="00532AA2">
        <w:rPr>
          <w:rFonts w:ascii="Arial" w:hAnsi="Arial" w:cs="Arial"/>
          <w:sz w:val="24"/>
          <w:szCs w:val="24"/>
        </w:rPr>
        <w:t xml:space="preserve"> subject to collections from both the CRES provider and the utility when the custome</w:t>
      </w:r>
      <w:r w:rsidRPr="00532AA2">
        <w:rPr>
          <w:rFonts w:ascii="Arial" w:hAnsi="Arial" w:cs="Arial"/>
          <w:sz w:val="24"/>
          <w:szCs w:val="24"/>
        </w:rPr>
        <w:t>r becomes past due.  This is exacerbated by the fact that currently there is not sufficient information coming from the utility about past due accounts.  Absent a POR</w:t>
      </w:r>
      <w:r w:rsidR="0070494A" w:rsidRPr="00532AA2">
        <w:rPr>
          <w:rFonts w:ascii="Arial" w:hAnsi="Arial" w:cs="Arial"/>
          <w:sz w:val="24"/>
          <w:szCs w:val="24"/>
        </w:rPr>
        <w:t>,</w:t>
      </w:r>
      <w:r w:rsidRPr="00532AA2">
        <w:rPr>
          <w:rFonts w:ascii="Arial" w:hAnsi="Arial" w:cs="Arial"/>
          <w:sz w:val="24"/>
          <w:szCs w:val="24"/>
        </w:rPr>
        <w:t xml:space="preserve"> the utility should provide CRES providers on a daily basis full customer account information regarding payment and usage.  This information is </w:t>
      </w:r>
      <w:r w:rsidRPr="00532AA2">
        <w:rPr>
          <w:rFonts w:ascii="Arial" w:hAnsi="Arial" w:cs="Arial"/>
          <w:sz w:val="24"/>
          <w:szCs w:val="24"/>
        </w:rPr>
        <w:lastRenderedPageBreak/>
        <w:t>needed so that CRES providers can communicate to customers that call in whether their accounts have been paid and how much they owe on their account</w:t>
      </w:r>
      <w:r w:rsidR="0070494A" w:rsidRPr="00532AA2">
        <w:rPr>
          <w:rFonts w:ascii="Arial" w:hAnsi="Arial" w:cs="Arial"/>
          <w:sz w:val="24"/>
          <w:szCs w:val="24"/>
        </w:rPr>
        <w:t>s.  This information is currently not being provided</w:t>
      </w:r>
      <w:r w:rsidR="0087408C">
        <w:rPr>
          <w:rFonts w:ascii="Arial" w:hAnsi="Arial" w:cs="Arial"/>
          <w:sz w:val="24"/>
          <w:szCs w:val="24"/>
        </w:rPr>
        <w:t>, and is exemplary</w:t>
      </w:r>
      <w:r w:rsidRPr="00532AA2">
        <w:rPr>
          <w:rFonts w:ascii="Arial" w:hAnsi="Arial" w:cs="Arial"/>
          <w:sz w:val="24"/>
          <w:szCs w:val="24"/>
        </w:rPr>
        <w:t xml:space="preserve"> of a broken system.</w:t>
      </w:r>
    </w:p>
    <w:p w:rsidR="00FF2E30" w:rsidRPr="00532AA2" w:rsidRDefault="00FF2E30" w:rsidP="0070494A">
      <w:pPr>
        <w:spacing w:after="0" w:line="480" w:lineRule="auto"/>
        <w:ind w:firstLine="360"/>
        <w:rPr>
          <w:rFonts w:ascii="Arial" w:hAnsi="Arial" w:cs="Arial"/>
          <w:sz w:val="24"/>
          <w:szCs w:val="24"/>
        </w:rPr>
      </w:pPr>
      <w:r w:rsidRPr="00532AA2">
        <w:rPr>
          <w:rFonts w:ascii="Arial" w:hAnsi="Arial" w:cs="Arial"/>
          <w:sz w:val="24"/>
          <w:szCs w:val="24"/>
        </w:rPr>
        <w:tab/>
        <w:t>Finally, the Payment Priority System does not alleviate the need to develop special systems and processes to bifurcate custom</w:t>
      </w:r>
      <w:r w:rsidR="00E542BB" w:rsidRPr="00532AA2">
        <w:rPr>
          <w:rFonts w:ascii="Arial" w:hAnsi="Arial" w:cs="Arial"/>
          <w:sz w:val="24"/>
          <w:szCs w:val="24"/>
        </w:rPr>
        <w:t>er accounts when they become</w:t>
      </w:r>
      <w:r w:rsidRPr="00532AA2">
        <w:rPr>
          <w:rFonts w:ascii="Arial" w:hAnsi="Arial" w:cs="Arial"/>
          <w:sz w:val="24"/>
          <w:szCs w:val="24"/>
        </w:rPr>
        <w:t xml:space="preserve"> past due, adding unnecessary complexity and cost to the utility and customers.</w:t>
      </w:r>
    </w:p>
    <w:p w:rsidR="0070494A" w:rsidRPr="00532AA2" w:rsidRDefault="0070494A" w:rsidP="00794907">
      <w:pPr>
        <w:autoSpaceDE w:val="0"/>
        <w:autoSpaceDN w:val="0"/>
        <w:adjustRightInd w:val="0"/>
        <w:spacing w:after="0" w:line="480" w:lineRule="auto"/>
        <w:rPr>
          <w:rFonts w:ascii="Arial" w:hAnsi="Arial" w:cs="Arial"/>
          <w:sz w:val="24"/>
          <w:szCs w:val="24"/>
        </w:rPr>
      </w:pPr>
      <w:r w:rsidRPr="00532AA2">
        <w:rPr>
          <w:rFonts w:ascii="Arial" w:hAnsi="Arial" w:cs="Arial"/>
          <w:sz w:val="24"/>
          <w:szCs w:val="24"/>
        </w:rPr>
        <w:tab/>
        <w:t xml:space="preserve">Simply put, the Payment Priority System was nothing more than a </w:t>
      </w:r>
      <w:r w:rsidR="0087408C">
        <w:rPr>
          <w:rFonts w:ascii="Arial" w:hAnsi="Arial" w:cs="Arial"/>
          <w:sz w:val="24"/>
          <w:szCs w:val="24"/>
        </w:rPr>
        <w:t>symptomatic treatment of a systemic problem</w:t>
      </w:r>
      <w:r w:rsidRPr="00532AA2">
        <w:rPr>
          <w:rFonts w:ascii="Arial" w:hAnsi="Arial" w:cs="Arial"/>
          <w:sz w:val="24"/>
          <w:szCs w:val="24"/>
        </w:rPr>
        <w:t>.  In fact, the Payment Priority Syst</w:t>
      </w:r>
      <w:r w:rsidR="00FF2E30" w:rsidRPr="00532AA2">
        <w:rPr>
          <w:rFonts w:ascii="Arial" w:hAnsi="Arial" w:cs="Arial"/>
          <w:sz w:val="24"/>
          <w:szCs w:val="24"/>
        </w:rPr>
        <w:t xml:space="preserve">em does little to address the inherent equities </w:t>
      </w:r>
      <w:r w:rsidR="00E542BB" w:rsidRPr="00532AA2">
        <w:rPr>
          <w:rFonts w:ascii="Arial" w:hAnsi="Arial" w:cs="Arial"/>
          <w:sz w:val="24"/>
          <w:szCs w:val="24"/>
        </w:rPr>
        <w:t xml:space="preserve">in the utility collections process when there is a competitive market </w:t>
      </w:r>
      <w:r w:rsidR="00954376">
        <w:rPr>
          <w:rFonts w:ascii="Arial" w:hAnsi="Arial" w:cs="Arial"/>
          <w:sz w:val="24"/>
          <w:szCs w:val="24"/>
        </w:rPr>
        <w:t>and</w:t>
      </w:r>
      <w:r w:rsidR="00E542BB" w:rsidRPr="00532AA2">
        <w:rPr>
          <w:rFonts w:ascii="Arial" w:hAnsi="Arial" w:cs="Arial"/>
          <w:sz w:val="24"/>
          <w:szCs w:val="24"/>
        </w:rPr>
        <w:t xml:space="preserve"> a default rate</w:t>
      </w:r>
      <w:r w:rsidRPr="00532AA2">
        <w:rPr>
          <w:rFonts w:ascii="Arial" w:hAnsi="Arial" w:cs="Arial"/>
          <w:sz w:val="24"/>
          <w:szCs w:val="24"/>
        </w:rPr>
        <w:t>.  What is needed is for all utilities to offer POR</w:t>
      </w:r>
      <w:r w:rsidR="00FF2E30" w:rsidRPr="00532AA2">
        <w:rPr>
          <w:rFonts w:ascii="Arial" w:hAnsi="Arial" w:cs="Arial"/>
          <w:sz w:val="24"/>
          <w:szCs w:val="24"/>
        </w:rPr>
        <w:t>, and such a solution should</w:t>
      </w:r>
      <w:r w:rsidR="00794907" w:rsidRPr="00532AA2">
        <w:rPr>
          <w:rFonts w:ascii="Arial" w:hAnsi="Arial" w:cs="Arial"/>
          <w:sz w:val="24"/>
          <w:szCs w:val="24"/>
        </w:rPr>
        <w:t xml:space="preserve"> be provided </w:t>
      </w:r>
      <w:r w:rsidR="00473A68">
        <w:rPr>
          <w:rFonts w:ascii="Arial" w:hAnsi="Arial" w:cs="Arial"/>
          <w:sz w:val="24"/>
          <w:szCs w:val="24"/>
        </w:rPr>
        <w:t xml:space="preserve">by amending </w:t>
      </w:r>
      <w:r w:rsidR="00794907" w:rsidRPr="00532AA2">
        <w:rPr>
          <w:rFonts w:ascii="Arial" w:hAnsi="Arial" w:cs="Arial"/>
          <w:sz w:val="24"/>
          <w:szCs w:val="24"/>
        </w:rPr>
        <w:t>the OAC 4901:1-10 rules</w:t>
      </w:r>
      <w:r w:rsidR="00473A68">
        <w:rPr>
          <w:rFonts w:ascii="Arial" w:hAnsi="Arial" w:cs="Arial"/>
          <w:sz w:val="24"/>
          <w:szCs w:val="24"/>
        </w:rPr>
        <w:t xml:space="preserve"> to require all utilities to offer POR</w:t>
      </w:r>
      <w:r w:rsidR="00954376">
        <w:rPr>
          <w:rFonts w:ascii="Arial" w:hAnsi="Arial" w:cs="Arial"/>
          <w:sz w:val="24"/>
          <w:szCs w:val="24"/>
        </w:rPr>
        <w:t xml:space="preserve"> programs</w:t>
      </w:r>
      <w:r w:rsidR="00794907" w:rsidRPr="00532AA2">
        <w:rPr>
          <w:rFonts w:ascii="Arial" w:hAnsi="Arial" w:cs="Arial"/>
          <w:sz w:val="24"/>
          <w:szCs w:val="24"/>
        </w:rPr>
        <w:t>.</w:t>
      </w:r>
    </w:p>
    <w:p w:rsidR="00794907" w:rsidRPr="00532AA2" w:rsidRDefault="00794907" w:rsidP="00794907">
      <w:pPr>
        <w:pStyle w:val="ListParagraph"/>
        <w:numPr>
          <w:ilvl w:val="0"/>
          <w:numId w:val="8"/>
        </w:numPr>
        <w:spacing w:after="0" w:line="480" w:lineRule="auto"/>
        <w:rPr>
          <w:rFonts w:ascii="Arial" w:hAnsi="Arial" w:cs="Arial"/>
          <w:b/>
          <w:sz w:val="24"/>
          <w:szCs w:val="24"/>
          <w:u w:val="single"/>
        </w:rPr>
      </w:pPr>
      <w:r w:rsidRPr="00532AA2">
        <w:rPr>
          <w:rFonts w:ascii="Arial" w:hAnsi="Arial" w:cs="Arial"/>
          <w:b/>
          <w:sz w:val="24"/>
          <w:szCs w:val="24"/>
          <w:u w:val="single"/>
        </w:rPr>
        <w:t>CUSTOMER ACCOUNT NUMBERS</w:t>
      </w:r>
    </w:p>
    <w:p w:rsidR="00EB4351" w:rsidRPr="00532AA2" w:rsidRDefault="00794907" w:rsidP="00EB4351">
      <w:pPr>
        <w:autoSpaceDE w:val="0"/>
        <w:autoSpaceDN w:val="0"/>
        <w:adjustRightInd w:val="0"/>
        <w:spacing w:after="0" w:line="480" w:lineRule="auto"/>
        <w:ind w:firstLine="360"/>
        <w:rPr>
          <w:rFonts w:ascii="Arial" w:hAnsi="Arial" w:cs="Arial"/>
          <w:sz w:val="24"/>
          <w:szCs w:val="24"/>
        </w:rPr>
      </w:pPr>
      <w:r w:rsidRPr="00532AA2">
        <w:rPr>
          <w:rFonts w:ascii="Arial" w:hAnsi="Arial" w:cs="Arial"/>
          <w:sz w:val="24"/>
          <w:szCs w:val="24"/>
        </w:rPr>
        <w:t>OAC 4901:1-10-29(E) requi</w:t>
      </w:r>
      <w:r w:rsidR="0001468C" w:rsidRPr="00532AA2">
        <w:rPr>
          <w:rFonts w:ascii="Arial" w:hAnsi="Arial" w:cs="Arial"/>
          <w:sz w:val="24"/>
          <w:szCs w:val="24"/>
        </w:rPr>
        <w:t>res that utilities make available</w:t>
      </w:r>
      <w:r w:rsidRPr="00532AA2">
        <w:rPr>
          <w:rFonts w:ascii="Arial" w:hAnsi="Arial" w:cs="Arial"/>
          <w:sz w:val="24"/>
          <w:szCs w:val="24"/>
        </w:rPr>
        <w:t xml:space="preserve"> to CRES providers customer list of customers that are eligible to receive competitive service.  The </w:t>
      </w:r>
      <w:r w:rsidR="00EB4351" w:rsidRPr="00532AA2">
        <w:rPr>
          <w:rFonts w:ascii="Arial" w:hAnsi="Arial" w:cs="Arial"/>
          <w:sz w:val="24"/>
          <w:szCs w:val="24"/>
        </w:rPr>
        <w:t>Commission should ame</w:t>
      </w:r>
      <w:r w:rsidR="0001468C" w:rsidRPr="00532AA2">
        <w:rPr>
          <w:rFonts w:ascii="Arial" w:hAnsi="Arial" w:cs="Arial"/>
          <w:sz w:val="24"/>
          <w:szCs w:val="24"/>
        </w:rPr>
        <w:t>nd this rule to require that</w:t>
      </w:r>
      <w:r w:rsidR="00EB4351" w:rsidRPr="00532AA2">
        <w:rPr>
          <w:rFonts w:ascii="Arial" w:hAnsi="Arial" w:cs="Arial"/>
          <w:sz w:val="24"/>
          <w:szCs w:val="24"/>
        </w:rPr>
        <w:t xml:space="preserve"> customer account number</w:t>
      </w:r>
      <w:r w:rsidR="0001468C" w:rsidRPr="00532AA2">
        <w:rPr>
          <w:rFonts w:ascii="Arial" w:hAnsi="Arial" w:cs="Arial"/>
          <w:sz w:val="24"/>
          <w:szCs w:val="24"/>
        </w:rPr>
        <w:t>s</w:t>
      </w:r>
      <w:r w:rsidR="00EB4351" w:rsidRPr="00532AA2">
        <w:rPr>
          <w:rFonts w:ascii="Arial" w:hAnsi="Arial" w:cs="Arial"/>
          <w:sz w:val="24"/>
          <w:szCs w:val="24"/>
        </w:rPr>
        <w:t xml:space="preserve"> be included in these lists.</w:t>
      </w:r>
      <w:r w:rsidR="00D16EE5">
        <w:rPr>
          <w:rStyle w:val="FootnoteReference"/>
          <w:rFonts w:ascii="Arial" w:hAnsi="Arial" w:cs="Arial"/>
          <w:sz w:val="24"/>
          <w:szCs w:val="24"/>
        </w:rPr>
        <w:footnoteReference w:id="13"/>
      </w:r>
      <w:r w:rsidR="00EB4351" w:rsidRPr="00532AA2">
        <w:rPr>
          <w:rFonts w:ascii="Arial" w:hAnsi="Arial" w:cs="Arial"/>
          <w:sz w:val="24"/>
          <w:szCs w:val="24"/>
        </w:rPr>
        <w:t xml:space="preserve"> </w:t>
      </w:r>
    </w:p>
    <w:p w:rsidR="00825EE0" w:rsidRPr="00532AA2" w:rsidRDefault="00EB4351" w:rsidP="00EB4351">
      <w:pPr>
        <w:autoSpaceDE w:val="0"/>
        <w:autoSpaceDN w:val="0"/>
        <w:adjustRightInd w:val="0"/>
        <w:spacing w:after="0" w:line="480" w:lineRule="auto"/>
        <w:ind w:firstLine="360"/>
        <w:rPr>
          <w:rFonts w:ascii="Arial" w:hAnsi="Arial" w:cs="Arial"/>
          <w:sz w:val="24"/>
          <w:szCs w:val="24"/>
        </w:rPr>
      </w:pPr>
      <w:r w:rsidRPr="00532AA2">
        <w:rPr>
          <w:rFonts w:ascii="Arial" w:hAnsi="Arial" w:cs="Arial"/>
          <w:sz w:val="24"/>
          <w:szCs w:val="24"/>
        </w:rPr>
        <w:t>The absence o</w:t>
      </w:r>
      <w:r w:rsidR="0001468C" w:rsidRPr="00532AA2">
        <w:rPr>
          <w:rFonts w:ascii="Arial" w:hAnsi="Arial" w:cs="Arial"/>
          <w:sz w:val="24"/>
          <w:szCs w:val="24"/>
        </w:rPr>
        <w:t>f</w:t>
      </w:r>
      <w:r w:rsidRPr="00532AA2">
        <w:rPr>
          <w:rFonts w:ascii="Arial" w:hAnsi="Arial" w:cs="Arial"/>
          <w:sz w:val="24"/>
          <w:szCs w:val="24"/>
        </w:rPr>
        <w:t xml:space="preserve"> customer account numbers in the customer lists</w:t>
      </w:r>
      <w:r w:rsidR="00FF2E30" w:rsidRPr="00532AA2">
        <w:rPr>
          <w:rFonts w:ascii="Arial" w:hAnsi="Arial" w:cs="Arial"/>
          <w:sz w:val="24"/>
          <w:szCs w:val="24"/>
        </w:rPr>
        <w:t xml:space="preserve"> available</w:t>
      </w:r>
      <w:r w:rsidR="0001468C" w:rsidRPr="00532AA2">
        <w:rPr>
          <w:rFonts w:ascii="Arial" w:hAnsi="Arial" w:cs="Arial"/>
          <w:sz w:val="24"/>
          <w:szCs w:val="24"/>
        </w:rPr>
        <w:t xml:space="preserve"> to CRES providers</w:t>
      </w:r>
      <w:r w:rsidRPr="00532AA2">
        <w:rPr>
          <w:rFonts w:ascii="Arial" w:hAnsi="Arial" w:cs="Arial"/>
          <w:sz w:val="24"/>
          <w:szCs w:val="24"/>
        </w:rPr>
        <w:t xml:space="preserve"> continues to be a barrier to enroll cu</w:t>
      </w:r>
      <w:r w:rsidR="00446FB6" w:rsidRPr="00532AA2">
        <w:rPr>
          <w:rFonts w:ascii="Arial" w:hAnsi="Arial" w:cs="Arial"/>
          <w:sz w:val="24"/>
          <w:szCs w:val="24"/>
        </w:rPr>
        <w:t>stomers</w:t>
      </w:r>
      <w:r w:rsidR="0087408C">
        <w:rPr>
          <w:rFonts w:ascii="Arial" w:hAnsi="Arial" w:cs="Arial"/>
          <w:sz w:val="24"/>
          <w:szCs w:val="24"/>
        </w:rPr>
        <w:t xml:space="preserve"> and encourages inaccuracies and inefficiencies in the enrollment process</w:t>
      </w:r>
      <w:r w:rsidR="0087408C" w:rsidRPr="00532AA2">
        <w:rPr>
          <w:rFonts w:ascii="Arial" w:hAnsi="Arial" w:cs="Arial"/>
          <w:sz w:val="24"/>
          <w:szCs w:val="24"/>
        </w:rPr>
        <w:t xml:space="preserve">.  </w:t>
      </w:r>
      <w:r w:rsidR="00446FB6" w:rsidRPr="00532AA2">
        <w:rPr>
          <w:rFonts w:ascii="Arial" w:hAnsi="Arial" w:cs="Arial"/>
          <w:sz w:val="24"/>
          <w:szCs w:val="24"/>
        </w:rPr>
        <w:t xml:space="preserve"> Without</w:t>
      </w:r>
      <w:r w:rsidRPr="00532AA2">
        <w:rPr>
          <w:rFonts w:ascii="Arial" w:hAnsi="Arial" w:cs="Arial"/>
          <w:sz w:val="24"/>
          <w:szCs w:val="24"/>
        </w:rPr>
        <w:t xml:space="preserve"> customer account number</w:t>
      </w:r>
      <w:r w:rsidR="00446FB6" w:rsidRPr="00532AA2">
        <w:rPr>
          <w:rFonts w:ascii="Arial" w:hAnsi="Arial" w:cs="Arial"/>
          <w:sz w:val="24"/>
          <w:szCs w:val="24"/>
        </w:rPr>
        <w:t>s</w:t>
      </w:r>
      <w:r w:rsidRPr="00532AA2">
        <w:rPr>
          <w:rFonts w:ascii="Arial" w:hAnsi="Arial" w:cs="Arial"/>
          <w:sz w:val="24"/>
          <w:szCs w:val="24"/>
        </w:rPr>
        <w:t>, CRES providers must get the account number from the customer before enrollment</w:t>
      </w:r>
      <w:r w:rsidR="00D16EE5">
        <w:rPr>
          <w:rFonts w:ascii="Arial" w:hAnsi="Arial" w:cs="Arial"/>
          <w:sz w:val="24"/>
          <w:szCs w:val="24"/>
        </w:rPr>
        <w:t xml:space="preserve"> can be effectuated</w:t>
      </w:r>
      <w:r w:rsidRPr="00532AA2">
        <w:rPr>
          <w:rFonts w:ascii="Arial" w:hAnsi="Arial" w:cs="Arial"/>
          <w:sz w:val="24"/>
          <w:szCs w:val="24"/>
        </w:rPr>
        <w:t>.  This means</w:t>
      </w:r>
      <w:r w:rsidR="00954376">
        <w:rPr>
          <w:rFonts w:ascii="Arial" w:hAnsi="Arial" w:cs="Arial"/>
          <w:sz w:val="24"/>
          <w:szCs w:val="24"/>
        </w:rPr>
        <w:t>,</w:t>
      </w:r>
      <w:r w:rsidRPr="00532AA2">
        <w:rPr>
          <w:rFonts w:ascii="Arial" w:hAnsi="Arial" w:cs="Arial"/>
          <w:sz w:val="24"/>
          <w:szCs w:val="24"/>
        </w:rPr>
        <w:t xml:space="preserve"> </w:t>
      </w:r>
      <w:r w:rsidR="00954376" w:rsidRPr="00532AA2">
        <w:rPr>
          <w:rFonts w:ascii="Arial" w:hAnsi="Arial" w:cs="Arial"/>
          <w:sz w:val="24"/>
          <w:szCs w:val="24"/>
        </w:rPr>
        <w:t xml:space="preserve">because most customers do not memorize their utility </w:t>
      </w:r>
      <w:r w:rsidR="00954376" w:rsidRPr="00532AA2">
        <w:rPr>
          <w:rFonts w:ascii="Arial" w:hAnsi="Arial" w:cs="Arial"/>
          <w:sz w:val="24"/>
          <w:szCs w:val="24"/>
        </w:rPr>
        <w:lastRenderedPageBreak/>
        <w:t>account numbers</w:t>
      </w:r>
      <w:r w:rsidR="00954376">
        <w:rPr>
          <w:rFonts w:ascii="Arial" w:hAnsi="Arial" w:cs="Arial"/>
          <w:sz w:val="24"/>
          <w:szCs w:val="24"/>
        </w:rPr>
        <w:t xml:space="preserve">,  </w:t>
      </w:r>
      <w:r w:rsidR="00954376" w:rsidRPr="00532AA2">
        <w:rPr>
          <w:rFonts w:ascii="Arial" w:hAnsi="Arial" w:cs="Arial"/>
          <w:sz w:val="24"/>
          <w:szCs w:val="24"/>
        </w:rPr>
        <w:t xml:space="preserve">that for all practical purposes </w:t>
      </w:r>
      <w:r w:rsidRPr="00532AA2">
        <w:rPr>
          <w:rFonts w:ascii="Arial" w:hAnsi="Arial" w:cs="Arial"/>
          <w:sz w:val="24"/>
          <w:szCs w:val="24"/>
        </w:rPr>
        <w:t xml:space="preserve">CRES providers cannot enroll customers unless the prospective customer has his or her utility bill readily </w:t>
      </w:r>
      <w:r w:rsidR="00446FB6" w:rsidRPr="00532AA2">
        <w:rPr>
          <w:rFonts w:ascii="Arial" w:hAnsi="Arial" w:cs="Arial"/>
          <w:sz w:val="24"/>
          <w:szCs w:val="24"/>
        </w:rPr>
        <w:t>available</w:t>
      </w:r>
      <w:r w:rsidRPr="00532AA2">
        <w:rPr>
          <w:rFonts w:ascii="Arial" w:hAnsi="Arial" w:cs="Arial"/>
          <w:sz w:val="24"/>
          <w:szCs w:val="24"/>
        </w:rPr>
        <w:t>.</w:t>
      </w:r>
    </w:p>
    <w:p w:rsidR="00446FB6" w:rsidRPr="00532AA2" w:rsidRDefault="00EB4351" w:rsidP="00EB4351">
      <w:pPr>
        <w:autoSpaceDE w:val="0"/>
        <w:autoSpaceDN w:val="0"/>
        <w:adjustRightInd w:val="0"/>
        <w:spacing w:after="0" w:line="480" w:lineRule="auto"/>
        <w:ind w:firstLine="360"/>
        <w:rPr>
          <w:rFonts w:ascii="Arial" w:hAnsi="Arial" w:cs="Arial"/>
          <w:sz w:val="24"/>
          <w:szCs w:val="24"/>
        </w:rPr>
      </w:pPr>
      <w:r w:rsidRPr="00532AA2">
        <w:rPr>
          <w:rFonts w:ascii="Arial" w:hAnsi="Arial" w:cs="Arial"/>
          <w:sz w:val="24"/>
          <w:szCs w:val="24"/>
        </w:rPr>
        <w:t>Requiring customers essentially</w:t>
      </w:r>
      <w:r w:rsidR="00D16EE5">
        <w:rPr>
          <w:rFonts w:ascii="Arial" w:hAnsi="Arial" w:cs="Arial"/>
          <w:sz w:val="24"/>
          <w:szCs w:val="24"/>
        </w:rPr>
        <w:t xml:space="preserve"> </w:t>
      </w:r>
      <w:r w:rsidR="00D16EE5" w:rsidRPr="00532AA2">
        <w:rPr>
          <w:rFonts w:ascii="Arial" w:hAnsi="Arial" w:cs="Arial"/>
          <w:sz w:val="24"/>
          <w:szCs w:val="24"/>
        </w:rPr>
        <w:t>to</w:t>
      </w:r>
      <w:r w:rsidRPr="00532AA2">
        <w:rPr>
          <w:rFonts w:ascii="Arial" w:hAnsi="Arial" w:cs="Arial"/>
          <w:sz w:val="24"/>
          <w:szCs w:val="24"/>
        </w:rPr>
        <w:t xml:space="preserve"> have their utility bill on hand for enrollment dramatically limits the means</w:t>
      </w:r>
      <w:r w:rsidR="00446FB6" w:rsidRPr="00532AA2">
        <w:rPr>
          <w:rFonts w:ascii="Arial" w:hAnsi="Arial" w:cs="Arial"/>
          <w:sz w:val="24"/>
          <w:szCs w:val="24"/>
        </w:rPr>
        <w:t xml:space="preserve"> by</w:t>
      </w:r>
      <w:r w:rsidRPr="00532AA2">
        <w:rPr>
          <w:rFonts w:ascii="Arial" w:hAnsi="Arial" w:cs="Arial"/>
          <w:sz w:val="24"/>
          <w:szCs w:val="24"/>
        </w:rPr>
        <w:t xml:space="preserve"> which a customer </w:t>
      </w:r>
      <w:r w:rsidR="00D16EE5">
        <w:rPr>
          <w:rFonts w:ascii="Arial" w:hAnsi="Arial" w:cs="Arial"/>
          <w:sz w:val="24"/>
          <w:szCs w:val="24"/>
        </w:rPr>
        <w:t>can</w:t>
      </w:r>
      <w:r w:rsidRPr="00532AA2">
        <w:rPr>
          <w:rFonts w:ascii="Arial" w:hAnsi="Arial" w:cs="Arial"/>
          <w:sz w:val="24"/>
          <w:szCs w:val="24"/>
        </w:rPr>
        <w:t xml:space="preserve"> enroll with </w:t>
      </w:r>
      <w:r w:rsidR="00446FB6" w:rsidRPr="00532AA2">
        <w:rPr>
          <w:rFonts w:ascii="Arial" w:hAnsi="Arial" w:cs="Arial"/>
          <w:sz w:val="24"/>
          <w:szCs w:val="24"/>
        </w:rPr>
        <w:t>a CRES provider.  Most enrollments must occur at the house</w:t>
      </w:r>
      <w:r w:rsidR="00FF2E30" w:rsidRPr="00532AA2">
        <w:rPr>
          <w:rFonts w:ascii="Arial" w:hAnsi="Arial" w:cs="Arial"/>
          <w:sz w:val="24"/>
          <w:szCs w:val="24"/>
        </w:rPr>
        <w:t xml:space="preserve"> (whether that be by telephone, mail, wet signature contract or internet enrollment)</w:t>
      </w:r>
      <w:r w:rsidR="00446FB6" w:rsidRPr="00532AA2">
        <w:rPr>
          <w:rFonts w:ascii="Arial" w:hAnsi="Arial" w:cs="Arial"/>
          <w:sz w:val="24"/>
          <w:szCs w:val="24"/>
        </w:rPr>
        <w:t xml:space="preserve"> where the customer usually keeps the</w:t>
      </w:r>
      <w:r w:rsidR="00FF2E30" w:rsidRPr="00532AA2">
        <w:rPr>
          <w:rFonts w:ascii="Arial" w:hAnsi="Arial" w:cs="Arial"/>
          <w:sz w:val="24"/>
          <w:szCs w:val="24"/>
        </w:rPr>
        <w:t xml:space="preserve"> utility bill</w:t>
      </w:r>
      <w:r w:rsidR="00446FB6" w:rsidRPr="00532AA2">
        <w:rPr>
          <w:rFonts w:ascii="Arial" w:hAnsi="Arial" w:cs="Arial"/>
          <w:sz w:val="24"/>
          <w:szCs w:val="24"/>
        </w:rPr>
        <w:t>.  This artificial enrollment constrain</w:t>
      </w:r>
      <w:r w:rsidR="00FF2E30" w:rsidRPr="00532AA2">
        <w:rPr>
          <w:rFonts w:ascii="Arial" w:hAnsi="Arial" w:cs="Arial"/>
          <w:sz w:val="24"/>
          <w:szCs w:val="24"/>
        </w:rPr>
        <w:t>t</w:t>
      </w:r>
      <w:r w:rsidR="00446FB6" w:rsidRPr="00532AA2">
        <w:rPr>
          <w:rFonts w:ascii="Arial" w:hAnsi="Arial" w:cs="Arial"/>
          <w:sz w:val="24"/>
          <w:szCs w:val="24"/>
        </w:rPr>
        <w:t xml:space="preserve"> does not exist in other markets and hinders the development</w:t>
      </w:r>
      <w:r w:rsidR="00FF2E30" w:rsidRPr="00532AA2">
        <w:rPr>
          <w:rFonts w:ascii="Arial" w:hAnsi="Arial" w:cs="Arial"/>
          <w:sz w:val="24"/>
          <w:szCs w:val="24"/>
        </w:rPr>
        <w:t xml:space="preserve"> of the competitive electric</w:t>
      </w:r>
      <w:r w:rsidR="00446FB6" w:rsidRPr="00532AA2">
        <w:rPr>
          <w:rFonts w:ascii="Arial" w:hAnsi="Arial" w:cs="Arial"/>
          <w:sz w:val="24"/>
          <w:szCs w:val="24"/>
        </w:rPr>
        <w:t xml:space="preserve"> markets.  For instance, it is not practical for a C</w:t>
      </w:r>
      <w:r w:rsidR="00FF2E30" w:rsidRPr="00532AA2">
        <w:rPr>
          <w:rFonts w:ascii="Arial" w:hAnsi="Arial" w:cs="Arial"/>
          <w:sz w:val="24"/>
          <w:szCs w:val="24"/>
        </w:rPr>
        <w:t>RES provider to open a store or</w:t>
      </w:r>
      <w:r w:rsidR="00272941">
        <w:rPr>
          <w:rFonts w:ascii="Arial" w:hAnsi="Arial" w:cs="Arial"/>
          <w:sz w:val="24"/>
          <w:szCs w:val="24"/>
        </w:rPr>
        <w:t xml:space="preserve"> enroll customers outside the home</w:t>
      </w:r>
      <w:r w:rsidR="00446FB6" w:rsidRPr="00532AA2">
        <w:rPr>
          <w:rFonts w:ascii="Arial" w:hAnsi="Arial" w:cs="Arial"/>
          <w:sz w:val="24"/>
          <w:szCs w:val="24"/>
        </w:rPr>
        <w:t xml:space="preserve">, because </w:t>
      </w:r>
      <w:r w:rsidR="00FF2E30" w:rsidRPr="00532AA2">
        <w:rPr>
          <w:rFonts w:ascii="Arial" w:hAnsi="Arial" w:cs="Arial"/>
          <w:sz w:val="24"/>
          <w:szCs w:val="24"/>
        </w:rPr>
        <w:t>almost no customer would have access to their utility account number outside of their home</w:t>
      </w:r>
      <w:r w:rsidR="0001468C" w:rsidRPr="00532AA2">
        <w:rPr>
          <w:rFonts w:ascii="Arial" w:hAnsi="Arial" w:cs="Arial"/>
          <w:sz w:val="24"/>
          <w:szCs w:val="24"/>
        </w:rPr>
        <w:t>.</w:t>
      </w:r>
    </w:p>
    <w:p w:rsidR="00CD247E" w:rsidRDefault="00446FB6" w:rsidP="00E710AC">
      <w:pPr>
        <w:autoSpaceDE w:val="0"/>
        <w:autoSpaceDN w:val="0"/>
        <w:adjustRightInd w:val="0"/>
        <w:spacing w:after="0" w:line="480" w:lineRule="auto"/>
        <w:ind w:firstLine="360"/>
        <w:rPr>
          <w:rFonts w:ascii="Arial" w:hAnsi="Arial" w:cs="Arial"/>
          <w:sz w:val="24"/>
          <w:szCs w:val="24"/>
        </w:rPr>
      </w:pPr>
      <w:r w:rsidRPr="00532AA2">
        <w:rPr>
          <w:rFonts w:ascii="Arial" w:hAnsi="Arial" w:cs="Arial"/>
          <w:sz w:val="24"/>
          <w:szCs w:val="24"/>
        </w:rPr>
        <w:t>Further, no added protection is provided to customer</w:t>
      </w:r>
      <w:r w:rsidR="00272941">
        <w:rPr>
          <w:rFonts w:ascii="Arial" w:hAnsi="Arial" w:cs="Arial"/>
          <w:sz w:val="24"/>
          <w:szCs w:val="24"/>
        </w:rPr>
        <w:t>s by withholding</w:t>
      </w:r>
      <w:r w:rsidRPr="00532AA2">
        <w:rPr>
          <w:rFonts w:ascii="Arial" w:hAnsi="Arial" w:cs="Arial"/>
          <w:sz w:val="24"/>
          <w:szCs w:val="24"/>
        </w:rPr>
        <w:t xml:space="preserve"> account numbers from CRES providers.  </w:t>
      </w:r>
      <w:r w:rsidR="00FF2E30" w:rsidRPr="00532AA2">
        <w:rPr>
          <w:rFonts w:ascii="Arial" w:hAnsi="Arial" w:cs="Arial"/>
          <w:sz w:val="24"/>
          <w:szCs w:val="24"/>
        </w:rPr>
        <w:t>There would still be</w:t>
      </w:r>
      <w:r w:rsidR="00D16EE5">
        <w:rPr>
          <w:rFonts w:ascii="Arial" w:hAnsi="Arial" w:cs="Arial"/>
          <w:sz w:val="24"/>
          <w:szCs w:val="24"/>
        </w:rPr>
        <w:t xml:space="preserve"> </w:t>
      </w:r>
      <w:r w:rsidR="00D16EE5" w:rsidRPr="00532AA2">
        <w:rPr>
          <w:rFonts w:ascii="Arial" w:hAnsi="Arial" w:cs="Arial"/>
          <w:sz w:val="24"/>
          <w:szCs w:val="24"/>
        </w:rPr>
        <w:t>prohibitions</w:t>
      </w:r>
      <w:r w:rsidR="00FF2E30" w:rsidRPr="00532AA2">
        <w:rPr>
          <w:rFonts w:ascii="Arial" w:hAnsi="Arial" w:cs="Arial"/>
          <w:sz w:val="24"/>
          <w:szCs w:val="24"/>
        </w:rPr>
        <w:t xml:space="preserve"> in place</w:t>
      </w:r>
      <w:r w:rsidRPr="00532AA2">
        <w:rPr>
          <w:rFonts w:ascii="Arial" w:hAnsi="Arial" w:cs="Arial"/>
          <w:sz w:val="24"/>
          <w:szCs w:val="24"/>
        </w:rPr>
        <w:t xml:space="preserve"> against unauthorized use of the account number, including prohibitions against slamming and other consumer protection statutes</w:t>
      </w:r>
      <w:r w:rsidR="00FF2E30" w:rsidRPr="00532AA2">
        <w:rPr>
          <w:rFonts w:ascii="Arial" w:hAnsi="Arial" w:cs="Arial"/>
          <w:sz w:val="24"/>
          <w:szCs w:val="24"/>
        </w:rPr>
        <w:t xml:space="preserve"> and rules</w:t>
      </w:r>
      <w:r w:rsidRPr="00532AA2">
        <w:rPr>
          <w:rFonts w:ascii="Arial" w:hAnsi="Arial" w:cs="Arial"/>
          <w:sz w:val="24"/>
          <w:szCs w:val="24"/>
        </w:rPr>
        <w:t xml:space="preserve">.  </w:t>
      </w:r>
      <w:r w:rsidR="0001468C" w:rsidRPr="00532AA2">
        <w:rPr>
          <w:rFonts w:ascii="Arial" w:hAnsi="Arial" w:cs="Arial"/>
          <w:sz w:val="24"/>
          <w:szCs w:val="24"/>
        </w:rPr>
        <w:t xml:space="preserve">In fact, granting CRES </w:t>
      </w:r>
      <w:proofErr w:type="gramStart"/>
      <w:r w:rsidR="0001468C" w:rsidRPr="00532AA2">
        <w:rPr>
          <w:rFonts w:ascii="Arial" w:hAnsi="Arial" w:cs="Arial"/>
          <w:sz w:val="24"/>
          <w:szCs w:val="24"/>
        </w:rPr>
        <w:t>providers</w:t>
      </w:r>
      <w:proofErr w:type="gramEnd"/>
      <w:r w:rsidR="0001468C" w:rsidRPr="00532AA2">
        <w:rPr>
          <w:rFonts w:ascii="Arial" w:hAnsi="Arial" w:cs="Arial"/>
          <w:sz w:val="24"/>
          <w:szCs w:val="24"/>
        </w:rPr>
        <w:t xml:space="preserve"> access to account numbers may </w:t>
      </w:r>
      <w:r w:rsidR="00D16EE5">
        <w:rPr>
          <w:rFonts w:ascii="Arial" w:hAnsi="Arial" w:cs="Arial"/>
          <w:sz w:val="24"/>
          <w:szCs w:val="24"/>
        </w:rPr>
        <w:t xml:space="preserve">serve to reduce reliance on </w:t>
      </w:r>
      <w:r w:rsidR="00E542BB" w:rsidRPr="00532AA2">
        <w:rPr>
          <w:rFonts w:ascii="Arial" w:hAnsi="Arial" w:cs="Arial"/>
          <w:sz w:val="24"/>
          <w:szCs w:val="24"/>
        </w:rPr>
        <w:t>home</w:t>
      </w:r>
      <w:r w:rsidR="0001468C" w:rsidRPr="00532AA2">
        <w:rPr>
          <w:rFonts w:ascii="Arial" w:hAnsi="Arial" w:cs="Arial"/>
          <w:sz w:val="24"/>
          <w:szCs w:val="24"/>
        </w:rPr>
        <w:t xml:space="preserve"> solic</w:t>
      </w:r>
      <w:r w:rsidR="00B7429A">
        <w:rPr>
          <w:rFonts w:ascii="Arial" w:hAnsi="Arial" w:cs="Arial"/>
          <w:sz w:val="24"/>
          <w:szCs w:val="24"/>
        </w:rPr>
        <w:t>itations by CRES suppliers,</w:t>
      </w:r>
      <w:r w:rsidR="00D16EE5" w:rsidRPr="00532AA2">
        <w:rPr>
          <w:rFonts w:ascii="Arial" w:hAnsi="Arial" w:cs="Arial"/>
          <w:sz w:val="24"/>
          <w:szCs w:val="24"/>
        </w:rPr>
        <w:t xml:space="preserve"> because CRES suppliers would have other </w:t>
      </w:r>
      <w:r w:rsidR="00D16EE5">
        <w:rPr>
          <w:rFonts w:ascii="Arial" w:hAnsi="Arial" w:cs="Arial"/>
          <w:sz w:val="24"/>
          <w:szCs w:val="24"/>
        </w:rPr>
        <w:t xml:space="preserve">effective </w:t>
      </w:r>
      <w:r w:rsidR="00D16EE5" w:rsidRPr="00532AA2">
        <w:rPr>
          <w:rFonts w:ascii="Arial" w:hAnsi="Arial" w:cs="Arial"/>
          <w:sz w:val="24"/>
          <w:szCs w:val="24"/>
        </w:rPr>
        <w:t xml:space="preserve">channels </w:t>
      </w:r>
      <w:r w:rsidR="00D16EE5">
        <w:rPr>
          <w:rFonts w:ascii="Arial" w:hAnsi="Arial" w:cs="Arial"/>
          <w:sz w:val="24"/>
          <w:szCs w:val="24"/>
        </w:rPr>
        <w:t xml:space="preserve">through which </w:t>
      </w:r>
      <w:r w:rsidR="00D16EE5" w:rsidRPr="00532AA2">
        <w:rPr>
          <w:rFonts w:ascii="Arial" w:hAnsi="Arial" w:cs="Arial"/>
          <w:sz w:val="24"/>
          <w:szCs w:val="24"/>
        </w:rPr>
        <w:t>to enroll customers.</w:t>
      </w:r>
    </w:p>
    <w:p w:rsidR="00532AA2" w:rsidRDefault="00446FB6" w:rsidP="00E710AC">
      <w:pPr>
        <w:autoSpaceDE w:val="0"/>
        <w:autoSpaceDN w:val="0"/>
        <w:adjustRightInd w:val="0"/>
        <w:spacing w:after="0" w:line="480" w:lineRule="auto"/>
        <w:ind w:firstLine="360"/>
        <w:rPr>
          <w:rFonts w:ascii="Arial" w:hAnsi="Arial" w:cs="Arial"/>
          <w:sz w:val="24"/>
          <w:szCs w:val="24"/>
        </w:rPr>
      </w:pPr>
      <w:r w:rsidRPr="00532AA2">
        <w:rPr>
          <w:rFonts w:ascii="Arial" w:hAnsi="Arial" w:cs="Arial"/>
          <w:sz w:val="24"/>
          <w:szCs w:val="24"/>
        </w:rPr>
        <w:t xml:space="preserve">Finally, </w:t>
      </w:r>
      <w:r w:rsidR="00D16EE5">
        <w:rPr>
          <w:rFonts w:ascii="Arial" w:hAnsi="Arial" w:cs="Arial"/>
          <w:sz w:val="24"/>
          <w:szCs w:val="24"/>
        </w:rPr>
        <w:t xml:space="preserve">in </w:t>
      </w:r>
      <w:r w:rsidR="00D16EE5" w:rsidRPr="00532AA2">
        <w:rPr>
          <w:rFonts w:ascii="Arial" w:hAnsi="Arial" w:cs="Arial"/>
          <w:sz w:val="24"/>
          <w:szCs w:val="24"/>
        </w:rPr>
        <w:t>Pennsylvania</w:t>
      </w:r>
      <w:r w:rsidRPr="00532AA2">
        <w:rPr>
          <w:rFonts w:ascii="Arial" w:hAnsi="Arial" w:cs="Arial"/>
          <w:sz w:val="24"/>
          <w:szCs w:val="24"/>
        </w:rPr>
        <w:t xml:space="preserve"> account numbers </w:t>
      </w:r>
      <w:r w:rsidR="00D16EE5">
        <w:rPr>
          <w:rFonts w:ascii="Arial" w:hAnsi="Arial" w:cs="Arial"/>
          <w:sz w:val="24"/>
          <w:szCs w:val="24"/>
        </w:rPr>
        <w:t>are available to competitive natural gas and electric suppliers, and to IGS’ knowledge there</w:t>
      </w:r>
      <w:r w:rsidR="00954376">
        <w:rPr>
          <w:rFonts w:ascii="Arial" w:hAnsi="Arial" w:cs="Arial"/>
          <w:sz w:val="24"/>
          <w:szCs w:val="24"/>
        </w:rPr>
        <w:t xml:space="preserve"> </w:t>
      </w:r>
      <w:r w:rsidR="00D16EE5">
        <w:rPr>
          <w:rFonts w:ascii="Arial" w:hAnsi="Arial" w:cs="Arial"/>
          <w:sz w:val="24"/>
          <w:szCs w:val="24"/>
        </w:rPr>
        <w:t>have been no problems</w:t>
      </w:r>
      <w:r w:rsidR="00954376">
        <w:rPr>
          <w:rFonts w:ascii="Arial" w:hAnsi="Arial" w:cs="Arial"/>
          <w:sz w:val="24"/>
          <w:szCs w:val="24"/>
        </w:rPr>
        <w:t xml:space="preserve"> with increased slamming or other abuses of t</w:t>
      </w:r>
      <w:r w:rsidR="00CD247E">
        <w:rPr>
          <w:rFonts w:ascii="Arial" w:hAnsi="Arial" w:cs="Arial"/>
          <w:sz w:val="24"/>
          <w:szCs w:val="24"/>
        </w:rPr>
        <w:t>he use</w:t>
      </w:r>
      <w:r w:rsidR="00B7429A">
        <w:rPr>
          <w:rFonts w:ascii="Arial" w:hAnsi="Arial" w:cs="Arial"/>
          <w:sz w:val="24"/>
          <w:szCs w:val="24"/>
        </w:rPr>
        <w:t xml:space="preserve"> of</w:t>
      </w:r>
      <w:r w:rsidR="00CD247E">
        <w:rPr>
          <w:rFonts w:ascii="Arial" w:hAnsi="Arial" w:cs="Arial"/>
          <w:sz w:val="24"/>
          <w:szCs w:val="24"/>
        </w:rPr>
        <w:t xml:space="preserve"> customer account numbers</w:t>
      </w:r>
      <w:r w:rsidR="00954376">
        <w:rPr>
          <w:rFonts w:ascii="Arial" w:hAnsi="Arial" w:cs="Arial"/>
          <w:sz w:val="24"/>
          <w:szCs w:val="24"/>
        </w:rPr>
        <w:t xml:space="preserve"> once account numbers were provided to suppliers.</w:t>
      </w:r>
      <w:r w:rsidR="0001468C" w:rsidRPr="00532AA2">
        <w:rPr>
          <w:rFonts w:ascii="Arial" w:hAnsi="Arial" w:cs="Arial"/>
          <w:sz w:val="24"/>
          <w:szCs w:val="24"/>
        </w:rPr>
        <w:t xml:space="preserve">  For these reasons the Commission should further promote the development of competitive markets by amending 4901:1-</w:t>
      </w:r>
      <w:r w:rsidR="0001468C" w:rsidRPr="00532AA2">
        <w:rPr>
          <w:rFonts w:ascii="Arial" w:hAnsi="Arial" w:cs="Arial"/>
          <w:sz w:val="24"/>
          <w:szCs w:val="24"/>
        </w:rPr>
        <w:lastRenderedPageBreak/>
        <w:t>10-29(E) to require that customer account numbers be made available to CRES providers.</w:t>
      </w:r>
    </w:p>
    <w:p w:rsidR="00B7429A" w:rsidRDefault="00B7429A" w:rsidP="00E710AC">
      <w:pPr>
        <w:autoSpaceDE w:val="0"/>
        <w:autoSpaceDN w:val="0"/>
        <w:adjustRightInd w:val="0"/>
        <w:spacing w:after="0" w:line="480" w:lineRule="auto"/>
        <w:ind w:firstLine="360"/>
        <w:rPr>
          <w:rFonts w:ascii="Arial" w:hAnsi="Arial" w:cs="Arial"/>
          <w:sz w:val="24"/>
          <w:szCs w:val="24"/>
        </w:rPr>
      </w:pPr>
    </w:p>
    <w:p w:rsidR="00B7429A" w:rsidRDefault="00B7429A" w:rsidP="00E710AC">
      <w:pPr>
        <w:autoSpaceDE w:val="0"/>
        <w:autoSpaceDN w:val="0"/>
        <w:adjustRightInd w:val="0"/>
        <w:spacing w:after="0" w:line="480" w:lineRule="auto"/>
        <w:ind w:firstLine="360"/>
        <w:rPr>
          <w:rFonts w:ascii="Arial" w:hAnsi="Arial" w:cs="Arial"/>
          <w:sz w:val="24"/>
          <w:szCs w:val="24"/>
        </w:rPr>
      </w:pPr>
    </w:p>
    <w:p w:rsidR="00B7429A" w:rsidRDefault="00B7429A" w:rsidP="00E710AC">
      <w:pPr>
        <w:autoSpaceDE w:val="0"/>
        <w:autoSpaceDN w:val="0"/>
        <w:adjustRightInd w:val="0"/>
        <w:spacing w:after="0" w:line="480" w:lineRule="auto"/>
        <w:ind w:firstLine="360"/>
        <w:rPr>
          <w:rFonts w:ascii="Arial" w:hAnsi="Arial" w:cs="Arial"/>
          <w:sz w:val="24"/>
          <w:szCs w:val="24"/>
        </w:rPr>
      </w:pPr>
    </w:p>
    <w:p w:rsidR="00B7429A" w:rsidRDefault="00B7429A" w:rsidP="00E710AC">
      <w:pPr>
        <w:autoSpaceDE w:val="0"/>
        <w:autoSpaceDN w:val="0"/>
        <w:adjustRightInd w:val="0"/>
        <w:spacing w:after="0" w:line="480" w:lineRule="auto"/>
        <w:ind w:firstLine="360"/>
        <w:rPr>
          <w:rFonts w:ascii="Arial" w:hAnsi="Arial" w:cs="Arial"/>
          <w:sz w:val="24"/>
          <w:szCs w:val="24"/>
        </w:rPr>
      </w:pPr>
    </w:p>
    <w:p w:rsidR="00B7429A" w:rsidRPr="00532AA2" w:rsidRDefault="00B7429A" w:rsidP="00E710AC">
      <w:pPr>
        <w:autoSpaceDE w:val="0"/>
        <w:autoSpaceDN w:val="0"/>
        <w:adjustRightInd w:val="0"/>
        <w:spacing w:after="0" w:line="480" w:lineRule="auto"/>
        <w:ind w:firstLine="360"/>
        <w:rPr>
          <w:rFonts w:ascii="Arial" w:hAnsi="Arial" w:cs="Arial"/>
          <w:sz w:val="24"/>
          <w:szCs w:val="24"/>
        </w:rPr>
      </w:pPr>
    </w:p>
    <w:p w:rsidR="0001468C" w:rsidRPr="00532AA2" w:rsidRDefault="00F232FD" w:rsidP="0001468C">
      <w:pPr>
        <w:pStyle w:val="ListParagraph"/>
        <w:numPr>
          <w:ilvl w:val="0"/>
          <w:numId w:val="8"/>
        </w:numPr>
        <w:spacing w:after="0" w:line="480" w:lineRule="auto"/>
        <w:rPr>
          <w:rFonts w:ascii="Arial" w:hAnsi="Arial" w:cs="Arial"/>
          <w:b/>
          <w:sz w:val="24"/>
          <w:szCs w:val="24"/>
          <w:u w:val="single"/>
        </w:rPr>
      </w:pPr>
      <w:r w:rsidRPr="00532AA2">
        <w:rPr>
          <w:rFonts w:ascii="Arial" w:hAnsi="Arial" w:cs="Arial"/>
          <w:b/>
          <w:sz w:val="24"/>
          <w:szCs w:val="24"/>
          <w:u w:val="single"/>
        </w:rPr>
        <w:t>CONCLUSION</w:t>
      </w:r>
    </w:p>
    <w:p w:rsidR="000E3930" w:rsidRPr="00532AA2" w:rsidRDefault="000E3930" w:rsidP="00825EE0">
      <w:pPr>
        <w:autoSpaceDE w:val="0"/>
        <w:autoSpaceDN w:val="0"/>
        <w:adjustRightInd w:val="0"/>
        <w:spacing w:line="480" w:lineRule="auto"/>
        <w:ind w:firstLine="360"/>
        <w:rPr>
          <w:rFonts w:ascii="Arial" w:eastAsiaTheme="minorHAnsi" w:hAnsi="Arial" w:cs="Arial"/>
          <w:sz w:val="24"/>
          <w:szCs w:val="24"/>
        </w:rPr>
      </w:pPr>
      <w:r w:rsidRPr="00532AA2">
        <w:rPr>
          <w:rFonts w:ascii="Arial" w:hAnsi="Arial" w:cs="Arial"/>
          <w:sz w:val="24"/>
          <w:szCs w:val="24"/>
        </w:rPr>
        <w:t>Accordingly, consistent with the FirstEnergy and AEP ESP Orders, the Commission should modify OAC 4901:1-10 to require POR programs for all Ohio electric utilities offering Choice programs</w:t>
      </w:r>
      <w:r w:rsidR="0001468C" w:rsidRPr="00532AA2">
        <w:rPr>
          <w:rFonts w:ascii="Arial" w:hAnsi="Arial" w:cs="Arial"/>
          <w:sz w:val="24"/>
          <w:szCs w:val="24"/>
        </w:rPr>
        <w:t xml:space="preserve"> and also to require that accounts numbers be provided on the customer lists that are available to CRES providers</w:t>
      </w:r>
      <w:r w:rsidRPr="00532AA2">
        <w:rPr>
          <w:rFonts w:ascii="Arial" w:hAnsi="Arial" w:cs="Arial"/>
          <w:sz w:val="24"/>
          <w:szCs w:val="24"/>
        </w:rPr>
        <w:t>.</w:t>
      </w:r>
    </w:p>
    <w:p w:rsidR="00B7429A" w:rsidRDefault="00B7429A" w:rsidP="00B7429A">
      <w:pPr>
        <w:widowControl w:val="0"/>
        <w:overflowPunct w:val="0"/>
        <w:autoSpaceDE w:val="0"/>
        <w:autoSpaceDN w:val="0"/>
        <w:adjustRightInd w:val="0"/>
        <w:spacing w:after="0" w:line="480" w:lineRule="auto"/>
        <w:ind w:left="3600" w:firstLine="720"/>
        <w:rPr>
          <w:rFonts w:ascii="Arial" w:eastAsia="Times New Roman" w:hAnsi="Arial" w:cs="Arial"/>
          <w:kern w:val="28"/>
          <w:sz w:val="24"/>
          <w:szCs w:val="24"/>
        </w:rPr>
      </w:pPr>
      <w:r w:rsidRPr="00A74C98">
        <w:rPr>
          <w:rFonts w:ascii="Arial" w:eastAsia="Times New Roman" w:hAnsi="Arial" w:cs="Arial"/>
          <w:kern w:val="28"/>
          <w:sz w:val="24"/>
          <w:szCs w:val="24"/>
        </w:rPr>
        <w:t>Respectfully submitted</w:t>
      </w:r>
    </w:p>
    <w:p w:rsidR="00B7429A" w:rsidRDefault="00B7429A" w:rsidP="00B7429A">
      <w:pPr>
        <w:widowControl w:val="0"/>
        <w:overflowPunct w:val="0"/>
        <w:autoSpaceDE w:val="0"/>
        <w:autoSpaceDN w:val="0"/>
        <w:adjustRightInd w:val="0"/>
        <w:spacing w:after="0" w:line="480" w:lineRule="auto"/>
        <w:ind w:left="3600" w:firstLine="720"/>
        <w:rPr>
          <w:rFonts w:ascii="Arial" w:eastAsia="Arial" w:hAnsi="Arial" w:cs="Arial"/>
          <w:sz w:val="24"/>
          <w:szCs w:val="24"/>
          <w:u w:val="single"/>
        </w:rPr>
      </w:pPr>
      <w:r>
        <w:rPr>
          <w:rFonts w:ascii="Arial" w:eastAsia="Arial" w:hAnsi="Arial" w:cs="Arial"/>
          <w:i/>
          <w:sz w:val="24"/>
          <w:szCs w:val="24"/>
          <w:u w:val="single"/>
        </w:rPr>
        <w:t xml:space="preserve">/s/ </w:t>
      </w:r>
      <w:r w:rsidRPr="005204E8">
        <w:rPr>
          <w:rFonts w:ascii="Arial" w:eastAsia="Arial" w:hAnsi="Arial" w:cs="Arial"/>
          <w:i/>
          <w:sz w:val="24"/>
          <w:szCs w:val="24"/>
          <w:u w:val="single"/>
        </w:rPr>
        <w:t>Matthew White</w:t>
      </w:r>
    </w:p>
    <w:p w:rsidR="00B7429A" w:rsidRDefault="00B7429A" w:rsidP="00B7429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Pr>
          <w:rFonts w:ascii="Arial" w:eastAsia="Times New Roman" w:hAnsi="Arial" w:cs="Arial"/>
          <w:kern w:val="28"/>
          <w:sz w:val="24"/>
          <w:szCs w:val="24"/>
        </w:rPr>
        <w:t>Matthew S. White (0082859)</w:t>
      </w:r>
    </w:p>
    <w:p w:rsidR="00B7429A" w:rsidRPr="00A74C98" w:rsidRDefault="00B7429A" w:rsidP="00B7429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A74C98">
        <w:rPr>
          <w:rFonts w:ascii="Arial" w:eastAsia="Times New Roman" w:hAnsi="Arial" w:cs="Arial"/>
          <w:kern w:val="28"/>
          <w:sz w:val="24"/>
          <w:szCs w:val="24"/>
        </w:rPr>
        <w:t xml:space="preserve"> In House Counsel</w:t>
      </w:r>
      <w:r>
        <w:rPr>
          <w:rFonts w:ascii="Arial" w:eastAsia="Times New Roman" w:hAnsi="Arial" w:cs="Arial"/>
          <w:kern w:val="28"/>
          <w:sz w:val="24"/>
          <w:szCs w:val="24"/>
        </w:rPr>
        <w:t xml:space="preserve"> </w:t>
      </w:r>
    </w:p>
    <w:p w:rsidR="00B7429A" w:rsidRDefault="00B7429A" w:rsidP="00B7429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Pr>
          <w:rFonts w:ascii="Arial" w:eastAsia="Times New Roman" w:hAnsi="Arial" w:cs="Arial"/>
          <w:kern w:val="28"/>
          <w:sz w:val="24"/>
          <w:szCs w:val="24"/>
        </w:rPr>
        <w:t>Vincent A. Parisi</w:t>
      </w:r>
    </w:p>
    <w:p w:rsidR="00B7429A" w:rsidRPr="00A74C98" w:rsidRDefault="00B7429A" w:rsidP="00B7429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A74C98">
        <w:rPr>
          <w:rFonts w:ascii="Arial" w:eastAsia="Times New Roman" w:hAnsi="Arial" w:cs="Arial"/>
          <w:kern w:val="28"/>
          <w:sz w:val="24"/>
          <w:szCs w:val="24"/>
        </w:rPr>
        <w:t>General Counsel</w:t>
      </w:r>
      <w:r>
        <w:rPr>
          <w:rFonts w:ascii="Arial" w:eastAsia="Times New Roman" w:hAnsi="Arial" w:cs="Arial"/>
          <w:kern w:val="28"/>
          <w:sz w:val="24"/>
          <w:szCs w:val="24"/>
        </w:rPr>
        <w:t xml:space="preserve"> </w:t>
      </w:r>
    </w:p>
    <w:p w:rsidR="00B7429A" w:rsidRPr="00A74C98" w:rsidRDefault="00B7429A" w:rsidP="00B7429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A74C98">
        <w:rPr>
          <w:rFonts w:ascii="Arial" w:eastAsia="Times New Roman" w:hAnsi="Arial" w:cs="Arial"/>
          <w:kern w:val="28"/>
          <w:sz w:val="24"/>
          <w:szCs w:val="24"/>
        </w:rPr>
        <w:t>Interstate Gas Supply, Inc.</w:t>
      </w:r>
    </w:p>
    <w:p w:rsidR="00B7429A" w:rsidRPr="00A74C98" w:rsidRDefault="00B7429A" w:rsidP="00B7429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A74C98">
        <w:rPr>
          <w:rFonts w:ascii="Arial" w:eastAsia="Times New Roman" w:hAnsi="Arial" w:cs="Arial"/>
          <w:kern w:val="28"/>
          <w:sz w:val="24"/>
          <w:szCs w:val="24"/>
        </w:rPr>
        <w:t>6100 Emerald Parkway</w:t>
      </w:r>
    </w:p>
    <w:p w:rsidR="00B7429A" w:rsidRPr="00A74C98" w:rsidRDefault="00B7429A" w:rsidP="00B7429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A74C98">
        <w:rPr>
          <w:rFonts w:ascii="Arial" w:eastAsia="Times New Roman" w:hAnsi="Arial" w:cs="Arial"/>
          <w:kern w:val="28"/>
          <w:sz w:val="24"/>
          <w:szCs w:val="24"/>
        </w:rPr>
        <w:t>Dublin OH 43026</w:t>
      </w:r>
    </w:p>
    <w:p w:rsidR="00B7429A" w:rsidRPr="00A74C98" w:rsidRDefault="00B7429A" w:rsidP="00B7429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A74C98">
        <w:rPr>
          <w:rFonts w:ascii="Arial" w:eastAsia="Times New Roman" w:hAnsi="Arial" w:cs="Arial"/>
          <w:kern w:val="28"/>
          <w:sz w:val="24"/>
          <w:szCs w:val="24"/>
        </w:rPr>
        <w:t>(614) 659-5055</w:t>
      </w:r>
    </w:p>
    <w:p w:rsidR="00B7429A" w:rsidRPr="00A74C98" w:rsidRDefault="007165E1" w:rsidP="00B7429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hyperlink r:id="rId9" w:history="1">
        <w:r w:rsidR="00B7429A" w:rsidRPr="00A74C98">
          <w:rPr>
            <w:rStyle w:val="Hyperlink"/>
            <w:rFonts w:ascii="Arial" w:eastAsia="Times New Roman" w:hAnsi="Arial" w:cs="Arial"/>
            <w:kern w:val="28"/>
            <w:sz w:val="24"/>
            <w:szCs w:val="24"/>
          </w:rPr>
          <w:t>mswhite@igsenergy.com</w:t>
        </w:r>
      </w:hyperlink>
    </w:p>
    <w:p w:rsidR="00B7429A" w:rsidRPr="00A74C98" w:rsidRDefault="007165E1" w:rsidP="00B7429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hyperlink r:id="rId10" w:history="1">
        <w:r w:rsidR="00B7429A" w:rsidRPr="00A74C98">
          <w:rPr>
            <w:rStyle w:val="Hyperlink"/>
            <w:rFonts w:ascii="Arial" w:eastAsia="Times New Roman" w:hAnsi="Arial" w:cs="Arial"/>
            <w:kern w:val="28"/>
            <w:sz w:val="24"/>
            <w:szCs w:val="24"/>
          </w:rPr>
          <w:t>vparisi@igsenergy.com</w:t>
        </w:r>
      </w:hyperlink>
      <w:r w:rsidR="00B7429A" w:rsidRPr="00A74C98">
        <w:rPr>
          <w:rFonts w:ascii="Arial" w:eastAsia="Times New Roman" w:hAnsi="Arial" w:cs="Arial"/>
          <w:kern w:val="28"/>
          <w:sz w:val="24"/>
          <w:szCs w:val="24"/>
        </w:rPr>
        <w:t xml:space="preserve"> </w:t>
      </w:r>
    </w:p>
    <w:p w:rsidR="00B7429A" w:rsidRPr="006418D9" w:rsidRDefault="00B7429A" w:rsidP="00B7429A">
      <w:pPr>
        <w:widowControl w:val="0"/>
        <w:tabs>
          <w:tab w:val="right" w:pos="9360"/>
        </w:tabs>
        <w:overflowPunct w:val="0"/>
        <w:autoSpaceDE w:val="0"/>
        <w:autoSpaceDN w:val="0"/>
        <w:adjustRightInd w:val="0"/>
        <w:spacing w:after="0" w:line="240" w:lineRule="auto"/>
        <w:ind w:left="4320"/>
        <w:rPr>
          <w:rFonts w:ascii="Arial" w:eastAsia="Times New Roman" w:hAnsi="Arial" w:cs="Arial"/>
          <w:b/>
          <w:kern w:val="28"/>
          <w:sz w:val="24"/>
          <w:szCs w:val="24"/>
        </w:rPr>
      </w:pPr>
      <w:proofErr w:type="gramStart"/>
      <w:r w:rsidRPr="006418D9">
        <w:rPr>
          <w:rFonts w:ascii="Arial" w:eastAsia="Times New Roman" w:hAnsi="Arial" w:cs="Arial"/>
          <w:b/>
          <w:kern w:val="28"/>
          <w:sz w:val="24"/>
          <w:szCs w:val="24"/>
        </w:rPr>
        <w:t>Attorneys for Interstate Gas Supply, Inc.</w:t>
      </w:r>
      <w:proofErr w:type="gramEnd"/>
    </w:p>
    <w:p w:rsidR="00F232FD" w:rsidRPr="00532AA2" w:rsidRDefault="00F232FD" w:rsidP="000E3930">
      <w:pPr>
        <w:autoSpaceDE w:val="0"/>
        <w:autoSpaceDN w:val="0"/>
        <w:adjustRightInd w:val="0"/>
        <w:spacing w:after="0" w:line="360" w:lineRule="auto"/>
        <w:ind w:firstLine="360"/>
        <w:rPr>
          <w:rFonts w:ascii="Arial" w:hAnsi="Arial" w:cs="Arial"/>
          <w:sz w:val="24"/>
          <w:szCs w:val="24"/>
        </w:rPr>
      </w:pPr>
    </w:p>
    <w:sectPr w:rsidR="00F232FD" w:rsidRPr="00532AA2" w:rsidSect="00D273FD">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8C" w:rsidRDefault="0087408C">
      <w:pPr>
        <w:spacing w:after="0" w:line="240" w:lineRule="auto"/>
      </w:pPr>
      <w:r>
        <w:separator/>
      </w:r>
    </w:p>
  </w:endnote>
  <w:endnote w:type="continuationSeparator" w:id="0">
    <w:p w:rsidR="0087408C" w:rsidRDefault="0087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6766"/>
      <w:docPartObj>
        <w:docPartGallery w:val="Page Numbers (Bottom of Page)"/>
        <w:docPartUnique/>
      </w:docPartObj>
    </w:sdtPr>
    <w:sdtEndPr>
      <w:rPr>
        <w:noProof/>
      </w:rPr>
    </w:sdtEndPr>
    <w:sdtContent>
      <w:p w:rsidR="0087408C" w:rsidRDefault="0087408C">
        <w:pPr>
          <w:pStyle w:val="Footer"/>
          <w:jc w:val="center"/>
        </w:pPr>
        <w:r>
          <w:fldChar w:fldCharType="begin"/>
        </w:r>
        <w:r>
          <w:instrText xml:space="preserve"> PAGE   \* MERGEFORMAT </w:instrText>
        </w:r>
        <w:r>
          <w:fldChar w:fldCharType="separate"/>
        </w:r>
        <w:r w:rsidR="007165E1">
          <w:rPr>
            <w:noProof/>
          </w:rPr>
          <w:t>3</w:t>
        </w:r>
        <w:r>
          <w:rPr>
            <w:noProof/>
          </w:rPr>
          <w:fldChar w:fldCharType="end"/>
        </w:r>
      </w:p>
    </w:sdtContent>
  </w:sdt>
  <w:p w:rsidR="0087408C" w:rsidRDefault="00874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8C" w:rsidRDefault="0087408C">
      <w:pPr>
        <w:spacing w:after="0" w:line="240" w:lineRule="auto"/>
      </w:pPr>
      <w:r>
        <w:separator/>
      </w:r>
    </w:p>
  </w:footnote>
  <w:footnote w:type="continuationSeparator" w:id="0">
    <w:p w:rsidR="0087408C" w:rsidRDefault="0087408C">
      <w:pPr>
        <w:spacing w:after="0" w:line="240" w:lineRule="auto"/>
      </w:pPr>
      <w:r>
        <w:continuationSeparator/>
      </w:r>
    </w:p>
  </w:footnote>
  <w:footnote w:id="1">
    <w:p w:rsidR="0087408C" w:rsidRDefault="0087408C">
      <w:pPr>
        <w:pStyle w:val="FootnoteText"/>
      </w:pPr>
      <w:r>
        <w:rPr>
          <w:rStyle w:val="FootnoteReference"/>
        </w:rPr>
        <w:footnoteRef/>
      </w:r>
      <w:r>
        <w:t xml:space="preserve">  </w:t>
      </w:r>
      <w:r w:rsidRPr="004C560D">
        <w:rPr>
          <w:rFonts w:ascii="Arial" w:hAnsi="Arial" w:cs="Arial"/>
          <w:i/>
        </w:rPr>
        <w:t>Case No 12-1230-EL-SSO</w:t>
      </w:r>
      <w:r>
        <w:rPr>
          <w:rFonts w:ascii="Arial" w:hAnsi="Arial" w:cs="Arial"/>
        </w:rPr>
        <w:t xml:space="preserve"> </w:t>
      </w:r>
      <w:r>
        <w:rPr>
          <w:rFonts w:ascii="Arial" w:hAnsi="Arial" w:cs="Arial"/>
          <w:i/>
        </w:rPr>
        <w:t xml:space="preserve">FirstEnergy </w:t>
      </w:r>
      <w:r w:rsidRPr="00FB6CA5">
        <w:rPr>
          <w:rFonts w:ascii="Arial" w:hAnsi="Arial" w:cs="Arial"/>
          <w:i/>
        </w:rPr>
        <w:t>ESP Opinion and Order a</w:t>
      </w:r>
      <w:r>
        <w:rPr>
          <w:rFonts w:ascii="Arial" w:hAnsi="Arial" w:cs="Arial"/>
          <w:i/>
        </w:rPr>
        <w:t xml:space="preserve">t </w:t>
      </w:r>
      <w:r w:rsidRPr="00FB6CA5">
        <w:rPr>
          <w:rFonts w:ascii="Arial" w:hAnsi="Arial" w:cs="Arial"/>
          <w:i/>
        </w:rPr>
        <w:t>42 (</w:t>
      </w:r>
      <w:r>
        <w:rPr>
          <w:rFonts w:ascii="Arial" w:hAnsi="Arial" w:cs="Arial"/>
          <w:i/>
        </w:rPr>
        <w:t>July</w:t>
      </w:r>
      <w:r w:rsidRPr="00FB6CA5">
        <w:rPr>
          <w:rFonts w:ascii="Arial" w:hAnsi="Arial" w:cs="Arial"/>
          <w:i/>
        </w:rPr>
        <w:t xml:space="preserve"> </w:t>
      </w:r>
      <w:r>
        <w:rPr>
          <w:rFonts w:ascii="Arial" w:hAnsi="Arial" w:cs="Arial"/>
          <w:i/>
        </w:rPr>
        <w:t>18, 2012); Case No. 11-0346</w:t>
      </w:r>
      <w:r w:rsidRPr="00FB6CA5">
        <w:rPr>
          <w:rFonts w:ascii="Arial" w:hAnsi="Arial" w:cs="Arial"/>
          <w:i/>
        </w:rPr>
        <w:t>-EL-SSO, AEP ESP Opinion and Order a</w:t>
      </w:r>
      <w:r>
        <w:rPr>
          <w:rFonts w:ascii="Arial" w:hAnsi="Arial" w:cs="Arial"/>
          <w:i/>
        </w:rPr>
        <w:t xml:space="preserve"> 41-</w:t>
      </w:r>
      <w:r w:rsidRPr="00FB6CA5">
        <w:rPr>
          <w:rFonts w:ascii="Arial" w:hAnsi="Arial" w:cs="Arial"/>
          <w:i/>
        </w:rPr>
        <w:t>42 (August 8, 2012).</w:t>
      </w:r>
    </w:p>
  </w:footnote>
  <w:footnote w:id="2">
    <w:p w:rsidR="0087408C" w:rsidRPr="00FF2ED5" w:rsidRDefault="0087408C">
      <w:pPr>
        <w:pStyle w:val="FootnoteText"/>
        <w:rPr>
          <w:rFonts w:ascii="Arial" w:hAnsi="Arial" w:cs="Arial"/>
        </w:rPr>
      </w:pPr>
      <w:r w:rsidRPr="00FB6CA5">
        <w:rPr>
          <w:rStyle w:val="FootnoteReference"/>
          <w:rFonts w:ascii="Arial" w:hAnsi="Arial" w:cs="Arial"/>
        </w:rPr>
        <w:footnoteRef/>
      </w:r>
      <w:r w:rsidRPr="00FB6CA5">
        <w:rPr>
          <w:rFonts w:ascii="Arial" w:hAnsi="Arial" w:cs="Arial"/>
        </w:rPr>
        <w:t xml:space="preserve"> </w:t>
      </w:r>
      <w:proofErr w:type="gramStart"/>
      <w:r w:rsidRPr="00BC36F9">
        <w:rPr>
          <w:rFonts w:ascii="Arial" w:hAnsi="Arial" w:cs="Arial"/>
          <w:i/>
        </w:rPr>
        <w:t>See</w:t>
      </w:r>
      <w:r w:rsidRPr="00FB6CA5">
        <w:rPr>
          <w:rFonts w:ascii="Arial" w:hAnsi="Arial" w:cs="Arial"/>
        </w:rPr>
        <w:t xml:space="preserve"> PUCO Case No</w:t>
      </w:r>
      <w:r>
        <w:rPr>
          <w:rFonts w:ascii="Arial" w:hAnsi="Arial" w:cs="Arial"/>
        </w:rPr>
        <w:t xml:space="preserve"> Case No. </w:t>
      </w:r>
      <w:r w:rsidRPr="00FF2ED5">
        <w:rPr>
          <w:rFonts w:ascii="Arial" w:hAnsi="Arial" w:cs="Arial"/>
        </w:rPr>
        <w:t>11-0346-EL-SSO</w:t>
      </w:r>
      <w:r>
        <w:rPr>
          <w:rFonts w:ascii="Arial" w:hAnsi="Arial" w:cs="Arial"/>
        </w:rPr>
        <w:t xml:space="preserve">; Direct Testimony of Witness Vincent Parisi (May, 4, 2012); </w:t>
      </w:r>
      <w:r>
        <w:rPr>
          <w:rFonts w:ascii="Arial" w:hAnsi="Arial" w:cs="Arial"/>
          <w:color w:val="232323"/>
        </w:rPr>
        <w:t xml:space="preserve">Direct testimony of Teresa L Ringenbach </w:t>
      </w:r>
      <w:r>
        <w:rPr>
          <w:rFonts w:ascii="Arial" w:hAnsi="Arial" w:cs="Arial"/>
        </w:rPr>
        <w:t xml:space="preserve">(May, 4, 2012); </w:t>
      </w:r>
      <w:r>
        <w:rPr>
          <w:rFonts w:ascii="Arial" w:hAnsi="Arial" w:cs="Arial"/>
          <w:color w:val="232323"/>
        </w:rPr>
        <w:t xml:space="preserve">Direct Testimony Matthew </w:t>
      </w:r>
      <w:proofErr w:type="spellStart"/>
      <w:r>
        <w:rPr>
          <w:rFonts w:ascii="Arial" w:hAnsi="Arial" w:cs="Arial"/>
          <w:color w:val="232323"/>
        </w:rPr>
        <w:t>Walz</w:t>
      </w:r>
      <w:proofErr w:type="spellEnd"/>
      <w:r>
        <w:rPr>
          <w:rFonts w:ascii="Arial" w:hAnsi="Arial" w:cs="Arial"/>
          <w:color w:val="232323"/>
        </w:rPr>
        <w:t xml:space="preserve"> </w:t>
      </w:r>
      <w:r>
        <w:rPr>
          <w:rFonts w:ascii="Arial" w:hAnsi="Arial" w:cs="Arial"/>
        </w:rPr>
        <w:t>(May, 4, 2012).</w:t>
      </w:r>
      <w:proofErr w:type="gramEnd"/>
      <w:r>
        <w:rPr>
          <w:rFonts w:ascii="Arial" w:hAnsi="Arial" w:cs="Arial"/>
        </w:rPr>
        <w:t xml:space="preserve"> </w:t>
      </w:r>
      <w:r>
        <w:rPr>
          <w:rFonts w:ascii="Arial" w:hAnsi="Arial" w:cs="Arial"/>
          <w:color w:val="232323"/>
        </w:rPr>
        <w:t xml:space="preserve"> </w:t>
      </w:r>
      <w:r>
        <w:rPr>
          <w:rStyle w:val="apple-converted-space"/>
          <w:rFonts w:ascii="Arial" w:hAnsi="Arial" w:cs="Arial"/>
          <w:color w:val="232323"/>
        </w:rPr>
        <w:t> </w:t>
      </w:r>
      <w:proofErr w:type="gramStart"/>
      <w:r w:rsidRPr="00BC36F9">
        <w:rPr>
          <w:rStyle w:val="apple-converted-space"/>
          <w:rFonts w:ascii="Arial" w:hAnsi="Arial" w:cs="Arial"/>
          <w:i/>
          <w:color w:val="232323"/>
        </w:rPr>
        <w:t>See also</w:t>
      </w:r>
      <w:r>
        <w:rPr>
          <w:rStyle w:val="apple-converted-space"/>
          <w:rFonts w:ascii="Arial" w:hAnsi="Arial" w:cs="Arial"/>
          <w:i/>
          <w:color w:val="232323"/>
        </w:rPr>
        <w:t xml:space="preserve"> </w:t>
      </w:r>
      <w:r w:rsidRPr="004C560D">
        <w:rPr>
          <w:rFonts w:ascii="Arial" w:hAnsi="Arial" w:cs="Arial"/>
          <w:i/>
        </w:rPr>
        <w:t xml:space="preserve">Case </w:t>
      </w:r>
      <w:r w:rsidRPr="00BC36F9">
        <w:rPr>
          <w:rFonts w:ascii="Arial" w:hAnsi="Arial" w:cs="Arial"/>
        </w:rPr>
        <w:t>No 12-1230-EL-SSO</w:t>
      </w:r>
      <w:r w:rsidRPr="00BC36F9">
        <w:rPr>
          <w:rStyle w:val="apple-converted-space"/>
          <w:rFonts w:ascii="Arial" w:hAnsi="Arial" w:cs="Arial"/>
          <w:color w:val="232323"/>
        </w:rPr>
        <w:t xml:space="preserve"> </w:t>
      </w:r>
      <w:r>
        <w:rPr>
          <w:rFonts w:ascii="Arial" w:hAnsi="Arial" w:cs="Arial"/>
          <w:color w:val="232323"/>
        </w:rPr>
        <w:t>Direct testimony of Vincent Parisi</w:t>
      </w:r>
      <w:r>
        <w:rPr>
          <w:rStyle w:val="apple-converted-space"/>
          <w:rFonts w:ascii="Arial" w:hAnsi="Arial" w:cs="Arial"/>
          <w:color w:val="232323"/>
        </w:rPr>
        <w:t xml:space="preserve"> (May, 21, 2012); </w:t>
      </w:r>
      <w:r>
        <w:rPr>
          <w:rFonts w:ascii="Arial" w:hAnsi="Arial" w:cs="Arial"/>
          <w:color w:val="232323"/>
        </w:rPr>
        <w:t xml:space="preserve">Direct Prepared Testimony of Teresa L. Ringenbach </w:t>
      </w:r>
      <w:r>
        <w:rPr>
          <w:rStyle w:val="apple-converted-space"/>
          <w:rFonts w:ascii="Arial" w:hAnsi="Arial" w:cs="Arial"/>
          <w:color w:val="232323"/>
        </w:rPr>
        <w:t>(May, 21, 2012).</w:t>
      </w:r>
      <w:proofErr w:type="gramEnd"/>
      <w:r>
        <w:rPr>
          <w:rStyle w:val="apple-converted-space"/>
          <w:rFonts w:ascii="Arial" w:hAnsi="Arial" w:cs="Arial"/>
          <w:color w:val="232323"/>
        </w:rPr>
        <w:t xml:space="preserve"> </w:t>
      </w:r>
    </w:p>
  </w:footnote>
  <w:footnote w:id="3">
    <w:p w:rsidR="0087408C" w:rsidRPr="00FB6CA5" w:rsidRDefault="0087408C" w:rsidP="00FB6CA5">
      <w:pPr>
        <w:autoSpaceDE w:val="0"/>
        <w:autoSpaceDN w:val="0"/>
        <w:adjustRightInd w:val="0"/>
        <w:spacing w:after="0" w:line="240" w:lineRule="auto"/>
        <w:ind w:right="720"/>
        <w:rPr>
          <w:rFonts w:ascii="Times New Roman" w:hAnsi="Times New Roman" w:cs="Times New Roman"/>
          <w:sz w:val="26"/>
          <w:szCs w:val="26"/>
        </w:rPr>
      </w:pPr>
      <w:r w:rsidRPr="00FB6CA5">
        <w:rPr>
          <w:rStyle w:val="FootnoteReference"/>
          <w:rFonts w:ascii="Arial" w:hAnsi="Arial" w:cs="Arial"/>
          <w:sz w:val="20"/>
          <w:szCs w:val="20"/>
        </w:rPr>
        <w:footnoteRef/>
      </w:r>
      <w:r w:rsidRPr="00FB6CA5">
        <w:rPr>
          <w:rFonts w:ascii="Arial" w:hAnsi="Arial" w:cs="Arial"/>
          <w:sz w:val="20"/>
          <w:szCs w:val="20"/>
        </w:rPr>
        <w:t xml:space="preserve"> “we encourage interested stakeholders to attend a workshop in conjunction with the five year rule review of Chapter 4901:1-10, O.A.C., as established in Case No. 12-2050 ELORD et al, to be held on August 31, 2012. In our recent order on FirstEnergy's electric security plan (See Case No. 12-1230-EL-SSO), we noted that this workshop would be an appropriate place of stakeholders in the FirstEnergy proceedings to review issues related to POR programs. Similarly, we believe this workshop would also provide stakeholders in this proceeding an opportunity to further discuss the merits of establishing POR programs for other Ohio EDUs that are not currently using them.”</w:t>
      </w:r>
      <w:r>
        <w:rPr>
          <w:rFonts w:ascii="Arial" w:hAnsi="Arial" w:cs="Arial"/>
          <w:sz w:val="20"/>
          <w:szCs w:val="20"/>
        </w:rPr>
        <w:t xml:space="preserve"> Case No. </w:t>
      </w:r>
      <w:r>
        <w:rPr>
          <w:rFonts w:ascii="Arial" w:hAnsi="Arial" w:cs="Arial"/>
          <w:i/>
          <w:sz w:val="20"/>
          <w:szCs w:val="20"/>
        </w:rPr>
        <w:t>11-0346</w:t>
      </w:r>
      <w:r w:rsidRPr="00FB6CA5">
        <w:rPr>
          <w:rFonts w:ascii="Arial" w:hAnsi="Arial" w:cs="Arial"/>
          <w:i/>
          <w:sz w:val="20"/>
          <w:szCs w:val="20"/>
        </w:rPr>
        <w:t>-EL-SSO, AEP ESP Opinion and Order a</w:t>
      </w:r>
      <w:r>
        <w:rPr>
          <w:rFonts w:ascii="Arial" w:hAnsi="Arial" w:cs="Arial"/>
          <w:i/>
          <w:sz w:val="20"/>
          <w:szCs w:val="20"/>
        </w:rPr>
        <w:t xml:space="preserve"> 41-</w:t>
      </w:r>
      <w:r w:rsidRPr="00FB6CA5">
        <w:rPr>
          <w:rFonts w:ascii="Arial" w:hAnsi="Arial" w:cs="Arial"/>
          <w:i/>
          <w:sz w:val="20"/>
          <w:szCs w:val="20"/>
        </w:rPr>
        <w:t>42 (August 8, 2012).</w:t>
      </w:r>
    </w:p>
  </w:footnote>
  <w:footnote w:id="4">
    <w:p w:rsidR="0087408C" w:rsidRPr="00FB6CA5" w:rsidRDefault="0087408C" w:rsidP="00FB6CA5">
      <w:pPr>
        <w:autoSpaceDE w:val="0"/>
        <w:autoSpaceDN w:val="0"/>
        <w:adjustRightInd w:val="0"/>
        <w:spacing w:after="0" w:line="240" w:lineRule="auto"/>
        <w:rPr>
          <w:rFonts w:ascii="Arial" w:hAnsi="Arial" w:cs="Arial"/>
          <w:sz w:val="20"/>
          <w:szCs w:val="20"/>
        </w:rPr>
      </w:pPr>
      <w:r w:rsidRPr="00FB6CA5">
        <w:rPr>
          <w:rStyle w:val="FootnoteReference"/>
          <w:rFonts w:ascii="Arial" w:hAnsi="Arial" w:cs="Arial"/>
          <w:sz w:val="20"/>
          <w:szCs w:val="20"/>
        </w:rPr>
        <w:footnoteRef/>
      </w:r>
      <w:r w:rsidRPr="00FB6CA5">
        <w:rPr>
          <w:rFonts w:ascii="Arial" w:hAnsi="Arial" w:cs="Arial"/>
          <w:sz w:val="20"/>
          <w:szCs w:val="20"/>
        </w:rPr>
        <w:t xml:space="preserve"> </w:t>
      </w:r>
      <w:r>
        <w:rPr>
          <w:rFonts w:ascii="Arial" w:hAnsi="Arial" w:cs="Arial"/>
          <w:sz w:val="20"/>
          <w:szCs w:val="20"/>
        </w:rPr>
        <w:t>“</w:t>
      </w:r>
      <w:r w:rsidRPr="00FB6CA5">
        <w:rPr>
          <w:rFonts w:ascii="Arial" w:hAnsi="Arial" w:cs="Arial"/>
          <w:sz w:val="20"/>
          <w:szCs w:val="20"/>
        </w:rPr>
        <w:t>At the conclusi</w:t>
      </w:r>
      <w:r>
        <w:rPr>
          <w:rFonts w:ascii="Arial" w:hAnsi="Arial" w:cs="Arial"/>
          <w:sz w:val="20"/>
          <w:szCs w:val="20"/>
        </w:rPr>
        <w:t>on of the workshop,</w:t>
      </w:r>
      <w:r w:rsidRPr="00FB6CA5">
        <w:rPr>
          <w:rFonts w:ascii="Arial" w:hAnsi="Arial" w:cs="Arial"/>
          <w:sz w:val="20"/>
          <w:szCs w:val="20"/>
        </w:rPr>
        <w:t xml:space="preserve"> Staff shall identify whether, in order to protect consumers, protect the financial integrity of the Companies, and promote competition in the Companies' service territories, amendments to Chapter 4901:1-10, O.A.C, are necessary, additional waivers of Chapter 4901:1-10, O.A.C, are necessary, modifications to FirstEnergy's tariffs or practices are necessary, or additional measures should be undertaken as recommended by Staff.</w:t>
      </w:r>
      <w:r>
        <w:rPr>
          <w:rFonts w:ascii="Arial" w:hAnsi="Arial" w:cs="Arial"/>
          <w:sz w:val="20"/>
          <w:szCs w:val="20"/>
        </w:rPr>
        <w:t xml:space="preserve">” </w:t>
      </w:r>
      <w:r w:rsidRPr="004C560D">
        <w:rPr>
          <w:rFonts w:ascii="Arial" w:hAnsi="Arial" w:cs="Arial"/>
          <w:i/>
          <w:sz w:val="20"/>
          <w:szCs w:val="20"/>
        </w:rPr>
        <w:t xml:space="preserve">Case No </w:t>
      </w:r>
      <w:bookmarkStart w:id="1" w:name="OLE_LINK1"/>
      <w:bookmarkStart w:id="2" w:name="OLE_LINK2"/>
      <w:r w:rsidRPr="004C560D">
        <w:rPr>
          <w:rFonts w:ascii="Arial" w:hAnsi="Arial" w:cs="Arial"/>
          <w:i/>
          <w:sz w:val="20"/>
          <w:szCs w:val="20"/>
        </w:rPr>
        <w:t>12-1230-EL-SSO</w:t>
      </w:r>
      <w:r>
        <w:rPr>
          <w:rFonts w:ascii="Arial" w:hAnsi="Arial" w:cs="Arial"/>
          <w:sz w:val="20"/>
          <w:szCs w:val="20"/>
        </w:rPr>
        <w:t xml:space="preserve"> </w:t>
      </w:r>
      <w:bookmarkEnd w:id="1"/>
      <w:bookmarkEnd w:id="2"/>
      <w:r>
        <w:rPr>
          <w:rFonts w:ascii="Arial" w:hAnsi="Arial" w:cs="Arial"/>
          <w:i/>
          <w:sz w:val="20"/>
          <w:szCs w:val="20"/>
        </w:rPr>
        <w:t xml:space="preserve">FirstEnergy </w:t>
      </w:r>
      <w:r w:rsidRPr="00FB6CA5">
        <w:rPr>
          <w:rFonts w:ascii="Arial" w:hAnsi="Arial" w:cs="Arial"/>
          <w:i/>
          <w:sz w:val="20"/>
          <w:szCs w:val="20"/>
        </w:rPr>
        <w:t>ESP Opinion and Order a</w:t>
      </w:r>
      <w:r>
        <w:rPr>
          <w:rFonts w:ascii="Arial" w:hAnsi="Arial" w:cs="Arial"/>
          <w:i/>
          <w:sz w:val="20"/>
          <w:szCs w:val="20"/>
        </w:rPr>
        <w:t xml:space="preserve">t </w:t>
      </w:r>
      <w:r w:rsidRPr="00FB6CA5">
        <w:rPr>
          <w:rFonts w:ascii="Arial" w:hAnsi="Arial" w:cs="Arial"/>
          <w:i/>
          <w:sz w:val="20"/>
          <w:szCs w:val="20"/>
        </w:rPr>
        <w:t>42 (</w:t>
      </w:r>
      <w:r>
        <w:rPr>
          <w:rFonts w:ascii="Arial" w:hAnsi="Arial" w:cs="Arial"/>
          <w:i/>
          <w:sz w:val="20"/>
          <w:szCs w:val="20"/>
        </w:rPr>
        <w:t>July</w:t>
      </w:r>
      <w:r w:rsidRPr="00FB6CA5">
        <w:rPr>
          <w:rFonts w:ascii="Arial" w:hAnsi="Arial" w:cs="Arial"/>
          <w:i/>
          <w:sz w:val="20"/>
          <w:szCs w:val="20"/>
        </w:rPr>
        <w:t xml:space="preserve"> </w:t>
      </w:r>
      <w:r>
        <w:rPr>
          <w:rFonts w:ascii="Arial" w:hAnsi="Arial" w:cs="Arial"/>
          <w:i/>
          <w:sz w:val="20"/>
          <w:szCs w:val="20"/>
        </w:rPr>
        <w:t>1</w:t>
      </w:r>
      <w:r w:rsidRPr="00FB6CA5">
        <w:rPr>
          <w:rFonts w:ascii="Arial" w:hAnsi="Arial" w:cs="Arial"/>
          <w:i/>
          <w:sz w:val="20"/>
          <w:szCs w:val="20"/>
        </w:rPr>
        <w:t>8, 2012).</w:t>
      </w:r>
    </w:p>
  </w:footnote>
  <w:footnote w:id="5">
    <w:p w:rsidR="0087408C" w:rsidRDefault="0087408C">
      <w:pPr>
        <w:pStyle w:val="FootnoteText"/>
      </w:pPr>
      <w:r>
        <w:rPr>
          <w:rStyle w:val="FootnoteReference"/>
        </w:rPr>
        <w:footnoteRef/>
      </w:r>
      <w:r w:rsidRPr="00F15DFA">
        <w:rPr>
          <w:b/>
        </w:rPr>
        <w:t>The following electric utilities offer POR programs</w:t>
      </w:r>
      <w:r>
        <w:t xml:space="preserve">: </w:t>
      </w:r>
      <w:proofErr w:type="spellStart"/>
      <w:r>
        <w:t>ComEd</w:t>
      </w:r>
      <w:proofErr w:type="spellEnd"/>
      <w:r>
        <w:t xml:space="preserve"> (IL), </w:t>
      </w:r>
      <w:proofErr w:type="spellStart"/>
      <w:r>
        <w:t>Amren</w:t>
      </w:r>
      <w:proofErr w:type="spellEnd"/>
      <w:r>
        <w:t xml:space="preserve"> (IL), Baltimore Gas &amp; Electric (MD), Potomac Edison (MD), PEPCO (MD), Delmarva (MD), Consolidated Edison (NY), </w:t>
      </w:r>
      <w:proofErr w:type="spellStart"/>
      <w:r>
        <w:t>Ntl</w:t>
      </w:r>
      <w:proofErr w:type="spellEnd"/>
      <w:r>
        <w:t xml:space="preserve">. Grid (NY), Central Hudson (NY), Orange &amp; Rockland (NY), Rochester Gas &amp; Electric (NY), Long Island Power Authority (NY), New York State Electric &amp; Gas Corp. (NY), Duke Energy OH (OH), PECO (PA), PPL (PA), West Penn Power (PA), Met Ed (PA), Penn Electric (PA), Pennsylvania Power (PA), Duquesne Light (PA), Connecticut Light &amp; Power (CT), United Illuminating (CT) </w:t>
      </w:r>
    </w:p>
    <w:p w:rsidR="0087408C" w:rsidRDefault="0087408C">
      <w:pPr>
        <w:pStyle w:val="FootnoteText"/>
      </w:pPr>
      <w:r w:rsidRPr="00F15DFA">
        <w:rPr>
          <w:b/>
        </w:rPr>
        <w:t>The following natural gas utilities offer POR programs</w:t>
      </w:r>
      <w:r>
        <w:t xml:space="preserve">:  NIPSCO (IN), Columbia Gas of KY (KY), Baltimore Gas &amp; Electric (MD), Washington Gas &amp; Light (MD), Consumers Energy Co. (MI) Michigan Consolidated (MI), SEMPCO (MI), Consolidated Edison (NY), National Grid (NY), National Fuel (NY), Rochester Gas &amp; Electric (NY), Orange &amp; Rockland (NY), Central Hudson (NY), Columbia Gas of OH (OH), Dominion East OH (OH), Duke Energy OH (OH), </w:t>
      </w:r>
      <w:proofErr w:type="spellStart"/>
      <w:r>
        <w:t>Vectren</w:t>
      </w:r>
      <w:proofErr w:type="spellEnd"/>
      <w:r>
        <w:t xml:space="preserve"> Energy Delivery of Ohio (OH),  Pennsylvania Gas Works (PA), PECO Gas Corp. (PA), Columbia Gas of PA (PA), Dominion Peoples (PA), UGI (PA) National Fuel (PA), Columbia Gas of VA (VA)</w:t>
      </w:r>
    </w:p>
    <w:p w:rsidR="0087408C" w:rsidRDefault="0087408C">
      <w:pPr>
        <w:pStyle w:val="FootnoteText"/>
      </w:pPr>
    </w:p>
  </w:footnote>
  <w:footnote w:id="6">
    <w:p w:rsidR="0087408C" w:rsidRPr="004728F1" w:rsidRDefault="0087408C">
      <w:pPr>
        <w:pStyle w:val="FootnoteText"/>
        <w:rPr>
          <w:rFonts w:ascii="Arial" w:hAnsi="Arial" w:cs="Arial"/>
        </w:rPr>
      </w:pPr>
      <w:r w:rsidRPr="004728F1">
        <w:rPr>
          <w:rStyle w:val="FootnoteReference"/>
          <w:rFonts w:ascii="Arial" w:hAnsi="Arial" w:cs="Arial"/>
        </w:rPr>
        <w:footnoteRef/>
      </w:r>
      <w:r w:rsidRPr="004728F1">
        <w:rPr>
          <w:rFonts w:ascii="Arial" w:hAnsi="Arial" w:cs="Arial"/>
        </w:rPr>
        <w:t xml:space="preserve"> Illinois Office of Retail Market Development 2010 Annual Report, at page 3.  This report can be found at: </w:t>
      </w:r>
      <w:hyperlink r:id="rId1" w:history="1">
        <w:r w:rsidRPr="004728F1">
          <w:rPr>
            <w:rStyle w:val="Hyperlink"/>
            <w:rFonts w:ascii="Arial" w:hAnsi="Arial" w:cs="Arial"/>
          </w:rPr>
          <w:t>https://www.icc.illinois.gov/reports/results.aspx?t=20</w:t>
        </w:r>
      </w:hyperlink>
      <w:r w:rsidRPr="004728F1">
        <w:rPr>
          <w:rFonts w:ascii="Arial" w:hAnsi="Arial" w:cs="Arial"/>
        </w:rPr>
        <w:t xml:space="preserve"> </w:t>
      </w:r>
      <w:r w:rsidRPr="004728F1">
        <w:rPr>
          <w:rFonts w:ascii="Arial" w:hAnsi="Arial" w:cs="Arial"/>
        </w:rPr>
        <w:tab/>
      </w:r>
    </w:p>
  </w:footnote>
  <w:footnote w:id="7">
    <w:p w:rsidR="0087408C" w:rsidRPr="004728F1" w:rsidRDefault="0087408C">
      <w:pPr>
        <w:pStyle w:val="FootnoteText"/>
        <w:rPr>
          <w:rFonts w:ascii="Arial" w:hAnsi="Arial" w:cs="Arial"/>
        </w:rPr>
      </w:pPr>
      <w:r w:rsidRPr="004728F1">
        <w:rPr>
          <w:rStyle w:val="FootnoteReference"/>
          <w:rFonts w:ascii="Arial" w:hAnsi="Arial" w:cs="Arial"/>
        </w:rPr>
        <w:footnoteRef/>
      </w:r>
      <w:r w:rsidRPr="004728F1">
        <w:rPr>
          <w:rFonts w:ascii="Arial" w:hAnsi="Arial" w:cs="Arial"/>
        </w:rPr>
        <w:t xml:space="preserve"> Illinois Office of Retail Market Development 2012 Annual Report, at page 3. This report can be found at: </w:t>
      </w:r>
      <w:hyperlink r:id="rId2" w:history="1">
        <w:r w:rsidRPr="004728F1">
          <w:rPr>
            <w:rStyle w:val="Hyperlink"/>
            <w:rFonts w:ascii="Arial" w:hAnsi="Arial" w:cs="Arial"/>
          </w:rPr>
          <w:t>https://www.icc.illinois.gov/reports/results.aspx?t=20</w:t>
        </w:r>
      </w:hyperlink>
    </w:p>
  </w:footnote>
  <w:footnote w:id="8">
    <w:p w:rsidR="0087408C" w:rsidRPr="004728F1" w:rsidRDefault="0087408C" w:rsidP="003F2FB8">
      <w:pPr>
        <w:spacing w:line="240" w:lineRule="auto"/>
        <w:rPr>
          <w:rFonts w:ascii="Arial" w:hAnsi="Arial" w:cs="Arial"/>
          <w:color w:val="1F497D"/>
          <w:sz w:val="20"/>
          <w:szCs w:val="20"/>
        </w:rPr>
      </w:pPr>
      <w:r w:rsidRPr="004728F1">
        <w:rPr>
          <w:rStyle w:val="FootnoteReference"/>
          <w:rFonts w:ascii="Arial" w:hAnsi="Arial" w:cs="Arial"/>
          <w:sz w:val="20"/>
          <w:szCs w:val="20"/>
        </w:rPr>
        <w:footnoteRef/>
      </w:r>
      <w:r w:rsidRPr="004728F1">
        <w:rPr>
          <w:rFonts w:ascii="Arial" w:hAnsi="Arial" w:cs="Arial"/>
          <w:sz w:val="20"/>
          <w:szCs w:val="20"/>
        </w:rPr>
        <w:t xml:space="preserve"> The Maryland migration statistics listing the number of electric suppliers that historically have been in the Maryland markets can be found on the Maryland Public Service Commission website at:</w:t>
      </w:r>
      <w:r w:rsidRPr="004728F1">
        <w:rPr>
          <w:rFonts w:ascii="Arial" w:hAnsi="Arial" w:cs="Arial"/>
        </w:rPr>
        <w:t xml:space="preserve"> </w:t>
      </w:r>
      <w:bookmarkStart w:id="5" w:name="OLE_LINK3"/>
      <w:bookmarkStart w:id="6" w:name="OLE_LINK4"/>
      <w:bookmarkStart w:id="7" w:name="OLE_LINK7"/>
      <w:bookmarkStart w:id="8" w:name="OLE_LINK8"/>
      <w:r w:rsidRPr="004728F1">
        <w:rPr>
          <w:rFonts w:ascii="Arial" w:hAnsi="Arial" w:cs="Arial"/>
          <w:sz w:val="20"/>
          <w:szCs w:val="20"/>
        </w:rPr>
        <w:t>http://webapp.psc.state.md.us/Intranet/CaseNum/submit_new.cfm?DirPath=\\Coldfusion\Electric%20Choice%20Reports\&amp;CaseN=Electric%20Choice%20Enrollment%20Monthly%20Reports.</w:t>
      </w:r>
      <w:bookmarkEnd w:id="5"/>
      <w:bookmarkEnd w:id="6"/>
      <w:bookmarkEnd w:id="7"/>
      <w:bookmarkEnd w:id="8"/>
    </w:p>
  </w:footnote>
  <w:footnote w:id="9">
    <w:p w:rsidR="0087408C" w:rsidRPr="004728F1" w:rsidRDefault="0087408C">
      <w:pPr>
        <w:pStyle w:val="FootnoteText"/>
        <w:rPr>
          <w:rFonts w:ascii="Arial" w:hAnsi="Arial" w:cs="Arial"/>
        </w:rPr>
      </w:pPr>
      <w:r w:rsidRPr="004728F1">
        <w:rPr>
          <w:rStyle w:val="FootnoteReference"/>
          <w:rFonts w:ascii="Arial" w:hAnsi="Arial" w:cs="Arial"/>
        </w:rPr>
        <w:footnoteRef/>
      </w:r>
      <w:r w:rsidRPr="004728F1">
        <w:rPr>
          <w:rFonts w:ascii="Arial" w:hAnsi="Arial" w:cs="Arial"/>
        </w:rPr>
        <w:t xml:space="preserve"> Id.</w:t>
      </w:r>
    </w:p>
  </w:footnote>
  <w:footnote w:id="10">
    <w:p w:rsidR="0087408C" w:rsidRPr="004728F1" w:rsidRDefault="0087408C">
      <w:pPr>
        <w:pStyle w:val="FootnoteText"/>
        <w:rPr>
          <w:rFonts w:ascii="Arial" w:hAnsi="Arial" w:cs="Arial"/>
        </w:rPr>
      </w:pPr>
      <w:r w:rsidRPr="004728F1">
        <w:rPr>
          <w:rStyle w:val="FootnoteReference"/>
          <w:rFonts w:ascii="Arial" w:hAnsi="Arial" w:cs="Arial"/>
        </w:rPr>
        <w:footnoteRef/>
      </w:r>
      <w:r w:rsidRPr="004728F1">
        <w:rPr>
          <w:rFonts w:ascii="Arial" w:hAnsi="Arial" w:cs="Arial"/>
        </w:rPr>
        <w:t xml:space="preserve"> Id.</w:t>
      </w:r>
    </w:p>
  </w:footnote>
  <w:footnote w:id="11">
    <w:p w:rsidR="0087408C" w:rsidRPr="003F2FB8" w:rsidRDefault="0087408C" w:rsidP="003F2FB8">
      <w:pPr>
        <w:autoSpaceDE w:val="0"/>
        <w:autoSpaceDN w:val="0"/>
        <w:adjustRightInd w:val="0"/>
        <w:spacing w:after="0" w:line="240" w:lineRule="auto"/>
        <w:rPr>
          <w:rFonts w:cstheme="minorHAnsi"/>
        </w:rPr>
      </w:pPr>
      <w:r w:rsidRPr="004728F1">
        <w:rPr>
          <w:rStyle w:val="FootnoteReference"/>
          <w:rFonts w:ascii="Arial" w:hAnsi="Arial" w:cs="Arial"/>
          <w:sz w:val="20"/>
          <w:szCs w:val="20"/>
        </w:rPr>
        <w:footnoteRef/>
      </w:r>
      <w:r w:rsidRPr="004728F1">
        <w:rPr>
          <w:rFonts w:ascii="Arial" w:hAnsi="Arial" w:cs="Arial"/>
          <w:sz w:val="20"/>
          <w:szCs w:val="20"/>
        </w:rPr>
        <w:t xml:space="preserve"> Direct Testimony of Vincent Parisi at 11-12, </w:t>
      </w:r>
      <w:r w:rsidRPr="004728F1">
        <w:rPr>
          <w:rFonts w:ascii="Arial" w:hAnsi="Arial" w:cs="Arial"/>
          <w:i/>
          <w:sz w:val="20"/>
          <w:szCs w:val="20"/>
        </w:rPr>
        <w:t>Case No 12-1230-EL-SSO</w:t>
      </w:r>
      <w:r w:rsidRPr="004728F1">
        <w:rPr>
          <w:rFonts w:ascii="Arial" w:hAnsi="Arial" w:cs="Arial"/>
          <w:sz w:val="20"/>
          <w:szCs w:val="20"/>
        </w:rPr>
        <w:t xml:space="preserve"> </w:t>
      </w:r>
      <w:r w:rsidRPr="004728F1">
        <w:rPr>
          <w:rFonts w:ascii="Arial" w:hAnsi="Arial" w:cs="Arial"/>
          <w:i/>
          <w:sz w:val="20"/>
          <w:szCs w:val="20"/>
        </w:rPr>
        <w:t>FirstEnergy ESP Opinion and Order at 42 (May 21, 2012).</w:t>
      </w:r>
    </w:p>
  </w:footnote>
  <w:footnote w:id="12">
    <w:p w:rsidR="0087408C" w:rsidRDefault="0087408C" w:rsidP="0070494A">
      <w:pPr>
        <w:pStyle w:val="FootnoteText"/>
      </w:pPr>
      <w:r>
        <w:rPr>
          <w:rStyle w:val="FootnoteReference"/>
        </w:rPr>
        <w:footnoteRef/>
      </w:r>
      <w:r>
        <w:t xml:space="preserve"> Case No. 02-1944-EL-CSS, Opinion and Order (August 6, 2003).</w:t>
      </w:r>
    </w:p>
  </w:footnote>
  <w:footnote w:id="13">
    <w:p w:rsidR="00D16EE5" w:rsidRDefault="00D16EE5">
      <w:pPr>
        <w:pStyle w:val="FootnoteText"/>
      </w:pPr>
      <w:r>
        <w:rPr>
          <w:rStyle w:val="FootnoteReference"/>
        </w:rPr>
        <w:footnoteRef/>
      </w:r>
      <w:r>
        <w:t xml:space="preserve"> </w:t>
      </w:r>
      <w:r>
        <w:rPr>
          <w:rFonts w:ascii="Arial" w:hAnsi="Arial" w:cs="Arial"/>
        </w:rPr>
        <w:t>A</w:t>
      </w:r>
      <w:r w:rsidRPr="00D16EE5">
        <w:rPr>
          <w:rFonts w:ascii="Arial" w:hAnsi="Arial" w:cs="Arial"/>
        </w:rPr>
        <w:t xml:space="preserve">lthough </w:t>
      </w:r>
      <w:r>
        <w:rPr>
          <w:rFonts w:ascii="Arial" w:hAnsi="Arial" w:cs="Arial"/>
        </w:rPr>
        <w:t>IGS understands</w:t>
      </w:r>
      <w:r w:rsidRPr="00D16EE5">
        <w:rPr>
          <w:rFonts w:ascii="Arial" w:hAnsi="Arial" w:cs="Arial"/>
        </w:rPr>
        <w:t xml:space="preserve"> that this is an electric utility rule making, </w:t>
      </w:r>
      <w:r>
        <w:rPr>
          <w:rFonts w:ascii="Arial" w:hAnsi="Arial" w:cs="Arial"/>
        </w:rPr>
        <w:t>IGS</w:t>
      </w:r>
      <w:r w:rsidRPr="00D16EE5">
        <w:rPr>
          <w:rFonts w:ascii="Arial" w:hAnsi="Arial" w:cs="Arial"/>
        </w:rPr>
        <w:t xml:space="preserve"> also ask the Commission at the earliest opportunity to amend the gas utility rules to make available customer account numbers to CRNG suppliers.</w:t>
      </w:r>
      <w:r>
        <w:rPr>
          <w:rFonts w:ascii="Arial" w:hAnsi="Arial" w:cs="Arial"/>
        </w:rPr>
        <w:t xml:space="preserve">  See IGS’ comments in the CRNG rule making Case No. 12-925-GA-ORD.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08C" w:rsidRDefault="0087408C">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F753C"/>
    <w:multiLevelType w:val="hybridMultilevel"/>
    <w:tmpl w:val="406AB08C"/>
    <w:lvl w:ilvl="0" w:tplc="EB5A9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D7959"/>
    <w:multiLevelType w:val="hybridMultilevel"/>
    <w:tmpl w:val="80001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1C6B4B"/>
    <w:multiLevelType w:val="hybridMultilevel"/>
    <w:tmpl w:val="63AC4D6C"/>
    <w:lvl w:ilvl="0" w:tplc="014612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A2537"/>
    <w:multiLevelType w:val="hybridMultilevel"/>
    <w:tmpl w:val="CFA22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5B19D4"/>
    <w:multiLevelType w:val="hybridMultilevel"/>
    <w:tmpl w:val="406AB08C"/>
    <w:lvl w:ilvl="0" w:tplc="EB5A9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287712"/>
    <w:multiLevelType w:val="hybridMultilevel"/>
    <w:tmpl w:val="406AB08C"/>
    <w:lvl w:ilvl="0" w:tplc="EB5A9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7"/>
  </w:num>
  <w:num w:numId="5">
    <w:abstractNumId w:val="3"/>
  </w:num>
  <w:num w:numId="6">
    <w:abstractNumId w:val="8"/>
  </w:num>
  <w:num w:numId="7">
    <w:abstractNumId w:val="1"/>
  </w:num>
  <w:num w:numId="8">
    <w:abstractNumId w:val="2"/>
  </w:num>
  <w:num w:numId="9">
    <w:abstractNumId w:val="6"/>
  </w:num>
  <w:num w:numId="10">
    <w:abstractNumId w:val="4"/>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29"/>
    <w:rsid w:val="0001468C"/>
    <w:rsid w:val="000158CB"/>
    <w:rsid w:val="00016A5F"/>
    <w:rsid w:val="00023A72"/>
    <w:rsid w:val="0002605C"/>
    <w:rsid w:val="000516C6"/>
    <w:rsid w:val="00094915"/>
    <w:rsid w:val="0009648F"/>
    <w:rsid w:val="000B1AE8"/>
    <w:rsid w:val="000B2D00"/>
    <w:rsid w:val="000E3930"/>
    <w:rsid w:val="000F1EC4"/>
    <w:rsid w:val="000F47BB"/>
    <w:rsid w:val="00101875"/>
    <w:rsid w:val="00123C3C"/>
    <w:rsid w:val="00141D40"/>
    <w:rsid w:val="00145DEA"/>
    <w:rsid w:val="00156A10"/>
    <w:rsid w:val="00184265"/>
    <w:rsid w:val="001975B2"/>
    <w:rsid w:val="001C1420"/>
    <w:rsid w:val="001C4C85"/>
    <w:rsid w:val="001E61FE"/>
    <w:rsid w:val="001F7F40"/>
    <w:rsid w:val="0020673D"/>
    <w:rsid w:val="00210CCE"/>
    <w:rsid w:val="00214B82"/>
    <w:rsid w:val="00214C32"/>
    <w:rsid w:val="002540DA"/>
    <w:rsid w:val="00272941"/>
    <w:rsid w:val="0027726F"/>
    <w:rsid w:val="00277703"/>
    <w:rsid w:val="0028099E"/>
    <w:rsid w:val="002B5AFB"/>
    <w:rsid w:val="002C234C"/>
    <w:rsid w:val="002C50CD"/>
    <w:rsid w:val="002D3210"/>
    <w:rsid w:val="002E0340"/>
    <w:rsid w:val="002E65EF"/>
    <w:rsid w:val="0030162A"/>
    <w:rsid w:val="003304CC"/>
    <w:rsid w:val="00335A56"/>
    <w:rsid w:val="00337A76"/>
    <w:rsid w:val="00366431"/>
    <w:rsid w:val="0038250E"/>
    <w:rsid w:val="003A09BE"/>
    <w:rsid w:val="003C130A"/>
    <w:rsid w:val="003C168F"/>
    <w:rsid w:val="003C7E46"/>
    <w:rsid w:val="003F2FB8"/>
    <w:rsid w:val="0040018D"/>
    <w:rsid w:val="00446FB6"/>
    <w:rsid w:val="004728F1"/>
    <w:rsid w:val="00473A68"/>
    <w:rsid w:val="004A0FA6"/>
    <w:rsid w:val="004A10AD"/>
    <w:rsid w:val="004B0400"/>
    <w:rsid w:val="004C104B"/>
    <w:rsid w:val="004C2D05"/>
    <w:rsid w:val="004C560D"/>
    <w:rsid w:val="004D7CEF"/>
    <w:rsid w:val="004E13F9"/>
    <w:rsid w:val="004E37F2"/>
    <w:rsid w:val="004F146B"/>
    <w:rsid w:val="004F5C68"/>
    <w:rsid w:val="00502D84"/>
    <w:rsid w:val="00525854"/>
    <w:rsid w:val="00532AA2"/>
    <w:rsid w:val="00545F29"/>
    <w:rsid w:val="00557AB6"/>
    <w:rsid w:val="0056021F"/>
    <w:rsid w:val="00561DEB"/>
    <w:rsid w:val="0056270F"/>
    <w:rsid w:val="00572932"/>
    <w:rsid w:val="005829F3"/>
    <w:rsid w:val="00597802"/>
    <w:rsid w:val="005B5893"/>
    <w:rsid w:val="00646C54"/>
    <w:rsid w:val="006478F3"/>
    <w:rsid w:val="006A3FCD"/>
    <w:rsid w:val="006C5F1C"/>
    <w:rsid w:val="006F17FE"/>
    <w:rsid w:val="006F2DB3"/>
    <w:rsid w:val="006F52B1"/>
    <w:rsid w:val="0070494A"/>
    <w:rsid w:val="007165E1"/>
    <w:rsid w:val="00732964"/>
    <w:rsid w:val="0074672D"/>
    <w:rsid w:val="00793C17"/>
    <w:rsid w:val="00794907"/>
    <w:rsid w:val="007B5118"/>
    <w:rsid w:val="007C21E2"/>
    <w:rsid w:val="007C23AB"/>
    <w:rsid w:val="007D2BD6"/>
    <w:rsid w:val="007E362A"/>
    <w:rsid w:val="007F5FE5"/>
    <w:rsid w:val="00802626"/>
    <w:rsid w:val="00825EE0"/>
    <w:rsid w:val="0087408C"/>
    <w:rsid w:val="008A53A0"/>
    <w:rsid w:val="008C62EF"/>
    <w:rsid w:val="008F580D"/>
    <w:rsid w:val="00915444"/>
    <w:rsid w:val="009536EC"/>
    <w:rsid w:val="00954376"/>
    <w:rsid w:val="00982FD5"/>
    <w:rsid w:val="009C7DF1"/>
    <w:rsid w:val="009D136B"/>
    <w:rsid w:val="009E37D0"/>
    <w:rsid w:val="00A110A3"/>
    <w:rsid w:val="00A3048A"/>
    <w:rsid w:val="00A62A73"/>
    <w:rsid w:val="00A94F26"/>
    <w:rsid w:val="00AC2EBB"/>
    <w:rsid w:val="00AD169B"/>
    <w:rsid w:val="00AF2F97"/>
    <w:rsid w:val="00B0319C"/>
    <w:rsid w:val="00B05F65"/>
    <w:rsid w:val="00B329F4"/>
    <w:rsid w:val="00B42522"/>
    <w:rsid w:val="00B47B3B"/>
    <w:rsid w:val="00B7021D"/>
    <w:rsid w:val="00B7429A"/>
    <w:rsid w:val="00B914C1"/>
    <w:rsid w:val="00B92A76"/>
    <w:rsid w:val="00BC36F9"/>
    <w:rsid w:val="00C52308"/>
    <w:rsid w:val="00C573FF"/>
    <w:rsid w:val="00CD247E"/>
    <w:rsid w:val="00CD5E2F"/>
    <w:rsid w:val="00CF7FA7"/>
    <w:rsid w:val="00D16EE5"/>
    <w:rsid w:val="00D273FD"/>
    <w:rsid w:val="00D4372D"/>
    <w:rsid w:val="00D45C02"/>
    <w:rsid w:val="00D653A0"/>
    <w:rsid w:val="00D85FDB"/>
    <w:rsid w:val="00DA5C3C"/>
    <w:rsid w:val="00DA6C9B"/>
    <w:rsid w:val="00DC30BD"/>
    <w:rsid w:val="00DE35A5"/>
    <w:rsid w:val="00E230C4"/>
    <w:rsid w:val="00E2417C"/>
    <w:rsid w:val="00E42878"/>
    <w:rsid w:val="00E542BB"/>
    <w:rsid w:val="00E710AC"/>
    <w:rsid w:val="00E813F8"/>
    <w:rsid w:val="00EA05C2"/>
    <w:rsid w:val="00EB4351"/>
    <w:rsid w:val="00EC5EF6"/>
    <w:rsid w:val="00EC754E"/>
    <w:rsid w:val="00ED3EA2"/>
    <w:rsid w:val="00F00EB6"/>
    <w:rsid w:val="00F15DFA"/>
    <w:rsid w:val="00F2105E"/>
    <w:rsid w:val="00F232FD"/>
    <w:rsid w:val="00F247D1"/>
    <w:rsid w:val="00F36EAB"/>
    <w:rsid w:val="00F61762"/>
    <w:rsid w:val="00F70F36"/>
    <w:rsid w:val="00F74F99"/>
    <w:rsid w:val="00F94E93"/>
    <w:rsid w:val="00FB6CA5"/>
    <w:rsid w:val="00FD1CCF"/>
    <w:rsid w:val="00FE3AF9"/>
    <w:rsid w:val="00FF2E30"/>
    <w:rsid w:val="00FF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nhideWhenUsed/>
    <w:pPr>
      <w:spacing w:after="0" w:line="240" w:lineRule="auto"/>
    </w:pPr>
    <w:rPr>
      <w:sz w:val="20"/>
      <w:szCs w:val="20"/>
    </w:rPr>
  </w:style>
  <w:style w:type="character" w:customStyle="1" w:styleId="FootnoteTextChar">
    <w:name w:val="Footnote Text Char"/>
    <w:basedOn w:val="DefaultParagraphFont"/>
    <w:link w:val="FootnoteText"/>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rsid w:val="00254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254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nhideWhenUsed/>
    <w:pPr>
      <w:spacing w:after="0" w:line="240" w:lineRule="auto"/>
    </w:pPr>
    <w:rPr>
      <w:sz w:val="20"/>
      <w:szCs w:val="20"/>
    </w:rPr>
  </w:style>
  <w:style w:type="character" w:customStyle="1" w:styleId="FootnoteTextChar">
    <w:name w:val="Footnote Text Char"/>
    <w:basedOn w:val="DefaultParagraphFont"/>
    <w:link w:val="FootnoteText"/>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rsid w:val="00254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25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237055657">
      <w:bodyDiv w:val="1"/>
      <w:marLeft w:val="0"/>
      <w:marRight w:val="0"/>
      <w:marTop w:val="0"/>
      <w:marBottom w:val="0"/>
      <w:divBdr>
        <w:top w:val="none" w:sz="0" w:space="0" w:color="auto"/>
        <w:left w:val="none" w:sz="0" w:space="0" w:color="auto"/>
        <w:bottom w:val="none" w:sz="0" w:space="0" w:color="auto"/>
        <w:right w:val="none" w:sz="0" w:space="0" w:color="auto"/>
      </w:divBdr>
    </w:div>
    <w:div w:id="595750487">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897323810">
      <w:bodyDiv w:val="1"/>
      <w:marLeft w:val="0"/>
      <w:marRight w:val="0"/>
      <w:marTop w:val="0"/>
      <w:marBottom w:val="0"/>
      <w:divBdr>
        <w:top w:val="none" w:sz="0" w:space="0" w:color="auto"/>
        <w:left w:val="none" w:sz="0" w:space="0" w:color="auto"/>
        <w:bottom w:val="none" w:sz="0" w:space="0" w:color="auto"/>
        <w:right w:val="none" w:sz="0" w:space="0" w:color="auto"/>
      </w:divBdr>
    </w:div>
    <w:div w:id="1332099794">
      <w:bodyDiv w:val="1"/>
      <w:marLeft w:val="0"/>
      <w:marRight w:val="0"/>
      <w:marTop w:val="0"/>
      <w:marBottom w:val="0"/>
      <w:divBdr>
        <w:top w:val="none" w:sz="0" w:space="0" w:color="auto"/>
        <w:left w:val="none" w:sz="0" w:space="0" w:color="auto"/>
        <w:bottom w:val="none" w:sz="0" w:space="0" w:color="auto"/>
        <w:right w:val="none" w:sz="0" w:space="0" w:color="auto"/>
      </w:divBdr>
    </w:div>
    <w:div w:id="1365714200">
      <w:bodyDiv w:val="1"/>
      <w:marLeft w:val="0"/>
      <w:marRight w:val="0"/>
      <w:marTop w:val="0"/>
      <w:marBottom w:val="0"/>
      <w:divBdr>
        <w:top w:val="none" w:sz="0" w:space="0" w:color="auto"/>
        <w:left w:val="none" w:sz="0" w:space="0" w:color="auto"/>
        <w:bottom w:val="none" w:sz="0" w:space="0" w:color="auto"/>
        <w:right w:val="none" w:sz="0" w:space="0" w:color="auto"/>
      </w:divBdr>
    </w:div>
    <w:div w:id="1378119211">
      <w:bodyDiv w:val="1"/>
      <w:marLeft w:val="0"/>
      <w:marRight w:val="0"/>
      <w:marTop w:val="0"/>
      <w:marBottom w:val="0"/>
      <w:divBdr>
        <w:top w:val="none" w:sz="0" w:space="0" w:color="auto"/>
        <w:left w:val="none" w:sz="0" w:space="0" w:color="auto"/>
        <w:bottom w:val="none" w:sz="0" w:space="0" w:color="auto"/>
        <w:right w:val="none" w:sz="0" w:space="0" w:color="auto"/>
      </w:divBdr>
    </w:div>
    <w:div w:id="1562013841">
      <w:bodyDiv w:val="1"/>
      <w:marLeft w:val="0"/>
      <w:marRight w:val="0"/>
      <w:marTop w:val="0"/>
      <w:marBottom w:val="0"/>
      <w:divBdr>
        <w:top w:val="none" w:sz="0" w:space="0" w:color="auto"/>
        <w:left w:val="none" w:sz="0" w:space="0" w:color="auto"/>
        <w:bottom w:val="none" w:sz="0" w:space="0" w:color="auto"/>
        <w:right w:val="none" w:sz="0" w:space="0" w:color="auto"/>
      </w:divBdr>
    </w:div>
    <w:div w:id="1563833733">
      <w:bodyDiv w:val="1"/>
      <w:marLeft w:val="0"/>
      <w:marRight w:val="0"/>
      <w:marTop w:val="0"/>
      <w:marBottom w:val="0"/>
      <w:divBdr>
        <w:top w:val="none" w:sz="0" w:space="0" w:color="auto"/>
        <w:left w:val="none" w:sz="0" w:space="0" w:color="auto"/>
        <w:bottom w:val="none" w:sz="0" w:space="0" w:color="auto"/>
        <w:right w:val="none" w:sz="0" w:space="0" w:color="auto"/>
      </w:divBdr>
    </w:div>
    <w:div w:id="1586456483">
      <w:bodyDiv w:val="1"/>
      <w:marLeft w:val="0"/>
      <w:marRight w:val="0"/>
      <w:marTop w:val="0"/>
      <w:marBottom w:val="0"/>
      <w:divBdr>
        <w:top w:val="none" w:sz="0" w:space="0" w:color="auto"/>
        <w:left w:val="none" w:sz="0" w:space="0" w:color="auto"/>
        <w:bottom w:val="none" w:sz="0" w:space="0" w:color="auto"/>
        <w:right w:val="none" w:sz="0" w:space="0" w:color="auto"/>
      </w:divBdr>
    </w:div>
    <w:div w:id="1690792170">
      <w:bodyDiv w:val="1"/>
      <w:marLeft w:val="0"/>
      <w:marRight w:val="0"/>
      <w:marTop w:val="0"/>
      <w:marBottom w:val="0"/>
      <w:divBdr>
        <w:top w:val="none" w:sz="0" w:space="0" w:color="auto"/>
        <w:left w:val="none" w:sz="0" w:space="0" w:color="auto"/>
        <w:bottom w:val="none" w:sz="0" w:space="0" w:color="auto"/>
        <w:right w:val="none" w:sz="0" w:space="0" w:color="auto"/>
      </w:divBdr>
    </w:div>
    <w:div w:id="1940138764">
      <w:bodyDiv w:val="1"/>
      <w:marLeft w:val="0"/>
      <w:marRight w:val="0"/>
      <w:marTop w:val="0"/>
      <w:marBottom w:val="0"/>
      <w:divBdr>
        <w:top w:val="none" w:sz="0" w:space="0" w:color="auto"/>
        <w:left w:val="none" w:sz="0" w:space="0" w:color="auto"/>
        <w:bottom w:val="none" w:sz="0" w:space="0" w:color="auto"/>
        <w:right w:val="none" w:sz="0" w:space="0" w:color="auto"/>
      </w:divBdr>
    </w:div>
    <w:div w:id="20039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parisi@igsenergy.com" TargetMode="External"/><Relationship Id="rId4" Type="http://schemas.microsoft.com/office/2007/relationships/stylesWithEffects" Target="stylesWithEffects.xml"/><Relationship Id="rId9" Type="http://schemas.openxmlformats.org/officeDocument/2006/relationships/hyperlink" Target="mailto:mswhite@igsenergy.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cc.illinois.gov/reports/results.aspx?t=20" TargetMode="External"/><Relationship Id="rId1" Type="http://schemas.openxmlformats.org/officeDocument/2006/relationships/hyperlink" Target="https://www.icc.illinois.gov/reports/results.aspx?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9414B-2D18-4A56-8451-223FB08C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3316</Words>
  <Characters>18971</Characters>
  <Application>Microsoft Office Word</Application>
  <DocSecurity>0</DocSecurity>
  <Lines>338</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2010-10-04T15:02:00Z</cp:lastPrinted>
  <dcterms:created xsi:type="dcterms:W3CDTF">2013-01-07T21:24:00Z</dcterms:created>
  <dcterms:modified xsi:type="dcterms:W3CDTF">2013-01-07T21:25:00Z</dcterms:modified>
</cp:coreProperties>
</file>