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D2" w:rsidRDefault="000C2FD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C2FD2" w:rsidRDefault="000C2FD2">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3629" w:rsidRDefault="00173629" w:rsidP="00173629">
      <w:pPr>
        <w:pStyle w:val="HTMLPreformatted"/>
        <w:jc w:val="center"/>
        <w:rPr>
          <w:rFonts w:ascii="Times New Roman" w:hAnsi="Times New Roman"/>
          <w:sz w:val="24"/>
        </w:rPr>
      </w:pPr>
    </w:p>
    <w:tbl>
      <w:tblPr>
        <w:tblW w:w="9092" w:type="dxa"/>
        <w:tblInd w:w="108" w:type="dxa"/>
        <w:tblLook w:val="01E0" w:firstRow="1" w:lastRow="1" w:firstColumn="1" w:lastColumn="1" w:noHBand="0" w:noVBand="0"/>
      </w:tblPr>
      <w:tblGrid>
        <w:gridCol w:w="4332"/>
        <w:gridCol w:w="360"/>
        <w:gridCol w:w="4400"/>
      </w:tblGrid>
      <w:tr w:rsidR="00173629" w:rsidTr="00C32FE5">
        <w:trPr>
          <w:trHeight w:val="807"/>
        </w:trPr>
        <w:tc>
          <w:tcPr>
            <w:tcW w:w="4332" w:type="dxa"/>
            <w:shd w:val="clear" w:color="auto" w:fill="auto"/>
          </w:tcPr>
          <w:p w:rsidR="00173629" w:rsidRDefault="00173629" w:rsidP="00C32FE5">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Pr>
                <w:rFonts w:ascii="Times New Roman" w:hAnsi="Times New Roman" w:cs="Times New Roman"/>
                <w:sz w:val="24"/>
                <w:szCs w:val="24"/>
              </w:rPr>
              <w:t>Application of The Dayton Power and Light Company for Authority to Amend its Corporate Separation Plan.</w:t>
            </w:r>
          </w:p>
        </w:tc>
        <w:tc>
          <w:tcPr>
            <w:tcW w:w="360" w:type="dxa"/>
            <w:shd w:val="clear" w:color="auto" w:fill="auto"/>
          </w:tcPr>
          <w:p w:rsidR="00173629" w:rsidRDefault="00173629" w:rsidP="00C32FE5">
            <w:pPr>
              <w:pStyle w:val="HTMLPreformatted"/>
              <w:rPr>
                <w:rFonts w:ascii="Times New Roman" w:hAnsi="Times New Roman"/>
                <w:sz w:val="24"/>
              </w:rPr>
            </w:pPr>
            <w:r>
              <w:rPr>
                <w:rFonts w:ascii="Times New Roman" w:hAnsi="Times New Roman"/>
                <w:sz w:val="24"/>
              </w:rPr>
              <w:t>)</w:t>
            </w:r>
          </w:p>
          <w:p w:rsidR="00173629" w:rsidRDefault="00173629" w:rsidP="00C32FE5">
            <w:pPr>
              <w:pStyle w:val="HTMLPreformatted"/>
              <w:rPr>
                <w:rFonts w:ascii="Times New Roman" w:hAnsi="Times New Roman"/>
                <w:sz w:val="24"/>
              </w:rPr>
            </w:pPr>
            <w:r>
              <w:rPr>
                <w:rFonts w:ascii="Times New Roman" w:hAnsi="Times New Roman"/>
                <w:sz w:val="24"/>
              </w:rPr>
              <w:t>)</w:t>
            </w:r>
          </w:p>
          <w:p w:rsidR="00173629" w:rsidRDefault="00173629" w:rsidP="00C32FE5">
            <w:pPr>
              <w:pStyle w:val="HTMLPreformatted"/>
              <w:rPr>
                <w:rFonts w:ascii="Times New Roman" w:hAnsi="Times New Roman"/>
                <w:sz w:val="24"/>
              </w:rPr>
            </w:pPr>
            <w:r>
              <w:rPr>
                <w:rFonts w:ascii="Times New Roman" w:hAnsi="Times New Roman"/>
                <w:sz w:val="24"/>
              </w:rPr>
              <w:t>)</w:t>
            </w:r>
          </w:p>
          <w:p w:rsidR="00173629" w:rsidRDefault="00173629" w:rsidP="00C32FE5">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173629" w:rsidRDefault="00173629" w:rsidP="00C32FE5">
            <w:pPr>
              <w:pStyle w:val="HTMLPreformatted"/>
              <w:rPr>
                <w:rFonts w:ascii="Times New Roman" w:hAnsi="Times New Roman"/>
                <w:sz w:val="24"/>
              </w:rPr>
            </w:pPr>
          </w:p>
          <w:p w:rsidR="00173629" w:rsidRDefault="00173629" w:rsidP="00C32FE5">
            <w:pPr>
              <w:pStyle w:val="HTMLPreformatted"/>
              <w:rPr>
                <w:rFonts w:ascii="Times New Roman" w:hAnsi="Times New Roman"/>
                <w:sz w:val="24"/>
              </w:rPr>
            </w:pPr>
            <w:r>
              <w:rPr>
                <w:rFonts w:ascii="Times New Roman" w:hAnsi="Times New Roman"/>
                <w:sz w:val="24"/>
              </w:rPr>
              <w:t>Case No. 13-2442-EL-UNC</w:t>
            </w:r>
          </w:p>
          <w:p w:rsidR="00173629" w:rsidRDefault="00173629" w:rsidP="00C32FE5">
            <w:pPr>
              <w:pStyle w:val="HTMLPreformatted"/>
              <w:rPr>
                <w:rFonts w:ascii="Times New Roman" w:hAnsi="Times New Roman"/>
                <w:sz w:val="24"/>
              </w:rPr>
            </w:pPr>
          </w:p>
        </w:tc>
      </w:tr>
    </w:tbl>
    <w:p w:rsidR="000C2FD2" w:rsidRDefault="000C2FD2">
      <w:pPr>
        <w:pStyle w:val="HTMLPreformatted"/>
        <w:pBdr>
          <w:bottom w:val="single" w:sz="12" w:space="1" w:color="auto"/>
        </w:pBdr>
        <w:rPr>
          <w:rFonts w:ascii="Times New Roman" w:hAnsi="Times New Roman"/>
          <w:sz w:val="24"/>
        </w:rPr>
      </w:pPr>
    </w:p>
    <w:p w:rsidR="008C2387" w:rsidRPr="008C2387" w:rsidRDefault="008C2387" w:rsidP="008C2387"/>
    <w:p w:rsidR="003A2F81" w:rsidRDefault="0053681B" w:rsidP="00DE7420">
      <w:pPr>
        <w:jc w:val="center"/>
        <w:rPr>
          <w:b/>
        </w:rPr>
      </w:pPr>
      <w:r>
        <w:rPr>
          <w:b/>
        </w:rPr>
        <w:t xml:space="preserve">REPLY </w:t>
      </w:r>
      <w:r w:rsidR="00583D94" w:rsidRPr="00DE7420">
        <w:rPr>
          <w:b/>
        </w:rPr>
        <w:t xml:space="preserve">COMMENTS </w:t>
      </w:r>
    </w:p>
    <w:p w:rsidR="00583D94" w:rsidRPr="00DE7420" w:rsidRDefault="00583D94" w:rsidP="00DE7420">
      <w:pPr>
        <w:jc w:val="center"/>
        <w:rPr>
          <w:b/>
        </w:rPr>
      </w:pPr>
      <w:r w:rsidRPr="00DE7420">
        <w:rPr>
          <w:b/>
        </w:rPr>
        <w:t>BY</w:t>
      </w:r>
    </w:p>
    <w:p w:rsidR="000C2FD2" w:rsidRDefault="00583D94" w:rsidP="00DE7420">
      <w:pPr>
        <w:pBdr>
          <w:bottom w:val="single" w:sz="12" w:space="1" w:color="auto"/>
        </w:pBdr>
        <w:jc w:val="center"/>
        <w:rPr>
          <w:b/>
        </w:rPr>
      </w:pPr>
      <w:r w:rsidRPr="00DE7420">
        <w:rPr>
          <w:b/>
        </w:rPr>
        <w:t>THE OFFICE OF THE OHIO CONSUMERS’ COUNSEL</w:t>
      </w:r>
    </w:p>
    <w:p w:rsidR="00DE7420" w:rsidRDefault="00DE7420" w:rsidP="00DE7420">
      <w:pPr>
        <w:pBdr>
          <w:bottom w:val="single" w:sz="12" w:space="1" w:color="auto"/>
        </w:pBdr>
        <w:jc w:val="center"/>
        <w:rPr>
          <w:b/>
        </w:rPr>
      </w:pPr>
    </w:p>
    <w:p w:rsidR="00DE7420" w:rsidRPr="00DE7420" w:rsidRDefault="00DE7420" w:rsidP="00DE74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0C2FD2" w:rsidRDefault="000C2FD2">
      <w:pPr>
        <w:pStyle w:val="BodyTextIndent"/>
        <w:spacing w:line="240" w:lineRule="auto"/>
        <w:ind w:firstLine="0"/>
        <w:rPr>
          <w:b/>
          <w:bCs/>
        </w:rPr>
      </w:pPr>
    </w:p>
    <w:p w:rsidR="0045111E" w:rsidRPr="00583D94" w:rsidRDefault="00DE7420" w:rsidP="00DE7420">
      <w:pPr>
        <w:pStyle w:val="Heading1"/>
      </w:pPr>
      <w:r>
        <w:t>I.</w:t>
      </w:r>
      <w:r>
        <w:tab/>
      </w:r>
      <w:r w:rsidR="0045111E" w:rsidRPr="00583D94">
        <w:t>INTRODUCTION</w:t>
      </w:r>
    </w:p>
    <w:p w:rsidR="00C71545" w:rsidRDefault="0053681B" w:rsidP="00DE3701">
      <w:pPr>
        <w:pStyle w:val="BodyTextIndent3"/>
        <w:widowControl w:val="0"/>
        <w:spacing w:line="480" w:lineRule="auto"/>
        <w:ind w:right="-24"/>
        <w:rPr>
          <w:szCs w:val="24"/>
        </w:rPr>
      </w:pPr>
      <w:r>
        <w:t xml:space="preserve">On December 30, 2013, </w:t>
      </w:r>
      <w:r w:rsidR="00DE3701">
        <w:t xml:space="preserve">Dayton Power &amp; Light Company (“DP&amp;L” or “Utility”) </w:t>
      </w:r>
      <w:r>
        <w:t xml:space="preserve">filed its </w:t>
      </w:r>
      <w:r w:rsidR="003A2F81">
        <w:t>Fourth Amended Corporate Separation Plan (“</w:t>
      </w:r>
      <w:r w:rsidR="002D3F12">
        <w:t>Fourth Amended Plan</w:t>
      </w:r>
      <w:r w:rsidR="003A2F81">
        <w:t>”)</w:t>
      </w:r>
      <w:r>
        <w:t xml:space="preserve">. </w:t>
      </w:r>
      <w:r w:rsidR="00C71545">
        <w:t xml:space="preserve">A number of parties filed comments, along with </w:t>
      </w:r>
      <w:r>
        <w:t>the Office of the Ohio Consumers’ Counsel (“OCC”)</w:t>
      </w:r>
      <w:r w:rsidR="00C71545">
        <w:t>.  L</w:t>
      </w:r>
      <w:r w:rsidR="00003122">
        <w:t>imited c</w:t>
      </w:r>
      <w:r>
        <w:t>omments were filed</w:t>
      </w:r>
      <w:r w:rsidR="003A2F81">
        <w:rPr>
          <w:szCs w:val="24"/>
        </w:rPr>
        <w:t xml:space="preserve"> </w:t>
      </w:r>
      <w:r>
        <w:rPr>
          <w:szCs w:val="24"/>
        </w:rPr>
        <w:t>by Direct Energy Services, LLC and Direct Energy Business, LLC (“Direct Energy”), Industrial Energy Users-Ohio (“IEU-Ohio), and the Staff of the Public Utilities Commission of Ohio (“PUCO Staff”).</w:t>
      </w:r>
      <w:r w:rsidR="00003122">
        <w:rPr>
          <w:szCs w:val="24"/>
        </w:rPr>
        <w:t xml:space="preserve">    </w:t>
      </w:r>
    </w:p>
    <w:p w:rsidR="0053681B" w:rsidRDefault="00003122" w:rsidP="00DE3701">
      <w:pPr>
        <w:pStyle w:val="BodyTextIndent3"/>
        <w:widowControl w:val="0"/>
        <w:spacing w:line="480" w:lineRule="auto"/>
        <w:ind w:right="-24"/>
        <w:rPr>
          <w:szCs w:val="24"/>
        </w:rPr>
      </w:pPr>
      <w:r>
        <w:rPr>
          <w:szCs w:val="24"/>
        </w:rPr>
        <w:t>Direct Energy comment</w:t>
      </w:r>
      <w:r w:rsidR="00C71545">
        <w:rPr>
          <w:szCs w:val="24"/>
        </w:rPr>
        <w:t>ed that</w:t>
      </w:r>
      <w:r>
        <w:rPr>
          <w:szCs w:val="24"/>
        </w:rPr>
        <w:t xml:space="preserve"> employees shared by DP&amp;L and an affiliate</w:t>
      </w:r>
      <w:r w:rsidR="00090F2C">
        <w:rPr>
          <w:szCs w:val="24"/>
        </w:rPr>
        <w:t xml:space="preserve"> should </w:t>
      </w:r>
      <w:r>
        <w:rPr>
          <w:szCs w:val="24"/>
        </w:rPr>
        <w:t>not be permitted to participate in the drafting of an electric security plan (“ESP”), market rate offer (“MRO”), or tariff filing.</w:t>
      </w:r>
      <w:r>
        <w:rPr>
          <w:rStyle w:val="FootnoteReference"/>
          <w:szCs w:val="24"/>
        </w:rPr>
        <w:footnoteReference w:id="2"/>
      </w:r>
      <w:r>
        <w:rPr>
          <w:szCs w:val="24"/>
        </w:rPr>
        <w:t xml:space="preserve">  Direct Energy also </w:t>
      </w:r>
      <w:r w:rsidR="00090F2C">
        <w:rPr>
          <w:szCs w:val="24"/>
        </w:rPr>
        <w:t>recommended</w:t>
      </w:r>
      <w:r>
        <w:rPr>
          <w:szCs w:val="24"/>
        </w:rPr>
        <w:t xml:space="preserve"> that DP&amp;L’s Cost Allocation Manual </w:t>
      </w:r>
      <w:r w:rsidR="00C71545">
        <w:rPr>
          <w:szCs w:val="24"/>
        </w:rPr>
        <w:t xml:space="preserve">(“CAM”) </w:t>
      </w:r>
      <w:r>
        <w:rPr>
          <w:szCs w:val="24"/>
        </w:rPr>
        <w:t>include a log, regularly updated, to reflect any employee who has previously worked on a DP&amp;L ESP, MRO, or tariff filing and later becomes an employee of a CRES provider affiliate or broker.</w:t>
      </w:r>
      <w:r>
        <w:rPr>
          <w:rStyle w:val="FootnoteReference"/>
          <w:szCs w:val="24"/>
        </w:rPr>
        <w:footnoteReference w:id="3"/>
      </w:r>
    </w:p>
    <w:p w:rsidR="00003122" w:rsidRDefault="00173629" w:rsidP="00DE3701">
      <w:pPr>
        <w:pStyle w:val="BodyTextIndent3"/>
        <w:widowControl w:val="0"/>
        <w:spacing w:line="480" w:lineRule="auto"/>
        <w:ind w:right="-24"/>
        <w:rPr>
          <w:szCs w:val="24"/>
        </w:rPr>
      </w:pPr>
      <w:r>
        <w:rPr>
          <w:szCs w:val="24"/>
        </w:rPr>
        <w:br w:type="page"/>
      </w:r>
      <w:r w:rsidR="00003122">
        <w:rPr>
          <w:szCs w:val="24"/>
        </w:rPr>
        <w:lastRenderedPageBreak/>
        <w:t>Both IEU-Ohio and PUCO Staff, like OCC</w:t>
      </w:r>
      <w:r w:rsidR="00090F2C">
        <w:rPr>
          <w:szCs w:val="24"/>
        </w:rPr>
        <w:t>,</w:t>
      </w:r>
      <w:r w:rsidR="00003122">
        <w:rPr>
          <w:szCs w:val="24"/>
        </w:rPr>
        <w:t xml:space="preserve"> point out the shortcomings of DP&amp;L’s Application, in that DP&amp;L has not filed its AES US </w:t>
      </w:r>
      <w:r w:rsidR="002D3F12">
        <w:rPr>
          <w:szCs w:val="24"/>
        </w:rPr>
        <w:t xml:space="preserve">Services </w:t>
      </w:r>
      <w:r w:rsidR="00C71545">
        <w:rPr>
          <w:szCs w:val="24"/>
        </w:rPr>
        <w:t xml:space="preserve">(DP&amp;L’s new affiliated service corporation) </w:t>
      </w:r>
      <w:r w:rsidR="00003122">
        <w:rPr>
          <w:szCs w:val="24"/>
        </w:rPr>
        <w:t>C</w:t>
      </w:r>
      <w:r w:rsidR="0051198E">
        <w:rPr>
          <w:szCs w:val="24"/>
        </w:rPr>
        <w:t xml:space="preserve">ost Alignment </w:t>
      </w:r>
      <w:r w:rsidR="002D3F12">
        <w:rPr>
          <w:szCs w:val="24"/>
        </w:rPr>
        <w:t xml:space="preserve">and Allocation </w:t>
      </w:r>
      <w:r w:rsidR="0051198E">
        <w:rPr>
          <w:szCs w:val="24"/>
        </w:rPr>
        <w:t xml:space="preserve">Manual </w:t>
      </w:r>
      <w:r w:rsidR="008A0BB8">
        <w:rPr>
          <w:szCs w:val="24"/>
        </w:rPr>
        <w:t>(“</w:t>
      </w:r>
      <w:r w:rsidR="0051198E">
        <w:rPr>
          <w:szCs w:val="24"/>
        </w:rPr>
        <w:t>C</w:t>
      </w:r>
      <w:r w:rsidR="00003122">
        <w:rPr>
          <w:szCs w:val="24"/>
        </w:rPr>
        <w:t>AAM</w:t>
      </w:r>
      <w:r w:rsidR="008A0BB8">
        <w:rPr>
          <w:szCs w:val="24"/>
        </w:rPr>
        <w:t>”)</w:t>
      </w:r>
      <w:r w:rsidR="00003122">
        <w:rPr>
          <w:szCs w:val="24"/>
        </w:rPr>
        <w:t xml:space="preserve"> for review.  </w:t>
      </w:r>
      <w:r w:rsidR="002D3F12">
        <w:rPr>
          <w:szCs w:val="24"/>
        </w:rPr>
        <w:t xml:space="preserve">PUCO </w:t>
      </w:r>
      <w:r w:rsidR="00003122">
        <w:rPr>
          <w:szCs w:val="24"/>
        </w:rPr>
        <w:t>Staff states that “without the detailed AES US CAAM itself, and thus being unable to review its implementation, Staff recommends that the Commission withhold its approval until the manual has been filed and Staff has conducted a compliance review</w:t>
      </w:r>
      <w:r w:rsidR="0061159F">
        <w:rPr>
          <w:szCs w:val="24"/>
        </w:rPr>
        <w:t>,</w:t>
      </w:r>
      <w:r w:rsidR="008A0BB8">
        <w:rPr>
          <w:szCs w:val="24"/>
        </w:rPr>
        <w:t>”</w:t>
      </w:r>
      <w:r w:rsidR="0061159F">
        <w:rPr>
          <w:szCs w:val="24"/>
        </w:rPr>
        <w:t xml:space="preserve"> before the CAAM is implemented.</w:t>
      </w:r>
      <w:r w:rsidR="0061159F">
        <w:rPr>
          <w:rStyle w:val="FootnoteReference"/>
          <w:szCs w:val="24"/>
        </w:rPr>
        <w:footnoteReference w:id="4"/>
      </w:r>
      <w:r w:rsidR="0061159F">
        <w:rPr>
          <w:szCs w:val="24"/>
        </w:rPr>
        <w:t xml:space="preserve">  </w:t>
      </w:r>
      <w:r w:rsidR="002D3F12">
        <w:rPr>
          <w:szCs w:val="24"/>
        </w:rPr>
        <w:t xml:space="preserve">PUCO </w:t>
      </w:r>
      <w:r w:rsidR="0061159F">
        <w:rPr>
          <w:szCs w:val="24"/>
        </w:rPr>
        <w:t>Staff also proposes some limited textual changes to the Fourth Amended Plan.  IEU-Ohio also comments on the absence of the AES US CAAM.</w:t>
      </w:r>
      <w:r w:rsidR="0061159F">
        <w:rPr>
          <w:rStyle w:val="FootnoteReference"/>
          <w:szCs w:val="24"/>
        </w:rPr>
        <w:footnoteReference w:id="5"/>
      </w:r>
      <w:r w:rsidR="001254F8">
        <w:rPr>
          <w:szCs w:val="24"/>
        </w:rPr>
        <w:t xml:space="preserve">  Finally, both PUCO Staff and IEU-Ohio recommend that DP&amp;L’s </w:t>
      </w:r>
      <w:r w:rsidR="002D3F12">
        <w:rPr>
          <w:szCs w:val="24"/>
        </w:rPr>
        <w:t>Fourth Amended Plan</w:t>
      </w:r>
      <w:r w:rsidR="001254F8">
        <w:rPr>
          <w:szCs w:val="24"/>
        </w:rPr>
        <w:t xml:space="preserve"> be further amended at the time </w:t>
      </w:r>
      <w:r w:rsidR="002D3F12">
        <w:rPr>
          <w:szCs w:val="24"/>
        </w:rPr>
        <w:t xml:space="preserve">DP&amp;L </w:t>
      </w:r>
      <w:r w:rsidR="001254F8">
        <w:rPr>
          <w:szCs w:val="24"/>
        </w:rPr>
        <w:t xml:space="preserve">files the specific details of its </w:t>
      </w:r>
      <w:r w:rsidR="00090F2C">
        <w:rPr>
          <w:szCs w:val="24"/>
        </w:rPr>
        <w:t>p</w:t>
      </w:r>
      <w:r w:rsidR="001254F8">
        <w:rPr>
          <w:szCs w:val="24"/>
        </w:rPr>
        <w:t>lan.</w:t>
      </w:r>
    </w:p>
    <w:p w:rsidR="0053681B" w:rsidRDefault="0053681B" w:rsidP="00DE3701">
      <w:pPr>
        <w:pStyle w:val="BodyTextIndent3"/>
        <w:widowControl w:val="0"/>
        <w:spacing w:line="480" w:lineRule="auto"/>
        <w:ind w:right="-24"/>
        <w:rPr>
          <w:szCs w:val="24"/>
        </w:rPr>
      </w:pPr>
      <w:r>
        <w:rPr>
          <w:szCs w:val="24"/>
        </w:rPr>
        <w:t>OCC now files these limited Reply Comments</w:t>
      </w:r>
      <w:r w:rsidR="0061159F">
        <w:rPr>
          <w:szCs w:val="24"/>
        </w:rPr>
        <w:t xml:space="preserve"> addressing </w:t>
      </w:r>
      <w:r w:rsidR="00D266C4">
        <w:rPr>
          <w:szCs w:val="24"/>
        </w:rPr>
        <w:t xml:space="preserve">Direct Energy, </w:t>
      </w:r>
      <w:r w:rsidR="0061159F">
        <w:rPr>
          <w:szCs w:val="24"/>
        </w:rPr>
        <w:t>IEU-Ohio and PUCO Staff Comments</w:t>
      </w:r>
      <w:r>
        <w:rPr>
          <w:szCs w:val="24"/>
        </w:rPr>
        <w:t>.</w:t>
      </w:r>
      <w:r w:rsidR="007A0A5A">
        <w:rPr>
          <w:szCs w:val="24"/>
        </w:rPr>
        <w:t xml:space="preserve">  </w:t>
      </w:r>
    </w:p>
    <w:p w:rsidR="00173629" w:rsidRDefault="00173629" w:rsidP="00173629">
      <w:pPr>
        <w:pStyle w:val="BodyTextIndent3"/>
        <w:widowControl w:val="0"/>
        <w:spacing w:line="240" w:lineRule="auto"/>
        <w:ind w:right="-24"/>
        <w:rPr>
          <w:szCs w:val="24"/>
        </w:rPr>
      </w:pPr>
    </w:p>
    <w:p w:rsidR="0045111E" w:rsidRDefault="00DE7420" w:rsidP="00DE7420">
      <w:pPr>
        <w:pStyle w:val="Heading1"/>
      </w:pPr>
      <w:r>
        <w:t>II.</w:t>
      </w:r>
      <w:r>
        <w:tab/>
      </w:r>
      <w:r w:rsidR="00531967" w:rsidRPr="00E844D6">
        <w:t>COMMENTS</w:t>
      </w:r>
    </w:p>
    <w:p w:rsidR="00487ABB" w:rsidRPr="00487ABB" w:rsidRDefault="00487ABB" w:rsidP="00173629">
      <w:pPr>
        <w:ind w:left="1440" w:right="720" w:hanging="720"/>
        <w:rPr>
          <w:b/>
        </w:rPr>
      </w:pPr>
      <w:r w:rsidRPr="00487ABB">
        <w:rPr>
          <w:b/>
        </w:rPr>
        <w:t>A.</w:t>
      </w:r>
      <w:r w:rsidRPr="00487ABB">
        <w:rPr>
          <w:b/>
        </w:rPr>
        <w:tab/>
      </w:r>
      <w:r>
        <w:rPr>
          <w:b/>
        </w:rPr>
        <w:t xml:space="preserve">The PUCO Should Require Submission and Review of the AES US Services </w:t>
      </w:r>
      <w:r w:rsidR="002D3F12">
        <w:rPr>
          <w:b/>
        </w:rPr>
        <w:t>Cost Alignment and Allocation Manual</w:t>
      </w:r>
      <w:r>
        <w:rPr>
          <w:b/>
        </w:rPr>
        <w:t xml:space="preserve"> Prior to Approval of DP&amp;L’s Application.</w:t>
      </w:r>
    </w:p>
    <w:p w:rsidR="00487ABB" w:rsidRPr="00487ABB" w:rsidRDefault="00487ABB" w:rsidP="00487ABB"/>
    <w:p w:rsidR="00F0629C" w:rsidRDefault="0061159F" w:rsidP="008121CD">
      <w:pPr>
        <w:spacing w:line="480" w:lineRule="auto"/>
        <w:ind w:firstLine="720"/>
      </w:pPr>
      <w:r>
        <w:t xml:space="preserve">As discussed in OCC’s Comments, </w:t>
      </w:r>
      <w:r w:rsidR="00090F2C">
        <w:t xml:space="preserve">the </w:t>
      </w:r>
      <w:r w:rsidR="00880476">
        <w:t>primary objective of</w:t>
      </w:r>
      <w:r w:rsidR="00090F2C">
        <w:t xml:space="preserve"> corporate separation plans is to </w:t>
      </w:r>
      <w:r w:rsidR="00880476">
        <w:t>prevent unfair competitive advantage and the abuse of market power.</w:t>
      </w:r>
      <w:r w:rsidR="00880476">
        <w:rPr>
          <w:rStyle w:val="FootnoteReference"/>
        </w:rPr>
        <w:footnoteReference w:id="6"/>
      </w:r>
      <w:r w:rsidR="00586F4C">
        <w:t xml:space="preserve">  The ability of a utility or its CRES affiliate(s) to gain an unfair competitive advantage or to abuse market power could harm customers by producing higher </w:t>
      </w:r>
      <w:r w:rsidR="002D3F12">
        <w:t>distribution</w:t>
      </w:r>
      <w:r w:rsidR="00586F4C">
        <w:t xml:space="preserve"> rates or </w:t>
      </w:r>
      <w:r w:rsidR="00586F4C">
        <w:lastRenderedPageBreak/>
        <w:t>reducing competition for generation supply.</w:t>
      </w:r>
      <w:r>
        <w:t xml:space="preserve">  Since </w:t>
      </w:r>
      <w:r w:rsidR="00F846FB">
        <w:t>DP&amp;L’s new affiliated service</w:t>
      </w:r>
      <w:r w:rsidR="00C025AE">
        <w:t>s</w:t>
      </w:r>
      <w:r w:rsidR="00F846FB">
        <w:t xml:space="preserve"> corporation</w:t>
      </w:r>
      <w:r>
        <w:t>, AES US Services,</w:t>
      </w:r>
      <w:r w:rsidR="00F846FB">
        <w:t xml:space="preserve"> may provide services to as many as 13 affiliates, including </w:t>
      </w:r>
      <w:r w:rsidR="00223112">
        <w:t xml:space="preserve">DP&amp;L and </w:t>
      </w:r>
      <w:r w:rsidR="00F846FB">
        <w:t>DPL Energy Resources, Inc.</w:t>
      </w:r>
      <w:r w:rsidR="00977E65">
        <w:t xml:space="preserve"> (“DPLER”)</w:t>
      </w:r>
      <w:r w:rsidR="00F846FB">
        <w:t>,</w:t>
      </w:r>
      <w:r w:rsidR="002D3F12">
        <w:rPr>
          <w:rStyle w:val="FootnoteReference"/>
        </w:rPr>
        <w:footnoteReference w:id="7"/>
      </w:r>
      <w:r w:rsidR="00F846FB">
        <w:t xml:space="preserve"> </w:t>
      </w:r>
      <w:r>
        <w:t xml:space="preserve">it is essential that AES US Services’ </w:t>
      </w:r>
      <w:r w:rsidR="002D3F12">
        <w:t>Cost Alignment and Allocation Manual</w:t>
      </w:r>
      <w:r>
        <w:t xml:space="preserve"> be reviewed.</w:t>
      </w:r>
      <w:r w:rsidR="00090F2C">
        <w:t xml:space="preserve">  </w:t>
      </w:r>
    </w:p>
    <w:p w:rsidR="00F0629C" w:rsidRDefault="00090F2C" w:rsidP="008121CD">
      <w:pPr>
        <w:spacing w:line="480" w:lineRule="auto"/>
        <w:ind w:firstLine="720"/>
      </w:pPr>
      <w:r>
        <w:t xml:space="preserve">If the </w:t>
      </w:r>
      <w:r w:rsidR="002D3F12">
        <w:t>Cost Alignment and Allocation Manual</w:t>
      </w:r>
      <w:r>
        <w:t xml:space="preserve"> does not</w:t>
      </w:r>
      <w:r w:rsidR="0051198E">
        <w:t xml:space="preserve"> properly allocate costs between DP&amp;L affiliates</w:t>
      </w:r>
      <w:r>
        <w:t xml:space="preserve">, then </w:t>
      </w:r>
      <w:r w:rsidR="0051198E">
        <w:t>DP&amp;L’s CRES affiliates may gain an unfair competitive advantage and be improperly subsidized by regulated services</w:t>
      </w:r>
      <w:r>
        <w:t>.</w:t>
      </w:r>
      <w:r w:rsidR="00586F4C">
        <w:t xml:space="preserve">  The result is that regulated utility customers could subsidize competitive services, paying higher distribution rates</w:t>
      </w:r>
      <w:r w:rsidR="00D266C4">
        <w:t xml:space="preserve">.  They could also pay </w:t>
      </w:r>
      <w:r w:rsidR="00586F4C">
        <w:t xml:space="preserve">higher generation rates because subsidization would result in a less competitive retail </w:t>
      </w:r>
      <w:r w:rsidR="00D266C4">
        <w:t xml:space="preserve">generation </w:t>
      </w:r>
      <w:r w:rsidR="00586F4C">
        <w:t xml:space="preserve">market. </w:t>
      </w:r>
      <w:r>
        <w:t xml:space="preserve"> That is why it is so important to review the </w:t>
      </w:r>
      <w:r w:rsidR="002D3F12">
        <w:t>CAAM</w:t>
      </w:r>
      <w:r>
        <w:t xml:space="preserve">. </w:t>
      </w:r>
      <w:r w:rsidR="0061159F">
        <w:t xml:space="preserve">  OCC agrees with IEU-Ohio and PUCO Staff that a thorough review of the manual is necessary prior to </w:t>
      </w:r>
      <w:r w:rsidR="002D3F12">
        <w:t xml:space="preserve">PUCO </w:t>
      </w:r>
      <w:r w:rsidR="0061159F">
        <w:t xml:space="preserve">approval.  </w:t>
      </w:r>
    </w:p>
    <w:p w:rsidR="00940522" w:rsidRDefault="0061159F" w:rsidP="008121CD">
      <w:pPr>
        <w:spacing w:line="480" w:lineRule="auto"/>
        <w:ind w:firstLine="720"/>
      </w:pPr>
      <w:r>
        <w:t>Further, t</w:t>
      </w:r>
      <w:r w:rsidR="00EF2B48">
        <w:t xml:space="preserve">he </w:t>
      </w:r>
      <w:r w:rsidR="00E84735">
        <w:t xml:space="preserve">PUCO </w:t>
      </w:r>
      <w:r w:rsidR="00EF2B48">
        <w:t xml:space="preserve">Staff should exercise its right to audit the </w:t>
      </w:r>
      <w:r w:rsidR="008A0BB8">
        <w:t xml:space="preserve">DP&amp;L </w:t>
      </w:r>
      <w:r w:rsidR="00EF2B48">
        <w:t>CAM</w:t>
      </w:r>
      <w:r w:rsidR="00977E65">
        <w:t xml:space="preserve"> and </w:t>
      </w:r>
      <w:r w:rsidR="008A0BB8">
        <w:t xml:space="preserve">AES US Services </w:t>
      </w:r>
      <w:r w:rsidR="00977E65">
        <w:t>CAAM</w:t>
      </w:r>
      <w:r w:rsidR="00EF2B48">
        <w:t xml:space="preserve"> to ensure compliance with Ohio Adm. Code 4901:1-37-08, which sets forth the requirements for CAM</w:t>
      </w:r>
      <w:r w:rsidR="005A6EEE">
        <w:t>s</w:t>
      </w:r>
      <w:r w:rsidR="00EF2B48">
        <w:t xml:space="preserve">.  </w:t>
      </w:r>
      <w:r w:rsidR="00487ABB">
        <w:t>Finally</w:t>
      </w:r>
      <w:r w:rsidR="00F846FB">
        <w:t xml:space="preserve">, if </w:t>
      </w:r>
      <w:r w:rsidR="008121CD">
        <w:t>parties</w:t>
      </w:r>
      <w:r w:rsidR="00EF2B48">
        <w:t xml:space="preserve">, including the </w:t>
      </w:r>
      <w:r w:rsidR="00E84735">
        <w:t xml:space="preserve">PUCO </w:t>
      </w:r>
      <w:r w:rsidR="00EF2B48">
        <w:t>Staff,</w:t>
      </w:r>
      <w:r w:rsidR="008121CD">
        <w:t xml:space="preserve"> </w:t>
      </w:r>
      <w:r w:rsidR="00DE7420">
        <w:t>identify provisions</w:t>
      </w:r>
      <w:r w:rsidR="00EF2B48">
        <w:t xml:space="preserve"> of the CAM</w:t>
      </w:r>
      <w:r w:rsidR="00977E65">
        <w:t xml:space="preserve"> or CAAM</w:t>
      </w:r>
      <w:r w:rsidR="00EF2B48">
        <w:t xml:space="preserve"> that appear to be deficient or </w:t>
      </w:r>
      <w:r w:rsidR="00C71545">
        <w:t>may</w:t>
      </w:r>
      <w:r w:rsidR="00EF2B48">
        <w:t xml:space="preserve"> allow cross</w:t>
      </w:r>
      <w:r w:rsidR="005C4154">
        <w:t>-</w:t>
      </w:r>
      <w:r w:rsidR="00EF2B48">
        <w:t>sub</w:t>
      </w:r>
      <w:r w:rsidR="00B3161A">
        <w:t>si</w:t>
      </w:r>
      <w:r w:rsidR="00EF2B48">
        <w:t xml:space="preserve">dization to occur, then an evidentiary hearing should be ordered, with opportunities for all parties to present testimony.  </w:t>
      </w:r>
    </w:p>
    <w:p w:rsidR="001254F8" w:rsidRDefault="00487ABB" w:rsidP="00173629">
      <w:pPr>
        <w:ind w:left="1440" w:right="720" w:hanging="720"/>
        <w:rPr>
          <w:b/>
        </w:rPr>
      </w:pPr>
      <w:r>
        <w:rPr>
          <w:b/>
        </w:rPr>
        <w:t>B.</w:t>
      </w:r>
      <w:r>
        <w:rPr>
          <w:b/>
        </w:rPr>
        <w:tab/>
      </w:r>
      <w:r w:rsidR="001254F8">
        <w:rPr>
          <w:b/>
        </w:rPr>
        <w:t>The PUCO Should Ensure That Generation Sales to DP&amp;L’s Affiliate, DPLER, Comply with Statutory Requirements.</w:t>
      </w:r>
    </w:p>
    <w:p w:rsidR="001254F8" w:rsidRPr="00487ABB" w:rsidRDefault="001254F8" w:rsidP="001254F8">
      <w:pPr>
        <w:ind w:left="1440" w:hanging="720"/>
        <w:rPr>
          <w:b/>
        </w:rPr>
      </w:pPr>
    </w:p>
    <w:p w:rsidR="00487ABB" w:rsidRDefault="00487ABB" w:rsidP="00487ABB">
      <w:pPr>
        <w:spacing w:line="480" w:lineRule="auto"/>
        <w:ind w:firstLine="720"/>
      </w:pPr>
      <w:r>
        <w:t xml:space="preserve">Additionally, OCC agrees with IEU-Ohio that the PUCO should specifically review the contract between DP&amp;L and </w:t>
      </w:r>
      <w:r w:rsidR="00F511FE">
        <w:t>DPLER</w:t>
      </w:r>
      <w:r>
        <w:t xml:space="preserve">, to ensure that it complies with R.C. </w:t>
      </w:r>
      <w:r>
        <w:lastRenderedPageBreak/>
        <w:t>4928.17(A)(3).</w:t>
      </w:r>
      <w:r>
        <w:rPr>
          <w:rStyle w:val="FootnoteReference"/>
        </w:rPr>
        <w:footnoteReference w:id="8"/>
      </w:r>
      <w:r>
        <w:t xml:space="preserve">  That section of the Revised Code requires that generation sales to an affiliate be at fully loaded embedded cost.</w:t>
      </w:r>
      <w:r>
        <w:rPr>
          <w:rStyle w:val="FootnoteReference"/>
        </w:rPr>
        <w:footnoteReference w:id="9"/>
      </w:r>
      <w:r w:rsidR="007A0A5A">
        <w:t xml:space="preserve">  </w:t>
      </w:r>
      <w:r w:rsidR="00C71545">
        <w:t xml:space="preserve">If </w:t>
      </w:r>
      <w:r w:rsidR="007A0A5A">
        <w:t>the PUCO determines that such sales have</w:t>
      </w:r>
      <w:r w:rsidR="00C71545">
        <w:t xml:space="preserve"> been at less than fully </w:t>
      </w:r>
      <w:r w:rsidR="00D266C4">
        <w:t xml:space="preserve">loaded </w:t>
      </w:r>
      <w:r w:rsidR="00C71545">
        <w:t xml:space="preserve">embedded cost, </w:t>
      </w:r>
      <w:r w:rsidR="00F469F2">
        <w:t>the Commission should take action to remedy any such violation</w:t>
      </w:r>
      <w:r w:rsidR="00D266C4">
        <w:t>s</w:t>
      </w:r>
      <w:r w:rsidR="008A0BB8">
        <w:t xml:space="preserve"> by requiring adjustment of prices paid by DP&amp;L’s CRES affiliates for power purchased from DP&amp;L</w:t>
      </w:r>
      <w:r w:rsidR="00F469F2">
        <w:t>.</w:t>
      </w:r>
      <w:r w:rsidR="00586F4C">
        <w:t xml:space="preserve">  It is important that DP&amp;L’s affiliates pay fully</w:t>
      </w:r>
      <w:r w:rsidR="00D266C4">
        <w:t xml:space="preserve"> loaded </w:t>
      </w:r>
      <w:r w:rsidR="00586F4C">
        <w:t xml:space="preserve"> embedded cost to ensure that SSO customers are not harmed by subsidizing </w:t>
      </w:r>
      <w:r w:rsidR="00CE42BD">
        <w:t xml:space="preserve">CRES </w:t>
      </w:r>
      <w:r w:rsidR="00586F4C">
        <w:t>affiliate</w:t>
      </w:r>
      <w:r w:rsidR="00CE42BD">
        <w:t>s</w:t>
      </w:r>
      <w:r w:rsidR="00586F4C">
        <w:t xml:space="preserve"> </w:t>
      </w:r>
      <w:r w:rsidR="002D3F12">
        <w:t xml:space="preserve">and </w:t>
      </w:r>
      <w:r w:rsidR="00CE42BD">
        <w:t xml:space="preserve">so </w:t>
      </w:r>
      <w:r w:rsidR="00586F4C">
        <w:t xml:space="preserve">CRES affiliates </w:t>
      </w:r>
      <w:r w:rsidR="00CE42BD">
        <w:t>do not gain an unfair competitive advantage, impacting on rates available in the competitive generation market.</w:t>
      </w:r>
    </w:p>
    <w:p w:rsidR="00116613" w:rsidRDefault="00116613" w:rsidP="00173629">
      <w:pPr>
        <w:pStyle w:val="Heading2"/>
      </w:pPr>
      <w:r>
        <w:t>C.</w:t>
      </w:r>
      <w:r>
        <w:tab/>
        <w:t xml:space="preserve">The PUCO Should Adopt </w:t>
      </w:r>
      <w:r w:rsidR="00173629">
        <w:t>a</w:t>
      </w:r>
      <w:r>
        <w:t xml:space="preserve"> Recommendation Made by Direct Energy.</w:t>
      </w:r>
    </w:p>
    <w:p w:rsidR="00116613" w:rsidRDefault="00116613" w:rsidP="00983E02">
      <w:pPr>
        <w:spacing w:line="480" w:lineRule="auto"/>
        <w:ind w:firstLine="720"/>
      </w:pPr>
      <w:r>
        <w:rPr>
          <w:szCs w:val="24"/>
        </w:rPr>
        <w:t>OCC also concurs with Direct Energy’s recommendations that shared employees not participate in DP&amp;L’s ESP or tariff filings and that shared employee logs prepared in accordance with DP&amp;L’s CAM or AES US Services CAAM reflect employees who have worked on such filings and subsequently gone to work for a CRES affiliate.</w:t>
      </w:r>
    </w:p>
    <w:p w:rsidR="00DE7420" w:rsidRDefault="00DE7420" w:rsidP="00DE7420">
      <w:pPr>
        <w:ind w:firstLine="720"/>
      </w:pPr>
    </w:p>
    <w:p w:rsidR="00C94EC9" w:rsidRDefault="00C94EC9" w:rsidP="00C94EC9">
      <w:pPr>
        <w:spacing w:line="480" w:lineRule="auto"/>
      </w:pPr>
      <w:r>
        <w:rPr>
          <w:b/>
        </w:rPr>
        <w:t>III.</w:t>
      </w:r>
      <w:r>
        <w:rPr>
          <w:b/>
        </w:rPr>
        <w:tab/>
        <w:t>CONCLUSION</w:t>
      </w:r>
    </w:p>
    <w:p w:rsidR="001254F8" w:rsidRDefault="00C94EC9" w:rsidP="001254F8">
      <w:pPr>
        <w:spacing w:line="480" w:lineRule="auto"/>
      </w:pPr>
      <w:r>
        <w:tab/>
      </w:r>
      <w:r w:rsidR="009C2C4F">
        <w:t xml:space="preserve">The PUCO should act to protect consumers.  In this regard, </w:t>
      </w:r>
      <w:r w:rsidR="00487ABB">
        <w:t xml:space="preserve">OCC agrees with IEU-Ohio and PUCO Staff that the </w:t>
      </w:r>
      <w:r>
        <w:t xml:space="preserve">PUCO should </w:t>
      </w:r>
      <w:r w:rsidR="001254F8">
        <w:t xml:space="preserve">require DP&amp;L to submit </w:t>
      </w:r>
      <w:r w:rsidR="002D3F12">
        <w:t xml:space="preserve">the </w:t>
      </w:r>
      <w:r w:rsidR="005E5E5D">
        <w:t>AES US Services</w:t>
      </w:r>
      <w:r w:rsidR="00E84735">
        <w:t>’</w:t>
      </w:r>
      <w:r w:rsidR="005E5E5D">
        <w:t xml:space="preserve"> Cost Alignment and Allocation Manual</w:t>
      </w:r>
      <w:r w:rsidR="001254F8">
        <w:t xml:space="preserve"> for review prior to approval.  Further, the PUCO should ensure that generation sales to DP&amp;L’s affiliate, DPLER, are made at fully loaded embedded costs as </w:t>
      </w:r>
      <w:r w:rsidR="00C71545">
        <w:t>required under</w:t>
      </w:r>
      <w:r w:rsidR="001254F8">
        <w:t xml:space="preserve"> R.C. 4928.17(A)(3).</w:t>
      </w:r>
    </w:p>
    <w:p w:rsidR="00C94EC9" w:rsidRPr="00C94EC9" w:rsidRDefault="00290BA4" w:rsidP="00E81902">
      <w:pPr>
        <w:spacing w:line="480" w:lineRule="auto"/>
        <w:ind w:firstLine="720"/>
      </w:pPr>
      <w:r>
        <w:t xml:space="preserve"> </w:t>
      </w:r>
    </w:p>
    <w:p w:rsidR="008F4B9B" w:rsidRDefault="008F4B9B" w:rsidP="008F4B9B">
      <w:pPr>
        <w:pStyle w:val="BodyTextIndent3"/>
        <w:widowControl w:val="0"/>
        <w:ind w:left="3600" w:right="-672"/>
        <w:rPr>
          <w:szCs w:val="24"/>
        </w:rPr>
      </w:pPr>
      <w:r>
        <w:rPr>
          <w:szCs w:val="24"/>
        </w:rPr>
        <w:lastRenderedPageBreak/>
        <w:t>Respectfully submitted,</w:t>
      </w:r>
    </w:p>
    <w:p w:rsidR="008F4B9B" w:rsidRDefault="008F4B9B" w:rsidP="008F4B9B">
      <w:pPr>
        <w:pStyle w:val="Footer"/>
        <w:tabs>
          <w:tab w:val="clear" w:pos="8640"/>
          <w:tab w:val="left" w:pos="4320"/>
        </w:tabs>
        <w:spacing w:before="240"/>
        <w:rPr>
          <w:sz w:val="24"/>
          <w:szCs w:val="24"/>
        </w:rPr>
      </w:pPr>
      <w:r>
        <w:rPr>
          <w:sz w:val="24"/>
          <w:szCs w:val="24"/>
        </w:rPr>
        <w:tab/>
        <w:t>BRUCE J. WESTON</w:t>
      </w:r>
    </w:p>
    <w:p w:rsidR="008F4B9B" w:rsidRDefault="008F4B9B" w:rsidP="008F4B9B">
      <w:pPr>
        <w:tabs>
          <w:tab w:val="left" w:pos="4320"/>
        </w:tabs>
        <w:rPr>
          <w:szCs w:val="24"/>
        </w:rPr>
      </w:pPr>
      <w:r>
        <w:rPr>
          <w:szCs w:val="24"/>
        </w:rPr>
        <w:tab/>
        <w:t>OHIO CONSUMERS’ COUNSEL</w:t>
      </w:r>
    </w:p>
    <w:p w:rsidR="008F4B9B" w:rsidRDefault="008F4B9B" w:rsidP="008F4B9B">
      <w:pPr>
        <w:tabs>
          <w:tab w:val="left" w:pos="4320"/>
        </w:tabs>
        <w:rPr>
          <w:szCs w:val="24"/>
        </w:rPr>
      </w:pPr>
      <w:r>
        <w:rPr>
          <w:szCs w:val="24"/>
        </w:rPr>
        <w:tab/>
      </w:r>
    </w:p>
    <w:p w:rsidR="008F4B9B" w:rsidRDefault="008F4B9B" w:rsidP="008F4B9B">
      <w:pPr>
        <w:tabs>
          <w:tab w:val="left" w:pos="4320"/>
        </w:tabs>
        <w:rPr>
          <w:i/>
          <w:szCs w:val="24"/>
          <w:u w:val="single"/>
        </w:rPr>
      </w:pPr>
      <w:r>
        <w:rPr>
          <w:szCs w:val="24"/>
        </w:rPr>
        <w:tab/>
      </w:r>
      <w:r>
        <w:rPr>
          <w:i/>
          <w:szCs w:val="24"/>
          <w:u w:val="single"/>
        </w:rPr>
        <w:t xml:space="preserve">/s/ </w:t>
      </w:r>
      <w:r w:rsidR="003516DE">
        <w:rPr>
          <w:i/>
          <w:szCs w:val="24"/>
          <w:u w:val="single"/>
        </w:rPr>
        <w:t>Edmund “Tad” Berger</w:t>
      </w:r>
      <w:r>
        <w:rPr>
          <w:i/>
          <w:szCs w:val="24"/>
          <w:u w:val="single"/>
        </w:rPr>
        <w:tab/>
      </w:r>
      <w:r>
        <w:rPr>
          <w:i/>
          <w:szCs w:val="24"/>
          <w:u w:val="single"/>
        </w:rPr>
        <w:tab/>
      </w:r>
      <w:r>
        <w:rPr>
          <w:i/>
          <w:szCs w:val="24"/>
          <w:u w:val="single"/>
        </w:rPr>
        <w:tab/>
      </w:r>
    </w:p>
    <w:p w:rsidR="008F4B9B" w:rsidRDefault="008F4B9B" w:rsidP="008F4B9B">
      <w:pPr>
        <w:tabs>
          <w:tab w:val="left" w:pos="4320"/>
        </w:tabs>
        <w:rPr>
          <w:szCs w:val="24"/>
        </w:rPr>
      </w:pPr>
      <w:r>
        <w:rPr>
          <w:szCs w:val="24"/>
        </w:rPr>
        <w:tab/>
        <w:t xml:space="preserve">Edmund </w:t>
      </w:r>
      <w:r w:rsidR="003516DE">
        <w:rPr>
          <w:szCs w:val="24"/>
        </w:rPr>
        <w:t xml:space="preserve">“Tad” </w:t>
      </w:r>
      <w:r>
        <w:rPr>
          <w:szCs w:val="24"/>
        </w:rPr>
        <w:t>Berger</w:t>
      </w:r>
      <w:r w:rsidR="008E54D7">
        <w:rPr>
          <w:szCs w:val="24"/>
        </w:rPr>
        <w:t>, Counsel of Record</w:t>
      </w:r>
    </w:p>
    <w:p w:rsidR="008F4B9B" w:rsidRDefault="008F4B9B" w:rsidP="008F4B9B">
      <w:pPr>
        <w:tabs>
          <w:tab w:val="left" w:pos="4320"/>
        </w:tabs>
        <w:rPr>
          <w:szCs w:val="24"/>
        </w:rPr>
      </w:pPr>
      <w:r>
        <w:rPr>
          <w:szCs w:val="24"/>
        </w:rPr>
        <w:tab/>
        <w:t>Assistant Consumers’ Counsel</w:t>
      </w:r>
    </w:p>
    <w:p w:rsidR="008E54D7" w:rsidRDefault="008E54D7" w:rsidP="008F4B9B">
      <w:pPr>
        <w:tabs>
          <w:tab w:val="left" w:pos="4320"/>
        </w:tabs>
        <w:rPr>
          <w:szCs w:val="24"/>
        </w:rPr>
      </w:pPr>
      <w:r>
        <w:rPr>
          <w:szCs w:val="24"/>
        </w:rPr>
        <w:tab/>
        <w:t xml:space="preserve">Maureen </w:t>
      </w:r>
      <w:r w:rsidR="00DE7420">
        <w:rPr>
          <w:szCs w:val="24"/>
        </w:rPr>
        <w:t xml:space="preserve">R. </w:t>
      </w:r>
      <w:r>
        <w:rPr>
          <w:szCs w:val="24"/>
        </w:rPr>
        <w:t>Grady</w:t>
      </w:r>
    </w:p>
    <w:p w:rsidR="008E54D7" w:rsidRDefault="008E54D7" w:rsidP="00DE7420">
      <w:pPr>
        <w:tabs>
          <w:tab w:val="left" w:pos="4320"/>
        </w:tabs>
        <w:rPr>
          <w:szCs w:val="24"/>
        </w:rPr>
      </w:pPr>
      <w:r>
        <w:rPr>
          <w:szCs w:val="24"/>
        </w:rPr>
        <w:tab/>
        <w:t>Assistant Consumers’ Counsel</w:t>
      </w:r>
    </w:p>
    <w:p w:rsidR="00DE7420" w:rsidRDefault="008F4B9B" w:rsidP="00DE7420">
      <w:pPr>
        <w:pStyle w:val="Heading1"/>
        <w:spacing w:after="0"/>
        <w:ind w:left="3240" w:right="-648" w:firstLine="720"/>
      </w:pPr>
      <w:r>
        <w:tab/>
      </w:r>
    </w:p>
    <w:p w:rsidR="008F4B9B" w:rsidRDefault="008F4B9B" w:rsidP="00DE7420">
      <w:pPr>
        <w:pStyle w:val="Heading1"/>
        <w:spacing w:after="0"/>
        <w:ind w:left="3600" w:right="-648" w:firstLine="720"/>
      </w:pPr>
      <w:r>
        <w:t>Office of the Ohio Consumers’ Counsel</w:t>
      </w:r>
    </w:p>
    <w:p w:rsidR="008F4B9B" w:rsidRPr="00DE7420" w:rsidRDefault="008F4B9B" w:rsidP="00DE7420">
      <w:r>
        <w:rPr>
          <w:b/>
        </w:rPr>
        <w:tab/>
      </w:r>
      <w:r w:rsidR="00DE7420">
        <w:rPr>
          <w:b/>
        </w:rPr>
        <w:tab/>
      </w:r>
      <w:r w:rsidR="00DE7420">
        <w:rPr>
          <w:b/>
        </w:rPr>
        <w:tab/>
      </w:r>
      <w:r w:rsidR="00DE7420">
        <w:rPr>
          <w:b/>
        </w:rPr>
        <w:tab/>
      </w:r>
      <w:r w:rsidR="00DE7420">
        <w:rPr>
          <w:b/>
        </w:rPr>
        <w:tab/>
      </w:r>
      <w:r w:rsidR="00DE7420">
        <w:rPr>
          <w:b/>
        </w:rPr>
        <w:tab/>
      </w:r>
      <w:r w:rsidRPr="00DE7420">
        <w:t>10 West Broad Street, Suite 1800</w:t>
      </w:r>
    </w:p>
    <w:p w:rsidR="008F4B9B" w:rsidRPr="00DE7420" w:rsidRDefault="008F4B9B" w:rsidP="00DE7420">
      <w:r w:rsidRPr="00DE7420">
        <w:tab/>
      </w:r>
      <w:r w:rsidR="00DE7420">
        <w:tab/>
      </w:r>
      <w:r w:rsidR="00DE7420">
        <w:tab/>
      </w:r>
      <w:r w:rsidR="00DE7420">
        <w:tab/>
      </w:r>
      <w:r w:rsidR="00DE7420">
        <w:tab/>
      </w:r>
      <w:r w:rsidR="00DE7420">
        <w:tab/>
      </w:r>
      <w:r w:rsidRPr="00DE7420">
        <w:t>Columbus, Ohio 43215-3485</w:t>
      </w:r>
    </w:p>
    <w:p w:rsidR="008F4B9B" w:rsidRDefault="008F4B9B" w:rsidP="00DE7420">
      <w:pPr>
        <w:ind w:left="3600" w:firstLine="720"/>
        <w:rPr>
          <w:szCs w:val="24"/>
        </w:rPr>
      </w:pPr>
      <w:r>
        <w:rPr>
          <w:szCs w:val="24"/>
        </w:rPr>
        <w:t>Telephone: (Berger) (614) 466-1292</w:t>
      </w:r>
    </w:p>
    <w:p w:rsidR="008E54D7" w:rsidRDefault="008E54D7" w:rsidP="00DE7420">
      <w:pPr>
        <w:ind w:left="3600" w:firstLine="720"/>
        <w:rPr>
          <w:szCs w:val="24"/>
        </w:rPr>
      </w:pPr>
      <w:r>
        <w:rPr>
          <w:szCs w:val="24"/>
        </w:rPr>
        <w:t>Telephone:  (Grady) (614) 466-9567</w:t>
      </w:r>
    </w:p>
    <w:p w:rsidR="00173629" w:rsidRDefault="000332E9" w:rsidP="00DE7420">
      <w:pPr>
        <w:ind w:left="3600" w:firstLine="720"/>
        <w:rPr>
          <w:szCs w:val="24"/>
        </w:rPr>
      </w:pPr>
      <w:hyperlink r:id="rId8" w:history="1">
        <w:r w:rsidR="00173629" w:rsidRPr="009B6C12">
          <w:rPr>
            <w:rStyle w:val="Hyperlink"/>
            <w:szCs w:val="24"/>
          </w:rPr>
          <w:t>Edmund.berger@occ.ohio.gov</w:t>
        </w:r>
      </w:hyperlink>
    </w:p>
    <w:p w:rsidR="00173629" w:rsidRDefault="000332E9" w:rsidP="00DE7420">
      <w:pPr>
        <w:ind w:left="3600" w:firstLine="720"/>
        <w:rPr>
          <w:szCs w:val="24"/>
        </w:rPr>
      </w:pPr>
      <w:hyperlink r:id="rId9" w:history="1">
        <w:r w:rsidR="00173629" w:rsidRPr="009B6C12">
          <w:rPr>
            <w:rStyle w:val="Hyperlink"/>
            <w:szCs w:val="24"/>
          </w:rPr>
          <w:t>Maureen.grady@occ.ohio.gov</w:t>
        </w:r>
      </w:hyperlink>
    </w:p>
    <w:p w:rsidR="00F73459" w:rsidRDefault="00F73459" w:rsidP="00DE7420">
      <w:pPr>
        <w:rPr>
          <w:szCs w:val="24"/>
        </w:rPr>
      </w:pPr>
    </w:p>
    <w:p w:rsidR="00B45159" w:rsidRDefault="00B45159" w:rsidP="00DE7420">
      <w:pPr>
        <w:rPr>
          <w:szCs w:val="24"/>
        </w:rPr>
      </w:pPr>
    </w:p>
    <w:p w:rsidR="008F4B9B" w:rsidRDefault="008F4B9B" w:rsidP="008F4B9B">
      <w:pPr>
        <w:rPr>
          <w:szCs w:val="24"/>
        </w:rPr>
      </w:pPr>
    </w:p>
    <w:p w:rsidR="000C2FD2" w:rsidRDefault="000C2FD2">
      <w:pPr>
        <w:jc w:val="center"/>
        <w:rPr>
          <w:b/>
          <w:bCs/>
          <w:u w:val="single"/>
        </w:rPr>
      </w:pPr>
      <w:r>
        <w:rPr>
          <w:szCs w:val="24"/>
        </w:rPr>
        <w:br w:type="page"/>
      </w:r>
      <w:r>
        <w:rPr>
          <w:b/>
          <w:bCs/>
          <w:u w:val="single"/>
        </w:rPr>
        <w:lastRenderedPageBreak/>
        <w:t>CERTIFICATE OF SERVICE</w:t>
      </w:r>
    </w:p>
    <w:p w:rsidR="000C2FD2" w:rsidRDefault="000C2FD2">
      <w:pPr>
        <w:spacing w:line="480" w:lineRule="atLeast"/>
      </w:pPr>
      <w:r>
        <w:tab/>
        <w:t xml:space="preserve">I hereby certify that a copy of </w:t>
      </w:r>
      <w:r w:rsidR="00121388" w:rsidRPr="00121388">
        <w:rPr>
          <w:i/>
        </w:rPr>
        <w:t>Comments</w:t>
      </w:r>
      <w:r w:rsidR="00121388">
        <w:t xml:space="preserve"> </w:t>
      </w:r>
      <w:r>
        <w:t xml:space="preserve">was served on the persons stated below via electronic transmission to the persons listed below, this </w:t>
      </w:r>
      <w:r w:rsidR="0051198E">
        <w:t>19</w:t>
      </w:r>
      <w:r w:rsidR="00121388">
        <w:t>th</w:t>
      </w:r>
      <w:r w:rsidR="00FF1797">
        <w:t xml:space="preserve"> </w:t>
      </w:r>
      <w:r w:rsidR="00384967">
        <w:t xml:space="preserve">day of </w:t>
      </w:r>
      <w:r w:rsidR="00121388">
        <w:t>February</w:t>
      </w:r>
      <w:r w:rsidR="00384967">
        <w:t>, 2014</w:t>
      </w:r>
      <w:r>
        <w:t>.</w:t>
      </w:r>
    </w:p>
    <w:p w:rsidR="000C2FD2" w:rsidRDefault="000C2FD2">
      <w:pPr>
        <w:spacing w:line="480" w:lineRule="atLeast"/>
      </w:pPr>
    </w:p>
    <w:p w:rsidR="000C2FD2" w:rsidRDefault="000C2FD2">
      <w:pPr>
        <w:tabs>
          <w:tab w:val="left" w:pos="4320"/>
        </w:tabs>
        <w:rPr>
          <w:i/>
          <w:u w:val="single"/>
        </w:rPr>
      </w:pPr>
      <w:r>
        <w:tab/>
      </w:r>
      <w:r w:rsidR="008F4B9B">
        <w:rPr>
          <w:i/>
          <w:u w:val="single"/>
        </w:rPr>
        <w:t xml:space="preserve">/s/ </w:t>
      </w:r>
      <w:r w:rsidR="0091287F">
        <w:rPr>
          <w:i/>
          <w:u w:val="single"/>
        </w:rPr>
        <w:t>Edmund “Tad” Berger</w:t>
      </w:r>
      <w:r>
        <w:rPr>
          <w:i/>
          <w:u w:val="single"/>
        </w:rPr>
        <w:tab/>
      </w:r>
      <w:r>
        <w:rPr>
          <w:i/>
          <w:u w:val="single"/>
        </w:rPr>
        <w:tab/>
      </w:r>
      <w:r>
        <w:rPr>
          <w:i/>
          <w:u w:val="single"/>
        </w:rPr>
        <w:tab/>
      </w:r>
    </w:p>
    <w:p w:rsidR="000C2FD2" w:rsidRDefault="000C2FD2">
      <w:pPr>
        <w:tabs>
          <w:tab w:val="left" w:pos="4320"/>
        </w:tabs>
      </w:pPr>
      <w:r>
        <w:tab/>
      </w:r>
      <w:r w:rsidR="0091287F">
        <w:t>Edmund “Tad” Berger</w:t>
      </w:r>
    </w:p>
    <w:p w:rsidR="000C2FD2" w:rsidRDefault="000C2FD2">
      <w:pPr>
        <w:tabs>
          <w:tab w:val="left" w:pos="4320"/>
        </w:tabs>
      </w:pPr>
      <w:r>
        <w:tab/>
        <w:t>Assistant Consumers’ Counsel</w:t>
      </w:r>
    </w:p>
    <w:p w:rsidR="00384967" w:rsidRDefault="00384967" w:rsidP="00DE7420">
      <w:pPr>
        <w:tabs>
          <w:tab w:val="left" w:pos="4320"/>
        </w:tabs>
      </w:pPr>
      <w:r>
        <w:tab/>
      </w:r>
    </w:p>
    <w:p w:rsidR="000C2FD2" w:rsidRDefault="000C2FD2">
      <w:pPr>
        <w:pStyle w:val="CommentSubject"/>
      </w:pPr>
    </w:p>
    <w:p w:rsidR="000C2FD2" w:rsidRDefault="000C2FD2">
      <w:pPr>
        <w:pStyle w:val="CommentText"/>
      </w:pPr>
    </w:p>
    <w:p w:rsidR="000C2FD2" w:rsidRDefault="000C2FD2">
      <w:pPr>
        <w:pStyle w:val="CommentText"/>
        <w:jc w:val="center"/>
        <w:rPr>
          <w:b/>
          <w:u w:val="single"/>
        </w:rPr>
      </w:pPr>
      <w:r>
        <w:rPr>
          <w:b/>
          <w:u w:val="single"/>
        </w:rPr>
        <w:t>SERVICE LIST</w:t>
      </w:r>
    </w:p>
    <w:p w:rsidR="000C2FD2" w:rsidRDefault="000C2FD2">
      <w:pPr>
        <w:pStyle w:val="BodyText"/>
        <w:rPr>
          <w:b/>
          <w:bCs/>
        </w:rPr>
      </w:pPr>
    </w:p>
    <w:p w:rsidR="00A24801" w:rsidRPr="00D266C4" w:rsidRDefault="00A24801" w:rsidP="00A24801">
      <w:pPr>
        <w:jc w:val="both"/>
        <w:rPr>
          <w:b/>
          <w:bCs/>
        </w:rPr>
      </w:pPr>
    </w:p>
    <w:tbl>
      <w:tblPr>
        <w:tblW w:w="0" w:type="auto"/>
        <w:tblLook w:val="01E0" w:firstRow="1" w:lastRow="1" w:firstColumn="1" w:lastColumn="1" w:noHBand="0" w:noVBand="0"/>
      </w:tblPr>
      <w:tblGrid>
        <w:gridCol w:w="4428"/>
        <w:gridCol w:w="4428"/>
      </w:tblGrid>
      <w:tr w:rsidR="00A24801" w:rsidRPr="00D266C4" w:rsidTr="00A24801">
        <w:tc>
          <w:tcPr>
            <w:tcW w:w="4428" w:type="dxa"/>
          </w:tcPr>
          <w:p w:rsidR="00A24801" w:rsidRPr="00D266C4" w:rsidRDefault="000332E9">
            <w:pPr>
              <w:autoSpaceDE w:val="0"/>
              <w:autoSpaceDN w:val="0"/>
              <w:adjustRightInd w:val="0"/>
              <w:rPr>
                <w:bCs/>
              </w:rPr>
            </w:pPr>
            <w:hyperlink r:id="rId10" w:history="1">
              <w:r w:rsidR="00A24801" w:rsidRPr="00D266C4">
                <w:rPr>
                  <w:rStyle w:val="Hyperlink"/>
                  <w:bCs/>
                </w:rPr>
                <w:t>thomas.mcnamee@puc.state.oh.us</w:t>
              </w:r>
            </w:hyperlink>
          </w:p>
          <w:p w:rsidR="00A24801" w:rsidRPr="00D266C4" w:rsidRDefault="000332E9">
            <w:pPr>
              <w:autoSpaceDE w:val="0"/>
              <w:autoSpaceDN w:val="0"/>
              <w:adjustRightInd w:val="0"/>
              <w:rPr>
                <w:rFonts w:eastAsiaTheme="minorHAnsi"/>
                <w:szCs w:val="24"/>
              </w:rPr>
            </w:pPr>
            <w:hyperlink r:id="rId11" w:history="1">
              <w:r w:rsidR="00A24801" w:rsidRPr="00D266C4">
                <w:rPr>
                  <w:rStyle w:val="Hyperlink"/>
                  <w:szCs w:val="24"/>
                </w:rPr>
                <w:t>sam@mwncmh.com</w:t>
              </w:r>
            </w:hyperlink>
          </w:p>
          <w:p w:rsidR="00A24801" w:rsidRPr="00D266C4" w:rsidRDefault="000332E9">
            <w:pPr>
              <w:autoSpaceDE w:val="0"/>
              <w:autoSpaceDN w:val="0"/>
              <w:adjustRightInd w:val="0"/>
              <w:rPr>
                <w:szCs w:val="24"/>
              </w:rPr>
            </w:pPr>
            <w:hyperlink r:id="rId12" w:history="1">
              <w:r w:rsidR="00A24801" w:rsidRPr="00D266C4">
                <w:rPr>
                  <w:rStyle w:val="Hyperlink"/>
                  <w:szCs w:val="24"/>
                </w:rPr>
                <w:t>fdarr@mwncmh.com</w:t>
              </w:r>
            </w:hyperlink>
          </w:p>
          <w:p w:rsidR="00A24801" w:rsidRPr="00D266C4" w:rsidRDefault="000332E9">
            <w:pPr>
              <w:autoSpaceDE w:val="0"/>
              <w:autoSpaceDN w:val="0"/>
              <w:adjustRightInd w:val="0"/>
              <w:rPr>
                <w:szCs w:val="24"/>
              </w:rPr>
            </w:pPr>
            <w:hyperlink r:id="rId13" w:history="1">
              <w:r w:rsidR="00A24801" w:rsidRPr="00D266C4">
                <w:rPr>
                  <w:rStyle w:val="Hyperlink"/>
                  <w:szCs w:val="24"/>
                </w:rPr>
                <w:t>joliker@mwncmh.com</w:t>
              </w:r>
            </w:hyperlink>
          </w:p>
          <w:p w:rsidR="00A24801" w:rsidRPr="00D266C4" w:rsidRDefault="000332E9">
            <w:pPr>
              <w:autoSpaceDE w:val="0"/>
              <w:autoSpaceDN w:val="0"/>
              <w:adjustRightInd w:val="0"/>
              <w:rPr>
                <w:szCs w:val="24"/>
              </w:rPr>
            </w:pPr>
            <w:hyperlink r:id="rId14" w:history="1">
              <w:r w:rsidR="00A24801" w:rsidRPr="00D266C4">
                <w:rPr>
                  <w:rStyle w:val="Hyperlink"/>
                  <w:szCs w:val="24"/>
                </w:rPr>
                <w:t>mpritchard@mwncmh.com</w:t>
              </w:r>
            </w:hyperlink>
          </w:p>
          <w:p w:rsidR="00A24801" w:rsidRPr="00D266C4" w:rsidRDefault="00A24801">
            <w:pPr>
              <w:autoSpaceDE w:val="0"/>
              <w:autoSpaceDN w:val="0"/>
              <w:adjustRightInd w:val="0"/>
              <w:rPr>
                <w:bCs/>
              </w:rPr>
            </w:pPr>
          </w:p>
          <w:p w:rsidR="00A24801" w:rsidRPr="00D266C4" w:rsidRDefault="00A24801">
            <w:pPr>
              <w:autoSpaceDE w:val="0"/>
              <w:autoSpaceDN w:val="0"/>
              <w:adjustRightInd w:val="0"/>
              <w:rPr>
                <w:bCs/>
              </w:rPr>
            </w:pPr>
          </w:p>
          <w:p w:rsidR="00A24801" w:rsidRPr="00D266C4" w:rsidRDefault="00A24801">
            <w:pPr>
              <w:autoSpaceDE w:val="0"/>
              <w:autoSpaceDN w:val="0"/>
              <w:adjustRightInd w:val="0"/>
              <w:rPr>
                <w:bCs/>
              </w:rPr>
            </w:pPr>
            <w:r w:rsidRPr="00D266C4">
              <w:rPr>
                <w:bCs/>
              </w:rPr>
              <w:t>Attorney Examiners:</w:t>
            </w:r>
          </w:p>
          <w:p w:rsidR="00A24801" w:rsidRPr="00D266C4" w:rsidRDefault="000332E9">
            <w:pPr>
              <w:autoSpaceDE w:val="0"/>
              <w:autoSpaceDN w:val="0"/>
              <w:adjustRightInd w:val="0"/>
              <w:rPr>
                <w:bCs/>
              </w:rPr>
            </w:pPr>
            <w:hyperlink r:id="rId15" w:history="1">
              <w:r w:rsidR="00A24801" w:rsidRPr="00D266C4">
                <w:rPr>
                  <w:rStyle w:val="Hyperlink"/>
                  <w:bCs/>
                </w:rPr>
                <w:t>Bryce.mckenney@puc.state.oh.us</w:t>
              </w:r>
            </w:hyperlink>
          </w:p>
          <w:p w:rsidR="00A24801" w:rsidRPr="00D266C4" w:rsidRDefault="000332E9">
            <w:pPr>
              <w:autoSpaceDE w:val="0"/>
              <w:autoSpaceDN w:val="0"/>
              <w:adjustRightInd w:val="0"/>
              <w:rPr>
                <w:bCs/>
              </w:rPr>
            </w:pPr>
            <w:hyperlink r:id="rId16" w:history="1">
              <w:r w:rsidR="00A24801" w:rsidRPr="00D266C4">
                <w:rPr>
                  <w:rStyle w:val="Hyperlink"/>
                  <w:bCs/>
                </w:rPr>
                <w:t>Gregory.price@puc.state.oh.us</w:t>
              </w:r>
            </w:hyperlink>
          </w:p>
        </w:tc>
        <w:tc>
          <w:tcPr>
            <w:tcW w:w="4428" w:type="dxa"/>
          </w:tcPr>
          <w:p w:rsidR="00A24801" w:rsidRPr="00D266C4" w:rsidRDefault="000332E9">
            <w:pPr>
              <w:jc w:val="both"/>
              <w:rPr>
                <w:bCs/>
              </w:rPr>
            </w:pPr>
            <w:hyperlink r:id="rId17" w:history="1">
              <w:r w:rsidR="00A24801" w:rsidRPr="00D266C4">
                <w:rPr>
                  <w:rStyle w:val="Hyperlink"/>
                  <w:bCs/>
                </w:rPr>
                <w:t>Judi.sobecki@dplinc.com</w:t>
              </w:r>
            </w:hyperlink>
          </w:p>
          <w:p w:rsidR="00A24801" w:rsidRPr="00D266C4" w:rsidRDefault="000332E9">
            <w:pPr>
              <w:rPr>
                <w:bCs/>
              </w:rPr>
            </w:pPr>
            <w:hyperlink r:id="rId18" w:history="1">
              <w:r w:rsidR="00A24801" w:rsidRPr="00D266C4">
                <w:rPr>
                  <w:rStyle w:val="Hyperlink"/>
                  <w:bCs/>
                </w:rPr>
                <w:t>cfaruki@ficlaw.com</w:t>
              </w:r>
            </w:hyperlink>
          </w:p>
          <w:p w:rsidR="00A24801" w:rsidRPr="00D266C4" w:rsidRDefault="000332E9">
            <w:pPr>
              <w:rPr>
                <w:bCs/>
              </w:rPr>
            </w:pPr>
            <w:hyperlink r:id="rId19" w:history="1">
              <w:r w:rsidR="00A24801" w:rsidRPr="00D266C4">
                <w:rPr>
                  <w:rStyle w:val="Hyperlink"/>
                  <w:bCs/>
                </w:rPr>
                <w:t>jsharkey@ficlaw.com</w:t>
              </w:r>
            </w:hyperlink>
          </w:p>
          <w:p w:rsidR="00A24801" w:rsidRPr="00D266C4" w:rsidRDefault="000332E9">
            <w:pPr>
              <w:jc w:val="both"/>
              <w:rPr>
                <w:rFonts w:eastAsiaTheme="minorHAnsi"/>
                <w:color w:val="0000FF"/>
                <w:szCs w:val="24"/>
              </w:rPr>
            </w:pPr>
            <w:hyperlink r:id="rId20" w:history="1">
              <w:r w:rsidR="00A24801" w:rsidRPr="00D266C4">
                <w:rPr>
                  <w:rStyle w:val="Hyperlink"/>
                  <w:szCs w:val="24"/>
                </w:rPr>
                <w:t>joseph.clark@directenergy.com</w:t>
              </w:r>
            </w:hyperlink>
          </w:p>
          <w:p w:rsidR="00A24801" w:rsidRPr="00D266C4" w:rsidRDefault="00A24801">
            <w:pPr>
              <w:jc w:val="both"/>
              <w:rPr>
                <w:bCs/>
              </w:rPr>
            </w:pPr>
          </w:p>
        </w:tc>
      </w:tr>
    </w:tbl>
    <w:p w:rsidR="00A24801" w:rsidRDefault="00A24801" w:rsidP="00A24801">
      <w:pPr>
        <w:rPr>
          <w:rFonts w:asciiTheme="minorHAnsi" w:eastAsiaTheme="minorHAnsi" w:hAnsiTheme="minorHAnsi" w:cstheme="minorBidi"/>
          <w:sz w:val="22"/>
          <w:szCs w:val="22"/>
        </w:rPr>
      </w:pPr>
    </w:p>
    <w:p w:rsidR="008C2387" w:rsidRPr="008C2387" w:rsidRDefault="008C2387">
      <w:pPr>
        <w:pStyle w:val="BodyText"/>
        <w:rPr>
          <w:bCs/>
        </w:rPr>
      </w:pPr>
    </w:p>
    <w:sectPr w:rsidR="008C2387" w:rsidRPr="008C2387">
      <w:headerReference w:type="even" r:id="rId21"/>
      <w:headerReference w:type="default" r:id="rId22"/>
      <w:footerReference w:type="default" r:id="rId2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E9" w:rsidRDefault="000332E9">
      <w:r>
        <w:separator/>
      </w:r>
    </w:p>
    <w:p w:rsidR="000332E9" w:rsidRDefault="000332E9"/>
    <w:p w:rsidR="000332E9" w:rsidRDefault="000332E9"/>
  </w:endnote>
  <w:endnote w:type="continuationSeparator" w:id="0">
    <w:p w:rsidR="000332E9" w:rsidRDefault="000332E9">
      <w:r>
        <w:continuationSeparator/>
      </w:r>
    </w:p>
    <w:p w:rsidR="000332E9" w:rsidRDefault="000332E9"/>
    <w:p w:rsidR="000332E9" w:rsidRDefault="000332E9"/>
  </w:endnote>
  <w:endnote w:type="continuationNotice" w:id="1">
    <w:p w:rsidR="000332E9" w:rsidRDefault="0003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3240B">
      <w:rPr>
        <w:rStyle w:val="PageNumber"/>
        <w:noProof/>
        <w:sz w:val="24"/>
        <w:szCs w:val="24"/>
      </w:rPr>
      <w:t>2</w:t>
    </w:r>
    <w:r>
      <w:rPr>
        <w:rStyle w:val="PageNumber"/>
        <w:sz w:val="24"/>
        <w:szCs w:val="24"/>
      </w:rPr>
      <w:fldChar w:fldCharType="end"/>
    </w:r>
  </w:p>
  <w:p w:rsidR="001B0965" w:rsidRDefault="001B0965">
    <w:pPr>
      <w:pStyle w:val="Footer"/>
      <w:framePr w:wrap="around" w:vAnchor="text" w:hAnchor="margin" w:xAlign="center" w:y="1"/>
      <w:rPr>
        <w:rStyle w:val="PageNumber"/>
      </w:rPr>
    </w:pPr>
  </w:p>
  <w:p w:rsidR="001B0965" w:rsidRDefault="001B0965">
    <w:pPr>
      <w:pStyle w:val="Footer"/>
    </w:pPr>
  </w:p>
  <w:p w:rsidR="001B0965" w:rsidRDefault="001B0965"/>
  <w:p w:rsidR="001B0965" w:rsidRDefault="001B0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E9" w:rsidRDefault="000332E9">
      <w:r>
        <w:separator/>
      </w:r>
    </w:p>
  </w:footnote>
  <w:footnote w:type="continuationSeparator" w:id="0">
    <w:p w:rsidR="000332E9" w:rsidRDefault="000332E9">
      <w:r>
        <w:continuationSeparator/>
      </w:r>
    </w:p>
    <w:p w:rsidR="000332E9" w:rsidRDefault="000332E9"/>
    <w:p w:rsidR="000332E9" w:rsidRDefault="000332E9"/>
  </w:footnote>
  <w:footnote w:type="continuationNotice" w:id="1">
    <w:p w:rsidR="000332E9" w:rsidRDefault="000332E9"/>
  </w:footnote>
  <w:footnote w:id="2">
    <w:p w:rsidR="00003122" w:rsidRDefault="00003122" w:rsidP="00173629">
      <w:pPr>
        <w:pStyle w:val="FootnoteText"/>
        <w:spacing w:after="120"/>
      </w:pPr>
      <w:r>
        <w:rPr>
          <w:rStyle w:val="FootnoteReference"/>
        </w:rPr>
        <w:footnoteRef/>
      </w:r>
      <w:r>
        <w:t xml:space="preserve"> Direct Energy Comments at 1.</w:t>
      </w:r>
    </w:p>
  </w:footnote>
  <w:footnote w:id="3">
    <w:p w:rsidR="00003122" w:rsidRDefault="00003122" w:rsidP="00173629">
      <w:pPr>
        <w:pStyle w:val="FootnoteText"/>
        <w:spacing w:after="120"/>
      </w:pPr>
      <w:r>
        <w:rPr>
          <w:rStyle w:val="FootnoteReference"/>
        </w:rPr>
        <w:footnoteRef/>
      </w:r>
      <w:r>
        <w:t xml:space="preserve"> Direct Energy Comments at 2.</w:t>
      </w:r>
    </w:p>
  </w:footnote>
  <w:footnote w:id="4">
    <w:p w:rsidR="0061159F" w:rsidRDefault="0061159F" w:rsidP="00173629">
      <w:pPr>
        <w:pStyle w:val="FootnoteText"/>
        <w:spacing w:after="120"/>
      </w:pPr>
      <w:r>
        <w:rPr>
          <w:rStyle w:val="FootnoteReference"/>
        </w:rPr>
        <w:footnoteRef/>
      </w:r>
      <w:r>
        <w:t xml:space="preserve"> Staff Comments at 3-</w:t>
      </w:r>
      <w:r w:rsidR="00173629">
        <w:t>.</w:t>
      </w:r>
      <w:r>
        <w:t>4</w:t>
      </w:r>
    </w:p>
  </w:footnote>
  <w:footnote w:id="5">
    <w:p w:rsidR="0061159F" w:rsidRDefault="0061159F" w:rsidP="00173629">
      <w:pPr>
        <w:pStyle w:val="FootnoteText"/>
        <w:spacing w:after="120"/>
      </w:pPr>
      <w:r>
        <w:rPr>
          <w:rStyle w:val="FootnoteReference"/>
        </w:rPr>
        <w:footnoteRef/>
      </w:r>
      <w:r>
        <w:t xml:space="preserve"> IEU Ohio Comments at 4-5.</w:t>
      </w:r>
    </w:p>
  </w:footnote>
  <w:footnote w:id="6">
    <w:p w:rsidR="00880476" w:rsidRDefault="00880476" w:rsidP="00173629">
      <w:pPr>
        <w:pStyle w:val="FootnoteText"/>
        <w:spacing w:after="120"/>
      </w:pPr>
      <w:r>
        <w:rPr>
          <w:rStyle w:val="FootnoteReference"/>
        </w:rPr>
        <w:footnoteRef/>
      </w:r>
      <w:r>
        <w:t xml:space="preserve"> R.C. 4928.17(A)(2) and (A)(3)</w:t>
      </w:r>
      <w:r w:rsidR="00DE7420">
        <w:t>.</w:t>
      </w:r>
    </w:p>
  </w:footnote>
  <w:footnote w:id="7">
    <w:p w:rsidR="002D3F12" w:rsidRDefault="002D3F12">
      <w:pPr>
        <w:pStyle w:val="FootnoteText"/>
      </w:pPr>
      <w:r>
        <w:rPr>
          <w:rStyle w:val="FootnoteReference"/>
        </w:rPr>
        <w:footnoteRef/>
      </w:r>
      <w:r>
        <w:t xml:space="preserve"> DP&amp;L Application at 12.</w:t>
      </w:r>
    </w:p>
  </w:footnote>
  <w:footnote w:id="8">
    <w:p w:rsidR="00487ABB" w:rsidRDefault="00487ABB" w:rsidP="00173629">
      <w:pPr>
        <w:pStyle w:val="FootnoteText"/>
        <w:spacing w:after="120"/>
      </w:pPr>
      <w:r>
        <w:rPr>
          <w:rStyle w:val="FootnoteReference"/>
        </w:rPr>
        <w:footnoteRef/>
      </w:r>
      <w:r>
        <w:t xml:space="preserve"> IEU Ohio Comments at 3-4.</w:t>
      </w:r>
    </w:p>
  </w:footnote>
  <w:footnote w:id="9">
    <w:p w:rsidR="00487ABB" w:rsidRPr="00487ABB" w:rsidRDefault="00487ABB" w:rsidP="00173629">
      <w:pPr>
        <w:pStyle w:val="FootnoteText"/>
        <w:spacing w:after="120"/>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Header"/>
    </w:pPr>
  </w:p>
  <w:p w:rsidR="001B0965" w:rsidRDefault="001B0965"/>
  <w:p w:rsidR="001B0965" w:rsidRDefault="001B09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65" w:rsidRDefault="001B0965">
    <w:pPr>
      <w:pStyle w:val="Header"/>
    </w:pPr>
  </w:p>
  <w:p w:rsidR="001B0965" w:rsidRDefault="001B0965"/>
  <w:p w:rsidR="001B0965" w:rsidRDefault="001B0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07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005FA3"/>
    <w:multiLevelType w:val="hybridMultilevel"/>
    <w:tmpl w:val="79229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EB0D92"/>
    <w:multiLevelType w:val="hybridMultilevel"/>
    <w:tmpl w:val="8C5E8AEA"/>
    <w:lvl w:ilvl="0" w:tplc="1F020A9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7"/>
  </w:num>
  <w:num w:numId="4">
    <w:abstractNumId w:val="6"/>
  </w:num>
  <w:num w:numId="5">
    <w:abstractNumId w:val="1"/>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US" w:vendorID="6" w:dllVersion="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87"/>
    <w:rsid w:val="0000300F"/>
    <w:rsid w:val="00003122"/>
    <w:rsid w:val="0000731D"/>
    <w:rsid w:val="00010C8D"/>
    <w:rsid w:val="00010D0B"/>
    <w:rsid w:val="0002591D"/>
    <w:rsid w:val="00026000"/>
    <w:rsid w:val="000332E9"/>
    <w:rsid w:val="0003703A"/>
    <w:rsid w:val="000712F1"/>
    <w:rsid w:val="00073BDC"/>
    <w:rsid w:val="00075B2A"/>
    <w:rsid w:val="0008395A"/>
    <w:rsid w:val="00085EEA"/>
    <w:rsid w:val="00090F2C"/>
    <w:rsid w:val="00091AE1"/>
    <w:rsid w:val="00095DCA"/>
    <w:rsid w:val="000A563C"/>
    <w:rsid w:val="000A5F5D"/>
    <w:rsid w:val="000B70B3"/>
    <w:rsid w:val="000C2FD2"/>
    <w:rsid w:val="000C39F5"/>
    <w:rsid w:val="000C3CEC"/>
    <w:rsid w:val="000D13A9"/>
    <w:rsid w:val="000F741F"/>
    <w:rsid w:val="00100F68"/>
    <w:rsid w:val="001049A9"/>
    <w:rsid w:val="00116613"/>
    <w:rsid w:val="00116E71"/>
    <w:rsid w:val="00121388"/>
    <w:rsid w:val="00125083"/>
    <w:rsid w:val="001254F8"/>
    <w:rsid w:val="00130BC4"/>
    <w:rsid w:val="00130BDF"/>
    <w:rsid w:val="0013143B"/>
    <w:rsid w:val="00136BC6"/>
    <w:rsid w:val="001504C3"/>
    <w:rsid w:val="00153DDD"/>
    <w:rsid w:val="00154412"/>
    <w:rsid w:val="00154FF4"/>
    <w:rsid w:val="00162FD9"/>
    <w:rsid w:val="00163FFC"/>
    <w:rsid w:val="00173629"/>
    <w:rsid w:val="00187D86"/>
    <w:rsid w:val="0019089A"/>
    <w:rsid w:val="001948A4"/>
    <w:rsid w:val="00197203"/>
    <w:rsid w:val="001B069E"/>
    <w:rsid w:val="001B0965"/>
    <w:rsid w:val="001B24D7"/>
    <w:rsid w:val="001C3FCC"/>
    <w:rsid w:val="001C67D1"/>
    <w:rsid w:val="001D5049"/>
    <w:rsid w:val="001E3CD7"/>
    <w:rsid w:val="001F3E74"/>
    <w:rsid w:val="0022204D"/>
    <w:rsid w:val="00223112"/>
    <w:rsid w:val="0024349E"/>
    <w:rsid w:val="00251C83"/>
    <w:rsid w:val="00263FB7"/>
    <w:rsid w:val="00290BA4"/>
    <w:rsid w:val="00293C12"/>
    <w:rsid w:val="00294799"/>
    <w:rsid w:val="00294CBF"/>
    <w:rsid w:val="00296ABC"/>
    <w:rsid w:val="002A054E"/>
    <w:rsid w:val="002A1785"/>
    <w:rsid w:val="002A328F"/>
    <w:rsid w:val="002B5C61"/>
    <w:rsid w:val="002C1BDC"/>
    <w:rsid w:val="002C5095"/>
    <w:rsid w:val="002D3ED0"/>
    <w:rsid w:val="002D3F12"/>
    <w:rsid w:val="003428FC"/>
    <w:rsid w:val="003516DE"/>
    <w:rsid w:val="0035214F"/>
    <w:rsid w:val="00352378"/>
    <w:rsid w:val="00354A29"/>
    <w:rsid w:val="00365420"/>
    <w:rsid w:val="00384967"/>
    <w:rsid w:val="00392A36"/>
    <w:rsid w:val="00395565"/>
    <w:rsid w:val="003A2F81"/>
    <w:rsid w:val="003B0896"/>
    <w:rsid w:val="003C1E81"/>
    <w:rsid w:val="003E0316"/>
    <w:rsid w:val="003F2265"/>
    <w:rsid w:val="003F7F4D"/>
    <w:rsid w:val="00407E40"/>
    <w:rsid w:val="00416CE8"/>
    <w:rsid w:val="0042274D"/>
    <w:rsid w:val="0042421C"/>
    <w:rsid w:val="00440D96"/>
    <w:rsid w:val="00445583"/>
    <w:rsid w:val="0045111E"/>
    <w:rsid w:val="00461956"/>
    <w:rsid w:val="00470BCB"/>
    <w:rsid w:val="00481FD9"/>
    <w:rsid w:val="00484E01"/>
    <w:rsid w:val="00485A40"/>
    <w:rsid w:val="00487ABB"/>
    <w:rsid w:val="0049530D"/>
    <w:rsid w:val="004A12EE"/>
    <w:rsid w:val="004E5853"/>
    <w:rsid w:val="004F1B59"/>
    <w:rsid w:val="004F381B"/>
    <w:rsid w:val="004F4652"/>
    <w:rsid w:val="00503B36"/>
    <w:rsid w:val="0051198E"/>
    <w:rsid w:val="00514B6F"/>
    <w:rsid w:val="00517CF4"/>
    <w:rsid w:val="00527039"/>
    <w:rsid w:val="0053167B"/>
    <w:rsid w:val="00531967"/>
    <w:rsid w:val="0053681B"/>
    <w:rsid w:val="00553314"/>
    <w:rsid w:val="005565F9"/>
    <w:rsid w:val="00560611"/>
    <w:rsid w:val="005671BE"/>
    <w:rsid w:val="00572C0D"/>
    <w:rsid w:val="00583D94"/>
    <w:rsid w:val="00586F4C"/>
    <w:rsid w:val="005952BF"/>
    <w:rsid w:val="005A6EEE"/>
    <w:rsid w:val="005B2DB5"/>
    <w:rsid w:val="005C4154"/>
    <w:rsid w:val="005D0E18"/>
    <w:rsid w:val="005D1F3C"/>
    <w:rsid w:val="005D5390"/>
    <w:rsid w:val="005E04B9"/>
    <w:rsid w:val="005E5E5D"/>
    <w:rsid w:val="005E701B"/>
    <w:rsid w:val="005E7539"/>
    <w:rsid w:val="005F0555"/>
    <w:rsid w:val="005F2443"/>
    <w:rsid w:val="00600107"/>
    <w:rsid w:val="0060068F"/>
    <w:rsid w:val="0061159F"/>
    <w:rsid w:val="00613030"/>
    <w:rsid w:val="00614F84"/>
    <w:rsid w:val="00626964"/>
    <w:rsid w:val="00640835"/>
    <w:rsid w:val="00643C22"/>
    <w:rsid w:val="0064593C"/>
    <w:rsid w:val="00647C3E"/>
    <w:rsid w:val="006567BE"/>
    <w:rsid w:val="0066463E"/>
    <w:rsid w:val="00673A14"/>
    <w:rsid w:val="0069157B"/>
    <w:rsid w:val="006B0B6D"/>
    <w:rsid w:val="006C4BAA"/>
    <w:rsid w:val="006C5A47"/>
    <w:rsid w:val="006E21A0"/>
    <w:rsid w:val="006E2F97"/>
    <w:rsid w:val="006E3C55"/>
    <w:rsid w:val="006E514E"/>
    <w:rsid w:val="006E742D"/>
    <w:rsid w:val="007017C4"/>
    <w:rsid w:val="00704FBF"/>
    <w:rsid w:val="00731FA1"/>
    <w:rsid w:val="00745C14"/>
    <w:rsid w:val="00750354"/>
    <w:rsid w:val="00764016"/>
    <w:rsid w:val="00764124"/>
    <w:rsid w:val="007A0A5A"/>
    <w:rsid w:val="007B0199"/>
    <w:rsid w:val="007B3D8A"/>
    <w:rsid w:val="007B5B1C"/>
    <w:rsid w:val="007C4684"/>
    <w:rsid w:val="007D0CC2"/>
    <w:rsid w:val="007D3C31"/>
    <w:rsid w:val="007E4C3D"/>
    <w:rsid w:val="007F2A08"/>
    <w:rsid w:val="007F6163"/>
    <w:rsid w:val="008121CD"/>
    <w:rsid w:val="00812910"/>
    <w:rsid w:val="00816079"/>
    <w:rsid w:val="00832AB2"/>
    <w:rsid w:val="008447BC"/>
    <w:rsid w:val="0085369B"/>
    <w:rsid w:val="00856C98"/>
    <w:rsid w:val="00861906"/>
    <w:rsid w:val="00867FA6"/>
    <w:rsid w:val="00880476"/>
    <w:rsid w:val="008855C1"/>
    <w:rsid w:val="008A0BB8"/>
    <w:rsid w:val="008B1391"/>
    <w:rsid w:val="008C2387"/>
    <w:rsid w:val="008C37CA"/>
    <w:rsid w:val="008C7FC7"/>
    <w:rsid w:val="008D2CF1"/>
    <w:rsid w:val="008E54D7"/>
    <w:rsid w:val="008F4B9B"/>
    <w:rsid w:val="0091287F"/>
    <w:rsid w:val="009246FB"/>
    <w:rsid w:val="00925E1D"/>
    <w:rsid w:val="0093240B"/>
    <w:rsid w:val="00937568"/>
    <w:rsid w:val="00940522"/>
    <w:rsid w:val="0094131C"/>
    <w:rsid w:val="0096605E"/>
    <w:rsid w:val="0096658F"/>
    <w:rsid w:val="00972D27"/>
    <w:rsid w:val="00977E65"/>
    <w:rsid w:val="00980D44"/>
    <w:rsid w:val="00983839"/>
    <w:rsid w:val="00983E02"/>
    <w:rsid w:val="009C2C4F"/>
    <w:rsid w:val="009D5876"/>
    <w:rsid w:val="009D5D4D"/>
    <w:rsid w:val="009E24C9"/>
    <w:rsid w:val="009E73FE"/>
    <w:rsid w:val="009F3E41"/>
    <w:rsid w:val="00A027F4"/>
    <w:rsid w:val="00A0415A"/>
    <w:rsid w:val="00A04320"/>
    <w:rsid w:val="00A105F0"/>
    <w:rsid w:val="00A15CB7"/>
    <w:rsid w:val="00A24801"/>
    <w:rsid w:val="00A27E62"/>
    <w:rsid w:val="00A27EB6"/>
    <w:rsid w:val="00A33C82"/>
    <w:rsid w:val="00A47D84"/>
    <w:rsid w:val="00A5365D"/>
    <w:rsid w:val="00A63CB9"/>
    <w:rsid w:val="00A72712"/>
    <w:rsid w:val="00A94F08"/>
    <w:rsid w:val="00AA5969"/>
    <w:rsid w:val="00AB1D1E"/>
    <w:rsid w:val="00AD213B"/>
    <w:rsid w:val="00AD6358"/>
    <w:rsid w:val="00AD7F96"/>
    <w:rsid w:val="00AE0F40"/>
    <w:rsid w:val="00AE56C9"/>
    <w:rsid w:val="00AF7D83"/>
    <w:rsid w:val="00B3161A"/>
    <w:rsid w:val="00B329E6"/>
    <w:rsid w:val="00B433D4"/>
    <w:rsid w:val="00B45159"/>
    <w:rsid w:val="00B62C98"/>
    <w:rsid w:val="00B632F2"/>
    <w:rsid w:val="00B737C7"/>
    <w:rsid w:val="00B747C9"/>
    <w:rsid w:val="00B83591"/>
    <w:rsid w:val="00B9316F"/>
    <w:rsid w:val="00B93551"/>
    <w:rsid w:val="00BB0BB0"/>
    <w:rsid w:val="00BC2533"/>
    <w:rsid w:val="00BD033E"/>
    <w:rsid w:val="00BD558E"/>
    <w:rsid w:val="00BE22F3"/>
    <w:rsid w:val="00BE3647"/>
    <w:rsid w:val="00BF2E56"/>
    <w:rsid w:val="00BF604A"/>
    <w:rsid w:val="00C025AE"/>
    <w:rsid w:val="00C17775"/>
    <w:rsid w:val="00C45304"/>
    <w:rsid w:val="00C52B33"/>
    <w:rsid w:val="00C571F6"/>
    <w:rsid w:val="00C60C13"/>
    <w:rsid w:val="00C71545"/>
    <w:rsid w:val="00C74958"/>
    <w:rsid w:val="00C7705B"/>
    <w:rsid w:val="00C8167B"/>
    <w:rsid w:val="00C94EC9"/>
    <w:rsid w:val="00CB262A"/>
    <w:rsid w:val="00CB47B4"/>
    <w:rsid w:val="00CB53EE"/>
    <w:rsid w:val="00CB6528"/>
    <w:rsid w:val="00CC4076"/>
    <w:rsid w:val="00CC40DC"/>
    <w:rsid w:val="00CD61B0"/>
    <w:rsid w:val="00CE42BD"/>
    <w:rsid w:val="00D0476B"/>
    <w:rsid w:val="00D13B81"/>
    <w:rsid w:val="00D20DF8"/>
    <w:rsid w:val="00D266C4"/>
    <w:rsid w:val="00D374D9"/>
    <w:rsid w:val="00D40011"/>
    <w:rsid w:val="00D409D6"/>
    <w:rsid w:val="00D4679A"/>
    <w:rsid w:val="00D50E14"/>
    <w:rsid w:val="00D706DE"/>
    <w:rsid w:val="00D71338"/>
    <w:rsid w:val="00D932F0"/>
    <w:rsid w:val="00D935CB"/>
    <w:rsid w:val="00DC4767"/>
    <w:rsid w:val="00DD09BB"/>
    <w:rsid w:val="00DD34E1"/>
    <w:rsid w:val="00DE3701"/>
    <w:rsid w:val="00DE3A21"/>
    <w:rsid w:val="00DE7420"/>
    <w:rsid w:val="00DF3C69"/>
    <w:rsid w:val="00DF4AAF"/>
    <w:rsid w:val="00DF69FA"/>
    <w:rsid w:val="00E02ADD"/>
    <w:rsid w:val="00E20432"/>
    <w:rsid w:val="00E34153"/>
    <w:rsid w:val="00E358A3"/>
    <w:rsid w:val="00E7074F"/>
    <w:rsid w:val="00E71ECC"/>
    <w:rsid w:val="00E72470"/>
    <w:rsid w:val="00E81902"/>
    <w:rsid w:val="00E844D6"/>
    <w:rsid w:val="00E84735"/>
    <w:rsid w:val="00E9482B"/>
    <w:rsid w:val="00E96D89"/>
    <w:rsid w:val="00EA031D"/>
    <w:rsid w:val="00EA16CE"/>
    <w:rsid w:val="00ED7EB5"/>
    <w:rsid w:val="00EE2440"/>
    <w:rsid w:val="00EE4343"/>
    <w:rsid w:val="00EF01E0"/>
    <w:rsid w:val="00EF2B48"/>
    <w:rsid w:val="00EF336C"/>
    <w:rsid w:val="00F04218"/>
    <w:rsid w:val="00F0629C"/>
    <w:rsid w:val="00F072C3"/>
    <w:rsid w:val="00F23627"/>
    <w:rsid w:val="00F26DC0"/>
    <w:rsid w:val="00F270F9"/>
    <w:rsid w:val="00F30CC5"/>
    <w:rsid w:val="00F37B4E"/>
    <w:rsid w:val="00F469F2"/>
    <w:rsid w:val="00F4723A"/>
    <w:rsid w:val="00F511FE"/>
    <w:rsid w:val="00F51B43"/>
    <w:rsid w:val="00F614C4"/>
    <w:rsid w:val="00F73459"/>
    <w:rsid w:val="00F846FB"/>
    <w:rsid w:val="00FA065E"/>
    <w:rsid w:val="00FF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84"/>
    <w:rPr>
      <w:sz w:val="24"/>
    </w:rPr>
  </w:style>
  <w:style w:type="paragraph" w:styleId="Heading1">
    <w:name w:val="heading 1"/>
    <w:basedOn w:val="Normal"/>
    <w:next w:val="Normal"/>
    <w:autoRedefine/>
    <w:qFormat/>
    <w:rsid w:val="00DE7420"/>
    <w:pPr>
      <w:keepNext/>
      <w:spacing w:after="240"/>
      <w:ind w:left="720" w:hanging="720"/>
      <w:outlineLvl w:val="0"/>
    </w:pPr>
    <w:rPr>
      <w:b/>
      <w:szCs w:val="24"/>
    </w:rPr>
  </w:style>
  <w:style w:type="paragraph" w:styleId="Heading2">
    <w:name w:val="heading 2"/>
    <w:basedOn w:val="Normal"/>
    <w:next w:val="Normal"/>
    <w:autoRedefine/>
    <w:qFormat/>
    <w:rsid w:val="00977E65"/>
    <w:pPr>
      <w:keepNext/>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CommentTextChar">
    <w:name w:val="Comment Text Char"/>
    <w:link w:val="CommentText"/>
    <w:semiHidden/>
    <w:rsid w:val="003A2F81"/>
    <w:rPr>
      <w:sz w:val="24"/>
      <w:szCs w:val="24"/>
    </w:rPr>
  </w:style>
  <w:style w:type="character" w:customStyle="1" w:styleId="BodyTextIndentChar">
    <w:name w:val="Body Text Indent Char"/>
    <w:link w:val="BodyTextIndent"/>
    <w:rsid w:val="00DE74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D84"/>
    <w:rPr>
      <w:sz w:val="24"/>
    </w:rPr>
  </w:style>
  <w:style w:type="paragraph" w:styleId="Heading1">
    <w:name w:val="heading 1"/>
    <w:basedOn w:val="Normal"/>
    <w:next w:val="Normal"/>
    <w:autoRedefine/>
    <w:qFormat/>
    <w:rsid w:val="00DE7420"/>
    <w:pPr>
      <w:keepNext/>
      <w:spacing w:after="240"/>
      <w:ind w:left="720" w:hanging="720"/>
      <w:outlineLvl w:val="0"/>
    </w:pPr>
    <w:rPr>
      <w:b/>
      <w:szCs w:val="24"/>
    </w:rPr>
  </w:style>
  <w:style w:type="paragraph" w:styleId="Heading2">
    <w:name w:val="heading 2"/>
    <w:basedOn w:val="Normal"/>
    <w:next w:val="Normal"/>
    <w:autoRedefine/>
    <w:qFormat/>
    <w:rsid w:val="00977E65"/>
    <w:pPr>
      <w:keepNext/>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character" w:customStyle="1" w:styleId="HTMLPreformattedChar">
    <w:name w:val="HTML Preformatted Char"/>
    <w:link w:val="HTMLPreformatted"/>
    <w:rsid w:val="00D706DE"/>
    <w:rPr>
      <w:rFonts w:ascii="Courier New" w:eastAsia="Courier New" w:hAnsi="Courier New" w:cs="Courier New"/>
    </w:rPr>
  </w:style>
  <w:style w:type="character" w:customStyle="1" w:styleId="BodyTextChar">
    <w:name w:val="Body Text Char"/>
    <w:link w:val="BodyText"/>
    <w:rsid w:val="00B45159"/>
    <w:rPr>
      <w:sz w:val="24"/>
    </w:rPr>
  </w:style>
  <w:style w:type="character" w:customStyle="1" w:styleId="CommentTextChar">
    <w:name w:val="Comment Text Char"/>
    <w:link w:val="CommentText"/>
    <w:semiHidden/>
    <w:rsid w:val="003A2F81"/>
    <w:rPr>
      <w:sz w:val="24"/>
      <w:szCs w:val="24"/>
    </w:rPr>
  </w:style>
  <w:style w:type="character" w:customStyle="1" w:styleId="BodyTextIndentChar">
    <w:name w:val="Body Text Indent Char"/>
    <w:link w:val="BodyTextIndent"/>
    <w:rsid w:val="00DE74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4358">
      <w:bodyDiv w:val="1"/>
      <w:marLeft w:val="0"/>
      <w:marRight w:val="0"/>
      <w:marTop w:val="0"/>
      <w:marBottom w:val="0"/>
      <w:divBdr>
        <w:top w:val="none" w:sz="0" w:space="0" w:color="auto"/>
        <w:left w:val="none" w:sz="0" w:space="0" w:color="auto"/>
        <w:bottom w:val="none" w:sz="0" w:space="0" w:color="auto"/>
        <w:right w:val="none" w:sz="0" w:space="0" w:color="auto"/>
      </w:divBdr>
    </w:div>
    <w:div w:id="1627080105">
      <w:bodyDiv w:val="1"/>
      <w:marLeft w:val="0"/>
      <w:marRight w:val="0"/>
      <w:marTop w:val="0"/>
      <w:marBottom w:val="0"/>
      <w:divBdr>
        <w:top w:val="none" w:sz="0" w:space="0" w:color="auto"/>
        <w:left w:val="none" w:sz="0" w:space="0" w:color="auto"/>
        <w:bottom w:val="none" w:sz="0" w:space="0" w:color="auto"/>
        <w:right w:val="none" w:sz="0" w:space="0" w:color="auto"/>
      </w:divBdr>
      <w:divsChild>
        <w:div w:id="195000387">
          <w:marLeft w:val="0"/>
          <w:marRight w:val="0"/>
          <w:marTop w:val="0"/>
          <w:marBottom w:val="0"/>
          <w:divBdr>
            <w:top w:val="none" w:sz="0" w:space="0" w:color="auto"/>
            <w:left w:val="none" w:sz="0" w:space="0" w:color="auto"/>
            <w:bottom w:val="none" w:sz="0" w:space="0" w:color="auto"/>
            <w:right w:val="none" w:sz="0" w:space="0" w:color="auto"/>
          </w:divBdr>
        </w:div>
        <w:div w:id="378743096">
          <w:marLeft w:val="0"/>
          <w:marRight w:val="0"/>
          <w:marTop w:val="0"/>
          <w:marBottom w:val="0"/>
          <w:divBdr>
            <w:top w:val="none" w:sz="0" w:space="0" w:color="auto"/>
            <w:left w:val="none" w:sz="0" w:space="0" w:color="auto"/>
            <w:bottom w:val="none" w:sz="0" w:space="0" w:color="auto"/>
            <w:right w:val="none" w:sz="0" w:space="0" w:color="auto"/>
          </w:divBdr>
        </w:div>
        <w:div w:id="718211892">
          <w:marLeft w:val="0"/>
          <w:marRight w:val="0"/>
          <w:marTop w:val="0"/>
          <w:marBottom w:val="0"/>
          <w:divBdr>
            <w:top w:val="none" w:sz="0" w:space="0" w:color="auto"/>
            <w:left w:val="none" w:sz="0" w:space="0" w:color="auto"/>
            <w:bottom w:val="none" w:sz="0" w:space="0" w:color="auto"/>
            <w:right w:val="none" w:sz="0" w:space="0" w:color="auto"/>
          </w:divBdr>
        </w:div>
        <w:div w:id="835419299">
          <w:marLeft w:val="0"/>
          <w:marRight w:val="0"/>
          <w:marTop w:val="0"/>
          <w:marBottom w:val="0"/>
          <w:divBdr>
            <w:top w:val="none" w:sz="0" w:space="0" w:color="auto"/>
            <w:left w:val="none" w:sz="0" w:space="0" w:color="auto"/>
            <w:bottom w:val="none" w:sz="0" w:space="0" w:color="auto"/>
            <w:right w:val="none" w:sz="0" w:space="0" w:color="auto"/>
          </w:divBdr>
        </w:div>
        <w:div w:id="1011418832">
          <w:marLeft w:val="0"/>
          <w:marRight w:val="0"/>
          <w:marTop w:val="0"/>
          <w:marBottom w:val="0"/>
          <w:divBdr>
            <w:top w:val="none" w:sz="0" w:space="0" w:color="auto"/>
            <w:left w:val="none" w:sz="0" w:space="0" w:color="auto"/>
            <w:bottom w:val="none" w:sz="0" w:space="0" w:color="auto"/>
            <w:right w:val="none" w:sz="0" w:space="0" w:color="auto"/>
          </w:divBdr>
        </w:div>
        <w:div w:id="1324352946">
          <w:marLeft w:val="0"/>
          <w:marRight w:val="0"/>
          <w:marTop w:val="0"/>
          <w:marBottom w:val="0"/>
          <w:divBdr>
            <w:top w:val="none" w:sz="0" w:space="0" w:color="auto"/>
            <w:left w:val="none" w:sz="0" w:space="0" w:color="auto"/>
            <w:bottom w:val="none" w:sz="0" w:space="0" w:color="auto"/>
            <w:right w:val="none" w:sz="0" w:space="0" w:color="auto"/>
          </w:divBdr>
        </w:div>
        <w:div w:id="1477643651">
          <w:marLeft w:val="0"/>
          <w:marRight w:val="0"/>
          <w:marTop w:val="0"/>
          <w:marBottom w:val="0"/>
          <w:divBdr>
            <w:top w:val="none" w:sz="0" w:space="0" w:color="auto"/>
            <w:left w:val="none" w:sz="0" w:space="0" w:color="auto"/>
            <w:bottom w:val="none" w:sz="0" w:space="0" w:color="auto"/>
            <w:right w:val="none" w:sz="0" w:space="0" w:color="auto"/>
          </w:divBdr>
        </w:div>
        <w:div w:id="1644969525">
          <w:marLeft w:val="0"/>
          <w:marRight w:val="0"/>
          <w:marTop w:val="0"/>
          <w:marBottom w:val="0"/>
          <w:divBdr>
            <w:top w:val="none" w:sz="0" w:space="0" w:color="auto"/>
            <w:left w:val="none" w:sz="0" w:space="0" w:color="auto"/>
            <w:bottom w:val="none" w:sz="0" w:space="0" w:color="auto"/>
            <w:right w:val="none" w:sz="0" w:space="0" w:color="auto"/>
          </w:divBdr>
        </w:div>
        <w:div w:id="1664776969">
          <w:marLeft w:val="0"/>
          <w:marRight w:val="0"/>
          <w:marTop w:val="0"/>
          <w:marBottom w:val="0"/>
          <w:divBdr>
            <w:top w:val="none" w:sz="0" w:space="0" w:color="auto"/>
            <w:left w:val="none" w:sz="0" w:space="0" w:color="auto"/>
            <w:bottom w:val="none" w:sz="0" w:space="0" w:color="auto"/>
            <w:right w:val="none" w:sz="0" w:space="0" w:color="auto"/>
          </w:divBdr>
        </w:div>
        <w:div w:id="1867717119">
          <w:marLeft w:val="0"/>
          <w:marRight w:val="0"/>
          <w:marTop w:val="0"/>
          <w:marBottom w:val="0"/>
          <w:divBdr>
            <w:top w:val="none" w:sz="0" w:space="0" w:color="auto"/>
            <w:left w:val="none" w:sz="0" w:space="0" w:color="auto"/>
            <w:bottom w:val="none" w:sz="0" w:space="0" w:color="auto"/>
            <w:right w:val="none" w:sz="0" w:space="0" w:color="auto"/>
          </w:divBdr>
        </w:div>
        <w:div w:id="194406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berger@occ.ohio.gov" TargetMode="External"/><Relationship Id="rId13" Type="http://schemas.openxmlformats.org/officeDocument/2006/relationships/hyperlink" Target="mailto:joliker@mwncmh.com" TargetMode="External"/><Relationship Id="rId18" Type="http://schemas.openxmlformats.org/officeDocument/2006/relationships/hyperlink" Target="mailto:cfaruki@ficlaw.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darr@mwncmh.com" TargetMode="External"/><Relationship Id="rId17" Type="http://schemas.openxmlformats.org/officeDocument/2006/relationships/hyperlink" Target="mailto:Judi.sobecki@dplin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regory.price@puc.state.oh.us" TargetMode="External"/><Relationship Id="rId20" Type="http://schemas.openxmlformats.org/officeDocument/2006/relationships/hyperlink" Target="mailto:joseph.clark@direct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m@mwncm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yce.mckenney@puc.state.oh.us" TargetMode="External"/><Relationship Id="rId23" Type="http://schemas.openxmlformats.org/officeDocument/2006/relationships/footer" Target="footer1.xml"/><Relationship Id="rId10" Type="http://schemas.openxmlformats.org/officeDocument/2006/relationships/hyperlink" Target="mailto:thomas.mcnamee@puc.state.oh.us" TargetMode="External"/><Relationship Id="rId19" Type="http://schemas.openxmlformats.org/officeDocument/2006/relationships/hyperlink" Target="mailto:jsharkey@ficlaw.com" TargetMode="Externa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yperlink" Target="mailto:mpritchard@mwncmh.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7474</CharactersWithSpaces>
  <SharedDoc>false</SharedDoc>
  <HyperlinkBase> </HyperlinkBase>
  <HLinks>
    <vt:vector size="12" baseType="variant">
      <vt:variant>
        <vt:i4>5636145</vt:i4>
      </vt:variant>
      <vt:variant>
        <vt:i4>3</vt:i4>
      </vt:variant>
      <vt:variant>
        <vt:i4>0</vt:i4>
      </vt:variant>
      <vt:variant>
        <vt:i4>5</vt:i4>
      </vt:variant>
      <vt:variant>
        <vt:lpwstr>mailto:grady@occ.ohio.gov</vt:lpwstr>
      </vt:variant>
      <vt:variant>
        <vt:lpwstr/>
      </vt:variant>
      <vt:variant>
        <vt:i4>786545</vt:i4>
      </vt:variant>
      <vt:variant>
        <vt:i4>0</vt:i4>
      </vt:variant>
      <vt:variant>
        <vt:i4>0</vt:i4>
      </vt:variant>
      <vt:variant>
        <vt:i4>5</vt:i4>
      </vt:variant>
      <vt:variant>
        <vt:lpwstr>mailto:berger@occ.ohio.gov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2014-02-19T19:57:00Z</cp:lastPrinted>
  <dcterms:created xsi:type="dcterms:W3CDTF">2014-02-19T20:40:00Z</dcterms:created>
  <dcterms:modified xsi:type="dcterms:W3CDTF">2014-02-19T20:43:00Z</dcterms:modified>
  <cp:category> </cp:category>
  <cp:contentStatus> </cp:contentStatus>
</cp:coreProperties>
</file>