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C4010" w:rsidP="003C4010" w14:paraId="0C178134" w14:textId="7B3173A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BEFORE </w:t>
      </w:r>
    </w:p>
    <w:p w:rsidR="003C4010" w:rsidP="003C4010" w14:paraId="7CC451C6" w14:textId="77777777">
      <w:pPr>
        <w:jc w:val="center"/>
        <w:rPr>
          <w:b/>
        </w:rPr>
      </w:pPr>
      <w:r>
        <w:rPr>
          <w:b/>
        </w:rPr>
        <w:t>THE PUBLIC UTILITIES COMMISSION OF OHIO</w:t>
      </w:r>
    </w:p>
    <w:p w:rsidR="003C4010" w:rsidP="003C4010" w14:paraId="12820761" w14:textId="77777777">
      <w:pPr>
        <w:jc w:val="center"/>
        <w:rPr>
          <w:b/>
        </w:rPr>
      </w:pPr>
    </w:p>
    <w:tbl>
      <w:tblPr>
        <w:tblW w:w="9216" w:type="dxa"/>
        <w:tblLook w:val="04A0"/>
      </w:tblPr>
      <w:tblGrid>
        <w:gridCol w:w="3629"/>
        <w:gridCol w:w="961"/>
        <w:gridCol w:w="4626"/>
      </w:tblGrid>
      <w:tr w14:paraId="74C72912" w14:textId="77777777" w:rsidTr="00A06DFE">
        <w:tblPrEx>
          <w:tblW w:w="9216" w:type="dxa"/>
          <w:tblLook w:val="04A0"/>
        </w:tblPrEx>
        <w:trPr>
          <w:trHeight w:val="1150"/>
        </w:trPr>
        <w:tc>
          <w:tcPr>
            <w:tcW w:w="3629" w:type="dxa"/>
          </w:tcPr>
          <w:p w:rsidR="003C4010" w:rsidRPr="00072AED" w:rsidP="003C4010" w14:paraId="2161BDD3" w14:textId="77777777">
            <w:pPr>
              <w:autoSpaceDE w:val="0"/>
              <w:autoSpaceDN w:val="0"/>
              <w:adjustRightInd w:val="0"/>
            </w:pPr>
            <w:r w:rsidRPr="00072AED">
              <w:t xml:space="preserve">In </w:t>
            </w:r>
            <w:r w:rsidR="00A06DFE">
              <w:t>the Matter of the Motion to Modify the Exemption Granted to the East Ohio Gas Company d/b/a Dominion Energy Ohio.</w:t>
            </w:r>
          </w:p>
        </w:tc>
        <w:tc>
          <w:tcPr>
            <w:tcW w:w="961" w:type="dxa"/>
          </w:tcPr>
          <w:p w:rsidR="003C4010" w:rsidP="00A06DFE" w14:paraId="3DBC1A39" w14:textId="77777777">
            <w:pPr>
              <w:contextualSpacing/>
              <w:jc w:val="center"/>
            </w:pPr>
            <w:r>
              <w:t>)</w:t>
            </w:r>
          </w:p>
          <w:p w:rsidR="003C4010" w:rsidP="00A06DFE" w14:paraId="7446DCFD" w14:textId="77777777">
            <w:pPr>
              <w:contextualSpacing/>
              <w:jc w:val="center"/>
            </w:pPr>
            <w:r>
              <w:t>)</w:t>
            </w:r>
          </w:p>
          <w:p w:rsidR="003C4010" w:rsidP="00A06DFE" w14:paraId="5D98BF68" w14:textId="77777777">
            <w:pPr>
              <w:contextualSpacing/>
              <w:jc w:val="center"/>
            </w:pPr>
            <w:r>
              <w:t>)</w:t>
            </w:r>
          </w:p>
          <w:p w:rsidR="003C4010" w:rsidP="00A06DFE" w14:paraId="47F3EF64" w14:textId="77777777">
            <w:pPr>
              <w:contextualSpacing/>
              <w:jc w:val="center"/>
            </w:pPr>
            <w:r>
              <w:t>)</w:t>
            </w:r>
          </w:p>
        </w:tc>
        <w:tc>
          <w:tcPr>
            <w:tcW w:w="4626" w:type="dxa"/>
          </w:tcPr>
          <w:p w:rsidR="003C4010" w:rsidP="003C4010" w14:paraId="7433BDC5" w14:textId="77777777">
            <w:pPr>
              <w:ind w:left="382"/>
              <w:contextualSpacing/>
            </w:pPr>
          </w:p>
          <w:p w:rsidR="003C4010" w:rsidP="0013304B" w14:paraId="000424BC" w14:textId="77777777">
            <w:pPr>
              <w:ind w:left="374" w:hanging="259"/>
              <w:contextualSpacing/>
            </w:pPr>
            <w:r>
              <w:t>Case No. 1</w:t>
            </w:r>
            <w:r w:rsidR="00A06DFE">
              <w:t>8</w:t>
            </w:r>
            <w:r>
              <w:t>-14</w:t>
            </w:r>
            <w:r w:rsidR="00A06DFE">
              <w:t>19</w:t>
            </w:r>
            <w:r>
              <w:t>-GA-EXM</w:t>
            </w:r>
          </w:p>
          <w:p w:rsidR="003C4010" w:rsidP="003C4010" w14:paraId="3A01DEA5" w14:textId="77777777">
            <w:pPr>
              <w:ind w:left="382"/>
              <w:contextualSpacing/>
            </w:pPr>
          </w:p>
        </w:tc>
      </w:tr>
    </w:tbl>
    <w:p w:rsidR="003C4010" w:rsidP="003C4010" w14:paraId="177F8A08" w14:textId="77777777">
      <w:pPr>
        <w:pBdr>
          <w:bottom w:val="single" w:sz="12" w:space="1" w:color="auto"/>
        </w:pBdr>
      </w:pPr>
    </w:p>
    <w:p w:rsidR="003C4010" w:rsidP="00BD5F1F" w14:paraId="12DF1D5D" w14:textId="77777777">
      <w:pPr>
        <w:jc w:val="center"/>
        <w:rPr>
          <w:b/>
        </w:rPr>
      </w:pPr>
    </w:p>
    <w:p w:rsidR="003C4010" w:rsidRPr="00BD5F1F" w:rsidP="00BD5F1F" w14:paraId="18444D35" w14:textId="2E1B2749">
      <w:pPr>
        <w:jc w:val="center"/>
        <w:rPr>
          <w:b/>
        </w:rPr>
      </w:pPr>
      <w:r>
        <w:rPr>
          <w:b/>
        </w:rPr>
        <w:t>MEMORANDUM CONTRA MARKETERS</w:t>
      </w:r>
      <w:r w:rsidR="00B90E77">
        <w:rPr>
          <w:b/>
        </w:rPr>
        <w:t>’</w:t>
      </w:r>
      <w:r>
        <w:rPr>
          <w:b/>
        </w:rPr>
        <w:t xml:space="preserve"> MOTION FOR CONTINUANCE</w:t>
      </w:r>
    </w:p>
    <w:p w:rsidR="003C4010" w:rsidRPr="00BD5F1F" w:rsidP="00BD5F1F" w14:paraId="0F52AE4B" w14:textId="77777777">
      <w:pPr>
        <w:jc w:val="center"/>
        <w:rPr>
          <w:b/>
        </w:rPr>
      </w:pPr>
      <w:r w:rsidRPr="00BD5F1F">
        <w:rPr>
          <w:b/>
        </w:rPr>
        <w:t>BY</w:t>
      </w:r>
    </w:p>
    <w:p w:rsidR="003C4010" w:rsidRPr="00BD5F1F" w:rsidP="00BD5F1F" w14:paraId="71F52406" w14:textId="4FB8800C">
      <w:pPr>
        <w:jc w:val="center"/>
        <w:rPr>
          <w:b/>
        </w:rPr>
      </w:pPr>
      <w:r>
        <w:rPr>
          <w:b/>
        </w:rPr>
        <w:t xml:space="preserve">THE </w:t>
      </w:r>
      <w:r w:rsidRPr="00BD5F1F" w:rsidR="004F70C6">
        <w:rPr>
          <w:b/>
        </w:rPr>
        <w:t>OFFICE OF THE OHIO CONSUMERS</w:t>
      </w:r>
      <w:r w:rsidR="00B90E77">
        <w:rPr>
          <w:b/>
        </w:rPr>
        <w:t>’</w:t>
      </w:r>
      <w:r w:rsidRPr="00BD5F1F" w:rsidR="004F70C6">
        <w:rPr>
          <w:b/>
        </w:rPr>
        <w:t xml:space="preserve"> COUNSEL</w:t>
      </w:r>
    </w:p>
    <w:p w:rsidR="00AE590B" w:rsidP="00AE590B" w14:paraId="30989BAB" w14:textId="77777777">
      <w:pPr>
        <w:pBdr>
          <w:bottom w:val="single" w:sz="12" w:space="1" w:color="auto"/>
        </w:pBdr>
      </w:pPr>
    </w:p>
    <w:p w:rsidR="003C4010" w:rsidP="003C4010" w14:paraId="4C06A537" w14:textId="77777777">
      <w:pPr>
        <w:jc w:val="center"/>
        <w:rPr>
          <w:b/>
        </w:rPr>
      </w:pPr>
    </w:p>
    <w:p w:rsidR="00AC4770" w:rsidP="003C4010" w14:paraId="4765801F" w14:textId="62A1E528">
      <w:pPr>
        <w:spacing w:line="480" w:lineRule="auto"/>
        <w:ind w:firstLine="720"/>
        <w:rPr>
          <w:rStyle w:val="dttext"/>
        </w:rPr>
      </w:pPr>
      <w:r>
        <w:rPr>
          <w:rStyle w:val="dttext"/>
        </w:rPr>
        <w:t xml:space="preserve">Today, tomorrow and for every day of the energy </w:t>
      </w:r>
      <w:r w:rsidR="00932B57">
        <w:rPr>
          <w:rStyle w:val="dttext"/>
        </w:rPr>
        <w:t>M</w:t>
      </w:r>
      <w:r>
        <w:rPr>
          <w:rStyle w:val="dttext"/>
        </w:rPr>
        <w:t>arketers’</w:t>
      </w:r>
      <w:r>
        <w:rPr>
          <w:rStyle w:val="FootnoteReference"/>
        </w:rPr>
        <w:footnoteReference w:id="2"/>
      </w:r>
      <w:r>
        <w:rPr>
          <w:rStyle w:val="dttext"/>
        </w:rPr>
        <w:t xml:space="preserve"> requested extension of the case schedule, Ohioans will continue to be ripped off (as they have been for years) by marketers in the Dominion-area monthly variable rate program.</w:t>
      </w:r>
      <w:r w:rsidR="006E01C6">
        <w:rPr>
          <w:rStyle w:val="dttext"/>
        </w:rPr>
        <w:t xml:space="preserve"> The PUCO Staff called it “unconscionable.”</w:t>
      </w:r>
      <w:r>
        <w:rPr>
          <w:rStyle w:val="FootnoteReference"/>
        </w:rPr>
        <w:footnoteReference w:id="3"/>
      </w:r>
      <w:r>
        <w:rPr>
          <w:rStyle w:val="dttext"/>
        </w:rPr>
        <w:t xml:space="preserve"> The PUCO should deny the </w:t>
      </w:r>
      <w:r w:rsidR="00932B57">
        <w:rPr>
          <w:rStyle w:val="dttext"/>
        </w:rPr>
        <w:t>M</w:t>
      </w:r>
      <w:r>
        <w:rPr>
          <w:rStyle w:val="dttext"/>
        </w:rPr>
        <w:t xml:space="preserve">arketers’ extension, which the PUCO already addressed in the </w:t>
      </w:r>
      <w:r w:rsidR="00932B57">
        <w:rPr>
          <w:rStyle w:val="dttext"/>
        </w:rPr>
        <w:t>M</w:t>
      </w:r>
      <w:r>
        <w:rPr>
          <w:rStyle w:val="dttext"/>
        </w:rPr>
        <w:t xml:space="preserve">arketers’ </w:t>
      </w:r>
      <w:r w:rsidR="007A07BA">
        <w:rPr>
          <w:rStyle w:val="dttext"/>
        </w:rPr>
        <w:t xml:space="preserve">previous </w:t>
      </w:r>
      <w:r>
        <w:rPr>
          <w:rStyle w:val="dttext"/>
        </w:rPr>
        <w:t xml:space="preserve">extension request </w:t>
      </w:r>
      <w:r w:rsidR="00AC0230">
        <w:rPr>
          <w:rStyle w:val="dttext"/>
        </w:rPr>
        <w:t xml:space="preserve">four </w:t>
      </w:r>
      <w:r>
        <w:rPr>
          <w:rStyle w:val="dttext"/>
        </w:rPr>
        <w:t xml:space="preserve">weeks ago. The </w:t>
      </w:r>
      <w:r w:rsidR="00932B57">
        <w:rPr>
          <w:rStyle w:val="dttext"/>
        </w:rPr>
        <w:t>M</w:t>
      </w:r>
      <w:r>
        <w:rPr>
          <w:rStyle w:val="dttext"/>
        </w:rPr>
        <w:t>arketers assert that they “</w:t>
      </w:r>
      <w:r w:rsidRPr="00AC4770">
        <w:t>would like sufficient time to prepare a stipulation for consideration and hold further conversations without proceeding with litigation preparation.</w:t>
      </w:r>
      <w:r>
        <w:t>”</w:t>
      </w:r>
      <w:r>
        <w:rPr>
          <w:rStyle w:val="FootnoteReference"/>
        </w:rPr>
        <w:footnoteReference w:id="4"/>
      </w:r>
      <w:r>
        <w:t xml:space="preserve"> They have had more than sufficient time to date </w:t>
      </w:r>
      <w:r w:rsidR="007A07BA">
        <w:t>to</w:t>
      </w:r>
      <w:r>
        <w:t xml:space="preserve"> prepar</w:t>
      </w:r>
      <w:r w:rsidR="007A07BA">
        <w:t>e</w:t>
      </w:r>
      <w:r>
        <w:t xml:space="preserve"> a stipulation. The PUCO’s focus should</w:t>
      </w:r>
      <w:r w:rsidR="002047EE">
        <w:t xml:space="preserve"> now</w:t>
      </w:r>
      <w:r>
        <w:t xml:space="preserve"> be on consumers</w:t>
      </w:r>
      <w:r w:rsidR="002047EE">
        <w:t>, and not</w:t>
      </w:r>
      <w:r>
        <w:t xml:space="preserve"> on marketers who are profiting</w:t>
      </w:r>
      <w:r w:rsidR="00932B57">
        <w:t xml:space="preserve"> from excessive charges</w:t>
      </w:r>
      <w:r>
        <w:t xml:space="preserve"> at consumer expense for every day of delay</w:t>
      </w:r>
      <w:r w:rsidR="002047EE">
        <w:t xml:space="preserve"> they seek (two weeks for filing testimony and three weeks for the hearing)</w:t>
      </w:r>
      <w:r>
        <w:t>.</w:t>
      </w:r>
    </w:p>
    <w:p w:rsidR="00FF1881" w:rsidP="003C4010" w14:paraId="782D8D96" w14:textId="77777777">
      <w:pPr>
        <w:spacing w:line="480" w:lineRule="auto"/>
        <w:ind w:firstLine="720"/>
        <w:rPr>
          <w:rStyle w:val="dttext"/>
        </w:rPr>
        <w:sectPr w:rsidSect="0079082F">
          <w:footerReference w:type="default" r:id="rId6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>
        <w:rPr>
          <w:rStyle w:val="dttext"/>
        </w:rPr>
        <w:t>This case involves a program that randomly assigns customers to gas marketers without the customers</w:t>
      </w:r>
      <w:r w:rsidR="00B90E77">
        <w:rPr>
          <w:rStyle w:val="dttext"/>
        </w:rPr>
        <w:t>’</w:t>
      </w:r>
      <w:r>
        <w:rPr>
          <w:rStyle w:val="dttext"/>
        </w:rPr>
        <w:t xml:space="preserve"> consent and usually at prices that are significantly above market </w:t>
      </w:r>
    </w:p>
    <w:p w:rsidR="007C6969" w:rsidP="003C4010" w14:paraId="33756E9F" w14:textId="321203EE">
      <w:pPr>
        <w:spacing w:line="480" w:lineRule="auto"/>
        <w:ind w:firstLine="720"/>
      </w:pPr>
      <w:r>
        <w:rPr>
          <w:rStyle w:val="dttext"/>
        </w:rPr>
        <w:t>rates.</w:t>
      </w:r>
      <w:r w:rsidR="00B90E77">
        <w:rPr>
          <w:rStyle w:val="dttext"/>
        </w:rPr>
        <w:t xml:space="preserve"> </w:t>
      </w:r>
      <w:r w:rsidR="0056246B">
        <w:t>The Office of the Ohio Consumers</w:t>
      </w:r>
      <w:r w:rsidR="00B90E77">
        <w:t>’</w:t>
      </w:r>
      <w:r w:rsidR="0056246B">
        <w:t xml:space="preserve"> Counsel</w:t>
      </w:r>
      <w:r w:rsidR="00AB2ECA">
        <w:t xml:space="preserve">, on </w:t>
      </w:r>
      <w:r w:rsidR="00CF6D6B">
        <w:t xml:space="preserve">March 9, </w:t>
      </w:r>
      <w:r w:rsidR="00AB2ECA">
        <w:t xml:space="preserve">2018 and then again on </w:t>
      </w:r>
      <w:r w:rsidR="00CF6D6B">
        <w:t>August 15</w:t>
      </w:r>
      <w:r w:rsidR="00AB2ECA">
        <w:t>, 2019,</w:t>
      </w:r>
      <w:r w:rsidR="0056246B">
        <w:t xml:space="preserve"> </w:t>
      </w:r>
      <w:r w:rsidR="00AB2ECA">
        <w:t>requested</w:t>
      </w:r>
      <w:r w:rsidR="00D22593">
        <w:t xml:space="preserve"> that</w:t>
      </w:r>
      <w:r w:rsidR="00AB2ECA">
        <w:t xml:space="preserve"> </w:t>
      </w:r>
      <w:r w:rsidR="0056246B">
        <w:rPr>
          <w:rStyle w:val="dttext"/>
        </w:rPr>
        <w:t>t</w:t>
      </w:r>
      <w:r>
        <w:t>he Public Utilities Commission of Ohio (“PUCO”)</w:t>
      </w:r>
      <w:r w:rsidR="00AB2ECA">
        <w:t xml:space="preserve"> recognize the </w:t>
      </w:r>
      <w:r w:rsidR="00D22593">
        <w:t>“</w:t>
      </w:r>
      <w:r w:rsidR="00D22593">
        <w:rPr>
          <w:rStyle w:val="dttext"/>
        </w:rPr>
        <w:t xml:space="preserve">Monthly Variable Rate” </w:t>
      </w:r>
      <w:r w:rsidR="00AB2ECA">
        <w:t>program as a failed experiment and to cut consumers</w:t>
      </w:r>
      <w:r w:rsidR="00B90E77">
        <w:t>’</w:t>
      </w:r>
      <w:r w:rsidR="00AB2ECA">
        <w:t xml:space="preserve"> losses by ending it.</w:t>
      </w:r>
      <w:r w:rsidR="00B90E77">
        <w:t xml:space="preserve"> </w:t>
      </w:r>
      <w:r w:rsidR="00AB2ECA">
        <w:t xml:space="preserve">Accordingly, the PUCO should </w:t>
      </w:r>
      <w:r>
        <w:t>protect consumers by eliminating the</w:t>
      </w:r>
      <w:r w:rsidR="003A6133">
        <w:rPr>
          <w:rStyle w:val="dttext"/>
        </w:rPr>
        <w:t xml:space="preserve"> “Monthly Variable Rate” program for residential customers in the </w:t>
      </w:r>
      <w:r w:rsidR="003A6133">
        <w:t>Dominion Energy Ohio (“Dominion”) service territory</w:t>
      </w:r>
      <w:r w:rsidR="006B689A">
        <w:t>.</w:t>
      </w:r>
      <w:r w:rsidR="00B90E77">
        <w:t xml:space="preserve"> </w:t>
      </w:r>
    </w:p>
    <w:p w:rsidR="00B1704E" w:rsidP="00B1704E" w14:paraId="7237FB76" w14:textId="74DD13C5">
      <w:pPr>
        <w:spacing w:line="480" w:lineRule="auto"/>
        <w:ind w:firstLine="720"/>
      </w:pPr>
      <w:r>
        <w:t>As stated</w:t>
      </w:r>
      <w:r w:rsidR="007A07BA">
        <w:t xml:space="preserve"> above</w:t>
      </w:r>
      <w:r>
        <w:t>, Marketers</w:t>
      </w:r>
      <w:r w:rsidR="00BA5A0D">
        <w:t xml:space="preserve"> </w:t>
      </w:r>
      <w:r w:rsidR="00E43DB7">
        <w:t>previously sought a 30-day extension of the original procedural schedule in this case (also two days before a deadline)</w:t>
      </w:r>
      <w:r>
        <w:t>.</w:t>
      </w:r>
      <w:r w:rsidR="00501F04">
        <w:t xml:space="preserve"> </w:t>
      </w:r>
      <w:r w:rsidR="007A07BA">
        <w:t>At that time t</w:t>
      </w:r>
      <w:r>
        <w:t xml:space="preserve">hey </w:t>
      </w:r>
      <w:r w:rsidR="00501F04">
        <w:t>argu</w:t>
      </w:r>
      <w:r>
        <w:t>ed</w:t>
      </w:r>
      <w:r w:rsidR="00501F04">
        <w:t>, in part, that more time was needed to allow for continued settlement discussions.</w:t>
      </w:r>
      <w:r>
        <w:rPr>
          <w:rStyle w:val="FootnoteReference"/>
        </w:rPr>
        <w:footnoteReference w:id="5"/>
      </w:r>
      <w:r w:rsidR="00E43DB7">
        <w:t xml:space="preserve"> </w:t>
      </w:r>
      <w:r w:rsidR="00501F04">
        <w:t xml:space="preserve"> T</w:t>
      </w:r>
      <w:r w:rsidR="00E43DB7">
        <w:t xml:space="preserve">he PUCO </w:t>
      </w:r>
      <w:r w:rsidR="00EE6857">
        <w:t xml:space="preserve">denied the full request, granting only </w:t>
      </w:r>
      <w:r w:rsidR="00E43DB7">
        <w:t>a shorter continuance</w:t>
      </w:r>
      <w:r w:rsidR="00EE6857">
        <w:t xml:space="preserve"> of one week</w:t>
      </w:r>
      <w:r w:rsidR="00E43DB7">
        <w:t>.</w:t>
      </w:r>
      <w:r>
        <w:rPr>
          <w:rStyle w:val="FootnoteReference"/>
        </w:rPr>
        <w:footnoteReference w:id="6"/>
      </w:r>
      <w:r w:rsidR="00E43DB7">
        <w:t xml:space="preserve">  </w:t>
      </w:r>
      <w:r w:rsidR="00EE6857">
        <w:t xml:space="preserve">Despite the PUCO’s </w:t>
      </w:r>
      <w:r w:rsidR="007A07BA">
        <w:t>denial of the requested continuance</w:t>
      </w:r>
      <w:r w:rsidR="00EE6857">
        <w:t xml:space="preserve">, the </w:t>
      </w:r>
      <w:r w:rsidR="00E43DB7">
        <w:t xml:space="preserve">Marketers </w:t>
      </w:r>
      <w:r w:rsidR="00EE6857">
        <w:t>on</w:t>
      </w:r>
      <w:r w:rsidR="00AC0230">
        <w:t>c</w:t>
      </w:r>
      <w:r w:rsidR="00EE6857">
        <w:t xml:space="preserve">e again </w:t>
      </w:r>
      <w:r w:rsidR="00E43DB7">
        <w:t>make an eleventh-hour request for a</w:t>
      </w:r>
      <w:r w:rsidR="007A07BA">
        <w:t>n additional</w:t>
      </w:r>
      <w:r w:rsidR="00E43DB7">
        <w:t xml:space="preserve"> </w:t>
      </w:r>
      <w:r w:rsidR="00EE6857">
        <w:t xml:space="preserve">three-week </w:t>
      </w:r>
      <w:r w:rsidR="00E43DB7">
        <w:t>continuance</w:t>
      </w:r>
      <w:r w:rsidR="0022737C">
        <w:t xml:space="preserve"> of the hearing</w:t>
      </w:r>
      <w:r w:rsidR="00501F04">
        <w:t xml:space="preserve">, arguing, again, that </w:t>
      </w:r>
      <w:r w:rsidR="007A07BA">
        <w:t>more</w:t>
      </w:r>
      <w:r w:rsidR="00501F04">
        <w:t xml:space="preserve"> time is still needed to continue settlement discussions</w:t>
      </w:r>
      <w:r w:rsidR="00E43DB7">
        <w:t>.</w:t>
      </w:r>
      <w:r>
        <w:rPr>
          <w:rStyle w:val="FootnoteReference"/>
        </w:rPr>
        <w:footnoteReference w:id="7"/>
      </w:r>
      <w:r w:rsidR="00E63FDF">
        <w:t xml:space="preserve">  T</w:t>
      </w:r>
      <w:r w:rsidR="00B739A1">
        <w:t xml:space="preserve">he Marketers </w:t>
      </w:r>
      <w:r w:rsidR="00E63FDF">
        <w:t>are wrong</w:t>
      </w:r>
      <w:r>
        <w:t xml:space="preserve"> for several reasons</w:t>
      </w:r>
      <w:r w:rsidR="00E63FDF">
        <w:t xml:space="preserve">.  </w:t>
      </w:r>
    </w:p>
    <w:p w:rsidR="00845729" w:rsidP="00B1704E" w14:paraId="312497B1" w14:textId="46324B96">
      <w:pPr>
        <w:spacing w:line="480" w:lineRule="auto"/>
        <w:ind w:firstLine="720"/>
      </w:pPr>
      <w:r>
        <w:t>First, t</w:t>
      </w:r>
      <w:r w:rsidR="00E63FDF">
        <w:t>he</w:t>
      </w:r>
      <w:r w:rsidRPr="006C3BA3" w:rsidR="00E63FDF">
        <w:t xml:space="preserve"> current schedule allow</w:t>
      </w:r>
      <w:r w:rsidR="0022737C">
        <w:t>s</w:t>
      </w:r>
      <w:r w:rsidRPr="006C3BA3" w:rsidR="00E63FDF">
        <w:t xml:space="preserve"> time for settlement negotiations, as needed.</w:t>
      </w:r>
      <w:r w:rsidR="00501F04">
        <w:t xml:space="preserve">  Second, the Marketers’ </w:t>
      </w:r>
      <w:r w:rsidR="00B231C9">
        <w:t>have filed the wrong pleading</w:t>
      </w:r>
      <w:r w:rsidR="007A07BA">
        <w:t xml:space="preserve"> and, therefore, their filing is legally flawed. The Marketers’</w:t>
      </w:r>
      <w:r w:rsidRPr="0016744B" w:rsidR="007A07BA">
        <w:t xml:space="preserve"> motion is essentially an out-of-time interlocutory appeal of the Attorney Examiner’s </w:t>
      </w:r>
      <w:r w:rsidR="007A07BA">
        <w:t xml:space="preserve">prior </w:t>
      </w:r>
      <w:r w:rsidRPr="0016744B" w:rsidR="007A07BA">
        <w:t xml:space="preserve">ruling that </w:t>
      </w:r>
      <w:r w:rsidR="007A07BA">
        <w:t>denied their request for a three-week continuance.</w:t>
      </w:r>
      <w:r w:rsidR="00B231C9">
        <w:t xml:space="preserve">  The Marketers’ apparent unhappiness with th</w:t>
      </w:r>
      <w:r w:rsidR="007A07BA">
        <w:t>at</w:t>
      </w:r>
      <w:r w:rsidR="00B231C9">
        <w:t xml:space="preserve"> ruling should have been addressed under </w:t>
      </w:r>
      <w:r w:rsidR="0022737C">
        <w:t xml:space="preserve">the </w:t>
      </w:r>
      <w:r w:rsidR="00B231C9">
        <w:t>PUCO</w:t>
      </w:r>
      <w:r w:rsidR="0022737C">
        <w:t>’s</w:t>
      </w:r>
      <w:r w:rsidR="00B231C9">
        <w:t xml:space="preserve"> rules by filing an interlocutory appeal (Ohio Adm. Code 4901-1-</w:t>
      </w:r>
      <w:r w:rsidR="00AC0230">
        <w:t>15</w:t>
      </w:r>
      <w:r w:rsidR="00B231C9">
        <w:t xml:space="preserve">), not by </w:t>
      </w:r>
      <w:r w:rsidR="00B231C9">
        <w:t xml:space="preserve">filing another motion. </w:t>
      </w:r>
      <w:r w:rsidRPr="0016744B" w:rsidR="007A07BA">
        <w:t>Any interlocutory appeal of the PUCO’s ruling is too late.</w:t>
      </w:r>
      <w:r>
        <w:rPr>
          <w:vertAlign w:val="superscript"/>
        </w:rPr>
        <w:footnoteReference w:id="8"/>
      </w:r>
      <w:r w:rsidRPr="0016744B" w:rsidR="007A07BA">
        <w:t xml:space="preserve"> </w:t>
      </w:r>
      <w:r w:rsidR="00501F04">
        <w:t xml:space="preserve"> </w:t>
      </w:r>
      <w:r w:rsidRPr="0016744B" w:rsidR="007A07BA">
        <w:t xml:space="preserve">The PUCO should reject </w:t>
      </w:r>
      <w:r w:rsidR="007A07BA">
        <w:t>the Marketers</w:t>
      </w:r>
      <w:r w:rsidRPr="0016744B" w:rsidR="007A07BA">
        <w:t xml:space="preserve">’ request on this ground alone.  </w:t>
      </w:r>
      <w:r>
        <w:t>Third, recent PUCO precedent – in another case involving a market</w:t>
      </w:r>
      <w:r w:rsidR="007A07BA">
        <w:t>er</w:t>
      </w:r>
      <w:r>
        <w:t xml:space="preserve"> (PALMco) ri</w:t>
      </w:r>
      <w:r w:rsidR="007A07BA">
        <w:t>p</w:t>
      </w:r>
      <w:r>
        <w:t>p</w:t>
      </w:r>
      <w:r w:rsidR="007A07BA">
        <w:t>ing</w:t>
      </w:r>
      <w:r>
        <w:t>-off consumers – was to deny a continuance, where OCC sought a continuance for additional case preparation time.</w:t>
      </w:r>
      <w:r>
        <w:rPr>
          <w:vertAlign w:val="superscript"/>
        </w:rPr>
        <w:footnoteReference w:id="9"/>
      </w:r>
    </w:p>
    <w:p w:rsidR="007E7F11" w:rsidP="00845729" w14:paraId="78C4D24F" w14:textId="0973D12B">
      <w:pPr>
        <w:spacing w:line="480" w:lineRule="auto"/>
        <w:ind w:firstLine="720"/>
      </w:pPr>
      <w:r>
        <w:t>Given that the Marketers have not shown good cause, t</w:t>
      </w:r>
      <w:r w:rsidR="00BA5A0D">
        <w:t>he</w:t>
      </w:r>
      <w:r w:rsidR="00592357">
        <w:t xml:space="preserve"> existing</w:t>
      </w:r>
      <w:r w:rsidR="00BA5A0D">
        <w:t xml:space="preserve"> deadlines should remain.</w:t>
      </w:r>
      <w:r w:rsidR="006C3BA3">
        <w:t xml:space="preserve"> </w:t>
      </w:r>
      <w:r w:rsidR="003454DB">
        <w:t xml:space="preserve">If a settlement is filed, the PUCO can then adjust its procedural schedule. </w:t>
      </w:r>
      <w:r w:rsidR="00B1704E">
        <w:t>For its part, OCC will continue to be available for settlement negotiation</w:t>
      </w:r>
      <w:r w:rsidR="00AC0230">
        <w:t>s</w:t>
      </w:r>
      <w:r w:rsidR="00B1704E">
        <w:t xml:space="preserve"> without an extension, as OCC has been to date.</w:t>
      </w:r>
      <w:r w:rsidR="00C542DA">
        <w:t xml:space="preserve">  </w:t>
      </w:r>
    </w:p>
    <w:p w:rsidR="0063392E" w:rsidP="003C4010" w14:paraId="702F920F" w14:textId="1E6FB9F3">
      <w:pPr>
        <w:spacing w:line="480" w:lineRule="auto"/>
        <w:ind w:firstLine="720"/>
      </w:pPr>
      <w:r>
        <w:t xml:space="preserve">The PUCO should </w:t>
      </w:r>
      <w:r w:rsidR="008B2324">
        <w:t>protect consumers and deny the Marketers’</w:t>
      </w:r>
      <w:r w:rsidR="007A07BA">
        <w:t xml:space="preserve"> request for a continuance</w:t>
      </w:r>
      <w:r w:rsidR="008B2324">
        <w:t>.</w:t>
      </w:r>
    </w:p>
    <w:p w:rsidR="0063392E" w14:paraId="3F3D6928" w14:textId="77777777">
      <w:pPr>
        <w:spacing w:after="200" w:line="276" w:lineRule="auto"/>
      </w:pPr>
      <w:r>
        <w:br w:type="page"/>
      </w:r>
    </w:p>
    <w:p w:rsidR="00BA5A0D" w:rsidP="003C4010" w14:paraId="5CAAC5B6" w14:textId="77777777">
      <w:pPr>
        <w:spacing w:line="480" w:lineRule="auto"/>
        <w:ind w:firstLine="720"/>
      </w:pPr>
    </w:p>
    <w:p w:rsidR="005C1DF8" w:rsidRPr="00111435" w:rsidP="00872AC0" w14:paraId="053A8F52" w14:textId="77777777">
      <w:pPr>
        <w:spacing w:line="480" w:lineRule="auto"/>
        <w:ind w:firstLine="4320"/>
      </w:pPr>
      <w:r w:rsidRPr="00111435">
        <w:t>Respectfully submitted,</w:t>
      </w:r>
    </w:p>
    <w:p w:rsidR="005C1DF8" w:rsidRPr="00111435" w:rsidP="005C1DF8" w14:paraId="3298DF68" w14:textId="7887B564">
      <w:pPr>
        <w:ind w:firstLine="4320"/>
      </w:pPr>
      <w:r w:rsidRPr="00111435">
        <w:t>Bruce Weston (0016973)</w:t>
      </w:r>
    </w:p>
    <w:p w:rsidR="005C1DF8" w:rsidRPr="00111435" w:rsidP="005C1DF8" w14:paraId="2DBF6F7A" w14:textId="25649449">
      <w:pPr>
        <w:ind w:firstLine="4320"/>
      </w:pPr>
      <w:r w:rsidRPr="00111435">
        <w:t>Consumers</w:t>
      </w:r>
      <w:r w:rsidR="00B90E77">
        <w:t>’</w:t>
      </w:r>
      <w:r w:rsidRPr="00111435">
        <w:t xml:space="preserve"> Counsel</w:t>
      </w:r>
    </w:p>
    <w:p w:rsidR="005C1DF8" w:rsidRPr="00111435" w:rsidP="005C1DF8" w14:paraId="242454DE" w14:textId="77777777">
      <w:pPr>
        <w:ind w:firstLine="4320"/>
        <w:rPr>
          <w:b/>
          <w:sz w:val="18"/>
          <w:szCs w:val="18"/>
        </w:rPr>
      </w:pPr>
    </w:p>
    <w:p w:rsidR="00A06DFE" w:rsidRPr="00111435" w:rsidP="00A06DFE" w14:paraId="20D88F4F" w14:textId="62655BD5">
      <w:pPr>
        <w:ind w:firstLine="4320"/>
        <w:rPr>
          <w:i/>
          <w:u w:val="single"/>
        </w:rPr>
      </w:pPr>
      <w:r w:rsidRPr="00111435">
        <w:rPr>
          <w:i/>
          <w:u w:val="single"/>
        </w:rPr>
        <w:t xml:space="preserve">/s/ </w:t>
      </w:r>
      <w:r w:rsidR="002F5571">
        <w:rPr>
          <w:i/>
          <w:u w:val="single"/>
        </w:rPr>
        <w:t>Terry L. Etter</w:t>
      </w:r>
      <w:r>
        <w:rPr>
          <w:i/>
          <w:u w:val="single"/>
        </w:rPr>
        <w:tab/>
      </w:r>
      <w:r w:rsidRPr="00111435">
        <w:rPr>
          <w:i/>
          <w:u w:val="single"/>
        </w:rPr>
        <w:tab/>
      </w:r>
      <w:r w:rsidRPr="00111435">
        <w:rPr>
          <w:i/>
          <w:u w:val="single"/>
        </w:rPr>
        <w:tab/>
      </w:r>
    </w:p>
    <w:p w:rsidR="0063392E" w:rsidP="00A06DFE" w14:paraId="7C2C1097" w14:textId="77777777">
      <w:pPr>
        <w:tabs>
          <w:tab w:val="left" w:pos="4320"/>
        </w:tabs>
        <w:ind w:right="-144"/>
      </w:pPr>
      <w:r w:rsidRPr="00432112">
        <w:tab/>
      </w:r>
      <w:r w:rsidRPr="00111435" w:rsidR="002F5571">
        <w:t xml:space="preserve">Terry </w:t>
      </w:r>
      <w:r w:rsidR="002F5571">
        <w:t xml:space="preserve">L. </w:t>
      </w:r>
      <w:r w:rsidRPr="00111435" w:rsidR="002F5571">
        <w:t>Etter (0067445)</w:t>
      </w:r>
    </w:p>
    <w:p w:rsidR="00A06DFE" w:rsidP="00A06DFE" w14:paraId="2EFE8831" w14:textId="6B535E1D">
      <w:pPr>
        <w:tabs>
          <w:tab w:val="left" w:pos="4320"/>
        </w:tabs>
        <w:ind w:right="-144"/>
      </w:pPr>
      <w:r>
        <w:tab/>
      </w:r>
      <w:r w:rsidR="00592357">
        <w:t>Counsel of Record</w:t>
      </w:r>
    </w:p>
    <w:p w:rsidR="00A06DFE" w:rsidRPr="00111435" w:rsidP="00A06DFE" w14:paraId="3610DC22" w14:textId="7F9911C9">
      <w:pPr>
        <w:ind w:firstLine="4320"/>
      </w:pPr>
      <w:r w:rsidRPr="00111435">
        <w:t>Assistant Consumers</w:t>
      </w:r>
      <w:r w:rsidR="00B90E77">
        <w:t>’</w:t>
      </w:r>
      <w:r w:rsidRPr="00111435">
        <w:t xml:space="preserve"> Counsel</w:t>
      </w:r>
    </w:p>
    <w:p w:rsidR="00A06DFE" w:rsidRPr="00111435" w:rsidP="00A06DFE" w14:paraId="3FD9E349" w14:textId="3E126F87">
      <w:pPr>
        <w:spacing w:before="120"/>
        <w:ind w:firstLine="4320"/>
        <w:rPr>
          <w:b/>
        </w:rPr>
      </w:pPr>
      <w:r w:rsidRPr="00111435">
        <w:rPr>
          <w:b/>
        </w:rPr>
        <w:t>Office of the Ohio Consumers</w:t>
      </w:r>
      <w:r w:rsidR="00B90E77">
        <w:rPr>
          <w:b/>
        </w:rPr>
        <w:t>’</w:t>
      </w:r>
      <w:r w:rsidRPr="00111435">
        <w:rPr>
          <w:b/>
        </w:rPr>
        <w:t xml:space="preserve"> Counsel</w:t>
      </w:r>
    </w:p>
    <w:p w:rsidR="00A06DFE" w:rsidRPr="00111435" w:rsidP="00A06DFE" w14:paraId="24F146AE" w14:textId="77777777">
      <w:pPr>
        <w:ind w:firstLine="4320"/>
      </w:pPr>
      <w:r w:rsidRPr="00111435">
        <w:t>65 East State Street, 7</w:t>
      </w:r>
      <w:r w:rsidRPr="00BB7F9D">
        <w:t>th</w:t>
      </w:r>
      <w:r w:rsidRPr="00111435">
        <w:t xml:space="preserve"> Floor</w:t>
      </w:r>
    </w:p>
    <w:p w:rsidR="00A06DFE" w:rsidRPr="00111435" w:rsidP="00A06DFE" w14:paraId="57314EE9" w14:textId="77777777">
      <w:pPr>
        <w:ind w:firstLine="4320"/>
      </w:pPr>
      <w:r w:rsidRPr="00111435">
        <w:t>Columbus, Ohio 43215-4213</w:t>
      </w:r>
    </w:p>
    <w:p w:rsidR="00A06DFE" w:rsidRPr="00111435" w:rsidP="00A06DFE" w14:paraId="22F1A0CC" w14:textId="77777777">
      <w:pPr>
        <w:autoSpaceDE w:val="0"/>
        <w:autoSpaceDN w:val="0"/>
        <w:adjustRightInd w:val="0"/>
        <w:ind w:left="3600" w:firstLine="720"/>
      </w:pPr>
      <w:r w:rsidRPr="00111435">
        <w:t>Telephone [Etter]</w:t>
      </w:r>
      <w:r w:rsidR="00872AC0">
        <w:t>:</w:t>
      </w:r>
      <w:r w:rsidRPr="00111435">
        <w:t xml:space="preserve"> (614) 466-7964</w:t>
      </w:r>
    </w:p>
    <w:p w:rsidR="00A06DFE" w:rsidRPr="00B90E77" w:rsidP="00DA490D" w14:paraId="19999589" w14:textId="77777777">
      <w:pPr>
        <w:ind w:left="4320"/>
        <w:rPr>
          <w:color w:val="0000FF" w:themeColor="hyperlink"/>
          <w:u w:val="single"/>
        </w:rPr>
      </w:pPr>
      <w:r w:rsidRPr="00B90E77">
        <w:rPr>
          <w:color w:val="0000FF" w:themeColor="hyperlink"/>
          <w:u w:val="single"/>
        </w:rPr>
        <w:t>terry.etter@occ.ohio.gov</w:t>
      </w:r>
    </w:p>
    <w:p w:rsidR="00A06DFE" w:rsidP="00A06DFE" w14:paraId="340A7533" w14:textId="04848034">
      <w:pPr>
        <w:widowControl w:val="0"/>
        <w:tabs>
          <w:tab w:val="left" w:pos="4320"/>
          <w:tab w:val="center" w:pos="4680"/>
          <w:tab w:val="right" w:pos="9360"/>
        </w:tabs>
        <w:ind w:left="4320"/>
      </w:pPr>
      <w:r w:rsidRPr="008C0455">
        <w:t>(</w:t>
      </w:r>
      <w:r>
        <w:t>will</w:t>
      </w:r>
      <w:r w:rsidR="00BB7F9D">
        <w:t>ing to</w:t>
      </w:r>
      <w:r>
        <w:t xml:space="preserve"> accept service </w:t>
      </w:r>
      <w:r w:rsidR="00BB7F9D">
        <w:t>by</w:t>
      </w:r>
      <w:r>
        <w:t xml:space="preserve"> e</w:t>
      </w:r>
      <w:r w:rsidR="00BB7F9D">
        <w:t>-</w:t>
      </w:r>
      <w:r>
        <w:t>mail</w:t>
      </w:r>
      <w:r w:rsidRPr="008C0455">
        <w:t>)</w:t>
      </w:r>
    </w:p>
    <w:p w:rsidR="0042037A" w:rsidRPr="00550700" w:rsidP="00A06DFE" w14:paraId="14A23445" w14:textId="77777777">
      <w:pPr>
        <w:widowControl w:val="0"/>
        <w:tabs>
          <w:tab w:val="center" w:pos="4680"/>
          <w:tab w:val="right" w:pos="9360"/>
        </w:tabs>
        <w:ind w:firstLine="4320"/>
        <w:rPr>
          <w:i/>
        </w:rPr>
      </w:pPr>
    </w:p>
    <w:p w:rsidR="0042037A" w:rsidRPr="00025A4A" w:rsidP="0042037A" w14:paraId="09254047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Kimberly W. Bojko (0069402)</w:t>
      </w:r>
    </w:p>
    <w:p w:rsidR="0042037A" w:rsidRPr="00025A4A" w:rsidP="0042037A" w14:paraId="751F9192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Carpenter Lipps &amp; Leland LLP</w:t>
      </w:r>
    </w:p>
    <w:p w:rsidR="0042037A" w:rsidRPr="00025A4A" w:rsidP="0042037A" w14:paraId="57208D91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280 North High Street, Suite 1300</w:t>
      </w:r>
    </w:p>
    <w:p w:rsidR="0042037A" w:rsidRPr="00025A4A" w:rsidP="0042037A" w14:paraId="16E3D383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Columbus, Ohio 43215</w:t>
      </w:r>
    </w:p>
    <w:p w:rsidR="0042037A" w:rsidRPr="00025A4A" w:rsidP="0042037A" w14:paraId="3D360848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Telephone: (614) 365-4100</w:t>
      </w:r>
    </w:p>
    <w:p w:rsidR="0042037A" w:rsidRPr="00025A4A" w:rsidP="0042037A" w14:paraId="5CE874C4" w14:textId="77777777">
      <w:pPr>
        <w:widowControl w:val="0"/>
        <w:tabs>
          <w:tab w:val="center" w:pos="4680"/>
          <w:tab w:val="right" w:pos="9360"/>
        </w:tabs>
        <w:ind w:left="4320"/>
      </w:pPr>
      <w:hyperlink r:id="rId7" w:history="1">
        <w:r w:rsidRPr="00025A4A" w:rsidR="0079082F">
          <w:rPr>
            <w:color w:val="0000FF" w:themeColor="hyperlink"/>
            <w:u w:val="single"/>
          </w:rPr>
          <w:t>bojko@carpenterlipps.com</w:t>
        </w:r>
      </w:hyperlink>
    </w:p>
    <w:p w:rsidR="0042037A" w:rsidRPr="00025A4A" w:rsidP="0042037A" w14:paraId="5CD46F66" w14:textId="77777777">
      <w:pPr>
        <w:widowControl w:val="0"/>
        <w:tabs>
          <w:tab w:val="center" w:pos="4680"/>
          <w:tab w:val="right" w:pos="9360"/>
        </w:tabs>
        <w:ind w:left="4320"/>
      </w:pPr>
      <w:r w:rsidRPr="00025A4A">
        <w:t>(willing to accept service by e-mail)</w:t>
      </w:r>
    </w:p>
    <w:p w:rsidR="0042037A" w:rsidRPr="00025A4A" w:rsidP="0042037A" w14:paraId="5CC280FB" w14:textId="77777777">
      <w:pPr>
        <w:widowControl w:val="0"/>
        <w:tabs>
          <w:tab w:val="center" w:pos="4680"/>
          <w:tab w:val="right" w:pos="9360"/>
        </w:tabs>
        <w:ind w:firstLine="4320"/>
      </w:pPr>
    </w:p>
    <w:p w:rsidR="0042037A" w:rsidRPr="00025A4A" w:rsidP="0042037A" w14:paraId="2CDB10B9" w14:textId="77777777">
      <w:pPr>
        <w:widowControl w:val="0"/>
        <w:tabs>
          <w:tab w:val="center" w:pos="4680"/>
          <w:tab w:val="right" w:pos="9360"/>
        </w:tabs>
        <w:ind w:left="4320"/>
        <w:rPr>
          <w:i/>
        </w:rPr>
      </w:pPr>
      <w:r>
        <w:rPr>
          <w:i/>
        </w:rPr>
        <w:t>Special</w:t>
      </w:r>
      <w:r w:rsidRPr="00025A4A">
        <w:rPr>
          <w:i/>
        </w:rPr>
        <w:t xml:space="preserve"> Counsel for the</w:t>
      </w:r>
    </w:p>
    <w:p w:rsidR="00C9152D" w:rsidP="0031502F" w14:paraId="734B76E5" w14:textId="09D62C6C">
      <w:pPr>
        <w:ind w:left="4320"/>
      </w:pPr>
      <w:r w:rsidRPr="00025A4A">
        <w:rPr>
          <w:i/>
        </w:rPr>
        <w:t>Office of the Ohio Consumers</w:t>
      </w:r>
      <w:r w:rsidR="00B90E77">
        <w:rPr>
          <w:i/>
        </w:rPr>
        <w:t>’</w:t>
      </w:r>
      <w:r w:rsidRPr="00025A4A">
        <w:rPr>
          <w:i/>
        </w:rPr>
        <w:t xml:space="preserve"> Counsel</w:t>
      </w:r>
    </w:p>
    <w:p w:rsidR="00E63FDF" w14:paraId="166A3594" w14:textId="7777777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C1DF8" w:rsidRPr="005C1DF8" w:rsidP="00E16E73" w14:paraId="48ACFC0F" w14:textId="43BBCB11">
      <w:pPr>
        <w:autoSpaceDE w:val="0"/>
        <w:autoSpaceDN w:val="0"/>
        <w:adjustRightInd w:val="0"/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5C1DF8" w:rsidRPr="005C1DF8" w:rsidP="00111435" w14:paraId="2F4E9A6D" w14:textId="3DCEEC08">
      <w:pPr>
        <w:spacing w:line="480" w:lineRule="auto"/>
        <w:ind w:firstLine="720"/>
      </w:pPr>
      <w:r w:rsidRPr="005C1DF8">
        <w:t xml:space="preserve">I hereby certify that a copy of the foregoing </w:t>
      </w:r>
      <w:r w:rsidR="0071548F">
        <w:t>Memorandum Contra</w:t>
      </w:r>
      <w:r>
        <w:t xml:space="preserve"> </w:t>
      </w:r>
      <w:r w:rsidRPr="005C1DF8">
        <w:t xml:space="preserve">was served via electronic transmission upon the parties this </w:t>
      </w:r>
      <w:r w:rsidR="00CF6D6B">
        <w:t>3</w:t>
      </w:r>
      <w:r w:rsidR="00E63FDF">
        <w:t>1</w:t>
      </w:r>
      <w:r w:rsidRPr="00E63FDF" w:rsidR="00E63FDF">
        <w:rPr>
          <w:vertAlign w:val="superscript"/>
        </w:rPr>
        <w:t>st</w:t>
      </w:r>
      <w:r w:rsidR="00E63FDF">
        <w:t xml:space="preserve"> </w:t>
      </w:r>
      <w:r w:rsidRPr="005C1DF8">
        <w:t xml:space="preserve">day of </w:t>
      </w:r>
      <w:r w:rsidR="0031502F">
        <w:t xml:space="preserve">October </w:t>
      </w:r>
      <w:r w:rsidRPr="005C1DF8">
        <w:t>201</w:t>
      </w:r>
      <w:r w:rsidR="006407B1">
        <w:t>9</w:t>
      </w:r>
      <w:r w:rsidRPr="005C1DF8">
        <w:t xml:space="preserve">. </w:t>
      </w:r>
    </w:p>
    <w:p w:rsidR="005C1DF8" w:rsidP="005C1DF8" w14:paraId="75870C4E" w14:textId="77777777"/>
    <w:p w:rsidR="002F5571" w:rsidRPr="00111435" w:rsidP="002F5571" w14:paraId="2009FA49" w14:textId="77777777">
      <w:pPr>
        <w:ind w:firstLine="4320"/>
        <w:rPr>
          <w:i/>
          <w:u w:val="single"/>
        </w:rPr>
      </w:pPr>
      <w:r w:rsidRPr="00111435">
        <w:rPr>
          <w:i/>
          <w:u w:val="single"/>
        </w:rPr>
        <w:t xml:space="preserve">/s/ </w:t>
      </w:r>
      <w:r>
        <w:rPr>
          <w:i/>
          <w:u w:val="single"/>
        </w:rPr>
        <w:t>Terry L. Etter</w:t>
      </w:r>
      <w:r>
        <w:rPr>
          <w:i/>
          <w:u w:val="single"/>
        </w:rPr>
        <w:tab/>
      </w:r>
      <w:r w:rsidRPr="00111435">
        <w:rPr>
          <w:i/>
          <w:u w:val="single"/>
        </w:rPr>
        <w:tab/>
      </w:r>
      <w:r w:rsidRPr="00111435">
        <w:rPr>
          <w:i/>
          <w:u w:val="single"/>
        </w:rPr>
        <w:tab/>
      </w:r>
    </w:p>
    <w:p w:rsidR="002F5571" w:rsidP="002F5571" w14:paraId="53166E10" w14:textId="77777777">
      <w:pPr>
        <w:tabs>
          <w:tab w:val="left" w:pos="4320"/>
        </w:tabs>
      </w:pPr>
      <w:r w:rsidRPr="00432112">
        <w:tab/>
      </w:r>
      <w:r w:rsidRPr="00111435">
        <w:t xml:space="preserve">Terry </w:t>
      </w:r>
      <w:r>
        <w:t xml:space="preserve">L. </w:t>
      </w:r>
      <w:r w:rsidRPr="00111435">
        <w:t>Etter</w:t>
      </w:r>
    </w:p>
    <w:p w:rsidR="005C1DF8" w:rsidP="002F5571" w14:paraId="6130099B" w14:textId="186A550C">
      <w:pPr>
        <w:tabs>
          <w:tab w:val="left" w:pos="4320"/>
        </w:tabs>
      </w:pPr>
      <w:r>
        <w:tab/>
        <w:t>Assistant Consumers</w:t>
      </w:r>
      <w:r w:rsidR="00B90E77">
        <w:t>’</w:t>
      </w:r>
      <w:r>
        <w:t xml:space="preserve"> Counsel</w:t>
      </w:r>
    </w:p>
    <w:p w:rsidR="00105005" w:rsidP="002F5571" w14:paraId="424D61CF" w14:textId="2DAE21BC">
      <w:pPr>
        <w:tabs>
          <w:tab w:val="left" w:pos="4320"/>
        </w:tabs>
      </w:pPr>
    </w:p>
    <w:p w:rsidR="00105005" w:rsidP="00105005" w14:paraId="1899626B" w14:textId="77777777">
      <w:r>
        <w:t>The PUCO’s e-filing system will electronically serve notice of the filing of this document on the following parties:</w:t>
      </w:r>
    </w:p>
    <w:p w:rsidR="00105005" w:rsidP="002F5571" w14:paraId="0C50F37B" w14:textId="77777777">
      <w:pPr>
        <w:tabs>
          <w:tab w:val="left" w:pos="4320"/>
        </w:tabs>
      </w:pPr>
    </w:p>
    <w:p w:rsidR="005C1DF8" w:rsidP="005C1DF8" w14:paraId="0AED6D15" w14:textId="77777777">
      <w:pPr>
        <w:pStyle w:val="CommentText"/>
        <w:rPr>
          <w:b/>
          <w:u w:val="single"/>
        </w:rPr>
      </w:pPr>
    </w:p>
    <w:p w:rsidR="005C1DF8" w:rsidRPr="005C1DF8" w:rsidP="00E16E73" w14:paraId="517E7613" w14:textId="77777777">
      <w:pPr>
        <w:pStyle w:val="CommentText"/>
        <w:spacing w:line="480" w:lineRule="auto"/>
        <w:jc w:val="center"/>
        <w:rPr>
          <w:b/>
          <w:sz w:val="24"/>
          <w:u w:val="single"/>
        </w:rPr>
      </w:pPr>
      <w:r w:rsidRPr="005C1DF8">
        <w:rPr>
          <w:b/>
          <w:sz w:val="24"/>
          <w:u w:val="single"/>
        </w:rPr>
        <w:t>SERVICE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0"/>
        <w:gridCol w:w="4330"/>
      </w:tblGrid>
      <w:tr w14:paraId="63F5B25F" w14:textId="77777777" w:rsidTr="005C1D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  <w:shd w:val="clear" w:color="auto" w:fill="auto"/>
          </w:tcPr>
          <w:p w:rsidR="00FE5293" w:rsidP="00FE5293" w14:paraId="13050C40" w14:textId="77777777">
            <w:pPr>
              <w:autoSpaceDE w:val="0"/>
              <w:autoSpaceDN w:val="0"/>
              <w:adjustRightInd w:val="0"/>
            </w:pPr>
            <w:hyperlink r:id="rId8" w:history="1">
              <w:r w:rsidR="0079082F">
                <w:rPr>
                  <w:rStyle w:val="Hyperlink"/>
                </w:rPr>
                <w:t>werner.margard@ohioattorneygeneral.gov</w:t>
              </w:r>
            </w:hyperlink>
          </w:p>
          <w:p w:rsidR="00FE5293" w:rsidP="00FE5293" w14:paraId="43B3AFDE" w14:textId="77777777"/>
          <w:p w:rsidR="00FE5293" w:rsidP="00FE5293" w14:paraId="5F6EAF76" w14:textId="77777777">
            <w:r>
              <w:t>Attorney Examiner:</w:t>
            </w:r>
          </w:p>
          <w:p w:rsidR="00FE5293" w:rsidP="00FE5293" w14:paraId="344E3D93" w14:textId="77777777"/>
          <w:p w:rsidR="00FE5293" w:rsidP="00FE5293" w14:paraId="389D05F9" w14:textId="77777777">
            <w:hyperlink r:id="rId9" w:history="1">
              <w:r w:rsidR="0079082F">
                <w:rPr>
                  <w:rStyle w:val="Hyperlink"/>
                </w:rPr>
                <w:t>Sarah.parrot@puco.ohio.gov</w:t>
              </w:r>
            </w:hyperlink>
          </w:p>
          <w:p w:rsidR="00FE5293" w:rsidP="00FE5293" w14:paraId="7AFAE590" w14:textId="77777777">
            <w:hyperlink r:id="rId10" w:history="1">
              <w:r w:rsidR="0079082F">
                <w:rPr>
                  <w:rStyle w:val="Hyperlink"/>
                </w:rPr>
                <w:t>Lauren.Augostini@puco.ohio.gov</w:t>
              </w:r>
            </w:hyperlink>
          </w:p>
          <w:p w:rsidR="005C1DF8" w:rsidRPr="005C1DF8" w:rsidP="00AF1E3A" w14:paraId="6E4A19D2" w14:textId="544C6D2C"/>
        </w:tc>
        <w:tc>
          <w:tcPr>
            <w:tcW w:w="4675" w:type="dxa"/>
            <w:shd w:val="clear" w:color="auto" w:fill="auto"/>
          </w:tcPr>
          <w:p w:rsidR="0063392E" w:rsidRPr="00813FB0" w:rsidP="0063392E" w14:paraId="04FE840C" w14:textId="77777777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11" w:history="1">
              <w:r w:rsidR="00FF1881">
                <w:rPr>
                  <w:rStyle w:val="Hyperlink"/>
                </w:rPr>
                <w:t>cmooney@ohiopartners.org</w:t>
              </w:r>
            </w:hyperlink>
          </w:p>
          <w:p w:rsidR="0063392E" w:rsidRPr="00813FB0" w:rsidP="0063392E" w14:paraId="331C672C" w14:textId="77777777">
            <w:pPr>
              <w:rPr>
                <w:rStyle w:val="Hyperlink"/>
              </w:rPr>
            </w:pPr>
            <w:hyperlink r:id="rId12" w:history="1">
              <w:r w:rsidR="00FF1881">
                <w:rPr>
                  <w:rStyle w:val="Hyperlink"/>
                </w:rPr>
                <w:t>mjsettineri@vorys.com</w:t>
              </w:r>
            </w:hyperlink>
          </w:p>
          <w:p w:rsidR="0063392E" w:rsidRPr="00813FB0" w:rsidP="0063392E" w14:paraId="63AEE045" w14:textId="77777777">
            <w:pPr>
              <w:rPr>
                <w:rStyle w:val="Hyperlink"/>
              </w:rPr>
            </w:pPr>
            <w:hyperlink r:id="rId13" w:history="1">
              <w:r w:rsidR="00FF1881">
                <w:rPr>
                  <w:rStyle w:val="Hyperlink"/>
                </w:rPr>
                <w:t>kennedy@whitt-sturtevant.com</w:t>
              </w:r>
            </w:hyperlink>
          </w:p>
          <w:p w:rsidR="0063392E" w:rsidP="0063392E" w14:paraId="46DE9660" w14:textId="77777777">
            <w:pPr>
              <w:rPr>
                <w:rStyle w:val="Hyperlink"/>
              </w:rPr>
            </w:pPr>
            <w:hyperlink r:id="rId14" w:history="1">
              <w:r w:rsidR="00FF1881">
                <w:rPr>
                  <w:rStyle w:val="Hyperlink"/>
                </w:rPr>
                <w:t>glpetrucci@vorys.com</w:t>
              </w:r>
            </w:hyperlink>
          </w:p>
          <w:p w:rsidR="0063392E" w:rsidP="0063392E" w14:paraId="643BBC83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mwtaylor@vorys.com</w:t>
            </w:r>
          </w:p>
          <w:p w:rsidR="0063392E" w:rsidRPr="00567922" w:rsidP="0063392E" w14:paraId="62BBCD0C" w14:textId="77777777">
            <w:pPr>
              <w:rPr>
                <w:rStyle w:val="Hyperlink"/>
              </w:rPr>
            </w:pPr>
            <w:r w:rsidRPr="00567922">
              <w:rPr>
                <w:rStyle w:val="Hyperlink"/>
              </w:rPr>
              <w:t>barthroyer@aol.com</w:t>
            </w:r>
          </w:p>
          <w:p w:rsidR="0063392E" w:rsidP="0063392E" w14:paraId="59B62EEF" w14:textId="77777777">
            <w:pPr>
              <w:rPr>
                <w:rStyle w:val="Hyperlink"/>
              </w:rPr>
            </w:pPr>
            <w:r w:rsidRPr="00813FB0">
              <w:rPr>
                <w:rStyle w:val="Hyperlink"/>
              </w:rPr>
              <w:t>Andrew.j.campbell@dominionenergy.com</w:t>
            </w:r>
          </w:p>
          <w:p w:rsidR="0063392E" w:rsidP="0063392E" w14:paraId="3D335E0B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Joe.oliker@igs.com</w:t>
            </w:r>
          </w:p>
          <w:p w:rsidR="0063392E" w:rsidP="0063392E" w14:paraId="76AB8FF4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Michael.nugent@igs.com</w:t>
            </w:r>
          </w:p>
          <w:p w:rsidR="0063392E" w:rsidP="0063392E" w14:paraId="2EBE7A2E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Bethany.allen@igs.com</w:t>
            </w:r>
          </w:p>
          <w:p w:rsidR="0063392E" w:rsidP="0063392E" w14:paraId="5C61F7F9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cpirik@dickinson-wright.com</w:t>
            </w:r>
          </w:p>
          <w:p w:rsidR="0063392E" w:rsidP="0063392E" w14:paraId="3572ED50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mfleisher@dickinson-wright.com</w:t>
            </w:r>
          </w:p>
          <w:p w:rsidR="0063392E" w:rsidP="0063392E" w14:paraId="1506F872" w14:textId="77777777">
            <w:pPr>
              <w:rPr>
                <w:rStyle w:val="Hyperlink"/>
              </w:rPr>
            </w:pPr>
            <w:r>
              <w:rPr>
                <w:rStyle w:val="Hyperlink"/>
              </w:rPr>
              <w:t>fdarr2019@gmail.com</w:t>
            </w:r>
          </w:p>
          <w:p w:rsidR="005C1DF8" w:rsidRPr="005C1DF8" w:rsidP="00AF1E3A" w14:paraId="026125D9" w14:textId="3C95B245"/>
        </w:tc>
      </w:tr>
    </w:tbl>
    <w:p w:rsidR="00633A80" w:rsidP="005C1DF8" w14:paraId="63C8DDB9" w14:textId="202C8DD1">
      <w:pPr>
        <w:spacing w:line="480" w:lineRule="auto"/>
      </w:pPr>
    </w:p>
    <w:p w:rsidR="00633A80" w:rsidP="0013304B" w14:paraId="2CA0FDC4" w14:textId="0B4DD3EC">
      <w:pPr>
        <w:spacing w:after="200" w:line="276" w:lineRule="auto"/>
      </w:pPr>
    </w:p>
    <w:sectPr w:rsidSect="0079082F">
      <w:footerReference w:type="default" r:id="rId15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082F" w14:paraId="66650121" w14:textId="106182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1243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881" w14:paraId="1CA4CFC4" w14:textId="57994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881" w14:paraId="634DF47F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21EC3" w:rsidP="003C4010" w14:paraId="5421015C" w14:textId="77777777">
      <w:r>
        <w:separator/>
      </w:r>
    </w:p>
  </w:footnote>
  <w:footnote w:type="continuationSeparator" w:id="1">
    <w:p w:rsidR="00E21EC3" w:rsidP="003C4010" w14:paraId="16265347" w14:textId="77777777">
      <w:r>
        <w:continuationSeparator/>
      </w:r>
    </w:p>
  </w:footnote>
  <w:footnote w:id="2">
    <w:p w:rsidR="00AC0230" w14:paraId="0FF27DBA" w14:textId="7CB4245C">
      <w:pPr>
        <w:pStyle w:val="FootnoteText"/>
      </w:pPr>
      <w:r>
        <w:rPr>
          <w:rStyle w:val="FootnoteReference"/>
        </w:rPr>
        <w:footnoteRef/>
      </w:r>
      <w:r>
        <w:t xml:space="preserve"> The Marketers are the Retail Energy Supply Association, </w:t>
      </w:r>
      <w:r w:rsidRPr="00223B92">
        <w:t>Direct Energy Business Marketing, LLC, Direct Energy Services, LLC, Interstate Gas Supply, Inc.</w:t>
      </w:r>
      <w:r>
        <w:t>,</w:t>
      </w:r>
      <w:r w:rsidRPr="00223B92">
        <w:t xml:space="preserve"> and Dominion Energy Solutions, Inc.</w:t>
      </w:r>
    </w:p>
  </w:footnote>
  <w:footnote w:id="3">
    <w:p w:rsidR="00A55A0D" w14:paraId="48F7E016" w14:textId="68A2DB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230">
        <w:t>PUCO Staff Comments (October 11, 2019) at 11.</w:t>
      </w:r>
    </w:p>
  </w:footnote>
  <w:footnote w:id="4">
    <w:p w:rsidR="008729E2" w14:paraId="13D2DB75" w14:textId="07F9A1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17604">
        <w:t xml:space="preserve">Joint Motion for Continuance (October 2, 2019) (“Marketers’ Motion”) </w:t>
      </w:r>
      <w:r>
        <w:t>at 1.</w:t>
      </w:r>
    </w:p>
  </w:footnote>
  <w:footnote w:id="5">
    <w:p w:rsidR="00501F04" w14:paraId="717203D3" w14:textId="615E6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17604">
        <w:rPr>
          <w:i/>
          <w:iCs/>
        </w:rPr>
        <w:t xml:space="preserve">Id. </w:t>
      </w:r>
      <w:r>
        <w:t>at 3.</w:t>
      </w:r>
    </w:p>
  </w:footnote>
  <w:footnote w:id="6">
    <w:p w:rsidR="00E43DB7" w14:paraId="572C8D3F" w14:textId="11EA413A">
      <w:pPr>
        <w:pStyle w:val="FootnoteText"/>
      </w:pPr>
      <w:r>
        <w:rPr>
          <w:rStyle w:val="FootnoteReference"/>
        </w:rPr>
        <w:footnoteRef/>
      </w:r>
      <w:r>
        <w:t xml:space="preserve"> Entry (October 3, 2019), ¶18.</w:t>
      </w:r>
    </w:p>
  </w:footnote>
  <w:footnote w:id="7">
    <w:p w:rsidR="00E43DB7" w:rsidRPr="00B739A1" w:rsidP="00E43DB7" w14:paraId="03EF6736" w14:textId="14CE31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="00317604">
        <w:t>Marketers’</w:t>
      </w:r>
      <w:r>
        <w:t xml:space="preserve"> Motion at 3.</w:t>
      </w:r>
    </w:p>
  </w:footnote>
  <w:footnote w:id="8">
    <w:p w:rsidR="007A07BA" w:rsidRPr="007A07BA" w:rsidP="007A07BA" w14:paraId="4EF21170" w14:textId="6090983B">
      <w:pPr>
        <w:pStyle w:val="FootnoteText"/>
      </w:pPr>
      <w:r w:rsidRPr="006F089A">
        <w:rPr>
          <w:rStyle w:val="FootnoteReference"/>
        </w:rPr>
        <w:footnoteRef/>
      </w:r>
      <w:r w:rsidRPr="006F089A">
        <w:t xml:space="preserve">  Interlocutory appeals of Attorney Examiner rulings must be filed within five days of the ruling, under Ohio Adm. Code 4901-1-15.  That rule also allows parties who do not take an interlocutory appeal to address the ruling in their initial brief or any other appropriate filing.  </w:t>
      </w:r>
      <w:r>
        <w:rPr>
          <w:i/>
          <w:iCs/>
        </w:rPr>
        <w:t>See</w:t>
      </w:r>
      <w:r>
        <w:t xml:space="preserve"> Case No. 05-1444-GA-UNC, Entry (February 12, 2007), ¶10.</w:t>
      </w:r>
    </w:p>
  </w:footnote>
  <w:footnote w:id="9">
    <w:p w:rsidR="00B1704E" w:rsidRPr="00CF6D6B" w:rsidP="00B1704E" w14:paraId="1144845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Case No. 19-957-GE-COI, Entry (September 3, 2019).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663225"/>
    <w:multiLevelType w:val="hybridMultilevel"/>
    <w:tmpl w:val="7556FB04"/>
    <w:lvl w:ilvl="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74485D"/>
    <w:multiLevelType w:val="hybridMultilevel"/>
    <w:tmpl w:val="988CCA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CF14FB"/>
    <w:multiLevelType w:val="hybridMultilevel"/>
    <w:tmpl w:val="5AB08E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eastAsiaTheme="minorHAns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57D40"/>
    <w:multiLevelType w:val="hybridMultilevel"/>
    <w:tmpl w:val="8A740D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isplayBackgroundShap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8"/>
    <w:rsid w:val="0002160E"/>
    <w:rsid w:val="00025A4A"/>
    <w:rsid w:val="0006023F"/>
    <w:rsid w:val="000625D1"/>
    <w:rsid w:val="00072AED"/>
    <w:rsid w:val="00097A47"/>
    <w:rsid w:val="000A6C74"/>
    <w:rsid w:val="000B2E81"/>
    <w:rsid w:val="000E4DFE"/>
    <w:rsid w:val="00105005"/>
    <w:rsid w:val="00111435"/>
    <w:rsid w:val="001251FD"/>
    <w:rsid w:val="0013304B"/>
    <w:rsid w:val="00134EF3"/>
    <w:rsid w:val="001509A6"/>
    <w:rsid w:val="0016744B"/>
    <w:rsid w:val="001708EE"/>
    <w:rsid w:val="001B0234"/>
    <w:rsid w:val="001B4E33"/>
    <w:rsid w:val="001C5FD2"/>
    <w:rsid w:val="001F02CF"/>
    <w:rsid w:val="00200DDF"/>
    <w:rsid w:val="002047EE"/>
    <w:rsid w:val="002137B6"/>
    <w:rsid w:val="002229C2"/>
    <w:rsid w:val="002236F6"/>
    <w:rsid w:val="00223B92"/>
    <w:rsid w:val="0022737C"/>
    <w:rsid w:val="00235884"/>
    <w:rsid w:val="0023727A"/>
    <w:rsid w:val="00237F6C"/>
    <w:rsid w:val="0024001D"/>
    <w:rsid w:val="002456EB"/>
    <w:rsid w:val="002825B6"/>
    <w:rsid w:val="002915F4"/>
    <w:rsid w:val="002A6B99"/>
    <w:rsid w:val="002B380F"/>
    <w:rsid w:val="002D4D9C"/>
    <w:rsid w:val="002F534F"/>
    <w:rsid w:val="002F5571"/>
    <w:rsid w:val="002F6952"/>
    <w:rsid w:val="00303981"/>
    <w:rsid w:val="0031502F"/>
    <w:rsid w:val="00317604"/>
    <w:rsid w:val="003233F3"/>
    <w:rsid w:val="00343BF7"/>
    <w:rsid w:val="003454DB"/>
    <w:rsid w:val="00361F2F"/>
    <w:rsid w:val="00362C00"/>
    <w:rsid w:val="003677FC"/>
    <w:rsid w:val="003716AD"/>
    <w:rsid w:val="00374E1F"/>
    <w:rsid w:val="003764E9"/>
    <w:rsid w:val="00381A90"/>
    <w:rsid w:val="003832B9"/>
    <w:rsid w:val="00386C71"/>
    <w:rsid w:val="003909E9"/>
    <w:rsid w:val="003A1877"/>
    <w:rsid w:val="003A6133"/>
    <w:rsid w:val="003C4010"/>
    <w:rsid w:val="003C463F"/>
    <w:rsid w:val="003C5394"/>
    <w:rsid w:val="003C61CC"/>
    <w:rsid w:val="004060F0"/>
    <w:rsid w:val="00412E3C"/>
    <w:rsid w:val="0042037A"/>
    <w:rsid w:val="00432112"/>
    <w:rsid w:val="00434EB7"/>
    <w:rsid w:val="00460E64"/>
    <w:rsid w:val="004809A0"/>
    <w:rsid w:val="00497A42"/>
    <w:rsid w:val="004A13D0"/>
    <w:rsid w:val="004A20A8"/>
    <w:rsid w:val="004C7D8B"/>
    <w:rsid w:val="004F70C6"/>
    <w:rsid w:val="00501F04"/>
    <w:rsid w:val="00503394"/>
    <w:rsid w:val="00527EEB"/>
    <w:rsid w:val="005319A3"/>
    <w:rsid w:val="00540304"/>
    <w:rsid w:val="0054101F"/>
    <w:rsid w:val="00544638"/>
    <w:rsid w:val="00544ECE"/>
    <w:rsid w:val="00547D75"/>
    <w:rsid w:val="00550700"/>
    <w:rsid w:val="00551542"/>
    <w:rsid w:val="005560B2"/>
    <w:rsid w:val="0056246B"/>
    <w:rsid w:val="00567922"/>
    <w:rsid w:val="00570413"/>
    <w:rsid w:val="00576D53"/>
    <w:rsid w:val="00591BA3"/>
    <w:rsid w:val="00592357"/>
    <w:rsid w:val="005A61B3"/>
    <w:rsid w:val="005B425D"/>
    <w:rsid w:val="005B448E"/>
    <w:rsid w:val="005C1DF8"/>
    <w:rsid w:val="005C4B4F"/>
    <w:rsid w:val="005C661C"/>
    <w:rsid w:val="005C7098"/>
    <w:rsid w:val="005D58E8"/>
    <w:rsid w:val="005E3E22"/>
    <w:rsid w:val="00601C72"/>
    <w:rsid w:val="006048FB"/>
    <w:rsid w:val="006072CB"/>
    <w:rsid w:val="00630DFA"/>
    <w:rsid w:val="0063392E"/>
    <w:rsid w:val="00633A80"/>
    <w:rsid w:val="006407B1"/>
    <w:rsid w:val="00666EF8"/>
    <w:rsid w:val="006771F1"/>
    <w:rsid w:val="00681068"/>
    <w:rsid w:val="00695E3B"/>
    <w:rsid w:val="006B3D9B"/>
    <w:rsid w:val="006B635B"/>
    <w:rsid w:val="006B689A"/>
    <w:rsid w:val="006C3BA3"/>
    <w:rsid w:val="006C44C1"/>
    <w:rsid w:val="006C72A3"/>
    <w:rsid w:val="006D06A6"/>
    <w:rsid w:val="006E01C6"/>
    <w:rsid w:val="006E6B1F"/>
    <w:rsid w:val="006F089A"/>
    <w:rsid w:val="00711FA1"/>
    <w:rsid w:val="0071548F"/>
    <w:rsid w:val="00721624"/>
    <w:rsid w:val="007607DC"/>
    <w:rsid w:val="00763A7A"/>
    <w:rsid w:val="00775E87"/>
    <w:rsid w:val="00783D32"/>
    <w:rsid w:val="0079082F"/>
    <w:rsid w:val="00790AEB"/>
    <w:rsid w:val="007920DF"/>
    <w:rsid w:val="007927C3"/>
    <w:rsid w:val="00793BDD"/>
    <w:rsid w:val="007A07BA"/>
    <w:rsid w:val="007B544D"/>
    <w:rsid w:val="007C2EEE"/>
    <w:rsid w:val="007C6969"/>
    <w:rsid w:val="007D507A"/>
    <w:rsid w:val="007E1672"/>
    <w:rsid w:val="007E619D"/>
    <w:rsid w:val="007E7F11"/>
    <w:rsid w:val="00804759"/>
    <w:rsid w:val="00813FB0"/>
    <w:rsid w:val="00831E40"/>
    <w:rsid w:val="008343B4"/>
    <w:rsid w:val="00835B91"/>
    <w:rsid w:val="00845729"/>
    <w:rsid w:val="00852CB0"/>
    <w:rsid w:val="00864140"/>
    <w:rsid w:val="00866A18"/>
    <w:rsid w:val="00872846"/>
    <w:rsid w:val="008729E2"/>
    <w:rsid w:val="00872AC0"/>
    <w:rsid w:val="00885E14"/>
    <w:rsid w:val="008A2BB8"/>
    <w:rsid w:val="008B2324"/>
    <w:rsid w:val="008C0455"/>
    <w:rsid w:val="008D5527"/>
    <w:rsid w:val="008E4903"/>
    <w:rsid w:val="008F225B"/>
    <w:rsid w:val="009015D6"/>
    <w:rsid w:val="00905C75"/>
    <w:rsid w:val="00915A58"/>
    <w:rsid w:val="0092570A"/>
    <w:rsid w:val="00925BE0"/>
    <w:rsid w:val="00932B57"/>
    <w:rsid w:val="009379EB"/>
    <w:rsid w:val="00953FB4"/>
    <w:rsid w:val="00983A46"/>
    <w:rsid w:val="009B565F"/>
    <w:rsid w:val="009B5913"/>
    <w:rsid w:val="009D3096"/>
    <w:rsid w:val="009F7EF2"/>
    <w:rsid w:val="00A0141C"/>
    <w:rsid w:val="00A055BA"/>
    <w:rsid w:val="00A06DFE"/>
    <w:rsid w:val="00A27ED3"/>
    <w:rsid w:val="00A55A0D"/>
    <w:rsid w:val="00A55F66"/>
    <w:rsid w:val="00A611D5"/>
    <w:rsid w:val="00A918A1"/>
    <w:rsid w:val="00A9355E"/>
    <w:rsid w:val="00A96CAD"/>
    <w:rsid w:val="00AA483D"/>
    <w:rsid w:val="00AB2ECA"/>
    <w:rsid w:val="00AB64E8"/>
    <w:rsid w:val="00AB6545"/>
    <w:rsid w:val="00AB7D43"/>
    <w:rsid w:val="00AC0230"/>
    <w:rsid w:val="00AC4770"/>
    <w:rsid w:val="00AC677C"/>
    <w:rsid w:val="00AD7431"/>
    <w:rsid w:val="00AE590B"/>
    <w:rsid w:val="00AE6E7E"/>
    <w:rsid w:val="00AF1E3A"/>
    <w:rsid w:val="00B00289"/>
    <w:rsid w:val="00B0349A"/>
    <w:rsid w:val="00B07119"/>
    <w:rsid w:val="00B13170"/>
    <w:rsid w:val="00B14478"/>
    <w:rsid w:val="00B1704E"/>
    <w:rsid w:val="00B17198"/>
    <w:rsid w:val="00B231C9"/>
    <w:rsid w:val="00B33DEE"/>
    <w:rsid w:val="00B36674"/>
    <w:rsid w:val="00B739A1"/>
    <w:rsid w:val="00B90E77"/>
    <w:rsid w:val="00B96F7E"/>
    <w:rsid w:val="00BA5A0D"/>
    <w:rsid w:val="00BA5AF7"/>
    <w:rsid w:val="00BB7F9D"/>
    <w:rsid w:val="00BC401C"/>
    <w:rsid w:val="00BD5F1F"/>
    <w:rsid w:val="00BE5823"/>
    <w:rsid w:val="00C122C1"/>
    <w:rsid w:val="00C14717"/>
    <w:rsid w:val="00C408F2"/>
    <w:rsid w:val="00C458A7"/>
    <w:rsid w:val="00C542DA"/>
    <w:rsid w:val="00C673D9"/>
    <w:rsid w:val="00C8624F"/>
    <w:rsid w:val="00C9152D"/>
    <w:rsid w:val="00C948EB"/>
    <w:rsid w:val="00CB07FB"/>
    <w:rsid w:val="00CB2837"/>
    <w:rsid w:val="00CB36D5"/>
    <w:rsid w:val="00CE158A"/>
    <w:rsid w:val="00CF6D6B"/>
    <w:rsid w:val="00D03463"/>
    <w:rsid w:val="00D113A2"/>
    <w:rsid w:val="00D22593"/>
    <w:rsid w:val="00D239E9"/>
    <w:rsid w:val="00D35F9E"/>
    <w:rsid w:val="00D5245A"/>
    <w:rsid w:val="00D52DAB"/>
    <w:rsid w:val="00DA490D"/>
    <w:rsid w:val="00DB4A05"/>
    <w:rsid w:val="00DC5211"/>
    <w:rsid w:val="00DD29A6"/>
    <w:rsid w:val="00E15ACA"/>
    <w:rsid w:val="00E16E73"/>
    <w:rsid w:val="00E21EC3"/>
    <w:rsid w:val="00E43DB7"/>
    <w:rsid w:val="00E63FDF"/>
    <w:rsid w:val="00E6704D"/>
    <w:rsid w:val="00E67CB3"/>
    <w:rsid w:val="00E72918"/>
    <w:rsid w:val="00E74ECE"/>
    <w:rsid w:val="00E77FFB"/>
    <w:rsid w:val="00E83F70"/>
    <w:rsid w:val="00E8662D"/>
    <w:rsid w:val="00EB5A6E"/>
    <w:rsid w:val="00EC61A3"/>
    <w:rsid w:val="00ED47AF"/>
    <w:rsid w:val="00EE244E"/>
    <w:rsid w:val="00EE6857"/>
    <w:rsid w:val="00EF2C57"/>
    <w:rsid w:val="00F0107B"/>
    <w:rsid w:val="00F221BB"/>
    <w:rsid w:val="00F427C5"/>
    <w:rsid w:val="00F5263B"/>
    <w:rsid w:val="00F62118"/>
    <w:rsid w:val="00FA7CCE"/>
    <w:rsid w:val="00FC0609"/>
    <w:rsid w:val="00FC3A8E"/>
    <w:rsid w:val="00FE5293"/>
    <w:rsid w:val="00FE53A7"/>
    <w:rsid w:val="00FF188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F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B448E"/>
    <w:pPr>
      <w:keepNext/>
      <w:spacing w:before="240" w:after="240"/>
      <w:ind w:left="720" w:right="720" w:hanging="720"/>
      <w:outlineLvl w:val="0"/>
    </w:pPr>
    <w:rPr>
      <w:rFonts w:ascii="Times New Roman Bold" w:eastAsia="Times New Roman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1E40"/>
    <w:pPr>
      <w:keepNext/>
      <w:keepLines/>
      <w:spacing w:after="240"/>
      <w:ind w:left="1440" w:right="720" w:hanging="720"/>
      <w:outlineLvl w:val="1"/>
    </w:pPr>
    <w:rPr>
      <w:rFonts w:ascii="Times New Roman Bold" w:hAnsi="Times New Roman Bold"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1435"/>
    <w:pPr>
      <w:keepNext/>
      <w:keepLines/>
      <w:ind w:left="1440" w:right="720" w:hanging="7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36D5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6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0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5E"/>
  </w:style>
  <w:style w:type="paragraph" w:styleId="Footer">
    <w:name w:val="footer"/>
    <w:basedOn w:val="Normal"/>
    <w:link w:val="FooterChar"/>
    <w:uiPriority w:val="99"/>
    <w:unhideWhenUsed/>
    <w:rsid w:val="00D9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5E"/>
  </w:style>
  <w:style w:type="paragraph" w:styleId="EndnoteText">
    <w:name w:val="endnote text"/>
    <w:basedOn w:val="Normal"/>
    <w:link w:val="EndnoteTextChar"/>
    <w:uiPriority w:val="99"/>
    <w:semiHidden/>
    <w:unhideWhenUsed/>
    <w:rsid w:val="000B00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0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00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B448E"/>
    <w:rPr>
      <w:rFonts w:ascii="Times New Roman Bold" w:eastAsia="Times New Roman" w:hAnsi="Times New Roman Bold"/>
      <w:b/>
      <w:bCs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0522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D09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31E40"/>
    <w:rPr>
      <w:rFonts w:ascii="Times New Roman Bold" w:hAnsi="Times New Roman Bold"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435"/>
    <w:rPr>
      <w:rFonts w:eastAsiaTheme="majorEastAsia"/>
      <w:b/>
      <w:bCs/>
    </w:rPr>
  </w:style>
  <w:style w:type="paragraph" w:styleId="NormalWeb">
    <w:name w:val="Normal (Web)"/>
    <w:basedOn w:val="Normal"/>
    <w:uiPriority w:val="99"/>
    <w:semiHidden/>
    <w:unhideWhenUsed/>
    <w:rsid w:val="002F655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336A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5C1DF8"/>
    <w:pPr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C1DF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unhideWhenUsed/>
    <w:rsid w:val="005C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C1D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C1DF8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52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1435"/>
    <w:rPr>
      <w:color w:val="808080"/>
      <w:shd w:val="clear" w:color="auto" w:fill="E6E6E6"/>
    </w:rPr>
  </w:style>
  <w:style w:type="paragraph" w:styleId="TOC1">
    <w:name w:val="toc 1"/>
    <w:basedOn w:val="Normal"/>
    <w:next w:val="Normal"/>
    <w:autoRedefine/>
    <w:uiPriority w:val="39"/>
    <w:unhideWhenUsed/>
    <w:rsid w:val="00695E3B"/>
    <w:pPr>
      <w:tabs>
        <w:tab w:val="left" w:pos="720"/>
        <w:tab w:val="decimal" w:leader="dot" w:pos="8640"/>
      </w:tabs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695E3B"/>
    <w:pPr>
      <w:tabs>
        <w:tab w:val="left" w:pos="720"/>
        <w:tab w:val="decimal" w:leader="dot" w:pos="8640"/>
      </w:tabs>
      <w:spacing w:after="240"/>
      <w:ind w:left="1440" w:hanging="720"/>
    </w:pPr>
  </w:style>
  <w:style w:type="character" w:customStyle="1" w:styleId="dttext">
    <w:name w:val="dttext"/>
    <w:basedOn w:val="DefaultParagraphFont"/>
    <w:rsid w:val="003A613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Lauren.Augostini@puco.ohio.gov" TargetMode="External" /><Relationship Id="rId11" Type="http://schemas.openxmlformats.org/officeDocument/2006/relationships/hyperlink" Target="mailto:cmooney@ohiopartners.org" TargetMode="External" /><Relationship Id="rId12" Type="http://schemas.openxmlformats.org/officeDocument/2006/relationships/hyperlink" Target="mailto:mjsettineri@vorys.com" TargetMode="External" /><Relationship Id="rId13" Type="http://schemas.openxmlformats.org/officeDocument/2006/relationships/hyperlink" Target="mailto:kennedy@whitt-sturtevant.com" TargetMode="External" /><Relationship Id="rId14" Type="http://schemas.openxmlformats.org/officeDocument/2006/relationships/hyperlink" Target="mailto:glpetrucci@vorys.com" TargetMode="External" /><Relationship Id="rId15" Type="http://schemas.openxmlformats.org/officeDocument/2006/relationships/footer" Target="foot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hyperlink" Target="mailto:bojko@carpenterlipps.com" TargetMode="External" /><Relationship Id="rId8" Type="http://schemas.openxmlformats.org/officeDocument/2006/relationships/hyperlink" Target="mailto:werner.margard@ohioattorneygeneral.gov" TargetMode="External" /><Relationship Id="rId9" Type="http://schemas.openxmlformats.org/officeDocument/2006/relationships/hyperlink" Target="mailto:Sarah.parrot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5FDB-C0EC-415F-93DB-D2BB93A1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10-30 Motion for continuance (18-1419).docx</vt:lpstr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2019-10-31T16:41:32Z</dcterms:created>
  <dcterms:modified xsi:type="dcterms:W3CDTF">2019-10-31T16:41:32Z</dcterms:modified>
</cp:coreProperties>
</file>