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C2D9" w14:textId="77777777" w:rsidR="00EA2D33" w:rsidRPr="00AD6628" w:rsidRDefault="00EA2D33" w:rsidP="00EA2D33">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bookmarkStart w:id="0" w:name="_GoBack"/>
      <w:bookmarkEnd w:id="0"/>
      <w:r w:rsidRPr="00AD6628">
        <w:rPr>
          <w:rFonts w:ascii="Arial" w:eastAsia="Times New Roman" w:hAnsi="Arial" w:cs="Arial"/>
          <w:b/>
          <w:bCs/>
          <w:kern w:val="28"/>
          <w:sz w:val="24"/>
          <w:szCs w:val="24"/>
        </w:rPr>
        <w:t>BEFORE</w:t>
      </w:r>
      <w:r w:rsidRPr="00AD6628">
        <w:rPr>
          <w:rFonts w:ascii="Arial" w:eastAsia="Times New Roman" w:hAnsi="Arial" w:cs="Arial"/>
          <w:b/>
          <w:bCs/>
          <w:kern w:val="28"/>
          <w:sz w:val="24"/>
          <w:szCs w:val="24"/>
        </w:rPr>
        <w:br/>
        <w:t>THE PUBLIC UTILITIES COMMISSION OF OHIO</w:t>
      </w:r>
    </w:p>
    <w:tbl>
      <w:tblPr>
        <w:tblW w:w="0" w:type="auto"/>
        <w:tblInd w:w="90" w:type="dxa"/>
        <w:tblLayout w:type="fixed"/>
        <w:tblCellMar>
          <w:left w:w="180" w:type="dxa"/>
          <w:right w:w="180" w:type="dxa"/>
        </w:tblCellMar>
        <w:tblLook w:val="0000" w:firstRow="0" w:lastRow="0" w:firstColumn="0" w:lastColumn="0" w:noHBand="0" w:noVBand="0"/>
      </w:tblPr>
      <w:tblGrid>
        <w:gridCol w:w="4590"/>
        <w:gridCol w:w="630"/>
        <w:gridCol w:w="4158"/>
      </w:tblGrid>
      <w:tr w:rsidR="00EA2D33" w:rsidRPr="00AD6628" w14:paraId="49563FB1" w14:textId="77777777" w:rsidTr="00671CFD">
        <w:trPr>
          <w:trHeight w:val="1496"/>
        </w:trPr>
        <w:tc>
          <w:tcPr>
            <w:tcW w:w="4590" w:type="dxa"/>
            <w:tcBorders>
              <w:top w:val="nil"/>
              <w:left w:val="nil"/>
              <w:bottom w:val="nil"/>
              <w:right w:val="nil"/>
            </w:tcBorders>
          </w:tcPr>
          <w:p w14:paraId="59EFBD2C" w14:textId="77777777" w:rsidR="00EA2D33" w:rsidRPr="00AD6628" w:rsidRDefault="00EA2D33" w:rsidP="00BE233C">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r w:rsidRPr="00AD6628">
              <w:rPr>
                <w:rFonts w:ascii="Arial" w:eastAsiaTheme="minorEastAsia" w:hAnsi="Arial" w:cs="Arial"/>
                <w:kern w:val="28"/>
                <w:sz w:val="24"/>
                <w:szCs w:val="24"/>
              </w:rPr>
              <w:t>In the Matter of the Application of Ohio Power Company for Authority to Establish a Standard Service Offer Pursuant to Section 4928.143, Revised Code, in the Form of an Electric Security Plan.</w:t>
            </w:r>
          </w:p>
          <w:p w14:paraId="5D391F9E" w14:textId="77777777" w:rsidR="00EA2D33" w:rsidRPr="00AD6628" w:rsidRDefault="00EA2D33" w:rsidP="00BE233C">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p>
          <w:p w14:paraId="737EDA0B" w14:textId="77777777" w:rsidR="00EA2D33" w:rsidRPr="00AD6628" w:rsidRDefault="00EA2D33" w:rsidP="00BE233C">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r w:rsidRPr="00AD6628">
              <w:rPr>
                <w:rFonts w:ascii="Arial" w:eastAsiaTheme="minorEastAsia" w:hAnsi="Arial" w:cs="Arial"/>
                <w:kern w:val="28"/>
                <w:sz w:val="24"/>
                <w:szCs w:val="24"/>
              </w:rPr>
              <w:t>In the Matter of the Application of Ohio Power Company for Approval of Certain Accounting Authority</w:t>
            </w:r>
          </w:p>
        </w:tc>
        <w:tc>
          <w:tcPr>
            <w:tcW w:w="630" w:type="dxa"/>
            <w:tcBorders>
              <w:top w:val="nil"/>
              <w:left w:val="nil"/>
              <w:bottom w:val="nil"/>
              <w:right w:val="nil"/>
            </w:tcBorders>
          </w:tcPr>
          <w:p w14:paraId="647FDC8B"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183CA6C7"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69D6D172"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712DE23F"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084D70F1"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1DF29050"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7D9720D4" w14:textId="4B9A129C"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29D36811"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2E4C222D"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p w14:paraId="39C7F58F"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w:t>
            </w:r>
          </w:p>
        </w:tc>
        <w:tc>
          <w:tcPr>
            <w:tcW w:w="4158" w:type="dxa"/>
            <w:tcBorders>
              <w:top w:val="nil"/>
              <w:left w:val="nil"/>
              <w:bottom w:val="nil"/>
              <w:right w:val="nil"/>
            </w:tcBorders>
          </w:tcPr>
          <w:p w14:paraId="4724474A"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 xml:space="preserve">  </w:t>
            </w:r>
          </w:p>
          <w:p w14:paraId="55CFC1A4" w14:textId="77777777" w:rsidR="004C0076" w:rsidRPr="00AD6628" w:rsidRDefault="004C0076"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1E448FAA"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Case No. 13-2385-EL-ORD</w:t>
            </w:r>
          </w:p>
          <w:p w14:paraId="4748337D"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37EC2E3C"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7AB675E1"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44D540E2"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4426F997"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2641E761" w14:textId="77777777" w:rsidR="00EA2D33" w:rsidRPr="00AD6628" w:rsidRDefault="00EA2D33" w:rsidP="00BE233C">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AD6628">
              <w:rPr>
                <w:rFonts w:ascii="Arial" w:eastAsiaTheme="minorEastAsia" w:hAnsi="Arial" w:cs="Arial"/>
                <w:kern w:val="28"/>
                <w:sz w:val="24"/>
                <w:szCs w:val="24"/>
              </w:rPr>
              <w:t>Case No. 13-2386-EL-AAM</w:t>
            </w:r>
          </w:p>
        </w:tc>
      </w:tr>
    </w:tbl>
    <w:p w14:paraId="0CD63FC5" w14:textId="77777777" w:rsidR="00EA2D33" w:rsidRPr="00AD6628" w:rsidRDefault="00EA2D33">
      <w:pPr>
        <w:rPr>
          <w:rFonts w:ascii="Arial" w:hAnsi="Arial"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A2D33" w:rsidRPr="00AD6628" w14:paraId="7C7EBF7C" w14:textId="77777777" w:rsidTr="00671CFD">
        <w:tc>
          <w:tcPr>
            <w:tcW w:w="9576" w:type="dxa"/>
          </w:tcPr>
          <w:p w14:paraId="12593393" w14:textId="77777777" w:rsidR="00EA2D33" w:rsidRPr="00AD6628" w:rsidRDefault="00EA2D33" w:rsidP="00EA2D33">
            <w:pPr>
              <w:rPr>
                <w:rFonts w:ascii="Arial" w:hAnsi="Arial" w:cs="Arial"/>
                <w:sz w:val="24"/>
                <w:szCs w:val="24"/>
              </w:rPr>
            </w:pPr>
          </w:p>
          <w:p w14:paraId="031C3B10" w14:textId="24C4673D" w:rsidR="00EA2D33" w:rsidRPr="00AD6628" w:rsidRDefault="002F22B2" w:rsidP="00EA2D33">
            <w:pPr>
              <w:jc w:val="center"/>
              <w:rPr>
                <w:rFonts w:ascii="Arial" w:hAnsi="Arial" w:cs="Arial"/>
                <w:b/>
                <w:sz w:val="24"/>
                <w:szCs w:val="24"/>
              </w:rPr>
            </w:pPr>
            <w:r>
              <w:rPr>
                <w:rFonts w:ascii="Arial" w:hAnsi="Arial" w:cs="Arial"/>
                <w:b/>
                <w:sz w:val="24"/>
                <w:szCs w:val="24"/>
              </w:rPr>
              <w:t>REPLY</w:t>
            </w:r>
            <w:r w:rsidR="00EA2D33" w:rsidRPr="00AD6628">
              <w:rPr>
                <w:rFonts w:ascii="Arial" w:hAnsi="Arial" w:cs="Arial"/>
                <w:b/>
                <w:sz w:val="24"/>
                <w:szCs w:val="24"/>
              </w:rPr>
              <w:t xml:space="preserve"> BRIEF OF IGS ENERGY</w:t>
            </w:r>
          </w:p>
          <w:p w14:paraId="6D12922D" w14:textId="77777777" w:rsidR="00EA2D33" w:rsidRPr="00AD6628" w:rsidRDefault="00EA2D33" w:rsidP="00EA2D33">
            <w:pPr>
              <w:rPr>
                <w:rFonts w:ascii="Arial" w:hAnsi="Arial" w:cs="Arial"/>
                <w:sz w:val="24"/>
                <w:szCs w:val="24"/>
              </w:rPr>
            </w:pPr>
          </w:p>
        </w:tc>
      </w:tr>
    </w:tbl>
    <w:p w14:paraId="2584E19F" w14:textId="77777777" w:rsidR="000C7C99" w:rsidRDefault="000C7C99" w:rsidP="00EA2D33">
      <w:pPr>
        <w:jc w:val="center"/>
        <w:rPr>
          <w:rFonts w:ascii="Arial" w:hAnsi="Arial" w:cs="Arial"/>
          <w:sz w:val="24"/>
          <w:szCs w:val="24"/>
        </w:rPr>
      </w:pPr>
    </w:p>
    <w:p w14:paraId="69B42031" w14:textId="77777777" w:rsidR="00DE26B3" w:rsidRDefault="00DE26B3" w:rsidP="00EA2D33">
      <w:pPr>
        <w:jc w:val="center"/>
        <w:rPr>
          <w:rFonts w:ascii="Arial" w:hAnsi="Arial" w:cs="Arial"/>
          <w:sz w:val="24"/>
          <w:szCs w:val="24"/>
        </w:rPr>
      </w:pPr>
    </w:p>
    <w:p w14:paraId="3E43E545" w14:textId="77777777" w:rsidR="00DE26B3" w:rsidRDefault="00DE26B3" w:rsidP="00EA2D33">
      <w:pPr>
        <w:jc w:val="center"/>
        <w:rPr>
          <w:rFonts w:ascii="Arial" w:hAnsi="Arial" w:cs="Arial"/>
          <w:sz w:val="24"/>
          <w:szCs w:val="24"/>
        </w:rPr>
      </w:pPr>
    </w:p>
    <w:p w14:paraId="4DBF705E" w14:textId="77777777" w:rsidR="00DE26B3" w:rsidRDefault="00DE26B3" w:rsidP="00EA2D33">
      <w:pPr>
        <w:jc w:val="center"/>
        <w:rPr>
          <w:rFonts w:ascii="Arial" w:hAnsi="Arial" w:cs="Arial"/>
          <w:sz w:val="24"/>
          <w:szCs w:val="24"/>
        </w:rPr>
      </w:pPr>
    </w:p>
    <w:p w14:paraId="444699FE" w14:textId="77777777" w:rsidR="00DE26B3" w:rsidRDefault="00DE26B3" w:rsidP="00EA2D33">
      <w:pPr>
        <w:jc w:val="center"/>
        <w:rPr>
          <w:rFonts w:ascii="Arial" w:hAnsi="Arial" w:cs="Arial"/>
          <w:sz w:val="24"/>
          <w:szCs w:val="24"/>
        </w:rPr>
      </w:pPr>
    </w:p>
    <w:p w14:paraId="638E88ED" w14:textId="77777777" w:rsidR="00DE26B3" w:rsidRDefault="00DE26B3" w:rsidP="00EA2D33">
      <w:pPr>
        <w:jc w:val="center"/>
        <w:rPr>
          <w:rFonts w:ascii="Arial" w:hAnsi="Arial" w:cs="Arial"/>
          <w:sz w:val="24"/>
          <w:szCs w:val="24"/>
        </w:rPr>
      </w:pPr>
    </w:p>
    <w:p w14:paraId="6E27DC43" w14:textId="77777777" w:rsidR="00DE26B3" w:rsidRDefault="00DE26B3" w:rsidP="00EA2D33">
      <w:pPr>
        <w:jc w:val="center"/>
        <w:rPr>
          <w:rFonts w:ascii="Arial" w:hAnsi="Arial" w:cs="Arial"/>
          <w:sz w:val="24"/>
          <w:szCs w:val="24"/>
        </w:rPr>
      </w:pPr>
    </w:p>
    <w:p w14:paraId="0A39F353" w14:textId="77777777" w:rsidR="00DE26B3" w:rsidRDefault="00DE26B3" w:rsidP="00EA2D33">
      <w:pPr>
        <w:jc w:val="center"/>
        <w:rPr>
          <w:rFonts w:ascii="Arial" w:hAnsi="Arial" w:cs="Arial"/>
          <w:sz w:val="24"/>
          <w:szCs w:val="24"/>
        </w:rPr>
      </w:pPr>
    </w:p>
    <w:p w14:paraId="6C3869BA" w14:textId="77777777" w:rsidR="00DE26B3" w:rsidRDefault="00DE26B3" w:rsidP="00EA2D33">
      <w:pPr>
        <w:jc w:val="center"/>
        <w:rPr>
          <w:rFonts w:ascii="Arial" w:hAnsi="Arial" w:cs="Arial"/>
          <w:sz w:val="24"/>
          <w:szCs w:val="24"/>
        </w:rPr>
      </w:pPr>
    </w:p>
    <w:p w14:paraId="4B3CF5B6" w14:textId="77777777" w:rsidR="00DE26B3" w:rsidRDefault="00DE26B3" w:rsidP="00EA2D33">
      <w:pPr>
        <w:jc w:val="center"/>
        <w:rPr>
          <w:rFonts w:ascii="Arial" w:hAnsi="Arial" w:cs="Arial"/>
          <w:sz w:val="24"/>
          <w:szCs w:val="24"/>
        </w:rPr>
      </w:pPr>
    </w:p>
    <w:p w14:paraId="7CAB2BBE" w14:textId="77777777" w:rsidR="00DE26B3" w:rsidRDefault="00DE26B3" w:rsidP="00EA2D33">
      <w:pPr>
        <w:jc w:val="center"/>
        <w:rPr>
          <w:rFonts w:ascii="Arial" w:hAnsi="Arial" w:cs="Arial"/>
          <w:sz w:val="24"/>
          <w:szCs w:val="24"/>
        </w:rPr>
      </w:pPr>
    </w:p>
    <w:p w14:paraId="4DBA160D" w14:textId="77777777" w:rsidR="00DE26B3" w:rsidRDefault="00DE26B3" w:rsidP="00EA2D33">
      <w:pPr>
        <w:jc w:val="center"/>
        <w:rPr>
          <w:rFonts w:ascii="Arial" w:hAnsi="Arial" w:cs="Arial"/>
          <w:sz w:val="24"/>
          <w:szCs w:val="24"/>
        </w:rPr>
      </w:pPr>
    </w:p>
    <w:p w14:paraId="1DF7D803" w14:textId="77777777" w:rsidR="00E21FC9" w:rsidRDefault="00E21FC9" w:rsidP="00EA2D33">
      <w:pPr>
        <w:jc w:val="center"/>
        <w:rPr>
          <w:rFonts w:ascii="Arial" w:hAnsi="Arial" w:cs="Arial"/>
          <w:sz w:val="24"/>
          <w:szCs w:val="24"/>
        </w:rPr>
      </w:pPr>
    </w:p>
    <w:p w14:paraId="48269F2A" w14:textId="77777777" w:rsidR="00E21FC9" w:rsidRDefault="00E21FC9" w:rsidP="00EA2D33">
      <w:pPr>
        <w:jc w:val="center"/>
        <w:rPr>
          <w:rFonts w:ascii="Arial" w:hAnsi="Arial" w:cs="Arial"/>
          <w:sz w:val="24"/>
          <w:szCs w:val="24"/>
        </w:rPr>
      </w:pPr>
    </w:p>
    <w:p w14:paraId="0CB4F151" w14:textId="77777777" w:rsidR="00E21FC9" w:rsidRDefault="00E21FC9" w:rsidP="00EA2D33">
      <w:pPr>
        <w:jc w:val="center"/>
        <w:rPr>
          <w:rFonts w:ascii="Arial" w:hAnsi="Arial" w:cs="Arial"/>
          <w:sz w:val="24"/>
          <w:szCs w:val="24"/>
        </w:rPr>
      </w:pPr>
    </w:p>
    <w:p w14:paraId="149A68DA" w14:textId="77777777" w:rsidR="00E21FC9" w:rsidRDefault="00E21FC9" w:rsidP="00EA2D33">
      <w:pPr>
        <w:jc w:val="center"/>
        <w:rPr>
          <w:rFonts w:ascii="Arial" w:hAnsi="Arial" w:cs="Arial"/>
          <w:sz w:val="24"/>
          <w:szCs w:val="24"/>
        </w:rPr>
      </w:pPr>
    </w:p>
    <w:p w14:paraId="638449A3" w14:textId="77777777" w:rsidR="00DE26B3" w:rsidRDefault="00DE26B3" w:rsidP="00DE26B3">
      <w:pPr>
        <w:spacing w:line="480" w:lineRule="auto"/>
        <w:ind w:firstLine="360"/>
        <w:jc w:val="center"/>
        <w:rPr>
          <w:rFonts w:ascii="Arial" w:hAnsi="Arial" w:cs="Arial"/>
          <w:b/>
          <w:sz w:val="24"/>
          <w:szCs w:val="24"/>
          <w:u w:val="single"/>
        </w:rPr>
      </w:pPr>
      <w:r>
        <w:rPr>
          <w:rFonts w:ascii="Arial" w:hAnsi="Arial" w:cs="Arial"/>
          <w:b/>
          <w:sz w:val="24"/>
          <w:szCs w:val="24"/>
          <w:u w:val="single"/>
        </w:rPr>
        <w:lastRenderedPageBreak/>
        <w:t>TABLE OF CONTENTS</w:t>
      </w:r>
    </w:p>
    <w:p w14:paraId="6509D87D" w14:textId="77777777" w:rsidR="00DE26B3" w:rsidRDefault="00DE26B3" w:rsidP="00DE26B3">
      <w:pPr>
        <w:spacing w:line="480" w:lineRule="auto"/>
        <w:ind w:firstLine="360"/>
        <w:rPr>
          <w:rFonts w:ascii="Arial" w:hAnsi="Arial" w:cs="Arial"/>
          <w:b/>
          <w:sz w:val="24"/>
          <w:szCs w:val="24"/>
          <w:u w:val="single"/>
        </w:rPr>
      </w:pPr>
    </w:p>
    <w:p w14:paraId="45C3314A" w14:textId="0D7CADDB" w:rsidR="00DE26B3" w:rsidRPr="00D4061D" w:rsidRDefault="00DE26B3" w:rsidP="00DE26B3">
      <w:pPr>
        <w:pStyle w:val="ListParagraph"/>
        <w:numPr>
          <w:ilvl w:val="0"/>
          <w:numId w:val="26"/>
        </w:numPr>
        <w:spacing w:line="480" w:lineRule="auto"/>
        <w:ind w:left="1152"/>
        <w:rPr>
          <w:rFonts w:ascii="Arial" w:hAnsi="Arial" w:cs="Arial"/>
          <w:sz w:val="24"/>
          <w:szCs w:val="24"/>
        </w:rPr>
      </w:pPr>
      <w:r w:rsidRPr="00D4061D">
        <w:rPr>
          <w:rFonts w:ascii="Arial" w:hAnsi="Arial" w:cs="Arial"/>
          <w:sz w:val="24"/>
          <w:szCs w:val="24"/>
        </w:rPr>
        <w:t xml:space="preserve">INTRODUCTION . . . . . . . . . . . . . . . . . . . . . . . . . . . . . . . . . . . . . . . . . . . .   </w:t>
      </w:r>
      <w:r w:rsidR="00E21FC9">
        <w:rPr>
          <w:rFonts w:ascii="Arial" w:hAnsi="Arial" w:cs="Arial"/>
          <w:sz w:val="24"/>
          <w:szCs w:val="24"/>
        </w:rPr>
        <w:t xml:space="preserve"> </w:t>
      </w:r>
      <w:r w:rsidRPr="00D4061D">
        <w:rPr>
          <w:rFonts w:ascii="Arial" w:hAnsi="Arial" w:cs="Arial"/>
          <w:sz w:val="24"/>
          <w:szCs w:val="24"/>
        </w:rPr>
        <w:t xml:space="preserve"> </w:t>
      </w:r>
      <w:r w:rsidR="00E21FC9">
        <w:rPr>
          <w:rFonts w:ascii="Arial" w:hAnsi="Arial" w:cs="Arial"/>
          <w:sz w:val="24"/>
          <w:szCs w:val="24"/>
        </w:rPr>
        <w:t>3</w:t>
      </w:r>
      <w:r w:rsidRPr="00D4061D">
        <w:rPr>
          <w:rFonts w:ascii="Arial" w:hAnsi="Arial" w:cs="Arial"/>
          <w:sz w:val="24"/>
          <w:szCs w:val="24"/>
        </w:rPr>
        <w:t xml:space="preserve"> </w:t>
      </w:r>
    </w:p>
    <w:p w14:paraId="6C46C3B7" w14:textId="73C9BBBB" w:rsidR="00DE26B3" w:rsidRPr="00D4061D" w:rsidRDefault="00DE26B3" w:rsidP="00DE26B3">
      <w:pPr>
        <w:pStyle w:val="ListParagraph"/>
        <w:numPr>
          <w:ilvl w:val="0"/>
          <w:numId w:val="26"/>
        </w:numPr>
        <w:spacing w:line="480" w:lineRule="auto"/>
        <w:rPr>
          <w:rFonts w:ascii="Arial" w:hAnsi="Arial" w:cs="Arial"/>
          <w:sz w:val="24"/>
          <w:szCs w:val="24"/>
        </w:rPr>
      </w:pPr>
      <w:r w:rsidRPr="00D4061D">
        <w:rPr>
          <w:rFonts w:ascii="Arial" w:hAnsi="Arial" w:cs="Arial"/>
          <w:sz w:val="24"/>
          <w:szCs w:val="24"/>
        </w:rPr>
        <w:t xml:space="preserve">ARGUMENT . . . . . . . . . . . . . . . . . . . . . . . . . . . . . . . . . . . . . . . . . . . . . . . .    </w:t>
      </w:r>
      <w:r w:rsidR="00E21FC9">
        <w:rPr>
          <w:rFonts w:ascii="Arial" w:hAnsi="Arial" w:cs="Arial"/>
          <w:sz w:val="24"/>
          <w:szCs w:val="24"/>
        </w:rPr>
        <w:t xml:space="preserve"> 4</w:t>
      </w:r>
    </w:p>
    <w:p w14:paraId="71CF2988" w14:textId="69B29208" w:rsidR="00DE26B3" w:rsidRPr="00AE3284" w:rsidRDefault="00DE26B3" w:rsidP="00DE26B3">
      <w:pPr>
        <w:pStyle w:val="ListParagraph"/>
        <w:numPr>
          <w:ilvl w:val="1"/>
          <w:numId w:val="26"/>
        </w:numPr>
        <w:spacing w:line="480" w:lineRule="auto"/>
        <w:ind w:left="1224"/>
        <w:rPr>
          <w:rFonts w:ascii="Arial" w:hAnsi="Arial" w:cs="Arial"/>
        </w:rPr>
      </w:pPr>
      <w:r w:rsidRPr="00AE3284">
        <w:rPr>
          <w:rFonts w:ascii="Arial" w:hAnsi="Arial" w:cs="Arial"/>
        </w:rPr>
        <w:t xml:space="preserve">RPA and Retail Auction Proposals </w:t>
      </w:r>
      <w:r>
        <w:rPr>
          <w:rFonts w:ascii="Arial" w:hAnsi="Arial" w:cs="Arial"/>
        </w:rPr>
        <w:t xml:space="preserve">. . . . . . . . . . . . . . . . . . . . . . . . . . . . . . . . . . </w:t>
      </w:r>
      <w:r w:rsidRPr="00D4061D">
        <w:rPr>
          <w:rFonts w:ascii="Arial" w:hAnsi="Arial" w:cs="Arial"/>
        </w:rPr>
        <w:t xml:space="preserve">.   </w:t>
      </w:r>
      <w:r w:rsidR="00E21FC9">
        <w:rPr>
          <w:rFonts w:ascii="Arial" w:hAnsi="Arial" w:cs="Arial"/>
        </w:rPr>
        <w:t xml:space="preserve"> </w:t>
      </w:r>
      <w:r w:rsidRPr="00D4061D">
        <w:rPr>
          <w:rFonts w:ascii="Arial" w:hAnsi="Arial" w:cs="Arial"/>
        </w:rPr>
        <w:t xml:space="preserve">  </w:t>
      </w:r>
      <w:r w:rsidR="00E21FC9">
        <w:rPr>
          <w:rFonts w:ascii="Arial" w:hAnsi="Arial" w:cs="Arial"/>
          <w:sz w:val="24"/>
          <w:szCs w:val="24"/>
        </w:rPr>
        <w:t>4</w:t>
      </w:r>
      <w:r>
        <w:rPr>
          <w:rFonts w:ascii="Arial" w:hAnsi="Arial" w:cs="Arial"/>
          <w:b/>
          <w:sz w:val="24"/>
          <w:szCs w:val="24"/>
        </w:rPr>
        <w:t xml:space="preserve"> </w:t>
      </w:r>
      <w:r>
        <w:rPr>
          <w:rFonts w:ascii="Arial" w:hAnsi="Arial" w:cs="Arial"/>
          <w:sz w:val="24"/>
          <w:szCs w:val="24"/>
        </w:rPr>
        <w:t xml:space="preserve">  </w:t>
      </w:r>
    </w:p>
    <w:p w14:paraId="33792F88" w14:textId="77777777" w:rsidR="00DE26B3" w:rsidRPr="00D4061D" w:rsidRDefault="00DE26B3" w:rsidP="00DE26B3">
      <w:pPr>
        <w:pStyle w:val="ListParagraph"/>
        <w:numPr>
          <w:ilvl w:val="2"/>
          <w:numId w:val="26"/>
        </w:numPr>
        <w:spacing w:after="0" w:line="480" w:lineRule="auto"/>
        <w:ind w:left="1332"/>
        <w:rPr>
          <w:rFonts w:ascii="Arial" w:hAnsi="Arial" w:cs="Arial"/>
          <w:sz w:val="20"/>
          <w:szCs w:val="20"/>
        </w:rPr>
      </w:pPr>
      <w:r>
        <w:rPr>
          <w:rFonts w:ascii="Arial" w:hAnsi="Arial" w:cs="Arial"/>
          <w:sz w:val="20"/>
          <w:szCs w:val="20"/>
        </w:rPr>
        <w:t xml:space="preserve">  </w:t>
      </w:r>
      <w:r w:rsidRPr="00AE3284">
        <w:rPr>
          <w:rFonts w:ascii="Arial" w:hAnsi="Arial" w:cs="Arial"/>
          <w:sz w:val="20"/>
          <w:szCs w:val="20"/>
        </w:rPr>
        <w:t xml:space="preserve">Ohio Law Allows the Commission to Adopt IGS RPA and </w:t>
      </w:r>
      <w:r w:rsidRPr="00692B4F">
        <w:rPr>
          <w:rFonts w:ascii="Arial" w:hAnsi="Arial" w:cs="Arial"/>
          <w:sz w:val="20"/>
          <w:szCs w:val="20"/>
        </w:rPr>
        <w:t xml:space="preserve">Retail </w:t>
      </w:r>
      <w:r w:rsidRPr="00D4061D">
        <w:rPr>
          <w:rFonts w:ascii="Arial" w:hAnsi="Arial" w:cs="Arial"/>
          <w:sz w:val="20"/>
          <w:szCs w:val="20"/>
        </w:rPr>
        <w:t xml:space="preserve">Auction Proposals </w:t>
      </w:r>
    </w:p>
    <w:p w14:paraId="4B214840" w14:textId="77777777" w:rsidR="00DE26B3" w:rsidRPr="00D4061D" w:rsidRDefault="00DE26B3" w:rsidP="00DE26B3">
      <w:pPr>
        <w:pStyle w:val="ListParagraph"/>
        <w:numPr>
          <w:ilvl w:val="2"/>
          <w:numId w:val="26"/>
        </w:numPr>
        <w:spacing w:after="0" w:line="480" w:lineRule="auto"/>
        <w:ind w:left="1332"/>
        <w:rPr>
          <w:rFonts w:ascii="Arial" w:hAnsi="Arial" w:cs="Arial"/>
          <w:sz w:val="20"/>
          <w:szCs w:val="20"/>
        </w:rPr>
      </w:pPr>
      <w:r>
        <w:rPr>
          <w:rFonts w:ascii="Arial" w:hAnsi="Arial" w:cs="Arial"/>
          <w:sz w:val="20"/>
          <w:szCs w:val="20"/>
        </w:rPr>
        <w:t xml:space="preserve">  </w:t>
      </w:r>
      <w:r w:rsidRPr="00AE3284">
        <w:rPr>
          <w:rFonts w:ascii="Arial" w:hAnsi="Arial" w:cs="Arial"/>
          <w:sz w:val="20"/>
          <w:szCs w:val="20"/>
        </w:rPr>
        <w:t xml:space="preserve">The RPA and Retail Auction Proposals Would </w:t>
      </w:r>
      <w:r>
        <w:rPr>
          <w:rFonts w:ascii="Arial" w:hAnsi="Arial" w:cs="Arial"/>
          <w:sz w:val="20"/>
          <w:szCs w:val="20"/>
        </w:rPr>
        <w:t>Lower Costs</w:t>
      </w:r>
      <w:r w:rsidRPr="00692B4F">
        <w:rPr>
          <w:rFonts w:ascii="Arial" w:hAnsi="Arial" w:cs="Arial"/>
          <w:sz w:val="20"/>
          <w:szCs w:val="20"/>
        </w:rPr>
        <w:t xml:space="preserve"> to </w:t>
      </w:r>
      <w:r w:rsidRPr="00D4061D">
        <w:rPr>
          <w:rFonts w:ascii="Arial" w:hAnsi="Arial" w:cs="Arial"/>
          <w:sz w:val="20"/>
          <w:szCs w:val="20"/>
        </w:rPr>
        <w:t>Electric Consumers</w:t>
      </w:r>
    </w:p>
    <w:p w14:paraId="56DDA2E7" w14:textId="77777777" w:rsidR="00DE26B3" w:rsidRPr="00D4061D" w:rsidRDefault="00DE26B3" w:rsidP="00DE26B3">
      <w:pPr>
        <w:pStyle w:val="ListParagraph"/>
        <w:numPr>
          <w:ilvl w:val="2"/>
          <w:numId w:val="26"/>
        </w:numPr>
        <w:spacing w:after="0" w:line="480" w:lineRule="auto"/>
        <w:ind w:left="1332"/>
        <w:rPr>
          <w:rFonts w:ascii="Arial" w:hAnsi="Arial" w:cs="Arial"/>
          <w:sz w:val="20"/>
          <w:szCs w:val="20"/>
        </w:rPr>
      </w:pPr>
      <w:r>
        <w:rPr>
          <w:rFonts w:ascii="Arial" w:hAnsi="Arial" w:cs="Arial"/>
          <w:sz w:val="20"/>
          <w:szCs w:val="20"/>
        </w:rPr>
        <w:t xml:space="preserve">  </w:t>
      </w:r>
      <w:r w:rsidRPr="00AE3284">
        <w:rPr>
          <w:rFonts w:ascii="Arial" w:hAnsi="Arial" w:cs="Arial"/>
          <w:sz w:val="20"/>
          <w:szCs w:val="20"/>
        </w:rPr>
        <w:t xml:space="preserve">The Fact the Commission has not Approved IGS’ Retail Auction </w:t>
      </w:r>
      <w:r w:rsidRPr="00D4061D">
        <w:rPr>
          <w:rFonts w:ascii="Arial" w:hAnsi="Arial" w:cs="Arial"/>
          <w:sz w:val="20"/>
          <w:szCs w:val="20"/>
        </w:rPr>
        <w:t xml:space="preserve"> Proposal in the Past Does Not Preclude the Commission from Approving IGS’ Proposals Either Now or in the Future</w:t>
      </w:r>
      <w:r w:rsidRPr="00D4061D">
        <w:rPr>
          <w:rFonts w:ascii="Arial" w:hAnsi="Arial" w:cs="Arial"/>
        </w:rPr>
        <w:t xml:space="preserve"> </w:t>
      </w:r>
    </w:p>
    <w:p w14:paraId="0FBF6817" w14:textId="77777777" w:rsidR="00DE26B3" w:rsidRPr="00AE3284" w:rsidRDefault="00DE26B3" w:rsidP="00DE26B3">
      <w:pPr>
        <w:pStyle w:val="ListParagraph"/>
        <w:numPr>
          <w:ilvl w:val="1"/>
          <w:numId w:val="26"/>
        </w:numPr>
        <w:spacing w:after="0" w:line="480" w:lineRule="auto"/>
        <w:ind w:left="1224"/>
        <w:rPr>
          <w:rFonts w:ascii="Arial" w:hAnsi="Arial" w:cs="Arial"/>
        </w:rPr>
      </w:pPr>
      <w:r w:rsidRPr="00AE3284">
        <w:rPr>
          <w:rFonts w:ascii="Arial" w:hAnsi="Arial" w:cs="Arial"/>
        </w:rPr>
        <w:t>The Commission Should Reject AEP’s PPA Rider</w:t>
      </w:r>
      <w:r>
        <w:rPr>
          <w:rFonts w:ascii="Arial" w:hAnsi="Arial" w:cs="Arial"/>
        </w:rPr>
        <w:t xml:space="preserve"> . . . . . . . . . . . . . . . . . . . . . . . .   </w:t>
      </w:r>
      <w:r w:rsidRPr="00D4061D">
        <w:rPr>
          <w:rFonts w:ascii="Arial" w:hAnsi="Arial" w:cs="Arial"/>
          <w:sz w:val="24"/>
          <w:szCs w:val="24"/>
        </w:rPr>
        <w:t>8</w:t>
      </w:r>
      <w:r>
        <w:rPr>
          <w:rFonts w:ascii="Arial" w:hAnsi="Arial" w:cs="Arial"/>
          <w:sz w:val="24"/>
          <w:szCs w:val="24"/>
        </w:rPr>
        <w:t xml:space="preserve"> </w:t>
      </w:r>
    </w:p>
    <w:p w14:paraId="3D08EA9C" w14:textId="4801786D" w:rsidR="00DE26B3" w:rsidRPr="00AE3284" w:rsidRDefault="00DE26B3" w:rsidP="00DE26B3">
      <w:pPr>
        <w:pStyle w:val="ListParagraph"/>
        <w:numPr>
          <w:ilvl w:val="1"/>
          <w:numId w:val="26"/>
        </w:numPr>
        <w:spacing w:after="0" w:line="480" w:lineRule="auto"/>
        <w:ind w:left="1224"/>
        <w:rPr>
          <w:rFonts w:ascii="Arial" w:hAnsi="Arial" w:cs="Arial"/>
        </w:rPr>
      </w:pPr>
      <w:r w:rsidRPr="00AE3284">
        <w:rPr>
          <w:rFonts w:ascii="Arial" w:hAnsi="Arial" w:cs="Arial"/>
        </w:rPr>
        <w:t>The Commission Should Approve Rider BTRC</w:t>
      </w:r>
      <w:r>
        <w:rPr>
          <w:rFonts w:ascii="Arial" w:hAnsi="Arial" w:cs="Arial"/>
        </w:rPr>
        <w:tab/>
        <w:t xml:space="preserve"> . . . . . . . . . . . . . . . . . . . . . . . . . .  </w:t>
      </w:r>
      <w:r w:rsidRPr="00D4061D">
        <w:rPr>
          <w:rFonts w:ascii="Arial" w:hAnsi="Arial" w:cs="Arial"/>
          <w:sz w:val="24"/>
          <w:szCs w:val="24"/>
        </w:rPr>
        <w:t>1</w:t>
      </w:r>
      <w:r w:rsidR="00E21FC9">
        <w:rPr>
          <w:rFonts w:ascii="Arial" w:hAnsi="Arial" w:cs="Arial"/>
          <w:sz w:val="24"/>
          <w:szCs w:val="24"/>
        </w:rPr>
        <w:t>1</w:t>
      </w:r>
    </w:p>
    <w:p w14:paraId="1A1D3B9D" w14:textId="77777777" w:rsidR="00DE26B3" w:rsidRDefault="00DE26B3" w:rsidP="00DE26B3">
      <w:pPr>
        <w:pStyle w:val="ListParagraph"/>
        <w:numPr>
          <w:ilvl w:val="1"/>
          <w:numId w:val="26"/>
        </w:numPr>
        <w:spacing w:after="0" w:line="480" w:lineRule="auto"/>
        <w:ind w:left="1224"/>
        <w:rPr>
          <w:rFonts w:ascii="Arial" w:hAnsi="Arial" w:cs="Arial"/>
        </w:rPr>
      </w:pPr>
      <w:r w:rsidRPr="00AE3284">
        <w:rPr>
          <w:rFonts w:ascii="Arial" w:hAnsi="Arial" w:cs="Arial"/>
        </w:rPr>
        <w:t>The Commission Should Approve Discontinuance of AEP’s</w:t>
      </w:r>
      <w:r>
        <w:rPr>
          <w:rFonts w:ascii="Arial" w:hAnsi="Arial" w:cs="Arial"/>
        </w:rPr>
        <w:t xml:space="preserve"> </w:t>
      </w:r>
      <w:r w:rsidRPr="00D4061D">
        <w:rPr>
          <w:rFonts w:ascii="Arial" w:hAnsi="Arial" w:cs="Arial"/>
        </w:rPr>
        <w:t xml:space="preserve">TOU Rate </w:t>
      </w:r>
    </w:p>
    <w:p w14:paraId="6E84C0D0" w14:textId="77777777" w:rsidR="00DE26B3" w:rsidRPr="00D4061D" w:rsidRDefault="00DE26B3" w:rsidP="00DE26B3">
      <w:pPr>
        <w:spacing w:after="0" w:line="480" w:lineRule="auto"/>
        <w:ind w:left="864"/>
        <w:rPr>
          <w:rFonts w:ascii="Arial" w:hAnsi="Arial" w:cs="Arial"/>
        </w:rPr>
      </w:pPr>
      <w:r>
        <w:rPr>
          <w:rFonts w:ascii="Arial" w:hAnsi="Arial" w:cs="Arial"/>
        </w:rPr>
        <w:t xml:space="preserve">      </w:t>
      </w:r>
      <w:r w:rsidRPr="00D4061D">
        <w:rPr>
          <w:rFonts w:ascii="Arial" w:hAnsi="Arial" w:cs="Arial"/>
        </w:rPr>
        <w:t xml:space="preserve">Offerings and GridSmart Tariffs </w:t>
      </w:r>
      <w:r>
        <w:rPr>
          <w:rFonts w:ascii="Arial" w:hAnsi="Arial" w:cs="Arial"/>
        </w:rPr>
        <w:t xml:space="preserve"> . . . . . . . . . . . . . . . . . . . . . . . . . . . . . . . . . . . . </w:t>
      </w:r>
      <w:r w:rsidRPr="00D4061D">
        <w:rPr>
          <w:rFonts w:ascii="Arial" w:hAnsi="Arial" w:cs="Arial"/>
        </w:rPr>
        <w:t xml:space="preserve">.   </w:t>
      </w:r>
      <w:r w:rsidRPr="00D4061D">
        <w:rPr>
          <w:rFonts w:ascii="Arial" w:hAnsi="Arial" w:cs="Arial"/>
          <w:sz w:val="24"/>
          <w:szCs w:val="24"/>
        </w:rPr>
        <w:t>12</w:t>
      </w:r>
    </w:p>
    <w:p w14:paraId="75E5D00A" w14:textId="77777777" w:rsidR="00DE26B3" w:rsidRPr="00D4061D" w:rsidRDefault="00DE26B3" w:rsidP="00DE26B3">
      <w:pPr>
        <w:pStyle w:val="ListParagraph"/>
        <w:numPr>
          <w:ilvl w:val="1"/>
          <w:numId w:val="26"/>
        </w:numPr>
        <w:spacing w:after="0" w:line="480" w:lineRule="auto"/>
        <w:ind w:left="1224"/>
        <w:rPr>
          <w:rFonts w:ascii="Arial" w:hAnsi="Arial" w:cs="Arial"/>
        </w:rPr>
      </w:pPr>
      <w:r w:rsidRPr="00AE3284">
        <w:rPr>
          <w:rFonts w:ascii="Arial" w:hAnsi="Arial" w:cs="Arial"/>
        </w:rPr>
        <w:t xml:space="preserve">The Commission Should Adopt RESA’s Market Entry </w:t>
      </w:r>
      <w:r>
        <w:rPr>
          <w:rFonts w:ascii="Arial" w:hAnsi="Arial" w:cs="Arial"/>
        </w:rPr>
        <w:t xml:space="preserve">Program </w:t>
      </w:r>
      <w:r w:rsidRPr="00D4061D">
        <w:rPr>
          <w:rFonts w:ascii="Arial" w:hAnsi="Arial" w:cs="Arial"/>
        </w:rPr>
        <w:t>and the Instant Connect Proposal Advocated by RESA</w:t>
      </w:r>
      <w:r>
        <w:rPr>
          <w:rFonts w:ascii="Arial" w:hAnsi="Arial" w:cs="Arial"/>
        </w:rPr>
        <w:t xml:space="preserve"> . . . . . . . . . . . . . . . . . . . . . . . . . . . . . . . . </w:t>
      </w:r>
      <w:r w:rsidRPr="00D4061D">
        <w:rPr>
          <w:rFonts w:ascii="Arial" w:hAnsi="Arial" w:cs="Arial"/>
        </w:rPr>
        <w:t xml:space="preserve"> </w:t>
      </w:r>
      <w:r w:rsidRPr="00D4061D">
        <w:rPr>
          <w:rFonts w:ascii="Arial" w:hAnsi="Arial" w:cs="Arial"/>
          <w:sz w:val="24"/>
          <w:szCs w:val="24"/>
        </w:rPr>
        <w:t>14</w:t>
      </w:r>
    </w:p>
    <w:p w14:paraId="0C6AFFCE" w14:textId="77777777" w:rsidR="00DE26B3" w:rsidRPr="00D4061D" w:rsidRDefault="00DE26B3" w:rsidP="00DE26B3">
      <w:pPr>
        <w:pStyle w:val="ListParagraph"/>
        <w:numPr>
          <w:ilvl w:val="1"/>
          <w:numId w:val="26"/>
        </w:numPr>
        <w:spacing w:after="0" w:line="480" w:lineRule="auto"/>
        <w:ind w:left="1224"/>
        <w:rPr>
          <w:rFonts w:ascii="Arial" w:hAnsi="Arial" w:cs="Arial"/>
        </w:rPr>
      </w:pPr>
      <w:r w:rsidRPr="00AE3284">
        <w:rPr>
          <w:rFonts w:ascii="Arial" w:hAnsi="Arial" w:cs="Arial"/>
        </w:rPr>
        <w:t xml:space="preserve">The Commission Should Adopt the Purchase of Receivables </w:t>
      </w:r>
      <w:r w:rsidRPr="00D4061D">
        <w:rPr>
          <w:rFonts w:ascii="Arial" w:hAnsi="Arial" w:cs="Arial"/>
        </w:rPr>
        <w:t>(“POR”) Program Proposed by AEP</w:t>
      </w:r>
      <w:r>
        <w:rPr>
          <w:rFonts w:ascii="Arial" w:hAnsi="Arial" w:cs="Arial"/>
        </w:rPr>
        <w:t xml:space="preserve"> . . . . . . . . . . . . . . . . . . . . . . . . . . . . . . . . . . . . . . . . . . . . . . . .</w:t>
      </w:r>
      <w:r w:rsidRPr="00D4061D">
        <w:rPr>
          <w:rFonts w:ascii="Arial" w:hAnsi="Arial" w:cs="Arial"/>
        </w:rPr>
        <w:t xml:space="preserve">  </w:t>
      </w:r>
      <w:r>
        <w:rPr>
          <w:rFonts w:ascii="Arial" w:hAnsi="Arial" w:cs="Arial"/>
          <w:b/>
        </w:rPr>
        <w:t xml:space="preserve">  </w:t>
      </w:r>
      <w:r w:rsidRPr="00D4061D">
        <w:rPr>
          <w:rFonts w:ascii="Arial" w:hAnsi="Arial" w:cs="Arial"/>
          <w:sz w:val="24"/>
          <w:szCs w:val="24"/>
        </w:rPr>
        <w:t>16</w:t>
      </w:r>
    </w:p>
    <w:p w14:paraId="7FE43229" w14:textId="77777777" w:rsidR="00DE26B3" w:rsidRPr="00D4061D" w:rsidRDefault="00DE26B3" w:rsidP="00DE26B3">
      <w:pPr>
        <w:pStyle w:val="ListParagraph"/>
        <w:numPr>
          <w:ilvl w:val="0"/>
          <w:numId w:val="26"/>
        </w:numPr>
        <w:spacing w:after="0" w:line="480" w:lineRule="auto"/>
        <w:rPr>
          <w:rFonts w:ascii="Arial" w:hAnsi="Arial" w:cs="Arial"/>
          <w:sz w:val="24"/>
          <w:szCs w:val="24"/>
        </w:rPr>
      </w:pPr>
      <w:r w:rsidRPr="00D4061D">
        <w:rPr>
          <w:rFonts w:ascii="Arial" w:hAnsi="Arial" w:cs="Arial"/>
          <w:sz w:val="24"/>
          <w:szCs w:val="24"/>
        </w:rPr>
        <w:t xml:space="preserve">CONCLUSION . . . . . . . . . . . . . . . . . . . . . . . . . . . . . . . . . . . . . . . . . . . . . .  </w:t>
      </w:r>
      <w:r>
        <w:rPr>
          <w:rFonts w:ascii="Arial" w:hAnsi="Arial" w:cs="Arial"/>
          <w:sz w:val="24"/>
          <w:szCs w:val="24"/>
        </w:rPr>
        <w:t xml:space="preserve"> </w:t>
      </w:r>
      <w:r w:rsidRPr="00D4061D">
        <w:rPr>
          <w:rFonts w:ascii="Arial" w:hAnsi="Arial" w:cs="Arial"/>
          <w:sz w:val="24"/>
          <w:szCs w:val="24"/>
        </w:rPr>
        <w:t xml:space="preserve"> 17 </w:t>
      </w:r>
    </w:p>
    <w:p w14:paraId="7065552A" w14:textId="77777777" w:rsidR="00DE26B3" w:rsidRPr="00D4061D" w:rsidRDefault="00DE26B3" w:rsidP="00DE26B3">
      <w:pPr>
        <w:spacing w:after="0" w:line="480" w:lineRule="auto"/>
        <w:ind w:left="720" w:firstLine="360"/>
        <w:rPr>
          <w:rFonts w:ascii="Arial" w:hAnsi="Arial" w:cs="Arial"/>
          <w:sz w:val="24"/>
          <w:szCs w:val="24"/>
        </w:rPr>
      </w:pPr>
      <w:r w:rsidRPr="00D4061D">
        <w:rPr>
          <w:rFonts w:ascii="Arial" w:hAnsi="Arial" w:cs="Arial"/>
          <w:sz w:val="24"/>
          <w:szCs w:val="24"/>
        </w:rPr>
        <w:t xml:space="preserve">CERTIFICATE OF SERVICE </w:t>
      </w:r>
      <w:r>
        <w:rPr>
          <w:rFonts w:ascii="Arial" w:hAnsi="Arial" w:cs="Arial"/>
          <w:sz w:val="24"/>
          <w:szCs w:val="24"/>
        </w:rPr>
        <w:t xml:space="preserve"> . . . . . . . . . . . . . . . . . . . . . . . . . . . . . . . . . .    </w:t>
      </w:r>
      <w:r w:rsidRPr="00D4061D">
        <w:rPr>
          <w:rFonts w:ascii="Arial" w:hAnsi="Arial" w:cs="Arial"/>
          <w:sz w:val="24"/>
          <w:szCs w:val="24"/>
        </w:rPr>
        <w:t>19</w:t>
      </w:r>
    </w:p>
    <w:p w14:paraId="76ECDEA4" w14:textId="77777777" w:rsidR="00DE26B3" w:rsidRDefault="00DE26B3" w:rsidP="00EA2D33">
      <w:pPr>
        <w:jc w:val="center"/>
        <w:rPr>
          <w:rFonts w:ascii="Arial" w:hAnsi="Arial" w:cs="Arial"/>
          <w:sz w:val="24"/>
          <w:szCs w:val="24"/>
        </w:rPr>
      </w:pPr>
    </w:p>
    <w:p w14:paraId="0F3FCB1B" w14:textId="77777777" w:rsidR="00DE26B3" w:rsidRDefault="00DE26B3" w:rsidP="00DE26B3">
      <w:pPr>
        <w:rPr>
          <w:rFonts w:ascii="Arial" w:hAnsi="Arial" w:cs="Arial"/>
          <w:sz w:val="24"/>
          <w:szCs w:val="24"/>
        </w:rPr>
      </w:pPr>
    </w:p>
    <w:p w14:paraId="7A811946" w14:textId="77777777" w:rsidR="00DE26B3" w:rsidRDefault="00DE26B3" w:rsidP="00DE26B3">
      <w:pPr>
        <w:rPr>
          <w:rFonts w:ascii="Arial" w:hAnsi="Arial" w:cs="Arial"/>
          <w:sz w:val="24"/>
          <w:szCs w:val="24"/>
        </w:rPr>
      </w:pPr>
    </w:p>
    <w:p w14:paraId="4FA76692" w14:textId="77777777" w:rsidR="00DE26B3" w:rsidRPr="00AD6628" w:rsidRDefault="00DE26B3" w:rsidP="00EA2D33">
      <w:pPr>
        <w:jc w:val="center"/>
        <w:rPr>
          <w:rFonts w:ascii="Arial" w:hAnsi="Arial" w:cs="Arial"/>
          <w:sz w:val="24"/>
          <w:szCs w:val="24"/>
        </w:rPr>
      </w:pPr>
    </w:p>
    <w:p w14:paraId="557CDAE1" w14:textId="0D784041" w:rsidR="00DE26B3" w:rsidRPr="00DE26B3" w:rsidRDefault="00DE26B3" w:rsidP="00DE26B3">
      <w:pPr>
        <w:pStyle w:val="ListParagraph"/>
        <w:numPr>
          <w:ilvl w:val="0"/>
          <w:numId w:val="16"/>
        </w:numPr>
        <w:rPr>
          <w:rFonts w:ascii="Arial" w:hAnsi="Arial" w:cs="Arial"/>
          <w:b/>
          <w:sz w:val="24"/>
          <w:szCs w:val="24"/>
        </w:rPr>
      </w:pPr>
      <w:r w:rsidRPr="00DE26B3">
        <w:rPr>
          <w:rFonts w:ascii="Arial" w:hAnsi="Arial" w:cs="Arial"/>
          <w:b/>
          <w:sz w:val="24"/>
          <w:szCs w:val="24"/>
        </w:rPr>
        <w:lastRenderedPageBreak/>
        <w:tab/>
        <w:t>INTRODUCTION</w:t>
      </w:r>
    </w:p>
    <w:p w14:paraId="723AFE25" w14:textId="243FCEEF" w:rsidR="00F14EEC" w:rsidRDefault="00F14EEC" w:rsidP="00F14EEC">
      <w:pPr>
        <w:spacing w:line="480" w:lineRule="auto"/>
        <w:ind w:firstLine="360"/>
        <w:rPr>
          <w:rFonts w:ascii="Arial" w:hAnsi="Arial" w:cs="Arial"/>
          <w:sz w:val="24"/>
          <w:szCs w:val="24"/>
        </w:rPr>
      </w:pPr>
      <w:r w:rsidRPr="00F14EEC">
        <w:rPr>
          <w:rFonts w:ascii="Arial" w:hAnsi="Arial" w:cs="Arial"/>
          <w:sz w:val="24"/>
          <w:szCs w:val="24"/>
        </w:rPr>
        <w:t xml:space="preserve">In </w:t>
      </w:r>
      <w:r>
        <w:rPr>
          <w:rFonts w:ascii="Arial" w:hAnsi="Arial" w:cs="Arial"/>
          <w:sz w:val="24"/>
          <w:szCs w:val="24"/>
        </w:rPr>
        <w:t>its Initial Post Hearing Brief filed in this proceeding IGS Energy (“IGS”) recommended that the</w:t>
      </w:r>
      <w:r w:rsidRPr="00F14EEC">
        <w:rPr>
          <w:rFonts w:ascii="Arial" w:hAnsi="Arial" w:cs="Arial"/>
          <w:sz w:val="24"/>
          <w:szCs w:val="24"/>
        </w:rPr>
        <w:t xml:space="preserve"> </w:t>
      </w:r>
      <w:r>
        <w:rPr>
          <w:rFonts w:ascii="Arial" w:hAnsi="Arial" w:cs="Arial"/>
          <w:sz w:val="24"/>
          <w:szCs w:val="24"/>
        </w:rPr>
        <w:t xml:space="preserve">Public Utilities Commission of Ohio (“Commission”) </w:t>
      </w:r>
      <w:r w:rsidR="00C5232A">
        <w:rPr>
          <w:rFonts w:ascii="Arial" w:hAnsi="Arial" w:cs="Arial"/>
          <w:sz w:val="24"/>
          <w:szCs w:val="24"/>
        </w:rPr>
        <w:t>modify Ohio Power Company’s (“AEP”) Electric Security Plan Application (“ESP Application”) in a manner that</w:t>
      </w:r>
      <w:r w:rsidR="004B2E49">
        <w:rPr>
          <w:rFonts w:ascii="Arial" w:hAnsi="Arial" w:cs="Arial"/>
          <w:sz w:val="24"/>
          <w:szCs w:val="24"/>
        </w:rPr>
        <w:t xml:space="preserve"> would benefit Ohio customers.</w:t>
      </w:r>
      <w:r w:rsidR="00C5232A">
        <w:rPr>
          <w:rFonts w:ascii="Arial" w:hAnsi="Arial" w:cs="Arial"/>
          <w:sz w:val="24"/>
          <w:szCs w:val="24"/>
        </w:rPr>
        <w:t xml:space="preserve">  IGS recommendations include the following:</w:t>
      </w:r>
    </w:p>
    <w:p w14:paraId="5AC592B0" w14:textId="457845B3" w:rsidR="00C5232A" w:rsidRDefault="00C5232A" w:rsidP="00C5232A">
      <w:pPr>
        <w:pStyle w:val="ListParagraph"/>
        <w:numPr>
          <w:ilvl w:val="0"/>
          <w:numId w:val="17"/>
        </w:numPr>
        <w:spacing w:line="480" w:lineRule="auto"/>
        <w:rPr>
          <w:rFonts w:ascii="Arial" w:hAnsi="Arial" w:cs="Arial"/>
          <w:sz w:val="24"/>
          <w:szCs w:val="24"/>
        </w:rPr>
      </w:pPr>
      <w:r>
        <w:rPr>
          <w:rFonts w:ascii="Arial" w:hAnsi="Arial" w:cs="Arial"/>
          <w:sz w:val="24"/>
          <w:szCs w:val="24"/>
        </w:rPr>
        <w:t>Adopting IGS’ witness White’s proposal to apply a retail price adjustment (“RPA”</w:t>
      </w:r>
      <w:r w:rsidR="004B2E49">
        <w:rPr>
          <w:rFonts w:ascii="Arial" w:hAnsi="Arial" w:cs="Arial"/>
          <w:sz w:val="24"/>
          <w:szCs w:val="24"/>
        </w:rPr>
        <w:t>) to</w:t>
      </w:r>
      <w:r>
        <w:rPr>
          <w:rFonts w:ascii="Arial" w:hAnsi="Arial" w:cs="Arial"/>
          <w:sz w:val="24"/>
          <w:szCs w:val="24"/>
        </w:rPr>
        <w:t xml:space="preserve"> Standard Service Office (“SSO”) suppliers and conduct a retail auction to serve SSO customers</w:t>
      </w:r>
      <w:r w:rsidR="003F5FD9">
        <w:rPr>
          <w:rFonts w:ascii="Arial" w:hAnsi="Arial" w:cs="Arial"/>
          <w:sz w:val="24"/>
          <w:szCs w:val="24"/>
        </w:rPr>
        <w:t xml:space="preserve"> </w:t>
      </w:r>
      <w:r>
        <w:rPr>
          <w:rFonts w:ascii="Arial" w:hAnsi="Arial" w:cs="Arial"/>
          <w:sz w:val="24"/>
          <w:szCs w:val="24"/>
        </w:rPr>
        <w:t>- such m</w:t>
      </w:r>
      <w:r w:rsidR="004B2E49">
        <w:rPr>
          <w:rFonts w:ascii="Arial" w:hAnsi="Arial" w:cs="Arial"/>
          <w:sz w:val="24"/>
          <w:szCs w:val="24"/>
        </w:rPr>
        <w:t>easures</w:t>
      </w:r>
      <w:r>
        <w:rPr>
          <w:rFonts w:ascii="Arial" w:hAnsi="Arial" w:cs="Arial"/>
          <w:sz w:val="24"/>
          <w:szCs w:val="24"/>
        </w:rPr>
        <w:t xml:space="preserve"> would make AEP’s SSO price a more comparable and unbundled price </w:t>
      </w:r>
      <w:r w:rsidR="004B2E49">
        <w:rPr>
          <w:rFonts w:ascii="Arial" w:hAnsi="Arial" w:cs="Arial"/>
          <w:sz w:val="24"/>
          <w:szCs w:val="24"/>
        </w:rPr>
        <w:t>consistent with Ohio law;</w:t>
      </w:r>
    </w:p>
    <w:p w14:paraId="3EF27054" w14:textId="25EF706D" w:rsidR="004B2E49" w:rsidRDefault="004B2E49" w:rsidP="00C5232A">
      <w:pPr>
        <w:pStyle w:val="ListParagraph"/>
        <w:numPr>
          <w:ilvl w:val="0"/>
          <w:numId w:val="17"/>
        </w:numPr>
        <w:spacing w:line="480" w:lineRule="auto"/>
        <w:rPr>
          <w:rFonts w:ascii="Arial" w:hAnsi="Arial" w:cs="Arial"/>
          <w:sz w:val="24"/>
          <w:szCs w:val="24"/>
        </w:rPr>
      </w:pPr>
      <w:r>
        <w:rPr>
          <w:rFonts w:ascii="Arial" w:hAnsi="Arial" w:cs="Arial"/>
          <w:sz w:val="24"/>
          <w:szCs w:val="24"/>
        </w:rPr>
        <w:t>Reject AEP’s Power Purchase Adjustment (“PPA”) rider proposal in its entirety;</w:t>
      </w:r>
    </w:p>
    <w:p w14:paraId="32815039" w14:textId="64AC71D8" w:rsidR="004B2E49" w:rsidRDefault="004B2E49" w:rsidP="00C5232A">
      <w:pPr>
        <w:pStyle w:val="ListParagraph"/>
        <w:numPr>
          <w:ilvl w:val="0"/>
          <w:numId w:val="17"/>
        </w:numPr>
        <w:spacing w:line="480" w:lineRule="auto"/>
        <w:rPr>
          <w:rFonts w:ascii="Arial" w:hAnsi="Arial" w:cs="Arial"/>
          <w:sz w:val="24"/>
          <w:szCs w:val="24"/>
        </w:rPr>
      </w:pPr>
      <w:r>
        <w:rPr>
          <w:rFonts w:ascii="Arial" w:hAnsi="Arial" w:cs="Arial"/>
          <w:sz w:val="24"/>
          <w:szCs w:val="24"/>
        </w:rPr>
        <w:t>Adopt IGS’ witness White and Direct Energy witness Ri</w:t>
      </w:r>
      <w:r w:rsidR="0062672E">
        <w:rPr>
          <w:rFonts w:ascii="Arial" w:hAnsi="Arial" w:cs="Arial"/>
          <w:sz w:val="24"/>
          <w:szCs w:val="24"/>
        </w:rPr>
        <w:t>n</w:t>
      </w:r>
      <w:r>
        <w:rPr>
          <w:rFonts w:ascii="Arial" w:hAnsi="Arial" w:cs="Arial"/>
          <w:sz w:val="24"/>
          <w:szCs w:val="24"/>
        </w:rPr>
        <w:t>genbach’s proposal for supplier consolidated billing.</w:t>
      </w:r>
    </w:p>
    <w:p w14:paraId="2E7B6DDB" w14:textId="122A9BDD" w:rsidR="0062672E" w:rsidRDefault="0062672E" w:rsidP="00692B4F">
      <w:pPr>
        <w:spacing w:line="480" w:lineRule="auto"/>
        <w:ind w:firstLine="360"/>
        <w:rPr>
          <w:rFonts w:ascii="Arial" w:hAnsi="Arial" w:cs="Arial"/>
          <w:sz w:val="24"/>
          <w:szCs w:val="24"/>
        </w:rPr>
      </w:pPr>
      <w:r>
        <w:rPr>
          <w:rFonts w:ascii="Arial" w:hAnsi="Arial" w:cs="Arial"/>
          <w:sz w:val="24"/>
          <w:szCs w:val="24"/>
        </w:rPr>
        <w:t>Additionally, IGS recommended that the Commission approve a number of AEP’s proposals made in the ESP Application including:</w:t>
      </w:r>
    </w:p>
    <w:p w14:paraId="250525C5" w14:textId="0E83DF5E" w:rsidR="0062672E" w:rsidRDefault="0062672E" w:rsidP="0062672E">
      <w:pPr>
        <w:pStyle w:val="ListParagraph"/>
        <w:numPr>
          <w:ilvl w:val="0"/>
          <w:numId w:val="18"/>
        </w:numPr>
        <w:spacing w:line="480" w:lineRule="auto"/>
        <w:rPr>
          <w:rFonts w:ascii="Arial" w:hAnsi="Arial" w:cs="Arial"/>
          <w:sz w:val="24"/>
          <w:szCs w:val="24"/>
        </w:rPr>
      </w:pPr>
      <w:r>
        <w:rPr>
          <w:rFonts w:ascii="Arial" w:hAnsi="Arial" w:cs="Arial"/>
          <w:sz w:val="24"/>
          <w:szCs w:val="24"/>
        </w:rPr>
        <w:t>I</w:t>
      </w:r>
      <w:r w:rsidRPr="0062672E">
        <w:rPr>
          <w:rFonts w:ascii="Arial" w:hAnsi="Arial" w:cs="Arial"/>
          <w:sz w:val="24"/>
          <w:szCs w:val="24"/>
        </w:rPr>
        <w:t>mplementing the Basic Transition Cost Rider (“BTCR”)  to recover no</w:t>
      </w:r>
      <w:r w:rsidR="00CC483F">
        <w:rPr>
          <w:rFonts w:ascii="Arial" w:hAnsi="Arial" w:cs="Arial"/>
          <w:sz w:val="24"/>
          <w:szCs w:val="24"/>
        </w:rPr>
        <w:t>n</w:t>
      </w:r>
      <w:r w:rsidRPr="0062672E">
        <w:rPr>
          <w:rFonts w:ascii="Arial" w:hAnsi="Arial" w:cs="Arial"/>
          <w:sz w:val="24"/>
          <w:szCs w:val="24"/>
        </w:rPr>
        <w:t>-market based transmission charges through a non-bypassable charge</w:t>
      </w:r>
      <w:r>
        <w:rPr>
          <w:rFonts w:ascii="Arial" w:hAnsi="Arial" w:cs="Arial"/>
          <w:sz w:val="24"/>
          <w:szCs w:val="24"/>
        </w:rPr>
        <w:t>;</w:t>
      </w:r>
    </w:p>
    <w:p w14:paraId="62F8A34C" w14:textId="43231534" w:rsidR="0062672E" w:rsidRDefault="0062672E" w:rsidP="0062672E">
      <w:pPr>
        <w:pStyle w:val="ListParagraph"/>
        <w:numPr>
          <w:ilvl w:val="0"/>
          <w:numId w:val="18"/>
        </w:numPr>
        <w:spacing w:line="480" w:lineRule="auto"/>
        <w:rPr>
          <w:rFonts w:ascii="Arial" w:hAnsi="Arial" w:cs="Arial"/>
          <w:sz w:val="24"/>
          <w:szCs w:val="24"/>
        </w:rPr>
      </w:pPr>
      <w:r>
        <w:rPr>
          <w:rFonts w:ascii="Arial" w:hAnsi="Arial" w:cs="Arial"/>
          <w:sz w:val="24"/>
          <w:szCs w:val="24"/>
        </w:rPr>
        <w:t>I</w:t>
      </w:r>
      <w:r w:rsidRPr="00ED1E93">
        <w:rPr>
          <w:rFonts w:ascii="Arial" w:hAnsi="Arial" w:cs="Arial"/>
          <w:sz w:val="24"/>
          <w:szCs w:val="24"/>
        </w:rPr>
        <w:t>mplementing a purchase of receivables (“POR”) program</w:t>
      </w:r>
      <w:r>
        <w:rPr>
          <w:rFonts w:ascii="Arial" w:hAnsi="Arial" w:cs="Arial"/>
          <w:sz w:val="24"/>
          <w:szCs w:val="24"/>
        </w:rPr>
        <w:t>;</w:t>
      </w:r>
    </w:p>
    <w:p w14:paraId="1AB7E182" w14:textId="5E03D31F" w:rsidR="000C7C99" w:rsidRPr="0062672E" w:rsidRDefault="0062672E" w:rsidP="000C7C99">
      <w:pPr>
        <w:pStyle w:val="ListParagraph"/>
        <w:numPr>
          <w:ilvl w:val="0"/>
          <w:numId w:val="18"/>
        </w:numPr>
        <w:spacing w:line="480" w:lineRule="auto"/>
        <w:rPr>
          <w:rFonts w:ascii="Arial" w:hAnsi="Arial" w:cs="Arial"/>
          <w:sz w:val="24"/>
          <w:szCs w:val="24"/>
        </w:rPr>
      </w:pPr>
      <w:r>
        <w:rPr>
          <w:rFonts w:ascii="Arial" w:hAnsi="Arial" w:cs="Arial"/>
          <w:sz w:val="24"/>
          <w:szCs w:val="24"/>
        </w:rPr>
        <w:t>Discontinu</w:t>
      </w:r>
      <w:r w:rsidR="00FA21F7">
        <w:rPr>
          <w:rFonts w:ascii="Arial" w:hAnsi="Arial" w:cs="Arial"/>
          <w:sz w:val="24"/>
          <w:szCs w:val="24"/>
        </w:rPr>
        <w:t>e</w:t>
      </w:r>
      <w:r>
        <w:rPr>
          <w:rFonts w:ascii="Arial" w:hAnsi="Arial" w:cs="Arial"/>
          <w:sz w:val="24"/>
          <w:szCs w:val="24"/>
        </w:rPr>
        <w:t xml:space="preserve"> </w:t>
      </w:r>
      <w:r w:rsidRPr="00ED1E93">
        <w:rPr>
          <w:rFonts w:ascii="Arial" w:hAnsi="Arial" w:cs="Arial"/>
          <w:sz w:val="24"/>
          <w:szCs w:val="24"/>
        </w:rPr>
        <w:t xml:space="preserve">AEP’s time-of-use </w:t>
      </w:r>
      <w:r>
        <w:rPr>
          <w:rFonts w:ascii="Arial" w:hAnsi="Arial" w:cs="Arial"/>
          <w:sz w:val="24"/>
          <w:szCs w:val="24"/>
        </w:rPr>
        <w:t>and stand-by service tariffs</w:t>
      </w:r>
      <w:r w:rsidR="00E44998">
        <w:rPr>
          <w:rFonts w:ascii="Arial" w:hAnsi="Arial" w:cs="Arial"/>
          <w:sz w:val="24"/>
          <w:szCs w:val="24"/>
        </w:rPr>
        <w:t>.</w:t>
      </w:r>
    </w:p>
    <w:p w14:paraId="692F1506" w14:textId="01D1BD23" w:rsidR="009A148B" w:rsidRDefault="0062672E" w:rsidP="003F5FD9">
      <w:pPr>
        <w:spacing w:line="480" w:lineRule="auto"/>
        <w:ind w:firstLine="360"/>
        <w:rPr>
          <w:rFonts w:ascii="Arial" w:hAnsi="Arial" w:cs="Arial"/>
          <w:sz w:val="24"/>
          <w:szCs w:val="24"/>
        </w:rPr>
      </w:pPr>
      <w:r>
        <w:rPr>
          <w:rFonts w:ascii="Arial" w:hAnsi="Arial" w:cs="Arial"/>
          <w:sz w:val="24"/>
          <w:szCs w:val="24"/>
        </w:rPr>
        <w:lastRenderedPageBreak/>
        <w:t>In this reply brief</w:t>
      </w:r>
      <w:r w:rsidR="003F5FD9">
        <w:rPr>
          <w:rFonts w:ascii="Arial" w:hAnsi="Arial" w:cs="Arial"/>
          <w:sz w:val="24"/>
          <w:szCs w:val="24"/>
        </w:rPr>
        <w:t xml:space="preserve"> </w:t>
      </w:r>
      <w:r>
        <w:rPr>
          <w:rFonts w:ascii="Arial" w:hAnsi="Arial" w:cs="Arial"/>
          <w:sz w:val="24"/>
          <w:szCs w:val="24"/>
        </w:rPr>
        <w:t xml:space="preserve">IGS reiterates its support for the recommendations made </w:t>
      </w:r>
      <w:r w:rsidR="00C77FB1">
        <w:rPr>
          <w:rFonts w:ascii="Arial" w:hAnsi="Arial" w:cs="Arial"/>
          <w:sz w:val="24"/>
          <w:szCs w:val="24"/>
        </w:rPr>
        <w:t>in its initial brief</w:t>
      </w:r>
      <w:r>
        <w:rPr>
          <w:rFonts w:ascii="Arial" w:hAnsi="Arial" w:cs="Arial"/>
          <w:sz w:val="24"/>
          <w:szCs w:val="24"/>
        </w:rPr>
        <w:t xml:space="preserve"> and also responds to </w:t>
      </w:r>
      <w:r w:rsidR="005E5269">
        <w:rPr>
          <w:rFonts w:ascii="Arial" w:hAnsi="Arial" w:cs="Arial"/>
          <w:sz w:val="24"/>
          <w:szCs w:val="24"/>
        </w:rPr>
        <w:t>issues addressed</w:t>
      </w:r>
      <w:r w:rsidR="00E36F94">
        <w:rPr>
          <w:rFonts w:ascii="Arial" w:hAnsi="Arial" w:cs="Arial"/>
          <w:sz w:val="24"/>
          <w:szCs w:val="24"/>
        </w:rPr>
        <w:t xml:space="preserve"> in </w:t>
      </w:r>
      <w:r w:rsidR="005E5269">
        <w:rPr>
          <w:rFonts w:ascii="Arial" w:hAnsi="Arial" w:cs="Arial"/>
          <w:sz w:val="24"/>
          <w:szCs w:val="24"/>
        </w:rPr>
        <w:t>the initial post hearing b</w:t>
      </w:r>
      <w:r w:rsidR="00E36F94">
        <w:rPr>
          <w:rFonts w:ascii="Arial" w:hAnsi="Arial" w:cs="Arial"/>
          <w:sz w:val="24"/>
          <w:szCs w:val="24"/>
        </w:rPr>
        <w:t>rief</w:t>
      </w:r>
      <w:r w:rsidR="005E5269">
        <w:rPr>
          <w:rFonts w:ascii="Arial" w:hAnsi="Arial" w:cs="Arial"/>
          <w:sz w:val="24"/>
          <w:szCs w:val="24"/>
        </w:rPr>
        <w:t>s of other parties</w:t>
      </w:r>
      <w:r>
        <w:rPr>
          <w:rFonts w:ascii="Arial" w:hAnsi="Arial" w:cs="Arial"/>
          <w:sz w:val="24"/>
          <w:szCs w:val="24"/>
        </w:rPr>
        <w:t>.</w:t>
      </w:r>
    </w:p>
    <w:p w14:paraId="2D08D2E9" w14:textId="19F6C926" w:rsidR="009A148B" w:rsidRDefault="009A148B" w:rsidP="009A148B">
      <w:pPr>
        <w:pStyle w:val="ListParagraph"/>
        <w:numPr>
          <w:ilvl w:val="0"/>
          <w:numId w:val="16"/>
        </w:numPr>
        <w:spacing w:line="480" w:lineRule="auto"/>
        <w:rPr>
          <w:rFonts w:ascii="Arial" w:hAnsi="Arial" w:cs="Arial"/>
          <w:b/>
          <w:sz w:val="24"/>
          <w:szCs w:val="24"/>
        </w:rPr>
      </w:pPr>
      <w:r w:rsidRPr="009A148B">
        <w:rPr>
          <w:rFonts w:ascii="Arial" w:hAnsi="Arial" w:cs="Arial"/>
          <w:b/>
          <w:sz w:val="24"/>
          <w:szCs w:val="24"/>
        </w:rPr>
        <w:t>ARGUMENT</w:t>
      </w:r>
    </w:p>
    <w:p w14:paraId="7FFC511C" w14:textId="6FB44389" w:rsidR="00E44998" w:rsidRDefault="00E44998" w:rsidP="00E44998">
      <w:pPr>
        <w:pStyle w:val="ListParagraph"/>
        <w:numPr>
          <w:ilvl w:val="0"/>
          <w:numId w:val="22"/>
        </w:numPr>
        <w:spacing w:line="240" w:lineRule="auto"/>
        <w:rPr>
          <w:rFonts w:ascii="Arial" w:hAnsi="Arial" w:cs="Arial"/>
          <w:b/>
          <w:sz w:val="24"/>
          <w:szCs w:val="24"/>
        </w:rPr>
      </w:pPr>
      <w:r>
        <w:rPr>
          <w:rFonts w:ascii="Arial" w:hAnsi="Arial" w:cs="Arial"/>
          <w:b/>
          <w:sz w:val="24"/>
          <w:szCs w:val="24"/>
        </w:rPr>
        <w:t>RPA and Retail Auction Proposals</w:t>
      </w:r>
      <w:r w:rsidR="00BE13F3">
        <w:rPr>
          <w:rFonts w:ascii="Arial" w:hAnsi="Arial" w:cs="Arial"/>
          <w:b/>
          <w:sz w:val="24"/>
          <w:szCs w:val="24"/>
        </w:rPr>
        <w:t>.</w:t>
      </w:r>
    </w:p>
    <w:p w14:paraId="794CCAB5" w14:textId="77777777" w:rsidR="00E44998" w:rsidRPr="00E44998" w:rsidRDefault="00E44998" w:rsidP="00E44998">
      <w:pPr>
        <w:pStyle w:val="ListParagraph"/>
        <w:spacing w:line="240" w:lineRule="auto"/>
        <w:ind w:left="1440"/>
        <w:rPr>
          <w:rFonts w:ascii="Arial" w:hAnsi="Arial" w:cs="Arial"/>
          <w:b/>
          <w:sz w:val="24"/>
          <w:szCs w:val="24"/>
        </w:rPr>
      </w:pPr>
    </w:p>
    <w:p w14:paraId="2FAC979F" w14:textId="14EA6342" w:rsidR="009A148B" w:rsidRPr="00E44998" w:rsidRDefault="009A148B" w:rsidP="00E44998">
      <w:pPr>
        <w:pStyle w:val="ListParagraph"/>
        <w:numPr>
          <w:ilvl w:val="0"/>
          <w:numId w:val="21"/>
        </w:numPr>
        <w:spacing w:line="240" w:lineRule="auto"/>
        <w:rPr>
          <w:rFonts w:ascii="Arial" w:hAnsi="Arial" w:cs="Arial"/>
          <w:b/>
          <w:sz w:val="24"/>
          <w:szCs w:val="24"/>
        </w:rPr>
      </w:pPr>
      <w:r w:rsidRPr="00E44998">
        <w:rPr>
          <w:rFonts w:ascii="Arial" w:hAnsi="Arial" w:cs="Arial"/>
          <w:b/>
          <w:sz w:val="24"/>
          <w:szCs w:val="24"/>
        </w:rPr>
        <w:t>Ohio Law Allows the Commission to Adopt IGS’ RPA and Retail Auction Proposals</w:t>
      </w:r>
      <w:r w:rsidR="0054588C">
        <w:rPr>
          <w:rFonts w:ascii="Arial" w:hAnsi="Arial" w:cs="Arial"/>
          <w:b/>
          <w:sz w:val="24"/>
          <w:szCs w:val="24"/>
        </w:rPr>
        <w:t>.</w:t>
      </w:r>
    </w:p>
    <w:p w14:paraId="0F2248B1" w14:textId="0F07BC18" w:rsidR="009A148B" w:rsidRDefault="00C77FB1" w:rsidP="009A148B">
      <w:pPr>
        <w:spacing w:line="480" w:lineRule="auto"/>
        <w:ind w:firstLine="360"/>
        <w:rPr>
          <w:rFonts w:ascii="Arial" w:hAnsi="Arial" w:cs="Arial"/>
          <w:sz w:val="24"/>
          <w:szCs w:val="24"/>
        </w:rPr>
      </w:pPr>
      <w:r>
        <w:rPr>
          <w:rFonts w:ascii="Arial" w:hAnsi="Arial" w:cs="Arial"/>
          <w:sz w:val="24"/>
          <w:szCs w:val="24"/>
        </w:rPr>
        <w:t>In its initial post hearing b</w:t>
      </w:r>
      <w:r w:rsidR="009A148B" w:rsidRPr="009A148B">
        <w:rPr>
          <w:rFonts w:ascii="Arial" w:hAnsi="Arial" w:cs="Arial"/>
          <w:sz w:val="24"/>
          <w:szCs w:val="24"/>
        </w:rPr>
        <w:t>rief AEP</w:t>
      </w:r>
      <w:r w:rsidR="009A148B">
        <w:rPr>
          <w:rFonts w:ascii="Arial" w:hAnsi="Arial" w:cs="Arial"/>
          <w:sz w:val="24"/>
          <w:szCs w:val="24"/>
        </w:rPr>
        <w:t xml:space="preserve"> </w:t>
      </w:r>
      <w:r w:rsidR="00E44998">
        <w:rPr>
          <w:rFonts w:ascii="Arial" w:hAnsi="Arial" w:cs="Arial"/>
          <w:sz w:val="24"/>
          <w:szCs w:val="24"/>
        </w:rPr>
        <w:t xml:space="preserve">and the Office of Ohio Consumers’ Counsel (“OCC”) </w:t>
      </w:r>
      <w:r w:rsidR="009A148B">
        <w:rPr>
          <w:rFonts w:ascii="Arial" w:hAnsi="Arial" w:cs="Arial"/>
          <w:sz w:val="24"/>
          <w:szCs w:val="24"/>
        </w:rPr>
        <w:t>claimed that IGS’ RPA</w:t>
      </w:r>
      <w:r w:rsidR="0088559B">
        <w:rPr>
          <w:rFonts w:ascii="Arial" w:hAnsi="Arial" w:cs="Arial"/>
          <w:sz w:val="24"/>
          <w:szCs w:val="24"/>
        </w:rPr>
        <w:t xml:space="preserve"> and retail auctions</w:t>
      </w:r>
      <w:r w:rsidR="009A148B">
        <w:rPr>
          <w:rFonts w:ascii="Arial" w:hAnsi="Arial" w:cs="Arial"/>
          <w:sz w:val="24"/>
          <w:szCs w:val="24"/>
        </w:rPr>
        <w:t xml:space="preserve"> proposals</w:t>
      </w:r>
      <w:r w:rsidR="00077D80">
        <w:rPr>
          <w:rFonts w:ascii="Arial" w:hAnsi="Arial" w:cs="Arial"/>
          <w:sz w:val="24"/>
          <w:szCs w:val="24"/>
        </w:rPr>
        <w:t xml:space="preserve"> conflict with Ohio law.</w:t>
      </w:r>
      <w:r w:rsidR="00077D80">
        <w:rPr>
          <w:rStyle w:val="FootnoteReference"/>
          <w:rFonts w:ascii="Arial" w:hAnsi="Arial" w:cs="Arial"/>
          <w:sz w:val="24"/>
          <w:szCs w:val="24"/>
        </w:rPr>
        <w:footnoteReference w:id="1"/>
      </w:r>
      <w:r w:rsidR="009A148B">
        <w:rPr>
          <w:rFonts w:ascii="Arial" w:hAnsi="Arial" w:cs="Arial"/>
          <w:sz w:val="24"/>
          <w:szCs w:val="24"/>
        </w:rPr>
        <w:t xml:space="preserve"> </w:t>
      </w:r>
      <w:r w:rsidR="00077D80">
        <w:rPr>
          <w:rFonts w:ascii="Arial" w:hAnsi="Arial" w:cs="Arial"/>
          <w:sz w:val="24"/>
          <w:szCs w:val="24"/>
        </w:rPr>
        <w:t xml:space="preserve"> However, as explained in IGS’ </w:t>
      </w:r>
      <w:r>
        <w:rPr>
          <w:rFonts w:ascii="Arial" w:hAnsi="Arial" w:cs="Arial"/>
          <w:sz w:val="24"/>
          <w:szCs w:val="24"/>
        </w:rPr>
        <w:t>post hearing b</w:t>
      </w:r>
      <w:r w:rsidR="00077D80">
        <w:rPr>
          <w:rFonts w:ascii="Arial" w:hAnsi="Arial" w:cs="Arial"/>
          <w:sz w:val="24"/>
          <w:szCs w:val="24"/>
        </w:rPr>
        <w:t>rief, both IGS’ RPA proposal and retail auction proposal are authorized under Ohio law, and in-fact are more consistent with Ohio law than AEP’s proposed SSO.</w:t>
      </w:r>
    </w:p>
    <w:p w14:paraId="06FB2645" w14:textId="19111031" w:rsidR="00281A77" w:rsidRDefault="00B13176" w:rsidP="00281A77">
      <w:pPr>
        <w:spacing w:line="480" w:lineRule="auto"/>
        <w:ind w:firstLine="360"/>
        <w:rPr>
          <w:rFonts w:ascii="Arial" w:hAnsi="Arial" w:cs="Arial"/>
          <w:sz w:val="24"/>
          <w:szCs w:val="24"/>
        </w:rPr>
      </w:pPr>
      <w:r>
        <w:rPr>
          <w:rFonts w:ascii="Arial" w:hAnsi="Arial" w:cs="Arial"/>
          <w:sz w:val="24"/>
          <w:szCs w:val="24"/>
        </w:rPr>
        <w:t>OCC and AEP</w:t>
      </w:r>
      <w:r w:rsidR="003C4C88">
        <w:rPr>
          <w:rFonts w:ascii="Arial" w:hAnsi="Arial" w:cs="Arial"/>
          <w:sz w:val="24"/>
          <w:szCs w:val="24"/>
        </w:rPr>
        <w:t xml:space="preserve"> </w:t>
      </w:r>
      <w:r w:rsidR="00097ABC">
        <w:rPr>
          <w:rFonts w:ascii="Arial" w:hAnsi="Arial" w:cs="Arial"/>
          <w:sz w:val="24"/>
          <w:szCs w:val="24"/>
        </w:rPr>
        <w:t xml:space="preserve">point to R.C. 4928.141(B) </w:t>
      </w:r>
      <w:r w:rsidR="00BF6248">
        <w:rPr>
          <w:rFonts w:ascii="Arial" w:hAnsi="Arial" w:cs="Arial"/>
          <w:sz w:val="24"/>
          <w:szCs w:val="24"/>
        </w:rPr>
        <w:t>claiming that a</w:t>
      </w:r>
      <w:r w:rsidR="00281A77">
        <w:rPr>
          <w:rFonts w:ascii="Arial" w:hAnsi="Arial" w:cs="Arial"/>
          <w:sz w:val="24"/>
          <w:szCs w:val="24"/>
        </w:rPr>
        <w:t xml:space="preserve"> retail auction would violate the provision in the law that</w:t>
      </w:r>
      <w:r w:rsidR="00097ABC">
        <w:rPr>
          <w:rFonts w:ascii="Arial" w:hAnsi="Arial" w:cs="Arial"/>
          <w:sz w:val="24"/>
          <w:szCs w:val="24"/>
        </w:rPr>
        <w:t xml:space="preserve"> requires that an SSO be made available to customers.</w:t>
      </w:r>
      <w:r w:rsidR="00097ABC">
        <w:rPr>
          <w:rStyle w:val="FootnoteReference"/>
          <w:rFonts w:ascii="Arial" w:hAnsi="Arial" w:cs="Arial"/>
          <w:sz w:val="24"/>
          <w:szCs w:val="24"/>
        </w:rPr>
        <w:footnoteReference w:id="2"/>
      </w:r>
      <w:r w:rsidR="00097ABC">
        <w:rPr>
          <w:rFonts w:ascii="Arial" w:hAnsi="Arial" w:cs="Arial"/>
          <w:sz w:val="24"/>
          <w:szCs w:val="24"/>
        </w:rPr>
        <w:t xml:space="preserve">  </w:t>
      </w:r>
      <w:r>
        <w:rPr>
          <w:rFonts w:ascii="Arial" w:hAnsi="Arial" w:cs="Arial"/>
          <w:sz w:val="24"/>
          <w:szCs w:val="24"/>
        </w:rPr>
        <w:t xml:space="preserve"> </w:t>
      </w:r>
      <w:r w:rsidR="00097ABC">
        <w:rPr>
          <w:rFonts w:ascii="Arial" w:hAnsi="Arial" w:cs="Arial"/>
          <w:sz w:val="24"/>
          <w:szCs w:val="24"/>
        </w:rPr>
        <w:t>However,</w:t>
      </w:r>
      <w:r w:rsidR="0088559B">
        <w:rPr>
          <w:rFonts w:ascii="Arial" w:hAnsi="Arial" w:cs="Arial"/>
          <w:sz w:val="24"/>
          <w:szCs w:val="24"/>
        </w:rPr>
        <w:t xml:space="preserve"> 4928.141(B) only requires that there is an SSO, but it does not require that the SSO be procured via a wholesale auction.  W</w:t>
      </w:r>
      <w:r w:rsidR="00097ABC">
        <w:rPr>
          <w:rFonts w:ascii="Arial" w:hAnsi="Arial" w:cs="Arial"/>
          <w:sz w:val="24"/>
          <w:szCs w:val="24"/>
        </w:rPr>
        <w:t xml:space="preserve">ith its retail auction proposal, IGS is not proposing to eliminate the SSO.  Rather with the retail auction, an SSO would still be available to SSO customers, the only difference </w:t>
      </w:r>
      <w:r w:rsidR="003C4C88">
        <w:rPr>
          <w:rFonts w:ascii="Arial" w:hAnsi="Arial" w:cs="Arial"/>
          <w:sz w:val="24"/>
          <w:szCs w:val="24"/>
        </w:rPr>
        <w:t>is</w:t>
      </w:r>
      <w:r w:rsidR="00097ABC">
        <w:rPr>
          <w:rFonts w:ascii="Arial" w:hAnsi="Arial" w:cs="Arial"/>
          <w:sz w:val="24"/>
          <w:szCs w:val="24"/>
        </w:rPr>
        <w:t xml:space="preserve"> that the SSO would be served directly by </w:t>
      </w:r>
      <w:r w:rsidR="0088559B">
        <w:rPr>
          <w:rFonts w:ascii="Arial" w:hAnsi="Arial" w:cs="Arial"/>
          <w:sz w:val="24"/>
          <w:szCs w:val="24"/>
        </w:rPr>
        <w:t>CRESs</w:t>
      </w:r>
      <w:r w:rsidR="00097ABC">
        <w:rPr>
          <w:rFonts w:ascii="Arial" w:hAnsi="Arial" w:cs="Arial"/>
          <w:sz w:val="24"/>
          <w:szCs w:val="24"/>
        </w:rPr>
        <w:t>, rather than in the cur</w:t>
      </w:r>
      <w:r w:rsidR="003C4C88">
        <w:rPr>
          <w:rFonts w:ascii="Arial" w:hAnsi="Arial" w:cs="Arial"/>
          <w:sz w:val="24"/>
          <w:szCs w:val="24"/>
        </w:rPr>
        <w:t xml:space="preserve">rent scenario, </w:t>
      </w:r>
      <w:r w:rsidR="00202B5A">
        <w:rPr>
          <w:rFonts w:ascii="Arial" w:hAnsi="Arial" w:cs="Arial"/>
          <w:sz w:val="24"/>
          <w:szCs w:val="24"/>
        </w:rPr>
        <w:t xml:space="preserve">where retail suppliers deliver </w:t>
      </w:r>
      <w:r w:rsidR="003C4C88">
        <w:rPr>
          <w:rFonts w:ascii="Arial" w:hAnsi="Arial" w:cs="Arial"/>
          <w:sz w:val="24"/>
          <w:szCs w:val="24"/>
        </w:rPr>
        <w:t>electric generation to AEP and AEP then passes on those</w:t>
      </w:r>
      <w:r w:rsidR="00097ABC">
        <w:rPr>
          <w:rFonts w:ascii="Arial" w:hAnsi="Arial" w:cs="Arial"/>
          <w:sz w:val="24"/>
          <w:szCs w:val="24"/>
        </w:rPr>
        <w:t xml:space="preserve"> costs to SSO customers</w:t>
      </w:r>
      <w:r w:rsidR="003C4C88">
        <w:rPr>
          <w:rFonts w:ascii="Arial" w:hAnsi="Arial" w:cs="Arial"/>
          <w:sz w:val="24"/>
          <w:szCs w:val="24"/>
        </w:rPr>
        <w:t>.</w:t>
      </w:r>
      <w:r w:rsidR="00097ABC">
        <w:rPr>
          <w:rFonts w:ascii="Arial" w:hAnsi="Arial" w:cs="Arial"/>
          <w:sz w:val="24"/>
          <w:szCs w:val="24"/>
        </w:rPr>
        <w:t xml:space="preserve">   </w:t>
      </w:r>
    </w:p>
    <w:p w14:paraId="1E04579F" w14:textId="6D8F50EA" w:rsidR="00077D80" w:rsidRDefault="00281A77" w:rsidP="00281A77">
      <w:pPr>
        <w:spacing w:line="480" w:lineRule="auto"/>
        <w:ind w:firstLine="360"/>
        <w:rPr>
          <w:rFonts w:ascii="Arial" w:hAnsi="Arial" w:cs="Arial"/>
          <w:sz w:val="24"/>
          <w:szCs w:val="24"/>
        </w:rPr>
      </w:pPr>
      <w:r w:rsidRPr="00281A77">
        <w:rPr>
          <w:rFonts w:ascii="Arial" w:hAnsi="Arial" w:cs="Arial"/>
          <w:sz w:val="24"/>
          <w:szCs w:val="24"/>
        </w:rPr>
        <w:t>Further, R.C. 4928.143(B)(2) does not</w:t>
      </w:r>
      <w:r>
        <w:rPr>
          <w:rFonts w:ascii="Arial" w:hAnsi="Arial" w:cs="Arial"/>
          <w:sz w:val="24"/>
          <w:szCs w:val="24"/>
        </w:rPr>
        <w:t xml:space="preserve"> limit what may be inclu</w:t>
      </w:r>
      <w:r w:rsidR="00BF6248">
        <w:rPr>
          <w:rFonts w:ascii="Arial" w:hAnsi="Arial" w:cs="Arial"/>
          <w:sz w:val="24"/>
          <w:szCs w:val="24"/>
        </w:rPr>
        <w:t>ded in</w:t>
      </w:r>
      <w:r>
        <w:rPr>
          <w:rFonts w:ascii="Arial" w:hAnsi="Arial" w:cs="Arial"/>
          <w:sz w:val="24"/>
          <w:szCs w:val="24"/>
        </w:rPr>
        <w:t xml:space="preserve"> </w:t>
      </w:r>
      <w:r w:rsidRPr="00281A77">
        <w:rPr>
          <w:rFonts w:ascii="Arial" w:hAnsi="Arial" w:cs="Arial"/>
          <w:sz w:val="24"/>
          <w:szCs w:val="24"/>
        </w:rPr>
        <w:t>an ESP, but gives the Commission discretion to establish an SSO</w:t>
      </w:r>
      <w:r>
        <w:rPr>
          <w:rFonts w:ascii="Arial" w:hAnsi="Arial" w:cs="Arial"/>
          <w:sz w:val="24"/>
          <w:szCs w:val="24"/>
        </w:rPr>
        <w:t xml:space="preserve">. </w:t>
      </w:r>
      <w:r w:rsidR="0088559B">
        <w:rPr>
          <w:rFonts w:ascii="Arial" w:hAnsi="Arial" w:cs="Arial"/>
          <w:sz w:val="24"/>
          <w:szCs w:val="24"/>
        </w:rPr>
        <w:t>Moreover</w:t>
      </w:r>
      <w:r>
        <w:rPr>
          <w:rFonts w:ascii="Arial" w:hAnsi="Arial" w:cs="Arial"/>
          <w:sz w:val="24"/>
          <w:szCs w:val="24"/>
        </w:rPr>
        <w:t xml:space="preserve">, </w:t>
      </w:r>
      <w:r w:rsidRPr="00281A77">
        <w:rPr>
          <w:rFonts w:ascii="Arial" w:hAnsi="Arial" w:cs="Arial"/>
          <w:sz w:val="24"/>
          <w:szCs w:val="24"/>
        </w:rPr>
        <w:t>4928.02</w:t>
      </w:r>
      <w:r w:rsidR="00532093">
        <w:rPr>
          <w:rFonts w:ascii="Arial" w:hAnsi="Arial" w:cs="Arial"/>
          <w:sz w:val="24"/>
          <w:szCs w:val="24"/>
        </w:rPr>
        <w:t>(G)</w:t>
      </w:r>
      <w:r w:rsidRPr="00281A77">
        <w:rPr>
          <w:rFonts w:ascii="Arial" w:hAnsi="Arial" w:cs="Arial"/>
          <w:sz w:val="24"/>
          <w:szCs w:val="24"/>
        </w:rPr>
        <w:t xml:space="preserve"> states that </w:t>
      </w:r>
      <w:r w:rsidRPr="00281A77">
        <w:rPr>
          <w:rFonts w:ascii="Arial" w:hAnsi="Arial" w:cs="Arial"/>
          <w:sz w:val="24"/>
          <w:szCs w:val="24"/>
        </w:rPr>
        <w:lastRenderedPageBreak/>
        <w:t>it is the policy of the State to “[r]eco</w:t>
      </w:r>
      <w:r>
        <w:rPr>
          <w:rFonts w:ascii="Arial" w:hAnsi="Arial" w:cs="Arial"/>
          <w:sz w:val="24"/>
          <w:szCs w:val="24"/>
        </w:rPr>
        <w:t xml:space="preserve">gnize the </w:t>
      </w:r>
      <w:r w:rsidRPr="00E552F7">
        <w:rPr>
          <w:rFonts w:ascii="Arial" w:hAnsi="Arial" w:cs="Arial"/>
          <w:i/>
          <w:sz w:val="24"/>
          <w:szCs w:val="24"/>
        </w:rPr>
        <w:t>continuing emergence of competitive electricity markets</w:t>
      </w:r>
      <w:r w:rsidRPr="00281A77">
        <w:rPr>
          <w:rFonts w:ascii="Arial" w:hAnsi="Arial" w:cs="Arial"/>
          <w:sz w:val="24"/>
          <w:szCs w:val="24"/>
        </w:rPr>
        <w:t xml:space="preserve"> through the dev</w:t>
      </w:r>
      <w:r>
        <w:rPr>
          <w:rFonts w:ascii="Arial" w:hAnsi="Arial" w:cs="Arial"/>
          <w:sz w:val="24"/>
          <w:szCs w:val="24"/>
        </w:rPr>
        <w:t xml:space="preserve">elopment and implementation of  </w:t>
      </w:r>
      <w:r w:rsidRPr="00281A77">
        <w:rPr>
          <w:rFonts w:ascii="Arial" w:hAnsi="Arial" w:cs="Arial"/>
          <w:i/>
          <w:sz w:val="24"/>
          <w:szCs w:val="24"/>
        </w:rPr>
        <w:t>flexible regulatory treatment</w:t>
      </w:r>
      <w:r>
        <w:rPr>
          <w:rFonts w:ascii="Arial" w:hAnsi="Arial" w:cs="Arial"/>
          <w:sz w:val="24"/>
          <w:szCs w:val="24"/>
        </w:rPr>
        <w:t xml:space="preserve"> (</w:t>
      </w:r>
      <w:r w:rsidR="00FC3FFA">
        <w:rPr>
          <w:rFonts w:ascii="Arial" w:hAnsi="Arial" w:cs="Arial"/>
          <w:sz w:val="24"/>
          <w:szCs w:val="24"/>
        </w:rPr>
        <w:t>Emphasis added</w:t>
      </w:r>
      <w:r>
        <w:rPr>
          <w:rFonts w:ascii="Arial" w:hAnsi="Arial" w:cs="Arial"/>
          <w:sz w:val="24"/>
          <w:szCs w:val="24"/>
        </w:rPr>
        <w:t>).</w:t>
      </w:r>
      <w:r w:rsidRPr="00281A77">
        <w:rPr>
          <w:rFonts w:ascii="Arial" w:hAnsi="Arial" w:cs="Arial"/>
          <w:sz w:val="24"/>
          <w:szCs w:val="24"/>
        </w:rPr>
        <w:t>”</w:t>
      </w:r>
      <w:r w:rsidR="0088559B">
        <w:rPr>
          <w:rFonts w:ascii="Arial" w:hAnsi="Arial" w:cs="Arial"/>
          <w:sz w:val="24"/>
          <w:szCs w:val="24"/>
        </w:rPr>
        <w:t xml:space="preserve"> The Commission has already </w:t>
      </w:r>
      <w:r w:rsidR="00047F85">
        <w:rPr>
          <w:rFonts w:ascii="Arial" w:hAnsi="Arial" w:cs="Arial"/>
          <w:sz w:val="24"/>
          <w:szCs w:val="24"/>
        </w:rPr>
        <w:t>transitioned the SSO</w:t>
      </w:r>
      <w:r w:rsidR="0088559B">
        <w:rPr>
          <w:rFonts w:ascii="Arial" w:hAnsi="Arial" w:cs="Arial"/>
          <w:sz w:val="24"/>
          <w:szCs w:val="24"/>
        </w:rPr>
        <w:t xml:space="preserve"> from a cost of service based price served from utility owned generation, to a market based price served from competitive generation.  A retail auction would merely be the next logical step for Ohio’s “continuing emergence </w:t>
      </w:r>
      <w:r w:rsidR="0088559B" w:rsidRPr="00281A77">
        <w:rPr>
          <w:rFonts w:ascii="Arial" w:hAnsi="Arial" w:cs="Arial"/>
          <w:sz w:val="24"/>
          <w:szCs w:val="24"/>
        </w:rPr>
        <w:t>of competitive electricity markets</w:t>
      </w:r>
      <w:r w:rsidR="0088559B">
        <w:rPr>
          <w:rFonts w:ascii="Arial" w:hAnsi="Arial" w:cs="Arial"/>
          <w:sz w:val="24"/>
          <w:szCs w:val="24"/>
        </w:rPr>
        <w:t>.”</w:t>
      </w:r>
    </w:p>
    <w:p w14:paraId="04674198" w14:textId="73D9BE40" w:rsidR="0088559B" w:rsidRDefault="00047F85" w:rsidP="00281A77">
      <w:pPr>
        <w:spacing w:line="480" w:lineRule="auto"/>
        <w:ind w:firstLine="360"/>
        <w:rPr>
          <w:rFonts w:ascii="Arial" w:hAnsi="Arial" w:cs="Arial"/>
          <w:sz w:val="24"/>
          <w:szCs w:val="24"/>
        </w:rPr>
      </w:pPr>
      <w:r>
        <w:rPr>
          <w:rFonts w:ascii="Arial" w:hAnsi="Arial" w:cs="Arial"/>
          <w:sz w:val="24"/>
          <w:szCs w:val="24"/>
        </w:rPr>
        <w:t>Moreover,</w:t>
      </w:r>
      <w:r w:rsidR="0088559B">
        <w:rPr>
          <w:rFonts w:ascii="Arial" w:hAnsi="Arial" w:cs="Arial"/>
          <w:sz w:val="24"/>
          <w:szCs w:val="24"/>
        </w:rPr>
        <w:t xml:space="preserve"> none of the arguments made by OCC and AEP regarding a violation of 4928.141(B) can even arguably </w:t>
      </w:r>
      <w:r w:rsidR="00113DC1">
        <w:rPr>
          <w:rFonts w:ascii="Arial" w:hAnsi="Arial" w:cs="Arial"/>
          <w:sz w:val="24"/>
          <w:szCs w:val="24"/>
        </w:rPr>
        <w:t>apply</w:t>
      </w:r>
      <w:r w:rsidR="0088559B">
        <w:rPr>
          <w:rFonts w:ascii="Arial" w:hAnsi="Arial" w:cs="Arial"/>
          <w:sz w:val="24"/>
          <w:szCs w:val="24"/>
        </w:rPr>
        <w:t xml:space="preserve"> to IGS’ RPA proposal.</w:t>
      </w:r>
      <w:r>
        <w:rPr>
          <w:rFonts w:ascii="Arial" w:hAnsi="Arial" w:cs="Arial"/>
          <w:sz w:val="24"/>
          <w:szCs w:val="24"/>
        </w:rPr>
        <w:t xml:space="preserve"> Under IGS’ RPA proposal, a wholesale auction mechanism would still be utilized to procure </w:t>
      </w:r>
      <w:r w:rsidR="008A624F">
        <w:rPr>
          <w:rFonts w:ascii="Arial" w:hAnsi="Arial" w:cs="Arial"/>
          <w:sz w:val="24"/>
          <w:szCs w:val="24"/>
        </w:rPr>
        <w:t>electric</w:t>
      </w:r>
      <w:r>
        <w:rPr>
          <w:rFonts w:ascii="Arial" w:hAnsi="Arial" w:cs="Arial"/>
          <w:sz w:val="24"/>
          <w:szCs w:val="24"/>
        </w:rPr>
        <w:t xml:space="preserve"> service for the SSO.  The only change is that a fee would be assessed</w:t>
      </w:r>
      <w:r w:rsidR="00113DC1">
        <w:rPr>
          <w:rFonts w:ascii="Arial" w:hAnsi="Arial" w:cs="Arial"/>
          <w:sz w:val="24"/>
          <w:szCs w:val="24"/>
        </w:rPr>
        <w:t xml:space="preserve"> to the wholesale suppliers of </w:t>
      </w:r>
      <w:r w:rsidR="000A7AE8">
        <w:rPr>
          <w:rFonts w:ascii="Arial" w:hAnsi="Arial" w:cs="Arial"/>
          <w:sz w:val="24"/>
          <w:szCs w:val="24"/>
        </w:rPr>
        <w:t>the SSO</w:t>
      </w:r>
      <w:r w:rsidR="00113DC1">
        <w:rPr>
          <w:rFonts w:ascii="Arial" w:hAnsi="Arial" w:cs="Arial"/>
          <w:sz w:val="24"/>
          <w:szCs w:val="24"/>
        </w:rPr>
        <w:t xml:space="preserve"> </w:t>
      </w:r>
      <w:r w:rsidR="00B37226">
        <w:rPr>
          <w:rFonts w:ascii="Arial" w:hAnsi="Arial" w:cs="Arial"/>
          <w:sz w:val="24"/>
          <w:szCs w:val="24"/>
        </w:rPr>
        <w:t>to account for the costs that the SSO avoids because of the favored regulatory treatment granted to the SSO.</w:t>
      </w:r>
      <w:r>
        <w:rPr>
          <w:rFonts w:ascii="Arial" w:hAnsi="Arial" w:cs="Arial"/>
          <w:sz w:val="24"/>
          <w:szCs w:val="24"/>
        </w:rPr>
        <w:t xml:space="preserve">  </w:t>
      </w:r>
      <w:r w:rsidR="00336622">
        <w:rPr>
          <w:rFonts w:ascii="Arial" w:hAnsi="Arial" w:cs="Arial"/>
          <w:sz w:val="24"/>
          <w:szCs w:val="24"/>
        </w:rPr>
        <w:t xml:space="preserve">The fee would </w:t>
      </w:r>
      <w:r w:rsidR="00336622" w:rsidRPr="00AD6628">
        <w:rPr>
          <w:rFonts w:ascii="Arial" w:hAnsi="Arial" w:cs="Arial"/>
          <w:sz w:val="24"/>
          <w:szCs w:val="24"/>
        </w:rPr>
        <w:t>effectively</w:t>
      </w:r>
      <w:r w:rsidR="00336622">
        <w:rPr>
          <w:rFonts w:ascii="Arial" w:hAnsi="Arial" w:cs="Arial"/>
          <w:sz w:val="24"/>
          <w:szCs w:val="24"/>
        </w:rPr>
        <w:t xml:space="preserve"> be</w:t>
      </w:r>
      <w:r w:rsidR="00336622" w:rsidRPr="00AD6628">
        <w:rPr>
          <w:rFonts w:ascii="Arial" w:hAnsi="Arial" w:cs="Arial"/>
          <w:sz w:val="24"/>
          <w:szCs w:val="24"/>
        </w:rPr>
        <w:t xml:space="preserve"> charging those suppliers for the value they get for being able to serve a retail customer</w:t>
      </w:r>
      <w:r w:rsidR="00336622">
        <w:rPr>
          <w:rFonts w:ascii="Arial" w:hAnsi="Arial" w:cs="Arial"/>
          <w:sz w:val="24"/>
          <w:szCs w:val="24"/>
        </w:rPr>
        <w:t>.</w:t>
      </w:r>
    </w:p>
    <w:p w14:paraId="21648AAF" w14:textId="204B15F1" w:rsidR="00FF27C8" w:rsidRDefault="00983764" w:rsidP="00281A77">
      <w:pPr>
        <w:spacing w:line="480" w:lineRule="auto"/>
        <w:ind w:firstLine="360"/>
        <w:rPr>
          <w:rFonts w:ascii="Arial" w:hAnsi="Arial" w:cs="Arial"/>
          <w:sz w:val="24"/>
          <w:szCs w:val="24"/>
          <w:shd w:val="clear" w:color="auto" w:fill="FFFFFF"/>
        </w:rPr>
      </w:pPr>
      <w:r>
        <w:rPr>
          <w:rFonts w:ascii="Arial" w:hAnsi="Arial" w:cs="Arial"/>
          <w:sz w:val="24"/>
          <w:szCs w:val="24"/>
        </w:rPr>
        <w:t>Finally, IGS’ RPA and retail auction proposals are more consistent with Ohio law than th</w:t>
      </w:r>
      <w:r w:rsidR="00BF6248">
        <w:rPr>
          <w:rFonts w:ascii="Arial" w:hAnsi="Arial" w:cs="Arial"/>
          <w:sz w:val="24"/>
          <w:szCs w:val="24"/>
        </w:rPr>
        <w:t>e current SSO proposed by AEP.</w:t>
      </w:r>
      <w:r>
        <w:rPr>
          <w:rFonts w:ascii="Arial" w:hAnsi="Arial" w:cs="Arial"/>
          <w:sz w:val="24"/>
          <w:szCs w:val="24"/>
        </w:rPr>
        <w:t xml:space="preserve"> </w:t>
      </w:r>
      <w:r w:rsidRPr="00AD6628">
        <w:rPr>
          <w:rFonts w:ascii="Arial" w:hAnsi="Arial" w:cs="Arial"/>
          <w:sz w:val="24"/>
          <w:szCs w:val="24"/>
        </w:rPr>
        <w:t xml:space="preserve">R.C. 4928.141 provides that “an </w:t>
      </w:r>
      <w:r w:rsidRPr="00AD6628">
        <w:rPr>
          <w:rFonts w:ascii="Arial" w:hAnsi="Arial" w:cs="Arial"/>
          <w:sz w:val="24"/>
          <w:szCs w:val="24"/>
          <w:shd w:val="clear" w:color="auto" w:fill="FFFFFF"/>
        </w:rPr>
        <w:t xml:space="preserve">electric distribution utility shall provide consumers, on a </w:t>
      </w:r>
      <w:r w:rsidRPr="00AD6628">
        <w:rPr>
          <w:rFonts w:ascii="Arial" w:hAnsi="Arial" w:cs="Arial"/>
          <w:i/>
          <w:sz w:val="24"/>
          <w:szCs w:val="24"/>
          <w:shd w:val="clear" w:color="auto" w:fill="FFFFFF"/>
        </w:rPr>
        <w:t>comparable and nondiscriminatory basis</w:t>
      </w:r>
      <w:r w:rsidRPr="00AD6628">
        <w:rPr>
          <w:rFonts w:ascii="Arial" w:hAnsi="Arial" w:cs="Arial"/>
          <w:i/>
          <w:sz w:val="24"/>
          <w:szCs w:val="24"/>
        </w:rPr>
        <w:t xml:space="preserve"> </w:t>
      </w:r>
      <w:r w:rsidRPr="00AD6628">
        <w:rPr>
          <w:rFonts w:ascii="Arial" w:hAnsi="Arial" w:cs="Arial"/>
          <w:sz w:val="24"/>
          <w:szCs w:val="24"/>
        </w:rPr>
        <w:t>…a standard service offer</w:t>
      </w:r>
      <w:r>
        <w:rPr>
          <w:rFonts w:ascii="Arial" w:hAnsi="Arial" w:cs="Arial"/>
          <w:sz w:val="24"/>
          <w:szCs w:val="24"/>
        </w:rPr>
        <w:t xml:space="preserve"> (</w:t>
      </w:r>
      <w:r w:rsidR="00FC3FFA">
        <w:rPr>
          <w:rFonts w:ascii="Arial" w:hAnsi="Arial" w:cs="Arial"/>
          <w:sz w:val="24"/>
          <w:szCs w:val="24"/>
        </w:rPr>
        <w:t>Emphasis added</w:t>
      </w:r>
      <w:r>
        <w:rPr>
          <w:rFonts w:ascii="Arial" w:hAnsi="Arial" w:cs="Arial"/>
          <w:sz w:val="24"/>
          <w:szCs w:val="24"/>
        </w:rPr>
        <w:t>).”</w:t>
      </w:r>
      <w:r w:rsidR="00515164">
        <w:rPr>
          <w:rFonts w:ascii="Arial" w:hAnsi="Arial" w:cs="Arial"/>
          <w:sz w:val="24"/>
          <w:szCs w:val="24"/>
        </w:rPr>
        <w:t xml:space="preserve"> </w:t>
      </w:r>
      <w:r w:rsidR="00E9539E">
        <w:rPr>
          <w:rFonts w:ascii="Arial" w:hAnsi="Arial" w:cs="Arial"/>
          <w:sz w:val="24"/>
          <w:szCs w:val="24"/>
        </w:rPr>
        <w:t>R.C. 4928.02</w:t>
      </w:r>
      <w:r w:rsidR="00515164" w:rsidRPr="00AD6628">
        <w:rPr>
          <w:rFonts w:ascii="Arial" w:hAnsi="Arial" w:cs="Arial"/>
          <w:sz w:val="24"/>
          <w:szCs w:val="24"/>
        </w:rPr>
        <w:t>(B)</w:t>
      </w:r>
      <w:r w:rsidR="00515164">
        <w:rPr>
          <w:rFonts w:ascii="Arial" w:hAnsi="Arial" w:cs="Arial"/>
          <w:sz w:val="24"/>
          <w:szCs w:val="24"/>
        </w:rPr>
        <w:t xml:space="preserve"> also</w:t>
      </w:r>
      <w:r w:rsidR="00515164" w:rsidRPr="00AD6628">
        <w:rPr>
          <w:rFonts w:ascii="Arial" w:hAnsi="Arial" w:cs="Arial"/>
          <w:sz w:val="24"/>
          <w:szCs w:val="24"/>
        </w:rPr>
        <w:t xml:space="preserve"> provides that it is the policy of the State of Ohio to “</w:t>
      </w:r>
      <w:r w:rsidR="00515164" w:rsidRPr="00AD6628">
        <w:rPr>
          <w:rFonts w:ascii="Arial" w:hAnsi="Arial" w:cs="Arial"/>
          <w:sz w:val="24"/>
          <w:szCs w:val="24"/>
          <w:shd w:val="clear" w:color="auto" w:fill="FFFFFF"/>
        </w:rPr>
        <w:t xml:space="preserve">[e]nsure the availability of </w:t>
      </w:r>
      <w:r w:rsidR="00515164" w:rsidRPr="00AD6628">
        <w:rPr>
          <w:rFonts w:ascii="Arial" w:hAnsi="Arial" w:cs="Arial"/>
          <w:i/>
          <w:sz w:val="24"/>
          <w:szCs w:val="24"/>
          <w:shd w:val="clear" w:color="auto" w:fill="FFFFFF"/>
        </w:rPr>
        <w:t>unbundled and comparable</w:t>
      </w:r>
      <w:r w:rsidR="00515164" w:rsidRPr="00AD6628">
        <w:rPr>
          <w:rFonts w:ascii="Arial" w:hAnsi="Arial" w:cs="Arial"/>
          <w:sz w:val="24"/>
          <w:szCs w:val="24"/>
          <w:shd w:val="clear" w:color="auto" w:fill="FFFFFF"/>
        </w:rPr>
        <w:t xml:space="preserve"> retail electric service (Emphasis added)</w:t>
      </w:r>
      <w:r w:rsidR="00515164">
        <w:rPr>
          <w:rFonts w:ascii="Arial" w:hAnsi="Arial" w:cs="Arial"/>
          <w:sz w:val="24"/>
          <w:szCs w:val="24"/>
          <w:shd w:val="clear" w:color="auto" w:fill="FFFFFF"/>
        </w:rPr>
        <w:t xml:space="preserve">.”  </w:t>
      </w:r>
    </w:p>
    <w:p w14:paraId="32880070" w14:textId="7CC3BEF7" w:rsidR="00983764" w:rsidRPr="00FF27C8" w:rsidRDefault="00515164" w:rsidP="00281A77">
      <w:pPr>
        <w:spacing w:line="480" w:lineRule="auto"/>
        <w:ind w:firstLine="360"/>
        <w:rPr>
          <w:rFonts w:ascii="Arial" w:hAnsi="Arial" w:cs="Arial"/>
          <w:sz w:val="24"/>
          <w:szCs w:val="24"/>
          <w:shd w:val="clear" w:color="auto" w:fill="FFFFFF"/>
        </w:rPr>
      </w:pPr>
      <w:r>
        <w:rPr>
          <w:rFonts w:ascii="Arial" w:hAnsi="Arial" w:cs="Arial"/>
          <w:sz w:val="24"/>
          <w:szCs w:val="24"/>
          <w:shd w:val="clear" w:color="auto" w:fill="FFFFFF"/>
        </w:rPr>
        <w:t xml:space="preserve">IGS’ RPA proposal would unbundle costs </w:t>
      </w:r>
      <w:r w:rsidR="00532093">
        <w:rPr>
          <w:rFonts w:ascii="Arial" w:hAnsi="Arial" w:cs="Arial"/>
          <w:sz w:val="24"/>
          <w:szCs w:val="24"/>
          <w:shd w:val="clear" w:color="auto" w:fill="FFFFFF"/>
        </w:rPr>
        <w:t>from</w:t>
      </w:r>
      <w:r w:rsidR="00E9539E">
        <w:rPr>
          <w:rFonts w:ascii="Arial" w:hAnsi="Arial" w:cs="Arial"/>
          <w:sz w:val="24"/>
          <w:szCs w:val="24"/>
          <w:shd w:val="clear" w:color="auto" w:fill="FFFFFF"/>
        </w:rPr>
        <w:t xml:space="preserve"> distribution rates and </w:t>
      </w:r>
      <w:r>
        <w:rPr>
          <w:rFonts w:ascii="Arial" w:hAnsi="Arial" w:cs="Arial"/>
          <w:sz w:val="24"/>
          <w:szCs w:val="24"/>
          <w:shd w:val="clear" w:color="auto" w:fill="FFFFFF"/>
        </w:rPr>
        <w:t>assign t</w:t>
      </w:r>
      <w:r w:rsidR="00E9539E">
        <w:rPr>
          <w:rFonts w:ascii="Arial" w:hAnsi="Arial" w:cs="Arial"/>
          <w:sz w:val="24"/>
          <w:szCs w:val="24"/>
          <w:shd w:val="clear" w:color="auto" w:fill="FFFFFF"/>
        </w:rPr>
        <w:t>hose costs</w:t>
      </w:r>
      <w:r>
        <w:rPr>
          <w:rFonts w:ascii="Arial" w:hAnsi="Arial" w:cs="Arial"/>
          <w:sz w:val="24"/>
          <w:szCs w:val="24"/>
          <w:shd w:val="clear" w:color="auto" w:fill="FFFFFF"/>
        </w:rPr>
        <w:t xml:space="preserve"> to the</w:t>
      </w:r>
      <w:r w:rsidR="00E9539E">
        <w:rPr>
          <w:rFonts w:ascii="Arial" w:hAnsi="Arial" w:cs="Arial"/>
          <w:sz w:val="24"/>
          <w:szCs w:val="24"/>
          <w:shd w:val="clear" w:color="auto" w:fill="FFFFFF"/>
        </w:rPr>
        <w:t xml:space="preserve"> cost</w:t>
      </w:r>
      <w:r>
        <w:rPr>
          <w:rFonts w:ascii="Arial" w:hAnsi="Arial" w:cs="Arial"/>
          <w:sz w:val="24"/>
          <w:szCs w:val="24"/>
          <w:shd w:val="clear" w:color="auto" w:fill="FFFFFF"/>
        </w:rPr>
        <w:t xml:space="preserve"> causer </w:t>
      </w:r>
      <w:r w:rsidR="00E9539E">
        <w:rPr>
          <w:rFonts w:ascii="Arial" w:hAnsi="Arial" w:cs="Arial"/>
          <w:sz w:val="24"/>
          <w:szCs w:val="24"/>
          <w:shd w:val="clear" w:color="auto" w:fill="FFFFFF"/>
        </w:rPr>
        <w:t xml:space="preserve">consistent with </w:t>
      </w:r>
      <w:r w:rsidR="00E9539E">
        <w:rPr>
          <w:rFonts w:ascii="Arial" w:hAnsi="Arial" w:cs="Arial"/>
          <w:sz w:val="24"/>
          <w:szCs w:val="24"/>
        </w:rPr>
        <w:t>R.C. 4928.02</w:t>
      </w:r>
      <w:r w:rsidR="00E9539E" w:rsidRPr="00AD6628">
        <w:rPr>
          <w:rFonts w:ascii="Arial" w:hAnsi="Arial" w:cs="Arial"/>
          <w:sz w:val="24"/>
          <w:szCs w:val="24"/>
        </w:rPr>
        <w:t>(B)</w:t>
      </w:r>
      <w:r w:rsidR="00E9539E">
        <w:rPr>
          <w:rFonts w:ascii="Arial" w:hAnsi="Arial" w:cs="Arial"/>
          <w:sz w:val="24"/>
          <w:szCs w:val="24"/>
        </w:rPr>
        <w:t xml:space="preserve">.  Further, both the retail auction proposal and the RPA proposal would ensure that the SSO rate would be more </w:t>
      </w:r>
      <w:r w:rsidR="00E9539E">
        <w:rPr>
          <w:rFonts w:ascii="Arial" w:hAnsi="Arial" w:cs="Arial"/>
          <w:sz w:val="24"/>
          <w:szCs w:val="24"/>
        </w:rPr>
        <w:lastRenderedPageBreak/>
        <w:t xml:space="preserve">comparable to the other </w:t>
      </w:r>
      <w:r w:rsidR="00E04ED2">
        <w:rPr>
          <w:rFonts w:ascii="Arial" w:hAnsi="Arial" w:cs="Arial"/>
          <w:sz w:val="24"/>
          <w:szCs w:val="24"/>
        </w:rPr>
        <w:t xml:space="preserve">electric </w:t>
      </w:r>
      <w:r w:rsidR="00E9539E">
        <w:rPr>
          <w:rFonts w:ascii="Arial" w:hAnsi="Arial" w:cs="Arial"/>
          <w:sz w:val="24"/>
          <w:szCs w:val="24"/>
        </w:rPr>
        <w:t>products</w:t>
      </w:r>
      <w:r w:rsidR="00202B5A">
        <w:rPr>
          <w:rFonts w:ascii="Arial" w:hAnsi="Arial" w:cs="Arial"/>
          <w:sz w:val="24"/>
          <w:szCs w:val="24"/>
        </w:rPr>
        <w:t xml:space="preserve"> and would</w:t>
      </w:r>
      <w:r w:rsidR="00E9539E">
        <w:rPr>
          <w:rFonts w:ascii="Arial" w:hAnsi="Arial" w:cs="Arial"/>
          <w:sz w:val="24"/>
          <w:szCs w:val="24"/>
        </w:rPr>
        <w:t xml:space="preserve"> create an SSO rate that </w:t>
      </w:r>
      <w:r w:rsidR="000A7AE8">
        <w:rPr>
          <w:rFonts w:ascii="Arial" w:hAnsi="Arial" w:cs="Arial"/>
          <w:sz w:val="24"/>
          <w:szCs w:val="24"/>
        </w:rPr>
        <w:t>better reflects the retail products that are</w:t>
      </w:r>
      <w:r w:rsidR="00E9539E">
        <w:rPr>
          <w:rFonts w:ascii="Arial" w:hAnsi="Arial" w:cs="Arial"/>
          <w:sz w:val="24"/>
          <w:szCs w:val="24"/>
        </w:rPr>
        <w:t xml:space="preserve"> provided in the market.  </w:t>
      </w:r>
      <w:r w:rsidR="00FF27C8">
        <w:rPr>
          <w:rFonts w:ascii="Arial" w:hAnsi="Arial" w:cs="Arial"/>
          <w:sz w:val="24"/>
          <w:szCs w:val="24"/>
        </w:rPr>
        <w:t>Ultimately, IGS’ proposals would facilitate the development of a nascent retail relationship between the CRES and customer which would serve to further develop the retail electric market.</w:t>
      </w:r>
    </w:p>
    <w:p w14:paraId="77CF85B9" w14:textId="4E2ACD23" w:rsidR="00336622" w:rsidRPr="00E44998" w:rsidRDefault="000F23D6" w:rsidP="00E44998">
      <w:pPr>
        <w:pStyle w:val="ListParagraph"/>
        <w:numPr>
          <w:ilvl w:val="0"/>
          <w:numId w:val="21"/>
        </w:numPr>
        <w:spacing w:line="240" w:lineRule="auto"/>
        <w:rPr>
          <w:rFonts w:ascii="Arial" w:hAnsi="Arial" w:cs="Arial"/>
          <w:b/>
          <w:sz w:val="24"/>
          <w:szCs w:val="24"/>
        </w:rPr>
      </w:pPr>
      <w:r>
        <w:rPr>
          <w:rFonts w:ascii="Arial" w:hAnsi="Arial" w:cs="Arial"/>
          <w:b/>
          <w:sz w:val="24"/>
          <w:szCs w:val="24"/>
        </w:rPr>
        <w:t>The</w:t>
      </w:r>
      <w:r w:rsidR="00983764" w:rsidRPr="00E44998">
        <w:rPr>
          <w:rFonts w:ascii="Arial" w:hAnsi="Arial" w:cs="Arial"/>
          <w:b/>
          <w:sz w:val="24"/>
          <w:szCs w:val="24"/>
        </w:rPr>
        <w:t xml:space="preserve"> RPA and Retail Auction Proposals Would Lower Costs to Electric Consumers.</w:t>
      </w:r>
    </w:p>
    <w:p w14:paraId="0AEAB57F" w14:textId="2E522495" w:rsidR="003C64C5" w:rsidRDefault="00816FB5" w:rsidP="003C64C5">
      <w:pPr>
        <w:spacing w:line="480" w:lineRule="auto"/>
        <w:ind w:firstLine="360"/>
        <w:rPr>
          <w:rFonts w:ascii="Arial" w:hAnsi="Arial" w:cs="Arial"/>
          <w:sz w:val="24"/>
          <w:szCs w:val="24"/>
        </w:rPr>
      </w:pPr>
      <w:r>
        <w:rPr>
          <w:rFonts w:ascii="Arial" w:hAnsi="Arial" w:cs="Arial"/>
          <w:sz w:val="24"/>
          <w:szCs w:val="24"/>
        </w:rPr>
        <w:t>In their initial briefs b</w:t>
      </w:r>
      <w:r w:rsidR="00983764" w:rsidRPr="00983764">
        <w:rPr>
          <w:rFonts w:ascii="Arial" w:hAnsi="Arial" w:cs="Arial"/>
          <w:sz w:val="24"/>
          <w:szCs w:val="24"/>
        </w:rPr>
        <w:t>oth</w:t>
      </w:r>
      <w:r w:rsidR="00983764">
        <w:rPr>
          <w:rFonts w:ascii="Arial" w:hAnsi="Arial" w:cs="Arial"/>
          <w:sz w:val="24"/>
          <w:szCs w:val="24"/>
        </w:rPr>
        <w:t xml:space="preserve"> OCC and the Ohio Partner’s for Affordable Energy (“OPAE”) </w:t>
      </w:r>
      <w:r w:rsidR="00CE512D">
        <w:rPr>
          <w:rFonts w:ascii="Arial" w:hAnsi="Arial" w:cs="Arial"/>
          <w:sz w:val="24"/>
          <w:szCs w:val="24"/>
        </w:rPr>
        <w:t>claim that</w:t>
      </w:r>
      <w:r>
        <w:rPr>
          <w:rFonts w:ascii="Arial" w:hAnsi="Arial" w:cs="Arial"/>
          <w:sz w:val="24"/>
          <w:szCs w:val="24"/>
        </w:rPr>
        <w:t xml:space="preserve"> IGS’ RPA proposal and retail auction proposal will raise the price of Ohio electric customers pay.</w:t>
      </w:r>
      <w:r w:rsidR="00FE591B">
        <w:rPr>
          <w:rStyle w:val="FootnoteReference"/>
          <w:rFonts w:ascii="Arial" w:hAnsi="Arial" w:cs="Arial"/>
          <w:sz w:val="24"/>
          <w:szCs w:val="24"/>
        </w:rPr>
        <w:footnoteReference w:id="3"/>
      </w:r>
      <w:r>
        <w:rPr>
          <w:rFonts w:ascii="Arial" w:hAnsi="Arial" w:cs="Arial"/>
          <w:sz w:val="24"/>
          <w:szCs w:val="24"/>
        </w:rPr>
        <w:t xml:space="preserve">  </w:t>
      </w:r>
      <w:r w:rsidR="00FE591B">
        <w:rPr>
          <w:rFonts w:ascii="Arial" w:hAnsi="Arial" w:cs="Arial"/>
          <w:sz w:val="24"/>
          <w:szCs w:val="24"/>
        </w:rPr>
        <w:t>OCC</w:t>
      </w:r>
      <w:r w:rsidR="00BF6248">
        <w:rPr>
          <w:rFonts w:ascii="Arial" w:hAnsi="Arial" w:cs="Arial"/>
          <w:sz w:val="24"/>
          <w:szCs w:val="24"/>
        </w:rPr>
        <w:t>’s</w:t>
      </w:r>
      <w:r w:rsidR="00FE591B">
        <w:rPr>
          <w:rFonts w:ascii="Arial" w:hAnsi="Arial" w:cs="Arial"/>
          <w:sz w:val="24"/>
          <w:szCs w:val="24"/>
        </w:rPr>
        <w:t xml:space="preserve"> and OPAE’s claims</w:t>
      </w:r>
      <w:r>
        <w:rPr>
          <w:rFonts w:ascii="Arial" w:hAnsi="Arial" w:cs="Arial"/>
          <w:sz w:val="24"/>
          <w:szCs w:val="24"/>
        </w:rPr>
        <w:t xml:space="preserve"> are not supported by the record evidence.  </w:t>
      </w:r>
      <w:r w:rsidR="00CE512D">
        <w:rPr>
          <w:rFonts w:ascii="Arial" w:hAnsi="Arial" w:cs="Arial"/>
          <w:sz w:val="24"/>
          <w:szCs w:val="24"/>
        </w:rPr>
        <w:t xml:space="preserve"> </w:t>
      </w:r>
    </w:p>
    <w:p w14:paraId="64F26BCA" w14:textId="56B62557" w:rsidR="00D13773" w:rsidRDefault="00FE591B" w:rsidP="003C64C5">
      <w:pPr>
        <w:spacing w:line="480" w:lineRule="auto"/>
        <w:ind w:firstLine="360"/>
        <w:rPr>
          <w:rFonts w:ascii="Arial" w:hAnsi="Arial" w:cs="Arial"/>
          <w:sz w:val="24"/>
          <w:szCs w:val="24"/>
        </w:rPr>
      </w:pPr>
      <w:r>
        <w:rPr>
          <w:rFonts w:ascii="Arial" w:hAnsi="Arial" w:cs="Arial"/>
          <w:sz w:val="24"/>
          <w:szCs w:val="24"/>
        </w:rPr>
        <w:t>First</w:t>
      </w:r>
      <w:r w:rsidR="00202B5A">
        <w:rPr>
          <w:rFonts w:ascii="Arial" w:hAnsi="Arial" w:cs="Arial"/>
          <w:sz w:val="24"/>
          <w:szCs w:val="24"/>
        </w:rPr>
        <w:t>,</w:t>
      </w:r>
      <w:r>
        <w:rPr>
          <w:rFonts w:ascii="Arial" w:hAnsi="Arial" w:cs="Arial"/>
          <w:sz w:val="24"/>
          <w:szCs w:val="24"/>
        </w:rPr>
        <w:t xml:space="preserve"> as IGS Witness White testified, 100% of the money generated from both the retail auction proposal and the RPA proposal would be returned to all Ohio </w:t>
      </w:r>
      <w:r w:rsidR="000A7AE8">
        <w:rPr>
          <w:rFonts w:ascii="Arial" w:hAnsi="Arial" w:cs="Arial"/>
          <w:sz w:val="24"/>
          <w:szCs w:val="24"/>
        </w:rPr>
        <w:t xml:space="preserve">electric </w:t>
      </w:r>
      <w:r>
        <w:rPr>
          <w:rFonts w:ascii="Arial" w:hAnsi="Arial" w:cs="Arial"/>
          <w:sz w:val="24"/>
          <w:szCs w:val="24"/>
        </w:rPr>
        <w:t>customers.</w:t>
      </w:r>
      <w:r w:rsidR="000A7AE8">
        <w:rPr>
          <w:rStyle w:val="FootnoteReference"/>
          <w:rFonts w:ascii="Arial" w:hAnsi="Arial" w:cs="Arial"/>
          <w:sz w:val="24"/>
          <w:szCs w:val="24"/>
        </w:rPr>
        <w:footnoteReference w:id="4"/>
      </w:r>
      <w:r>
        <w:rPr>
          <w:rFonts w:ascii="Arial" w:hAnsi="Arial" w:cs="Arial"/>
          <w:sz w:val="24"/>
          <w:szCs w:val="24"/>
        </w:rPr>
        <w:t xml:space="preserve">  Under IGS’ proposals, CRES</w:t>
      </w:r>
      <w:r w:rsidR="00532093">
        <w:rPr>
          <w:rFonts w:ascii="Arial" w:hAnsi="Arial" w:cs="Arial"/>
          <w:sz w:val="24"/>
          <w:szCs w:val="24"/>
        </w:rPr>
        <w:t>s</w:t>
      </w:r>
      <w:r>
        <w:rPr>
          <w:rFonts w:ascii="Arial" w:hAnsi="Arial" w:cs="Arial"/>
          <w:sz w:val="24"/>
          <w:szCs w:val="24"/>
        </w:rPr>
        <w:t xml:space="preserve"> that provide SSO service would be assessed</w:t>
      </w:r>
      <w:r w:rsidR="000A7AE8">
        <w:rPr>
          <w:rFonts w:ascii="Arial" w:hAnsi="Arial" w:cs="Arial"/>
          <w:sz w:val="24"/>
          <w:szCs w:val="24"/>
        </w:rPr>
        <w:t xml:space="preserve"> a fee</w:t>
      </w:r>
      <w:r>
        <w:rPr>
          <w:rFonts w:ascii="Arial" w:hAnsi="Arial" w:cs="Arial"/>
          <w:sz w:val="24"/>
          <w:szCs w:val="24"/>
        </w:rPr>
        <w:t xml:space="preserve"> and all of th</w:t>
      </w:r>
      <w:r w:rsidR="0026372C">
        <w:rPr>
          <w:rFonts w:ascii="Arial" w:hAnsi="Arial" w:cs="Arial"/>
          <w:sz w:val="24"/>
          <w:szCs w:val="24"/>
        </w:rPr>
        <w:t>e</w:t>
      </w:r>
      <w:r>
        <w:rPr>
          <w:rFonts w:ascii="Arial" w:hAnsi="Arial" w:cs="Arial"/>
          <w:sz w:val="24"/>
          <w:szCs w:val="24"/>
        </w:rPr>
        <w:t xml:space="preserve"> money</w:t>
      </w:r>
      <w:r w:rsidR="000A7AE8">
        <w:rPr>
          <w:rFonts w:ascii="Arial" w:hAnsi="Arial" w:cs="Arial"/>
          <w:sz w:val="24"/>
          <w:szCs w:val="24"/>
        </w:rPr>
        <w:t xml:space="preserve"> generated from that fee</w:t>
      </w:r>
      <w:r>
        <w:rPr>
          <w:rFonts w:ascii="Arial" w:hAnsi="Arial" w:cs="Arial"/>
          <w:sz w:val="24"/>
          <w:szCs w:val="24"/>
        </w:rPr>
        <w:t xml:space="preserve"> would go to reduce the costs all electric customers pay.  </w:t>
      </w:r>
      <w:r w:rsidR="000A7AE8">
        <w:rPr>
          <w:rFonts w:ascii="Arial" w:hAnsi="Arial" w:cs="Arial"/>
          <w:sz w:val="24"/>
          <w:szCs w:val="24"/>
        </w:rPr>
        <w:t xml:space="preserve">As Mr. White notes in his testimony, AEP currently has significant </w:t>
      </w:r>
      <w:r w:rsidR="00E04ED2">
        <w:rPr>
          <w:rFonts w:ascii="Arial" w:hAnsi="Arial" w:cs="Arial"/>
          <w:sz w:val="24"/>
          <w:szCs w:val="24"/>
        </w:rPr>
        <w:t>deferrals</w:t>
      </w:r>
      <w:r w:rsidR="000A7AE8">
        <w:rPr>
          <w:rFonts w:ascii="Arial" w:hAnsi="Arial" w:cs="Arial"/>
          <w:sz w:val="24"/>
          <w:szCs w:val="24"/>
        </w:rPr>
        <w:t xml:space="preserve"> and the money raised from either of IGS’ proposals could go to paying down the deferrals benefiting all customers.</w:t>
      </w:r>
      <w:r w:rsidR="000A7AE8">
        <w:rPr>
          <w:rStyle w:val="FootnoteReference"/>
          <w:rFonts w:ascii="Arial" w:hAnsi="Arial" w:cs="Arial"/>
          <w:sz w:val="24"/>
          <w:szCs w:val="24"/>
        </w:rPr>
        <w:footnoteReference w:id="5"/>
      </w:r>
      <w:r>
        <w:rPr>
          <w:rFonts w:ascii="Arial" w:hAnsi="Arial" w:cs="Arial"/>
          <w:sz w:val="24"/>
          <w:szCs w:val="24"/>
        </w:rPr>
        <w:t xml:space="preserve">   </w:t>
      </w:r>
      <w:r w:rsidR="00E04ED2">
        <w:rPr>
          <w:rFonts w:ascii="Arial" w:hAnsi="Arial" w:cs="Arial"/>
          <w:sz w:val="24"/>
          <w:szCs w:val="24"/>
        </w:rPr>
        <w:t>Thus, contrary to OCC</w:t>
      </w:r>
      <w:r w:rsidR="00FC3FFA">
        <w:rPr>
          <w:rFonts w:ascii="Arial" w:hAnsi="Arial" w:cs="Arial"/>
          <w:sz w:val="24"/>
          <w:szCs w:val="24"/>
        </w:rPr>
        <w:t>’s</w:t>
      </w:r>
      <w:r w:rsidR="00E04ED2">
        <w:rPr>
          <w:rFonts w:ascii="Arial" w:hAnsi="Arial" w:cs="Arial"/>
          <w:sz w:val="24"/>
          <w:szCs w:val="24"/>
        </w:rPr>
        <w:t xml:space="preserve"> and OPAE’s claims</w:t>
      </w:r>
      <w:r w:rsidR="00D13773">
        <w:rPr>
          <w:rFonts w:ascii="Arial" w:hAnsi="Arial" w:cs="Arial"/>
          <w:sz w:val="24"/>
          <w:szCs w:val="24"/>
        </w:rPr>
        <w:t xml:space="preserve">, the RPA and retail auction proposals would </w:t>
      </w:r>
      <w:r w:rsidR="0026372C">
        <w:rPr>
          <w:rFonts w:ascii="Arial" w:hAnsi="Arial" w:cs="Arial"/>
          <w:sz w:val="24"/>
          <w:szCs w:val="24"/>
        </w:rPr>
        <w:t>reduce</w:t>
      </w:r>
      <w:r w:rsidR="00D13773">
        <w:rPr>
          <w:rFonts w:ascii="Arial" w:hAnsi="Arial" w:cs="Arial"/>
          <w:sz w:val="24"/>
          <w:szCs w:val="24"/>
        </w:rPr>
        <w:t xml:space="preserve"> electric rates paid for by</w:t>
      </w:r>
      <w:r w:rsidR="0026372C">
        <w:rPr>
          <w:rFonts w:ascii="Arial" w:hAnsi="Arial" w:cs="Arial"/>
          <w:sz w:val="24"/>
          <w:szCs w:val="24"/>
        </w:rPr>
        <w:t xml:space="preserve"> all electric</w:t>
      </w:r>
      <w:r w:rsidR="00D13773">
        <w:rPr>
          <w:rFonts w:ascii="Arial" w:hAnsi="Arial" w:cs="Arial"/>
          <w:sz w:val="24"/>
          <w:szCs w:val="24"/>
        </w:rPr>
        <w:t xml:space="preserve"> customers</w:t>
      </w:r>
      <w:r w:rsidR="005E5269">
        <w:rPr>
          <w:rFonts w:ascii="Arial" w:hAnsi="Arial" w:cs="Arial"/>
          <w:sz w:val="24"/>
          <w:szCs w:val="24"/>
        </w:rPr>
        <w:t>, not increase costs</w:t>
      </w:r>
      <w:r w:rsidR="00D13773">
        <w:rPr>
          <w:rFonts w:ascii="Arial" w:hAnsi="Arial" w:cs="Arial"/>
          <w:sz w:val="24"/>
          <w:szCs w:val="24"/>
        </w:rPr>
        <w:t>.</w:t>
      </w:r>
    </w:p>
    <w:p w14:paraId="718FD30E" w14:textId="1E540A76" w:rsidR="00BE13F3" w:rsidRDefault="00BE13F3" w:rsidP="00EC6247">
      <w:pPr>
        <w:spacing w:line="480" w:lineRule="auto"/>
        <w:ind w:firstLine="360"/>
        <w:rPr>
          <w:rFonts w:ascii="Arial" w:hAnsi="Arial" w:cs="Arial"/>
          <w:sz w:val="24"/>
          <w:szCs w:val="24"/>
        </w:rPr>
      </w:pPr>
      <w:r>
        <w:rPr>
          <w:rFonts w:ascii="Arial" w:hAnsi="Arial" w:cs="Arial"/>
          <w:sz w:val="24"/>
          <w:szCs w:val="24"/>
        </w:rPr>
        <w:lastRenderedPageBreak/>
        <w:t>Further, none of the dollars generated from a retail auction proposal or the RPA proposal would go to CRES providers, contrary to OCC</w:t>
      </w:r>
      <w:r w:rsidR="0078113B">
        <w:rPr>
          <w:rFonts w:ascii="Arial" w:hAnsi="Arial" w:cs="Arial"/>
          <w:sz w:val="24"/>
          <w:szCs w:val="24"/>
        </w:rPr>
        <w:t>’s</w:t>
      </w:r>
      <w:r>
        <w:rPr>
          <w:rFonts w:ascii="Arial" w:hAnsi="Arial" w:cs="Arial"/>
          <w:sz w:val="24"/>
          <w:szCs w:val="24"/>
        </w:rPr>
        <w:t xml:space="preserve"> and OPAE’s claims.</w:t>
      </w:r>
      <w:r>
        <w:rPr>
          <w:rStyle w:val="FootnoteReference"/>
          <w:rFonts w:ascii="Arial" w:hAnsi="Arial" w:cs="Arial"/>
          <w:sz w:val="24"/>
          <w:szCs w:val="24"/>
        </w:rPr>
        <w:footnoteReference w:id="6"/>
      </w:r>
      <w:r>
        <w:rPr>
          <w:rFonts w:ascii="Arial" w:hAnsi="Arial" w:cs="Arial"/>
          <w:sz w:val="24"/>
          <w:szCs w:val="24"/>
        </w:rPr>
        <w:t xml:space="preserve">  Both the RPA </w:t>
      </w:r>
      <w:r w:rsidR="0054588C">
        <w:rPr>
          <w:rFonts w:ascii="Arial" w:hAnsi="Arial" w:cs="Arial"/>
          <w:sz w:val="24"/>
          <w:szCs w:val="24"/>
        </w:rPr>
        <w:t>and the retail auction proposal</w:t>
      </w:r>
      <w:r>
        <w:rPr>
          <w:rFonts w:ascii="Arial" w:hAnsi="Arial" w:cs="Arial"/>
          <w:sz w:val="24"/>
          <w:szCs w:val="24"/>
        </w:rPr>
        <w:t xml:space="preserve"> would actually access a fee to CRES providers that provide SSO service, charging them for the value they receive for being able to provide service to a customer without having to affirmatively enroll that customer.  </w:t>
      </w:r>
    </w:p>
    <w:p w14:paraId="48D8D264" w14:textId="4E110D59" w:rsidR="001D18AD" w:rsidRDefault="008C7563" w:rsidP="00EC6247">
      <w:pPr>
        <w:spacing w:line="480" w:lineRule="auto"/>
        <w:ind w:firstLine="360"/>
        <w:rPr>
          <w:rFonts w:ascii="Arial" w:hAnsi="Arial" w:cs="Arial"/>
          <w:sz w:val="24"/>
          <w:szCs w:val="24"/>
        </w:rPr>
      </w:pPr>
      <w:r>
        <w:rPr>
          <w:rFonts w:ascii="Arial" w:hAnsi="Arial" w:cs="Arial"/>
          <w:sz w:val="24"/>
          <w:szCs w:val="24"/>
        </w:rPr>
        <w:t>B</w:t>
      </w:r>
      <w:r w:rsidR="00D13773">
        <w:rPr>
          <w:rFonts w:ascii="Arial" w:hAnsi="Arial" w:cs="Arial"/>
          <w:sz w:val="24"/>
          <w:szCs w:val="24"/>
        </w:rPr>
        <w:t>eyond just the price benefits</w:t>
      </w:r>
      <w:r w:rsidR="00FF27C8">
        <w:rPr>
          <w:rFonts w:ascii="Arial" w:hAnsi="Arial" w:cs="Arial"/>
          <w:sz w:val="24"/>
          <w:szCs w:val="24"/>
        </w:rPr>
        <w:t>,</w:t>
      </w:r>
      <w:r w:rsidR="00D13773">
        <w:rPr>
          <w:rFonts w:ascii="Arial" w:hAnsi="Arial" w:cs="Arial"/>
          <w:sz w:val="24"/>
          <w:szCs w:val="24"/>
        </w:rPr>
        <w:t xml:space="preserve"> </w:t>
      </w:r>
      <w:r w:rsidR="005E5269">
        <w:rPr>
          <w:rFonts w:ascii="Arial" w:hAnsi="Arial" w:cs="Arial"/>
          <w:sz w:val="24"/>
          <w:szCs w:val="24"/>
        </w:rPr>
        <w:t>IGS’ proposals</w:t>
      </w:r>
      <w:r w:rsidR="00D13773">
        <w:rPr>
          <w:rFonts w:ascii="Arial" w:hAnsi="Arial" w:cs="Arial"/>
          <w:sz w:val="24"/>
          <w:szCs w:val="24"/>
        </w:rPr>
        <w:t xml:space="preserve"> will</w:t>
      </w:r>
      <w:r>
        <w:rPr>
          <w:rFonts w:ascii="Arial" w:hAnsi="Arial" w:cs="Arial"/>
          <w:sz w:val="24"/>
          <w:szCs w:val="24"/>
        </w:rPr>
        <w:t xml:space="preserve"> also</w:t>
      </w:r>
      <w:r w:rsidR="00D13773">
        <w:rPr>
          <w:rFonts w:ascii="Arial" w:hAnsi="Arial" w:cs="Arial"/>
          <w:sz w:val="24"/>
          <w:szCs w:val="24"/>
        </w:rPr>
        <w:t xml:space="preserve"> encourage customer engagement in Ohio’s retail electric market. As IGS Witness White explained, </w:t>
      </w:r>
      <w:r w:rsidR="00D13773" w:rsidRPr="00AD6628">
        <w:rPr>
          <w:rFonts w:ascii="Arial" w:hAnsi="Arial" w:cs="Arial"/>
          <w:sz w:val="24"/>
          <w:szCs w:val="24"/>
        </w:rPr>
        <w:t>“products offered in the AEP market are largely commodity products only, and the innovative products that require higher fixed capital costs have been inhibited due to the current AEP SSO rate structure</w:t>
      </w:r>
      <w:r w:rsidR="00D13773">
        <w:rPr>
          <w:rFonts w:ascii="Arial" w:hAnsi="Arial" w:cs="Arial"/>
          <w:sz w:val="24"/>
          <w:szCs w:val="24"/>
        </w:rPr>
        <w:t>.”</w:t>
      </w:r>
      <w:r w:rsidR="0026372C">
        <w:rPr>
          <w:rStyle w:val="FootnoteReference"/>
          <w:rFonts w:ascii="Arial" w:hAnsi="Arial" w:cs="Arial"/>
          <w:sz w:val="24"/>
          <w:szCs w:val="24"/>
        </w:rPr>
        <w:footnoteReference w:id="7"/>
      </w:r>
      <w:r w:rsidR="00D13773">
        <w:rPr>
          <w:rFonts w:ascii="Arial" w:hAnsi="Arial" w:cs="Arial"/>
          <w:sz w:val="24"/>
          <w:szCs w:val="24"/>
        </w:rPr>
        <w:t xml:space="preserve">  </w:t>
      </w:r>
      <w:r w:rsidR="0026372C">
        <w:rPr>
          <w:rFonts w:ascii="Arial" w:hAnsi="Arial" w:cs="Arial"/>
          <w:sz w:val="24"/>
          <w:szCs w:val="24"/>
        </w:rPr>
        <w:t xml:space="preserve">Therefore, </w:t>
      </w:r>
      <w:r w:rsidR="00C3137C">
        <w:rPr>
          <w:rFonts w:ascii="Arial" w:hAnsi="Arial" w:cs="Arial"/>
          <w:sz w:val="24"/>
          <w:szCs w:val="24"/>
        </w:rPr>
        <w:t>in addition to</w:t>
      </w:r>
      <w:r w:rsidR="00FF27C8">
        <w:rPr>
          <w:rFonts w:ascii="Arial" w:hAnsi="Arial" w:cs="Arial"/>
          <w:sz w:val="24"/>
          <w:szCs w:val="24"/>
        </w:rPr>
        <w:t xml:space="preserve"> the price benefits afforded to customers</w:t>
      </w:r>
      <w:r w:rsidR="0026372C">
        <w:rPr>
          <w:rFonts w:ascii="Arial" w:hAnsi="Arial" w:cs="Arial"/>
          <w:sz w:val="24"/>
          <w:szCs w:val="24"/>
        </w:rPr>
        <w:t>, IGS’ proposals will lead to a more robust and dynamic competitive electric market for customers.</w:t>
      </w:r>
    </w:p>
    <w:p w14:paraId="79B44268" w14:textId="4F5EA4DC" w:rsidR="008C7563" w:rsidRDefault="001D18AD" w:rsidP="001D18AD">
      <w:pPr>
        <w:spacing w:line="480" w:lineRule="auto"/>
        <w:rPr>
          <w:rFonts w:ascii="Arial" w:hAnsi="Arial" w:cs="Arial"/>
          <w:sz w:val="24"/>
          <w:szCs w:val="24"/>
        </w:rPr>
      </w:pPr>
      <w:r>
        <w:rPr>
          <w:rFonts w:ascii="Arial" w:hAnsi="Arial" w:cs="Arial"/>
          <w:sz w:val="24"/>
          <w:szCs w:val="24"/>
        </w:rPr>
        <w:tab/>
      </w:r>
      <w:r w:rsidR="008C7563">
        <w:rPr>
          <w:rFonts w:ascii="Arial" w:hAnsi="Arial" w:cs="Arial"/>
          <w:sz w:val="24"/>
          <w:szCs w:val="24"/>
        </w:rPr>
        <w:t>Finally, it is ironic that i</w:t>
      </w:r>
      <w:r>
        <w:rPr>
          <w:rFonts w:ascii="Arial" w:hAnsi="Arial" w:cs="Arial"/>
          <w:sz w:val="24"/>
          <w:szCs w:val="24"/>
        </w:rPr>
        <w:t xml:space="preserve">n their initial briefs both OCC and OPAE argue that IGS’ retail auction proposal </w:t>
      </w:r>
      <w:r w:rsidR="008C7563">
        <w:rPr>
          <w:rFonts w:ascii="Arial" w:hAnsi="Arial" w:cs="Arial"/>
          <w:sz w:val="24"/>
          <w:szCs w:val="24"/>
        </w:rPr>
        <w:t>will</w:t>
      </w:r>
      <w:r>
        <w:rPr>
          <w:rFonts w:ascii="Arial" w:hAnsi="Arial" w:cs="Arial"/>
          <w:sz w:val="24"/>
          <w:szCs w:val="24"/>
        </w:rPr>
        <w:t xml:space="preserve"> </w:t>
      </w:r>
      <w:r w:rsidR="008C7563">
        <w:rPr>
          <w:rFonts w:ascii="Arial" w:hAnsi="Arial" w:cs="Arial"/>
          <w:i/>
          <w:sz w:val="24"/>
          <w:szCs w:val="24"/>
        </w:rPr>
        <w:t xml:space="preserve">force </w:t>
      </w:r>
      <w:r w:rsidR="008C7563" w:rsidRPr="008C7563">
        <w:rPr>
          <w:rFonts w:ascii="Arial" w:hAnsi="Arial" w:cs="Arial"/>
          <w:sz w:val="24"/>
          <w:szCs w:val="24"/>
        </w:rPr>
        <w:t>SSO</w:t>
      </w:r>
      <w:r w:rsidR="008C7563">
        <w:rPr>
          <w:rFonts w:ascii="Arial" w:hAnsi="Arial" w:cs="Arial"/>
          <w:i/>
          <w:sz w:val="24"/>
          <w:szCs w:val="24"/>
        </w:rPr>
        <w:t xml:space="preserve"> </w:t>
      </w:r>
      <w:r w:rsidR="008C7563" w:rsidRPr="008C7563">
        <w:rPr>
          <w:rFonts w:ascii="Arial" w:hAnsi="Arial" w:cs="Arial"/>
          <w:sz w:val="24"/>
          <w:szCs w:val="24"/>
        </w:rPr>
        <w:t>customers</w:t>
      </w:r>
      <w:r w:rsidRPr="008C7563">
        <w:rPr>
          <w:rFonts w:ascii="Arial" w:hAnsi="Arial" w:cs="Arial"/>
          <w:sz w:val="24"/>
          <w:szCs w:val="24"/>
        </w:rPr>
        <w:t xml:space="preserve"> </w:t>
      </w:r>
      <w:r>
        <w:rPr>
          <w:rFonts w:ascii="Arial" w:hAnsi="Arial" w:cs="Arial"/>
          <w:sz w:val="24"/>
          <w:szCs w:val="24"/>
        </w:rPr>
        <w:t>to ta</w:t>
      </w:r>
      <w:r w:rsidR="008C7563">
        <w:rPr>
          <w:rFonts w:ascii="Arial" w:hAnsi="Arial" w:cs="Arial"/>
          <w:sz w:val="24"/>
          <w:szCs w:val="24"/>
        </w:rPr>
        <w:t>ke service from a CRES provider-</w:t>
      </w:r>
      <w:r>
        <w:rPr>
          <w:rStyle w:val="FootnoteReference"/>
          <w:rFonts w:ascii="Arial" w:hAnsi="Arial" w:cs="Arial"/>
          <w:sz w:val="24"/>
          <w:szCs w:val="24"/>
        </w:rPr>
        <w:footnoteReference w:id="8"/>
      </w:r>
      <w:r>
        <w:rPr>
          <w:rFonts w:ascii="Arial" w:hAnsi="Arial" w:cs="Arial"/>
          <w:sz w:val="24"/>
          <w:szCs w:val="24"/>
        </w:rPr>
        <w:t xml:space="preserve">  </w:t>
      </w:r>
      <w:r w:rsidR="008C7563">
        <w:rPr>
          <w:rFonts w:ascii="Arial" w:hAnsi="Arial" w:cs="Arial"/>
          <w:sz w:val="24"/>
          <w:szCs w:val="24"/>
        </w:rPr>
        <w:t>but simultaneously they</w:t>
      </w:r>
      <w:r>
        <w:rPr>
          <w:rFonts w:ascii="Arial" w:hAnsi="Arial" w:cs="Arial"/>
          <w:sz w:val="24"/>
          <w:szCs w:val="24"/>
        </w:rPr>
        <w:t xml:space="preserve"> make the claim that customers </w:t>
      </w:r>
      <w:r w:rsidRPr="001D18AD">
        <w:rPr>
          <w:rFonts w:ascii="Arial" w:hAnsi="Arial" w:cs="Arial"/>
          <w:i/>
          <w:sz w:val="24"/>
          <w:szCs w:val="24"/>
        </w:rPr>
        <w:t>choose</w:t>
      </w:r>
      <w:r>
        <w:rPr>
          <w:rFonts w:ascii="Arial" w:hAnsi="Arial" w:cs="Arial"/>
          <w:sz w:val="24"/>
          <w:szCs w:val="24"/>
        </w:rPr>
        <w:t xml:space="preserve"> to remain on the current SSO.</w:t>
      </w:r>
      <w:r>
        <w:rPr>
          <w:rStyle w:val="FootnoteReference"/>
          <w:rFonts w:ascii="Arial" w:hAnsi="Arial" w:cs="Arial"/>
          <w:sz w:val="24"/>
          <w:szCs w:val="24"/>
        </w:rPr>
        <w:footnoteReference w:id="9"/>
      </w:r>
      <w:r>
        <w:rPr>
          <w:rFonts w:ascii="Arial" w:hAnsi="Arial" w:cs="Arial"/>
          <w:sz w:val="24"/>
          <w:szCs w:val="24"/>
        </w:rPr>
        <w:t xml:space="preserve">  OCC and OPAE cannot have it both ways.  If the Commission adopts the retail auction </w:t>
      </w:r>
      <w:r w:rsidR="008C7563">
        <w:rPr>
          <w:rFonts w:ascii="Arial" w:hAnsi="Arial" w:cs="Arial"/>
          <w:sz w:val="24"/>
          <w:szCs w:val="24"/>
        </w:rPr>
        <w:t>proposal allowing</w:t>
      </w:r>
      <w:r>
        <w:rPr>
          <w:rFonts w:ascii="Arial" w:hAnsi="Arial" w:cs="Arial"/>
          <w:sz w:val="24"/>
          <w:szCs w:val="24"/>
        </w:rPr>
        <w:t xml:space="preserve"> CRES providers to begin</w:t>
      </w:r>
      <w:r w:rsidR="008C7563">
        <w:rPr>
          <w:rFonts w:ascii="Arial" w:hAnsi="Arial" w:cs="Arial"/>
          <w:sz w:val="24"/>
          <w:szCs w:val="24"/>
        </w:rPr>
        <w:t xml:space="preserve"> directly</w:t>
      </w:r>
      <w:r>
        <w:rPr>
          <w:rFonts w:ascii="Arial" w:hAnsi="Arial" w:cs="Arial"/>
          <w:sz w:val="24"/>
          <w:szCs w:val="24"/>
        </w:rPr>
        <w:t xml:space="preserve"> serving SSO</w:t>
      </w:r>
      <w:r w:rsidR="008C7563">
        <w:rPr>
          <w:rFonts w:ascii="Arial" w:hAnsi="Arial" w:cs="Arial"/>
          <w:sz w:val="24"/>
          <w:szCs w:val="24"/>
        </w:rPr>
        <w:t xml:space="preserve"> customers</w:t>
      </w:r>
      <w:r>
        <w:rPr>
          <w:rFonts w:ascii="Arial" w:hAnsi="Arial" w:cs="Arial"/>
          <w:sz w:val="24"/>
          <w:szCs w:val="24"/>
        </w:rPr>
        <w:t xml:space="preserve">, customers could simply choose to leave the SSO service, just like they </w:t>
      </w:r>
      <w:r w:rsidR="008C7563">
        <w:rPr>
          <w:rFonts w:ascii="Arial" w:hAnsi="Arial" w:cs="Arial"/>
          <w:sz w:val="24"/>
          <w:szCs w:val="24"/>
        </w:rPr>
        <w:t>can choose to remain on, or leave,</w:t>
      </w:r>
      <w:r>
        <w:rPr>
          <w:rFonts w:ascii="Arial" w:hAnsi="Arial" w:cs="Arial"/>
          <w:sz w:val="24"/>
          <w:szCs w:val="24"/>
        </w:rPr>
        <w:t xml:space="preserve"> the SSO service today.  </w:t>
      </w:r>
    </w:p>
    <w:p w14:paraId="3CE2EE25" w14:textId="5260CBC2" w:rsidR="0026372C" w:rsidRDefault="0026372C" w:rsidP="00E44998">
      <w:pPr>
        <w:pStyle w:val="ListParagraph"/>
        <w:numPr>
          <w:ilvl w:val="0"/>
          <w:numId w:val="21"/>
        </w:numPr>
        <w:spacing w:line="240" w:lineRule="auto"/>
        <w:rPr>
          <w:rFonts w:ascii="Arial" w:hAnsi="Arial" w:cs="Arial"/>
          <w:b/>
          <w:sz w:val="24"/>
          <w:szCs w:val="24"/>
        </w:rPr>
      </w:pPr>
      <w:r>
        <w:rPr>
          <w:rFonts w:ascii="Arial" w:hAnsi="Arial" w:cs="Arial"/>
          <w:b/>
          <w:sz w:val="24"/>
          <w:szCs w:val="24"/>
        </w:rPr>
        <w:lastRenderedPageBreak/>
        <w:t xml:space="preserve">The Fact the Commission Has not Approved IGS’ Retail Auction Proposal in the Past Does not Preclude the Commission </w:t>
      </w:r>
      <w:r w:rsidR="00620999">
        <w:rPr>
          <w:rFonts w:ascii="Arial" w:hAnsi="Arial" w:cs="Arial"/>
          <w:b/>
          <w:sz w:val="24"/>
          <w:szCs w:val="24"/>
        </w:rPr>
        <w:t>f</w:t>
      </w:r>
      <w:r>
        <w:rPr>
          <w:rFonts w:ascii="Arial" w:hAnsi="Arial" w:cs="Arial"/>
          <w:b/>
          <w:sz w:val="24"/>
          <w:szCs w:val="24"/>
        </w:rPr>
        <w:t>rom Approving IGS’ Proposals Either Now or in the Future</w:t>
      </w:r>
      <w:r w:rsidR="00FF27C8">
        <w:rPr>
          <w:rFonts w:ascii="Arial" w:hAnsi="Arial" w:cs="Arial"/>
          <w:b/>
          <w:sz w:val="24"/>
          <w:szCs w:val="24"/>
        </w:rPr>
        <w:t>.</w:t>
      </w:r>
    </w:p>
    <w:p w14:paraId="23FCCF9D" w14:textId="4AFADB4F" w:rsidR="0026372C" w:rsidRDefault="0026372C" w:rsidP="00EC6247">
      <w:pPr>
        <w:spacing w:line="480" w:lineRule="auto"/>
        <w:ind w:firstLine="450"/>
        <w:rPr>
          <w:rFonts w:ascii="Arial" w:hAnsi="Arial" w:cs="Arial"/>
          <w:sz w:val="24"/>
          <w:szCs w:val="24"/>
        </w:rPr>
      </w:pPr>
      <w:r>
        <w:rPr>
          <w:rFonts w:ascii="Arial" w:hAnsi="Arial" w:cs="Arial"/>
          <w:sz w:val="24"/>
          <w:szCs w:val="24"/>
        </w:rPr>
        <w:t>In their post hearing briefs, b</w:t>
      </w:r>
      <w:r w:rsidRPr="0026372C">
        <w:rPr>
          <w:rFonts w:ascii="Arial" w:hAnsi="Arial" w:cs="Arial"/>
          <w:sz w:val="24"/>
          <w:szCs w:val="24"/>
        </w:rPr>
        <w:t xml:space="preserve">oth </w:t>
      </w:r>
      <w:r>
        <w:rPr>
          <w:rFonts w:ascii="Arial" w:hAnsi="Arial" w:cs="Arial"/>
          <w:sz w:val="24"/>
          <w:szCs w:val="24"/>
        </w:rPr>
        <w:t>OCC and AEP assert that because the Commission has not adopted IGS’ retail auction proposal in previous proceedings, the Commission should not adopt either IGS’ retail auction proposal or its RPA proposal in this proceeding.</w:t>
      </w:r>
      <w:r w:rsidR="00202B5A">
        <w:rPr>
          <w:rStyle w:val="FootnoteReference"/>
          <w:rFonts w:ascii="Arial" w:hAnsi="Arial" w:cs="Arial"/>
          <w:sz w:val="24"/>
          <w:szCs w:val="24"/>
        </w:rPr>
        <w:footnoteReference w:id="10"/>
      </w:r>
      <w:r>
        <w:rPr>
          <w:rFonts w:ascii="Arial" w:hAnsi="Arial" w:cs="Arial"/>
          <w:sz w:val="24"/>
          <w:szCs w:val="24"/>
        </w:rPr>
        <w:t xml:space="preserve">  OCC and AEP’s arguments </w:t>
      </w:r>
      <w:r w:rsidR="00C3137C">
        <w:rPr>
          <w:rFonts w:ascii="Arial" w:hAnsi="Arial" w:cs="Arial"/>
          <w:sz w:val="24"/>
          <w:szCs w:val="24"/>
        </w:rPr>
        <w:t>are without</w:t>
      </w:r>
      <w:r>
        <w:rPr>
          <w:rFonts w:ascii="Arial" w:hAnsi="Arial" w:cs="Arial"/>
          <w:sz w:val="24"/>
          <w:szCs w:val="24"/>
        </w:rPr>
        <w:t xml:space="preserve"> merit.</w:t>
      </w:r>
    </w:p>
    <w:p w14:paraId="740130F7" w14:textId="18598D29" w:rsidR="0026372C" w:rsidRPr="0026372C" w:rsidRDefault="0026372C" w:rsidP="00EC6247">
      <w:pPr>
        <w:spacing w:line="480" w:lineRule="auto"/>
        <w:ind w:firstLine="450"/>
        <w:rPr>
          <w:rFonts w:ascii="Arial" w:hAnsi="Arial" w:cs="Arial"/>
          <w:sz w:val="24"/>
          <w:szCs w:val="24"/>
        </w:rPr>
      </w:pPr>
      <w:r>
        <w:rPr>
          <w:rFonts w:ascii="Arial" w:hAnsi="Arial" w:cs="Arial"/>
          <w:sz w:val="24"/>
          <w:szCs w:val="24"/>
        </w:rPr>
        <w:t xml:space="preserve">First, it should be noted that although the Commission did not adopt IGS’ retail auction proposal in AEP’s last ESP, the Commission is not precluded from doing so </w:t>
      </w:r>
      <w:r w:rsidR="00213D2B">
        <w:rPr>
          <w:rFonts w:ascii="Arial" w:hAnsi="Arial" w:cs="Arial"/>
          <w:sz w:val="24"/>
          <w:szCs w:val="24"/>
        </w:rPr>
        <w:t>in this case</w:t>
      </w:r>
      <w:r>
        <w:rPr>
          <w:rFonts w:ascii="Arial" w:hAnsi="Arial" w:cs="Arial"/>
          <w:sz w:val="24"/>
          <w:szCs w:val="24"/>
        </w:rPr>
        <w:t xml:space="preserve">.  Ohio electric markets are continuing to evolve, and as the markets evolve, </w:t>
      </w:r>
      <w:r w:rsidR="00213D2B">
        <w:rPr>
          <w:rFonts w:ascii="Arial" w:hAnsi="Arial" w:cs="Arial"/>
          <w:sz w:val="24"/>
          <w:szCs w:val="24"/>
        </w:rPr>
        <w:t>the provision of SSO service should evolve as well</w:t>
      </w:r>
      <w:r>
        <w:rPr>
          <w:rFonts w:ascii="Arial" w:hAnsi="Arial" w:cs="Arial"/>
          <w:sz w:val="24"/>
          <w:szCs w:val="24"/>
        </w:rPr>
        <w:t>.</w:t>
      </w:r>
      <w:r w:rsidR="00213D2B">
        <w:rPr>
          <w:rFonts w:ascii="Arial" w:hAnsi="Arial" w:cs="Arial"/>
          <w:sz w:val="24"/>
          <w:szCs w:val="24"/>
        </w:rPr>
        <w:t xml:space="preserve"> </w:t>
      </w:r>
      <w:r w:rsidR="00BE13F3">
        <w:rPr>
          <w:rFonts w:ascii="Arial" w:hAnsi="Arial" w:cs="Arial"/>
          <w:sz w:val="24"/>
          <w:szCs w:val="24"/>
        </w:rPr>
        <w:t>For instance, in AEP’s last ESP</w:t>
      </w:r>
      <w:r w:rsidR="00213D2B">
        <w:rPr>
          <w:rFonts w:ascii="Arial" w:hAnsi="Arial" w:cs="Arial"/>
          <w:sz w:val="24"/>
          <w:szCs w:val="24"/>
        </w:rPr>
        <w:t xml:space="preserve"> the Commission had not yet ordered AEP to divest its electric generation, and SSO customers were still being served on the cost of service model.  At the beginning of this ESP period, AEP will have divested its electric generation in its entirety</w:t>
      </w:r>
      <w:r w:rsidR="0054588C">
        <w:rPr>
          <w:rFonts w:ascii="Arial" w:hAnsi="Arial" w:cs="Arial"/>
          <w:sz w:val="24"/>
          <w:szCs w:val="24"/>
        </w:rPr>
        <w:t>;</w:t>
      </w:r>
      <w:r w:rsidR="00213D2B">
        <w:rPr>
          <w:rFonts w:ascii="Arial" w:hAnsi="Arial" w:cs="Arial"/>
          <w:sz w:val="24"/>
          <w:szCs w:val="24"/>
        </w:rPr>
        <w:t xml:space="preserve"> thus the competitive landscape will have changed significantly since AEP’s last ESP case.</w:t>
      </w:r>
    </w:p>
    <w:p w14:paraId="639278CB" w14:textId="19222038" w:rsidR="0026372C" w:rsidRDefault="00213D2B" w:rsidP="00EC6247">
      <w:pPr>
        <w:spacing w:line="480" w:lineRule="auto"/>
        <w:ind w:firstLine="450"/>
        <w:rPr>
          <w:rFonts w:ascii="Arial" w:hAnsi="Arial" w:cs="Arial"/>
          <w:sz w:val="24"/>
          <w:szCs w:val="24"/>
        </w:rPr>
      </w:pPr>
      <w:r w:rsidRPr="00532093">
        <w:rPr>
          <w:rFonts w:ascii="Arial" w:hAnsi="Arial" w:cs="Arial"/>
          <w:sz w:val="24"/>
          <w:szCs w:val="24"/>
        </w:rPr>
        <w:t xml:space="preserve">Further, </w:t>
      </w:r>
      <w:r w:rsidR="005E5269" w:rsidRPr="00532093">
        <w:rPr>
          <w:rFonts w:ascii="Arial" w:hAnsi="Arial" w:cs="Arial"/>
          <w:sz w:val="24"/>
          <w:szCs w:val="24"/>
        </w:rPr>
        <w:t xml:space="preserve">IGS’ RPA proposal was not raised in AEP’s last ESP or in any other electric utility ESP. </w:t>
      </w:r>
      <w:r w:rsidR="00532093" w:rsidRPr="00532093">
        <w:rPr>
          <w:rFonts w:ascii="Arial" w:hAnsi="Arial" w:cs="Arial"/>
          <w:sz w:val="24"/>
          <w:szCs w:val="24"/>
        </w:rPr>
        <w:t>But even if it had been, it would not</w:t>
      </w:r>
      <w:r w:rsidR="005E5269" w:rsidRPr="00532093">
        <w:rPr>
          <w:rFonts w:ascii="Arial" w:hAnsi="Arial" w:cs="Arial"/>
          <w:sz w:val="24"/>
          <w:szCs w:val="24"/>
        </w:rPr>
        <w:t xml:space="preserve"> </w:t>
      </w:r>
      <w:r w:rsidR="00532093" w:rsidRPr="00532093">
        <w:rPr>
          <w:rFonts w:ascii="Arial" w:hAnsi="Arial" w:cs="Arial"/>
          <w:sz w:val="24"/>
          <w:szCs w:val="24"/>
        </w:rPr>
        <w:t>preclude the Commission from approving an RPA in this proceeding or in future proceedings. 4928.02(G) recognizes the “</w:t>
      </w:r>
      <w:r w:rsidR="00532093" w:rsidRPr="00532093">
        <w:rPr>
          <w:rFonts w:ascii="Arial" w:hAnsi="Arial" w:cs="Arial"/>
          <w:color w:val="000000"/>
          <w:sz w:val="24"/>
          <w:szCs w:val="24"/>
          <w:shd w:val="clear" w:color="auto" w:fill="FFFFFF"/>
        </w:rPr>
        <w:t>continuing emergence of competitive electricity market” and promotes “flexible regulatory treatment</w:t>
      </w:r>
      <w:r w:rsidR="00532093">
        <w:rPr>
          <w:rFonts w:ascii="Arial" w:hAnsi="Arial" w:cs="Arial"/>
          <w:color w:val="000000"/>
          <w:sz w:val="24"/>
          <w:szCs w:val="24"/>
          <w:shd w:val="clear" w:color="auto" w:fill="FFFFFF"/>
        </w:rPr>
        <w:t>.</w:t>
      </w:r>
      <w:r w:rsidR="00532093" w:rsidRPr="00532093">
        <w:rPr>
          <w:rFonts w:ascii="Arial" w:hAnsi="Arial" w:cs="Arial"/>
          <w:color w:val="000000"/>
          <w:sz w:val="24"/>
          <w:szCs w:val="24"/>
          <w:shd w:val="clear" w:color="auto" w:fill="FFFFFF"/>
        </w:rPr>
        <w:t>”</w:t>
      </w:r>
      <w:r w:rsidR="00532093" w:rsidRPr="00532093">
        <w:rPr>
          <w:rFonts w:ascii="Arial" w:hAnsi="Arial" w:cs="Arial"/>
          <w:sz w:val="24"/>
          <w:szCs w:val="24"/>
        </w:rPr>
        <w:t xml:space="preserve"> </w:t>
      </w:r>
      <w:r w:rsidR="00532093">
        <w:rPr>
          <w:rFonts w:ascii="Arial" w:hAnsi="Arial" w:cs="Arial"/>
          <w:sz w:val="24"/>
          <w:szCs w:val="24"/>
        </w:rPr>
        <w:t xml:space="preserve"> Thus the Commission has the flexibility it needs to implement proposals that will help Ohio’s retail electric markets continue to evolve.</w:t>
      </w:r>
    </w:p>
    <w:p w14:paraId="18CF6BCB" w14:textId="1B99A0A3" w:rsidR="008A3200" w:rsidRPr="00BE13F3" w:rsidRDefault="008A3200" w:rsidP="00BE13F3">
      <w:pPr>
        <w:pStyle w:val="ListParagraph"/>
        <w:numPr>
          <w:ilvl w:val="0"/>
          <w:numId w:val="22"/>
        </w:numPr>
        <w:spacing w:line="480" w:lineRule="auto"/>
        <w:rPr>
          <w:rFonts w:ascii="Arial" w:hAnsi="Arial" w:cs="Arial"/>
          <w:b/>
          <w:sz w:val="24"/>
          <w:szCs w:val="24"/>
        </w:rPr>
      </w:pPr>
      <w:r w:rsidRPr="00BE13F3">
        <w:rPr>
          <w:rFonts w:ascii="Arial" w:hAnsi="Arial" w:cs="Arial"/>
          <w:b/>
          <w:sz w:val="24"/>
          <w:szCs w:val="24"/>
        </w:rPr>
        <w:t xml:space="preserve">The Commission </w:t>
      </w:r>
      <w:r w:rsidR="00BE13F3">
        <w:rPr>
          <w:rFonts w:ascii="Arial" w:hAnsi="Arial" w:cs="Arial"/>
          <w:b/>
          <w:sz w:val="24"/>
          <w:szCs w:val="24"/>
        </w:rPr>
        <w:t>Should Reject</w:t>
      </w:r>
      <w:r w:rsidRPr="00BE13F3">
        <w:rPr>
          <w:rFonts w:ascii="Arial" w:hAnsi="Arial" w:cs="Arial"/>
          <w:b/>
          <w:sz w:val="24"/>
          <w:szCs w:val="24"/>
        </w:rPr>
        <w:t xml:space="preserve"> AEP’s PPA Rider</w:t>
      </w:r>
      <w:r w:rsidR="00BE13F3">
        <w:rPr>
          <w:rFonts w:ascii="Arial" w:hAnsi="Arial" w:cs="Arial"/>
          <w:b/>
          <w:sz w:val="24"/>
          <w:szCs w:val="24"/>
        </w:rPr>
        <w:t>.</w:t>
      </w:r>
    </w:p>
    <w:p w14:paraId="29416780" w14:textId="492882E3" w:rsidR="008A3200" w:rsidRDefault="008A3200" w:rsidP="008A3200">
      <w:pPr>
        <w:spacing w:line="480" w:lineRule="auto"/>
        <w:ind w:firstLine="720"/>
        <w:rPr>
          <w:rFonts w:ascii="Arial" w:hAnsi="Arial" w:cs="Arial"/>
          <w:sz w:val="24"/>
          <w:szCs w:val="24"/>
        </w:rPr>
      </w:pPr>
      <w:r>
        <w:rPr>
          <w:rFonts w:ascii="Arial" w:hAnsi="Arial" w:cs="Arial"/>
          <w:sz w:val="24"/>
          <w:szCs w:val="24"/>
        </w:rPr>
        <w:lastRenderedPageBreak/>
        <w:t xml:space="preserve">A review of the post hearing briefs filed in this proceeding indicates that a </w:t>
      </w:r>
      <w:r w:rsidR="00E0533E">
        <w:rPr>
          <w:rFonts w:ascii="Arial" w:hAnsi="Arial" w:cs="Arial"/>
          <w:sz w:val="24"/>
          <w:szCs w:val="24"/>
        </w:rPr>
        <w:t xml:space="preserve">significant </w:t>
      </w:r>
      <w:r>
        <w:rPr>
          <w:rFonts w:ascii="Arial" w:hAnsi="Arial" w:cs="Arial"/>
          <w:sz w:val="24"/>
          <w:szCs w:val="24"/>
        </w:rPr>
        <w:t>majority of</w:t>
      </w:r>
      <w:r w:rsidR="006F467F">
        <w:rPr>
          <w:rFonts w:ascii="Arial" w:hAnsi="Arial" w:cs="Arial"/>
          <w:sz w:val="24"/>
          <w:szCs w:val="24"/>
        </w:rPr>
        <w:t xml:space="preserve"> the</w:t>
      </w:r>
      <w:r>
        <w:rPr>
          <w:rFonts w:ascii="Arial" w:hAnsi="Arial" w:cs="Arial"/>
          <w:sz w:val="24"/>
          <w:szCs w:val="24"/>
        </w:rPr>
        <w:t xml:space="preserve"> parties in this proceeding oppose approval of AEP’s proposed PPA</w:t>
      </w:r>
      <w:r w:rsidR="00BE13F3">
        <w:rPr>
          <w:rFonts w:ascii="Arial" w:hAnsi="Arial" w:cs="Arial"/>
          <w:sz w:val="24"/>
          <w:szCs w:val="24"/>
        </w:rPr>
        <w:t xml:space="preserve"> Rider</w:t>
      </w:r>
      <w:r>
        <w:rPr>
          <w:rFonts w:ascii="Arial" w:hAnsi="Arial" w:cs="Arial"/>
          <w:sz w:val="24"/>
          <w:szCs w:val="24"/>
        </w:rPr>
        <w:t>.  Those parties opposing the PPA represent a vast array of interests including residential, commercial and industrial end-users; numerous CRES providers; environment advocates</w:t>
      </w:r>
      <w:r w:rsidR="004E0ECB">
        <w:rPr>
          <w:rFonts w:ascii="Arial" w:hAnsi="Arial" w:cs="Arial"/>
          <w:sz w:val="24"/>
          <w:szCs w:val="24"/>
        </w:rPr>
        <w:t>;</w:t>
      </w:r>
      <w:r>
        <w:rPr>
          <w:rFonts w:ascii="Arial" w:hAnsi="Arial" w:cs="Arial"/>
          <w:sz w:val="24"/>
          <w:szCs w:val="24"/>
        </w:rPr>
        <w:t xml:space="preserve"> and Commission Staff.    </w:t>
      </w:r>
      <w:r w:rsidR="00E0533E">
        <w:rPr>
          <w:rFonts w:ascii="Arial" w:hAnsi="Arial" w:cs="Arial"/>
          <w:sz w:val="24"/>
          <w:szCs w:val="24"/>
        </w:rPr>
        <w:t>In fact</w:t>
      </w:r>
      <w:r w:rsidR="00E3565D">
        <w:rPr>
          <w:rFonts w:ascii="Arial" w:hAnsi="Arial" w:cs="Arial"/>
          <w:sz w:val="24"/>
          <w:szCs w:val="24"/>
        </w:rPr>
        <w:t>,</w:t>
      </w:r>
      <w:r w:rsidR="00E0533E">
        <w:rPr>
          <w:rFonts w:ascii="Arial" w:hAnsi="Arial" w:cs="Arial"/>
          <w:sz w:val="24"/>
          <w:szCs w:val="24"/>
        </w:rPr>
        <w:t xml:space="preserve"> of the 18 parties filing initial post hearing briefs in this proceeding, only</w:t>
      </w:r>
      <w:r w:rsidR="00E3565D">
        <w:rPr>
          <w:rFonts w:ascii="Arial" w:hAnsi="Arial" w:cs="Arial"/>
          <w:sz w:val="24"/>
          <w:szCs w:val="24"/>
        </w:rPr>
        <w:t xml:space="preserve"> 2</w:t>
      </w:r>
      <w:r w:rsidR="00E0533E">
        <w:rPr>
          <w:rFonts w:ascii="Arial" w:hAnsi="Arial" w:cs="Arial"/>
          <w:sz w:val="24"/>
          <w:szCs w:val="24"/>
        </w:rPr>
        <w:t xml:space="preserve"> parties supported Rider PPA – AEP Ohio </w:t>
      </w:r>
      <w:r w:rsidR="00E3565D">
        <w:rPr>
          <w:rFonts w:ascii="Arial" w:hAnsi="Arial" w:cs="Arial"/>
          <w:sz w:val="24"/>
          <w:szCs w:val="24"/>
        </w:rPr>
        <w:t xml:space="preserve">(the author of the proposal) </w:t>
      </w:r>
      <w:r w:rsidR="00E0533E">
        <w:rPr>
          <w:rFonts w:ascii="Arial" w:hAnsi="Arial" w:cs="Arial"/>
          <w:sz w:val="24"/>
          <w:szCs w:val="24"/>
        </w:rPr>
        <w:t xml:space="preserve">and the Ohio Energy Group (“OEG”).  </w:t>
      </w:r>
    </w:p>
    <w:p w14:paraId="0CBB5593" w14:textId="14BC4A2F" w:rsidR="007917CB" w:rsidRDefault="004E0ECB" w:rsidP="008A3200">
      <w:pPr>
        <w:spacing w:line="480" w:lineRule="auto"/>
        <w:ind w:firstLine="720"/>
        <w:rPr>
          <w:rFonts w:ascii="Arial" w:hAnsi="Arial" w:cs="Arial"/>
          <w:sz w:val="24"/>
          <w:szCs w:val="24"/>
        </w:rPr>
      </w:pPr>
      <w:r>
        <w:rPr>
          <w:rFonts w:ascii="Arial" w:hAnsi="Arial" w:cs="Arial"/>
          <w:sz w:val="24"/>
          <w:szCs w:val="24"/>
        </w:rPr>
        <w:t>Since</w:t>
      </w:r>
      <w:r w:rsidR="0060265D">
        <w:rPr>
          <w:rFonts w:ascii="Arial" w:hAnsi="Arial" w:cs="Arial"/>
          <w:sz w:val="24"/>
          <w:szCs w:val="24"/>
        </w:rPr>
        <w:t xml:space="preserve"> the issue of Rider PPA has been litigated significantly in this proceeding </w:t>
      </w:r>
      <w:r w:rsidR="001642BA">
        <w:rPr>
          <w:rFonts w:ascii="Arial" w:hAnsi="Arial" w:cs="Arial"/>
          <w:sz w:val="24"/>
          <w:szCs w:val="24"/>
        </w:rPr>
        <w:t>(</w:t>
      </w:r>
      <w:r w:rsidR="0060265D">
        <w:rPr>
          <w:rFonts w:ascii="Arial" w:hAnsi="Arial" w:cs="Arial"/>
          <w:sz w:val="24"/>
          <w:szCs w:val="24"/>
        </w:rPr>
        <w:t>including in testimony, at hearing, and in post hearing briefs</w:t>
      </w:r>
      <w:r w:rsidR="001642BA">
        <w:rPr>
          <w:rFonts w:ascii="Arial" w:hAnsi="Arial" w:cs="Arial"/>
          <w:sz w:val="24"/>
          <w:szCs w:val="24"/>
        </w:rPr>
        <w:t>)</w:t>
      </w:r>
      <w:r>
        <w:rPr>
          <w:rFonts w:ascii="Arial" w:hAnsi="Arial" w:cs="Arial"/>
          <w:sz w:val="24"/>
          <w:szCs w:val="24"/>
        </w:rPr>
        <w:t xml:space="preserve"> </w:t>
      </w:r>
      <w:r w:rsidR="0060265D">
        <w:rPr>
          <w:rFonts w:ascii="Arial" w:hAnsi="Arial" w:cs="Arial"/>
          <w:sz w:val="24"/>
          <w:szCs w:val="24"/>
        </w:rPr>
        <w:t>IGS will not recount the point-by-point case a</w:t>
      </w:r>
      <w:r w:rsidR="0054588C">
        <w:rPr>
          <w:rFonts w:ascii="Arial" w:hAnsi="Arial" w:cs="Arial"/>
          <w:sz w:val="24"/>
          <w:szCs w:val="24"/>
        </w:rPr>
        <w:t>gainst the approval of the PPA R</w:t>
      </w:r>
      <w:r w:rsidR="0060265D">
        <w:rPr>
          <w:rFonts w:ascii="Arial" w:hAnsi="Arial" w:cs="Arial"/>
          <w:sz w:val="24"/>
          <w:szCs w:val="24"/>
        </w:rPr>
        <w:t xml:space="preserve">ider. </w:t>
      </w:r>
      <w:r w:rsidR="00E3565D">
        <w:rPr>
          <w:rFonts w:ascii="Arial" w:hAnsi="Arial" w:cs="Arial"/>
          <w:sz w:val="24"/>
          <w:szCs w:val="24"/>
        </w:rPr>
        <w:t xml:space="preserve"> </w:t>
      </w:r>
      <w:r w:rsidR="0060265D">
        <w:rPr>
          <w:rFonts w:ascii="Arial" w:hAnsi="Arial" w:cs="Arial"/>
          <w:sz w:val="24"/>
          <w:szCs w:val="24"/>
        </w:rPr>
        <w:t>IGS will just point out that the arguments submitted</w:t>
      </w:r>
      <w:r w:rsidR="00FF27C8">
        <w:rPr>
          <w:rFonts w:ascii="Arial" w:hAnsi="Arial" w:cs="Arial"/>
          <w:sz w:val="24"/>
          <w:szCs w:val="24"/>
        </w:rPr>
        <w:t xml:space="preserve"> by AEP and OEG</w:t>
      </w:r>
      <w:r w:rsidR="0060265D">
        <w:rPr>
          <w:rFonts w:ascii="Arial" w:hAnsi="Arial" w:cs="Arial"/>
          <w:sz w:val="24"/>
          <w:szCs w:val="24"/>
        </w:rPr>
        <w:t xml:space="preserve"> </w:t>
      </w:r>
      <w:r w:rsidR="001642BA">
        <w:rPr>
          <w:rFonts w:ascii="Arial" w:hAnsi="Arial" w:cs="Arial"/>
          <w:sz w:val="24"/>
          <w:szCs w:val="24"/>
        </w:rPr>
        <w:t>in favor of</w:t>
      </w:r>
      <w:r w:rsidR="0060265D">
        <w:rPr>
          <w:rFonts w:ascii="Arial" w:hAnsi="Arial" w:cs="Arial"/>
          <w:sz w:val="24"/>
          <w:szCs w:val="24"/>
        </w:rPr>
        <w:t xml:space="preserve"> Rider PPA </w:t>
      </w:r>
      <w:r w:rsidR="00E3565D">
        <w:rPr>
          <w:rFonts w:ascii="Arial" w:hAnsi="Arial" w:cs="Arial"/>
          <w:sz w:val="24"/>
          <w:szCs w:val="24"/>
        </w:rPr>
        <w:t xml:space="preserve">can be </w:t>
      </w:r>
      <w:r w:rsidR="006F467F">
        <w:rPr>
          <w:rFonts w:ascii="Arial" w:hAnsi="Arial" w:cs="Arial"/>
          <w:sz w:val="24"/>
          <w:szCs w:val="24"/>
        </w:rPr>
        <w:t>distilled</w:t>
      </w:r>
      <w:r w:rsidR="00E3565D">
        <w:rPr>
          <w:rFonts w:ascii="Arial" w:hAnsi="Arial" w:cs="Arial"/>
          <w:sz w:val="24"/>
          <w:szCs w:val="24"/>
        </w:rPr>
        <w:t xml:space="preserve"> into</w:t>
      </w:r>
      <w:r w:rsidR="00C5318B">
        <w:rPr>
          <w:rFonts w:ascii="Arial" w:hAnsi="Arial" w:cs="Arial"/>
          <w:sz w:val="24"/>
          <w:szCs w:val="24"/>
        </w:rPr>
        <w:t xml:space="preserve"> the</w:t>
      </w:r>
      <w:r w:rsidR="00E3565D">
        <w:rPr>
          <w:rFonts w:ascii="Arial" w:hAnsi="Arial" w:cs="Arial"/>
          <w:sz w:val="24"/>
          <w:szCs w:val="24"/>
        </w:rPr>
        <w:t xml:space="preserve"> notion that Rider PPA would promote </w:t>
      </w:r>
      <w:r w:rsidR="007917CB">
        <w:rPr>
          <w:rFonts w:ascii="Arial" w:hAnsi="Arial" w:cs="Arial"/>
          <w:sz w:val="24"/>
          <w:szCs w:val="24"/>
        </w:rPr>
        <w:t xml:space="preserve">price </w:t>
      </w:r>
      <w:r w:rsidR="00E3565D">
        <w:rPr>
          <w:rFonts w:ascii="Arial" w:hAnsi="Arial" w:cs="Arial"/>
          <w:sz w:val="24"/>
          <w:szCs w:val="24"/>
        </w:rPr>
        <w:t xml:space="preserve">stability </w:t>
      </w:r>
      <w:r w:rsidR="00C3137C">
        <w:rPr>
          <w:rFonts w:ascii="Arial" w:hAnsi="Arial" w:cs="Arial"/>
          <w:sz w:val="24"/>
          <w:szCs w:val="24"/>
        </w:rPr>
        <w:t xml:space="preserve"> and reliability </w:t>
      </w:r>
      <w:r w:rsidR="00E3565D">
        <w:rPr>
          <w:rFonts w:ascii="Arial" w:hAnsi="Arial" w:cs="Arial"/>
          <w:sz w:val="24"/>
          <w:szCs w:val="24"/>
        </w:rPr>
        <w:t>for Ohio electric markets.  This notion</w:t>
      </w:r>
      <w:r w:rsidR="00C5318B">
        <w:rPr>
          <w:rFonts w:ascii="Arial" w:hAnsi="Arial" w:cs="Arial"/>
          <w:sz w:val="24"/>
          <w:szCs w:val="24"/>
        </w:rPr>
        <w:t>, however, is based on the false premise that AEP can somehow forecast the direction of wholesale electric prices</w:t>
      </w:r>
      <w:r w:rsidR="008070A4">
        <w:rPr>
          <w:rFonts w:ascii="Arial" w:hAnsi="Arial" w:cs="Arial"/>
          <w:sz w:val="24"/>
          <w:szCs w:val="24"/>
        </w:rPr>
        <w:t xml:space="preserve"> or the future of electric generation costs</w:t>
      </w:r>
      <w:r w:rsidR="00C5318B">
        <w:rPr>
          <w:rFonts w:ascii="Arial" w:hAnsi="Arial" w:cs="Arial"/>
          <w:sz w:val="24"/>
          <w:szCs w:val="24"/>
        </w:rPr>
        <w:t xml:space="preserve">.  </w:t>
      </w:r>
    </w:p>
    <w:p w14:paraId="6D537F55" w14:textId="0ACC66AE" w:rsidR="00E0533E" w:rsidRDefault="00C5318B" w:rsidP="008A3200">
      <w:pPr>
        <w:spacing w:line="480" w:lineRule="auto"/>
        <w:ind w:firstLine="720"/>
        <w:rPr>
          <w:rFonts w:ascii="Arial" w:hAnsi="Arial" w:cs="Arial"/>
          <w:sz w:val="24"/>
          <w:szCs w:val="24"/>
        </w:rPr>
      </w:pPr>
      <w:r>
        <w:rPr>
          <w:rFonts w:ascii="Arial" w:hAnsi="Arial" w:cs="Arial"/>
          <w:sz w:val="24"/>
          <w:szCs w:val="24"/>
        </w:rPr>
        <w:t>For instance</w:t>
      </w:r>
      <w:r w:rsidR="008070A4">
        <w:rPr>
          <w:rFonts w:ascii="Arial" w:hAnsi="Arial" w:cs="Arial"/>
          <w:sz w:val="24"/>
          <w:szCs w:val="24"/>
        </w:rPr>
        <w:t>,</w:t>
      </w:r>
      <w:r w:rsidR="000F23D6">
        <w:rPr>
          <w:rFonts w:ascii="Arial" w:hAnsi="Arial" w:cs="Arial"/>
          <w:sz w:val="24"/>
          <w:szCs w:val="24"/>
        </w:rPr>
        <w:t xml:space="preserve"> in its initia</w:t>
      </w:r>
      <w:r w:rsidR="006F467F">
        <w:rPr>
          <w:rFonts w:ascii="Arial" w:hAnsi="Arial" w:cs="Arial"/>
          <w:sz w:val="24"/>
          <w:szCs w:val="24"/>
        </w:rPr>
        <w:t>l</w:t>
      </w:r>
      <w:r>
        <w:rPr>
          <w:rFonts w:ascii="Arial" w:hAnsi="Arial" w:cs="Arial"/>
          <w:sz w:val="24"/>
          <w:szCs w:val="24"/>
        </w:rPr>
        <w:t xml:space="preserve"> brief AEP </w:t>
      </w:r>
      <w:r w:rsidR="008070A4">
        <w:rPr>
          <w:rFonts w:ascii="Arial" w:hAnsi="Arial" w:cs="Arial"/>
          <w:sz w:val="24"/>
          <w:szCs w:val="24"/>
        </w:rPr>
        <w:t>cites</w:t>
      </w:r>
      <w:r>
        <w:rPr>
          <w:rFonts w:ascii="Arial" w:hAnsi="Arial" w:cs="Arial"/>
          <w:sz w:val="24"/>
          <w:szCs w:val="24"/>
        </w:rPr>
        <w:t xml:space="preserve"> the net rate impact analysis projecting Rider PPA would benefit customers to the amount of $8.4 million over a 3 year period.</w:t>
      </w:r>
      <w:r>
        <w:rPr>
          <w:rStyle w:val="FootnoteReference"/>
          <w:rFonts w:ascii="Arial" w:hAnsi="Arial" w:cs="Arial"/>
          <w:sz w:val="24"/>
          <w:szCs w:val="24"/>
        </w:rPr>
        <w:footnoteReference w:id="11"/>
      </w:r>
      <w:r>
        <w:rPr>
          <w:rFonts w:ascii="Arial" w:hAnsi="Arial" w:cs="Arial"/>
          <w:sz w:val="24"/>
          <w:szCs w:val="24"/>
        </w:rPr>
        <w:t xml:space="preserve"> </w:t>
      </w:r>
      <w:r w:rsidR="00D55F0E">
        <w:rPr>
          <w:rFonts w:ascii="Arial" w:hAnsi="Arial" w:cs="Arial"/>
          <w:sz w:val="24"/>
          <w:szCs w:val="24"/>
        </w:rPr>
        <w:t xml:space="preserve">OEG </w:t>
      </w:r>
      <w:r w:rsidR="008070A4">
        <w:rPr>
          <w:rFonts w:ascii="Arial" w:hAnsi="Arial" w:cs="Arial"/>
          <w:sz w:val="24"/>
          <w:szCs w:val="24"/>
        </w:rPr>
        <w:t>cites</w:t>
      </w:r>
      <w:r w:rsidR="00D55F0E">
        <w:rPr>
          <w:rFonts w:ascii="Arial" w:hAnsi="Arial" w:cs="Arial"/>
          <w:sz w:val="24"/>
          <w:szCs w:val="24"/>
        </w:rPr>
        <w:t xml:space="preserve"> its own study that the rate impact of the PPA Rider over a 9 ½ year period will be a positive $70 million for customers.</w:t>
      </w:r>
      <w:r w:rsidR="00D55F0E">
        <w:rPr>
          <w:rStyle w:val="FootnoteReference"/>
          <w:rFonts w:ascii="Arial" w:hAnsi="Arial" w:cs="Arial"/>
          <w:sz w:val="24"/>
          <w:szCs w:val="24"/>
        </w:rPr>
        <w:footnoteReference w:id="12"/>
      </w:r>
      <w:r w:rsidR="00B2743F">
        <w:rPr>
          <w:rFonts w:ascii="Arial" w:hAnsi="Arial" w:cs="Arial"/>
          <w:sz w:val="24"/>
          <w:szCs w:val="24"/>
        </w:rPr>
        <w:t xml:space="preserve"> Conversely</w:t>
      </w:r>
      <w:r w:rsidR="007917CB">
        <w:rPr>
          <w:rFonts w:ascii="Arial" w:hAnsi="Arial" w:cs="Arial"/>
          <w:sz w:val="24"/>
          <w:szCs w:val="24"/>
        </w:rPr>
        <w:t>,</w:t>
      </w:r>
      <w:r w:rsidR="007A37FB">
        <w:rPr>
          <w:rFonts w:ascii="Arial" w:hAnsi="Arial" w:cs="Arial"/>
          <w:sz w:val="24"/>
          <w:szCs w:val="24"/>
        </w:rPr>
        <w:t xml:space="preserve"> OCC’s witness forecasts a negative net impact of the PPA of $117 million.</w:t>
      </w:r>
      <w:r w:rsidR="007A37FB">
        <w:rPr>
          <w:rStyle w:val="FootnoteReference"/>
          <w:rFonts w:ascii="Arial" w:hAnsi="Arial" w:cs="Arial"/>
          <w:sz w:val="24"/>
          <w:szCs w:val="24"/>
        </w:rPr>
        <w:footnoteReference w:id="13"/>
      </w:r>
      <w:r w:rsidR="007A37FB">
        <w:rPr>
          <w:rFonts w:ascii="Arial" w:hAnsi="Arial" w:cs="Arial"/>
          <w:sz w:val="24"/>
          <w:szCs w:val="24"/>
        </w:rPr>
        <w:t xml:space="preserve"> Further, the Industrial Energy User’s</w:t>
      </w:r>
      <w:r w:rsidR="00111A2C">
        <w:rPr>
          <w:rFonts w:ascii="Arial" w:hAnsi="Arial" w:cs="Arial"/>
          <w:sz w:val="24"/>
          <w:szCs w:val="24"/>
        </w:rPr>
        <w:t xml:space="preserve"> </w:t>
      </w:r>
      <w:r w:rsidR="00111A2C">
        <w:rPr>
          <w:rFonts w:ascii="Arial" w:hAnsi="Arial" w:cs="Arial"/>
          <w:sz w:val="24"/>
          <w:szCs w:val="24"/>
        </w:rPr>
        <w:lastRenderedPageBreak/>
        <w:t>(“IEU”)</w:t>
      </w:r>
      <w:r w:rsidR="007A37FB">
        <w:rPr>
          <w:rFonts w:ascii="Arial" w:hAnsi="Arial" w:cs="Arial"/>
          <w:sz w:val="24"/>
          <w:szCs w:val="24"/>
        </w:rPr>
        <w:t xml:space="preserve"> witness projects that the PPA will cost customers $30 million more than what AEP’s is projecting.</w:t>
      </w:r>
      <w:r w:rsidR="007A37FB">
        <w:rPr>
          <w:rStyle w:val="FootnoteReference"/>
          <w:rFonts w:ascii="Arial" w:hAnsi="Arial" w:cs="Arial"/>
          <w:sz w:val="24"/>
          <w:szCs w:val="24"/>
        </w:rPr>
        <w:footnoteReference w:id="14"/>
      </w:r>
    </w:p>
    <w:p w14:paraId="3B489808" w14:textId="70E38045" w:rsidR="007917CB" w:rsidRDefault="007A37FB" w:rsidP="008A3200">
      <w:pPr>
        <w:spacing w:line="480" w:lineRule="auto"/>
        <w:ind w:firstLine="720"/>
        <w:rPr>
          <w:rFonts w:ascii="Arial" w:hAnsi="Arial" w:cs="Arial"/>
          <w:sz w:val="24"/>
          <w:szCs w:val="24"/>
        </w:rPr>
      </w:pPr>
      <w:r>
        <w:rPr>
          <w:rFonts w:ascii="Arial" w:hAnsi="Arial" w:cs="Arial"/>
          <w:sz w:val="24"/>
          <w:szCs w:val="24"/>
        </w:rPr>
        <w:t>While all the forecasts and models submitted as “evidence” in this proceeding vary significantly, they have one thing in common</w:t>
      </w:r>
      <w:r w:rsidR="007917CB">
        <w:rPr>
          <w:rFonts w:ascii="Arial" w:hAnsi="Arial" w:cs="Arial"/>
          <w:sz w:val="24"/>
          <w:szCs w:val="24"/>
        </w:rPr>
        <w:t xml:space="preserve"> –</w:t>
      </w:r>
      <w:r w:rsidR="0079223F">
        <w:rPr>
          <w:rFonts w:ascii="Arial" w:hAnsi="Arial" w:cs="Arial"/>
          <w:sz w:val="24"/>
          <w:szCs w:val="24"/>
        </w:rPr>
        <w:t xml:space="preserve"> </w:t>
      </w:r>
      <w:r w:rsidR="007917CB">
        <w:rPr>
          <w:rFonts w:ascii="Arial" w:hAnsi="Arial" w:cs="Arial"/>
          <w:sz w:val="24"/>
          <w:szCs w:val="24"/>
        </w:rPr>
        <w:t xml:space="preserve">they all rely on assumptions </w:t>
      </w:r>
      <w:r w:rsidR="008070A4">
        <w:rPr>
          <w:rFonts w:ascii="Arial" w:hAnsi="Arial" w:cs="Arial"/>
          <w:sz w:val="24"/>
          <w:szCs w:val="24"/>
        </w:rPr>
        <w:t>about</w:t>
      </w:r>
      <w:r w:rsidR="007917CB">
        <w:rPr>
          <w:rFonts w:ascii="Arial" w:hAnsi="Arial" w:cs="Arial"/>
          <w:sz w:val="24"/>
          <w:szCs w:val="24"/>
        </w:rPr>
        <w:t xml:space="preserve"> what will happen in the future</w:t>
      </w:r>
      <w:r w:rsidR="00E71F74">
        <w:rPr>
          <w:rFonts w:ascii="Arial" w:hAnsi="Arial" w:cs="Arial"/>
          <w:sz w:val="24"/>
          <w:szCs w:val="24"/>
        </w:rPr>
        <w:t xml:space="preserve">. </w:t>
      </w:r>
      <w:r w:rsidR="007917CB">
        <w:rPr>
          <w:rFonts w:ascii="Arial" w:hAnsi="Arial" w:cs="Arial"/>
          <w:sz w:val="24"/>
          <w:szCs w:val="24"/>
        </w:rPr>
        <w:t xml:space="preserve">  </w:t>
      </w:r>
      <w:r w:rsidR="00B2743F">
        <w:rPr>
          <w:rFonts w:ascii="Arial" w:hAnsi="Arial" w:cs="Arial"/>
          <w:sz w:val="24"/>
          <w:szCs w:val="24"/>
        </w:rPr>
        <w:t>H</w:t>
      </w:r>
      <w:r w:rsidR="00E71F74">
        <w:rPr>
          <w:rFonts w:ascii="Arial" w:hAnsi="Arial" w:cs="Arial"/>
          <w:sz w:val="24"/>
          <w:szCs w:val="24"/>
        </w:rPr>
        <w:t>owever,</w:t>
      </w:r>
      <w:r w:rsidR="007917CB">
        <w:rPr>
          <w:rFonts w:ascii="Arial" w:hAnsi="Arial" w:cs="Arial"/>
          <w:sz w:val="24"/>
          <w:szCs w:val="24"/>
        </w:rPr>
        <w:t xml:space="preserve"> </w:t>
      </w:r>
      <w:r w:rsidR="00E71F74">
        <w:rPr>
          <w:rFonts w:ascii="Arial" w:hAnsi="Arial" w:cs="Arial"/>
          <w:sz w:val="24"/>
          <w:szCs w:val="24"/>
        </w:rPr>
        <w:t>no party in this proceeding knows where</w:t>
      </w:r>
      <w:r w:rsidR="00B2743F">
        <w:rPr>
          <w:rFonts w:ascii="Arial" w:hAnsi="Arial" w:cs="Arial"/>
          <w:sz w:val="24"/>
          <w:szCs w:val="24"/>
        </w:rPr>
        <w:t xml:space="preserve"> electric prices will go in the future</w:t>
      </w:r>
      <w:r w:rsidR="007917CB">
        <w:rPr>
          <w:rFonts w:ascii="Arial" w:hAnsi="Arial" w:cs="Arial"/>
          <w:sz w:val="24"/>
          <w:szCs w:val="24"/>
        </w:rPr>
        <w:t>.</w:t>
      </w:r>
      <w:r w:rsidR="00E71F74">
        <w:rPr>
          <w:rStyle w:val="FootnoteReference"/>
          <w:rFonts w:ascii="Arial" w:hAnsi="Arial" w:cs="Arial"/>
          <w:sz w:val="24"/>
          <w:szCs w:val="24"/>
        </w:rPr>
        <w:footnoteReference w:id="15"/>
      </w:r>
      <w:r w:rsidR="00E71F74">
        <w:rPr>
          <w:rFonts w:ascii="Arial" w:hAnsi="Arial" w:cs="Arial"/>
          <w:sz w:val="24"/>
          <w:szCs w:val="24"/>
        </w:rPr>
        <w:t xml:space="preserve"> </w:t>
      </w:r>
      <w:r w:rsidR="007917CB">
        <w:rPr>
          <w:rFonts w:ascii="Arial" w:hAnsi="Arial" w:cs="Arial"/>
          <w:sz w:val="24"/>
          <w:szCs w:val="24"/>
        </w:rPr>
        <w:t xml:space="preserve">Nor </w:t>
      </w:r>
      <w:r w:rsidR="00E71F74">
        <w:rPr>
          <w:rFonts w:ascii="Arial" w:hAnsi="Arial" w:cs="Arial"/>
          <w:sz w:val="24"/>
          <w:szCs w:val="24"/>
        </w:rPr>
        <w:t>does any party know with certainty the</w:t>
      </w:r>
      <w:r w:rsidR="007917CB">
        <w:rPr>
          <w:rFonts w:ascii="Arial" w:hAnsi="Arial" w:cs="Arial"/>
          <w:sz w:val="24"/>
          <w:szCs w:val="24"/>
        </w:rPr>
        <w:t xml:space="preserve"> costs it will</w:t>
      </w:r>
      <w:r w:rsidR="00B2743F">
        <w:rPr>
          <w:rFonts w:ascii="Arial" w:hAnsi="Arial" w:cs="Arial"/>
          <w:sz w:val="24"/>
          <w:szCs w:val="24"/>
        </w:rPr>
        <w:t xml:space="preserve"> take to support OVEC</w:t>
      </w:r>
      <w:r w:rsidR="008070A4">
        <w:rPr>
          <w:rFonts w:ascii="Arial" w:hAnsi="Arial" w:cs="Arial"/>
          <w:sz w:val="24"/>
          <w:szCs w:val="24"/>
        </w:rPr>
        <w:t xml:space="preserve"> in the future (</w:t>
      </w:r>
      <w:r w:rsidR="00E71F74">
        <w:rPr>
          <w:rFonts w:ascii="Arial" w:hAnsi="Arial" w:cs="Arial"/>
          <w:sz w:val="24"/>
          <w:szCs w:val="24"/>
        </w:rPr>
        <w:t>including fuel costs and environmental liabilities</w:t>
      </w:r>
      <w:r w:rsidR="008070A4">
        <w:rPr>
          <w:rFonts w:ascii="Arial" w:hAnsi="Arial" w:cs="Arial"/>
          <w:sz w:val="24"/>
          <w:szCs w:val="24"/>
        </w:rPr>
        <w:t>)</w:t>
      </w:r>
      <w:r w:rsidR="00B2743F">
        <w:rPr>
          <w:rFonts w:ascii="Arial" w:hAnsi="Arial" w:cs="Arial"/>
          <w:sz w:val="24"/>
          <w:szCs w:val="24"/>
        </w:rPr>
        <w:t xml:space="preserve">.  Nor </w:t>
      </w:r>
      <w:r w:rsidR="00E71F74">
        <w:rPr>
          <w:rFonts w:ascii="Arial" w:hAnsi="Arial" w:cs="Arial"/>
          <w:sz w:val="24"/>
          <w:szCs w:val="24"/>
        </w:rPr>
        <w:t>does anyone know</w:t>
      </w:r>
      <w:r w:rsidR="007917CB">
        <w:rPr>
          <w:rFonts w:ascii="Arial" w:hAnsi="Arial" w:cs="Arial"/>
          <w:sz w:val="24"/>
          <w:szCs w:val="24"/>
        </w:rPr>
        <w:t xml:space="preserve"> </w:t>
      </w:r>
      <w:r w:rsidR="008070A4">
        <w:rPr>
          <w:rFonts w:ascii="Arial" w:hAnsi="Arial" w:cs="Arial"/>
          <w:sz w:val="24"/>
          <w:szCs w:val="24"/>
        </w:rPr>
        <w:t>whether the costs of</w:t>
      </w:r>
      <w:r w:rsidR="007917CB">
        <w:rPr>
          <w:rFonts w:ascii="Arial" w:hAnsi="Arial" w:cs="Arial"/>
          <w:sz w:val="24"/>
          <w:szCs w:val="24"/>
        </w:rPr>
        <w:t xml:space="preserve"> coal fired generation will </w:t>
      </w:r>
      <w:r w:rsidR="008070A4">
        <w:rPr>
          <w:rFonts w:ascii="Arial" w:hAnsi="Arial" w:cs="Arial"/>
          <w:sz w:val="24"/>
          <w:szCs w:val="24"/>
        </w:rPr>
        <w:t xml:space="preserve">have a positive or negative correlation </w:t>
      </w:r>
      <w:r w:rsidR="007917CB">
        <w:rPr>
          <w:rFonts w:ascii="Arial" w:hAnsi="Arial" w:cs="Arial"/>
          <w:sz w:val="24"/>
          <w:szCs w:val="24"/>
        </w:rPr>
        <w:t>with the cost of wholesale energy prices</w:t>
      </w:r>
      <w:r w:rsidR="00E71F74">
        <w:rPr>
          <w:rFonts w:ascii="Arial" w:hAnsi="Arial" w:cs="Arial"/>
          <w:sz w:val="24"/>
          <w:szCs w:val="24"/>
        </w:rPr>
        <w:t xml:space="preserve"> in the future</w:t>
      </w:r>
      <w:r w:rsidR="007917CB">
        <w:rPr>
          <w:rFonts w:ascii="Arial" w:hAnsi="Arial" w:cs="Arial"/>
          <w:sz w:val="24"/>
          <w:szCs w:val="24"/>
        </w:rPr>
        <w:t>.  At the end of the day, it’s all just speculation.</w:t>
      </w:r>
    </w:p>
    <w:p w14:paraId="12FE5087" w14:textId="3A2F706D" w:rsidR="004E0ECB" w:rsidRDefault="00E71F74" w:rsidP="008A3200">
      <w:pPr>
        <w:spacing w:line="480" w:lineRule="auto"/>
        <w:ind w:firstLine="720"/>
        <w:rPr>
          <w:rFonts w:ascii="Arial" w:hAnsi="Arial" w:cs="Arial"/>
          <w:sz w:val="24"/>
          <w:szCs w:val="24"/>
        </w:rPr>
      </w:pPr>
      <w:r>
        <w:rPr>
          <w:rFonts w:ascii="Arial" w:hAnsi="Arial" w:cs="Arial"/>
          <w:sz w:val="24"/>
          <w:szCs w:val="24"/>
        </w:rPr>
        <w:t>So rather that making a proposal that will promote price stability, AEP</w:t>
      </w:r>
      <w:r w:rsidR="007917CB">
        <w:rPr>
          <w:rFonts w:ascii="Arial" w:hAnsi="Arial" w:cs="Arial"/>
          <w:sz w:val="24"/>
          <w:szCs w:val="24"/>
        </w:rPr>
        <w:t xml:space="preserve"> </w:t>
      </w:r>
      <w:r>
        <w:rPr>
          <w:rFonts w:ascii="Arial" w:hAnsi="Arial" w:cs="Arial"/>
          <w:sz w:val="24"/>
          <w:szCs w:val="24"/>
        </w:rPr>
        <w:t>is actually proposing that Ohio ratepayers</w:t>
      </w:r>
      <w:r w:rsidR="007917CB">
        <w:rPr>
          <w:rFonts w:ascii="Arial" w:hAnsi="Arial" w:cs="Arial"/>
          <w:sz w:val="24"/>
          <w:szCs w:val="24"/>
        </w:rPr>
        <w:t xml:space="preserve"> take a bet</w:t>
      </w:r>
      <w:r>
        <w:rPr>
          <w:rFonts w:ascii="Arial" w:hAnsi="Arial" w:cs="Arial"/>
          <w:sz w:val="24"/>
          <w:szCs w:val="24"/>
        </w:rPr>
        <w:t xml:space="preserve"> on the OVEC generation assets producing lower cost energy than the whole-electric markets </w:t>
      </w:r>
      <w:r w:rsidR="008070A4">
        <w:rPr>
          <w:rFonts w:ascii="Arial" w:hAnsi="Arial" w:cs="Arial"/>
          <w:sz w:val="24"/>
          <w:szCs w:val="24"/>
        </w:rPr>
        <w:t>over the long run</w:t>
      </w:r>
      <w:r>
        <w:rPr>
          <w:rFonts w:ascii="Arial" w:hAnsi="Arial" w:cs="Arial"/>
          <w:sz w:val="24"/>
          <w:szCs w:val="24"/>
        </w:rPr>
        <w:t xml:space="preserve">. </w:t>
      </w:r>
      <w:r w:rsidR="001642BA">
        <w:rPr>
          <w:rFonts w:ascii="Arial" w:hAnsi="Arial" w:cs="Arial"/>
          <w:sz w:val="24"/>
          <w:szCs w:val="24"/>
        </w:rPr>
        <w:t>Further, while the future is not known, w</w:t>
      </w:r>
      <w:r>
        <w:rPr>
          <w:rFonts w:ascii="Arial" w:hAnsi="Arial" w:cs="Arial"/>
          <w:sz w:val="24"/>
          <w:szCs w:val="24"/>
        </w:rPr>
        <w:t xml:space="preserve">hat </w:t>
      </w:r>
      <w:r w:rsidR="008070A4">
        <w:rPr>
          <w:rFonts w:ascii="Arial" w:hAnsi="Arial" w:cs="Arial"/>
          <w:sz w:val="24"/>
          <w:szCs w:val="24"/>
        </w:rPr>
        <w:t xml:space="preserve">is </w:t>
      </w:r>
      <w:r w:rsidR="001642BA">
        <w:rPr>
          <w:rFonts w:ascii="Arial" w:hAnsi="Arial" w:cs="Arial"/>
          <w:sz w:val="24"/>
          <w:szCs w:val="24"/>
        </w:rPr>
        <w:t>now known</w:t>
      </w:r>
      <w:r w:rsidR="008070A4">
        <w:rPr>
          <w:rFonts w:ascii="Arial" w:hAnsi="Arial" w:cs="Arial"/>
          <w:sz w:val="24"/>
          <w:szCs w:val="24"/>
        </w:rPr>
        <w:t xml:space="preserve"> is that OVEC is currently </w:t>
      </w:r>
      <w:r w:rsidR="001642BA">
        <w:rPr>
          <w:rFonts w:ascii="Arial" w:hAnsi="Arial" w:cs="Arial"/>
          <w:sz w:val="24"/>
          <w:szCs w:val="24"/>
        </w:rPr>
        <w:t>producing higher cost electricity than</w:t>
      </w:r>
      <w:r w:rsidR="004E0ECB">
        <w:rPr>
          <w:rFonts w:ascii="Arial" w:hAnsi="Arial" w:cs="Arial"/>
          <w:sz w:val="24"/>
          <w:szCs w:val="24"/>
        </w:rPr>
        <w:t xml:space="preserve"> the</w:t>
      </w:r>
      <w:r w:rsidR="008070A4">
        <w:rPr>
          <w:rFonts w:ascii="Arial" w:hAnsi="Arial" w:cs="Arial"/>
          <w:sz w:val="24"/>
          <w:szCs w:val="24"/>
        </w:rPr>
        <w:t xml:space="preserve"> wholesale electric markets. Therefore, AEP is asking Ohio ratepayers to take a bet on OVEC, but given that OVE</w:t>
      </w:r>
      <w:r w:rsidR="0060265D">
        <w:rPr>
          <w:rFonts w:ascii="Arial" w:hAnsi="Arial" w:cs="Arial"/>
          <w:sz w:val="24"/>
          <w:szCs w:val="24"/>
        </w:rPr>
        <w:t>C</w:t>
      </w:r>
      <w:r w:rsidR="008070A4">
        <w:rPr>
          <w:rFonts w:ascii="Arial" w:hAnsi="Arial" w:cs="Arial"/>
          <w:sz w:val="24"/>
          <w:szCs w:val="24"/>
        </w:rPr>
        <w:t xml:space="preserve"> is currently out of the money, Ohio ratepayers </w:t>
      </w:r>
      <w:r w:rsidR="001642BA">
        <w:rPr>
          <w:rFonts w:ascii="Arial" w:hAnsi="Arial" w:cs="Arial"/>
          <w:sz w:val="24"/>
          <w:szCs w:val="24"/>
        </w:rPr>
        <w:t xml:space="preserve">would be </w:t>
      </w:r>
      <w:r w:rsidR="00BE13F3">
        <w:rPr>
          <w:rFonts w:ascii="Arial" w:hAnsi="Arial" w:cs="Arial"/>
          <w:sz w:val="24"/>
          <w:szCs w:val="24"/>
        </w:rPr>
        <w:t>forced to place</w:t>
      </w:r>
      <w:r w:rsidR="001642BA">
        <w:rPr>
          <w:rFonts w:ascii="Arial" w:hAnsi="Arial" w:cs="Arial"/>
          <w:sz w:val="24"/>
          <w:szCs w:val="24"/>
        </w:rPr>
        <w:t xml:space="preserve"> this bet at a</w:t>
      </w:r>
      <w:r w:rsidR="008070A4">
        <w:rPr>
          <w:rFonts w:ascii="Arial" w:hAnsi="Arial" w:cs="Arial"/>
          <w:sz w:val="24"/>
          <w:szCs w:val="24"/>
        </w:rPr>
        <w:t xml:space="preserve"> handicap.</w:t>
      </w:r>
      <w:r w:rsidR="004E0ECB">
        <w:rPr>
          <w:rFonts w:ascii="Arial" w:hAnsi="Arial" w:cs="Arial"/>
          <w:sz w:val="24"/>
          <w:szCs w:val="24"/>
        </w:rPr>
        <w:t xml:space="preserve"> </w:t>
      </w:r>
    </w:p>
    <w:p w14:paraId="6C13BC20" w14:textId="75F0FE10" w:rsidR="00194D9D" w:rsidRDefault="001642BA" w:rsidP="008A3200">
      <w:pPr>
        <w:spacing w:line="480" w:lineRule="auto"/>
        <w:ind w:firstLine="720"/>
        <w:rPr>
          <w:rFonts w:ascii="Arial" w:hAnsi="Arial" w:cs="Arial"/>
          <w:sz w:val="24"/>
          <w:szCs w:val="24"/>
        </w:rPr>
      </w:pPr>
      <w:r>
        <w:rPr>
          <w:rFonts w:ascii="Arial" w:hAnsi="Arial" w:cs="Arial"/>
          <w:sz w:val="24"/>
          <w:szCs w:val="24"/>
        </w:rPr>
        <w:t xml:space="preserve">This misguided attempt at creating price “stability” is also contrary to Ohio law and the policy of the state of Ohio for electric generation to be a competitive service.  Granting AEP guaranteed cost recovery of OVEC generation, while requiring all other generators to compete in the market without guaranteed cost recovery, </w:t>
      </w:r>
      <w:r w:rsidR="00C77FB1">
        <w:rPr>
          <w:rFonts w:ascii="Arial" w:hAnsi="Arial" w:cs="Arial"/>
          <w:sz w:val="24"/>
          <w:szCs w:val="24"/>
        </w:rPr>
        <w:t xml:space="preserve">constitutes an </w:t>
      </w:r>
      <w:r w:rsidR="00C77FB1">
        <w:rPr>
          <w:rFonts w:ascii="Arial" w:hAnsi="Arial" w:cs="Arial"/>
          <w:sz w:val="24"/>
          <w:szCs w:val="24"/>
        </w:rPr>
        <w:lastRenderedPageBreak/>
        <w:t xml:space="preserve">undue and discriminatory preference granted to AEP generation at the expense of all other generation in the electric market. </w:t>
      </w:r>
      <w:r w:rsidR="00D80015">
        <w:rPr>
          <w:rFonts w:ascii="Arial" w:hAnsi="Arial" w:cs="Arial"/>
          <w:sz w:val="24"/>
          <w:szCs w:val="24"/>
        </w:rPr>
        <w:t>If price stability has value as a product attribute in the eyes of the consumer, the competitive market is a more efficient delivery mechanism through fixed price offers.</w:t>
      </w:r>
    </w:p>
    <w:p w14:paraId="2CC5CC17" w14:textId="25FD24A6" w:rsidR="007A37FB" w:rsidRDefault="00C77FB1" w:rsidP="008A3200">
      <w:pPr>
        <w:spacing w:line="480" w:lineRule="auto"/>
        <w:ind w:firstLine="720"/>
        <w:rPr>
          <w:rFonts w:ascii="Arial" w:hAnsi="Arial" w:cs="Arial"/>
          <w:sz w:val="24"/>
          <w:szCs w:val="24"/>
        </w:rPr>
      </w:pPr>
      <w:r>
        <w:rPr>
          <w:rFonts w:ascii="Arial" w:hAnsi="Arial" w:cs="Arial"/>
          <w:sz w:val="24"/>
          <w:szCs w:val="24"/>
        </w:rPr>
        <w:t xml:space="preserve"> Further, as</w:t>
      </w:r>
      <w:r w:rsidR="001642BA">
        <w:rPr>
          <w:rFonts w:ascii="Arial" w:hAnsi="Arial" w:cs="Arial"/>
          <w:sz w:val="24"/>
          <w:szCs w:val="24"/>
        </w:rPr>
        <w:t xml:space="preserve"> </w:t>
      </w:r>
      <w:r>
        <w:rPr>
          <w:rFonts w:ascii="Arial" w:hAnsi="Arial" w:cs="Arial"/>
          <w:sz w:val="24"/>
          <w:szCs w:val="24"/>
        </w:rPr>
        <w:t xml:space="preserve">Staff points out in its </w:t>
      </w:r>
      <w:r w:rsidR="00194D9D">
        <w:rPr>
          <w:rFonts w:ascii="Arial" w:hAnsi="Arial" w:cs="Arial"/>
          <w:sz w:val="24"/>
          <w:szCs w:val="24"/>
        </w:rPr>
        <w:t>initial</w:t>
      </w:r>
      <w:r>
        <w:rPr>
          <w:rFonts w:ascii="Arial" w:hAnsi="Arial" w:cs="Arial"/>
          <w:sz w:val="24"/>
          <w:szCs w:val="24"/>
        </w:rPr>
        <w:t xml:space="preserve"> brief, even if the PPA is approved by the Commission, there </w:t>
      </w:r>
      <w:r w:rsidR="00D80015">
        <w:rPr>
          <w:rFonts w:ascii="Arial" w:hAnsi="Arial" w:cs="Arial"/>
          <w:sz w:val="24"/>
          <w:szCs w:val="24"/>
        </w:rPr>
        <w:t xml:space="preserve">are </w:t>
      </w:r>
      <w:r>
        <w:rPr>
          <w:rFonts w:ascii="Arial" w:hAnsi="Arial" w:cs="Arial"/>
          <w:sz w:val="24"/>
          <w:szCs w:val="24"/>
        </w:rPr>
        <w:t xml:space="preserve">serious questions about whether the PPA Rider will stand up </w:t>
      </w:r>
      <w:r w:rsidR="00872F10">
        <w:rPr>
          <w:rFonts w:ascii="Arial" w:hAnsi="Arial" w:cs="Arial"/>
          <w:sz w:val="24"/>
          <w:szCs w:val="24"/>
        </w:rPr>
        <w:t>constitutionally</w:t>
      </w:r>
      <w:r>
        <w:rPr>
          <w:rFonts w:ascii="Arial" w:hAnsi="Arial" w:cs="Arial"/>
          <w:sz w:val="24"/>
          <w:szCs w:val="24"/>
        </w:rPr>
        <w:t>.</w:t>
      </w:r>
      <w:r>
        <w:rPr>
          <w:rStyle w:val="FootnoteReference"/>
          <w:rFonts w:ascii="Arial" w:hAnsi="Arial" w:cs="Arial"/>
          <w:sz w:val="24"/>
          <w:szCs w:val="24"/>
        </w:rPr>
        <w:footnoteReference w:id="16"/>
      </w:r>
      <w:r>
        <w:rPr>
          <w:rFonts w:ascii="Arial" w:hAnsi="Arial" w:cs="Arial"/>
          <w:sz w:val="24"/>
          <w:szCs w:val="24"/>
        </w:rPr>
        <w:t xml:space="preserve"> The federal courts in both New Jersey and Maryland have recently determined that cost recovery of electric generation similar to what AEP is proposing</w:t>
      </w:r>
      <w:r w:rsidR="00FA21F7">
        <w:rPr>
          <w:rFonts w:ascii="Arial" w:hAnsi="Arial" w:cs="Arial"/>
          <w:sz w:val="24"/>
          <w:szCs w:val="24"/>
        </w:rPr>
        <w:t xml:space="preserve"> —a contract for differences between wholesale market revenue and a cost-based revenue requirement—</w:t>
      </w:r>
      <w:r>
        <w:rPr>
          <w:rFonts w:ascii="Arial" w:hAnsi="Arial" w:cs="Arial"/>
          <w:sz w:val="24"/>
          <w:szCs w:val="24"/>
        </w:rPr>
        <w:t xml:space="preserve"> is a violation of federal law.</w:t>
      </w:r>
      <w:r>
        <w:rPr>
          <w:rStyle w:val="FootnoteReference"/>
          <w:rFonts w:ascii="Arial" w:hAnsi="Arial" w:cs="Arial"/>
          <w:sz w:val="24"/>
          <w:szCs w:val="24"/>
        </w:rPr>
        <w:footnoteReference w:id="17"/>
      </w:r>
      <w:r w:rsidR="00194D9D">
        <w:rPr>
          <w:rFonts w:ascii="Arial" w:hAnsi="Arial" w:cs="Arial"/>
          <w:sz w:val="24"/>
          <w:szCs w:val="24"/>
        </w:rPr>
        <w:t xml:space="preserve"> Thus, it would be imprudent </w:t>
      </w:r>
      <w:r w:rsidR="00FA21F7">
        <w:rPr>
          <w:rFonts w:ascii="Arial" w:hAnsi="Arial" w:cs="Arial"/>
          <w:sz w:val="24"/>
          <w:szCs w:val="24"/>
        </w:rPr>
        <w:t xml:space="preserve"> and unlawful </w:t>
      </w:r>
      <w:r w:rsidR="00194D9D">
        <w:rPr>
          <w:rFonts w:ascii="Arial" w:hAnsi="Arial" w:cs="Arial"/>
          <w:sz w:val="24"/>
          <w:szCs w:val="24"/>
        </w:rPr>
        <w:t>for the Commission to approve a proposal that has a reasonable likelihood to be challenged in federal court and rejected.</w:t>
      </w:r>
    </w:p>
    <w:p w14:paraId="2751BCF6" w14:textId="20976C4F" w:rsidR="00202B5A" w:rsidRDefault="00202B5A" w:rsidP="008A3200">
      <w:pPr>
        <w:spacing w:line="480" w:lineRule="auto"/>
        <w:ind w:firstLine="720"/>
        <w:rPr>
          <w:rFonts w:ascii="Arial" w:hAnsi="Arial" w:cs="Arial"/>
          <w:sz w:val="24"/>
          <w:szCs w:val="24"/>
        </w:rPr>
      </w:pPr>
      <w:r>
        <w:rPr>
          <w:rFonts w:ascii="Arial" w:hAnsi="Arial" w:cs="Arial"/>
          <w:sz w:val="24"/>
          <w:szCs w:val="24"/>
        </w:rPr>
        <w:t xml:space="preserve">In sum, the vast majority of the parties that oppose Rider PPA </w:t>
      </w:r>
      <w:r w:rsidR="0054588C">
        <w:rPr>
          <w:rFonts w:ascii="Arial" w:hAnsi="Arial" w:cs="Arial"/>
          <w:sz w:val="24"/>
          <w:szCs w:val="24"/>
        </w:rPr>
        <w:t>are correct</w:t>
      </w:r>
      <w:r>
        <w:rPr>
          <w:rFonts w:ascii="Arial" w:hAnsi="Arial" w:cs="Arial"/>
          <w:sz w:val="24"/>
          <w:szCs w:val="24"/>
        </w:rPr>
        <w:t xml:space="preserve">.  Rider PPA is bad for Ohio rate-payers and </w:t>
      </w:r>
      <w:r w:rsidR="006B590A">
        <w:rPr>
          <w:rFonts w:ascii="Arial" w:hAnsi="Arial" w:cs="Arial"/>
          <w:sz w:val="24"/>
          <w:szCs w:val="24"/>
        </w:rPr>
        <w:t>is</w:t>
      </w:r>
      <w:r>
        <w:rPr>
          <w:rFonts w:ascii="Arial" w:hAnsi="Arial" w:cs="Arial"/>
          <w:sz w:val="24"/>
          <w:szCs w:val="24"/>
        </w:rPr>
        <w:t xml:space="preserve"> contrary to Ohio law.  </w:t>
      </w:r>
      <w:r w:rsidR="006B590A">
        <w:rPr>
          <w:rFonts w:ascii="Arial" w:hAnsi="Arial" w:cs="Arial"/>
          <w:sz w:val="24"/>
          <w:szCs w:val="24"/>
        </w:rPr>
        <w:t>Thus, t</w:t>
      </w:r>
      <w:r>
        <w:rPr>
          <w:rFonts w:ascii="Arial" w:hAnsi="Arial" w:cs="Arial"/>
          <w:sz w:val="24"/>
          <w:szCs w:val="24"/>
        </w:rPr>
        <w:t>he Commission should r</w:t>
      </w:r>
      <w:r w:rsidR="006B590A">
        <w:rPr>
          <w:rFonts w:ascii="Arial" w:hAnsi="Arial" w:cs="Arial"/>
          <w:sz w:val="24"/>
          <w:szCs w:val="24"/>
        </w:rPr>
        <w:t>eject Rider PPA in its entirety.</w:t>
      </w:r>
    </w:p>
    <w:p w14:paraId="41AB8708" w14:textId="43F65A11" w:rsidR="00E41776" w:rsidRPr="00E41776" w:rsidRDefault="00E41776" w:rsidP="00E41776">
      <w:pPr>
        <w:pStyle w:val="ListParagraph"/>
        <w:numPr>
          <w:ilvl w:val="0"/>
          <w:numId w:val="22"/>
        </w:numPr>
        <w:spacing w:line="480" w:lineRule="auto"/>
        <w:rPr>
          <w:rFonts w:ascii="Arial" w:hAnsi="Arial" w:cs="Arial"/>
          <w:b/>
          <w:sz w:val="24"/>
          <w:szCs w:val="24"/>
        </w:rPr>
      </w:pPr>
      <w:r w:rsidRPr="00E41776">
        <w:rPr>
          <w:rFonts w:ascii="Arial" w:hAnsi="Arial" w:cs="Arial"/>
          <w:b/>
          <w:sz w:val="24"/>
          <w:szCs w:val="24"/>
        </w:rPr>
        <w:t>The Commission Should Approve Rider BTRC</w:t>
      </w:r>
      <w:r w:rsidR="0054588C">
        <w:rPr>
          <w:rFonts w:ascii="Arial" w:hAnsi="Arial" w:cs="Arial"/>
          <w:b/>
          <w:sz w:val="24"/>
          <w:szCs w:val="24"/>
        </w:rPr>
        <w:t>.</w:t>
      </w:r>
    </w:p>
    <w:p w14:paraId="4D7F145F" w14:textId="77F22398" w:rsidR="005A5EBE" w:rsidRDefault="00E41776" w:rsidP="005A5EBE">
      <w:pPr>
        <w:spacing w:line="480" w:lineRule="auto"/>
        <w:ind w:firstLine="720"/>
        <w:rPr>
          <w:rFonts w:ascii="Arial" w:hAnsi="Arial" w:cs="Arial"/>
          <w:sz w:val="24"/>
          <w:szCs w:val="24"/>
        </w:rPr>
      </w:pPr>
      <w:r>
        <w:rPr>
          <w:rFonts w:ascii="Arial" w:hAnsi="Arial" w:cs="Arial"/>
          <w:sz w:val="24"/>
          <w:szCs w:val="24"/>
        </w:rPr>
        <w:t xml:space="preserve">In its ESP Application AEP proposed Rider BTRC </w:t>
      </w:r>
      <w:r w:rsidR="005A5EBE">
        <w:rPr>
          <w:rFonts w:ascii="Arial" w:hAnsi="Arial" w:cs="Arial"/>
          <w:sz w:val="24"/>
          <w:szCs w:val="24"/>
        </w:rPr>
        <w:t>which</w:t>
      </w:r>
      <w:r>
        <w:rPr>
          <w:rFonts w:ascii="Arial" w:hAnsi="Arial" w:cs="Arial"/>
          <w:sz w:val="24"/>
          <w:szCs w:val="24"/>
        </w:rPr>
        <w:t xml:space="preserve"> would allow AEP to recover non-market based transmission costs through a non-bypassable rider.  Currently, these non-market based costs are charged to CRES providers on behalf of the customer, and then the CRES provider must pass those charges on to the customer.  </w:t>
      </w:r>
    </w:p>
    <w:p w14:paraId="7917B563" w14:textId="4648D465" w:rsidR="00111A2C" w:rsidRDefault="00E41776" w:rsidP="005A5EBE">
      <w:pPr>
        <w:spacing w:line="480" w:lineRule="auto"/>
        <w:ind w:firstLine="720"/>
        <w:rPr>
          <w:rFonts w:ascii="Arial" w:hAnsi="Arial" w:cs="Arial"/>
          <w:sz w:val="24"/>
          <w:szCs w:val="24"/>
        </w:rPr>
      </w:pPr>
      <w:r>
        <w:rPr>
          <w:rFonts w:ascii="Arial" w:hAnsi="Arial" w:cs="Arial"/>
          <w:sz w:val="24"/>
          <w:szCs w:val="24"/>
        </w:rPr>
        <w:lastRenderedPageBreak/>
        <w:t>In its initial brief IGS supported the approval of Rider BTRC because the costs in Rider BTRC are pass-through costs from PJM which CRESs have no ability to alter</w:t>
      </w:r>
      <w:r w:rsidR="00E55C68">
        <w:rPr>
          <w:rFonts w:ascii="Arial" w:hAnsi="Arial" w:cs="Arial"/>
          <w:sz w:val="24"/>
          <w:szCs w:val="24"/>
        </w:rPr>
        <w:t>. Further,</w:t>
      </w:r>
      <w:r>
        <w:rPr>
          <w:rFonts w:ascii="Arial" w:hAnsi="Arial" w:cs="Arial"/>
          <w:sz w:val="24"/>
          <w:szCs w:val="24"/>
        </w:rPr>
        <w:t xml:space="preserve"> Rider BTRC would be more consistent with the way other utilities in the State recover similar costs.  </w:t>
      </w:r>
      <w:r w:rsidR="00E55C68">
        <w:rPr>
          <w:rFonts w:ascii="Arial" w:hAnsi="Arial" w:cs="Arial"/>
          <w:sz w:val="24"/>
          <w:szCs w:val="24"/>
        </w:rPr>
        <w:t>However, b</w:t>
      </w:r>
      <w:r>
        <w:rPr>
          <w:rFonts w:ascii="Arial" w:hAnsi="Arial" w:cs="Arial"/>
          <w:sz w:val="24"/>
          <w:szCs w:val="24"/>
        </w:rPr>
        <w:t>oth IEU</w:t>
      </w:r>
      <w:r w:rsidR="00111A2C">
        <w:rPr>
          <w:rFonts w:ascii="Arial" w:hAnsi="Arial" w:cs="Arial"/>
          <w:sz w:val="24"/>
          <w:szCs w:val="24"/>
        </w:rPr>
        <w:t xml:space="preserve"> and the Ohio Manufacture</w:t>
      </w:r>
      <w:r w:rsidR="00D80015">
        <w:rPr>
          <w:rFonts w:ascii="Arial" w:hAnsi="Arial" w:cs="Arial"/>
          <w:sz w:val="24"/>
          <w:szCs w:val="24"/>
        </w:rPr>
        <w:t>r</w:t>
      </w:r>
      <w:r w:rsidR="00111A2C">
        <w:rPr>
          <w:rFonts w:ascii="Arial" w:hAnsi="Arial" w:cs="Arial"/>
          <w:sz w:val="24"/>
          <w:szCs w:val="24"/>
        </w:rPr>
        <w:t>s</w:t>
      </w:r>
      <w:r w:rsidR="00D80015">
        <w:rPr>
          <w:rFonts w:ascii="Arial" w:hAnsi="Arial" w:cs="Arial"/>
          <w:sz w:val="24"/>
          <w:szCs w:val="24"/>
        </w:rPr>
        <w:t>’</w:t>
      </w:r>
      <w:r w:rsidR="00111A2C">
        <w:rPr>
          <w:rFonts w:ascii="Arial" w:hAnsi="Arial" w:cs="Arial"/>
          <w:sz w:val="24"/>
          <w:szCs w:val="24"/>
        </w:rPr>
        <w:t xml:space="preserve"> Association (“OMA”) opposed Rider BTRC in this proceeding.  </w:t>
      </w:r>
      <w:r w:rsidR="005A5EBE">
        <w:rPr>
          <w:rFonts w:ascii="Arial" w:hAnsi="Arial" w:cs="Arial"/>
          <w:sz w:val="24"/>
          <w:szCs w:val="24"/>
        </w:rPr>
        <w:t xml:space="preserve"> </w:t>
      </w:r>
      <w:r w:rsidR="00E55C68">
        <w:rPr>
          <w:rFonts w:ascii="Arial" w:hAnsi="Arial" w:cs="Arial"/>
          <w:sz w:val="24"/>
          <w:szCs w:val="24"/>
        </w:rPr>
        <w:t>Both</w:t>
      </w:r>
      <w:r w:rsidR="00111A2C">
        <w:rPr>
          <w:rFonts w:ascii="Arial" w:hAnsi="Arial" w:cs="Arial"/>
          <w:sz w:val="24"/>
          <w:szCs w:val="24"/>
        </w:rPr>
        <w:t xml:space="preserve"> IEU and OMA claim that </w:t>
      </w:r>
      <w:r w:rsidR="00E55C68">
        <w:rPr>
          <w:rFonts w:ascii="Arial" w:hAnsi="Arial" w:cs="Arial"/>
          <w:sz w:val="24"/>
          <w:szCs w:val="24"/>
        </w:rPr>
        <w:t>if</w:t>
      </w:r>
      <w:r w:rsidR="00111A2C">
        <w:rPr>
          <w:rFonts w:ascii="Arial" w:hAnsi="Arial" w:cs="Arial"/>
          <w:sz w:val="24"/>
          <w:szCs w:val="24"/>
        </w:rPr>
        <w:t xml:space="preserve"> </w:t>
      </w:r>
      <w:r w:rsidR="00E55C68">
        <w:rPr>
          <w:rFonts w:ascii="Arial" w:hAnsi="Arial" w:cs="Arial"/>
          <w:sz w:val="24"/>
          <w:szCs w:val="24"/>
        </w:rPr>
        <w:t xml:space="preserve">shopping customers have a fixed rate with a CRES which already includes the transmission charges, implementation of the Rider BTRC may cause some shopping customers to be double billed for </w:t>
      </w:r>
      <w:r w:rsidR="0078113B">
        <w:rPr>
          <w:rFonts w:ascii="Arial" w:hAnsi="Arial" w:cs="Arial"/>
          <w:sz w:val="24"/>
          <w:szCs w:val="24"/>
        </w:rPr>
        <w:t>transmission</w:t>
      </w:r>
      <w:r w:rsidR="00E55C68">
        <w:rPr>
          <w:rFonts w:ascii="Arial" w:hAnsi="Arial" w:cs="Arial"/>
          <w:sz w:val="24"/>
          <w:szCs w:val="24"/>
        </w:rPr>
        <w:t xml:space="preserve"> charges.</w:t>
      </w:r>
      <w:r w:rsidR="00E55C68">
        <w:rPr>
          <w:rStyle w:val="FootnoteReference"/>
          <w:rFonts w:ascii="Arial" w:hAnsi="Arial" w:cs="Arial"/>
          <w:sz w:val="24"/>
          <w:szCs w:val="24"/>
        </w:rPr>
        <w:footnoteReference w:id="18"/>
      </w:r>
      <w:r w:rsidR="00E55C68">
        <w:rPr>
          <w:rFonts w:ascii="Arial" w:hAnsi="Arial" w:cs="Arial"/>
          <w:sz w:val="24"/>
          <w:szCs w:val="24"/>
        </w:rPr>
        <w:t xml:space="preserve">  </w:t>
      </w:r>
    </w:p>
    <w:p w14:paraId="51DE27F1" w14:textId="73090134" w:rsidR="00E55C68" w:rsidRDefault="00E55C68" w:rsidP="00A7767E">
      <w:pPr>
        <w:spacing w:line="480" w:lineRule="auto"/>
        <w:ind w:firstLine="720"/>
        <w:rPr>
          <w:rFonts w:ascii="Arial" w:hAnsi="Arial" w:cs="Arial"/>
          <w:sz w:val="24"/>
          <w:szCs w:val="24"/>
        </w:rPr>
      </w:pPr>
      <w:r>
        <w:rPr>
          <w:rFonts w:ascii="Arial" w:hAnsi="Arial" w:cs="Arial"/>
          <w:sz w:val="24"/>
          <w:szCs w:val="24"/>
        </w:rPr>
        <w:t xml:space="preserve">First, both IEU and OMA are made up of sophisticated industrial energy </w:t>
      </w:r>
      <w:r w:rsidR="0078113B">
        <w:rPr>
          <w:rFonts w:ascii="Arial" w:hAnsi="Arial" w:cs="Arial"/>
          <w:sz w:val="24"/>
          <w:szCs w:val="24"/>
        </w:rPr>
        <w:t xml:space="preserve">users </w:t>
      </w:r>
      <w:r>
        <w:rPr>
          <w:rFonts w:ascii="Arial" w:hAnsi="Arial" w:cs="Arial"/>
          <w:sz w:val="24"/>
          <w:szCs w:val="24"/>
        </w:rPr>
        <w:t xml:space="preserve"> </w:t>
      </w:r>
      <w:r w:rsidR="00D80015">
        <w:rPr>
          <w:rFonts w:ascii="Arial" w:hAnsi="Arial" w:cs="Arial"/>
          <w:sz w:val="24"/>
          <w:szCs w:val="24"/>
        </w:rPr>
        <w:t xml:space="preserve">who </w:t>
      </w:r>
      <w:r>
        <w:rPr>
          <w:rFonts w:ascii="Arial" w:hAnsi="Arial" w:cs="Arial"/>
          <w:sz w:val="24"/>
          <w:szCs w:val="24"/>
        </w:rPr>
        <w:t>have known</w:t>
      </w:r>
      <w:r w:rsidR="005A5EBE">
        <w:rPr>
          <w:rFonts w:ascii="Arial" w:hAnsi="Arial" w:cs="Arial"/>
          <w:sz w:val="24"/>
          <w:szCs w:val="24"/>
        </w:rPr>
        <w:t xml:space="preserve"> of the Rider BTRC</w:t>
      </w:r>
      <w:r>
        <w:rPr>
          <w:rFonts w:ascii="Arial" w:hAnsi="Arial" w:cs="Arial"/>
          <w:sz w:val="24"/>
          <w:szCs w:val="24"/>
        </w:rPr>
        <w:t xml:space="preserve"> proposal for quite some-time.  Further, even if the charge is approved, it will not go into effect until June of 2015, almost a full year from now.  Therefore, IEU and OMA members have sufficient time to negotiate with their CRES provider a rate that would not include transmission costs into their charges</w:t>
      </w:r>
      <w:r w:rsidR="005A5EBE">
        <w:rPr>
          <w:rFonts w:ascii="Arial" w:hAnsi="Arial" w:cs="Arial"/>
          <w:sz w:val="24"/>
          <w:szCs w:val="24"/>
        </w:rPr>
        <w:t xml:space="preserve"> -</w:t>
      </w:r>
      <w:r w:rsidR="00A7767E">
        <w:rPr>
          <w:rFonts w:ascii="Arial" w:hAnsi="Arial" w:cs="Arial"/>
          <w:sz w:val="24"/>
          <w:szCs w:val="24"/>
        </w:rPr>
        <w:t xml:space="preserve"> or a</w:t>
      </w:r>
      <w:r w:rsidR="005A5EBE">
        <w:rPr>
          <w:rFonts w:ascii="Arial" w:hAnsi="Arial" w:cs="Arial"/>
          <w:sz w:val="24"/>
          <w:szCs w:val="24"/>
        </w:rPr>
        <w:t>t</w:t>
      </w:r>
      <w:r w:rsidR="00A7767E">
        <w:rPr>
          <w:rFonts w:ascii="Arial" w:hAnsi="Arial" w:cs="Arial"/>
          <w:sz w:val="24"/>
          <w:szCs w:val="24"/>
        </w:rPr>
        <w:t xml:space="preserve"> minimum a contract that </w:t>
      </w:r>
      <w:r w:rsidR="005A5EBE">
        <w:rPr>
          <w:rFonts w:ascii="Arial" w:hAnsi="Arial" w:cs="Arial"/>
          <w:sz w:val="24"/>
          <w:szCs w:val="24"/>
        </w:rPr>
        <w:t>would remove transmission</w:t>
      </w:r>
      <w:r w:rsidR="00A7767E">
        <w:rPr>
          <w:rFonts w:ascii="Arial" w:hAnsi="Arial" w:cs="Arial"/>
          <w:sz w:val="24"/>
          <w:szCs w:val="24"/>
        </w:rPr>
        <w:t xml:space="preserve"> costs from the fixed rate if Rider BTRC is approve</w:t>
      </w:r>
      <w:r w:rsidR="005A5EBE">
        <w:rPr>
          <w:rFonts w:ascii="Arial" w:hAnsi="Arial" w:cs="Arial"/>
          <w:sz w:val="24"/>
          <w:szCs w:val="24"/>
        </w:rPr>
        <w:t>d</w:t>
      </w:r>
      <w:r>
        <w:rPr>
          <w:rFonts w:ascii="Arial" w:hAnsi="Arial" w:cs="Arial"/>
          <w:sz w:val="24"/>
          <w:szCs w:val="24"/>
        </w:rPr>
        <w:t xml:space="preserve">.  </w:t>
      </w:r>
      <w:r w:rsidR="00A7767E">
        <w:rPr>
          <w:rFonts w:ascii="Arial" w:hAnsi="Arial" w:cs="Arial"/>
          <w:sz w:val="24"/>
          <w:szCs w:val="24"/>
        </w:rPr>
        <w:t>And even</w:t>
      </w:r>
      <w:r>
        <w:rPr>
          <w:rFonts w:ascii="Arial" w:hAnsi="Arial" w:cs="Arial"/>
          <w:sz w:val="24"/>
          <w:szCs w:val="24"/>
        </w:rPr>
        <w:t xml:space="preserve"> if a CRES </w:t>
      </w:r>
      <w:r w:rsidR="00A7767E">
        <w:rPr>
          <w:rFonts w:ascii="Arial" w:hAnsi="Arial" w:cs="Arial"/>
          <w:sz w:val="24"/>
          <w:szCs w:val="24"/>
        </w:rPr>
        <w:t>provider is unwilling to</w:t>
      </w:r>
      <w:r>
        <w:rPr>
          <w:rFonts w:ascii="Arial" w:hAnsi="Arial" w:cs="Arial"/>
          <w:sz w:val="24"/>
          <w:szCs w:val="24"/>
        </w:rPr>
        <w:t xml:space="preserve"> remove transmission charges from the rate of IEU and OMA members</w:t>
      </w:r>
      <w:r w:rsidR="00A7767E">
        <w:rPr>
          <w:rFonts w:ascii="Arial" w:hAnsi="Arial" w:cs="Arial"/>
          <w:sz w:val="24"/>
          <w:szCs w:val="24"/>
        </w:rPr>
        <w:t xml:space="preserve"> that are</w:t>
      </w:r>
      <w:r>
        <w:rPr>
          <w:rFonts w:ascii="Arial" w:hAnsi="Arial" w:cs="Arial"/>
          <w:sz w:val="24"/>
          <w:szCs w:val="24"/>
        </w:rPr>
        <w:t xml:space="preserve"> locked into a fixed contract beyond June 2015, the CRES would be in significant jeopardy of losing that customer once the customer contract expires.</w:t>
      </w:r>
    </w:p>
    <w:p w14:paraId="2EBE8C8D" w14:textId="7576B871" w:rsidR="00FA3A37" w:rsidRDefault="00FA3A37" w:rsidP="00E41776">
      <w:pPr>
        <w:spacing w:line="480" w:lineRule="auto"/>
        <w:ind w:firstLine="720"/>
        <w:rPr>
          <w:rFonts w:ascii="Arial" w:hAnsi="Arial" w:cs="Arial"/>
          <w:sz w:val="24"/>
          <w:szCs w:val="24"/>
        </w:rPr>
      </w:pPr>
      <w:r>
        <w:rPr>
          <w:rFonts w:ascii="Arial" w:hAnsi="Arial" w:cs="Arial"/>
          <w:sz w:val="24"/>
          <w:szCs w:val="24"/>
        </w:rPr>
        <w:t xml:space="preserve">Further, if the Commission is concerned about the double billing issue, it could simply modify AEP’s Rider BTRC proposal to require CRES providers to remove these costs from customer’s prices before Rider BTRC goes into effect.  </w:t>
      </w:r>
      <w:r w:rsidR="00A7767E">
        <w:rPr>
          <w:rFonts w:ascii="Arial" w:hAnsi="Arial" w:cs="Arial"/>
          <w:sz w:val="24"/>
          <w:szCs w:val="24"/>
        </w:rPr>
        <w:t>W</w:t>
      </w:r>
      <w:r>
        <w:rPr>
          <w:rFonts w:ascii="Arial" w:hAnsi="Arial" w:cs="Arial"/>
          <w:sz w:val="24"/>
          <w:szCs w:val="24"/>
        </w:rPr>
        <w:t>hen Columbia Gas of Ohio modified its b</w:t>
      </w:r>
      <w:r w:rsidR="005A5EBE">
        <w:rPr>
          <w:rFonts w:ascii="Arial" w:hAnsi="Arial" w:cs="Arial"/>
          <w:sz w:val="24"/>
          <w:szCs w:val="24"/>
        </w:rPr>
        <w:t>alancing</w:t>
      </w:r>
      <w:r>
        <w:rPr>
          <w:rFonts w:ascii="Arial" w:hAnsi="Arial" w:cs="Arial"/>
          <w:sz w:val="24"/>
          <w:szCs w:val="24"/>
        </w:rPr>
        <w:t xml:space="preserve"> fee to make it a pass-through charge directly to the </w:t>
      </w:r>
      <w:r>
        <w:rPr>
          <w:rFonts w:ascii="Arial" w:hAnsi="Arial" w:cs="Arial"/>
          <w:sz w:val="24"/>
          <w:szCs w:val="24"/>
        </w:rPr>
        <w:lastRenderedPageBreak/>
        <w:t>customer, rather than a charge to the natural gas supplier</w:t>
      </w:r>
      <w:r w:rsidR="00A7767E">
        <w:rPr>
          <w:rFonts w:ascii="Arial" w:hAnsi="Arial" w:cs="Arial"/>
          <w:sz w:val="24"/>
          <w:szCs w:val="24"/>
        </w:rPr>
        <w:t>, the Commission required that natural gas suppliers to verify they removed the charge from all customers</w:t>
      </w:r>
      <w:r w:rsidR="002809D8">
        <w:rPr>
          <w:rFonts w:ascii="Arial" w:hAnsi="Arial" w:cs="Arial"/>
          <w:sz w:val="24"/>
          <w:szCs w:val="24"/>
        </w:rPr>
        <w:t>’</w:t>
      </w:r>
      <w:r w:rsidR="00A7767E">
        <w:rPr>
          <w:rFonts w:ascii="Arial" w:hAnsi="Arial" w:cs="Arial"/>
          <w:sz w:val="24"/>
          <w:szCs w:val="24"/>
        </w:rPr>
        <w:t xml:space="preserve"> fixed price</w:t>
      </w:r>
      <w:r w:rsidR="002809D8">
        <w:rPr>
          <w:rFonts w:ascii="Arial" w:hAnsi="Arial" w:cs="Arial"/>
          <w:sz w:val="24"/>
          <w:szCs w:val="24"/>
        </w:rPr>
        <w:t>s</w:t>
      </w:r>
      <w:r w:rsidR="00A7767E">
        <w:rPr>
          <w:rFonts w:ascii="Arial" w:hAnsi="Arial" w:cs="Arial"/>
          <w:sz w:val="24"/>
          <w:szCs w:val="24"/>
        </w:rPr>
        <w:t>.</w:t>
      </w:r>
      <w:r>
        <w:rPr>
          <w:rStyle w:val="FootnoteReference"/>
          <w:rFonts w:ascii="Arial" w:hAnsi="Arial" w:cs="Arial"/>
          <w:sz w:val="24"/>
          <w:szCs w:val="24"/>
        </w:rPr>
        <w:footnoteReference w:id="19"/>
      </w:r>
      <w:r w:rsidR="00A7767E">
        <w:rPr>
          <w:rFonts w:ascii="Arial" w:hAnsi="Arial" w:cs="Arial"/>
          <w:sz w:val="24"/>
          <w:szCs w:val="24"/>
        </w:rPr>
        <w:t xml:space="preserve">  The Commission can do the same in this proceeding. </w:t>
      </w:r>
      <w:r w:rsidR="005A5EBE">
        <w:rPr>
          <w:rFonts w:ascii="Arial" w:hAnsi="Arial" w:cs="Arial"/>
          <w:sz w:val="24"/>
          <w:szCs w:val="24"/>
        </w:rPr>
        <w:t xml:space="preserve"> As such, IEU’s and OMA’s concerns regarding double billing are without merit.</w:t>
      </w:r>
    </w:p>
    <w:p w14:paraId="5FD0D0CE" w14:textId="22145ACF" w:rsidR="00A32262" w:rsidRPr="00A32262" w:rsidRDefault="00A32262" w:rsidP="003C64C5">
      <w:pPr>
        <w:pStyle w:val="ListParagraph"/>
        <w:numPr>
          <w:ilvl w:val="0"/>
          <w:numId w:val="22"/>
        </w:numPr>
        <w:spacing w:line="240" w:lineRule="auto"/>
        <w:rPr>
          <w:rFonts w:ascii="Arial" w:hAnsi="Arial" w:cs="Arial"/>
          <w:b/>
          <w:sz w:val="24"/>
          <w:szCs w:val="24"/>
        </w:rPr>
      </w:pPr>
      <w:r w:rsidRPr="00A32262">
        <w:rPr>
          <w:rFonts w:ascii="Arial" w:hAnsi="Arial" w:cs="Arial"/>
          <w:b/>
          <w:sz w:val="24"/>
          <w:szCs w:val="24"/>
        </w:rPr>
        <w:t>The Commission Should Approve Dis</w:t>
      </w:r>
      <w:r>
        <w:rPr>
          <w:rFonts w:ascii="Arial" w:hAnsi="Arial" w:cs="Arial"/>
          <w:b/>
          <w:sz w:val="24"/>
          <w:szCs w:val="24"/>
        </w:rPr>
        <w:t xml:space="preserve">continuance of AEP’s TOU Rate Offerings and </w:t>
      </w:r>
      <w:r w:rsidR="009375B2">
        <w:rPr>
          <w:rFonts w:ascii="Arial" w:hAnsi="Arial" w:cs="Arial"/>
          <w:b/>
          <w:sz w:val="24"/>
          <w:szCs w:val="24"/>
        </w:rPr>
        <w:t>GridSmart</w:t>
      </w:r>
      <w:r>
        <w:rPr>
          <w:rFonts w:ascii="Arial" w:hAnsi="Arial" w:cs="Arial"/>
          <w:b/>
          <w:sz w:val="24"/>
          <w:szCs w:val="24"/>
        </w:rPr>
        <w:t xml:space="preserve"> Tariffs</w:t>
      </w:r>
      <w:r w:rsidR="009375B2">
        <w:rPr>
          <w:rFonts w:ascii="Arial" w:hAnsi="Arial" w:cs="Arial"/>
          <w:b/>
          <w:sz w:val="24"/>
          <w:szCs w:val="24"/>
        </w:rPr>
        <w:t>.</w:t>
      </w:r>
    </w:p>
    <w:p w14:paraId="32066413" w14:textId="34C61594" w:rsidR="00A32262" w:rsidRDefault="009375B2" w:rsidP="00E41776">
      <w:pPr>
        <w:spacing w:line="480" w:lineRule="auto"/>
        <w:ind w:firstLine="720"/>
        <w:rPr>
          <w:rFonts w:ascii="Arial" w:hAnsi="Arial" w:cs="Arial"/>
          <w:sz w:val="24"/>
          <w:szCs w:val="24"/>
        </w:rPr>
      </w:pPr>
      <w:r>
        <w:rPr>
          <w:rFonts w:ascii="Arial" w:hAnsi="Arial" w:cs="Arial"/>
          <w:sz w:val="24"/>
          <w:szCs w:val="24"/>
        </w:rPr>
        <w:t xml:space="preserve">In its ESP Application AEP proposed eliminating its time-of-use (“TOU”) tariffs with the approval of this ESP.  IGS supports the termination of these tariffs, as the termination of these tariffs will better facilitate the development of similar products offered by the competitive market.  </w:t>
      </w:r>
      <w:r w:rsidR="00C738C5">
        <w:rPr>
          <w:rFonts w:ascii="Arial" w:hAnsi="Arial" w:cs="Arial"/>
          <w:sz w:val="24"/>
          <w:szCs w:val="24"/>
        </w:rPr>
        <w:t>However, certain parties in their initial brief</w:t>
      </w:r>
      <w:r>
        <w:rPr>
          <w:rFonts w:ascii="Arial" w:hAnsi="Arial" w:cs="Arial"/>
          <w:sz w:val="24"/>
          <w:szCs w:val="24"/>
        </w:rPr>
        <w:t xml:space="preserve"> disagree and request that the Commission require AEP to continue its TOU </w:t>
      </w:r>
      <w:r w:rsidR="003C64C5">
        <w:rPr>
          <w:rFonts w:ascii="Arial" w:hAnsi="Arial" w:cs="Arial"/>
          <w:sz w:val="24"/>
          <w:szCs w:val="24"/>
        </w:rPr>
        <w:t>tariffs</w:t>
      </w:r>
      <w:r w:rsidR="006B590A">
        <w:rPr>
          <w:rFonts w:ascii="Arial" w:hAnsi="Arial" w:cs="Arial"/>
          <w:sz w:val="24"/>
          <w:szCs w:val="24"/>
        </w:rPr>
        <w:t>.</w:t>
      </w:r>
      <w:r w:rsidR="006B590A">
        <w:rPr>
          <w:rStyle w:val="FootnoteReference"/>
          <w:rFonts w:ascii="Arial" w:hAnsi="Arial" w:cs="Arial"/>
          <w:sz w:val="24"/>
          <w:szCs w:val="24"/>
        </w:rPr>
        <w:footnoteReference w:id="20"/>
      </w:r>
      <w:r>
        <w:rPr>
          <w:rFonts w:ascii="Arial" w:hAnsi="Arial" w:cs="Arial"/>
          <w:sz w:val="24"/>
          <w:szCs w:val="24"/>
        </w:rPr>
        <w:t xml:space="preserve">   </w:t>
      </w:r>
      <w:r w:rsidR="006B590A">
        <w:rPr>
          <w:rFonts w:ascii="Arial" w:hAnsi="Arial" w:cs="Arial"/>
          <w:sz w:val="24"/>
          <w:szCs w:val="24"/>
        </w:rPr>
        <w:t>The arguments made to maintain TOU tariffs are not persuasive and thus the Commission should accept AEP’s proposal.</w:t>
      </w:r>
    </w:p>
    <w:p w14:paraId="4C22B75B" w14:textId="2F30291F" w:rsidR="006B590A" w:rsidRDefault="006B590A" w:rsidP="006B590A">
      <w:pPr>
        <w:spacing w:line="480" w:lineRule="auto"/>
        <w:ind w:firstLine="720"/>
        <w:rPr>
          <w:rFonts w:ascii="Arial" w:hAnsi="Arial" w:cs="Arial"/>
          <w:sz w:val="24"/>
          <w:szCs w:val="24"/>
        </w:rPr>
      </w:pPr>
      <w:r>
        <w:rPr>
          <w:rFonts w:ascii="Arial" w:hAnsi="Arial" w:cs="Arial"/>
          <w:sz w:val="24"/>
          <w:szCs w:val="24"/>
        </w:rPr>
        <w:t>In its initial brief the Environmental Law and Policy Center</w:t>
      </w:r>
      <w:r w:rsidR="00970912">
        <w:rPr>
          <w:rFonts w:ascii="Arial" w:hAnsi="Arial" w:cs="Arial"/>
          <w:sz w:val="24"/>
          <w:szCs w:val="24"/>
        </w:rPr>
        <w:t xml:space="preserve"> (“ELPC”)</w:t>
      </w:r>
      <w:r>
        <w:rPr>
          <w:rFonts w:ascii="Arial" w:hAnsi="Arial" w:cs="Arial"/>
          <w:sz w:val="24"/>
          <w:szCs w:val="24"/>
        </w:rPr>
        <w:t xml:space="preserve"> cites to </w:t>
      </w:r>
      <w:r w:rsidRPr="006B590A">
        <w:rPr>
          <w:rFonts w:ascii="Arial" w:hAnsi="Arial" w:cs="Arial"/>
          <w:sz w:val="24"/>
          <w:szCs w:val="24"/>
        </w:rPr>
        <w:t>R.C. 4928.02(D)</w:t>
      </w:r>
      <w:r>
        <w:rPr>
          <w:rFonts w:ascii="Arial" w:hAnsi="Arial" w:cs="Arial"/>
          <w:sz w:val="24"/>
          <w:szCs w:val="24"/>
        </w:rPr>
        <w:t xml:space="preserve"> which states that it is the policy of Ohio to </w:t>
      </w:r>
      <w:r w:rsidRPr="006B590A">
        <w:rPr>
          <w:rFonts w:ascii="Arial" w:hAnsi="Arial" w:cs="Arial"/>
          <w:sz w:val="24"/>
          <w:szCs w:val="24"/>
        </w:rPr>
        <w:t xml:space="preserve">“[e]ncourage </w:t>
      </w:r>
      <w:r w:rsidRPr="00970912">
        <w:rPr>
          <w:rFonts w:ascii="Arial" w:hAnsi="Arial" w:cs="Arial"/>
          <w:i/>
          <w:sz w:val="24"/>
          <w:szCs w:val="24"/>
        </w:rPr>
        <w:t>innovation</w:t>
      </w:r>
      <w:r w:rsidRPr="006B590A">
        <w:rPr>
          <w:rFonts w:ascii="Arial" w:hAnsi="Arial" w:cs="Arial"/>
          <w:sz w:val="24"/>
          <w:szCs w:val="24"/>
        </w:rPr>
        <w:t xml:space="preserve"> </w:t>
      </w:r>
      <w:r w:rsidRPr="007B747F">
        <w:rPr>
          <w:rFonts w:ascii="Arial" w:hAnsi="Arial" w:cs="Arial"/>
          <w:i/>
          <w:sz w:val="24"/>
          <w:szCs w:val="24"/>
        </w:rPr>
        <w:t xml:space="preserve">and market access </w:t>
      </w:r>
      <w:r w:rsidR="003F63FD">
        <w:rPr>
          <w:rFonts w:ascii="Arial" w:hAnsi="Arial" w:cs="Arial"/>
          <w:sz w:val="24"/>
          <w:szCs w:val="24"/>
        </w:rPr>
        <w:t>for cost-effective supply</w:t>
      </w:r>
      <w:r w:rsidRPr="006B590A">
        <w:rPr>
          <w:rFonts w:ascii="Arial" w:hAnsi="Arial" w:cs="Arial"/>
          <w:sz w:val="24"/>
          <w:szCs w:val="24"/>
        </w:rPr>
        <w:t xml:space="preserve"> and</w:t>
      </w:r>
      <w:r>
        <w:rPr>
          <w:rFonts w:ascii="Arial" w:hAnsi="Arial" w:cs="Arial"/>
          <w:sz w:val="24"/>
          <w:szCs w:val="24"/>
        </w:rPr>
        <w:t xml:space="preserve"> </w:t>
      </w:r>
      <w:r w:rsidRPr="006B590A">
        <w:rPr>
          <w:rFonts w:ascii="Arial" w:hAnsi="Arial" w:cs="Arial"/>
          <w:sz w:val="24"/>
          <w:szCs w:val="24"/>
        </w:rPr>
        <w:t>demand-side retail electric service including, b</w:t>
      </w:r>
      <w:r>
        <w:rPr>
          <w:rFonts w:ascii="Arial" w:hAnsi="Arial" w:cs="Arial"/>
          <w:sz w:val="24"/>
          <w:szCs w:val="24"/>
        </w:rPr>
        <w:t xml:space="preserve">ut not limited to, demand-side </w:t>
      </w:r>
      <w:r w:rsidRPr="006B590A">
        <w:rPr>
          <w:rFonts w:ascii="Arial" w:hAnsi="Arial" w:cs="Arial"/>
          <w:sz w:val="24"/>
          <w:szCs w:val="24"/>
        </w:rPr>
        <w:t xml:space="preserve">management, </w:t>
      </w:r>
      <w:r w:rsidRPr="00970912">
        <w:rPr>
          <w:rFonts w:ascii="Arial" w:hAnsi="Arial" w:cs="Arial"/>
          <w:i/>
          <w:sz w:val="24"/>
          <w:szCs w:val="24"/>
        </w:rPr>
        <w:t>time-differentiated pricing</w:t>
      </w:r>
      <w:r w:rsidRPr="006B590A">
        <w:rPr>
          <w:rFonts w:ascii="Arial" w:hAnsi="Arial" w:cs="Arial"/>
          <w:sz w:val="24"/>
          <w:szCs w:val="24"/>
        </w:rPr>
        <w:t>, waste energy recovery systems, smart grid programs, and implementation of advanced metering infrastructure</w:t>
      </w:r>
      <w:r w:rsidR="00970912">
        <w:rPr>
          <w:rFonts w:ascii="Arial" w:hAnsi="Arial" w:cs="Arial"/>
          <w:sz w:val="24"/>
          <w:szCs w:val="24"/>
        </w:rPr>
        <w:t xml:space="preserve"> (</w:t>
      </w:r>
      <w:r w:rsidR="00FC3FFA">
        <w:rPr>
          <w:rFonts w:ascii="Arial" w:hAnsi="Arial" w:cs="Arial"/>
          <w:sz w:val="24"/>
          <w:szCs w:val="24"/>
        </w:rPr>
        <w:t>Emphasis added</w:t>
      </w:r>
      <w:r w:rsidR="00970912">
        <w:rPr>
          <w:rFonts w:ascii="Arial" w:hAnsi="Arial" w:cs="Arial"/>
          <w:sz w:val="24"/>
          <w:szCs w:val="24"/>
        </w:rPr>
        <w:t>)</w:t>
      </w:r>
      <w:r w:rsidRPr="006B590A">
        <w:rPr>
          <w:rFonts w:ascii="Arial" w:hAnsi="Arial" w:cs="Arial"/>
          <w:sz w:val="24"/>
          <w:szCs w:val="24"/>
        </w:rPr>
        <w:t>.</w:t>
      </w:r>
      <w:r>
        <w:rPr>
          <w:rFonts w:ascii="Arial" w:hAnsi="Arial" w:cs="Arial"/>
          <w:sz w:val="24"/>
          <w:szCs w:val="24"/>
        </w:rPr>
        <w:t>”</w:t>
      </w:r>
      <w:r w:rsidR="00970912">
        <w:rPr>
          <w:rStyle w:val="FootnoteReference"/>
          <w:rFonts w:ascii="Arial" w:hAnsi="Arial" w:cs="Arial"/>
          <w:sz w:val="24"/>
          <w:szCs w:val="24"/>
        </w:rPr>
        <w:footnoteReference w:id="21"/>
      </w:r>
      <w:r w:rsidR="00970912">
        <w:rPr>
          <w:rFonts w:ascii="Arial" w:hAnsi="Arial" w:cs="Arial"/>
          <w:sz w:val="24"/>
          <w:szCs w:val="24"/>
        </w:rPr>
        <w:t xml:space="preserve"> Certainly this is the policy of the State of </w:t>
      </w:r>
      <w:r w:rsidR="00970912">
        <w:rPr>
          <w:rFonts w:ascii="Arial" w:hAnsi="Arial" w:cs="Arial"/>
          <w:sz w:val="24"/>
          <w:szCs w:val="24"/>
        </w:rPr>
        <w:lastRenderedPageBreak/>
        <w:t xml:space="preserve">Ohio and IGS is supportive of this policy, but requiring AEP to continue its TOU tariffs would be contrary to </w:t>
      </w:r>
      <w:r w:rsidR="00970912" w:rsidRPr="006B590A">
        <w:rPr>
          <w:rFonts w:ascii="Arial" w:hAnsi="Arial" w:cs="Arial"/>
          <w:sz w:val="24"/>
          <w:szCs w:val="24"/>
        </w:rPr>
        <w:t>R.C. 4928.02(D)</w:t>
      </w:r>
      <w:r w:rsidR="00970912">
        <w:rPr>
          <w:rFonts w:ascii="Arial" w:hAnsi="Arial" w:cs="Arial"/>
          <w:sz w:val="24"/>
          <w:szCs w:val="24"/>
        </w:rPr>
        <w:t>.</w:t>
      </w:r>
    </w:p>
    <w:p w14:paraId="783265B5" w14:textId="7B42F1BB" w:rsidR="00970912" w:rsidRDefault="00970912" w:rsidP="006B590A">
      <w:pPr>
        <w:spacing w:line="480" w:lineRule="auto"/>
        <w:ind w:firstLine="720"/>
        <w:rPr>
          <w:rFonts w:ascii="Arial" w:hAnsi="Arial" w:cs="Arial"/>
          <w:sz w:val="24"/>
          <w:szCs w:val="24"/>
        </w:rPr>
      </w:pPr>
      <w:r>
        <w:rPr>
          <w:rFonts w:ascii="Arial" w:hAnsi="Arial" w:cs="Arial"/>
          <w:sz w:val="24"/>
          <w:szCs w:val="24"/>
        </w:rPr>
        <w:t xml:space="preserve">Indeed, innovation is a key component to the development of </w:t>
      </w:r>
      <w:r w:rsidR="007B747F">
        <w:rPr>
          <w:rFonts w:ascii="Arial" w:hAnsi="Arial" w:cs="Arial"/>
          <w:sz w:val="24"/>
          <w:szCs w:val="24"/>
        </w:rPr>
        <w:t>TOU</w:t>
      </w:r>
      <w:r>
        <w:rPr>
          <w:rFonts w:ascii="Arial" w:hAnsi="Arial" w:cs="Arial"/>
          <w:sz w:val="24"/>
          <w:szCs w:val="24"/>
        </w:rPr>
        <w:t xml:space="preserve"> pricing </w:t>
      </w:r>
      <w:r w:rsidR="007B747F">
        <w:rPr>
          <w:rFonts w:ascii="Arial" w:hAnsi="Arial" w:cs="Arial"/>
          <w:sz w:val="24"/>
          <w:szCs w:val="24"/>
        </w:rPr>
        <w:t xml:space="preserve">but </w:t>
      </w:r>
      <w:r>
        <w:rPr>
          <w:rFonts w:ascii="Arial" w:hAnsi="Arial" w:cs="Arial"/>
          <w:sz w:val="24"/>
          <w:szCs w:val="24"/>
        </w:rPr>
        <w:t xml:space="preserve">as recognized in </w:t>
      </w:r>
      <w:r w:rsidRPr="006B590A">
        <w:rPr>
          <w:rFonts w:ascii="Arial" w:hAnsi="Arial" w:cs="Arial"/>
          <w:sz w:val="24"/>
          <w:szCs w:val="24"/>
        </w:rPr>
        <w:t>R.C. 4928.02(D)</w:t>
      </w:r>
      <w:r w:rsidR="007B747F">
        <w:rPr>
          <w:rFonts w:ascii="Arial" w:hAnsi="Arial" w:cs="Arial"/>
          <w:sz w:val="24"/>
          <w:szCs w:val="24"/>
        </w:rPr>
        <w:t>, innovation should be promoted through “market access” and not through the regulated utility</w:t>
      </w:r>
      <w:r>
        <w:rPr>
          <w:rFonts w:ascii="Arial" w:hAnsi="Arial" w:cs="Arial"/>
          <w:sz w:val="24"/>
          <w:szCs w:val="24"/>
        </w:rPr>
        <w:t xml:space="preserve">.  </w:t>
      </w:r>
      <w:r w:rsidR="007B747F">
        <w:rPr>
          <w:rFonts w:ascii="Arial" w:hAnsi="Arial" w:cs="Arial"/>
          <w:sz w:val="24"/>
          <w:szCs w:val="24"/>
        </w:rPr>
        <w:t>This is because i</w:t>
      </w:r>
      <w:r>
        <w:rPr>
          <w:rFonts w:ascii="Arial" w:hAnsi="Arial" w:cs="Arial"/>
          <w:sz w:val="24"/>
          <w:szCs w:val="24"/>
        </w:rPr>
        <w:t xml:space="preserve">nnovation is restricted when the distribution utility </w:t>
      </w:r>
      <w:r w:rsidR="003552AA">
        <w:rPr>
          <w:rFonts w:ascii="Arial" w:hAnsi="Arial" w:cs="Arial"/>
          <w:sz w:val="24"/>
          <w:szCs w:val="24"/>
        </w:rPr>
        <w:t>receives</w:t>
      </w:r>
      <w:r>
        <w:rPr>
          <w:rFonts w:ascii="Arial" w:hAnsi="Arial" w:cs="Arial"/>
          <w:sz w:val="24"/>
          <w:szCs w:val="24"/>
        </w:rPr>
        <w:t xml:space="preserve"> cost recovery of a generation related product through distribution rates, and other competitive products do not get this same advantage.  </w:t>
      </w:r>
      <w:r w:rsidR="003552AA">
        <w:rPr>
          <w:rFonts w:ascii="Arial" w:hAnsi="Arial" w:cs="Arial"/>
          <w:sz w:val="24"/>
          <w:szCs w:val="24"/>
        </w:rPr>
        <w:t xml:space="preserve">Currently the resources to develop and support TOU products for AEP are recovered through distribution rates, even though TOU rates are </w:t>
      </w:r>
      <w:r w:rsidR="00C738C5">
        <w:rPr>
          <w:rFonts w:ascii="Arial" w:hAnsi="Arial" w:cs="Arial"/>
          <w:sz w:val="24"/>
          <w:szCs w:val="24"/>
        </w:rPr>
        <w:t xml:space="preserve">a generation </w:t>
      </w:r>
      <w:r w:rsidR="003552AA">
        <w:rPr>
          <w:rFonts w:ascii="Arial" w:hAnsi="Arial" w:cs="Arial"/>
          <w:sz w:val="24"/>
          <w:szCs w:val="24"/>
        </w:rPr>
        <w:t>service.</w:t>
      </w:r>
    </w:p>
    <w:p w14:paraId="766DABEB" w14:textId="26923DCF" w:rsidR="003552AA" w:rsidRDefault="0097306C" w:rsidP="006B590A">
      <w:pPr>
        <w:spacing w:line="480" w:lineRule="auto"/>
        <w:ind w:firstLine="720"/>
        <w:rPr>
          <w:rFonts w:ascii="Arial" w:hAnsi="Arial" w:cs="Arial"/>
          <w:sz w:val="24"/>
          <w:szCs w:val="24"/>
        </w:rPr>
      </w:pPr>
      <w:r>
        <w:rPr>
          <w:rFonts w:ascii="Arial" w:hAnsi="Arial" w:cs="Arial"/>
          <w:sz w:val="24"/>
          <w:szCs w:val="24"/>
        </w:rPr>
        <w:t>Further, rather than requiring</w:t>
      </w:r>
      <w:r w:rsidR="003552AA">
        <w:rPr>
          <w:rFonts w:ascii="Arial" w:hAnsi="Arial" w:cs="Arial"/>
          <w:sz w:val="24"/>
          <w:szCs w:val="24"/>
        </w:rPr>
        <w:t xml:space="preserve"> </w:t>
      </w:r>
      <w:r>
        <w:rPr>
          <w:rFonts w:ascii="Arial" w:hAnsi="Arial" w:cs="Arial"/>
          <w:sz w:val="24"/>
          <w:szCs w:val="24"/>
        </w:rPr>
        <w:t>AEP</w:t>
      </w:r>
      <w:r w:rsidR="003552AA">
        <w:rPr>
          <w:rFonts w:ascii="Arial" w:hAnsi="Arial" w:cs="Arial"/>
          <w:sz w:val="24"/>
          <w:szCs w:val="24"/>
        </w:rPr>
        <w:t xml:space="preserve"> to offer a TOU product </w:t>
      </w:r>
      <w:r>
        <w:rPr>
          <w:rFonts w:ascii="Arial" w:hAnsi="Arial" w:cs="Arial"/>
          <w:sz w:val="24"/>
          <w:szCs w:val="24"/>
        </w:rPr>
        <w:t>when AEP is clearly</w:t>
      </w:r>
      <w:r w:rsidR="003552AA">
        <w:rPr>
          <w:rFonts w:ascii="Arial" w:hAnsi="Arial" w:cs="Arial"/>
          <w:sz w:val="24"/>
          <w:szCs w:val="24"/>
        </w:rPr>
        <w:t xml:space="preserve"> not interested in </w:t>
      </w:r>
      <w:r>
        <w:rPr>
          <w:rFonts w:ascii="Arial" w:hAnsi="Arial" w:cs="Arial"/>
          <w:sz w:val="24"/>
          <w:szCs w:val="24"/>
        </w:rPr>
        <w:t>doing so,</w:t>
      </w:r>
      <w:r w:rsidR="003552AA">
        <w:rPr>
          <w:rFonts w:ascii="Arial" w:hAnsi="Arial" w:cs="Arial"/>
          <w:sz w:val="24"/>
          <w:szCs w:val="24"/>
        </w:rPr>
        <w:t xml:space="preserve"> the Commi</w:t>
      </w:r>
      <w:r>
        <w:rPr>
          <w:rFonts w:ascii="Arial" w:hAnsi="Arial" w:cs="Arial"/>
          <w:sz w:val="24"/>
          <w:szCs w:val="24"/>
        </w:rPr>
        <w:t>ssion should find means to enable CRES providers to offer these products</w:t>
      </w:r>
      <w:r w:rsidR="003552AA">
        <w:rPr>
          <w:rFonts w:ascii="Arial" w:hAnsi="Arial" w:cs="Arial"/>
          <w:sz w:val="24"/>
          <w:szCs w:val="24"/>
        </w:rPr>
        <w:t xml:space="preserve">.  </w:t>
      </w:r>
      <w:r w:rsidR="009748AD">
        <w:rPr>
          <w:rFonts w:ascii="Arial" w:hAnsi="Arial" w:cs="Arial"/>
          <w:sz w:val="24"/>
          <w:szCs w:val="24"/>
        </w:rPr>
        <w:t>ELPC and the Ohio Environment Council (“OEC”) claim</w:t>
      </w:r>
      <w:r w:rsidR="003552AA">
        <w:rPr>
          <w:rFonts w:ascii="Arial" w:hAnsi="Arial" w:cs="Arial"/>
          <w:sz w:val="24"/>
          <w:szCs w:val="24"/>
        </w:rPr>
        <w:t xml:space="preserve"> that not a single CRES provider is currently offering TOU rates to customers in the AEP service territory.</w:t>
      </w:r>
      <w:r w:rsidR="003552AA">
        <w:rPr>
          <w:rStyle w:val="FootnoteReference"/>
          <w:rFonts w:ascii="Arial" w:hAnsi="Arial" w:cs="Arial"/>
          <w:sz w:val="24"/>
          <w:szCs w:val="24"/>
        </w:rPr>
        <w:footnoteReference w:id="22"/>
      </w:r>
      <w:r w:rsidR="003552AA">
        <w:rPr>
          <w:rFonts w:ascii="Arial" w:hAnsi="Arial" w:cs="Arial"/>
          <w:sz w:val="24"/>
          <w:szCs w:val="24"/>
        </w:rPr>
        <w:t xml:space="preserve">  </w:t>
      </w:r>
      <w:r>
        <w:rPr>
          <w:rFonts w:ascii="Arial" w:hAnsi="Arial" w:cs="Arial"/>
          <w:sz w:val="24"/>
          <w:szCs w:val="24"/>
        </w:rPr>
        <w:t>However, t</w:t>
      </w:r>
      <w:r w:rsidR="003552AA">
        <w:rPr>
          <w:rFonts w:ascii="Arial" w:hAnsi="Arial" w:cs="Arial"/>
          <w:sz w:val="24"/>
          <w:szCs w:val="24"/>
        </w:rPr>
        <w:t>his is because currently</w:t>
      </w:r>
      <w:r>
        <w:rPr>
          <w:rFonts w:ascii="Arial" w:hAnsi="Arial" w:cs="Arial"/>
          <w:sz w:val="24"/>
          <w:szCs w:val="24"/>
        </w:rPr>
        <w:t xml:space="preserve"> CRES suppliers do not have</w:t>
      </w:r>
      <w:r w:rsidR="003552AA">
        <w:rPr>
          <w:rFonts w:ascii="Arial" w:hAnsi="Arial" w:cs="Arial"/>
          <w:sz w:val="24"/>
          <w:szCs w:val="24"/>
        </w:rPr>
        <w:t xml:space="preserve"> access to customer data that</w:t>
      </w:r>
      <w:r>
        <w:rPr>
          <w:rFonts w:ascii="Arial" w:hAnsi="Arial" w:cs="Arial"/>
          <w:sz w:val="24"/>
          <w:szCs w:val="24"/>
        </w:rPr>
        <w:t xml:space="preserve"> is required to offer </w:t>
      </w:r>
      <w:r w:rsidR="003552AA">
        <w:rPr>
          <w:rFonts w:ascii="Arial" w:hAnsi="Arial" w:cs="Arial"/>
          <w:sz w:val="24"/>
          <w:szCs w:val="24"/>
        </w:rPr>
        <w:t>TOU products.  In other markets where CRES providers do have access to this data (such as Texas) CRES providers are offering TOU products to customers.</w:t>
      </w:r>
    </w:p>
    <w:p w14:paraId="150C4086" w14:textId="3B8011EA" w:rsidR="00922053" w:rsidRDefault="009748AD" w:rsidP="006B590A">
      <w:pPr>
        <w:spacing w:line="480" w:lineRule="auto"/>
        <w:ind w:firstLine="720"/>
        <w:rPr>
          <w:rFonts w:ascii="Arial" w:hAnsi="Arial" w:cs="Arial"/>
          <w:sz w:val="24"/>
          <w:szCs w:val="24"/>
        </w:rPr>
      </w:pPr>
      <w:r>
        <w:rPr>
          <w:rFonts w:ascii="Arial" w:hAnsi="Arial" w:cs="Arial"/>
          <w:sz w:val="24"/>
          <w:szCs w:val="24"/>
        </w:rPr>
        <w:t>IGS does, however, agree with OEC that the AEP GridSmart rider should be approved.</w:t>
      </w:r>
      <w:r>
        <w:rPr>
          <w:rStyle w:val="FootnoteReference"/>
          <w:rFonts w:ascii="Arial" w:hAnsi="Arial" w:cs="Arial"/>
          <w:sz w:val="24"/>
          <w:szCs w:val="24"/>
        </w:rPr>
        <w:footnoteReference w:id="23"/>
      </w:r>
      <w:r>
        <w:rPr>
          <w:rFonts w:ascii="Arial" w:hAnsi="Arial" w:cs="Arial"/>
          <w:sz w:val="24"/>
          <w:szCs w:val="24"/>
        </w:rPr>
        <w:t xml:space="preserve">  The full deployment of smart meters in the AEP service territory will be key for the widespread offering of TOU products </w:t>
      </w:r>
      <w:r w:rsidR="00C738C5">
        <w:rPr>
          <w:rFonts w:ascii="Arial" w:hAnsi="Arial" w:cs="Arial"/>
          <w:sz w:val="24"/>
          <w:szCs w:val="24"/>
        </w:rPr>
        <w:t>to customers.</w:t>
      </w:r>
    </w:p>
    <w:p w14:paraId="38CD3058" w14:textId="4AEA6721" w:rsidR="00922053" w:rsidRPr="00922053" w:rsidRDefault="00922053" w:rsidP="00922053">
      <w:pPr>
        <w:pStyle w:val="ListParagraph"/>
        <w:numPr>
          <w:ilvl w:val="0"/>
          <w:numId w:val="22"/>
        </w:numPr>
        <w:spacing w:line="240" w:lineRule="auto"/>
        <w:rPr>
          <w:rFonts w:ascii="Arial" w:hAnsi="Arial" w:cs="Arial"/>
          <w:b/>
          <w:sz w:val="24"/>
          <w:szCs w:val="24"/>
        </w:rPr>
      </w:pPr>
      <w:r w:rsidRPr="00922053">
        <w:rPr>
          <w:rFonts w:ascii="Arial" w:hAnsi="Arial" w:cs="Arial"/>
          <w:b/>
          <w:sz w:val="24"/>
          <w:szCs w:val="24"/>
        </w:rPr>
        <w:lastRenderedPageBreak/>
        <w:t>The Commission Should Adopt RESA’s Market Entry Program and the Instant Connect Proposal Advocated by RESA.</w:t>
      </w:r>
    </w:p>
    <w:p w14:paraId="132208C3" w14:textId="0B8E2FF5" w:rsidR="00922053" w:rsidRDefault="00C738C5" w:rsidP="00922053">
      <w:pPr>
        <w:spacing w:line="480" w:lineRule="auto"/>
        <w:ind w:firstLine="720"/>
        <w:rPr>
          <w:rFonts w:ascii="Arial" w:hAnsi="Arial" w:cs="Arial"/>
          <w:sz w:val="24"/>
          <w:szCs w:val="24"/>
        </w:rPr>
      </w:pPr>
      <w:r>
        <w:rPr>
          <w:rFonts w:ascii="Arial" w:hAnsi="Arial" w:cs="Arial"/>
          <w:sz w:val="24"/>
          <w:szCs w:val="24"/>
        </w:rPr>
        <w:t>I</w:t>
      </w:r>
      <w:r w:rsidR="00922053">
        <w:rPr>
          <w:rFonts w:ascii="Arial" w:hAnsi="Arial" w:cs="Arial"/>
          <w:sz w:val="24"/>
          <w:szCs w:val="24"/>
        </w:rPr>
        <w:t xml:space="preserve">n this proceeding RESA proposed that the Commission adopt a referral program (“MEP Program”) that would </w:t>
      </w:r>
      <w:r>
        <w:rPr>
          <w:rFonts w:ascii="Arial" w:hAnsi="Arial" w:cs="Arial"/>
          <w:sz w:val="24"/>
          <w:szCs w:val="24"/>
        </w:rPr>
        <w:t>offer customers that initially</w:t>
      </w:r>
      <w:r w:rsidR="00922053">
        <w:rPr>
          <w:rFonts w:ascii="Arial" w:hAnsi="Arial" w:cs="Arial"/>
          <w:sz w:val="24"/>
          <w:szCs w:val="24"/>
        </w:rPr>
        <w:t xml:space="preserve"> </w:t>
      </w:r>
      <w:r>
        <w:rPr>
          <w:rFonts w:ascii="Arial" w:hAnsi="Arial" w:cs="Arial"/>
          <w:sz w:val="24"/>
          <w:szCs w:val="24"/>
        </w:rPr>
        <w:t>enrol</w:t>
      </w:r>
      <w:r w:rsidR="006435B4">
        <w:rPr>
          <w:rFonts w:ascii="Arial" w:hAnsi="Arial" w:cs="Arial"/>
          <w:sz w:val="24"/>
          <w:szCs w:val="24"/>
        </w:rPr>
        <w:t>l</w:t>
      </w:r>
      <w:r w:rsidR="00922053">
        <w:rPr>
          <w:rFonts w:ascii="Arial" w:hAnsi="Arial" w:cs="Arial"/>
          <w:sz w:val="24"/>
          <w:szCs w:val="24"/>
        </w:rPr>
        <w:t xml:space="preserve"> in AEP distribution service the ability to enroll in a CRES product at a </w:t>
      </w:r>
      <w:r w:rsidR="00F0740D">
        <w:rPr>
          <w:rFonts w:ascii="Arial" w:hAnsi="Arial" w:cs="Arial"/>
          <w:sz w:val="24"/>
          <w:szCs w:val="24"/>
        </w:rPr>
        <w:t xml:space="preserve">3% </w:t>
      </w:r>
      <w:r w:rsidR="00922053">
        <w:rPr>
          <w:rFonts w:ascii="Arial" w:hAnsi="Arial" w:cs="Arial"/>
          <w:sz w:val="24"/>
          <w:szCs w:val="24"/>
        </w:rPr>
        <w:t>percentage</w:t>
      </w:r>
      <w:r>
        <w:rPr>
          <w:rFonts w:ascii="Arial" w:hAnsi="Arial" w:cs="Arial"/>
          <w:sz w:val="24"/>
          <w:szCs w:val="24"/>
        </w:rPr>
        <w:t xml:space="preserve"> discount</w:t>
      </w:r>
      <w:r w:rsidR="00922053">
        <w:rPr>
          <w:rFonts w:ascii="Arial" w:hAnsi="Arial" w:cs="Arial"/>
          <w:sz w:val="24"/>
          <w:szCs w:val="24"/>
        </w:rPr>
        <w:t xml:space="preserve"> </w:t>
      </w:r>
      <w:r w:rsidR="00F0740D">
        <w:rPr>
          <w:rFonts w:ascii="Arial" w:hAnsi="Arial" w:cs="Arial"/>
          <w:sz w:val="24"/>
          <w:szCs w:val="24"/>
        </w:rPr>
        <w:t>to</w:t>
      </w:r>
      <w:r w:rsidR="00922053">
        <w:rPr>
          <w:rFonts w:ascii="Arial" w:hAnsi="Arial" w:cs="Arial"/>
          <w:sz w:val="24"/>
          <w:szCs w:val="24"/>
        </w:rPr>
        <w:t xml:space="preserve"> the SSO</w:t>
      </w:r>
      <w:r w:rsidR="00F0740D">
        <w:rPr>
          <w:rFonts w:ascii="Arial" w:hAnsi="Arial" w:cs="Arial"/>
          <w:sz w:val="24"/>
          <w:szCs w:val="24"/>
        </w:rPr>
        <w:t xml:space="preserve"> price</w:t>
      </w:r>
      <w:r w:rsidR="00E92599">
        <w:rPr>
          <w:rFonts w:ascii="Arial" w:hAnsi="Arial" w:cs="Arial"/>
          <w:sz w:val="24"/>
          <w:szCs w:val="24"/>
        </w:rPr>
        <w:t>.</w:t>
      </w:r>
      <w:r w:rsidR="00E92599">
        <w:rPr>
          <w:rStyle w:val="FootnoteReference"/>
          <w:rFonts w:ascii="Arial" w:hAnsi="Arial" w:cs="Arial"/>
          <w:sz w:val="24"/>
          <w:szCs w:val="24"/>
        </w:rPr>
        <w:footnoteReference w:id="24"/>
      </w:r>
      <w:r w:rsidR="00E92599">
        <w:rPr>
          <w:rFonts w:ascii="Arial" w:hAnsi="Arial" w:cs="Arial"/>
          <w:sz w:val="24"/>
          <w:szCs w:val="24"/>
        </w:rPr>
        <w:t xml:space="preserve">  Further, RESA supported in its initial brief an instant connect proposal</w:t>
      </w:r>
      <w:r>
        <w:rPr>
          <w:rFonts w:ascii="Arial" w:hAnsi="Arial" w:cs="Arial"/>
          <w:sz w:val="24"/>
          <w:szCs w:val="24"/>
        </w:rPr>
        <w:t xml:space="preserve"> (a/k/a the “Instant Connect Proposal”) </w:t>
      </w:r>
      <w:r w:rsidR="00E92599">
        <w:rPr>
          <w:rFonts w:ascii="Arial" w:hAnsi="Arial" w:cs="Arial"/>
          <w:sz w:val="24"/>
          <w:szCs w:val="24"/>
        </w:rPr>
        <w:t xml:space="preserve">initially proposed by IGS that would allow customers to enroll with a CRES upon </w:t>
      </w:r>
      <w:r w:rsidR="00D80015">
        <w:rPr>
          <w:rFonts w:ascii="Arial" w:hAnsi="Arial" w:cs="Arial"/>
          <w:sz w:val="24"/>
          <w:szCs w:val="24"/>
        </w:rPr>
        <w:t>institution of</w:t>
      </w:r>
      <w:r w:rsidR="00E92599">
        <w:rPr>
          <w:rFonts w:ascii="Arial" w:hAnsi="Arial" w:cs="Arial"/>
          <w:sz w:val="24"/>
          <w:szCs w:val="24"/>
        </w:rPr>
        <w:t xml:space="preserve"> service with AEP and not require all customers to enroll on the SSO.</w:t>
      </w:r>
      <w:r w:rsidR="00E92599">
        <w:rPr>
          <w:rStyle w:val="FootnoteReference"/>
          <w:rFonts w:ascii="Arial" w:hAnsi="Arial" w:cs="Arial"/>
          <w:sz w:val="24"/>
          <w:szCs w:val="24"/>
        </w:rPr>
        <w:footnoteReference w:id="25"/>
      </w:r>
      <w:r w:rsidR="00E92599">
        <w:rPr>
          <w:rFonts w:ascii="Arial" w:hAnsi="Arial" w:cs="Arial"/>
          <w:sz w:val="24"/>
          <w:szCs w:val="24"/>
        </w:rPr>
        <w:t xml:space="preserve">  Both of these proposals are reasonable and should be adopted by the Commission.</w:t>
      </w:r>
    </w:p>
    <w:p w14:paraId="3977FFEF" w14:textId="52409FB9" w:rsidR="00B83981" w:rsidRDefault="00E92599" w:rsidP="00B83981">
      <w:pPr>
        <w:spacing w:line="480" w:lineRule="auto"/>
        <w:ind w:firstLine="720"/>
        <w:rPr>
          <w:rFonts w:ascii="Arial" w:hAnsi="Arial" w:cs="Arial"/>
          <w:sz w:val="24"/>
          <w:szCs w:val="24"/>
        </w:rPr>
      </w:pPr>
      <w:r>
        <w:rPr>
          <w:rFonts w:ascii="Arial" w:hAnsi="Arial" w:cs="Arial"/>
          <w:sz w:val="24"/>
          <w:szCs w:val="24"/>
        </w:rPr>
        <w:t>In its initial brief OCC</w:t>
      </w:r>
      <w:r w:rsidR="00C738C5">
        <w:rPr>
          <w:rFonts w:ascii="Arial" w:hAnsi="Arial" w:cs="Arial"/>
          <w:sz w:val="24"/>
          <w:szCs w:val="24"/>
        </w:rPr>
        <w:t xml:space="preserve"> claims that the MEP</w:t>
      </w:r>
      <w:r w:rsidR="00A850DB">
        <w:rPr>
          <w:rFonts w:ascii="Arial" w:hAnsi="Arial" w:cs="Arial"/>
          <w:sz w:val="24"/>
          <w:szCs w:val="24"/>
        </w:rPr>
        <w:t xml:space="preserve"> proposal</w:t>
      </w:r>
      <w:r w:rsidR="00C738C5">
        <w:rPr>
          <w:rFonts w:ascii="Arial" w:hAnsi="Arial" w:cs="Arial"/>
          <w:sz w:val="24"/>
          <w:szCs w:val="24"/>
        </w:rPr>
        <w:t xml:space="preserve"> should be </w:t>
      </w:r>
      <w:r w:rsidR="00A850DB">
        <w:rPr>
          <w:rFonts w:ascii="Arial" w:hAnsi="Arial" w:cs="Arial"/>
          <w:sz w:val="24"/>
          <w:szCs w:val="24"/>
        </w:rPr>
        <w:t>rejected</w:t>
      </w:r>
      <w:r w:rsidR="00C738C5">
        <w:rPr>
          <w:rFonts w:ascii="Arial" w:hAnsi="Arial" w:cs="Arial"/>
          <w:sz w:val="24"/>
          <w:szCs w:val="24"/>
        </w:rPr>
        <w:t xml:space="preserve"> becaus</w:t>
      </w:r>
      <w:r w:rsidR="00A850DB">
        <w:rPr>
          <w:rFonts w:ascii="Arial" w:hAnsi="Arial" w:cs="Arial"/>
          <w:sz w:val="24"/>
          <w:szCs w:val="24"/>
        </w:rPr>
        <w:t xml:space="preserve">e it lacks detail </w:t>
      </w:r>
      <w:r w:rsidR="00C738C5">
        <w:rPr>
          <w:rFonts w:ascii="Arial" w:hAnsi="Arial" w:cs="Arial"/>
          <w:sz w:val="24"/>
          <w:szCs w:val="24"/>
        </w:rPr>
        <w:t>about how the MEP will be implemented.</w:t>
      </w:r>
      <w:r w:rsidR="00A850DB">
        <w:rPr>
          <w:rStyle w:val="FootnoteReference"/>
          <w:rFonts w:ascii="Arial" w:hAnsi="Arial" w:cs="Arial"/>
          <w:sz w:val="24"/>
          <w:szCs w:val="24"/>
        </w:rPr>
        <w:footnoteReference w:id="26"/>
      </w:r>
      <w:r w:rsidR="00C738C5">
        <w:rPr>
          <w:rFonts w:ascii="Arial" w:hAnsi="Arial" w:cs="Arial"/>
          <w:sz w:val="24"/>
          <w:szCs w:val="24"/>
        </w:rPr>
        <w:t xml:space="preserve">  </w:t>
      </w:r>
      <w:r w:rsidR="00A850DB">
        <w:rPr>
          <w:rFonts w:ascii="Arial" w:hAnsi="Arial" w:cs="Arial"/>
          <w:sz w:val="24"/>
          <w:szCs w:val="24"/>
        </w:rPr>
        <w:t>However,</w:t>
      </w:r>
      <w:r w:rsidR="00B83981">
        <w:rPr>
          <w:rFonts w:ascii="Arial" w:hAnsi="Arial" w:cs="Arial"/>
          <w:sz w:val="24"/>
          <w:szCs w:val="24"/>
        </w:rPr>
        <w:t xml:space="preserve"> </w:t>
      </w:r>
      <w:r w:rsidR="00A850DB">
        <w:rPr>
          <w:rFonts w:ascii="Arial" w:hAnsi="Arial" w:cs="Arial"/>
          <w:sz w:val="24"/>
          <w:szCs w:val="24"/>
        </w:rPr>
        <w:t>in its testimony</w:t>
      </w:r>
      <w:r w:rsidR="007B747F">
        <w:rPr>
          <w:rFonts w:ascii="Arial" w:hAnsi="Arial" w:cs="Arial"/>
          <w:sz w:val="24"/>
          <w:szCs w:val="24"/>
        </w:rPr>
        <w:t>,</w:t>
      </w:r>
      <w:r w:rsidR="00A850DB">
        <w:rPr>
          <w:rFonts w:ascii="Arial" w:hAnsi="Arial" w:cs="Arial"/>
          <w:sz w:val="24"/>
          <w:szCs w:val="24"/>
        </w:rPr>
        <w:t xml:space="preserve"> </w:t>
      </w:r>
      <w:r w:rsidR="00B83981">
        <w:rPr>
          <w:rFonts w:ascii="Arial" w:hAnsi="Arial" w:cs="Arial"/>
          <w:sz w:val="24"/>
          <w:szCs w:val="24"/>
        </w:rPr>
        <w:t>RESA propos</w:t>
      </w:r>
      <w:r w:rsidR="00A850DB">
        <w:rPr>
          <w:rFonts w:ascii="Arial" w:hAnsi="Arial" w:cs="Arial"/>
          <w:sz w:val="24"/>
          <w:szCs w:val="24"/>
        </w:rPr>
        <w:t>ed</w:t>
      </w:r>
      <w:r w:rsidR="00B83981">
        <w:rPr>
          <w:rFonts w:ascii="Arial" w:hAnsi="Arial" w:cs="Arial"/>
          <w:sz w:val="24"/>
          <w:szCs w:val="24"/>
        </w:rPr>
        <w:t xml:space="preserve"> to start a working group to </w:t>
      </w:r>
      <w:r w:rsidR="00A850DB">
        <w:rPr>
          <w:rFonts w:ascii="Arial" w:hAnsi="Arial" w:cs="Arial"/>
          <w:sz w:val="24"/>
          <w:szCs w:val="24"/>
        </w:rPr>
        <w:t>develop</w:t>
      </w:r>
      <w:r w:rsidR="00B83981">
        <w:rPr>
          <w:rFonts w:ascii="Arial" w:hAnsi="Arial" w:cs="Arial"/>
          <w:sz w:val="24"/>
          <w:szCs w:val="24"/>
        </w:rPr>
        <w:t xml:space="preserve"> further detail </w:t>
      </w:r>
      <w:r w:rsidR="00A850DB">
        <w:rPr>
          <w:rFonts w:ascii="Arial" w:hAnsi="Arial" w:cs="Arial"/>
          <w:sz w:val="24"/>
          <w:szCs w:val="24"/>
        </w:rPr>
        <w:t xml:space="preserve">on how the </w:t>
      </w:r>
      <w:r w:rsidR="00B83981">
        <w:rPr>
          <w:rFonts w:ascii="Arial" w:hAnsi="Arial" w:cs="Arial"/>
          <w:sz w:val="24"/>
          <w:szCs w:val="24"/>
        </w:rPr>
        <w:t xml:space="preserve">MEP Program would </w:t>
      </w:r>
      <w:r w:rsidR="00A850DB">
        <w:rPr>
          <w:rFonts w:ascii="Arial" w:hAnsi="Arial" w:cs="Arial"/>
          <w:sz w:val="24"/>
          <w:szCs w:val="24"/>
        </w:rPr>
        <w:t xml:space="preserve">be implemented once the </w:t>
      </w:r>
      <w:r w:rsidR="00B83981">
        <w:rPr>
          <w:rFonts w:ascii="Arial" w:hAnsi="Arial" w:cs="Arial"/>
          <w:sz w:val="24"/>
          <w:szCs w:val="24"/>
        </w:rPr>
        <w:t xml:space="preserve">Commission approves the basic concept of </w:t>
      </w:r>
      <w:r w:rsidR="00D80015">
        <w:rPr>
          <w:rFonts w:ascii="Arial" w:hAnsi="Arial" w:cs="Arial"/>
          <w:sz w:val="24"/>
          <w:szCs w:val="24"/>
        </w:rPr>
        <w:t xml:space="preserve">an </w:t>
      </w:r>
      <w:r w:rsidR="00A850DB">
        <w:rPr>
          <w:rFonts w:ascii="Arial" w:hAnsi="Arial" w:cs="Arial"/>
          <w:sz w:val="24"/>
          <w:szCs w:val="24"/>
        </w:rPr>
        <w:t>MEP program.</w:t>
      </w:r>
      <w:r w:rsidR="00B83981">
        <w:rPr>
          <w:rFonts w:ascii="Arial" w:hAnsi="Arial" w:cs="Arial"/>
          <w:sz w:val="24"/>
          <w:szCs w:val="24"/>
        </w:rPr>
        <w:t xml:space="preserve">  Like all working groups, </w:t>
      </w:r>
      <w:r w:rsidR="00A850DB">
        <w:rPr>
          <w:rFonts w:ascii="Arial" w:hAnsi="Arial" w:cs="Arial"/>
          <w:sz w:val="24"/>
          <w:szCs w:val="24"/>
        </w:rPr>
        <w:t xml:space="preserve">interested parties would work together to develop the details of the MEP program and </w:t>
      </w:r>
      <w:r w:rsidR="00B83981">
        <w:rPr>
          <w:rFonts w:ascii="Arial" w:hAnsi="Arial" w:cs="Arial"/>
          <w:sz w:val="24"/>
          <w:szCs w:val="24"/>
        </w:rPr>
        <w:t xml:space="preserve">the MEP working group would </w:t>
      </w:r>
      <w:r w:rsidR="00A850DB">
        <w:rPr>
          <w:rFonts w:ascii="Arial" w:hAnsi="Arial" w:cs="Arial"/>
          <w:sz w:val="24"/>
          <w:szCs w:val="24"/>
        </w:rPr>
        <w:t xml:space="preserve">then </w:t>
      </w:r>
      <w:r w:rsidR="00B83981">
        <w:rPr>
          <w:rFonts w:ascii="Arial" w:hAnsi="Arial" w:cs="Arial"/>
          <w:sz w:val="24"/>
          <w:szCs w:val="24"/>
        </w:rPr>
        <w:t>submit a proposal to the Commission regarding the implementation of the MEP</w:t>
      </w:r>
      <w:r w:rsidR="00A850DB">
        <w:rPr>
          <w:rFonts w:ascii="Arial" w:hAnsi="Arial" w:cs="Arial"/>
          <w:sz w:val="24"/>
          <w:szCs w:val="24"/>
        </w:rPr>
        <w:t>.  Ultimately</w:t>
      </w:r>
      <w:r w:rsidR="00B83981">
        <w:rPr>
          <w:rFonts w:ascii="Arial" w:hAnsi="Arial" w:cs="Arial"/>
          <w:sz w:val="24"/>
          <w:szCs w:val="24"/>
        </w:rPr>
        <w:t xml:space="preserve"> </w:t>
      </w:r>
      <w:r w:rsidR="00A850DB">
        <w:rPr>
          <w:rFonts w:ascii="Arial" w:hAnsi="Arial" w:cs="Arial"/>
          <w:sz w:val="24"/>
          <w:szCs w:val="24"/>
        </w:rPr>
        <w:t xml:space="preserve">the Commission would have the final </w:t>
      </w:r>
      <w:r w:rsidR="00B83981">
        <w:rPr>
          <w:rFonts w:ascii="Arial" w:hAnsi="Arial" w:cs="Arial"/>
          <w:sz w:val="24"/>
          <w:szCs w:val="24"/>
        </w:rPr>
        <w:t xml:space="preserve">authority to approve, </w:t>
      </w:r>
      <w:r w:rsidR="00D80015">
        <w:rPr>
          <w:rFonts w:ascii="Arial" w:hAnsi="Arial" w:cs="Arial"/>
          <w:sz w:val="24"/>
          <w:szCs w:val="24"/>
        </w:rPr>
        <w:t xml:space="preserve">reject </w:t>
      </w:r>
      <w:r w:rsidR="00B83981">
        <w:rPr>
          <w:rFonts w:ascii="Arial" w:hAnsi="Arial" w:cs="Arial"/>
          <w:sz w:val="24"/>
          <w:szCs w:val="24"/>
        </w:rPr>
        <w:t>or modify the plan.  Further,</w:t>
      </w:r>
      <w:r w:rsidR="00A850DB">
        <w:rPr>
          <w:rFonts w:ascii="Arial" w:hAnsi="Arial" w:cs="Arial"/>
          <w:sz w:val="24"/>
          <w:szCs w:val="24"/>
        </w:rPr>
        <w:t xml:space="preserve"> OCC would have an opportunity to participate in the working group, and</w:t>
      </w:r>
      <w:r w:rsidR="00B83981">
        <w:rPr>
          <w:rFonts w:ascii="Arial" w:hAnsi="Arial" w:cs="Arial"/>
          <w:sz w:val="24"/>
          <w:szCs w:val="24"/>
        </w:rPr>
        <w:t xml:space="preserve"> if OCC disagreed with any of the details of the MEP Program</w:t>
      </w:r>
      <w:r w:rsidR="00A850DB">
        <w:rPr>
          <w:rFonts w:ascii="Arial" w:hAnsi="Arial" w:cs="Arial"/>
          <w:sz w:val="24"/>
          <w:szCs w:val="24"/>
        </w:rPr>
        <w:t>,</w:t>
      </w:r>
      <w:r w:rsidR="00B83981">
        <w:rPr>
          <w:rFonts w:ascii="Arial" w:hAnsi="Arial" w:cs="Arial"/>
          <w:sz w:val="24"/>
          <w:szCs w:val="24"/>
        </w:rPr>
        <w:t xml:space="preserve"> OCC would have an opportunity to object in the proceeding </w:t>
      </w:r>
      <w:r w:rsidR="00A850DB">
        <w:rPr>
          <w:rFonts w:ascii="Arial" w:hAnsi="Arial" w:cs="Arial"/>
          <w:sz w:val="24"/>
          <w:szCs w:val="24"/>
        </w:rPr>
        <w:t>required in order for the</w:t>
      </w:r>
      <w:r w:rsidR="00B83981">
        <w:rPr>
          <w:rFonts w:ascii="Arial" w:hAnsi="Arial" w:cs="Arial"/>
          <w:sz w:val="24"/>
          <w:szCs w:val="24"/>
        </w:rPr>
        <w:t xml:space="preserve"> MEP </w:t>
      </w:r>
      <w:r w:rsidR="00A850DB">
        <w:rPr>
          <w:rFonts w:ascii="Arial" w:hAnsi="Arial" w:cs="Arial"/>
          <w:sz w:val="24"/>
          <w:szCs w:val="24"/>
        </w:rPr>
        <w:t>to</w:t>
      </w:r>
      <w:r w:rsidR="00B83981">
        <w:rPr>
          <w:rFonts w:ascii="Arial" w:hAnsi="Arial" w:cs="Arial"/>
          <w:sz w:val="24"/>
          <w:szCs w:val="24"/>
        </w:rPr>
        <w:t xml:space="preserve"> receive </w:t>
      </w:r>
      <w:r w:rsidR="00A850DB">
        <w:rPr>
          <w:rFonts w:ascii="Arial" w:hAnsi="Arial" w:cs="Arial"/>
          <w:sz w:val="24"/>
          <w:szCs w:val="24"/>
        </w:rPr>
        <w:t>final approval</w:t>
      </w:r>
      <w:r w:rsidR="00B83981">
        <w:rPr>
          <w:rFonts w:ascii="Arial" w:hAnsi="Arial" w:cs="Arial"/>
          <w:sz w:val="24"/>
          <w:szCs w:val="24"/>
        </w:rPr>
        <w:t xml:space="preserve">.  </w:t>
      </w:r>
    </w:p>
    <w:p w14:paraId="16410122" w14:textId="518D8A3B" w:rsidR="00E92599" w:rsidRDefault="00B83981" w:rsidP="00922053">
      <w:pPr>
        <w:spacing w:line="480" w:lineRule="auto"/>
        <w:ind w:firstLine="720"/>
        <w:rPr>
          <w:rFonts w:ascii="Arial" w:hAnsi="Arial" w:cs="Arial"/>
          <w:sz w:val="24"/>
          <w:szCs w:val="24"/>
        </w:rPr>
      </w:pPr>
      <w:r>
        <w:rPr>
          <w:rFonts w:ascii="Arial" w:hAnsi="Arial" w:cs="Arial"/>
          <w:sz w:val="24"/>
          <w:szCs w:val="24"/>
        </w:rPr>
        <w:lastRenderedPageBreak/>
        <w:t>Further, as noted in IGS’ initial brief, very successful referral programs have been establish</w:t>
      </w:r>
      <w:r w:rsidR="00D80015">
        <w:rPr>
          <w:rFonts w:ascii="Arial" w:hAnsi="Arial" w:cs="Arial"/>
          <w:sz w:val="24"/>
          <w:szCs w:val="24"/>
        </w:rPr>
        <w:t>ed</w:t>
      </w:r>
      <w:r>
        <w:rPr>
          <w:rFonts w:ascii="Arial" w:hAnsi="Arial" w:cs="Arial"/>
          <w:sz w:val="24"/>
          <w:szCs w:val="24"/>
        </w:rPr>
        <w:t xml:space="preserve"> for a number of the electric utilities in Pennsylvania.  Thus, the MEP working group would not necessarily have to start from </w:t>
      </w:r>
      <w:r w:rsidR="00F5185D">
        <w:rPr>
          <w:rFonts w:ascii="Arial" w:hAnsi="Arial" w:cs="Arial"/>
          <w:sz w:val="24"/>
          <w:szCs w:val="24"/>
        </w:rPr>
        <w:t>scratch</w:t>
      </w:r>
      <w:r>
        <w:rPr>
          <w:rFonts w:ascii="Arial" w:hAnsi="Arial" w:cs="Arial"/>
          <w:sz w:val="24"/>
          <w:szCs w:val="24"/>
        </w:rPr>
        <w:t xml:space="preserve"> </w:t>
      </w:r>
      <w:r w:rsidR="00A850DB">
        <w:rPr>
          <w:rFonts w:ascii="Arial" w:hAnsi="Arial" w:cs="Arial"/>
          <w:sz w:val="24"/>
          <w:szCs w:val="24"/>
        </w:rPr>
        <w:t>in order to develop</w:t>
      </w:r>
      <w:r>
        <w:rPr>
          <w:rFonts w:ascii="Arial" w:hAnsi="Arial" w:cs="Arial"/>
          <w:sz w:val="24"/>
          <w:szCs w:val="24"/>
        </w:rPr>
        <w:t xml:space="preserve"> the details of implementing a</w:t>
      </w:r>
      <w:r w:rsidR="00A850DB">
        <w:rPr>
          <w:rFonts w:ascii="Arial" w:hAnsi="Arial" w:cs="Arial"/>
          <w:sz w:val="24"/>
          <w:szCs w:val="24"/>
        </w:rPr>
        <w:t xml:space="preserve"> workable</w:t>
      </w:r>
      <w:r>
        <w:rPr>
          <w:rFonts w:ascii="Arial" w:hAnsi="Arial" w:cs="Arial"/>
          <w:sz w:val="24"/>
          <w:szCs w:val="24"/>
        </w:rPr>
        <w:t xml:space="preserve"> MEP.</w:t>
      </w:r>
      <w:r w:rsidR="00A850DB">
        <w:rPr>
          <w:rFonts w:ascii="Arial" w:hAnsi="Arial" w:cs="Arial"/>
          <w:sz w:val="24"/>
          <w:szCs w:val="24"/>
        </w:rPr>
        <w:t xml:space="preserve">  </w:t>
      </w:r>
      <w:r w:rsidR="00085C13">
        <w:rPr>
          <w:rFonts w:ascii="Arial" w:hAnsi="Arial" w:cs="Arial"/>
          <w:sz w:val="24"/>
          <w:szCs w:val="24"/>
        </w:rPr>
        <w:t>Thus</w:t>
      </w:r>
      <w:r w:rsidR="00A850DB">
        <w:rPr>
          <w:rFonts w:ascii="Arial" w:hAnsi="Arial" w:cs="Arial"/>
          <w:sz w:val="24"/>
          <w:szCs w:val="24"/>
        </w:rPr>
        <w:t>, it is not a legitimate rationale to reject the conceptually sound MEP proposal simply because all the operational details have not be</w:t>
      </w:r>
      <w:r w:rsidR="00F5185D">
        <w:rPr>
          <w:rFonts w:ascii="Arial" w:hAnsi="Arial" w:cs="Arial"/>
          <w:sz w:val="24"/>
          <w:szCs w:val="24"/>
        </w:rPr>
        <w:t>en</w:t>
      </w:r>
      <w:r w:rsidR="00A850DB">
        <w:rPr>
          <w:rFonts w:ascii="Arial" w:hAnsi="Arial" w:cs="Arial"/>
          <w:sz w:val="24"/>
          <w:szCs w:val="24"/>
        </w:rPr>
        <w:t xml:space="preserve"> determined at this time. </w:t>
      </w:r>
    </w:p>
    <w:p w14:paraId="25F27F83" w14:textId="2249B949" w:rsidR="00F0740D" w:rsidRDefault="00F0740D" w:rsidP="00922053">
      <w:pPr>
        <w:spacing w:line="480" w:lineRule="auto"/>
        <w:ind w:firstLine="720"/>
        <w:rPr>
          <w:rFonts w:ascii="Arial" w:hAnsi="Arial" w:cs="Arial"/>
          <w:sz w:val="24"/>
          <w:szCs w:val="24"/>
        </w:rPr>
      </w:pPr>
      <w:r>
        <w:rPr>
          <w:rFonts w:ascii="Arial" w:hAnsi="Arial" w:cs="Arial"/>
          <w:sz w:val="24"/>
          <w:szCs w:val="24"/>
        </w:rPr>
        <w:t xml:space="preserve">OCC </w:t>
      </w:r>
      <w:r w:rsidR="00A850DB">
        <w:rPr>
          <w:rFonts w:ascii="Arial" w:hAnsi="Arial" w:cs="Arial"/>
          <w:sz w:val="24"/>
          <w:szCs w:val="24"/>
        </w:rPr>
        <w:t xml:space="preserve">also </w:t>
      </w:r>
      <w:r>
        <w:rPr>
          <w:rFonts w:ascii="Arial" w:hAnsi="Arial" w:cs="Arial"/>
          <w:sz w:val="24"/>
          <w:szCs w:val="24"/>
        </w:rPr>
        <w:t>objects to the MEP proposal because OCC is concerned that a price that offers 3% discount to the SSO may not be as low as prices offer</w:t>
      </w:r>
      <w:r w:rsidR="001658F5">
        <w:rPr>
          <w:rFonts w:ascii="Arial" w:hAnsi="Arial" w:cs="Arial"/>
          <w:sz w:val="24"/>
          <w:szCs w:val="24"/>
        </w:rPr>
        <w:t>ed</w:t>
      </w:r>
      <w:r>
        <w:rPr>
          <w:rFonts w:ascii="Arial" w:hAnsi="Arial" w:cs="Arial"/>
          <w:sz w:val="24"/>
          <w:szCs w:val="24"/>
        </w:rPr>
        <w:t xml:space="preserve"> by CRES providers on the PUCO Apples-to-Apples site.</w:t>
      </w:r>
      <w:r>
        <w:rPr>
          <w:rStyle w:val="FootnoteReference"/>
          <w:rFonts w:ascii="Arial" w:hAnsi="Arial" w:cs="Arial"/>
          <w:sz w:val="24"/>
          <w:szCs w:val="24"/>
        </w:rPr>
        <w:footnoteReference w:id="27"/>
      </w:r>
      <w:r>
        <w:rPr>
          <w:rFonts w:ascii="Arial" w:hAnsi="Arial" w:cs="Arial"/>
          <w:sz w:val="24"/>
          <w:szCs w:val="24"/>
        </w:rPr>
        <w:t xml:space="preserve">  With this claim OCC misses the point of the MEP program.  Since the MEP program is designed to enroll customers that otherwise would enroll with the SSO, </w:t>
      </w:r>
      <w:r w:rsidRPr="00F0740D">
        <w:rPr>
          <w:rFonts w:ascii="Arial" w:hAnsi="Arial" w:cs="Arial"/>
          <w:i/>
          <w:sz w:val="24"/>
          <w:szCs w:val="24"/>
        </w:rPr>
        <w:t>any discount to the SSO would be beneficial to customers</w:t>
      </w:r>
      <w:r w:rsidR="001658F5">
        <w:rPr>
          <w:rFonts w:ascii="Arial" w:hAnsi="Arial" w:cs="Arial"/>
          <w:sz w:val="24"/>
          <w:szCs w:val="24"/>
        </w:rPr>
        <w:t>. It does not matter that CRES providers may be offering an even lower price, because simply switching customers from the SSO price would put customers on a lower price.  U</w:t>
      </w:r>
      <w:r w:rsidR="002809D8">
        <w:rPr>
          <w:rFonts w:ascii="Arial" w:hAnsi="Arial" w:cs="Arial"/>
          <w:sz w:val="24"/>
          <w:szCs w:val="24"/>
        </w:rPr>
        <w:t>sing</w:t>
      </w:r>
      <w:r w:rsidR="001658F5">
        <w:rPr>
          <w:rFonts w:ascii="Arial" w:hAnsi="Arial" w:cs="Arial"/>
          <w:sz w:val="24"/>
          <w:szCs w:val="24"/>
        </w:rPr>
        <w:t xml:space="preserve"> OCC’s logic, all SSO customers should just be assigned to </w:t>
      </w:r>
      <w:r w:rsidR="00D80015">
        <w:rPr>
          <w:rFonts w:ascii="Arial" w:hAnsi="Arial" w:cs="Arial"/>
          <w:sz w:val="24"/>
          <w:szCs w:val="24"/>
        </w:rPr>
        <w:t xml:space="preserve">CRES providers offering </w:t>
      </w:r>
      <w:r w:rsidR="001658F5">
        <w:rPr>
          <w:rFonts w:ascii="Arial" w:hAnsi="Arial" w:cs="Arial"/>
          <w:sz w:val="24"/>
          <w:szCs w:val="24"/>
        </w:rPr>
        <w:t>prices on the PUCO Apples-to-Apples site that are lower than the SSO.  IGS would not necessarily object to this</w:t>
      </w:r>
      <w:r w:rsidR="00F5185D">
        <w:rPr>
          <w:rFonts w:ascii="Arial" w:hAnsi="Arial" w:cs="Arial"/>
          <w:sz w:val="24"/>
          <w:szCs w:val="24"/>
        </w:rPr>
        <w:t xml:space="preserve"> concept if OCC is willing to support assigning SSO customers to offers on the PUCO Apples-to-Apples site</w:t>
      </w:r>
      <w:r w:rsidR="001658F5">
        <w:rPr>
          <w:rFonts w:ascii="Arial" w:hAnsi="Arial" w:cs="Arial"/>
          <w:sz w:val="24"/>
          <w:szCs w:val="24"/>
        </w:rPr>
        <w:t>.</w:t>
      </w:r>
    </w:p>
    <w:p w14:paraId="5C2459B1" w14:textId="4FE29875" w:rsidR="00B83981" w:rsidRDefault="00B83981" w:rsidP="00922053">
      <w:pPr>
        <w:spacing w:line="480" w:lineRule="auto"/>
        <w:ind w:firstLine="720"/>
        <w:rPr>
          <w:rFonts w:ascii="Arial" w:hAnsi="Arial" w:cs="Arial"/>
          <w:sz w:val="24"/>
          <w:szCs w:val="24"/>
        </w:rPr>
      </w:pPr>
      <w:r>
        <w:rPr>
          <w:rFonts w:ascii="Arial" w:hAnsi="Arial" w:cs="Arial"/>
          <w:sz w:val="24"/>
          <w:szCs w:val="24"/>
        </w:rPr>
        <w:t>Similarly, in its initial brief RESA supported a</w:t>
      </w:r>
      <w:r w:rsidR="00C738C5">
        <w:rPr>
          <w:rFonts w:ascii="Arial" w:hAnsi="Arial" w:cs="Arial"/>
          <w:sz w:val="24"/>
          <w:szCs w:val="24"/>
        </w:rPr>
        <w:t>n Instant Connect</w:t>
      </w:r>
      <w:r>
        <w:rPr>
          <w:rFonts w:ascii="Arial" w:hAnsi="Arial" w:cs="Arial"/>
          <w:sz w:val="24"/>
          <w:szCs w:val="24"/>
        </w:rPr>
        <w:t xml:space="preserve"> proposal made </w:t>
      </w:r>
      <w:r w:rsidR="00F0740D">
        <w:rPr>
          <w:rFonts w:ascii="Arial" w:hAnsi="Arial" w:cs="Arial"/>
          <w:sz w:val="24"/>
          <w:szCs w:val="24"/>
        </w:rPr>
        <w:t xml:space="preserve">by IGS </w:t>
      </w:r>
      <w:r w:rsidR="003F63FD">
        <w:rPr>
          <w:rFonts w:ascii="Arial" w:hAnsi="Arial" w:cs="Arial"/>
          <w:sz w:val="24"/>
          <w:szCs w:val="24"/>
        </w:rPr>
        <w:t>W</w:t>
      </w:r>
      <w:r w:rsidR="00F0740D">
        <w:rPr>
          <w:rFonts w:ascii="Arial" w:hAnsi="Arial" w:cs="Arial"/>
          <w:sz w:val="24"/>
          <w:szCs w:val="24"/>
        </w:rPr>
        <w:t xml:space="preserve">itness White that would allow AEP customers to enroll in CRES provided electric service upon </w:t>
      </w:r>
      <w:r w:rsidR="0065513C">
        <w:rPr>
          <w:rFonts w:ascii="Arial" w:hAnsi="Arial" w:cs="Arial"/>
          <w:sz w:val="24"/>
          <w:szCs w:val="24"/>
        </w:rPr>
        <w:t xml:space="preserve">institution of </w:t>
      </w:r>
      <w:r w:rsidR="00F0740D">
        <w:rPr>
          <w:rFonts w:ascii="Arial" w:hAnsi="Arial" w:cs="Arial"/>
          <w:sz w:val="24"/>
          <w:szCs w:val="24"/>
        </w:rPr>
        <w:t>distribution service with AEP.</w:t>
      </w:r>
      <w:r w:rsidR="00F0740D">
        <w:rPr>
          <w:rStyle w:val="FootnoteReference"/>
          <w:rFonts w:ascii="Arial" w:hAnsi="Arial" w:cs="Arial"/>
          <w:sz w:val="24"/>
          <w:szCs w:val="24"/>
        </w:rPr>
        <w:footnoteReference w:id="28"/>
      </w:r>
      <w:r w:rsidR="00F0740D">
        <w:rPr>
          <w:rFonts w:ascii="Arial" w:hAnsi="Arial" w:cs="Arial"/>
          <w:sz w:val="24"/>
          <w:szCs w:val="24"/>
        </w:rPr>
        <w:t xml:space="preserve"> Currently, all distribution customers must enroll on the SSO for a minimum period before receiving electric </w:t>
      </w:r>
      <w:r w:rsidR="00F0740D">
        <w:rPr>
          <w:rFonts w:ascii="Arial" w:hAnsi="Arial" w:cs="Arial"/>
          <w:sz w:val="24"/>
          <w:szCs w:val="24"/>
        </w:rPr>
        <w:lastRenderedPageBreak/>
        <w:t xml:space="preserve">service from a CRES provider.  As far as IGS is aware, no party has disputed this proposal.  Further, given that there is no legitimate policy reason to require customers to first enroll in the SSO, before even having an opportunity to switch to a CRES provider, </w:t>
      </w:r>
      <w:r w:rsidR="0065513C">
        <w:rPr>
          <w:rFonts w:ascii="Arial" w:hAnsi="Arial" w:cs="Arial"/>
          <w:sz w:val="24"/>
          <w:szCs w:val="24"/>
        </w:rPr>
        <w:t xml:space="preserve">the </w:t>
      </w:r>
      <w:r w:rsidR="00F0740D">
        <w:rPr>
          <w:rFonts w:ascii="Arial" w:hAnsi="Arial" w:cs="Arial"/>
          <w:sz w:val="24"/>
          <w:szCs w:val="24"/>
        </w:rPr>
        <w:t>Commission should approve the Instant Connect proposal proposed by IGS and supported by RESA.</w:t>
      </w:r>
    </w:p>
    <w:p w14:paraId="453C0835" w14:textId="38E3CE3A" w:rsidR="001658F5" w:rsidRDefault="001658F5" w:rsidP="001658F5">
      <w:pPr>
        <w:pStyle w:val="ListParagraph"/>
        <w:numPr>
          <w:ilvl w:val="0"/>
          <w:numId w:val="22"/>
        </w:numPr>
        <w:spacing w:line="240" w:lineRule="auto"/>
        <w:rPr>
          <w:rFonts w:ascii="Arial" w:hAnsi="Arial" w:cs="Arial"/>
          <w:b/>
          <w:sz w:val="24"/>
          <w:szCs w:val="24"/>
        </w:rPr>
      </w:pPr>
      <w:r w:rsidRPr="001658F5">
        <w:rPr>
          <w:rFonts w:ascii="Arial" w:hAnsi="Arial" w:cs="Arial"/>
          <w:b/>
          <w:sz w:val="24"/>
          <w:szCs w:val="24"/>
        </w:rPr>
        <w:t>The Commission Should Adopt the Purchase of Re</w:t>
      </w:r>
      <w:r>
        <w:rPr>
          <w:rFonts w:ascii="Arial" w:hAnsi="Arial" w:cs="Arial"/>
          <w:b/>
          <w:sz w:val="24"/>
          <w:szCs w:val="24"/>
        </w:rPr>
        <w:t>c</w:t>
      </w:r>
      <w:r w:rsidRPr="001658F5">
        <w:rPr>
          <w:rFonts w:ascii="Arial" w:hAnsi="Arial" w:cs="Arial"/>
          <w:b/>
          <w:sz w:val="24"/>
          <w:szCs w:val="24"/>
        </w:rPr>
        <w:t xml:space="preserve">eivables </w:t>
      </w:r>
      <w:r>
        <w:rPr>
          <w:rFonts w:ascii="Arial" w:hAnsi="Arial" w:cs="Arial"/>
          <w:b/>
          <w:sz w:val="24"/>
          <w:szCs w:val="24"/>
        </w:rPr>
        <w:t xml:space="preserve">(“POR”) </w:t>
      </w:r>
      <w:r w:rsidRPr="001658F5">
        <w:rPr>
          <w:rFonts w:ascii="Arial" w:hAnsi="Arial" w:cs="Arial"/>
          <w:b/>
          <w:sz w:val="24"/>
          <w:szCs w:val="24"/>
        </w:rPr>
        <w:t>Program Proposed by AEP.</w:t>
      </w:r>
    </w:p>
    <w:p w14:paraId="6B7E47DB" w14:textId="66315678" w:rsidR="007B747F" w:rsidRDefault="001658F5" w:rsidP="00EC6247">
      <w:pPr>
        <w:spacing w:line="480" w:lineRule="auto"/>
        <w:ind w:firstLine="540"/>
        <w:rPr>
          <w:rFonts w:ascii="Arial" w:hAnsi="Arial" w:cs="Arial"/>
          <w:sz w:val="24"/>
          <w:szCs w:val="24"/>
        </w:rPr>
      </w:pPr>
      <w:r>
        <w:rPr>
          <w:rFonts w:ascii="Arial" w:hAnsi="Arial" w:cs="Arial"/>
          <w:sz w:val="24"/>
          <w:szCs w:val="24"/>
        </w:rPr>
        <w:t>In its ESP Application AEP proposed a POR program that would allow AEP to collect t</w:t>
      </w:r>
      <w:r w:rsidR="003C64C5">
        <w:rPr>
          <w:rFonts w:ascii="Arial" w:hAnsi="Arial" w:cs="Arial"/>
          <w:sz w:val="24"/>
          <w:szCs w:val="24"/>
        </w:rPr>
        <w:t>he receivables of CRES providers and recover any uncollectible expense of CRES receivables from a bad-debt rid</w:t>
      </w:r>
      <w:r w:rsidR="00EC6247">
        <w:rPr>
          <w:rFonts w:ascii="Arial" w:hAnsi="Arial" w:cs="Arial"/>
          <w:sz w:val="24"/>
          <w:szCs w:val="24"/>
        </w:rPr>
        <w:t xml:space="preserve">er recovered by all customers. </w:t>
      </w:r>
      <w:r w:rsidR="003C64C5">
        <w:rPr>
          <w:rFonts w:ascii="Arial" w:hAnsi="Arial" w:cs="Arial"/>
          <w:sz w:val="24"/>
          <w:szCs w:val="24"/>
        </w:rPr>
        <w:t xml:space="preserve">In </w:t>
      </w:r>
      <w:r w:rsidR="00457A72">
        <w:rPr>
          <w:rFonts w:ascii="Arial" w:hAnsi="Arial" w:cs="Arial"/>
          <w:sz w:val="24"/>
          <w:szCs w:val="24"/>
        </w:rPr>
        <w:t>thier</w:t>
      </w:r>
      <w:r w:rsidR="003C64C5">
        <w:rPr>
          <w:rFonts w:ascii="Arial" w:hAnsi="Arial" w:cs="Arial"/>
          <w:sz w:val="24"/>
          <w:szCs w:val="24"/>
        </w:rPr>
        <w:t xml:space="preserve"> initial brief </w:t>
      </w:r>
      <w:r w:rsidR="00D2666C">
        <w:rPr>
          <w:rFonts w:ascii="Arial" w:hAnsi="Arial" w:cs="Arial"/>
          <w:sz w:val="24"/>
          <w:szCs w:val="24"/>
        </w:rPr>
        <w:t>certain</w:t>
      </w:r>
      <w:r w:rsidR="003C64C5">
        <w:rPr>
          <w:rFonts w:ascii="Arial" w:hAnsi="Arial" w:cs="Arial"/>
          <w:sz w:val="24"/>
          <w:szCs w:val="24"/>
        </w:rPr>
        <w:t xml:space="preserve"> part</w:t>
      </w:r>
      <w:r w:rsidR="00457A72">
        <w:rPr>
          <w:rFonts w:ascii="Arial" w:hAnsi="Arial" w:cs="Arial"/>
          <w:sz w:val="24"/>
          <w:szCs w:val="24"/>
        </w:rPr>
        <w:t>ies objected to AEP’s POR</w:t>
      </w:r>
      <w:r w:rsidR="003C64C5">
        <w:rPr>
          <w:rFonts w:ascii="Arial" w:hAnsi="Arial" w:cs="Arial"/>
          <w:sz w:val="24"/>
          <w:szCs w:val="24"/>
        </w:rPr>
        <w:t xml:space="preserve"> proposal.</w:t>
      </w:r>
      <w:r w:rsidR="003C64C5">
        <w:rPr>
          <w:rStyle w:val="FootnoteReference"/>
          <w:rFonts w:ascii="Arial" w:hAnsi="Arial" w:cs="Arial"/>
          <w:sz w:val="24"/>
          <w:szCs w:val="24"/>
        </w:rPr>
        <w:footnoteReference w:id="29"/>
      </w:r>
      <w:r>
        <w:rPr>
          <w:rFonts w:ascii="Arial" w:hAnsi="Arial" w:cs="Arial"/>
          <w:sz w:val="24"/>
          <w:szCs w:val="24"/>
        </w:rPr>
        <w:t xml:space="preserve">  </w:t>
      </w:r>
      <w:r w:rsidR="00457A72">
        <w:rPr>
          <w:rFonts w:ascii="Arial" w:hAnsi="Arial" w:cs="Arial"/>
          <w:sz w:val="24"/>
          <w:szCs w:val="24"/>
        </w:rPr>
        <w:t xml:space="preserve"> IGS is supportive of AEP’s</w:t>
      </w:r>
      <w:r w:rsidR="003C64C5">
        <w:rPr>
          <w:rFonts w:ascii="Arial" w:hAnsi="Arial" w:cs="Arial"/>
          <w:sz w:val="24"/>
          <w:szCs w:val="24"/>
        </w:rPr>
        <w:t xml:space="preserve"> proposal, </w:t>
      </w:r>
      <w:r w:rsidR="003C64C5" w:rsidRPr="00085C13">
        <w:rPr>
          <w:rFonts w:ascii="Arial" w:hAnsi="Arial" w:cs="Arial"/>
          <w:sz w:val="24"/>
          <w:szCs w:val="24"/>
        </w:rPr>
        <w:t>but in accordance with the Commission</w:t>
      </w:r>
      <w:r w:rsidR="00457A72">
        <w:rPr>
          <w:rFonts w:ascii="Arial" w:hAnsi="Arial" w:cs="Arial"/>
          <w:sz w:val="24"/>
          <w:szCs w:val="24"/>
        </w:rPr>
        <w:t>’</w:t>
      </w:r>
      <w:r w:rsidR="003C64C5" w:rsidRPr="00085C13">
        <w:rPr>
          <w:rFonts w:ascii="Arial" w:hAnsi="Arial" w:cs="Arial"/>
          <w:sz w:val="24"/>
          <w:szCs w:val="24"/>
        </w:rPr>
        <w:t xml:space="preserve">s policy of </w:t>
      </w:r>
      <w:r w:rsidR="00085C13" w:rsidRPr="00085C13">
        <w:rPr>
          <w:rFonts w:ascii="Arial" w:hAnsi="Arial" w:cs="Arial"/>
          <w:sz w:val="24"/>
          <w:szCs w:val="24"/>
        </w:rPr>
        <w:t>encouraging parties with like positions to adopt arguments instead of filing repetitive briefs</w:t>
      </w:r>
      <w:r w:rsidR="003C64C5" w:rsidRPr="00085C13">
        <w:rPr>
          <w:rFonts w:ascii="Arial" w:hAnsi="Arial" w:cs="Arial"/>
          <w:sz w:val="24"/>
          <w:szCs w:val="24"/>
        </w:rPr>
        <w:t xml:space="preserve">, IGS </w:t>
      </w:r>
      <w:r w:rsidR="00085C13" w:rsidRPr="00085C13">
        <w:rPr>
          <w:rFonts w:ascii="Arial" w:hAnsi="Arial" w:cs="Arial"/>
          <w:sz w:val="24"/>
          <w:szCs w:val="24"/>
        </w:rPr>
        <w:t>simply adopt</w:t>
      </w:r>
      <w:r w:rsidR="00457A72">
        <w:rPr>
          <w:rFonts w:ascii="Arial" w:hAnsi="Arial" w:cs="Arial"/>
          <w:sz w:val="24"/>
          <w:szCs w:val="24"/>
        </w:rPr>
        <w:t>s the</w:t>
      </w:r>
      <w:r w:rsidR="00085C13" w:rsidRPr="00085C13">
        <w:rPr>
          <w:rFonts w:ascii="Arial" w:hAnsi="Arial" w:cs="Arial"/>
          <w:sz w:val="24"/>
          <w:szCs w:val="24"/>
        </w:rPr>
        <w:t xml:space="preserve"> arguments</w:t>
      </w:r>
      <w:r w:rsidR="00457A72">
        <w:rPr>
          <w:rFonts w:ascii="Arial" w:hAnsi="Arial" w:cs="Arial"/>
          <w:sz w:val="24"/>
          <w:szCs w:val="24"/>
        </w:rPr>
        <w:t xml:space="preserve"> made in RESA’s</w:t>
      </w:r>
      <w:r w:rsidR="00085C13" w:rsidRPr="00085C13">
        <w:rPr>
          <w:rFonts w:ascii="Arial" w:hAnsi="Arial" w:cs="Arial"/>
          <w:sz w:val="24"/>
          <w:szCs w:val="24"/>
        </w:rPr>
        <w:t xml:space="preserve"> </w:t>
      </w:r>
      <w:r w:rsidR="003C64C5" w:rsidRPr="00085C13">
        <w:rPr>
          <w:rFonts w:ascii="Arial" w:hAnsi="Arial" w:cs="Arial"/>
          <w:sz w:val="24"/>
          <w:szCs w:val="24"/>
        </w:rPr>
        <w:t>reply brief in support of POR.</w:t>
      </w:r>
      <w:r w:rsidR="003C64C5">
        <w:rPr>
          <w:rFonts w:ascii="Arial" w:hAnsi="Arial" w:cs="Arial"/>
          <w:sz w:val="24"/>
          <w:szCs w:val="24"/>
        </w:rPr>
        <w:t xml:space="preserve">  </w:t>
      </w:r>
    </w:p>
    <w:p w14:paraId="34610241" w14:textId="5C2E71B3" w:rsidR="001658F5" w:rsidRPr="001658F5" w:rsidRDefault="00F5185D" w:rsidP="00EC6247">
      <w:pPr>
        <w:spacing w:line="480" w:lineRule="auto"/>
        <w:ind w:firstLine="540"/>
        <w:rPr>
          <w:rFonts w:ascii="Arial" w:hAnsi="Arial" w:cs="Arial"/>
          <w:sz w:val="24"/>
          <w:szCs w:val="24"/>
        </w:rPr>
      </w:pPr>
      <w:r>
        <w:rPr>
          <w:rFonts w:ascii="Arial" w:hAnsi="Arial" w:cs="Arial"/>
          <w:sz w:val="24"/>
          <w:szCs w:val="24"/>
        </w:rPr>
        <w:t xml:space="preserve">IGS would note, however, that if the Commission adopts a POR program it should do so with a bad debt tracker </w:t>
      </w:r>
      <w:r w:rsidR="00457A72">
        <w:rPr>
          <w:rFonts w:ascii="Arial" w:hAnsi="Arial" w:cs="Arial"/>
          <w:sz w:val="24"/>
          <w:szCs w:val="24"/>
        </w:rPr>
        <w:t>rather than with</w:t>
      </w:r>
      <w:r>
        <w:rPr>
          <w:rFonts w:ascii="Arial" w:hAnsi="Arial" w:cs="Arial"/>
          <w:sz w:val="24"/>
          <w:szCs w:val="24"/>
        </w:rPr>
        <w:t xml:space="preserve"> a discount rate.</w:t>
      </w:r>
      <w:r w:rsidR="007B747F">
        <w:rPr>
          <w:rFonts w:ascii="Arial" w:hAnsi="Arial" w:cs="Arial"/>
          <w:sz w:val="24"/>
          <w:szCs w:val="24"/>
        </w:rPr>
        <w:t xml:space="preserve">  Currently, AEP is recovering bad debt of SSO generation through distribution rates</w:t>
      </w:r>
      <w:r w:rsidR="0085477A">
        <w:rPr>
          <w:rFonts w:ascii="Arial" w:hAnsi="Arial" w:cs="Arial"/>
          <w:sz w:val="24"/>
          <w:szCs w:val="24"/>
        </w:rPr>
        <w:t xml:space="preserve">; thus </w:t>
      </w:r>
      <w:r w:rsidR="007B747F">
        <w:rPr>
          <w:rFonts w:ascii="Arial" w:hAnsi="Arial" w:cs="Arial"/>
          <w:sz w:val="24"/>
          <w:szCs w:val="24"/>
        </w:rPr>
        <w:t xml:space="preserve">Choice customers are </w:t>
      </w:r>
      <w:r w:rsidR="0085477A">
        <w:rPr>
          <w:rFonts w:ascii="Arial" w:hAnsi="Arial" w:cs="Arial"/>
          <w:sz w:val="24"/>
          <w:szCs w:val="24"/>
        </w:rPr>
        <w:t xml:space="preserve">currently </w:t>
      </w:r>
      <w:r w:rsidR="007B747F">
        <w:rPr>
          <w:rFonts w:ascii="Arial" w:hAnsi="Arial" w:cs="Arial"/>
          <w:sz w:val="24"/>
          <w:szCs w:val="24"/>
        </w:rPr>
        <w:t>paying the cost of SSO generation bad debt</w:t>
      </w:r>
      <w:r w:rsidR="0085477A">
        <w:rPr>
          <w:rFonts w:ascii="Arial" w:hAnsi="Arial" w:cs="Arial"/>
          <w:sz w:val="24"/>
          <w:szCs w:val="24"/>
        </w:rPr>
        <w:t xml:space="preserve">, through distribution rates. If a discount rate were adopted Choice customers would still be paying the cost of bad debt twice-once through the discount rate (which is reflected in CRES pricing) and again through distribution rates which recover the bad debt of SSO </w:t>
      </w:r>
      <w:r w:rsidR="0085477A">
        <w:rPr>
          <w:rFonts w:ascii="Arial" w:hAnsi="Arial" w:cs="Arial"/>
          <w:sz w:val="24"/>
          <w:szCs w:val="24"/>
        </w:rPr>
        <w:lastRenderedPageBreak/>
        <w:t xml:space="preserve">generation.   A bad debt tracker would eliminate this subsidy by treating all bad-debt equally.  </w:t>
      </w:r>
    </w:p>
    <w:p w14:paraId="6309CB77" w14:textId="6C76FD35" w:rsidR="00FE631F" w:rsidRDefault="003C64C5" w:rsidP="00FE631F">
      <w:pPr>
        <w:pStyle w:val="Heading1"/>
        <w:numPr>
          <w:ilvl w:val="0"/>
          <w:numId w:val="16"/>
        </w:numPr>
        <w:spacing w:before="0" w:after="240" w:line="240" w:lineRule="auto"/>
        <w:rPr>
          <w:rFonts w:ascii="Arial" w:hAnsi="Arial" w:cs="Arial"/>
          <w:color w:val="auto"/>
          <w:sz w:val="24"/>
          <w:szCs w:val="24"/>
        </w:rPr>
      </w:pPr>
      <w:bookmarkStart w:id="1" w:name="_Toc267674004"/>
      <w:r w:rsidRPr="00AD6628">
        <w:rPr>
          <w:rFonts w:ascii="Arial" w:hAnsi="Arial" w:cs="Arial"/>
          <w:color w:val="auto"/>
          <w:sz w:val="24"/>
          <w:szCs w:val="24"/>
        </w:rPr>
        <w:t>CONCLUSION</w:t>
      </w:r>
      <w:bookmarkEnd w:id="1"/>
    </w:p>
    <w:p w14:paraId="5DFA5E90" w14:textId="61BC9E2C" w:rsidR="003C64C5" w:rsidRDefault="003C64C5" w:rsidP="00BA2E4F">
      <w:pPr>
        <w:spacing w:line="480" w:lineRule="auto"/>
        <w:ind w:firstLine="540"/>
        <w:rPr>
          <w:rFonts w:ascii="Arial" w:hAnsi="Arial" w:cs="Arial"/>
          <w:sz w:val="24"/>
          <w:szCs w:val="24"/>
        </w:rPr>
      </w:pPr>
      <w:r w:rsidRPr="00AD6628">
        <w:rPr>
          <w:rFonts w:ascii="Arial" w:hAnsi="Arial" w:cs="Arial"/>
          <w:sz w:val="24"/>
          <w:szCs w:val="24"/>
        </w:rPr>
        <w:t>IGS respectfully requests that the Commission adopt the proposals and modifications described above.</w:t>
      </w:r>
    </w:p>
    <w:p w14:paraId="690A8FE1" w14:textId="77777777" w:rsidR="003C64C5" w:rsidRDefault="003C64C5" w:rsidP="003C64C5">
      <w:pPr>
        <w:spacing w:after="0" w:line="240" w:lineRule="auto"/>
        <w:ind w:left="5040"/>
        <w:rPr>
          <w:rFonts w:ascii="Arial" w:hAnsi="Arial" w:cs="Arial"/>
          <w:sz w:val="24"/>
          <w:szCs w:val="24"/>
        </w:rPr>
      </w:pPr>
      <w:r>
        <w:rPr>
          <w:rFonts w:ascii="Arial" w:hAnsi="Arial" w:cs="Arial"/>
          <w:sz w:val="24"/>
          <w:szCs w:val="24"/>
        </w:rPr>
        <w:t>Respectfully submitted,</w:t>
      </w:r>
    </w:p>
    <w:p w14:paraId="553E9536" w14:textId="77777777" w:rsidR="003C64C5" w:rsidRDefault="003C64C5" w:rsidP="003C64C5">
      <w:pPr>
        <w:spacing w:after="0" w:line="240" w:lineRule="auto"/>
        <w:rPr>
          <w:rFonts w:ascii="Arial" w:hAnsi="Arial" w:cs="Arial"/>
          <w:sz w:val="24"/>
          <w:szCs w:val="24"/>
          <w:u w:val="single"/>
        </w:rPr>
      </w:pPr>
    </w:p>
    <w:p w14:paraId="5CEF16BA" w14:textId="77777777" w:rsidR="003C64C5" w:rsidRPr="002E179D" w:rsidRDefault="003C64C5" w:rsidP="003C64C5">
      <w:pPr>
        <w:tabs>
          <w:tab w:val="left" w:pos="-1440"/>
          <w:tab w:val="left" w:pos="-720"/>
          <w:tab w:val="left" w:pos="5040"/>
          <w:tab w:val="center" w:pos="7200"/>
          <w:tab w:val="right" w:pos="9360"/>
        </w:tabs>
        <w:ind w:firstLine="5040"/>
        <w:rPr>
          <w:rFonts w:ascii="Arial" w:hAnsi="Arial" w:cs="Arial"/>
          <w:sz w:val="24"/>
          <w:szCs w:val="24"/>
        </w:rPr>
      </w:pPr>
      <w:r w:rsidRPr="002E179D">
        <w:rPr>
          <w:rFonts w:ascii="Arial" w:hAnsi="Arial" w:cs="Arial"/>
          <w:sz w:val="24"/>
          <w:szCs w:val="24"/>
          <w:u w:val="single"/>
        </w:rPr>
        <w:t xml:space="preserve">  /s/ </w:t>
      </w:r>
      <w:r w:rsidRPr="00AD6628">
        <w:rPr>
          <w:rFonts w:ascii="Arial" w:hAnsi="Arial" w:cs="Arial"/>
          <w:i/>
          <w:sz w:val="24"/>
          <w:szCs w:val="24"/>
          <w:u w:val="single"/>
        </w:rPr>
        <w:t>Vincent Parisi</w:t>
      </w:r>
    </w:p>
    <w:p w14:paraId="5B47BCCE" w14:textId="77777777" w:rsidR="003C64C5" w:rsidRPr="002E179D" w:rsidRDefault="003C64C5" w:rsidP="003C64C5">
      <w:pPr>
        <w:spacing w:after="0" w:line="240" w:lineRule="auto"/>
        <w:ind w:left="4320" w:firstLine="720"/>
        <w:rPr>
          <w:rFonts w:ascii="Arial" w:hAnsi="Arial" w:cs="Arial"/>
          <w:sz w:val="24"/>
          <w:szCs w:val="24"/>
        </w:rPr>
      </w:pPr>
      <w:r w:rsidRPr="002E179D">
        <w:rPr>
          <w:rFonts w:ascii="Arial" w:hAnsi="Arial" w:cs="Arial"/>
          <w:sz w:val="24"/>
          <w:szCs w:val="24"/>
        </w:rPr>
        <w:t>Vincent Parisi (073283)</w:t>
      </w:r>
    </w:p>
    <w:p w14:paraId="6A22FF81" w14:textId="77777777" w:rsidR="003C64C5" w:rsidRPr="002E179D" w:rsidRDefault="003C64C5" w:rsidP="003C64C5">
      <w:pPr>
        <w:spacing w:after="0" w:line="240" w:lineRule="auto"/>
        <w:ind w:left="5040"/>
        <w:rPr>
          <w:rFonts w:ascii="Arial" w:hAnsi="Arial" w:cs="Arial"/>
          <w:sz w:val="24"/>
          <w:szCs w:val="24"/>
        </w:rPr>
      </w:pPr>
      <w:r w:rsidRPr="002E179D">
        <w:rPr>
          <w:rFonts w:ascii="Arial" w:hAnsi="Arial" w:cs="Arial"/>
          <w:sz w:val="24"/>
          <w:szCs w:val="24"/>
        </w:rPr>
        <w:t>Email: vparisi@igsenergy.com</w:t>
      </w:r>
    </w:p>
    <w:p w14:paraId="5BB0DB71" w14:textId="77777777" w:rsidR="003C64C5" w:rsidRPr="002E179D" w:rsidRDefault="003C64C5" w:rsidP="003C64C5">
      <w:pPr>
        <w:spacing w:after="0" w:line="240" w:lineRule="auto"/>
        <w:ind w:left="5040"/>
        <w:rPr>
          <w:rFonts w:ascii="Arial" w:hAnsi="Arial" w:cs="Arial"/>
          <w:sz w:val="24"/>
          <w:szCs w:val="24"/>
        </w:rPr>
      </w:pPr>
      <w:r w:rsidRPr="002E179D">
        <w:rPr>
          <w:rFonts w:ascii="Arial" w:hAnsi="Arial" w:cs="Arial"/>
          <w:sz w:val="24"/>
          <w:szCs w:val="24"/>
        </w:rPr>
        <w:t>Interstate Gas Supply, Inc.</w:t>
      </w:r>
    </w:p>
    <w:p w14:paraId="2ADF6740" w14:textId="77777777" w:rsidR="003C64C5" w:rsidRPr="002E179D" w:rsidRDefault="003C64C5" w:rsidP="003C64C5">
      <w:pPr>
        <w:spacing w:after="0" w:line="240" w:lineRule="auto"/>
        <w:ind w:left="5040"/>
        <w:rPr>
          <w:rFonts w:ascii="Arial" w:hAnsi="Arial" w:cs="Arial"/>
          <w:sz w:val="24"/>
          <w:szCs w:val="24"/>
        </w:rPr>
      </w:pPr>
      <w:r w:rsidRPr="002E179D">
        <w:rPr>
          <w:rFonts w:ascii="Arial" w:hAnsi="Arial" w:cs="Arial"/>
          <w:sz w:val="24"/>
          <w:szCs w:val="24"/>
        </w:rPr>
        <w:t>6100 Emerald Parkway</w:t>
      </w:r>
    </w:p>
    <w:p w14:paraId="5788DCFD" w14:textId="77777777" w:rsidR="003C64C5" w:rsidRPr="002E179D" w:rsidRDefault="003C64C5" w:rsidP="003C64C5">
      <w:pPr>
        <w:spacing w:after="0" w:line="240" w:lineRule="auto"/>
        <w:ind w:left="5040"/>
        <w:rPr>
          <w:rFonts w:ascii="Arial" w:hAnsi="Arial" w:cs="Arial"/>
          <w:sz w:val="24"/>
          <w:szCs w:val="24"/>
        </w:rPr>
      </w:pPr>
      <w:r w:rsidRPr="002E179D">
        <w:rPr>
          <w:rFonts w:ascii="Arial" w:hAnsi="Arial" w:cs="Arial"/>
          <w:sz w:val="24"/>
          <w:szCs w:val="24"/>
        </w:rPr>
        <w:t>Dublin, Ohio 43016</w:t>
      </w:r>
    </w:p>
    <w:p w14:paraId="3892AE7A" w14:textId="77777777" w:rsidR="003C64C5" w:rsidRPr="002E179D" w:rsidRDefault="003C64C5" w:rsidP="003C64C5">
      <w:pPr>
        <w:spacing w:after="0" w:line="240" w:lineRule="auto"/>
        <w:ind w:left="5040"/>
        <w:rPr>
          <w:rFonts w:ascii="Arial" w:hAnsi="Arial" w:cs="Arial"/>
          <w:sz w:val="24"/>
          <w:szCs w:val="24"/>
        </w:rPr>
      </w:pPr>
      <w:r w:rsidRPr="002E179D">
        <w:rPr>
          <w:rFonts w:ascii="Arial" w:hAnsi="Arial" w:cs="Arial"/>
          <w:sz w:val="24"/>
          <w:szCs w:val="24"/>
        </w:rPr>
        <w:t>Telephone:</w:t>
      </w:r>
      <w:r w:rsidRPr="002E179D">
        <w:rPr>
          <w:rFonts w:ascii="Arial" w:hAnsi="Arial" w:cs="Arial"/>
          <w:sz w:val="24"/>
          <w:szCs w:val="24"/>
        </w:rPr>
        <w:tab/>
        <w:t>(614) 659-5000</w:t>
      </w:r>
    </w:p>
    <w:p w14:paraId="6E3C4C9E" w14:textId="77777777" w:rsidR="003C64C5" w:rsidRPr="002E179D" w:rsidRDefault="003C64C5" w:rsidP="003C64C5">
      <w:pPr>
        <w:spacing w:after="0" w:line="240" w:lineRule="auto"/>
        <w:ind w:left="5040"/>
        <w:rPr>
          <w:rFonts w:ascii="Arial" w:hAnsi="Arial" w:cs="Arial"/>
          <w:sz w:val="24"/>
          <w:szCs w:val="24"/>
        </w:rPr>
      </w:pPr>
      <w:r w:rsidRPr="002E179D">
        <w:rPr>
          <w:rFonts w:ascii="Arial" w:hAnsi="Arial" w:cs="Arial"/>
          <w:sz w:val="24"/>
          <w:szCs w:val="24"/>
        </w:rPr>
        <w:t>Facsimile:</w:t>
      </w:r>
      <w:r w:rsidRPr="002E179D">
        <w:rPr>
          <w:rFonts w:ascii="Arial" w:hAnsi="Arial" w:cs="Arial"/>
          <w:sz w:val="24"/>
          <w:szCs w:val="24"/>
        </w:rPr>
        <w:tab/>
        <w:t>(614) 659-5073</w:t>
      </w:r>
    </w:p>
    <w:p w14:paraId="1A54427C" w14:textId="76362727" w:rsidR="003C64C5" w:rsidRPr="00AD6628" w:rsidRDefault="003C64C5" w:rsidP="003C64C5">
      <w:pPr>
        <w:spacing w:after="0" w:line="240" w:lineRule="auto"/>
        <w:ind w:left="5040"/>
        <w:rPr>
          <w:rFonts w:ascii="Arial" w:hAnsi="Arial" w:cs="Arial"/>
          <w:b/>
          <w:i/>
          <w:sz w:val="24"/>
          <w:szCs w:val="24"/>
        </w:rPr>
        <w:sectPr w:rsidR="003C64C5" w:rsidRPr="00AD6628" w:rsidSect="00155425">
          <w:footerReference w:type="default" r:id="rId9"/>
          <w:pgSz w:w="12240" w:h="15840"/>
          <w:pgMar w:top="1440" w:right="1440" w:bottom="1440" w:left="1440" w:header="720" w:footer="720" w:gutter="0"/>
          <w:pgNumType w:start="1"/>
          <w:cols w:space="720"/>
          <w:docGrid w:linePitch="360"/>
        </w:sectPr>
      </w:pPr>
      <w:r>
        <w:rPr>
          <w:rFonts w:ascii="Arial" w:hAnsi="Arial" w:cs="Arial"/>
          <w:b/>
          <w:i/>
          <w:sz w:val="24"/>
          <w:szCs w:val="24"/>
        </w:rPr>
        <w:t xml:space="preserve">Attorney </w:t>
      </w:r>
      <w:r w:rsidR="00E552F7">
        <w:rPr>
          <w:rFonts w:ascii="Arial" w:hAnsi="Arial" w:cs="Arial"/>
          <w:b/>
          <w:i/>
          <w:sz w:val="24"/>
          <w:szCs w:val="24"/>
        </w:rPr>
        <w:t xml:space="preserve">for Interstate Gas Supply, </w:t>
      </w:r>
    </w:p>
    <w:p w14:paraId="5D61C6CC" w14:textId="77777777" w:rsidR="00E552F7" w:rsidRPr="00AD6628" w:rsidRDefault="00E552F7" w:rsidP="00E552F7">
      <w:pPr>
        <w:spacing w:line="480" w:lineRule="auto"/>
        <w:ind w:firstLine="360"/>
        <w:jc w:val="center"/>
        <w:rPr>
          <w:rFonts w:ascii="Arial" w:hAnsi="Arial" w:cs="Arial"/>
          <w:b/>
          <w:sz w:val="24"/>
          <w:szCs w:val="24"/>
          <w:u w:val="single"/>
        </w:rPr>
      </w:pPr>
      <w:r>
        <w:rPr>
          <w:rFonts w:ascii="Arial" w:hAnsi="Arial" w:cs="Arial"/>
          <w:b/>
          <w:sz w:val="24"/>
          <w:szCs w:val="24"/>
          <w:u w:val="single"/>
        </w:rPr>
        <w:lastRenderedPageBreak/>
        <w:t>CERTIFICATE OF SERVICE</w:t>
      </w:r>
    </w:p>
    <w:p w14:paraId="0B1457DB" w14:textId="77777777" w:rsidR="00E552F7" w:rsidRDefault="00E552F7" w:rsidP="00E552F7">
      <w:pPr>
        <w:spacing w:line="480" w:lineRule="auto"/>
        <w:rPr>
          <w:rFonts w:ascii="Arial" w:hAnsi="Arial" w:cs="Arial"/>
          <w:sz w:val="24"/>
          <w:szCs w:val="24"/>
        </w:rPr>
      </w:pPr>
      <w:r w:rsidRPr="008031B2">
        <w:rPr>
          <w:rFonts w:ascii="Arial" w:hAnsi="Arial" w:cs="Arial"/>
          <w:sz w:val="24"/>
          <w:szCs w:val="24"/>
        </w:rPr>
        <w:tab/>
        <w:t xml:space="preserve">I hereby certify that a copy of </w:t>
      </w:r>
      <w:r>
        <w:rPr>
          <w:rFonts w:ascii="Arial" w:hAnsi="Arial" w:cs="Arial"/>
          <w:sz w:val="24"/>
          <w:szCs w:val="24"/>
        </w:rPr>
        <w:t>this Initial Post-hearing Brief</w:t>
      </w:r>
      <w:r w:rsidRPr="008031B2">
        <w:rPr>
          <w:rFonts w:ascii="Arial" w:hAnsi="Arial" w:cs="Arial"/>
          <w:sz w:val="24"/>
          <w:szCs w:val="24"/>
        </w:rPr>
        <w:t xml:space="preserve"> was served by electronic mail this </w:t>
      </w:r>
      <w:r>
        <w:rPr>
          <w:rFonts w:ascii="Arial" w:hAnsi="Arial" w:cs="Arial"/>
          <w:sz w:val="24"/>
          <w:szCs w:val="24"/>
        </w:rPr>
        <w:t>15th</w:t>
      </w:r>
      <w:r w:rsidRPr="008031B2">
        <w:rPr>
          <w:rFonts w:ascii="Arial" w:hAnsi="Arial" w:cs="Arial"/>
          <w:sz w:val="24"/>
          <w:szCs w:val="24"/>
        </w:rPr>
        <w:t xml:space="preserve"> day of </w:t>
      </w:r>
      <w:r>
        <w:rPr>
          <w:rFonts w:ascii="Arial" w:hAnsi="Arial" w:cs="Arial"/>
          <w:sz w:val="24"/>
          <w:szCs w:val="24"/>
        </w:rPr>
        <w:t>August</w:t>
      </w:r>
      <w:r w:rsidRPr="008031B2">
        <w:rPr>
          <w:rFonts w:ascii="Arial" w:hAnsi="Arial" w:cs="Arial"/>
          <w:sz w:val="24"/>
          <w:szCs w:val="24"/>
        </w:rPr>
        <w:t xml:space="preserve"> to the following:</w:t>
      </w:r>
    </w:p>
    <w:p w14:paraId="116080A4" w14:textId="77777777" w:rsidR="00E552F7" w:rsidRPr="006018D0" w:rsidRDefault="00E552F7" w:rsidP="00E552F7">
      <w:pPr>
        <w:ind w:left="4770"/>
        <w:rPr>
          <w:rFonts w:ascii="Arial" w:hAnsi="Arial" w:cs="Arial"/>
          <w:sz w:val="24"/>
          <w:szCs w:val="24"/>
          <w:u w:val="single"/>
        </w:rPr>
      </w:pPr>
      <w:r w:rsidRPr="006018D0">
        <w:rPr>
          <w:rFonts w:ascii="Arial" w:hAnsi="Arial" w:cs="Arial"/>
          <w:sz w:val="24"/>
          <w:szCs w:val="24"/>
          <w:u w:val="single"/>
        </w:rPr>
        <w:t xml:space="preserve">/s/ </w:t>
      </w:r>
      <w:r w:rsidRPr="006018D0">
        <w:rPr>
          <w:rFonts w:ascii="Arial" w:hAnsi="Arial" w:cs="Arial"/>
          <w:i/>
          <w:sz w:val="24"/>
          <w:szCs w:val="24"/>
          <w:u w:val="single"/>
        </w:rPr>
        <w:t>Vincent Parisi</w:t>
      </w:r>
      <w:r w:rsidRPr="006018D0">
        <w:rPr>
          <w:rFonts w:ascii="Arial" w:hAnsi="Arial" w:cs="Arial"/>
          <w:sz w:val="24"/>
          <w:szCs w:val="24"/>
          <w:u w:val="single"/>
        </w:rPr>
        <w:tab/>
      </w:r>
      <w:r w:rsidRPr="006018D0">
        <w:rPr>
          <w:rFonts w:ascii="Arial" w:hAnsi="Arial" w:cs="Arial"/>
          <w:sz w:val="24"/>
          <w:szCs w:val="24"/>
          <w:u w:val="single"/>
        </w:rPr>
        <w:tab/>
      </w:r>
      <w:r w:rsidRPr="006018D0">
        <w:rPr>
          <w:rFonts w:ascii="Arial" w:hAnsi="Arial" w:cs="Arial"/>
          <w:sz w:val="24"/>
          <w:szCs w:val="24"/>
          <w:u w:val="single"/>
        </w:rPr>
        <w:tab/>
      </w:r>
    </w:p>
    <w:p w14:paraId="3E33E0E8" w14:textId="77777777" w:rsidR="00E552F7" w:rsidRPr="006018D0" w:rsidRDefault="00E552F7" w:rsidP="00E552F7">
      <w:pPr>
        <w:ind w:left="4770"/>
        <w:rPr>
          <w:rFonts w:ascii="Arial" w:hAnsi="Arial" w:cs="Arial"/>
          <w:sz w:val="24"/>
          <w:szCs w:val="24"/>
        </w:rPr>
      </w:pPr>
      <w:r w:rsidRPr="006018D0">
        <w:rPr>
          <w:rFonts w:ascii="Arial" w:hAnsi="Arial" w:cs="Arial"/>
          <w:sz w:val="24"/>
          <w:szCs w:val="24"/>
        </w:rPr>
        <w:t>Attorney for IGS Energy</w:t>
      </w:r>
    </w:p>
    <w:p w14:paraId="0EBA050D" w14:textId="77777777" w:rsidR="00E552F7" w:rsidRPr="00E552F7" w:rsidRDefault="00E552F7" w:rsidP="00E552F7">
      <w:pPr>
        <w:spacing w:line="480" w:lineRule="auto"/>
        <w:rPr>
          <w:rFonts w:ascii="Arial" w:hAnsi="Arial" w:cs="Arial"/>
          <w:sz w:val="24"/>
          <w:szCs w:val="24"/>
        </w:rPr>
      </w:pPr>
    </w:p>
    <w:tbl>
      <w:tblPr>
        <w:tblW w:w="9632" w:type="dxa"/>
        <w:tblBorders>
          <w:top w:val="nil"/>
          <w:left w:val="nil"/>
          <w:bottom w:val="nil"/>
          <w:right w:val="nil"/>
        </w:tblBorders>
        <w:tblLayout w:type="fixed"/>
        <w:tblLook w:val="0000" w:firstRow="0" w:lastRow="0" w:firstColumn="0" w:lastColumn="0" w:noHBand="0" w:noVBand="0"/>
      </w:tblPr>
      <w:tblGrid>
        <w:gridCol w:w="4338"/>
        <w:gridCol w:w="450"/>
        <w:gridCol w:w="160"/>
        <w:gridCol w:w="3464"/>
        <w:gridCol w:w="1164"/>
        <w:gridCol w:w="56"/>
      </w:tblGrid>
      <w:tr w:rsidR="00E552F7" w:rsidRPr="006018D0" w14:paraId="680C1280" w14:textId="77777777" w:rsidTr="001D18AD">
        <w:trPr>
          <w:trHeight w:val="2041"/>
        </w:trPr>
        <w:tc>
          <w:tcPr>
            <w:tcW w:w="4948" w:type="dxa"/>
            <w:gridSpan w:val="3"/>
          </w:tcPr>
          <w:p w14:paraId="267B1492"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Steven T. Nourse </w:t>
            </w:r>
          </w:p>
          <w:p w14:paraId="5AD0FEBA"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Matthew J. Satterwhite </w:t>
            </w:r>
          </w:p>
          <w:p w14:paraId="1EC90FA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American Electric Power Corporation </w:t>
            </w:r>
          </w:p>
          <w:p w14:paraId="226AF4C1"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 Riverside Plaza, 29th Floor </w:t>
            </w:r>
          </w:p>
          <w:p w14:paraId="7C3C5D96"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43215-2373 </w:t>
            </w:r>
          </w:p>
          <w:p w14:paraId="32DF3CA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stnourse@aep.com </w:t>
            </w:r>
          </w:p>
          <w:p w14:paraId="3926A191"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0" w:history="1">
              <w:r w:rsidR="00E552F7" w:rsidRPr="006018D0">
                <w:rPr>
                  <w:rStyle w:val="Hyperlink"/>
                  <w:rFonts w:ascii="Arial" w:hAnsi="Arial" w:cs="Arial"/>
                  <w:sz w:val="24"/>
                  <w:szCs w:val="24"/>
                </w:rPr>
                <w:t>mjsatterwhite@aep.com</w:t>
              </w:r>
            </w:hyperlink>
            <w:r w:rsidR="00E552F7" w:rsidRPr="006018D0">
              <w:rPr>
                <w:rFonts w:ascii="Arial" w:hAnsi="Arial" w:cs="Arial"/>
                <w:sz w:val="24"/>
                <w:szCs w:val="24"/>
              </w:rPr>
              <w:t xml:space="preserve"> </w:t>
            </w:r>
          </w:p>
          <w:p w14:paraId="1A111BC8"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1D6394E9"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Daniel R. Conway </w:t>
            </w:r>
          </w:p>
          <w:p w14:paraId="10546C8A"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Porter Wright Morris &amp; Arthur </w:t>
            </w:r>
          </w:p>
          <w:p w14:paraId="11D49EF6"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Huntington Center </w:t>
            </w:r>
          </w:p>
          <w:p w14:paraId="24E2F905"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41 South High Street </w:t>
            </w:r>
          </w:p>
          <w:p w14:paraId="3277EA64"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3D67D34C"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1" w:history="1">
              <w:r w:rsidR="00E552F7" w:rsidRPr="006018D0">
                <w:rPr>
                  <w:rStyle w:val="Hyperlink"/>
                  <w:rFonts w:ascii="Arial" w:hAnsi="Arial" w:cs="Arial"/>
                  <w:sz w:val="24"/>
                  <w:szCs w:val="24"/>
                </w:rPr>
                <w:t>dconway@porterwright.com</w:t>
              </w:r>
            </w:hyperlink>
            <w:r w:rsidR="00E552F7" w:rsidRPr="006018D0">
              <w:rPr>
                <w:rFonts w:ascii="Arial" w:hAnsi="Arial" w:cs="Arial"/>
                <w:sz w:val="24"/>
                <w:szCs w:val="24"/>
              </w:rPr>
              <w:t xml:space="preserve"> </w:t>
            </w:r>
          </w:p>
          <w:p w14:paraId="5321E3B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tc>
        <w:tc>
          <w:tcPr>
            <w:tcW w:w="4684" w:type="dxa"/>
            <w:gridSpan w:val="3"/>
          </w:tcPr>
          <w:p w14:paraId="562922BE"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Richard L. Sites </w:t>
            </w:r>
          </w:p>
          <w:p w14:paraId="0326AF44" w14:textId="77777777" w:rsidR="00E552F7" w:rsidRPr="006018D0" w:rsidRDefault="00E552F7" w:rsidP="001D18AD">
            <w:pPr>
              <w:suppressLineNumbers/>
              <w:autoSpaceDE w:val="0"/>
              <w:autoSpaceDN w:val="0"/>
              <w:adjustRightInd w:val="0"/>
              <w:spacing w:after="0" w:line="240" w:lineRule="auto"/>
              <w:ind w:left="2" w:hanging="2"/>
              <w:jc w:val="both"/>
              <w:rPr>
                <w:rFonts w:ascii="Arial" w:hAnsi="Arial" w:cs="Arial"/>
                <w:sz w:val="24"/>
                <w:szCs w:val="24"/>
              </w:rPr>
            </w:pPr>
            <w:r w:rsidRPr="006018D0">
              <w:rPr>
                <w:rFonts w:ascii="Arial" w:hAnsi="Arial" w:cs="Arial"/>
                <w:sz w:val="24"/>
                <w:szCs w:val="24"/>
              </w:rPr>
              <w:t xml:space="preserve">General Counsel &amp; Senior Director of Health Policy </w:t>
            </w:r>
          </w:p>
          <w:p w14:paraId="7E1E67D1"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Ohio Hospital Association </w:t>
            </w:r>
          </w:p>
          <w:p w14:paraId="6F81ABE5"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155 East Broad Street, 15th Floor </w:t>
            </w:r>
          </w:p>
          <w:p w14:paraId="5CAC6168"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43215-3620 </w:t>
            </w:r>
          </w:p>
          <w:p w14:paraId="5C21BE4D"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2" w:history="1">
              <w:r w:rsidR="00E552F7" w:rsidRPr="006018D0">
                <w:rPr>
                  <w:rStyle w:val="Hyperlink"/>
                  <w:rFonts w:ascii="Arial" w:hAnsi="Arial" w:cs="Arial"/>
                  <w:sz w:val="24"/>
                  <w:szCs w:val="24"/>
                </w:rPr>
                <w:t>ricks@ohanet.org</w:t>
              </w:r>
            </w:hyperlink>
            <w:r w:rsidR="00E552F7" w:rsidRPr="006018D0">
              <w:rPr>
                <w:rFonts w:ascii="Arial" w:hAnsi="Arial" w:cs="Arial"/>
                <w:sz w:val="24"/>
                <w:szCs w:val="24"/>
              </w:rPr>
              <w:t xml:space="preserve"> </w:t>
            </w:r>
          </w:p>
          <w:p w14:paraId="158E82EA"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174116EA"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Thomas J. O’Brien </w:t>
            </w:r>
          </w:p>
          <w:p w14:paraId="3718C28F"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Dylan F. Borchers </w:t>
            </w:r>
          </w:p>
          <w:p w14:paraId="4BECC09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Bricker &amp; Eckler LLP </w:t>
            </w:r>
          </w:p>
          <w:p w14:paraId="54A5361F"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100 South Third Street </w:t>
            </w:r>
          </w:p>
          <w:p w14:paraId="611A3839"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43215-4291 </w:t>
            </w:r>
          </w:p>
          <w:p w14:paraId="45EBD14D"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tobrien@bricker.com </w:t>
            </w:r>
          </w:p>
          <w:p w14:paraId="02C954B6"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3" w:history="1">
              <w:r w:rsidR="00E552F7" w:rsidRPr="006018D0">
                <w:rPr>
                  <w:rStyle w:val="Hyperlink"/>
                  <w:rFonts w:ascii="Arial" w:hAnsi="Arial" w:cs="Arial"/>
                  <w:sz w:val="24"/>
                  <w:szCs w:val="24"/>
                </w:rPr>
                <w:t>dborchers@bricker.com</w:t>
              </w:r>
            </w:hyperlink>
            <w:r w:rsidR="00E552F7" w:rsidRPr="006018D0">
              <w:rPr>
                <w:rFonts w:ascii="Arial" w:hAnsi="Arial" w:cs="Arial"/>
                <w:sz w:val="24"/>
                <w:szCs w:val="24"/>
              </w:rPr>
              <w:t xml:space="preserve"> </w:t>
            </w:r>
          </w:p>
          <w:p w14:paraId="00C3868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tc>
      </w:tr>
      <w:tr w:rsidR="00E552F7" w:rsidRPr="006018D0" w14:paraId="632F491A" w14:textId="77777777" w:rsidTr="001D18AD">
        <w:trPr>
          <w:trHeight w:val="1351"/>
        </w:trPr>
        <w:tc>
          <w:tcPr>
            <w:tcW w:w="4948" w:type="dxa"/>
            <w:gridSpan w:val="3"/>
          </w:tcPr>
          <w:p w14:paraId="322EB134"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David F. Boehm </w:t>
            </w:r>
          </w:p>
          <w:p w14:paraId="4450F686"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Michael L. Kurtz </w:t>
            </w:r>
          </w:p>
          <w:p w14:paraId="710E5C5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Jody Kyler Cohn </w:t>
            </w:r>
          </w:p>
          <w:p w14:paraId="4EF8E0B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Boehm, Kurtz &amp; Lowry </w:t>
            </w:r>
          </w:p>
          <w:p w14:paraId="3CD1194E"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36 E. Seventh St., Suite 1510 </w:t>
            </w:r>
          </w:p>
          <w:p w14:paraId="3CC49CDA"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Cincinnati, OH 45202 </w:t>
            </w:r>
          </w:p>
          <w:p w14:paraId="5DC2370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dboehm@bkllawfirm.com </w:t>
            </w:r>
          </w:p>
          <w:p w14:paraId="7EC5ED9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mkurtz@bkllawfirm.com </w:t>
            </w:r>
          </w:p>
          <w:p w14:paraId="0A38C932"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jkylercohn@bkllawfirm.com </w:t>
            </w:r>
          </w:p>
        </w:tc>
        <w:tc>
          <w:tcPr>
            <w:tcW w:w="4684" w:type="dxa"/>
            <w:gridSpan w:val="3"/>
          </w:tcPr>
          <w:p w14:paraId="3F8B491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Devin Parram </w:t>
            </w:r>
          </w:p>
          <w:p w14:paraId="5D7F236F"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Katherine Johnson </w:t>
            </w:r>
          </w:p>
          <w:p w14:paraId="717F48BD"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Werner Margard </w:t>
            </w:r>
          </w:p>
          <w:p w14:paraId="3B167EAF"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Attorney General’s Section </w:t>
            </w:r>
          </w:p>
          <w:p w14:paraId="6906DB5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Public Utilities Commission of Ohio </w:t>
            </w:r>
          </w:p>
          <w:p w14:paraId="471A45D1"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180 E. Broad St., 6th Floor </w:t>
            </w:r>
          </w:p>
          <w:p w14:paraId="55F54442"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3D486FF1"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devin.parram@puc.state.oh.us </w:t>
            </w:r>
          </w:p>
          <w:p w14:paraId="1EFB53D5"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katherine.johnson@puc.state.oh.us </w:t>
            </w:r>
          </w:p>
          <w:p w14:paraId="2ACBDFB5"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4" w:history="1">
              <w:r w:rsidR="00E552F7" w:rsidRPr="006018D0">
                <w:rPr>
                  <w:rStyle w:val="Hyperlink"/>
                  <w:rFonts w:ascii="Arial" w:hAnsi="Arial" w:cs="Arial"/>
                  <w:sz w:val="24"/>
                  <w:szCs w:val="24"/>
                </w:rPr>
                <w:t>werner.margard@puc.state.oh.us</w:t>
              </w:r>
            </w:hyperlink>
            <w:r w:rsidR="00E552F7" w:rsidRPr="006018D0">
              <w:rPr>
                <w:rFonts w:ascii="Arial" w:hAnsi="Arial" w:cs="Arial"/>
                <w:sz w:val="24"/>
                <w:szCs w:val="24"/>
              </w:rPr>
              <w:t xml:space="preserve"> </w:t>
            </w:r>
          </w:p>
          <w:p w14:paraId="6A51E79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tc>
      </w:tr>
      <w:tr w:rsidR="00E552F7" w:rsidRPr="006018D0" w14:paraId="78EE69FC" w14:textId="77777777" w:rsidTr="001D18AD">
        <w:trPr>
          <w:trHeight w:val="661"/>
        </w:trPr>
        <w:tc>
          <w:tcPr>
            <w:tcW w:w="4948" w:type="dxa"/>
            <w:gridSpan w:val="3"/>
          </w:tcPr>
          <w:p w14:paraId="281446D5"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Philip B. Sineneng </w:t>
            </w:r>
          </w:p>
          <w:p w14:paraId="2CEE31C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THOMPSON HINE LLP </w:t>
            </w:r>
          </w:p>
          <w:p w14:paraId="48F91F79"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41 South High Street, Suite 1700 </w:t>
            </w:r>
          </w:p>
          <w:p w14:paraId="18393FE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675607D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philip.sineneng@thompsonhine.com </w:t>
            </w:r>
          </w:p>
        </w:tc>
        <w:tc>
          <w:tcPr>
            <w:tcW w:w="4684" w:type="dxa"/>
            <w:gridSpan w:val="3"/>
          </w:tcPr>
          <w:p w14:paraId="6A77AB6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Maureen R. Grady </w:t>
            </w:r>
          </w:p>
          <w:p w14:paraId="0BF788A1"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Office of the Ohio Consumers' Counsel </w:t>
            </w:r>
          </w:p>
          <w:p w14:paraId="324145C8"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10 West Broad Street, Suite 1800 </w:t>
            </w:r>
          </w:p>
          <w:p w14:paraId="0D1ED37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43215-3485 </w:t>
            </w:r>
          </w:p>
          <w:p w14:paraId="72A32C7B"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maureen.grady@occ.ohio.gov </w:t>
            </w:r>
          </w:p>
        </w:tc>
      </w:tr>
      <w:tr w:rsidR="00E552F7" w:rsidRPr="006018D0" w14:paraId="7A25316F" w14:textId="77777777" w:rsidTr="001D18A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56" w:type="dxa"/>
        </w:trPr>
        <w:tc>
          <w:tcPr>
            <w:tcW w:w="4788" w:type="dxa"/>
            <w:gridSpan w:val="2"/>
            <w:shd w:val="clear" w:color="auto" w:fill="auto"/>
          </w:tcPr>
          <w:p w14:paraId="6D64D9C3" w14:textId="77777777" w:rsidR="00E552F7" w:rsidRPr="006018D0" w:rsidRDefault="00E552F7" w:rsidP="001D18AD">
            <w:pPr>
              <w:rPr>
                <w:rFonts w:ascii="Arial" w:hAnsi="Arial"/>
              </w:rPr>
            </w:pPr>
          </w:p>
        </w:tc>
        <w:tc>
          <w:tcPr>
            <w:tcW w:w="4788" w:type="dxa"/>
            <w:gridSpan w:val="3"/>
            <w:shd w:val="clear" w:color="auto" w:fill="auto"/>
          </w:tcPr>
          <w:p w14:paraId="5102F95C" w14:textId="77777777" w:rsidR="00E552F7" w:rsidRPr="006018D0" w:rsidRDefault="00E552F7" w:rsidP="001D18AD">
            <w:pPr>
              <w:rPr>
                <w:rFonts w:ascii="Arial" w:hAnsi="Arial"/>
              </w:rPr>
            </w:pPr>
          </w:p>
        </w:tc>
      </w:tr>
      <w:tr w:rsidR="00E552F7" w:rsidRPr="006018D0" w14:paraId="4E5DB500" w14:textId="77777777" w:rsidTr="001D18AD">
        <w:trPr>
          <w:gridAfter w:val="2"/>
          <w:wAfter w:w="1220" w:type="dxa"/>
          <w:trHeight w:val="1627"/>
        </w:trPr>
        <w:tc>
          <w:tcPr>
            <w:tcW w:w="4338" w:type="dxa"/>
          </w:tcPr>
          <w:p w14:paraId="7FE6688E" w14:textId="77777777" w:rsidR="00E552F7" w:rsidRDefault="00E552F7" w:rsidP="001D18AD">
            <w:pPr>
              <w:suppressLineNumbers/>
              <w:autoSpaceDE w:val="0"/>
              <w:autoSpaceDN w:val="0"/>
              <w:adjustRightInd w:val="0"/>
              <w:spacing w:after="0" w:line="240" w:lineRule="auto"/>
              <w:jc w:val="both"/>
              <w:rPr>
                <w:rFonts w:ascii="Arial" w:hAnsi="Arial" w:cs="Arial"/>
                <w:sz w:val="24"/>
                <w:szCs w:val="24"/>
              </w:rPr>
            </w:pPr>
          </w:p>
          <w:p w14:paraId="45460BBE"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Samuel C. Randazzo </w:t>
            </w:r>
          </w:p>
          <w:p w14:paraId="2B3D511D"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Frank P. Darr </w:t>
            </w:r>
          </w:p>
          <w:p w14:paraId="6A5D9E3F"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Matthew R. Pritchard </w:t>
            </w:r>
          </w:p>
          <w:p w14:paraId="248CD97D"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McNees Wallace &amp; Nurick </w:t>
            </w:r>
          </w:p>
          <w:p w14:paraId="4A805AE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21 East State Street, 17th Floor </w:t>
            </w:r>
          </w:p>
          <w:p w14:paraId="392BA56F"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5A766D89"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sam@mwncmh.com </w:t>
            </w:r>
          </w:p>
          <w:p w14:paraId="0C551549"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fdarr@mwncmh.com </w:t>
            </w:r>
          </w:p>
          <w:p w14:paraId="371E564E"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mpritchard@mwncmh.com </w:t>
            </w:r>
          </w:p>
          <w:p w14:paraId="21E1BE70"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tc>
        <w:tc>
          <w:tcPr>
            <w:tcW w:w="4074" w:type="dxa"/>
            <w:gridSpan w:val="3"/>
          </w:tcPr>
          <w:p w14:paraId="6C5388D4" w14:textId="77777777" w:rsidR="00E552F7" w:rsidRDefault="00E552F7" w:rsidP="001D18AD">
            <w:pPr>
              <w:suppressLineNumbers/>
              <w:autoSpaceDE w:val="0"/>
              <w:autoSpaceDN w:val="0"/>
              <w:adjustRightInd w:val="0"/>
              <w:spacing w:after="0" w:line="240" w:lineRule="auto"/>
              <w:ind w:left="612"/>
              <w:jc w:val="both"/>
              <w:rPr>
                <w:rFonts w:ascii="Arial" w:hAnsi="Arial" w:cs="Arial"/>
                <w:sz w:val="24"/>
                <w:szCs w:val="24"/>
              </w:rPr>
            </w:pPr>
          </w:p>
          <w:p w14:paraId="5BB52B6B" w14:textId="77777777" w:rsidR="00E552F7" w:rsidRPr="006018D0" w:rsidRDefault="00E552F7" w:rsidP="001D18AD">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Barth E. Royer </w:t>
            </w:r>
          </w:p>
          <w:p w14:paraId="504F9232" w14:textId="77777777" w:rsidR="00E552F7" w:rsidRPr="006018D0" w:rsidRDefault="00E552F7" w:rsidP="001D18AD">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Bell &amp; Royer Co., LPA </w:t>
            </w:r>
          </w:p>
          <w:p w14:paraId="17A85857" w14:textId="77777777" w:rsidR="00E552F7" w:rsidRPr="006018D0" w:rsidRDefault="00E552F7" w:rsidP="001D18AD">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33 South Grant Avenue </w:t>
            </w:r>
          </w:p>
          <w:p w14:paraId="3051C2B8" w14:textId="77777777" w:rsidR="00E552F7" w:rsidRPr="006018D0" w:rsidRDefault="00E552F7" w:rsidP="001D18AD">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Columbus, OH 43215-3927 </w:t>
            </w:r>
          </w:p>
          <w:p w14:paraId="4BA7E0C3" w14:textId="77777777" w:rsidR="00E552F7" w:rsidRPr="006018D0" w:rsidRDefault="00E552F7" w:rsidP="001D18AD">
            <w:pPr>
              <w:suppressLineNumbers/>
              <w:autoSpaceDE w:val="0"/>
              <w:autoSpaceDN w:val="0"/>
              <w:adjustRightInd w:val="0"/>
              <w:spacing w:after="0" w:line="240" w:lineRule="auto"/>
              <w:ind w:left="612"/>
              <w:jc w:val="both"/>
              <w:rPr>
                <w:rFonts w:ascii="Arial" w:hAnsi="Arial" w:cs="Arial"/>
                <w:sz w:val="24"/>
                <w:szCs w:val="24"/>
              </w:rPr>
            </w:pPr>
            <w:r w:rsidRPr="006018D0">
              <w:rPr>
                <w:rFonts w:ascii="Arial" w:hAnsi="Arial" w:cs="Arial"/>
                <w:sz w:val="24"/>
                <w:szCs w:val="24"/>
              </w:rPr>
              <w:t xml:space="preserve">barthroyer@aol.com </w:t>
            </w:r>
          </w:p>
          <w:p w14:paraId="02668378" w14:textId="77777777" w:rsidR="00E552F7" w:rsidRPr="006018D0" w:rsidRDefault="00E552F7" w:rsidP="001D18AD">
            <w:pPr>
              <w:suppressLineNumbers/>
              <w:autoSpaceDE w:val="0"/>
              <w:autoSpaceDN w:val="0"/>
              <w:adjustRightInd w:val="0"/>
              <w:spacing w:after="0" w:line="240" w:lineRule="auto"/>
              <w:ind w:left="612"/>
              <w:jc w:val="both"/>
              <w:rPr>
                <w:rFonts w:ascii="Arial" w:hAnsi="Arial" w:cs="Arial"/>
                <w:sz w:val="24"/>
                <w:szCs w:val="24"/>
              </w:rPr>
            </w:pPr>
          </w:p>
          <w:p w14:paraId="31CE31EA"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 </w:t>
            </w:r>
          </w:p>
        </w:tc>
      </w:tr>
      <w:tr w:rsidR="00E552F7" w:rsidRPr="006018D0" w14:paraId="0A0BB1ED" w14:textId="77777777" w:rsidTr="001D18AD">
        <w:trPr>
          <w:gridAfter w:val="2"/>
          <w:wAfter w:w="1220" w:type="dxa"/>
          <w:trHeight w:val="1213"/>
        </w:trPr>
        <w:tc>
          <w:tcPr>
            <w:tcW w:w="4338" w:type="dxa"/>
          </w:tcPr>
          <w:p w14:paraId="7BF5AD6B"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Gary A. Jeffries </w:t>
            </w:r>
          </w:p>
          <w:p w14:paraId="1B0ADBB5"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Assistant General Counsel </w:t>
            </w:r>
          </w:p>
          <w:p w14:paraId="0A9B6F92"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Dominion Resources Services, Inc. </w:t>
            </w:r>
          </w:p>
          <w:p w14:paraId="0813EC1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501 Martindale Street, Suite 400 </w:t>
            </w:r>
          </w:p>
          <w:p w14:paraId="7F54DCB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Pittsburgh, PA 15212-5817 </w:t>
            </w:r>
          </w:p>
          <w:p w14:paraId="75A502D8"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5" w:history="1">
              <w:r w:rsidR="00E552F7" w:rsidRPr="006018D0">
                <w:rPr>
                  <w:rStyle w:val="Hyperlink"/>
                  <w:rFonts w:ascii="Arial" w:hAnsi="Arial" w:cs="Arial"/>
                  <w:sz w:val="24"/>
                  <w:szCs w:val="24"/>
                </w:rPr>
                <w:t>gary.a.jeffries@dom.com</w:t>
              </w:r>
            </w:hyperlink>
            <w:r w:rsidR="00E552F7" w:rsidRPr="006018D0">
              <w:rPr>
                <w:rFonts w:ascii="Arial" w:hAnsi="Arial" w:cs="Arial"/>
                <w:sz w:val="24"/>
                <w:szCs w:val="24"/>
              </w:rPr>
              <w:t xml:space="preserve"> </w:t>
            </w:r>
          </w:p>
          <w:p w14:paraId="566AFD8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618DBF0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15E70B60"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5BAC177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Mark A. Hayden </w:t>
            </w:r>
          </w:p>
          <w:p w14:paraId="740C6BBE"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Jacob A. McDermott </w:t>
            </w:r>
          </w:p>
          <w:p w14:paraId="1B8E577B"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Scott J. Casto </w:t>
            </w:r>
          </w:p>
          <w:p w14:paraId="3EBEBC1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FirstEnergy Service Company </w:t>
            </w:r>
          </w:p>
          <w:p w14:paraId="36436161"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76 S. Main Street </w:t>
            </w:r>
          </w:p>
          <w:p w14:paraId="51FB8C98"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Akron, OH 44308 </w:t>
            </w:r>
          </w:p>
          <w:p w14:paraId="3A4D9290"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haydenm@firstenergycorp.com </w:t>
            </w:r>
          </w:p>
          <w:p w14:paraId="4CFC7501"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jmcdermott@firstenergycorp.com </w:t>
            </w:r>
          </w:p>
          <w:p w14:paraId="0C218746"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scasto@firstenergycorp.com </w:t>
            </w:r>
          </w:p>
        </w:tc>
        <w:tc>
          <w:tcPr>
            <w:tcW w:w="4074" w:type="dxa"/>
            <w:gridSpan w:val="3"/>
          </w:tcPr>
          <w:p w14:paraId="7D4F4F15"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Kimberly W. Bojko </w:t>
            </w:r>
          </w:p>
          <w:p w14:paraId="6699E3D8"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Mallory M. Mohler </w:t>
            </w:r>
          </w:p>
          <w:p w14:paraId="38C6C20A"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Carpenter Lipps &amp; Leland LLP </w:t>
            </w:r>
          </w:p>
          <w:p w14:paraId="3C0EDB0A"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280 Plaza, Suite 1300 </w:t>
            </w:r>
          </w:p>
          <w:p w14:paraId="20F5ED92"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280 North High Street </w:t>
            </w:r>
          </w:p>
          <w:p w14:paraId="15A7B2D6"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Columbus OH 43215 </w:t>
            </w:r>
          </w:p>
          <w:p w14:paraId="5D848971"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bojko@carpenterlipps.com </w:t>
            </w:r>
          </w:p>
          <w:p w14:paraId="40999BC0" w14:textId="77777777" w:rsidR="00E552F7" w:rsidRPr="006018D0" w:rsidRDefault="007110BE" w:rsidP="001D18AD">
            <w:pPr>
              <w:suppressLineNumbers/>
              <w:autoSpaceDE w:val="0"/>
              <w:autoSpaceDN w:val="0"/>
              <w:adjustRightInd w:val="0"/>
              <w:spacing w:after="0" w:line="240" w:lineRule="auto"/>
              <w:ind w:left="612"/>
              <w:rPr>
                <w:rFonts w:ascii="Arial" w:hAnsi="Arial" w:cs="Arial"/>
                <w:sz w:val="24"/>
                <w:szCs w:val="24"/>
              </w:rPr>
            </w:pPr>
            <w:hyperlink r:id="rId16" w:history="1">
              <w:r w:rsidR="00E552F7" w:rsidRPr="006018D0">
                <w:rPr>
                  <w:rStyle w:val="Hyperlink"/>
                  <w:rFonts w:ascii="Arial" w:hAnsi="Arial" w:cs="Arial"/>
                  <w:sz w:val="24"/>
                  <w:szCs w:val="24"/>
                </w:rPr>
                <w:t>mohler@carpenterlipps.com</w:t>
              </w:r>
            </w:hyperlink>
            <w:r w:rsidR="00E552F7" w:rsidRPr="006018D0">
              <w:rPr>
                <w:rFonts w:ascii="Arial" w:hAnsi="Arial" w:cs="Arial"/>
                <w:sz w:val="24"/>
                <w:szCs w:val="24"/>
              </w:rPr>
              <w:t xml:space="preserve"> </w:t>
            </w:r>
          </w:p>
          <w:p w14:paraId="5FF8FD93"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p>
          <w:p w14:paraId="6E24CEA9"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David I. Fein </w:t>
            </w:r>
          </w:p>
          <w:p w14:paraId="15191691"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Vice President, </w:t>
            </w:r>
          </w:p>
          <w:p w14:paraId="7E83852D"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State Gov. Affairs – East </w:t>
            </w:r>
          </w:p>
          <w:p w14:paraId="1698FAA6"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Exelon Corporation </w:t>
            </w:r>
          </w:p>
          <w:p w14:paraId="05D469FB"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10 South Dearborn Street,</w:t>
            </w:r>
          </w:p>
          <w:p w14:paraId="40F27416"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47th Floor </w:t>
            </w:r>
          </w:p>
          <w:p w14:paraId="305C48C9"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cs="Arial"/>
                <w:sz w:val="24"/>
                <w:szCs w:val="24"/>
              </w:rPr>
              <w:t xml:space="preserve">Chicago, IL 60603 </w:t>
            </w:r>
          </w:p>
          <w:p w14:paraId="5F6103DC" w14:textId="77777777" w:rsidR="00E552F7" w:rsidRPr="006018D0" w:rsidRDefault="007110BE" w:rsidP="001D18AD">
            <w:pPr>
              <w:suppressLineNumbers/>
              <w:autoSpaceDE w:val="0"/>
              <w:autoSpaceDN w:val="0"/>
              <w:adjustRightInd w:val="0"/>
              <w:spacing w:after="0" w:line="240" w:lineRule="auto"/>
              <w:ind w:left="612"/>
              <w:rPr>
                <w:rFonts w:ascii="Arial" w:hAnsi="Arial" w:cs="Arial"/>
                <w:sz w:val="24"/>
                <w:szCs w:val="24"/>
              </w:rPr>
            </w:pPr>
            <w:hyperlink r:id="rId17" w:history="1">
              <w:r w:rsidR="00E552F7" w:rsidRPr="006018D0">
                <w:rPr>
                  <w:rStyle w:val="Hyperlink"/>
                  <w:rFonts w:ascii="Arial" w:hAnsi="Arial" w:cs="Arial"/>
                  <w:sz w:val="24"/>
                  <w:szCs w:val="24"/>
                </w:rPr>
                <w:t>david.fein@exeloncorp.com</w:t>
              </w:r>
            </w:hyperlink>
            <w:r w:rsidR="00E552F7" w:rsidRPr="006018D0">
              <w:rPr>
                <w:rFonts w:ascii="Arial" w:hAnsi="Arial" w:cs="Arial"/>
                <w:sz w:val="24"/>
                <w:szCs w:val="24"/>
              </w:rPr>
              <w:t xml:space="preserve"> </w:t>
            </w:r>
          </w:p>
          <w:p w14:paraId="27DDFBA5"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p>
        </w:tc>
      </w:tr>
      <w:tr w:rsidR="00E552F7" w:rsidRPr="006018D0" w14:paraId="052D22BA" w14:textId="77777777" w:rsidTr="001D18AD">
        <w:trPr>
          <w:gridAfter w:val="2"/>
          <w:wAfter w:w="1220" w:type="dxa"/>
          <w:trHeight w:val="2593"/>
        </w:trPr>
        <w:tc>
          <w:tcPr>
            <w:tcW w:w="4338" w:type="dxa"/>
          </w:tcPr>
          <w:p w14:paraId="7DB5816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37331282"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Cynthia Fonner Brady </w:t>
            </w:r>
          </w:p>
          <w:p w14:paraId="3D59CBE2"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Assistant General Counsel </w:t>
            </w:r>
          </w:p>
          <w:p w14:paraId="38EF81F5"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Exelon Business Services Company </w:t>
            </w:r>
          </w:p>
          <w:p w14:paraId="57595A36"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4300 Winfield Road </w:t>
            </w:r>
          </w:p>
          <w:p w14:paraId="19E6AB07"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Warrenville, IL 60555 </w:t>
            </w:r>
          </w:p>
          <w:p w14:paraId="413BE41D"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8" w:history="1">
              <w:r w:rsidR="00E552F7" w:rsidRPr="006018D0">
                <w:rPr>
                  <w:rStyle w:val="Hyperlink"/>
                  <w:rFonts w:ascii="Arial" w:hAnsi="Arial" w:cs="Arial"/>
                  <w:sz w:val="24"/>
                  <w:szCs w:val="24"/>
                </w:rPr>
                <w:t>cynthia.brady@constellation.com</w:t>
              </w:r>
            </w:hyperlink>
            <w:r w:rsidR="00E552F7" w:rsidRPr="006018D0">
              <w:rPr>
                <w:rFonts w:ascii="Arial" w:hAnsi="Arial" w:cs="Arial"/>
                <w:sz w:val="24"/>
                <w:szCs w:val="24"/>
              </w:rPr>
              <w:t xml:space="preserve"> </w:t>
            </w:r>
          </w:p>
          <w:p w14:paraId="31AB0BB2"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09EC795E"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4FF8CC7C"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Lael Campbell </w:t>
            </w:r>
          </w:p>
          <w:p w14:paraId="16C999E0"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Exelon </w:t>
            </w:r>
          </w:p>
          <w:p w14:paraId="4F20DE45"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101 Constitution Avenue, NW </w:t>
            </w:r>
          </w:p>
          <w:p w14:paraId="3AFBEA3D"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cs="Arial"/>
                <w:sz w:val="24"/>
                <w:szCs w:val="24"/>
              </w:rPr>
              <w:t xml:space="preserve">Washington, DC 20001 </w:t>
            </w:r>
          </w:p>
          <w:p w14:paraId="6D55F296" w14:textId="77777777" w:rsidR="00E552F7" w:rsidRPr="006018D0" w:rsidRDefault="007110BE" w:rsidP="001D18AD">
            <w:pPr>
              <w:suppressLineNumbers/>
              <w:autoSpaceDE w:val="0"/>
              <w:autoSpaceDN w:val="0"/>
              <w:adjustRightInd w:val="0"/>
              <w:spacing w:after="0" w:line="240" w:lineRule="auto"/>
              <w:jc w:val="both"/>
              <w:rPr>
                <w:rFonts w:ascii="Arial" w:hAnsi="Arial" w:cs="Arial"/>
                <w:sz w:val="24"/>
                <w:szCs w:val="24"/>
              </w:rPr>
            </w:pPr>
            <w:hyperlink r:id="rId19" w:history="1">
              <w:r w:rsidR="00E552F7" w:rsidRPr="006018D0">
                <w:rPr>
                  <w:rStyle w:val="Hyperlink"/>
                  <w:rFonts w:ascii="Arial" w:hAnsi="Arial" w:cs="Arial"/>
                  <w:sz w:val="24"/>
                  <w:szCs w:val="24"/>
                </w:rPr>
                <w:t>Lael.Campbell@constellation.com</w:t>
              </w:r>
            </w:hyperlink>
            <w:r w:rsidR="00E552F7" w:rsidRPr="006018D0">
              <w:rPr>
                <w:rFonts w:ascii="Arial" w:hAnsi="Arial" w:cs="Arial"/>
                <w:sz w:val="24"/>
                <w:szCs w:val="24"/>
              </w:rPr>
              <w:t xml:space="preserve"> </w:t>
            </w:r>
          </w:p>
          <w:p w14:paraId="154848D3"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p>
          <w:p w14:paraId="111E8286" w14:textId="77777777" w:rsidR="00E552F7" w:rsidRPr="006018D0" w:rsidRDefault="00E552F7" w:rsidP="001D18AD">
            <w:pPr>
              <w:pStyle w:val="Default"/>
              <w:rPr>
                <w:rFonts w:ascii="Arial" w:hAnsi="Arial"/>
                <w:color w:val="auto"/>
              </w:rPr>
            </w:pPr>
          </w:p>
          <w:p w14:paraId="5A82072D" w14:textId="77777777" w:rsidR="00E552F7" w:rsidRPr="006018D0" w:rsidRDefault="00E552F7" w:rsidP="001D18AD">
            <w:pPr>
              <w:pStyle w:val="Default"/>
              <w:rPr>
                <w:rFonts w:ascii="Arial" w:hAnsi="Arial"/>
                <w:color w:val="auto"/>
              </w:rPr>
            </w:pPr>
            <w:r w:rsidRPr="006018D0">
              <w:rPr>
                <w:rFonts w:ascii="Arial" w:hAnsi="Arial"/>
                <w:color w:val="auto"/>
              </w:rPr>
              <w:lastRenderedPageBreak/>
              <w:t xml:space="preserve">Judi L. Sobecki </w:t>
            </w:r>
          </w:p>
          <w:p w14:paraId="495A218A" w14:textId="77777777" w:rsidR="00E552F7" w:rsidRPr="006018D0" w:rsidRDefault="00E552F7" w:rsidP="001D18AD">
            <w:pPr>
              <w:pStyle w:val="Default"/>
              <w:rPr>
                <w:rFonts w:ascii="Arial" w:hAnsi="Arial"/>
                <w:color w:val="auto"/>
              </w:rPr>
            </w:pPr>
            <w:r w:rsidRPr="006018D0">
              <w:rPr>
                <w:rFonts w:ascii="Arial" w:hAnsi="Arial"/>
                <w:color w:val="auto"/>
              </w:rPr>
              <w:t xml:space="preserve">The Dayton Power and Light Company </w:t>
            </w:r>
          </w:p>
          <w:p w14:paraId="21C57CF5" w14:textId="77777777" w:rsidR="00E552F7" w:rsidRPr="006018D0" w:rsidRDefault="00E552F7" w:rsidP="001D18AD">
            <w:pPr>
              <w:pStyle w:val="Default"/>
              <w:rPr>
                <w:rFonts w:ascii="Arial" w:hAnsi="Arial"/>
                <w:color w:val="auto"/>
              </w:rPr>
            </w:pPr>
            <w:r w:rsidRPr="006018D0">
              <w:rPr>
                <w:rFonts w:ascii="Arial" w:hAnsi="Arial"/>
                <w:color w:val="auto"/>
              </w:rPr>
              <w:t xml:space="preserve">1065 Woodman Drive </w:t>
            </w:r>
          </w:p>
          <w:p w14:paraId="305783F8" w14:textId="77777777" w:rsidR="00E552F7" w:rsidRPr="006018D0" w:rsidRDefault="00E552F7" w:rsidP="001D18AD">
            <w:pPr>
              <w:pStyle w:val="Default"/>
              <w:rPr>
                <w:rFonts w:ascii="Arial" w:hAnsi="Arial"/>
                <w:color w:val="auto"/>
              </w:rPr>
            </w:pPr>
            <w:r w:rsidRPr="006018D0">
              <w:rPr>
                <w:rFonts w:ascii="Arial" w:hAnsi="Arial"/>
                <w:color w:val="auto"/>
              </w:rPr>
              <w:t xml:space="preserve">Dayton, OH 45432 </w:t>
            </w:r>
          </w:p>
          <w:p w14:paraId="286E8714" w14:textId="77777777" w:rsidR="00E552F7" w:rsidRPr="006018D0" w:rsidRDefault="00E552F7" w:rsidP="001D18AD">
            <w:pPr>
              <w:suppressLineNumbers/>
              <w:autoSpaceDE w:val="0"/>
              <w:autoSpaceDN w:val="0"/>
              <w:adjustRightInd w:val="0"/>
              <w:spacing w:after="0" w:line="240" w:lineRule="auto"/>
              <w:jc w:val="both"/>
              <w:rPr>
                <w:rFonts w:ascii="Arial" w:hAnsi="Arial" w:cs="Arial"/>
                <w:sz w:val="24"/>
                <w:szCs w:val="24"/>
              </w:rPr>
            </w:pPr>
            <w:r w:rsidRPr="006018D0">
              <w:rPr>
                <w:rFonts w:ascii="Arial" w:hAnsi="Arial"/>
                <w:sz w:val="24"/>
                <w:szCs w:val="24"/>
              </w:rPr>
              <w:t>judi.sobecki@aes.com</w:t>
            </w:r>
          </w:p>
        </w:tc>
        <w:tc>
          <w:tcPr>
            <w:tcW w:w="4074" w:type="dxa"/>
            <w:gridSpan w:val="3"/>
          </w:tcPr>
          <w:p w14:paraId="3340D6C5" w14:textId="77777777" w:rsidR="00E552F7" w:rsidRPr="006018D0" w:rsidRDefault="00E552F7" w:rsidP="001D18AD">
            <w:pPr>
              <w:suppressLineNumbers/>
              <w:spacing w:after="0" w:line="240" w:lineRule="auto"/>
              <w:ind w:left="612"/>
              <w:rPr>
                <w:rFonts w:ascii="Arial" w:hAnsi="Arial" w:cs="Arial"/>
                <w:sz w:val="24"/>
                <w:szCs w:val="24"/>
              </w:rPr>
            </w:pPr>
          </w:p>
          <w:p w14:paraId="597C0880"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Colleen L. Mooney </w:t>
            </w:r>
          </w:p>
          <w:p w14:paraId="065EF48A"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Cathryn N. Loucas </w:t>
            </w:r>
          </w:p>
          <w:p w14:paraId="03D8040A"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Ohio Partners for Affordable Energy </w:t>
            </w:r>
          </w:p>
          <w:p w14:paraId="111FA610"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231 W. Lima Street </w:t>
            </w:r>
          </w:p>
          <w:p w14:paraId="063270A8"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Findlay, OH 45839 </w:t>
            </w:r>
          </w:p>
          <w:p w14:paraId="5818A363"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cmooney@ohiopartners.org </w:t>
            </w:r>
          </w:p>
          <w:p w14:paraId="4440FC4F" w14:textId="77777777" w:rsidR="00E552F7" w:rsidRPr="006018D0" w:rsidRDefault="007110BE" w:rsidP="001D18AD">
            <w:pPr>
              <w:suppressLineNumbers/>
              <w:autoSpaceDE w:val="0"/>
              <w:autoSpaceDN w:val="0"/>
              <w:adjustRightInd w:val="0"/>
              <w:spacing w:after="0" w:line="240" w:lineRule="auto"/>
              <w:ind w:left="612"/>
              <w:rPr>
                <w:rFonts w:ascii="Arial" w:hAnsi="Arial" w:cs="Arial"/>
                <w:sz w:val="24"/>
                <w:szCs w:val="24"/>
              </w:rPr>
            </w:pPr>
            <w:hyperlink r:id="rId20" w:history="1">
              <w:r w:rsidR="00E552F7" w:rsidRPr="006018D0">
                <w:rPr>
                  <w:rStyle w:val="Hyperlink"/>
                  <w:rFonts w:ascii="Arial" w:hAnsi="Arial" w:cs="Arial"/>
                  <w:sz w:val="24"/>
                  <w:szCs w:val="24"/>
                </w:rPr>
                <w:t>cloucas@ohiopartners.org</w:t>
              </w:r>
            </w:hyperlink>
          </w:p>
          <w:p w14:paraId="0C1C3965"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p>
          <w:p w14:paraId="31D2913D"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Trent Dougherty </w:t>
            </w:r>
          </w:p>
          <w:p w14:paraId="761A97D1"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Ohio Environmental Council </w:t>
            </w:r>
          </w:p>
          <w:p w14:paraId="753F11C7"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1207 Grandview Avenue, Suite 201 </w:t>
            </w:r>
          </w:p>
          <w:p w14:paraId="0F99EBDE"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Columbus, OH 43215-3449 </w:t>
            </w:r>
          </w:p>
          <w:p w14:paraId="1EFA5EC5" w14:textId="77777777" w:rsidR="00E552F7" w:rsidRPr="006018D0" w:rsidRDefault="007110BE" w:rsidP="001D18AD">
            <w:pPr>
              <w:suppressLineNumbers/>
              <w:autoSpaceDE w:val="0"/>
              <w:autoSpaceDN w:val="0"/>
              <w:adjustRightInd w:val="0"/>
              <w:spacing w:after="0" w:line="240" w:lineRule="auto"/>
              <w:ind w:left="612"/>
              <w:rPr>
                <w:rFonts w:ascii="Arial" w:hAnsi="Arial" w:cs="Arial"/>
                <w:sz w:val="24"/>
                <w:szCs w:val="24"/>
              </w:rPr>
            </w:pPr>
            <w:hyperlink r:id="rId21" w:history="1">
              <w:r w:rsidR="00E552F7" w:rsidRPr="006018D0">
                <w:rPr>
                  <w:rStyle w:val="Hyperlink"/>
                  <w:rFonts w:ascii="Arial" w:hAnsi="Arial" w:cs="Arial"/>
                  <w:sz w:val="24"/>
                  <w:szCs w:val="24"/>
                </w:rPr>
                <w:t>trent@theOEC.org</w:t>
              </w:r>
            </w:hyperlink>
          </w:p>
          <w:p w14:paraId="06126B1C"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p>
          <w:p w14:paraId="0BA3C5DA" w14:textId="77777777" w:rsidR="00E552F7" w:rsidRPr="006018D0" w:rsidRDefault="00E552F7" w:rsidP="001D18AD">
            <w:pPr>
              <w:pStyle w:val="Default"/>
              <w:ind w:left="612"/>
              <w:rPr>
                <w:rFonts w:ascii="Arial" w:hAnsi="Arial"/>
                <w:color w:val="auto"/>
              </w:rPr>
            </w:pPr>
          </w:p>
          <w:p w14:paraId="24E9E3E9" w14:textId="77777777" w:rsidR="00E552F7" w:rsidRPr="006018D0" w:rsidRDefault="00E552F7" w:rsidP="001D18AD">
            <w:pPr>
              <w:pStyle w:val="Default"/>
              <w:ind w:left="612"/>
              <w:rPr>
                <w:rFonts w:ascii="Arial" w:hAnsi="Arial"/>
                <w:color w:val="auto"/>
              </w:rPr>
            </w:pPr>
          </w:p>
          <w:p w14:paraId="3BD91F76" w14:textId="77777777" w:rsidR="00E552F7" w:rsidRPr="006018D0" w:rsidRDefault="00E552F7" w:rsidP="001D18AD">
            <w:pPr>
              <w:pStyle w:val="Default"/>
              <w:ind w:left="612"/>
              <w:rPr>
                <w:rFonts w:ascii="Arial" w:hAnsi="Arial"/>
                <w:color w:val="auto"/>
              </w:rPr>
            </w:pPr>
          </w:p>
          <w:p w14:paraId="1398C617" w14:textId="77777777" w:rsidR="00E552F7" w:rsidRPr="006018D0" w:rsidRDefault="00E552F7" w:rsidP="001D18AD">
            <w:pPr>
              <w:pStyle w:val="Default"/>
              <w:ind w:left="612"/>
              <w:rPr>
                <w:rFonts w:ascii="Arial" w:hAnsi="Arial"/>
                <w:color w:val="auto"/>
              </w:rPr>
            </w:pPr>
          </w:p>
          <w:p w14:paraId="66F41A20"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Rocco D’Ascenzo </w:t>
            </w:r>
          </w:p>
          <w:p w14:paraId="3D9B1930"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Elizabeth H. Watts </w:t>
            </w:r>
          </w:p>
          <w:p w14:paraId="02221EEF"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Duke Energy Ohio, Inc. </w:t>
            </w:r>
          </w:p>
          <w:p w14:paraId="720957CA"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139 E. Fourth Street, 1303-Main </w:t>
            </w:r>
          </w:p>
          <w:p w14:paraId="6B79DD97"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Cincinnati, OH 45202 </w:t>
            </w:r>
          </w:p>
          <w:p w14:paraId="3D36C857"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rocco.dascenzo@duke-energy.com </w:t>
            </w:r>
          </w:p>
          <w:p w14:paraId="79B08D64" w14:textId="77777777" w:rsidR="00E552F7" w:rsidRPr="006018D0" w:rsidRDefault="00E552F7" w:rsidP="001D18AD">
            <w:pPr>
              <w:suppressLineNumbers/>
              <w:autoSpaceDE w:val="0"/>
              <w:autoSpaceDN w:val="0"/>
              <w:adjustRightInd w:val="0"/>
              <w:spacing w:after="0" w:line="240" w:lineRule="auto"/>
              <w:ind w:left="612"/>
              <w:rPr>
                <w:rFonts w:ascii="Arial" w:hAnsi="Arial" w:cs="Arial"/>
                <w:sz w:val="24"/>
                <w:szCs w:val="24"/>
              </w:rPr>
            </w:pPr>
            <w:r w:rsidRPr="006018D0">
              <w:rPr>
                <w:rFonts w:ascii="Arial" w:hAnsi="Arial"/>
                <w:sz w:val="24"/>
                <w:szCs w:val="24"/>
              </w:rPr>
              <w:t xml:space="preserve">elizabeth.watts@duke-energy.com </w:t>
            </w:r>
          </w:p>
        </w:tc>
      </w:tr>
      <w:tr w:rsidR="00E552F7" w:rsidRPr="006018D0" w14:paraId="22E38198" w14:textId="77777777" w:rsidTr="001D18AD">
        <w:trPr>
          <w:gridAfter w:val="2"/>
          <w:wAfter w:w="1220" w:type="dxa"/>
          <w:trHeight w:val="2593"/>
        </w:trPr>
        <w:tc>
          <w:tcPr>
            <w:tcW w:w="4338" w:type="dxa"/>
            <w:tcBorders>
              <w:left w:val="nil"/>
            </w:tcBorders>
          </w:tcPr>
          <w:p w14:paraId="2F99F48A"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lastRenderedPageBreak/>
              <w:t xml:space="preserve">John Finnigan </w:t>
            </w:r>
          </w:p>
          <w:p w14:paraId="40472A19"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Senior Regulatory Attorney </w:t>
            </w:r>
          </w:p>
          <w:p w14:paraId="0526E45E"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Environmental Defense Fund </w:t>
            </w:r>
          </w:p>
          <w:p w14:paraId="4013911D"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128 Winding Brook Lane </w:t>
            </w:r>
          </w:p>
          <w:p w14:paraId="49B2CA65"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Terrace Park, OH 45174 </w:t>
            </w:r>
          </w:p>
          <w:p w14:paraId="6B0B5BC1"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jfinnigan@edf.org </w:t>
            </w:r>
          </w:p>
        </w:tc>
        <w:tc>
          <w:tcPr>
            <w:tcW w:w="4074" w:type="dxa"/>
            <w:gridSpan w:val="3"/>
            <w:tcBorders>
              <w:right w:val="nil"/>
            </w:tcBorders>
          </w:tcPr>
          <w:p w14:paraId="2DCBFDDD"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Mark S. Yurick </w:t>
            </w:r>
          </w:p>
          <w:p w14:paraId="05D6DFC8"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Zachary D. Kravitz </w:t>
            </w:r>
          </w:p>
          <w:p w14:paraId="1F539CA1"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Taft Stettinius &amp; Hollister LLP </w:t>
            </w:r>
          </w:p>
          <w:p w14:paraId="65AC7CF7"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65 E. State St., Suite 1000 </w:t>
            </w:r>
          </w:p>
          <w:p w14:paraId="2542FD94"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Columbus, OH 43215 </w:t>
            </w:r>
          </w:p>
          <w:p w14:paraId="1606D52F"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myurick@taftlaw.com </w:t>
            </w:r>
          </w:p>
          <w:p w14:paraId="1F2D2B51"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zkravitz@taftlaw.com </w:t>
            </w:r>
          </w:p>
        </w:tc>
      </w:tr>
      <w:tr w:rsidR="00E552F7" w:rsidRPr="006018D0" w14:paraId="320BB055" w14:textId="77777777" w:rsidTr="001D18AD">
        <w:trPr>
          <w:gridAfter w:val="2"/>
          <w:wAfter w:w="1220" w:type="dxa"/>
          <w:trHeight w:val="2593"/>
        </w:trPr>
        <w:tc>
          <w:tcPr>
            <w:tcW w:w="4338" w:type="dxa"/>
            <w:tcBorders>
              <w:left w:val="nil"/>
            </w:tcBorders>
          </w:tcPr>
          <w:p w14:paraId="0CEF5C6B"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Stephanie M. Chmiel </w:t>
            </w:r>
          </w:p>
          <w:p w14:paraId="55B93130"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Thompson Hine LLP </w:t>
            </w:r>
          </w:p>
          <w:p w14:paraId="3CA0E0BE"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41 S. High Street, Suite 1700 </w:t>
            </w:r>
          </w:p>
          <w:p w14:paraId="02DABEDB"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1CD88544"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stephanie.chmiel@thompsonhine.com </w:t>
            </w:r>
          </w:p>
          <w:p w14:paraId="397D53E7" w14:textId="77777777" w:rsidR="00E552F7" w:rsidRPr="006018D0" w:rsidRDefault="00E552F7" w:rsidP="001D18AD">
            <w:pPr>
              <w:suppressLineNumbers/>
              <w:spacing w:after="0" w:line="240" w:lineRule="auto"/>
              <w:jc w:val="both"/>
              <w:rPr>
                <w:rFonts w:ascii="Arial" w:hAnsi="Arial" w:cs="Arial"/>
                <w:sz w:val="24"/>
                <w:szCs w:val="24"/>
              </w:rPr>
            </w:pPr>
          </w:p>
          <w:p w14:paraId="1808995D"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Nicholas McDaniel </w:t>
            </w:r>
          </w:p>
          <w:p w14:paraId="1CF05376"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Environmental Law &amp; Policy Center </w:t>
            </w:r>
          </w:p>
          <w:p w14:paraId="4ABEA511"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1207 Grandview Avenue, Suite 201 </w:t>
            </w:r>
          </w:p>
          <w:p w14:paraId="0ECF56CB"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43212 </w:t>
            </w:r>
          </w:p>
          <w:p w14:paraId="43416683"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NMcDaniel@elpc.org</w:t>
            </w:r>
          </w:p>
        </w:tc>
        <w:tc>
          <w:tcPr>
            <w:tcW w:w="4074" w:type="dxa"/>
            <w:gridSpan w:val="3"/>
            <w:tcBorders>
              <w:right w:val="nil"/>
            </w:tcBorders>
          </w:tcPr>
          <w:p w14:paraId="3F069558"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Michael R. Smalz </w:t>
            </w:r>
          </w:p>
          <w:p w14:paraId="7A9C1E11"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Ohio Poverty Law Center </w:t>
            </w:r>
          </w:p>
          <w:p w14:paraId="523A6EDB"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555 Buttles Avenue </w:t>
            </w:r>
          </w:p>
          <w:p w14:paraId="26BBAAFE"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Columbus, OH 3215-1137 </w:t>
            </w:r>
          </w:p>
          <w:p w14:paraId="089B872D"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msmalz@ohiopovertylaw.org </w:t>
            </w:r>
          </w:p>
          <w:p w14:paraId="519D85F7" w14:textId="77777777" w:rsidR="00E552F7" w:rsidRPr="006018D0" w:rsidRDefault="00E552F7" w:rsidP="001D18AD">
            <w:pPr>
              <w:suppressLineNumbers/>
              <w:spacing w:after="0" w:line="240" w:lineRule="auto"/>
              <w:ind w:left="612"/>
              <w:rPr>
                <w:rFonts w:ascii="Arial" w:hAnsi="Arial" w:cs="Arial"/>
                <w:sz w:val="24"/>
                <w:szCs w:val="24"/>
              </w:rPr>
            </w:pPr>
          </w:p>
          <w:p w14:paraId="23292C8C" w14:textId="77777777" w:rsidR="00E552F7" w:rsidRPr="006018D0" w:rsidRDefault="00E552F7" w:rsidP="001D18AD">
            <w:pPr>
              <w:suppressLineNumbers/>
              <w:spacing w:after="0" w:line="240" w:lineRule="auto"/>
              <w:ind w:left="612"/>
              <w:rPr>
                <w:rFonts w:ascii="Arial" w:hAnsi="Arial" w:cs="Arial"/>
                <w:sz w:val="24"/>
                <w:szCs w:val="24"/>
              </w:rPr>
            </w:pPr>
          </w:p>
          <w:p w14:paraId="7D9ECC33"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Peggy P. Lee </w:t>
            </w:r>
          </w:p>
          <w:p w14:paraId="500CBC75"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Southeastern Ohio Legal Services </w:t>
            </w:r>
          </w:p>
          <w:p w14:paraId="13A6BEFB"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964 E. State Street </w:t>
            </w:r>
          </w:p>
          <w:p w14:paraId="7EF95AED"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cs="Arial"/>
                <w:sz w:val="24"/>
                <w:szCs w:val="24"/>
              </w:rPr>
              <w:t xml:space="preserve">Athens, Ohio 45701 </w:t>
            </w:r>
          </w:p>
          <w:p w14:paraId="3F223BB2" w14:textId="77777777" w:rsidR="00E552F7" w:rsidRPr="006018D0" w:rsidRDefault="007110BE" w:rsidP="001D18AD">
            <w:pPr>
              <w:suppressLineNumbers/>
              <w:spacing w:after="0" w:line="240" w:lineRule="auto"/>
              <w:ind w:left="612"/>
              <w:rPr>
                <w:rFonts w:ascii="Arial" w:hAnsi="Arial" w:cs="Arial"/>
                <w:sz w:val="24"/>
                <w:szCs w:val="24"/>
              </w:rPr>
            </w:pPr>
            <w:hyperlink r:id="rId22" w:history="1">
              <w:r w:rsidR="00E552F7" w:rsidRPr="006018D0">
                <w:rPr>
                  <w:rStyle w:val="Hyperlink"/>
                  <w:rFonts w:ascii="Arial" w:hAnsi="Arial" w:cs="Arial"/>
                  <w:sz w:val="24"/>
                  <w:szCs w:val="24"/>
                </w:rPr>
                <w:t>plee@oslsa.org</w:t>
              </w:r>
            </w:hyperlink>
            <w:r w:rsidR="00E552F7" w:rsidRPr="006018D0">
              <w:rPr>
                <w:rFonts w:ascii="Arial" w:hAnsi="Arial" w:cs="Arial"/>
                <w:sz w:val="24"/>
                <w:szCs w:val="24"/>
              </w:rPr>
              <w:t xml:space="preserve"> </w:t>
            </w:r>
          </w:p>
          <w:p w14:paraId="1F58F069" w14:textId="77777777" w:rsidR="00E552F7" w:rsidRPr="006018D0" w:rsidRDefault="00E552F7" w:rsidP="001D18AD">
            <w:pPr>
              <w:suppressLineNumbers/>
              <w:spacing w:after="0" w:line="240" w:lineRule="auto"/>
              <w:ind w:left="612"/>
              <w:rPr>
                <w:rFonts w:ascii="Arial" w:hAnsi="Arial" w:cs="Arial"/>
                <w:sz w:val="24"/>
                <w:szCs w:val="24"/>
              </w:rPr>
            </w:pPr>
          </w:p>
        </w:tc>
      </w:tr>
      <w:tr w:rsidR="00E552F7" w:rsidRPr="006018D0" w14:paraId="7677DCE3" w14:textId="77777777" w:rsidTr="001D18AD">
        <w:trPr>
          <w:gridAfter w:val="2"/>
          <w:wAfter w:w="1220" w:type="dxa"/>
          <w:trHeight w:val="2593"/>
        </w:trPr>
        <w:tc>
          <w:tcPr>
            <w:tcW w:w="4338" w:type="dxa"/>
            <w:tcBorders>
              <w:left w:val="nil"/>
              <w:bottom w:val="nil"/>
            </w:tcBorders>
          </w:tcPr>
          <w:p w14:paraId="05786B99"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lastRenderedPageBreak/>
              <w:t xml:space="preserve">Gregory J. Poulos </w:t>
            </w:r>
          </w:p>
          <w:p w14:paraId="77C48154"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EnerNOC, Inc. </w:t>
            </w:r>
          </w:p>
          <w:p w14:paraId="48A26EEC"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471 East Broad Street, Suite 1520 </w:t>
            </w:r>
          </w:p>
          <w:p w14:paraId="1A8633DF"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43215 </w:t>
            </w:r>
          </w:p>
          <w:p w14:paraId="2980A736" w14:textId="77777777" w:rsidR="00E552F7" w:rsidRPr="006018D0" w:rsidRDefault="007110BE" w:rsidP="001D18AD">
            <w:pPr>
              <w:suppressLineNumbers/>
              <w:spacing w:after="0" w:line="240" w:lineRule="auto"/>
              <w:jc w:val="both"/>
              <w:rPr>
                <w:rFonts w:ascii="Arial" w:hAnsi="Arial" w:cs="Arial"/>
                <w:sz w:val="24"/>
                <w:szCs w:val="24"/>
              </w:rPr>
            </w:pPr>
            <w:hyperlink r:id="rId23" w:history="1">
              <w:r w:rsidR="00E552F7" w:rsidRPr="006018D0">
                <w:rPr>
                  <w:rStyle w:val="Hyperlink"/>
                  <w:rFonts w:ascii="Arial" w:hAnsi="Arial" w:cs="Arial"/>
                  <w:sz w:val="24"/>
                  <w:szCs w:val="24"/>
                </w:rPr>
                <w:t>gpoulos@enernoc.com</w:t>
              </w:r>
            </w:hyperlink>
          </w:p>
        </w:tc>
        <w:tc>
          <w:tcPr>
            <w:tcW w:w="4074" w:type="dxa"/>
            <w:gridSpan w:val="3"/>
            <w:tcBorders>
              <w:bottom w:val="nil"/>
              <w:right w:val="nil"/>
            </w:tcBorders>
          </w:tcPr>
          <w:p w14:paraId="479B9B1B"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Steve W. Chriss </w:t>
            </w:r>
          </w:p>
          <w:p w14:paraId="379A4881"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Senior Manager, Energy Regulatory Analysis </w:t>
            </w:r>
          </w:p>
          <w:p w14:paraId="34DC53B5"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Wal-Mart Stores, Inc. </w:t>
            </w:r>
          </w:p>
          <w:p w14:paraId="03840E3D"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2001 SE 10th Street </w:t>
            </w:r>
          </w:p>
          <w:p w14:paraId="7C22F892"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Bentonville, AR 72716-0550 </w:t>
            </w:r>
          </w:p>
          <w:p w14:paraId="64A70501" w14:textId="77777777" w:rsidR="00E552F7" w:rsidRPr="006018D0" w:rsidRDefault="00E552F7" w:rsidP="001D18AD">
            <w:pPr>
              <w:suppressLineNumbers/>
              <w:spacing w:after="0" w:line="240" w:lineRule="auto"/>
              <w:ind w:left="612"/>
              <w:rPr>
                <w:rFonts w:ascii="Arial" w:hAnsi="Arial" w:cs="Arial"/>
                <w:sz w:val="24"/>
                <w:szCs w:val="24"/>
              </w:rPr>
            </w:pPr>
            <w:r w:rsidRPr="006018D0">
              <w:rPr>
                <w:rFonts w:ascii="Arial" w:hAnsi="Arial"/>
                <w:sz w:val="24"/>
                <w:szCs w:val="24"/>
              </w:rPr>
              <w:t>stephen.criss@walmart.com</w:t>
            </w:r>
            <w:r w:rsidRPr="006018D0">
              <w:rPr>
                <w:sz w:val="23"/>
                <w:szCs w:val="23"/>
              </w:rPr>
              <w:t xml:space="preserve"> </w:t>
            </w:r>
          </w:p>
        </w:tc>
      </w:tr>
      <w:tr w:rsidR="00E552F7" w:rsidRPr="006018D0" w14:paraId="343AFE67" w14:textId="77777777" w:rsidTr="001D18AD">
        <w:trPr>
          <w:gridAfter w:val="2"/>
          <w:wAfter w:w="1220" w:type="dxa"/>
          <w:trHeight w:val="2593"/>
        </w:trPr>
        <w:tc>
          <w:tcPr>
            <w:tcW w:w="4338" w:type="dxa"/>
            <w:tcBorders>
              <w:left w:val="nil"/>
              <w:bottom w:val="nil"/>
            </w:tcBorders>
          </w:tcPr>
          <w:p w14:paraId="6F61F563"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J. Thomas Siwo </w:t>
            </w:r>
          </w:p>
          <w:p w14:paraId="1C0FB9A6"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Bricker &amp; Eckeler LLP </w:t>
            </w:r>
          </w:p>
          <w:p w14:paraId="2251D153"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100 South Third Street </w:t>
            </w:r>
          </w:p>
          <w:p w14:paraId="37D82396"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Columbus, OH 43215-4291 </w:t>
            </w:r>
          </w:p>
          <w:p w14:paraId="79DA0170"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cs="Arial"/>
                <w:sz w:val="24"/>
                <w:szCs w:val="24"/>
              </w:rPr>
              <w:t xml:space="preserve">tsiwo@bricker.com </w:t>
            </w:r>
          </w:p>
          <w:p w14:paraId="3B761E9F" w14:textId="77777777" w:rsidR="00E552F7" w:rsidRPr="006018D0" w:rsidRDefault="00E552F7" w:rsidP="001D18AD">
            <w:pPr>
              <w:suppressLineNumbers/>
              <w:spacing w:after="0" w:line="240" w:lineRule="auto"/>
              <w:jc w:val="both"/>
              <w:rPr>
                <w:rFonts w:ascii="Arial" w:hAnsi="Arial" w:cs="Arial"/>
                <w:sz w:val="24"/>
                <w:szCs w:val="24"/>
              </w:rPr>
            </w:pPr>
          </w:p>
          <w:p w14:paraId="3D819A0C" w14:textId="77777777" w:rsidR="00E552F7" w:rsidRPr="006018D0" w:rsidRDefault="00E552F7" w:rsidP="001D18AD">
            <w:pPr>
              <w:pStyle w:val="Default"/>
              <w:rPr>
                <w:rFonts w:ascii="Arial" w:hAnsi="Arial"/>
                <w:color w:val="auto"/>
              </w:rPr>
            </w:pPr>
            <w:r w:rsidRPr="006018D0">
              <w:rPr>
                <w:rFonts w:ascii="Arial" w:hAnsi="Arial"/>
                <w:color w:val="auto"/>
              </w:rPr>
              <w:t xml:space="preserve">Lisa M. Hawrot </w:t>
            </w:r>
          </w:p>
          <w:p w14:paraId="2FFF817F" w14:textId="77777777" w:rsidR="00E552F7" w:rsidRPr="006018D0" w:rsidRDefault="00E552F7" w:rsidP="001D18AD">
            <w:pPr>
              <w:pStyle w:val="Default"/>
              <w:rPr>
                <w:rFonts w:ascii="Arial" w:hAnsi="Arial"/>
                <w:color w:val="auto"/>
              </w:rPr>
            </w:pPr>
            <w:r w:rsidRPr="006018D0">
              <w:rPr>
                <w:rFonts w:ascii="Arial" w:hAnsi="Arial"/>
                <w:color w:val="auto"/>
              </w:rPr>
              <w:t xml:space="preserve">Spilman Thomas &amp; Battle, PLLC </w:t>
            </w:r>
          </w:p>
          <w:p w14:paraId="7817B562" w14:textId="77777777" w:rsidR="00E552F7" w:rsidRPr="006018D0" w:rsidRDefault="00E552F7" w:rsidP="001D18AD">
            <w:pPr>
              <w:pStyle w:val="Default"/>
              <w:rPr>
                <w:rFonts w:ascii="Arial" w:hAnsi="Arial"/>
                <w:color w:val="auto"/>
              </w:rPr>
            </w:pPr>
            <w:r w:rsidRPr="006018D0">
              <w:rPr>
                <w:rFonts w:ascii="Arial" w:hAnsi="Arial"/>
                <w:color w:val="auto"/>
              </w:rPr>
              <w:t xml:space="preserve">Century Centre Building </w:t>
            </w:r>
          </w:p>
          <w:p w14:paraId="40965F0C" w14:textId="77777777" w:rsidR="00E552F7" w:rsidRPr="006018D0" w:rsidRDefault="00E552F7" w:rsidP="001D18AD">
            <w:pPr>
              <w:pStyle w:val="Default"/>
              <w:rPr>
                <w:rFonts w:ascii="Arial" w:hAnsi="Arial"/>
                <w:color w:val="auto"/>
              </w:rPr>
            </w:pPr>
            <w:r w:rsidRPr="006018D0">
              <w:rPr>
                <w:rFonts w:ascii="Arial" w:hAnsi="Arial"/>
                <w:color w:val="auto"/>
              </w:rPr>
              <w:t xml:space="preserve">1233 Main Street, Suite 4000 </w:t>
            </w:r>
          </w:p>
          <w:p w14:paraId="63C91F28" w14:textId="77777777" w:rsidR="00E552F7" w:rsidRPr="006018D0" w:rsidRDefault="00E552F7" w:rsidP="001D18AD">
            <w:pPr>
              <w:pStyle w:val="Default"/>
              <w:rPr>
                <w:rFonts w:ascii="Arial" w:hAnsi="Arial"/>
                <w:color w:val="auto"/>
              </w:rPr>
            </w:pPr>
            <w:r w:rsidRPr="006018D0">
              <w:rPr>
                <w:rFonts w:ascii="Arial" w:hAnsi="Arial"/>
                <w:color w:val="auto"/>
              </w:rPr>
              <w:t xml:space="preserve">Wheeling, WV 26003 </w:t>
            </w:r>
          </w:p>
          <w:p w14:paraId="35BD2C88" w14:textId="77777777" w:rsidR="00E552F7" w:rsidRPr="006018D0" w:rsidRDefault="00E552F7" w:rsidP="001D18AD">
            <w:pPr>
              <w:pStyle w:val="Default"/>
              <w:rPr>
                <w:rFonts w:ascii="Arial" w:hAnsi="Arial"/>
                <w:color w:val="auto"/>
              </w:rPr>
            </w:pPr>
            <w:r w:rsidRPr="006018D0">
              <w:rPr>
                <w:rFonts w:ascii="Arial" w:hAnsi="Arial"/>
                <w:color w:val="auto"/>
              </w:rPr>
              <w:t xml:space="preserve">lhawrot@spilmanlaw.com </w:t>
            </w:r>
          </w:p>
          <w:p w14:paraId="35621F92" w14:textId="77777777" w:rsidR="00E552F7" w:rsidRPr="006018D0" w:rsidRDefault="00E552F7" w:rsidP="001D18AD">
            <w:pPr>
              <w:pStyle w:val="Default"/>
              <w:rPr>
                <w:rFonts w:ascii="Arial" w:hAnsi="Arial"/>
                <w:color w:val="auto"/>
              </w:rPr>
            </w:pPr>
          </w:p>
          <w:p w14:paraId="1061E66E" w14:textId="77777777" w:rsidR="00E552F7" w:rsidRPr="006018D0" w:rsidRDefault="00E552F7" w:rsidP="001D18AD">
            <w:pPr>
              <w:pStyle w:val="Default"/>
              <w:rPr>
                <w:rFonts w:ascii="Arial" w:hAnsi="Arial"/>
                <w:color w:val="auto"/>
              </w:rPr>
            </w:pPr>
            <w:r w:rsidRPr="006018D0">
              <w:rPr>
                <w:rFonts w:ascii="Arial" w:hAnsi="Arial"/>
                <w:color w:val="auto"/>
              </w:rPr>
              <w:t xml:space="preserve">Tai C. Shadrick </w:t>
            </w:r>
          </w:p>
          <w:p w14:paraId="16D1BAE4" w14:textId="77777777" w:rsidR="00E552F7" w:rsidRPr="006018D0" w:rsidRDefault="00E552F7" w:rsidP="001D18AD">
            <w:pPr>
              <w:pStyle w:val="Default"/>
              <w:rPr>
                <w:rFonts w:ascii="Arial" w:hAnsi="Arial"/>
                <w:color w:val="auto"/>
              </w:rPr>
            </w:pPr>
            <w:r w:rsidRPr="006018D0">
              <w:rPr>
                <w:rFonts w:ascii="Arial" w:hAnsi="Arial"/>
                <w:color w:val="auto"/>
              </w:rPr>
              <w:t xml:space="preserve">Spilman Thomas &amp; Battle, PLLC </w:t>
            </w:r>
          </w:p>
          <w:p w14:paraId="06FB87C3" w14:textId="77777777" w:rsidR="00E552F7" w:rsidRPr="006018D0" w:rsidRDefault="00E552F7" w:rsidP="001D18AD">
            <w:pPr>
              <w:pStyle w:val="Default"/>
              <w:rPr>
                <w:rFonts w:ascii="Arial" w:hAnsi="Arial"/>
                <w:color w:val="auto"/>
              </w:rPr>
            </w:pPr>
            <w:r w:rsidRPr="006018D0">
              <w:rPr>
                <w:rFonts w:ascii="Arial" w:hAnsi="Arial"/>
                <w:color w:val="auto"/>
              </w:rPr>
              <w:t xml:space="preserve">300 Kanawha Blvd. East </w:t>
            </w:r>
          </w:p>
          <w:p w14:paraId="7A93E987" w14:textId="77777777" w:rsidR="00E552F7" w:rsidRPr="006018D0" w:rsidRDefault="00E552F7" w:rsidP="001D18AD">
            <w:pPr>
              <w:pStyle w:val="Default"/>
              <w:rPr>
                <w:rFonts w:ascii="Arial" w:hAnsi="Arial"/>
                <w:color w:val="auto"/>
              </w:rPr>
            </w:pPr>
            <w:r w:rsidRPr="006018D0">
              <w:rPr>
                <w:rFonts w:ascii="Arial" w:hAnsi="Arial"/>
                <w:color w:val="auto"/>
              </w:rPr>
              <w:t xml:space="preserve">Charleston, WV 25301 </w:t>
            </w:r>
          </w:p>
          <w:p w14:paraId="1772C7E5" w14:textId="77777777" w:rsidR="00E552F7" w:rsidRPr="006018D0" w:rsidRDefault="007110BE" w:rsidP="001D18AD">
            <w:pPr>
              <w:suppressLineNumbers/>
              <w:spacing w:after="0" w:line="240" w:lineRule="auto"/>
              <w:jc w:val="both"/>
              <w:rPr>
                <w:rFonts w:ascii="Arial" w:hAnsi="Arial"/>
                <w:sz w:val="24"/>
                <w:szCs w:val="24"/>
              </w:rPr>
            </w:pPr>
            <w:hyperlink r:id="rId24" w:history="1">
              <w:r w:rsidR="00E552F7" w:rsidRPr="006018D0">
                <w:rPr>
                  <w:rStyle w:val="Hyperlink"/>
                  <w:rFonts w:ascii="Arial" w:hAnsi="Arial"/>
                  <w:sz w:val="24"/>
                  <w:szCs w:val="24"/>
                </w:rPr>
                <w:t>tshadrick@spilmanlaw.com</w:t>
              </w:r>
            </w:hyperlink>
          </w:p>
          <w:p w14:paraId="296B6C97" w14:textId="77777777" w:rsidR="00E552F7" w:rsidRPr="006018D0" w:rsidRDefault="00E552F7" w:rsidP="001D18AD">
            <w:pPr>
              <w:suppressLineNumbers/>
              <w:spacing w:after="0" w:line="240" w:lineRule="auto"/>
              <w:jc w:val="both"/>
              <w:rPr>
                <w:rFonts w:ascii="Arial" w:hAnsi="Arial"/>
                <w:sz w:val="24"/>
                <w:szCs w:val="24"/>
              </w:rPr>
            </w:pPr>
          </w:p>
          <w:p w14:paraId="1931B2E0" w14:textId="77777777" w:rsidR="00E552F7" w:rsidRPr="006018D0" w:rsidRDefault="00E552F7" w:rsidP="001D18AD">
            <w:pPr>
              <w:pStyle w:val="Default"/>
              <w:jc w:val="both"/>
              <w:rPr>
                <w:rFonts w:ascii="Arial" w:hAnsi="Arial"/>
                <w:color w:val="auto"/>
              </w:rPr>
            </w:pPr>
          </w:p>
          <w:p w14:paraId="22A802EF" w14:textId="77777777" w:rsidR="00E552F7" w:rsidRPr="006018D0" w:rsidRDefault="00E552F7" w:rsidP="001D18AD">
            <w:pPr>
              <w:pStyle w:val="Default"/>
              <w:jc w:val="both"/>
              <w:rPr>
                <w:rFonts w:ascii="Arial" w:hAnsi="Arial"/>
                <w:color w:val="auto"/>
              </w:rPr>
            </w:pPr>
            <w:r w:rsidRPr="006018D0">
              <w:rPr>
                <w:rFonts w:ascii="Arial" w:hAnsi="Arial"/>
                <w:color w:val="auto"/>
              </w:rPr>
              <w:t xml:space="preserve">Kevin R. Schmidt </w:t>
            </w:r>
          </w:p>
          <w:p w14:paraId="22855036" w14:textId="77777777" w:rsidR="00E552F7" w:rsidRPr="006018D0" w:rsidRDefault="00E552F7" w:rsidP="001D18AD">
            <w:pPr>
              <w:pStyle w:val="Default"/>
              <w:jc w:val="both"/>
              <w:rPr>
                <w:rFonts w:ascii="Arial" w:hAnsi="Arial"/>
                <w:color w:val="auto"/>
              </w:rPr>
            </w:pPr>
            <w:r w:rsidRPr="006018D0">
              <w:rPr>
                <w:rFonts w:ascii="Arial" w:hAnsi="Arial"/>
                <w:color w:val="auto"/>
              </w:rPr>
              <w:t xml:space="preserve">88 East Broad Street, Suite 1770 </w:t>
            </w:r>
          </w:p>
          <w:p w14:paraId="6F62E2BC" w14:textId="77777777" w:rsidR="00E552F7" w:rsidRPr="006018D0" w:rsidRDefault="00E552F7" w:rsidP="001D18AD">
            <w:pPr>
              <w:pStyle w:val="Default"/>
              <w:jc w:val="both"/>
              <w:rPr>
                <w:rFonts w:ascii="Arial" w:hAnsi="Arial"/>
                <w:color w:val="auto"/>
              </w:rPr>
            </w:pPr>
            <w:r w:rsidRPr="006018D0">
              <w:rPr>
                <w:rFonts w:ascii="Arial" w:hAnsi="Arial"/>
                <w:color w:val="auto"/>
              </w:rPr>
              <w:t xml:space="preserve">Columbus, Ohio 43215 </w:t>
            </w:r>
          </w:p>
          <w:p w14:paraId="3FA12C33" w14:textId="77777777" w:rsidR="00E552F7" w:rsidRPr="006018D0" w:rsidRDefault="007110BE" w:rsidP="001D18AD">
            <w:pPr>
              <w:suppressLineNumbers/>
              <w:spacing w:after="0" w:line="240" w:lineRule="auto"/>
              <w:jc w:val="both"/>
              <w:rPr>
                <w:rFonts w:ascii="Arial" w:hAnsi="Arial"/>
                <w:sz w:val="24"/>
                <w:szCs w:val="24"/>
              </w:rPr>
            </w:pPr>
            <w:hyperlink r:id="rId25" w:history="1">
              <w:r w:rsidR="00E552F7" w:rsidRPr="006018D0">
                <w:rPr>
                  <w:rStyle w:val="Hyperlink"/>
                  <w:rFonts w:ascii="Arial" w:hAnsi="Arial"/>
                  <w:sz w:val="24"/>
                  <w:szCs w:val="24"/>
                </w:rPr>
                <w:t>schmidt@sppgrp.com</w:t>
              </w:r>
            </w:hyperlink>
          </w:p>
          <w:p w14:paraId="25297B91" w14:textId="77777777" w:rsidR="00E552F7" w:rsidRPr="006018D0" w:rsidRDefault="00E552F7" w:rsidP="001D18AD">
            <w:pPr>
              <w:suppressLineNumbers/>
              <w:spacing w:after="0" w:line="240" w:lineRule="auto"/>
              <w:jc w:val="both"/>
              <w:rPr>
                <w:rFonts w:ascii="Arial" w:hAnsi="Arial"/>
                <w:sz w:val="24"/>
                <w:szCs w:val="24"/>
              </w:rPr>
            </w:pPr>
          </w:p>
          <w:p w14:paraId="437637C0" w14:textId="77777777" w:rsidR="00E552F7" w:rsidRPr="006018D0" w:rsidRDefault="00E552F7" w:rsidP="001D18AD">
            <w:pPr>
              <w:suppressLineNumbers/>
              <w:spacing w:after="0" w:line="240" w:lineRule="auto"/>
              <w:jc w:val="both"/>
              <w:rPr>
                <w:rFonts w:ascii="Arial" w:hAnsi="Arial"/>
                <w:sz w:val="24"/>
                <w:szCs w:val="24"/>
              </w:rPr>
            </w:pPr>
          </w:p>
          <w:p w14:paraId="2945A4EE" w14:textId="77777777" w:rsidR="00E552F7" w:rsidRPr="006018D0" w:rsidRDefault="00E552F7" w:rsidP="001D18AD">
            <w:pPr>
              <w:suppressLineNumbers/>
              <w:spacing w:after="0" w:line="240" w:lineRule="auto"/>
              <w:jc w:val="both"/>
              <w:rPr>
                <w:rFonts w:ascii="Arial" w:hAnsi="Arial"/>
                <w:sz w:val="24"/>
                <w:szCs w:val="24"/>
              </w:rPr>
            </w:pPr>
            <w:r w:rsidRPr="006018D0">
              <w:rPr>
                <w:rFonts w:ascii="Arial" w:hAnsi="Arial"/>
                <w:sz w:val="24"/>
                <w:szCs w:val="24"/>
              </w:rPr>
              <w:t>Joseph M. Clark</w:t>
            </w:r>
          </w:p>
          <w:p w14:paraId="6FD512AE" w14:textId="77777777" w:rsidR="00E552F7" w:rsidRPr="006018D0" w:rsidRDefault="00E552F7" w:rsidP="001D18AD">
            <w:pPr>
              <w:suppressLineNumbers/>
              <w:spacing w:after="0" w:line="240" w:lineRule="auto"/>
              <w:jc w:val="both"/>
              <w:rPr>
                <w:rFonts w:ascii="Arial" w:hAnsi="Arial"/>
                <w:sz w:val="24"/>
                <w:szCs w:val="24"/>
              </w:rPr>
            </w:pPr>
            <w:r w:rsidRPr="006018D0">
              <w:rPr>
                <w:rFonts w:ascii="Arial" w:hAnsi="Arial"/>
                <w:sz w:val="24"/>
                <w:szCs w:val="24"/>
              </w:rPr>
              <w:t>DIRECT ENERGY</w:t>
            </w:r>
          </w:p>
          <w:p w14:paraId="5C3A7D58" w14:textId="77777777" w:rsidR="00E552F7" w:rsidRPr="006018D0" w:rsidRDefault="00E552F7" w:rsidP="001D18AD">
            <w:pPr>
              <w:suppressLineNumbers/>
              <w:spacing w:after="0" w:line="240" w:lineRule="auto"/>
              <w:jc w:val="both"/>
              <w:rPr>
                <w:rFonts w:ascii="Arial" w:hAnsi="Arial"/>
                <w:sz w:val="24"/>
                <w:szCs w:val="24"/>
              </w:rPr>
            </w:pPr>
            <w:r w:rsidRPr="006018D0">
              <w:rPr>
                <w:rFonts w:ascii="Arial" w:hAnsi="Arial"/>
                <w:sz w:val="24"/>
                <w:szCs w:val="24"/>
              </w:rPr>
              <w:t>21 East State Street, 19th Floor</w:t>
            </w:r>
          </w:p>
          <w:p w14:paraId="4AE7749B" w14:textId="77777777" w:rsidR="00E552F7" w:rsidRPr="006018D0" w:rsidRDefault="00E552F7" w:rsidP="001D18AD">
            <w:pPr>
              <w:suppressLineNumbers/>
              <w:spacing w:after="0" w:line="240" w:lineRule="auto"/>
              <w:jc w:val="both"/>
              <w:rPr>
                <w:rFonts w:ascii="Arial" w:hAnsi="Arial"/>
                <w:sz w:val="24"/>
                <w:szCs w:val="24"/>
              </w:rPr>
            </w:pPr>
            <w:r w:rsidRPr="006018D0">
              <w:rPr>
                <w:rFonts w:ascii="Arial" w:hAnsi="Arial"/>
                <w:sz w:val="24"/>
                <w:szCs w:val="24"/>
              </w:rPr>
              <w:t>Columbus, Ohio 43215</w:t>
            </w:r>
          </w:p>
          <w:p w14:paraId="2C713DC5" w14:textId="77777777" w:rsidR="00E552F7" w:rsidRPr="006018D0" w:rsidRDefault="00E552F7" w:rsidP="001D18AD">
            <w:pPr>
              <w:suppressLineNumbers/>
              <w:spacing w:after="0" w:line="240" w:lineRule="auto"/>
              <w:jc w:val="both"/>
              <w:rPr>
                <w:rFonts w:ascii="Arial" w:hAnsi="Arial" w:cs="Arial"/>
                <w:sz w:val="24"/>
                <w:szCs w:val="24"/>
              </w:rPr>
            </w:pPr>
            <w:r w:rsidRPr="006018D0">
              <w:rPr>
                <w:rFonts w:ascii="Arial" w:hAnsi="Arial"/>
                <w:sz w:val="24"/>
                <w:szCs w:val="24"/>
              </w:rPr>
              <w:t>joseph.clark@directenergy.com</w:t>
            </w:r>
          </w:p>
        </w:tc>
        <w:tc>
          <w:tcPr>
            <w:tcW w:w="4074" w:type="dxa"/>
            <w:gridSpan w:val="3"/>
            <w:tcBorders>
              <w:bottom w:val="nil"/>
              <w:right w:val="nil"/>
            </w:tcBorders>
          </w:tcPr>
          <w:p w14:paraId="0F5B71C8"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Samantha Williams </w:t>
            </w:r>
          </w:p>
          <w:p w14:paraId="4228B682"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Natural Resources Defense Council </w:t>
            </w:r>
          </w:p>
          <w:p w14:paraId="2EEE838D"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20 N Wacker Drive, Suite 1600 </w:t>
            </w:r>
          </w:p>
          <w:p w14:paraId="0F398866"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Chicago, IL 60606 </w:t>
            </w:r>
          </w:p>
          <w:p w14:paraId="2D32722B"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swilliams@nrdc.org </w:t>
            </w:r>
          </w:p>
          <w:p w14:paraId="0352AF8B" w14:textId="77777777" w:rsidR="00E552F7" w:rsidRPr="006018D0" w:rsidRDefault="00E552F7" w:rsidP="001D18AD">
            <w:pPr>
              <w:pStyle w:val="Default"/>
              <w:ind w:left="612"/>
              <w:rPr>
                <w:rFonts w:ascii="Arial" w:hAnsi="Arial"/>
                <w:color w:val="auto"/>
              </w:rPr>
            </w:pPr>
          </w:p>
          <w:p w14:paraId="16252BC2"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Derrick Price Williamson </w:t>
            </w:r>
          </w:p>
          <w:p w14:paraId="2B0C772A"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Spilman Thomas &amp; Battle, PLLC </w:t>
            </w:r>
          </w:p>
          <w:p w14:paraId="18444DE4"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1100 Bent Creek Blvd., Suite 101 </w:t>
            </w:r>
          </w:p>
          <w:p w14:paraId="0F6CF02F"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Mechanicsburg, PA 17050 </w:t>
            </w:r>
          </w:p>
          <w:p w14:paraId="6146F212"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dwilliamson@spilmanlaw.com </w:t>
            </w:r>
          </w:p>
          <w:p w14:paraId="79C182D0" w14:textId="77777777" w:rsidR="00E552F7" w:rsidRPr="006018D0" w:rsidRDefault="00E552F7" w:rsidP="001D18AD">
            <w:pPr>
              <w:pStyle w:val="Default"/>
              <w:ind w:left="612"/>
              <w:rPr>
                <w:rFonts w:ascii="Arial" w:hAnsi="Arial"/>
                <w:color w:val="auto"/>
              </w:rPr>
            </w:pPr>
          </w:p>
          <w:p w14:paraId="0FC46372"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M. Howard Petricoff </w:t>
            </w:r>
          </w:p>
          <w:p w14:paraId="7C27C5E1"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Gretchen L. Petrucci </w:t>
            </w:r>
          </w:p>
          <w:p w14:paraId="1CDF5528"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Vorys, Sater, Seymore &amp; Pease </w:t>
            </w:r>
          </w:p>
          <w:p w14:paraId="3ED2A225"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52 East Gay Street </w:t>
            </w:r>
          </w:p>
          <w:p w14:paraId="31A32B47"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Columbus, Ohio 43216-1008 </w:t>
            </w:r>
          </w:p>
          <w:p w14:paraId="5BC0015B"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mhpetricoff@vorys.com </w:t>
            </w:r>
          </w:p>
          <w:p w14:paraId="7000F398"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glpetrucci@vorys.com </w:t>
            </w:r>
          </w:p>
          <w:p w14:paraId="6F8E11DD" w14:textId="77777777" w:rsidR="00E552F7" w:rsidRPr="006018D0" w:rsidRDefault="00E552F7" w:rsidP="001D18AD">
            <w:pPr>
              <w:pStyle w:val="Default"/>
              <w:ind w:left="612"/>
              <w:rPr>
                <w:rFonts w:ascii="Arial" w:hAnsi="Arial"/>
                <w:color w:val="auto"/>
              </w:rPr>
            </w:pPr>
          </w:p>
          <w:p w14:paraId="38505108"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Sarah Parrot </w:t>
            </w:r>
          </w:p>
          <w:p w14:paraId="7C418295"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Attorney Examiner </w:t>
            </w:r>
          </w:p>
          <w:p w14:paraId="783B96CC"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Public Utilities Commission of Ohio </w:t>
            </w:r>
          </w:p>
          <w:p w14:paraId="2114F5F0"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180 East Broad Street, 12th Floor </w:t>
            </w:r>
          </w:p>
          <w:p w14:paraId="3C2BCC55"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Columbus, Ohio 43215 </w:t>
            </w:r>
          </w:p>
          <w:p w14:paraId="774AB20A"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sarah.parrot@puc.state.oh.us </w:t>
            </w:r>
          </w:p>
          <w:p w14:paraId="079D2FAF" w14:textId="77777777" w:rsidR="00E552F7" w:rsidRPr="006018D0" w:rsidRDefault="00E552F7" w:rsidP="001D18AD">
            <w:pPr>
              <w:pStyle w:val="Default"/>
              <w:ind w:left="612"/>
              <w:rPr>
                <w:rFonts w:ascii="Arial" w:hAnsi="Arial"/>
                <w:color w:val="auto"/>
              </w:rPr>
            </w:pPr>
            <w:r w:rsidRPr="006018D0">
              <w:rPr>
                <w:rFonts w:ascii="Arial" w:hAnsi="Arial"/>
                <w:color w:val="auto"/>
              </w:rPr>
              <w:t xml:space="preserve"> </w:t>
            </w:r>
          </w:p>
        </w:tc>
      </w:tr>
    </w:tbl>
    <w:p w14:paraId="563E873D" w14:textId="77777777" w:rsidR="00E552F7" w:rsidRPr="006018D0" w:rsidRDefault="00E552F7" w:rsidP="00E552F7">
      <w:pPr>
        <w:rPr>
          <w:rFonts w:ascii="Arial" w:hAnsi="Arial" w:cs="Arial"/>
          <w:sz w:val="24"/>
          <w:szCs w:val="24"/>
          <w:u w:val="single"/>
        </w:rPr>
      </w:pPr>
    </w:p>
    <w:p w14:paraId="2FD21232" w14:textId="77777777" w:rsidR="00E552F7" w:rsidRPr="008031B2" w:rsidRDefault="00E552F7" w:rsidP="00E552F7">
      <w:pPr>
        <w:spacing w:line="480" w:lineRule="auto"/>
        <w:ind w:firstLine="360"/>
        <w:jc w:val="center"/>
        <w:rPr>
          <w:rFonts w:ascii="Arial" w:hAnsi="Arial" w:cs="Arial"/>
          <w:sz w:val="24"/>
          <w:szCs w:val="24"/>
          <w:u w:val="single"/>
        </w:rPr>
      </w:pPr>
    </w:p>
    <w:p w14:paraId="2910CD1A" w14:textId="77777777" w:rsidR="00E552F7" w:rsidRDefault="00E552F7" w:rsidP="00E552F7">
      <w:pPr>
        <w:spacing w:line="480" w:lineRule="auto"/>
        <w:ind w:firstLine="360"/>
        <w:jc w:val="center"/>
        <w:rPr>
          <w:rFonts w:ascii="Arial" w:hAnsi="Arial" w:cs="Arial"/>
          <w:sz w:val="24"/>
          <w:szCs w:val="24"/>
          <w:u w:val="single"/>
        </w:rPr>
      </w:pPr>
    </w:p>
    <w:p w14:paraId="7B0E9178" w14:textId="416A2130" w:rsidR="009A148B" w:rsidRPr="009A148B" w:rsidRDefault="009A148B" w:rsidP="009A148B">
      <w:pPr>
        <w:spacing w:line="240" w:lineRule="auto"/>
        <w:rPr>
          <w:rFonts w:ascii="Arial" w:hAnsi="Arial" w:cs="Arial"/>
          <w:b/>
          <w:sz w:val="24"/>
          <w:szCs w:val="24"/>
        </w:rPr>
        <w:sectPr w:rsidR="009A148B" w:rsidRPr="009A148B">
          <w:footerReference w:type="even" r:id="rId26"/>
          <w:footerReference w:type="default" r:id="rId27"/>
          <w:pgSz w:w="12240" w:h="15840"/>
          <w:pgMar w:top="1440" w:right="1440" w:bottom="1440" w:left="1440" w:header="720" w:footer="720" w:gutter="0"/>
          <w:cols w:space="720"/>
          <w:docGrid w:linePitch="360"/>
        </w:sectPr>
      </w:pPr>
    </w:p>
    <w:p w14:paraId="6B566DA3" w14:textId="77777777" w:rsidR="00923AAD" w:rsidRDefault="00923AAD" w:rsidP="00B44153">
      <w:pPr>
        <w:spacing w:line="480" w:lineRule="auto"/>
        <w:ind w:firstLine="360"/>
        <w:jc w:val="center"/>
        <w:rPr>
          <w:rFonts w:ascii="Arial" w:hAnsi="Arial" w:cs="Arial"/>
          <w:sz w:val="24"/>
          <w:szCs w:val="24"/>
          <w:u w:val="single"/>
        </w:rPr>
      </w:pPr>
    </w:p>
    <w:p w14:paraId="6DB8F435" w14:textId="77777777" w:rsidR="00923AAD" w:rsidRDefault="00923AAD" w:rsidP="00B44153">
      <w:pPr>
        <w:spacing w:line="480" w:lineRule="auto"/>
        <w:ind w:firstLine="360"/>
        <w:jc w:val="center"/>
        <w:rPr>
          <w:rFonts w:ascii="Arial" w:hAnsi="Arial" w:cs="Arial"/>
          <w:sz w:val="24"/>
          <w:szCs w:val="24"/>
          <w:u w:val="single"/>
        </w:rPr>
      </w:pPr>
    </w:p>
    <w:p w14:paraId="6B7D87F8" w14:textId="77777777" w:rsidR="00923AAD" w:rsidRDefault="00923AAD" w:rsidP="00B44153">
      <w:pPr>
        <w:spacing w:line="480" w:lineRule="auto"/>
        <w:ind w:firstLine="360"/>
        <w:jc w:val="center"/>
        <w:rPr>
          <w:rFonts w:ascii="Arial" w:hAnsi="Arial" w:cs="Arial"/>
          <w:sz w:val="24"/>
          <w:szCs w:val="24"/>
          <w:u w:val="single"/>
        </w:rPr>
      </w:pPr>
    </w:p>
    <w:p w14:paraId="49D61287" w14:textId="77777777" w:rsidR="00923AAD" w:rsidRDefault="00923AAD" w:rsidP="00B44153">
      <w:pPr>
        <w:spacing w:line="480" w:lineRule="auto"/>
        <w:ind w:firstLine="360"/>
        <w:jc w:val="center"/>
        <w:rPr>
          <w:rFonts w:ascii="Arial" w:hAnsi="Arial" w:cs="Arial"/>
          <w:sz w:val="24"/>
          <w:szCs w:val="24"/>
          <w:u w:val="single"/>
        </w:rPr>
      </w:pPr>
    </w:p>
    <w:p w14:paraId="3491B25D" w14:textId="77777777" w:rsidR="00923AAD" w:rsidRDefault="00923AAD" w:rsidP="00B44153">
      <w:pPr>
        <w:spacing w:line="480" w:lineRule="auto"/>
        <w:ind w:firstLine="360"/>
        <w:jc w:val="center"/>
        <w:rPr>
          <w:rFonts w:ascii="Arial" w:hAnsi="Arial" w:cs="Arial"/>
          <w:sz w:val="24"/>
          <w:szCs w:val="24"/>
          <w:u w:val="single"/>
        </w:rPr>
      </w:pPr>
    </w:p>
    <w:p w14:paraId="54747426" w14:textId="77777777" w:rsidR="00923AAD" w:rsidRDefault="00923AAD" w:rsidP="00B44153">
      <w:pPr>
        <w:spacing w:line="480" w:lineRule="auto"/>
        <w:ind w:firstLine="360"/>
        <w:jc w:val="center"/>
        <w:rPr>
          <w:rFonts w:ascii="Arial" w:hAnsi="Arial" w:cs="Arial"/>
          <w:sz w:val="24"/>
          <w:szCs w:val="24"/>
          <w:u w:val="single"/>
        </w:rPr>
      </w:pPr>
    </w:p>
    <w:p w14:paraId="1298B1E5" w14:textId="77777777" w:rsidR="00923AAD" w:rsidRDefault="00923AAD" w:rsidP="00B44153">
      <w:pPr>
        <w:spacing w:line="480" w:lineRule="auto"/>
        <w:ind w:firstLine="360"/>
        <w:jc w:val="center"/>
        <w:rPr>
          <w:rFonts w:ascii="Arial" w:hAnsi="Arial" w:cs="Arial"/>
          <w:sz w:val="24"/>
          <w:szCs w:val="24"/>
          <w:u w:val="single"/>
        </w:rPr>
      </w:pPr>
    </w:p>
    <w:p w14:paraId="06ED5ABD" w14:textId="77777777" w:rsidR="00923AAD" w:rsidRDefault="00923AAD" w:rsidP="00B44153">
      <w:pPr>
        <w:spacing w:line="480" w:lineRule="auto"/>
        <w:ind w:firstLine="360"/>
        <w:jc w:val="center"/>
        <w:rPr>
          <w:rFonts w:ascii="Arial" w:hAnsi="Arial" w:cs="Arial"/>
          <w:sz w:val="24"/>
          <w:szCs w:val="24"/>
          <w:u w:val="single"/>
        </w:rPr>
      </w:pPr>
    </w:p>
    <w:p w14:paraId="5ABEAF25" w14:textId="77777777" w:rsidR="00923AAD" w:rsidRDefault="00923AAD" w:rsidP="00B44153">
      <w:pPr>
        <w:spacing w:line="480" w:lineRule="auto"/>
        <w:ind w:firstLine="360"/>
        <w:jc w:val="center"/>
        <w:rPr>
          <w:rFonts w:ascii="Arial" w:hAnsi="Arial" w:cs="Arial"/>
          <w:sz w:val="24"/>
          <w:szCs w:val="24"/>
          <w:u w:val="single"/>
        </w:rPr>
      </w:pPr>
    </w:p>
    <w:p w14:paraId="1839B803" w14:textId="77777777" w:rsidR="00923AAD" w:rsidRPr="00620999" w:rsidRDefault="00923AAD" w:rsidP="00620999">
      <w:pPr>
        <w:spacing w:line="480" w:lineRule="auto"/>
        <w:rPr>
          <w:rFonts w:ascii="Arial" w:hAnsi="Arial" w:cs="Arial"/>
          <w:sz w:val="24"/>
          <w:szCs w:val="24"/>
        </w:rPr>
      </w:pPr>
    </w:p>
    <w:sectPr w:rsidR="00923AAD" w:rsidRPr="00620999" w:rsidSect="00155425">
      <w:footerReference w:type="default" r:id="rId28"/>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E2402" w15:done="0"/>
  <w15:commentEx w15:paraId="77C85686" w15:paraIdParent="768E2402" w15:done="0"/>
  <w15:commentEx w15:paraId="7A0EDB36" w15:paraIdParent="768E2402" w15:done="0"/>
  <w15:commentEx w15:paraId="55A4F439" w15:done="0"/>
  <w15:commentEx w15:paraId="34635222" w15:paraIdParent="55A4F439" w15:done="0"/>
  <w15:commentEx w15:paraId="3AAC1C45" w15:paraIdParent="55A4F439" w15:done="0"/>
  <w15:commentEx w15:paraId="1C1FF502" w15:done="0"/>
  <w15:commentEx w15:paraId="7FE4FA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58FE7" w14:textId="77777777" w:rsidR="001D18AD" w:rsidRDefault="001D18AD" w:rsidP="00CE43AF">
      <w:pPr>
        <w:spacing w:after="0" w:line="240" w:lineRule="auto"/>
      </w:pPr>
      <w:r>
        <w:separator/>
      </w:r>
    </w:p>
  </w:endnote>
  <w:endnote w:type="continuationSeparator" w:id="0">
    <w:p w14:paraId="61A3DB49" w14:textId="77777777" w:rsidR="001D18AD" w:rsidRDefault="001D18AD" w:rsidP="00CE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756E8" w14:textId="77777777" w:rsidR="001D18AD" w:rsidRDefault="001D18AD" w:rsidP="00B4415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110BE">
      <w:rPr>
        <w:rStyle w:val="PageNumber"/>
        <w:noProof/>
      </w:rPr>
      <w:t>2</w:t>
    </w:r>
    <w:r>
      <w:rPr>
        <w:rStyle w:val="PageNumber"/>
      </w:rPr>
      <w:fldChar w:fldCharType="end"/>
    </w:r>
  </w:p>
  <w:p w14:paraId="3C1DBD2D" w14:textId="77777777" w:rsidR="001D18AD" w:rsidRDefault="001D18AD" w:rsidP="00B4415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5B86" w14:textId="77777777" w:rsidR="001D18AD" w:rsidRDefault="001D18AD" w:rsidP="00A07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26DCB4" w14:textId="77777777" w:rsidR="001D18AD" w:rsidRDefault="001D1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17046"/>
      <w:docPartObj>
        <w:docPartGallery w:val="Page Numbers (Bottom of Page)"/>
        <w:docPartUnique/>
      </w:docPartObj>
    </w:sdtPr>
    <w:sdtEndPr>
      <w:rPr>
        <w:noProof/>
      </w:rPr>
    </w:sdtEndPr>
    <w:sdtContent>
      <w:p w14:paraId="104BA5D7" w14:textId="653B69E9" w:rsidR="001D18AD" w:rsidRDefault="001D18AD">
        <w:pPr>
          <w:pStyle w:val="Footer"/>
          <w:jc w:val="center"/>
        </w:pPr>
        <w:r>
          <w:fldChar w:fldCharType="begin"/>
        </w:r>
        <w:r>
          <w:instrText xml:space="preserve"> PAGE   \* MERGEFORMAT </w:instrText>
        </w:r>
        <w:r>
          <w:fldChar w:fldCharType="separate"/>
        </w:r>
        <w:r w:rsidR="007110BE">
          <w:rPr>
            <w:noProof/>
          </w:rPr>
          <w:t>23</w:t>
        </w:r>
        <w:r>
          <w:rPr>
            <w:noProof/>
          </w:rPr>
          <w:fldChar w:fldCharType="end"/>
        </w:r>
      </w:p>
    </w:sdtContent>
  </w:sdt>
  <w:p w14:paraId="7E0DDE75" w14:textId="77777777" w:rsidR="001D18AD" w:rsidRDefault="001D18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0880" w14:textId="77777777" w:rsidR="001D18AD" w:rsidRDefault="001D18AD" w:rsidP="00B441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8A91" w14:textId="77777777" w:rsidR="001D18AD" w:rsidRDefault="001D18AD" w:rsidP="00CE43AF">
      <w:pPr>
        <w:spacing w:after="0" w:line="240" w:lineRule="auto"/>
      </w:pPr>
      <w:r>
        <w:separator/>
      </w:r>
    </w:p>
  </w:footnote>
  <w:footnote w:type="continuationSeparator" w:id="0">
    <w:p w14:paraId="73BE754B" w14:textId="77777777" w:rsidR="001D18AD" w:rsidRDefault="001D18AD" w:rsidP="00CE43AF">
      <w:pPr>
        <w:spacing w:after="0" w:line="240" w:lineRule="auto"/>
      </w:pPr>
      <w:r>
        <w:continuationSeparator/>
      </w:r>
    </w:p>
  </w:footnote>
  <w:footnote w:id="1">
    <w:p w14:paraId="007CE341" w14:textId="11652C08" w:rsidR="001D18AD" w:rsidRDefault="001D18AD">
      <w:pPr>
        <w:pStyle w:val="FootnoteText"/>
      </w:pPr>
      <w:r>
        <w:rPr>
          <w:rStyle w:val="FootnoteReference"/>
        </w:rPr>
        <w:footnoteRef/>
      </w:r>
      <w:r>
        <w:t xml:space="preserve"> AEP Initial Brief at 14.</w:t>
      </w:r>
    </w:p>
  </w:footnote>
  <w:footnote w:id="2">
    <w:p w14:paraId="28A20C54" w14:textId="5DAE3A6A" w:rsidR="001D18AD" w:rsidRDefault="001D18AD">
      <w:pPr>
        <w:pStyle w:val="FootnoteText"/>
      </w:pPr>
      <w:r>
        <w:rPr>
          <w:rStyle w:val="FootnoteReference"/>
        </w:rPr>
        <w:footnoteRef/>
      </w:r>
      <w:r>
        <w:t xml:space="preserve"> AEP Initial Brief at 14; OCC Post Initial Brief at 124.</w:t>
      </w:r>
    </w:p>
  </w:footnote>
  <w:footnote w:id="3">
    <w:p w14:paraId="7B040572" w14:textId="476FDEDE" w:rsidR="001D18AD" w:rsidRDefault="001D18AD">
      <w:pPr>
        <w:pStyle w:val="FootnoteText"/>
      </w:pPr>
      <w:r w:rsidRPr="008A624F">
        <w:rPr>
          <w:rStyle w:val="FootnoteReference"/>
        </w:rPr>
        <w:footnoteRef/>
      </w:r>
      <w:r w:rsidRPr="008A624F">
        <w:t xml:space="preserve"> </w:t>
      </w:r>
      <w:r>
        <w:t>OPAE Initial Brief at 49; OCC Initial Brief at 123.</w:t>
      </w:r>
    </w:p>
  </w:footnote>
  <w:footnote w:id="4">
    <w:p w14:paraId="0F9BD900" w14:textId="0EFE9864" w:rsidR="001D18AD" w:rsidRDefault="001D18AD">
      <w:pPr>
        <w:pStyle w:val="FootnoteText"/>
      </w:pPr>
      <w:r w:rsidRPr="00480142">
        <w:rPr>
          <w:rStyle w:val="FootnoteReference"/>
        </w:rPr>
        <w:footnoteRef/>
      </w:r>
      <w:r w:rsidRPr="00480142">
        <w:t xml:space="preserve"> </w:t>
      </w:r>
      <w:r>
        <w:t>Direct Testimony of Matthew White at 16, 22.</w:t>
      </w:r>
    </w:p>
  </w:footnote>
  <w:footnote w:id="5">
    <w:p w14:paraId="6D2C0DBE" w14:textId="37E0BF8E" w:rsidR="001D18AD" w:rsidRDefault="001D18AD">
      <w:pPr>
        <w:pStyle w:val="FootnoteText"/>
      </w:pPr>
      <w:r>
        <w:rPr>
          <w:rStyle w:val="FootnoteReference"/>
        </w:rPr>
        <w:footnoteRef/>
      </w:r>
      <w:r>
        <w:t xml:space="preserve"> Id.</w:t>
      </w:r>
    </w:p>
  </w:footnote>
  <w:footnote w:id="6">
    <w:p w14:paraId="429DFD32" w14:textId="33186E16" w:rsidR="001D18AD" w:rsidRDefault="001D18AD">
      <w:pPr>
        <w:pStyle w:val="FootnoteText"/>
      </w:pPr>
      <w:r>
        <w:rPr>
          <w:rStyle w:val="FootnoteReference"/>
        </w:rPr>
        <w:footnoteRef/>
      </w:r>
      <w:r>
        <w:t xml:space="preserve"> Id.</w:t>
      </w:r>
    </w:p>
  </w:footnote>
  <w:footnote w:id="7">
    <w:p w14:paraId="56F911B5" w14:textId="7EE80C41" w:rsidR="001D18AD" w:rsidRDefault="001D18AD">
      <w:pPr>
        <w:pStyle w:val="FootnoteText"/>
      </w:pPr>
      <w:r>
        <w:rPr>
          <w:rStyle w:val="FootnoteReference"/>
        </w:rPr>
        <w:footnoteRef/>
      </w:r>
      <w:r>
        <w:t xml:space="preserve"> Id at 12.</w:t>
      </w:r>
    </w:p>
  </w:footnote>
  <w:footnote w:id="8">
    <w:p w14:paraId="246AF9D0" w14:textId="654A0D7F" w:rsidR="001D18AD" w:rsidRDefault="001D18AD">
      <w:pPr>
        <w:pStyle w:val="FootnoteText"/>
      </w:pPr>
      <w:r>
        <w:rPr>
          <w:rStyle w:val="FootnoteReference"/>
        </w:rPr>
        <w:footnoteRef/>
      </w:r>
      <w:r>
        <w:t xml:space="preserve"> OPAE Initial Brief at 49; OCC Initial Brief at 124.</w:t>
      </w:r>
    </w:p>
  </w:footnote>
  <w:footnote w:id="9">
    <w:p w14:paraId="798B9D10" w14:textId="73C7611F" w:rsidR="001D18AD" w:rsidRDefault="001D18AD">
      <w:pPr>
        <w:pStyle w:val="FootnoteText"/>
      </w:pPr>
      <w:r>
        <w:rPr>
          <w:rStyle w:val="FootnoteReference"/>
        </w:rPr>
        <w:footnoteRef/>
      </w:r>
      <w:r>
        <w:t xml:space="preserve"> </w:t>
      </w:r>
      <w:r w:rsidR="002F76B2">
        <w:t>Id.</w:t>
      </w:r>
    </w:p>
  </w:footnote>
  <w:footnote w:id="10">
    <w:p w14:paraId="5A4775EA" w14:textId="0E9E7C5F" w:rsidR="001D18AD" w:rsidRDefault="001D18AD">
      <w:pPr>
        <w:pStyle w:val="FootnoteText"/>
      </w:pPr>
      <w:r>
        <w:rPr>
          <w:rStyle w:val="FootnoteReference"/>
        </w:rPr>
        <w:footnoteRef/>
      </w:r>
      <w:r>
        <w:t xml:space="preserve"> OCC Initial Brief at 124-125; AEP Initial Brief at 14.</w:t>
      </w:r>
    </w:p>
  </w:footnote>
  <w:footnote w:id="11">
    <w:p w14:paraId="22DABB4F" w14:textId="2D1FEC75" w:rsidR="001D18AD" w:rsidRDefault="001D18AD">
      <w:pPr>
        <w:pStyle w:val="FootnoteText"/>
      </w:pPr>
      <w:r>
        <w:rPr>
          <w:rStyle w:val="FootnoteReference"/>
        </w:rPr>
        <w:footnoteRef/>
      </w:r>
      <w:r>
        <w:t xml:space="preserve"> AEP Initial Brief at 52. </w:t>
      </w:r>
    </w:p>
  </w:footnote>
  <w:footnote w:id="12">
    <w:p w14:paraId="6DDEB3E1" w14:textId="61F0E5F4" w:rsidR="001D18AD" w:rsidRDefault="001D18AD">
      <w:pPr>
        <w:pStyle w:val="FootnoteText"/>
      </w:pPr>
      <w:r>
        <w:rPr>
          <w:rStyle w:val="FootnoteReference"/>
        </w:rPr>
        <w:footnoteRef/>
      </w:r>
      <w:r>
        <w:t xml:space="preserve"> OEG Initial Brief at 7.</w:t>
      </w:r>
    </w:p>
  </w:footnote>
  <w:footnote w:id="13">
    <w:p w14:paraId="05819AB3" w14:textId="6DA6EE27" w:rsidR="001D18AD" w:rsidRDefault="001D18AD">
      <w:pPr>
        <w:pStyle w:val="FootnoteText"/>
      </w:pPr>
      <w:r>
        <w:rPr>
          <w:rStyle w:val="FootnoteReference"/>
        </w:rPr>
        <w:footnoteRef/>
      </w:r>
      <w:r>
        <w:t xml:space="preserve"> Id.</w:t>
      </w:r>
    </w:p>
  </w:footnote>
  <w:footnote w:id="14">
    <w:p w14:paraId="5776FD46" w14:textId="1EB61648" w:rsidR="001D18AD" w:rsidRPr="00480142" w:rsidRDefault="001D18AD">
      <w:pPr>
        <w:pStyle w:val="FootnoteText"/>
      </w:pPr>
      <w:r w:rsidRPr="00480142">
        <w:rPr>
          <w:rStyle w:val="FootnoteReference"/>
        </w:rPr>
        <w:footnoteRef/>
      </w:r>
      <w:r w:rsidRPr="00480142">
        <w:t xml:space="preserve"> Direct Testimony of Kevin Murray at 11.</w:t>
      </w:r>
    </w:p>
  </w:footnote>
  <w:footnote w:id="15">
    <w:p w14:paraId="095FFE5A" w14:textId="1676A772" w:rsidR="001D18AD" w:rsidRPr="00E71F74" w:rsidRDefault="001D18AD">
      <w:pPr>
        <w:pStyle w:val="FootnoteText"/>
        <w:rPr>
          <w:rFonts w:ascii="Times New Roman" w:hAnsi="Times New Roman" w:cs="Times New Roman"/>
        </w:rPr>
      </w:pPr>
      <w:r w:rsidRPr="00480142">
        <w:rPr>
          <w:rStyle w:val="FootnoteReference"/>
          <w:rFonts w:cs="Times New Roman"/>
        </w:rPr>
        <w:footnoteRef/>
      </w:r>
      <w:r w:rsidRPr="00480142">
        <w:rPr>
          <w:rFonts w:cs="Times New Roman"/>
        </w:rPr>
        <w:t xml:space="preserve"> If any party knew with accuracy the direction of electric prices, they would not be spending resources in a regulatory proceeding, but would quit their jobs and be trading in the commodities markets</w:t>
      </w:r>
      <w:r>
        <w:rPr>
          <w:rFonts w:cs="Times New Roman"/>
        </w:rPr>
        <w:t xml:space="preserve"> on Wall Street</w:t>
      </w:r>
      <w:r w:rsidRPr="00480142">
        <w:rPr>
          <w:rFonts w:cs="Times New Roman"/>
        </w:rPr>
        <w:t>.</w:t>
      </w:r>
      <w:r w:rsidRPr="00E71F74">
        <w:rPr>
          <w:rFonts w:ascii="Times New Roman" w:hAnsi="Times New Roman" w:cs="Times New Roman"/>
        </w:rPr>
        <w:t xml:space="preserve">  </w:t>
      </w:r>
    </w:p>
  </w:footnote>
  <w:footnote w:id="16">
    <w:p w14:paraId="5A28EFDE" w14:textId="555F5618" w:rsidR="001D18AD" w:rsidRDefault="001D18AD">
      <w:pPr>
        <w:pStyle w:val="FootnoteText"/>
      </w:pPr>
      <w:r>
        <w:rPr>
          <w:rStyle w:val="FootnoteReference"/>
        </w:rPr>
        <w:footnoteRef/>
      </w:r>
      <w:r>
        <w:t xml:space="preserve"> Staff Initial Brief at 15-17.</w:t>
      </w:r>
    </w:p>
  </w:footnote>
  <w:footnote w:id="17">
    <w:p w14:paraId="26A3CB7B" w14:textId="6DC7B219" w:rsidR="001D18AD" w:rsidRDefault="001D18AD">
      <w:pPr>
        <w:pStyle w:val="FootnoteText"/>
      </w:pPr>
      <w:r>
        <w:rPr>
          <w:rStyle w:val="FootnoteReference"/>
        </w:rPr>
        <w:footnoteRef/>
      </w:r>
      <w:r>
        <w:t xml:space="preserve"> Id.</w:t>
      </w:r>
    </w:p>
  </w:footnote>
  <w:footnote w:id="18">
    <w:p w14:paraId="4C0BB698" w14:textId="62B1D226" w:rsidR="001D18AD" w:rsidRDefault="001D18AD">
      <w:pPr>
        <w:pStyle w:val="FootnoteText"/>
      </w:pPr>
      <w:r>
        <w:rPr>
          <w:rStyle w:val="FootnoteReference"/>
        </w:rPr>
        <w:footnoteRef/>
      </w:r>
      <w:r>
        <w:t xml:space="preserve"> IEU Initial Brief at 38-39; OMA Initial Brief at 12-13.</w:t>
      </w:r>
    </w:p>
  </w:footnote>
  <w:footnote w:id="19">
    <w:p w14:paraId="66CB0C53" w14:textId="6587701D" w:rsidR="001D18AD" w:rsidRDefault="001D18AD">
      <w:pPr>
        <w:pStyle w:val="FootnoteText"/>
      </w:pPr>
      <w:r w:rsidRPr="001B7073">
        <w:rPr>
          <w:rStyle w:val="FootnoteReference"/>
        </w:rPr>
        <w:footnoteRef/>
      </w:r>
      <w:r>
        <w:t xml:space="preserve"> In this proceeding the Commission directed Staff to develop a process to ensure that all customers with fixed contracts were notified that the balancing fee would be switched from the supplier to the customer.  Further, the Commission directed Staff to come up with a process to audit suppliers to ensure that the balancing charges were removed from all customers fixed prices for any contracts that extend beyond the date the balancing fee was switched.  </w:t>
      </w:r>
      <w:r w:rsidRPr="001B7073">
        <w:rPr>
          <w:i/>
        </w:rPr>
        <w:t>See</w:t>
      </w:r>
      <w:r>
        <w:t xml:space="preserve"> Case N. 12-2637-GA-EXM, Opinion and Order (January 9,2013) at 15-17.</w:t>
      </w:r>
    </w:p>
  </w:footnote>
  <w:footnote w:id="20">
    <w:p w14:paraId="2F87AE6A" w14:textId="31C6F41E" w:rsidR="001D18AD" w:rsidRDefault="001D18AD">
      <w:pPr>
        <w:pStyle w:val="FootnoteText"/>
      </w:pPr>
      <w:r>
        <w:rPr>
          <w:rStyle w:val="FootnoteReference"/>
        </w:rPr>
        <w:footnoteRef/>
      </w:r>
      <w:r>
        <w:t xml:space="preserve"> OCC Initial Brief at 37; ELPC Initial Brief at 4; OEC Initial Brief at 4.</w:t>
      </w:r>
    </w:p>
  </w:footnote>
  <w:footnote w:id="21">
    <w:p w14:paraId="3C631DF9" w14:textId="40BD91BF" w:rsidR="001D18AD" w:rsidRDefault="001D18AD">
      <w:pPr>
        <w:pStyle w:val="FootnoteText"/>
      </w:pPr>
      <w:r>
        <w:rPr>
          <w:rStyle w:val="FootnoteReference"/>
        </w:rPr>
        <w:footnoteRef/>
      </w:r>
      <w:r>
        <w:t xml:space="preserve"> ELPC Initial Brief at 5.</w:t>
      </w:r>
    </w:p>
  </w:footnote>
  <w:footnote w:id="22">
    <w:p w14:paraId="2379ADB3" w14:textId="556D850A" w:rsidR="001D18AD" w:rsidRDefault="001D18AD">
      <w:pPr>
        <w:pStyle w:val="FootnoteText"/>
      </w:pPr>
      <w:r>
        <w:rPr>
          <w:rStyle w:val="FootnoteReference"/>
        </w:rPr>
        <w:footnoteRef/>
      </w:r>
      <w:r>
        <w:t xml:space="preserve"> Id. at 6; OEC Initial Brief at 4.</w:t>
      </w:r>
    </w:p>
  </w:footnote>
  <w:footnote w:id="23">
    <w:p w14:paraId="5A5844A2" w14:textId="6D375516" w:rsidR="001D18AD" w:rsidRDefault="001D18AD">
      <w:pPr>
        <w:pStyle w:val="FootnoteText"/>
      </w:pPr>
      <w:r>
        <w:rPr>
          <w:rStyle w:val="FootnoteReference"/>
        </w:rPr>
        <w:footnoteRef/>
      </w:r>
      <w:r>
        <w:t xml:space="preserve"> OEC Initial Brief at 6-7.</w:t>
      </w:r>
    </w:p>
  </w:footnote>
  <w:footnote w:id="24">
    <w:p w14:paraId="40A06931" w14:textId="50D0503E" w:rsidR="001D18AD" w:rsidRDefault="001D18AD">
      <w:pPr>
        <w:pStyle w:val="FootnoteText"/>
      </w:pPr>
      <w:r>
        <w:rPr>
          <w:rStyle w:val="FootnoteReference"/>
        </w:rPr>
        <w:footnoteRef/>
      </w:r>
      <w:r>
        <w:t xml:space="preserve"> RESA Initial Brief at 25.</w:t>
      </w:r>
    </w:p>
  </w:footnote>
  <w:footnote w:id="25">
    <w:p w14:paraId="630B3B6E" w14:textId="6D9FA2E9" w:rsidR="001D18AD" w:rsidRDefault="001D18AD">
      <w:pPr>
        <w:pStyle w:val="FootnoteText"/>
      </w:pPr>
      <w:r>
        <w:rPr>
          <w:rStyle w:val="FootnoteReference"/>
        </w:rPr>
        <w:footnoteRef/>
      </w:r>
      <w:r>
        <w:t xml:space="preserve"> Id. at 33.</w:t>
      </w:r>
    </w:p>
  </w:footnote>
  <w:footnote w:id="26">
    <w:p w14:paraId="4CD1A7E2" w14:textId="33E901AC" w:rsidR="001D18AD" w:rsidRDefault="001D18AD">
      <w:pPr>
        <w:pStyle w:val="FootnoteText"/>
      </w:pPr>
      <w:r>
        <w:rPr>
          <w:rStyle w:val="FootnoteReference"/>
        </w:rPr>
        <w:footnoteRef/>
      </w:r>
      <w:r>
        <w:t xml:space="preserve"> OCC Initial Brief at 126.</w:t>
      </w:r>
    </w:p>
  </w:footnote>
  <w:footnote w:id="27">
    <w:p w14:paraId="509F9100" w14:textId="67E2C16B" w:rsidR="001D18AD" w:rsidRDefault="001D18AD">
      <w:pPr>
        <w:pStyle w:val="FootnoteText"/>
      </w:pPr>
      <w:r>
        <w:rPr>
          <w:rStyle w:val="FootnoteReference"/>
        </w:rPr>
        <w:footnoteRef/>
      </w:r>
      <w:r>
        <w:t xml:space="preserve"> Id. at 128.  </w:t>
      </w:r>
    </w:p>
  </w:footnote>
  <w:footnote w:id="28">
    <w:p w14:paraId="3856C3E2" w14:textId="78547628" w:rsidR="001D18AD" w:rsidRDefault="001D18AD">
      <w:pPr>
        <w:pStyle w:val="FootnoteText"/>
      </w:pPr>
      <w:r>
        <w:rPr>
          <w:rStyle w:val="FootnoteReference"/>
        </w:rPr>
        <w:footnoteRef/>
      </w:r>
      <w:r>
        <w:t xml:space="preserve"> RESA Initial Brief at 33.</w:t>
      </w:r>
    </w:p>
  </w:footnote>
  <w:footnote w:id="29">
    <w:p w14:paraId="5CF6821C" w14:textId="3C91DB66" w:rsidR="001D18AD" w:rsidRDefault="001D18AD">
      <w:pPr>
        <w:pStyle w:val="FootnoteText"/>
      </w:pPr>
      <w:r>
        <w:rPr>
          <w:rStyle w:val="FootnoteReference"/>
        </w:rPr>
        <w:footnoteRef/>
      </w:r>
      <w:r>
        <w:t xml:space="preserve"> OCC Initial Brief at 17; OPAE Initial Brief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67B"/>
    <w:multiLevelType w:val="hybridMultilevel"/>
    <w:tmpl w:val="BC4AF3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4C0"/>
    <w:multiLevelType w:val="hybridMultilevel"/>
    <w:tmpl w:val="FFCE2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042700"/>
    <w:multiLevelType w:val="hybridMultilevel"/>
    <w:tmpl w:val="5A527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77049"/>
    <w:multiLevelType w:val="hybridMultilevel"/>
    <w:tmpl w:val="B36CDB8C"/>
    <w:lvl w:ilvl="0" w:tplc="822AFC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E07E3"/>
    <w:multiLevelType w:val="hybridMultilevel"/>
    <w:tmpl w:val="876E06B0"/>
    <w:lvl w:ilvl="0" w:tplc="AB52DF5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DB5178"/>
    <w:multiLevelType w:val="hybridMultilevel"/>
    <w:tmpl w:val="33EA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4D75"/>
    <w:multiLevelType w:val="hybridMultilevel"/>
    <w:tmpl w:val="7E26189E"/>
    <w:lvl w:ilvl="0" w:tplc="A4306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5D4A9A"/>
    <w:multiLevelType w:val="hybridMultilevel"/>
    <w:tmpl w:val="F1306996"/>
    <w:lvl w:ilvl="0" w:tplc="95AC6B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B1039D"/>
    <w:multiLevelType w:val="hybridMultilevel"/>
    <w:tmpl w:val="DD5A730C"/>
    <w:lvl w:ilvl="0" w:tplc="5BBCB8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7D7588"/>
    <w:multiLevelType w:val="hybridMultilevel"/>
    <w:tmpl w:val="7E26189E"/>
    <w:lvl w:ilvl="0" w:tplc="A4306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FD488B"/>
    <w:multiLevelType w:val="hybridMultilevel"/>
    <w:tmpl w:val="B5C00A5E"/>
    <w:lvl w:ilvl="0" w:tplc="822AFC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01FE6"/>
    <w:multiLevelType w:val="hybridMultilevel"/>
    <w:tmpl w:val="CCD24066"/>
    <w:lvl w:ilvl="0" w:tplc="44B2E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969A5"/>
    <w:multiLevelType w:val="hybridMultilevel"/>
    <w:tmpl w:val="1DEC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37FDF"/>
    <w:multiLevelType w:val="hybridMultilevel"/>
    <w:tmpl w:val="9B163BF6"/>
    <w:lvl w:ilvl="0" w:tplc="C7F49696">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53BB1"/>
    <w:multiLevelType w:val="hybridMultilevel"/>
    <w:tmpl w:val="610EB1EA"/>
    <w:lvl w:ilvl="0" w:tplc="119258B4">
      <w:start w:val="1"/>
      <w:numFmt w:val="upperRoman"/>
      <w:lvlText w:val="%1."/>
      <w:lvlJc w:val="left"/>
      <w:pPr>
        <w:ind w:left="1080" w:hanging="720"/>
      </w:pPr>
      <w:rPr>
        <w:rFonts w:hint="default"/>
      </w:rPr>
    </w:lvl>
    <w:lvl w:ilvl="1" w:tplc="A4306380">
      <w:start w:val="1"/>
      <w:numFmt w:val="upp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43927"/>
    <w:multiLevelType w:val="hybridMultilevel"/>
    <w:tmpl w:val="93D6E2E0"/>
    <w:lvl w:ilvl="0" w:tplc="822AFC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D1166"/>
    <w:multiLevelType w:val="hybridMultilevel"/>
    <w:tmpl w:val="4F66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CF6146"/>
    <w:multiLevelType w:val="hybridMultilevel"/>
    <w:tmpl w:val="876E06B0"/>
    <w:lvl w:ilvl="0" w:tplc="AB52DF5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8170FF"/>
    <w:multiLevelType w:val="hybridMultilevel"/>
    <w:tmpl w:val="E69C70EC"/>
    <w:lvl w:ilvl="0" w:tplc="44B2E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23808"/>
    <w:multiLevelType w:val="hybridMultilevel"/>
    <w:tmpl w:val="E0302456"/>
    <w:lvl w:ilvl="0" w:tplc="E2FC6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83CB6"/>
    <w:multiLevelType w:val="hybridMultilevel"/>
    <w:tmpl w:val="2E3C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634E5"/>
    <w:multiLevelType w:val="hybridMultilevel"/>
    <w:tmpl w:val="EA2C39F8"/>
    <w:lvl w:ilvl="0" w:tplc="6BC01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A10F2"/>
    <w:multiLevelType w:val="hybridMultilevel"/>
    <w:tmpl w:val="AACA9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53710D"/>
    <w:multiLevelType w:val="hybridMultilevel"/>
    <w:tmpl w:val="DA86E4A6"/>
    <w:lvl w:ilvl="0" w:tplc="339685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55139"/>
    <w:multiLevelType w:val="hybridMultilevel"/>
    <w:tmpl w:val="7F929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F1E36"/>
    <w:multiLevelType w:val="hybridMultilevel"/>
    <w:tmpl w:val="44A873C6"/>
    <w:lvl w:ilvl="0" w:tplc="1E668F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0"/>
  </w:num>
  <w:num w:numId="4">
    <w:abstractNumId w:val="2"/>
  </w:num>
  <w:num w:numId="5">
    <w:abstractNumId w:val="12"/>
  </w:num>
  <w:num w:numId="6">
    <w:abstractNumId w:val="7"/>
  </w:num>
  <w:num w:numId="7">
    <w:abstractNumId w:val="5"/>
  </w:num>
  <w:num w:numId="8">
    <w:abstractNumId w:val="24"/>
  </w:num>
  <w:num w:numId="9">
    <w:abstractNumId w:val="20"/>
  </w:num>
  <w:num w:numId="10">
    <w:abstractNumId w:val="18"/>
  </w:num>
  <w:num w:numId="11">
    <w:abstractNumId w:val="11"/>
  </w:num>
  <w:num w:numId="12">
    <w:abstractNumId w:val="13"/>
  </w:num>
  <w:num w:numId="13">
    <w:abstractNumId w:val="3"/>
  </w:num>
  <w:num w:numId="14">
    <w:abstractNumId w:val="10"/>
  </w:num>
  <w:num w:numId="15">
    <w:abstractNumId w:val="15"/>
  </w:num>
  <w:num w:numId="16">
    <w:abstractNumId w:val="25"/>
  </w:num>
  <w:num w:numId="17">
    <w:abstractNumId w:val="22"/>
  </w:num>
  <w:num w:numId="18">
    <w:abstractNumId w:val="1"/>
  </w:num>
  <w:num w:numId="19">
    <w:abstractNumId w:val="4"/>
  </w:num>
  <w:num w:numId="20">
    <w:abstractNumId w:val="17"/>
  </w:num>
  <w:num w:numId="21">
    <w:abstractNumId w:val="8"/>
  </w:num>
  <w:num w:numId="22">
    <w:abstractNumId w:val="6"/>
  </w:num>
  <w:num w:numId="23">
    <w:abstractNumId w:val="19"/>
  </w:num>
  <w:num w:numId="24">
    <w:abstractNumId w:val="9"/>
  </w:num>
  <w:num w:numId="25">
    <w:abstractNumId w:val="23"/>
  </w:num>
  <w:num w:numId="2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i Wilson">
    <w15:presenceInfo w15:providerId="AD" w15:userId="S-1-5-21-1316090093-710254092-3585433132-13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33"/>
    <w:rsid w:val="000067C2"/>
    <w:rsid w:val="00032A5C"/>
    <w:rsid w:val="0004631D"/>
    <w:rsid w:val="00047F85"/>
    <w:rsid w:val="000524CF"/>
    <w:rsid w:val="00066117"/>
    <w:rsid w:val="00070279"/>
    <w:rsid w:val="00077D80"/>
    <w:rsid w:val="00081192"/>
    <w:rsid w:val="000823C0"/>
    <w:rsid w:val="00085C13"/>
    <w:rsid w:val="00094388"/>
    <w:rsid w:val="00097ABC"/>
    <w:rsid w:val="000A5DDE"/>
    <w:rsid w:val="000A7AE8"/>
    <w:rsid w:val="000B430E"/>
    <w:rsid w:val="000B6C3B"/>
    <w:rsid w:val="000C7C99"/>
    <w:rsid w:val="000D0FED"/>
    <w:rsid w:val="000D2EF5"/>
    <w:rsid w:val="000E02D1"/>
    <w:rsid w:val="000F23D6"/>
    <w:rsid w:val="00110169"/>
    <w:rsid w:val="00111A2C"/>
    <w:rsid w:val="00113DC1"/>
    <w:rsid w:val="00120A9E"/>
    <w:rsid w:val="00121EDA"/>
    <w:rsid w:val="00122C4D"/>
    <w:rsid w:val="00124343"/>
    <w:rsid w:val="0013457C"/>
    <w:rsid w:val="001418E5"/>
    <w:rsid w:val="00146494"/>
    <w:rsid w:val="001548A2"/>
    <w:rsid w:val="00155425"/>
    <w:rsid w:val="00162B4A"/>
    <w:rsid w:val="001642BA"/>
    <w:rsid w:val="001658F5"/>
    <w:rsid w:val="001907EB"/>
    <w:rsid w:val="00190E9B"/>
    <w:rsid w:val="00194D9D"/>
    <w:rsid w:val="001B292B"/>
    <w:rsid w:val="001B7073"/>
    <w:rsid w:val="001D0618"/>
    <w:rsid w:val="001D18AD"/>
    <w:rsid w:val="001D2CE0"/>
    <w:rsid w:val="001D3686"/>
    <w:rsid w:val="001E0666"/>
    <w:rsid w:val="001F3CBB"/>
    <w:rsid w:val="001F67FA"/>
    <w:rsid w:val="00202B5A"/>
    <w:rsid w:val="00206FA5"/>
    <w:rsid w:val="0020779B"/>
    <w:rsid w:val="00213D2B"/>
    <w:rsid w:val="002212BB"/>
    <w:rsid w:val="00224DD4"/>
    <w:rsid w:val="00227306"/>
    <w:rsid w:val="00241B13"/>
    <w:rsid w:val="0024291D"/>
    <w:rsid w:val="002452B8"/>
    <w:rsid w:val="002506A5"/>
    <w:rsid w:val="0025258C"/>
    <w:rsid w:val="00252BA3"/>
    <w:rsid w:val="00261D81"/>
    <w:rsid w:val="0026372C"/>
    <w:rsid w:val="00275A62"/>
    <w:rsid w:val="002809D8"/>
    <w:rsid w:val="00281A77"/>
    <w:rsid w:val="0028352E"/>
    <w:rsid w:val="002A1F37"/>
    <w:rsid w:val="002C50E8"/>
    <w:rsid w:val="002D1F02"/>
    <w:rsid w:val="002D78FD"/>
    <w:rsid w:val="002F22B2"/>
    <w:rsid w:val="002F76B2"/>
    <w:rsid w:val="003042E1"/>
    <w:rsid w:val="00306906"/>
    <w:rsid w:val="00313CCD"/>
    <w:rsid w:val="0033626C"/>
    <w:rsid w:val="00336622"/>
    <w:rsid w:val="0034245B"/>
    <w:rsid w:val="00351988"/>
    <w:rsid w:val="00353479"/>
    <w:rsid w:val="003552AA"/>
    <w:rsid w:val="003603E4"/>
    <w:rsid w:val="00381FEC"/>
    <w:rsid w:val="00383B88"/>
    <w:rsid w:val="00384BA5"/>
    <w:rsid w:val="003B03CD"/>
    <w:rsid w:val="003C4C88"/>
    <w:rsid w:val="003C64C5"/>
    <w:rsid w:val="003C6713"/>
    <w:rsid w:val="003D02AF"/>
    <w:rsid w:val="003D3C94"/>
    <w:rsid w:val="003D448B"/>
    <w:rsid w:val="003E0D9D"/>
    <w:rsid w:val="003F5FD9"/>
    <w:rsid w:val="003F63FD"/>
    <w:rsid w:val="00400600"/>
    <w:rsid w:val="004012C8"/>
    <w:rsid w:val="00406377"/>
    <w:rsid w:val="004116B1"/>
    <w:rsid w:val="004231AE"/>
    <w:rsid w:val="00426A15"/>
    <w:rsid w:val="00427626"/>
    <w:rsid w:val="00434033"/>
    <w:rsid w:val="004370D3"/>
    <w:rsid w:val="00437571"/>
    <w:rsid w:val="0045004B"/>
    <w:rsid w:val="00457328"/>
    <w:rsid w:val="00457A72"/>
    <w:rsid w:val="004613E2"/>
    <w:rsid w:val="00461D44"/>
    <w:rsid w:val="00475037"/>
    <w:rsid w:val="00480142"/>
    <w:rsid w:val="004940A7"/>
    <w:rsid w:val="004A07D7"/>
    <w:rsid w:val="004B2E49"/>
    <w:rsid w:val="004C0076"/>
    <w:rsid w:val="004C468E"/>
    <w:rsid w:val="004C4EF0"/>
    <w:rsid w:val="004D1EFC"/>
    <w:rsid w:val="004D3713"/>
    <w:rsid w:val="004D7139"/>
    <w:rsid w:val="004E0ECB"/>
    <w:rsid w:val="004F62F6"/>
    <w:rsid w:val="005053E6"/>
    <w:rsid w:val="00515060"/>
    <w:rsid w:val="00515164"/>
    <w:rsid w:val="00523CBA"/>
    <w:rsid w:val="00524368"/>
    <w:rsid w:val="00527144"/>
    <w:rsid w:val="0052751D"/>
    <w:rsid w:val="00532093"/>
    <w:rsid w:val="0054588C"/>
    <w:rsid w:val="00555AAC"/>
    <w:rsid w:val="00571EEF"/>
    <w:rsid w:val="0058712B"/>
    <w:rsid w:val="0059512C"/>
    <w:rsid w:val="005A5EBE"/>
    <w:rsid w:val="005A6E53"/>
    <w:rsid w:val="005B1FF4"/>
    <w:rsid w:val="005C369E"/>
    <w:rsid w:val="005C7EF9"/>
    <w:rsid w:val="005E5269"/>
    <w:rsid w:val="00601714"/>
    <w:rsid w:val="0060265D"/>
    <w:rsid w:val="00610ABB"/>
    <w:rsid w:val="00613F97"/>
    <w:rsid w:val="00620999"/>
    <w:rsid w:val="00623742"/>
    <w:rsid w:val="00624C06"/>
    <w:rsid w:val="0062672E"/>
    <w:rsid w:val="0062767E"/>
    <w:rsid w:val="006435B4"/>
    <w:rsid w:val="00646713"/>
    <w:rsid w:val="00646F1C"/>
    <w:rsid w:val="0065513C"/>
    <w:rsid w:val="00663B8D"/>
    <w:rsid w:val="00671CFD"/>
    <w:rsid w:val="006724CF"/>
    <w:rsid w:val="00692B4F"/>
    <w:rsid w:val="00695055"/>
    <w:rsid w:val="00697D87"/>
    <w:rsid w:val="006A5A5C"/>
    <w:rsid w:val="006A5CCC"/>
    <w:rsid w:val="006B590A"/>
    <w:rsid w:val="006B7451"/>
    <w:rsid w:val="006D18F9"/>
    <w:rsid w:val="006E03F5"/>
    <w:rsid w:val="006F3131"/>
    <w:rsid w:val="006F467F"/>
    <w:rsid w:val="00707A01"/>
    <w:rsid w:val="007110BE"/>
    <w:rsid w:val="007140F2"/>
    <w:rsid w:val="00725800"/>
    <w:rsid w:val="00746FFD"/>
    <w:rsid w:val="007550DF"/>
    <w:rsid w:val="00762E26"/>
    <w:rsid w:val="007775C9"/>
    <w:rsid w:val="0078113B"/>
    <w:rsid w:val="00784E82"/>
    <w:rsid w:val="007917CB"/>
    <w:rsid w:val="0079223F"/>
    <w:rsid w:val="007A37FB"/>
    <w:rsid w:val="007B6D56"/>
    <w:rsid w:val="007B747F"/>
    <w:rsid w:val="007C08AB"/>
    <w:rsid w:val="007C2E98"/>
    <w:rsid w:val="007E333A"/>
    <w:rsid w:val="007F2A9B"/>
    <w:rsid w:val="008040AA"/>
    <w:rsid w:val="008070A4"/>
    <w:rsid w:val="00816FB5"/>
    <w:rsid w:val="00820A8A"/>
    <w:rsid w:val="00831DE6"/>
    <w:rsid w:val="00847430"/>
    <w:rsid w:val="00851DF9"/>
    <w:rsid w:val="0085477A"/>
    <w:rsid w:val="008576F2"/>
    <w:rsid w:val="00872F10"/>
    <w:rsid w:val="00872FCE"/>
    <w:rsid w:val="008755F3"/>
    <w:rsid w:val="00875FBE"/>
    <w:rsid w:val="00884DC6"/>
    <w:rsid w:val="0088559B"/>
    <w:rsid w:val="00890A50"/>
    <w:rsid w:val="008954B5"/>
    <w:rsid w:val="008A3200"/>
    <w:rsid w:val="008A6224"/>
    <w:rsid w:val="008A624F"/>
    <w:rsid w:val="008C1D7B"/>
    <w:rsid w:val="008C44D1"/>
    <w:rsid w:val="008C7563"/>
    <w:rsid w:val="008D3E40"/>
    <w:rsid w:val="0090794E"/>
    <w:rsid w:val="009145F3"/>
    <w:rsid w:val="00922053"/>
    <w:rsid w:val="00923AAD"/>
    <w:rsid w:val="00924EB2"/>
    <w:rsid w:val="00936BC8"/>
    <w:rsid w:val="009375B2"/>
    <w:rsid w:val="00970912"/>
    <w:rsid w:val="00972A37"/>
    <w:rsid w:val="0097306C"/>
    <w:rsid w:val="009748AD"/>
    <w:rsid w:val="00976BAA"/>
    <w:rsid w:val="00983764"/>
    <w:rsid w:val="00994B3A"/>
    <w:rsid w:val="009A148B"/>
    <w:rsid w:val="009B21D1"/>
    <w:rsid w:val="009B37E7"/>
    <w:rsid w:val="009C4859"/>
    <w:rsid w:val="009D0A3B"/>
    <w:rsid w:val="009D1637"/>
    <w:rsid w:val="009D54DB"/>
    <w:rsid w:val="009F0331"/>
    <w:rsid w:val="009F2F56"/>
    <w:rsid w:val="00A02C1C"/>
    <w:rsid w:val="00A0757A"/>
    <w:rsid w:val="00A17349"/>
    <w:rsid w:val="00A2018D"/>
    <w:rsid w:val="00A2201F"/>
    <w:rsid w:val="00A220EA"/>
    <w:rsid w:val="00A27A39"/>
    <w:rsid w:val="00A3192D"/>
    <w:rsid w:val="00A31CE6"/>
    <w:rsid w:val="00A32262"/>
    <w:rsid w:val="00A4462B"/>
    <w:rsid w:val="00A637AC"/>
    <w:rsid w:val="00A645CE"/>
    <w:rsid w:val="00A7767E"/>
    <w:rsid w:val="00A8397F"/>
    <w:rsid w:val="00A850DB"/>
    <w:rsid w:val="00A9707A"/>
    <w:rsid w:val="00AB2B81"/>
    <w:rsid w:val="00AB398F"/>
    <w:rsid w:val="00AD28FD"/>
    <w:rsid w:val="00AD6628"/>
    <w:rsid w:val="00AE1437"/>
    <w:rsid w:val="00AE3284"/>
    <w:rsid w:val="00B13176"/>
    <w:rsid w:val="00B16EFF"/>
    <w:rsid w:val="00B2743F"/>
    <w:rsid w:val="00B37226"/>
    <w:rsid w:val="00B44153"/>
    <w:rsid w:val="00B443EF"/>
    <w:rsid w:val="00B807B1"/>
    <w:rsid w:val="00B83981"/>
    <w:rsid w:val="00B86BC9"/>
    <w:rsid w:val="00B97EBE"/>
    <w:rsid w:val="00BA2E4F"/>
    <w:rsid w:val="00BB45DE"/>
    <w:rsid w:val="00BB68DF"/>
    <w:rsid w:val="00BB70AE"/>
    <w:rsid w:val="00BC1020"/>
    <w:rsid w:val="00BD03DB"/>
    <w:rsid w:val="00BD185B"/>
    <w:rsid w:val="00BD44A8"/>
    <w:rsid w:val="00BE13F3"/>
    <w:rsid w:val="00BE233C"/>
    <w:rsid w:val="00BF6248"/>
    <w:rsid w:val="00C3137C"/>
    <w:rsid w:val="00C34336"/>
    <w:rsid w:val="00C36097"/>
    <w:rsid w:val="00C37C81"/>
    <w:rsid w:val="00C44B92"/>
    <w:rsid w:val="00C5232A"/>
    <w:rsid w:val="00C53174"/>
    <w:rsid w:val="00C5318B"/>
    <w:rsid w:val="00C63B32"/>
    <w:rsid w:val="00C738C5"/>
    <w:rsid w:val="00C76C0F"/>
    <w:rsid w:val="00C77FB1"/>
    <w:rsid w:val="00C8599E"/>
    <w:rsid w:val="00CA7173"/>
    <w:rsid w:val="00CC39B8"/>
    <w:rsid w:val="00CC483F"/>
    <w:rsid w:val="00CD64E1"/>
    <w:rsid w:val="00CE43AF"/>
    <w:rsid w:val="00CE512D"/>
    <w:rsid w:val="00D0539C"/>
    <w:rsid w:val="00D13773"/>
    <w:rsid w:val="00D20A8C"/>
    <w:rsid w:val="00D240EB"/>
    <w:rsid w:val="00D2666C"/>
    <w:rsid w:val="00D324C2"/>
    <w:rsid w:val="00D33B52"/>
    <w:rsid w:val="00D37E63"/>
    <w:rsid w:val="00D4061D"/>
    <w:rsid w:val="00D41349"/>
    <w:rsid w:val="00D471F1"/>
    <w:rsid w:val="00D55F0E"/>
    <w:rsid w:val="00D57761"/>
    <w:rsid w:val="00D80015"/>
    <w:rsid w:val="00DB1E8D"/>
    <w:rsid w:val="00DC0553"/>
    <w:rsid w:val="00DC360F"/>
    <w:rsid w:val="00DD394C"/>
    <w:rsid w:val="00DE26B3"/>
    <w:rsid w:val="00DE2D2F"/>
    <w:rsid w:val="00DE3EA8"/>
    <w:rsid w:val="00E00439"/>
    <w:rsid w:val="00E04ED2"/>
    <w:rsid w:val="00E0533E"/>
    <w:rsid w:val="00E12F59"/>
    <w:rsid w:val="00E21FC9"/>
    <w:rsid w:val="00E265E5"/>
    <w:rsid w:val="00E3565D"/>
    <w:rsid w:val="00E36D04"/>
    <w:rsid w:val="00E36F94"/>
    <w:rsid w:val="00E41776"/>
    <w:rsid w:val="00E4277F"/>
    <w:rsid w:val="00E428AD"/>
    <w:rsid w:val="00E44998"/>
    <w:rsid w:val="00E472FD"/>
    <w:rsid w:val="00E55066"/>
    <w:rsid w:val="00E552F7"/>
    <w:rsid w:val="00E559ED"/>
    <w:rsid w:val="00E55C68"/>
    <w:rsid w:val="00E71F74"/>
    <w:rsid w:val="00E923F1"/>
    <w:rsid w:val="00E92599"/>
    <w:rsid w:val="00E94B89"/>
    <w:rsid w:val="00E9539E"/>
    <w:rsid w:val="00EA2D33"/>
    <w:rsid w:val="00EA4C19"/>
    <w:rsid w:val="00EA5530"/>
    <w:rsid w:val="00EA674A"/>
    <w:rsid w:val="00EB38C5"/>
    <w:rsid w:val="00EB57BD"/>
    <w:rsid w:val="00EB6628"/>
    <w:rsid w:val="00EC6247"/>
    <w:rsid w:val="00ED1E93"/>
    <w:rsid w:val="00ED3C7B"/>
    <w:rsid w:val="00ED7003"/>
    <w:rsid w:val="00F0034C"/>
    <w:rsid w:val="00F0740D"/>
    <w:rsid w:val="00F10385"/>
    <w:rsid w:val="00F12D28"/>
    <w:rsid w:val="00F14EEC"/>
    <w:rsid w:val="00F27220"/>
    <w:rsid w:val="00F358E7"/>
    <w:rsid w:val="00F35AB9"/>
    <w:rsid w:val="00F51777"/>
    <w:rsid w:val="00F5185D"/>
    <w:rsid w:val="00F60B50"/>
    <w:rsid w:val="00F67230"/>
    <w:rsid w:val="00F74E1A"/>
    <w:rsid w:val="00F751B6"/>
    <w:rsid w:val="00F80416"/>
    <w:rsid w:val="00F902A7"/>
    <w:rsid w:val="00F922F2"/>
    <w:rsid w:val="00FA21F7"/>
    <w:rsid w:val="00FA3A37"/>
    <w:rsid w:val="00FB47E3"/>
    <w:rsid w:val="00FC2829"/>
    <w:rsid w:val="00FC3FFA"/>
    <w:rsid w:val="00FD7592"/>
    <w:rsid w:val="00FE0BD3"/>
    <w:rsid w:val="00FE591B"/>
    <w:rsid w:val="00FE631F"/>
    <w:rsid w:val="00FF1FC3"/>
    <w:rsid w:val="00FF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33"/>
  </w:style>
  <w:style w:type="paragraph" w:styleId="Heading1">
    <w:name w:val="heading 1"/>
    <w:basedOn w:val="Normal"/>
    <w:next w:val="Normal"/>
    <w:link w:val="Heading1Char"/>
    <w:uiPriority w:val="9"/>
    <w:qFormat/>
    <w:rsid w:val="004C00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0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D33"/>
    <w:pPr>
      <w:ind w:left="720"/>
      <w:contextualSpacing/>
    </w:pPr>
  </w:style>
  <w:style w:type="paragraph" w:styleId="FootnoteText">
    <w:name w:val="footnote text"/>
    <w:basedOn w:val="Normal"/>
    <w:link w:val="FootnoteTextChar"/>
    <w:uiPriority w:val="99"/>
    <w:unhideWhenUsed/>
    <w:rsid w:val="00CE43AF"/>
    <w:pPr>
      <w:spacing w:after="0" w:line="240" w:lineRule="auto"/>
    </w:pPr>
    <w:rPr>
      <w:sz w:val="20"/>
      <w:szCs w:val="20"/>
    </w:rPr>
  </w:style>
  <w:style w:type="character" w:customStyle="1" w:styleId="FootnoteTextChar">
    <w:name w:val="Footnote Text Char"/>
    <w:basedOn w:val="DefaultParagraphFont"/>
    <w:link w:val="FootnoteText"/>
    <w:uiPriority w:val="99"/>
    <w:rsid w:val="00CE43AF"/>
    <w:rPr>
      <w:sz w:val="20"/>
      <w:szCs w:val="20"/>
    </w:rPr>
  </w:style>
  <w:style w:type="character" w:styleId="FootnoteReference">
    <w:name w:val="footnote reference"/>
    <w:basedOn w:val="DefaultParagraphFont"/>
    <w:uiPriority w:val="99"/>
    <w:unhideWhenUsed/>
    <w:rsid w:val="00CE43AF"/>
    <w:rPr>
      <w:vertAlign w:val="superscript"/>
    </w:rPr>
  </w:style>
  <w:style w:type="paragraph" w:styleId="Header">
    <w:name w:val="header"/>
    <w:basedOn w:val="Normal"/>
    <w:link w:val="HeaderChar"/>
    <w:uiPriority w:val="99"/>
    <w:unhideWhenUsed/>
    <w:rsid w:val="00CA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73"/>
  </w:style>
  <w:style w:type="paragraph" w:styleId="Footer">
    <w:name w:val="footer"/>
    <w:basedOn w:val="Normal"/>
    <w:link w:val="FooterChar"/>
    <w:uiPriority w:val="99"/>
    <w:unhideWhenUsed/>
    <w:rsid w:val="00CA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73"/>
  </w:style>
  <w:style w:type="character" w:customStyle="1" w:styleId="apple-converted-space">
    <w:name w:val="apple-converted-space"/>
    <w:basedOn w:val="DefaultParagraphFont"/>
    <w:rsid w:val="00206FA5"/>
  </w:style>
  <w:style w:type="paragraph" w:styleId="BalloonText">
    <w:name w:val="Balloon Text"/>
    <w:basedOn w:val="Normal"/>
    <w:link w:val="BalloonTextChar"/>
    <w:uiPriority w:val="99"/>
    <w:semiHidden/>
    <w:unhideWhenUsed/>
    <w:rsid w:val="00F6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30"/>
    <w:rPr>
      <w:rFonts w:ascii="Tahoma" w:hAnsi="Tahoma" w:cs="Tahoma"/>
      <w:sz w:val="16"/>
      <w:szCs w:val="16"/>
    </w:rPr>
  </w:style>
  <w:style w:type="paragraph" w:styleId="TOC1">
    <w:name w:val="toc 1"/>
    <w:basedOn w:val="Normal"/>
    <w:next w:val="Normal"/>
    <w:autoRedefine/>
    <w:uiPriority w:val="39"/>
    <w:unhideWhenUsed/>
    <w:rsid w:val="004C0076"/>
  </w:style>
  <w:style w:type="paragraph" w:styleId="TOC2">
    <w:name w:val="toc 2"/>
    <w:basedOn w:val="Normal"/>
    <w:next w:val="Normal"/>
    <w:autoRedefine/>
    <w:uiPriority w:val="39"/>
    <w:unhideWhenUsed/>
    <w:rsid w:val="004C0076"/>
    <w:pPr>
      <w:ind w:left="220"/>
    </w:pPr>
  </w:style>
  <w:style w:type="paragraph" w:styleId="TOC3">
    <w:name w:val="toc 3"/>
    <w:basedOn w:val="Normal"/>
    <w:next w:val="Normal"/>
    <w:autoRedefine/>
    <w:uiPriority w:val="39"/>
    <w:unhideWhenUsed/>
    <w:rsid w:val="004C0076"/>
    <w:pPr>
      <w:ind w:left="440"/>
    </w:pPr>
  </w:style>
  <w:style w:type="paragraph" w:styleId="TOC4">
    <w:name w:val="toc 4"/>
    <w:basedOn w:val="Normal"/>
    <w:next w:val="Normal"/>
    <w:autoRedefine/>
    <w:uiPriority w:val="39"/>
    <w:unhideWhenUsed/>
    <w:rsid w:val="004C0076"/>
    <w:pPr>
      <w:ind w:left="660"/>
    </w:pPr>
  </w:style>
  <w:style w:type="paragraph" w:styleId="TOC5">
    <w:name w:val="toc 5"/>
    <w:basedOn w:val="Normal"/>
    <w:next w:val="Normal"/>
    <w:autoRedefine/>
    <w:uiPriority w:val="39"/>
    <w:unhideWhenUsed/>
    <w:rsid w:val="004C0076"/>
    <w:pPr>
      <w:ind w:left="880"/>
    </w:pPr>
  </w:style>
  <w:style w:type="paragraph" w:styleId="TOC6">
    <w:name w:val="toc 6"/>
    <w:basedOn w:val="Normal"/>
    <w:next w:val="Normal"/>
    <w:autoRedefine/>
    <w:uiPriority w:val="39"/>
    <w:unhideWhenUsed/>
    <w:rsid w:val="004C0076"/>
    <w:pPr>
      <w:ind w:left="1100"/>
    </w:pPr>
  </w:style>
  <w:style w:type="paragraph" w:styleId="TOC7">
    <w:name w:val="toc 7"/>
    <w:basedOn w:val="Normal"/>
    <w:next w:val="Normal"/>
    <w:autoRedefine/>
    <w:uiPriority w:val="39"/>
    <w:unhideWhenUsed/>
    <w:rsid w:val="004C0076"/>
    <w:pPr>
      <w:ind w:left="1320"/>
    </w:pPr>
  </w:style>
  <w:style w:type="paragraph" w:styleId="TOC8">
    <w:name w:val="toc 8"/>
    <w:basedOn w:val="Normal"/>
    <w:next w:val="Normal"/>
    <w:autoRedefine/>
    <w:uiPriority w:val="39"/>
    <w:unhideWhenUsed/>
    <w:rsid w:val="004C0076"/>
    <w:pPr>
      <w:ind w:left="1540"/>
    </w:pPr>
  </w:style>
  <w:style w:type="paragraph" w:styleId="TOC9">
    <w:name w:val="toc 9"/>
    <w:basedOn w:val="Normal"/>
    <w:next w:val="Normal"/>
    <w:autoRedefine/>
    <w:uiPriority w:val="39"/>
    <w:unhideWhenUsed/>
    <w:rsid w:val="004C0076"/>
    <w:pPr>
      <w:ind w:left="1760"/>
    </w:pPr>
  </w:style>
  <w:style w:type="character" w:customStyle="1" w:styleId="Heading1Char">
    <w:name w:val="Heading 1 Char"/>
    <w:basedOn w:val="DefaultParagraphFont"/>
    <w:link w:val="Heading1"/>
    <w:uiPriority w:val="9"/>
    <w:rsid w:val="004C007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0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07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A17349"/>
  </w:style>
  <w:style w:type="character" w:styleId="CommentReference">
    <w:name w:val="annotation reference"/>
    <w:basedOn w:val="DefaultParagraphFont"/>
    <w:uiPriority w:val="99"/>
    <w:semiHidden/>
    <w:unhideWhenUsed/>
    <w:rsid w:val="000C7C99"/>
    <w:rPr>
      <w:sz w:val="18"/>
      <w:szCs w:val="18"/>
    </w:rPr>
  </w:style>
  <w:style w:type="paragraph" w:styleId="CommentText">
    <w:name w:val="annotation text"/>
    <w:basedOn w:val="Normal"/>
    <w:link w:val="CommentTextChar"/>
    <w:uiPriority w:val="99"/>
    <w:semiHidden/>
    <w:unhideWhenUsed/>
    <w:rsid w:val="000C7C99"/>
    <w:pPr>
      <w:spacing w:line="240" w:lineRule="auto"/>
    </w:pPr>
    <w:rPr>
      <w:sz w:val="24"/>
      <w:szCs w:val="24"/>
    </w:rPr>
  </w:style>
  <w:style w:type="character" w:customStyle="1" w:styleId="CommentTextChar">
    <w:name w:val="Comment Text Char"/>
    <w:basedOn w:val="DefaultParagraphFont"/>
    <w:link w:val="CommentText"/>
    <w:uiPriority w:val="99"/>
    <w:semiHidden/>
    <w:rsid w:val="000C7C99"/>
    <w:rPr>
      <w:sz w:val="24"/>
      <w:szCs w:val="24"/>
    </w:rPr>
  </w:style>
  <w:style w:type="paragraph" w:styleId="CommentSubject">
    <w:name w:val="annotation subject"/>
    <w:basedOn w:val="CommentText"/>
    <w:next w:val="CommentText"/>
    <w:link w:val="CommentSubjectChar"/>
    <w:uiPriority w:val="99"/>
    <w:semiHidden/>
    <w:unhideWhenUsed/>
    <w:rsid w:val="000C7C99"/>
    <w:rPr>
      <w:b/>
      <w:bCs/>
      <w:sz w:val="20"/>
      <w:szCs w:val="20"/>
    </w:rPr>
  </w:style>
  <w:style w:type="character" w:customStyle="1" w:styleId="CommentSubjectChar">
    <w:name w:val="Comment Subject Char"/>
    <w:basedOn w:val="CommentTextChar"/>
    <w:link w:val="CommentSubject"/>
    <w:uiPriority w:val="99"/>
    <w:semiHidden/>
    <w:rsid w:val="000C7C99"/>
    <w:rPr>
      <w:b/>
      <w:bCs/>
      <w:sz w:val="20"/>
      <w:szCs w:val="20"/>
    </w:rPr>
  </w:style>
  <w:style w:type="paragraph" w:styleId="Revision">
    <w:name w:val="Revision"/>
    <w:hidden/>
    <w:uiPriority w:val="99"/>
    <w:semiHidden/>
    <w:rsid w:val="000C7C99"/>
    <w:pPr>
      <w:spacing w:after="0" w:line="240" w:lineRule="auto"/>
    </w:pPr>
  </w:style>
  <w:style w:type="paragraph" w:styleId="DocumentMap">
    <w:name w:val="Document Map"/>
    <w:basedOn w:val="Normal"/>
    <w:link w:val="DocumentMapChar"/>
    <w:uiPriority w:val="99"/>
    <w:semiHidden/>
    <w:unhideWhenUsed/>
    <w:rsid w:val="003D02A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D02AF"/>
    <w:rPr>
      <w:rFonts w:ascii="Lucida Grande" w:hAnsi="Lucida Grande"/>
      <w:sz w:val="24"/>
      <w:szCs w:val="24"/>
    </w:rPr>
  </w:style>
  <w:style w:type="character" w:styleId="Hyperlink">
    <w:name w:val="Hyperlink"/>
    <w:basedOn w:val="DefaultParagraphFont"/>
    <w:uiPriority w:val="99"/>
    <w:unhideWhenUsed/>
    <w:rsid w:val="00E552F7"/>
    <w:rPr>
      <w:color w:val="0000FF" w:themeColor="hyperlink"/>
      <w:u w:val="single"/>
    </w:rPr>
  </w:style>
  <w:style w:type="paragraph" w:customStyle="1" w:styleId="Default">
    <w:name w:val="Default"/>
    <w:rsid w:val="00E552F7"/>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33"/>
  </w:style>
  <w:style w:type="paragraph" w:styleId="Heading1">
    <w:name w:val="heading 1"/>
    <w:basedOn w:val="Normal"/>
    <w:next w:val="Normal"/>
    <w:link w:val="Heading1Char"/>
    <w:uiPriority w:val="9"/>
    <w:qFormat/>
    <w:rsid w:val="004C00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0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2D33"/>
    <w:pPr>
      <w:ind w:left="720"/>
      <w:contextualSpacing/>
    </w:pPr>
  </w:style>
  <w:style w:type="paragraph" w:styleId="FootnoteText">
    <w:name w:val="footnote text"/>
    <w:basedOn w:val="Normal"/>
    <w:link w:val="FootnoteTextChar"/>
    <w:uiPriority w:val="99"/>
    <w:unhideWhenUsed/>
    <w:rsid w:val="00CE43AF"/>
    <w:pPr>
      <w:spacing w:after="0" w:line="240" w:lineRule="auto"/>
    </w:pPr>
    <w:rPr>
      <w:sz w:val="20"/>
      <w:szCs w:val="20"/>
    </w:rPr>
  </w:style>
  <w:style w:type="character" w:customStyle="1" w:styleId="FootnoteTextChar">
    <w:name w:val="Footnote Text Char"/>
    <w:basedOn w:val="DefaultParagraphFont"/>
    <w:link w:val="FootnoteText"/>
    <w:uiPriority w:val="99"/>
    <w:rsid w:val="00CE43AF"/>
    <w:rPr>
      <w:sz w:val="20"/>
      <w:szCs w:val="20"/>
    </w:rPr>
  </w:style>
  <w:style w:type="character" w:styleId="FootnoteReference">
    <w:name w:val="footnote reference"/>
    <w:basedOn w:val="DefaultParagraphFont"/>
    <w:uiPriority w:val="99"/>
    <w:unhideWhenUsed/>
    <w:rsid w:val="00CE43AF"/>
    <w:rPr>
      <w:vertAlign w:val="superscript"/>
    </w:rPr>
  </w:style>
  <w:style w:type="paragraph" w:styleId="Header">
    <w:name w:val="header"/>
    <w:basedOn w:val="Normal"/>
    <w:link w:val="HeaderChar"/>
    <w:uiPriority w:val="99"/>
    <w:unhideWhenUsed/>
    <w:rsid w:val="00CA7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73"/>
  </w:style>
  <w:style w:type="paragraph" w:styleId="Footer">
    <w:name w:val="footer"/>
    <w:basedOn w:val="Normal"/>
    <w:link w:val="FooterChar"/>
    <w:uiPriority w:val="99"/>
    <w:unhideWhenUsed/>
    <w:rsid w:val="00CA7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73"/>
  </w:style>
  <w:style w:type="character" w:customStyle="1" w:styleId="apple-converted-space">
    <w:name w:val="apple-converted-space"/>
    <w:basedOn w:val="DefaultParagraphFont"/>
    <w:rsid w:val="00206FA5"/>
  </w:style>
  <w:style w:type="paragraph" w:styleId="BalloonText">
    <w:name w:val="Balloon Text"/>
    <w:basedOn w:val="Normal"/>
    <w:link w:val="BalloonTextChar"/>
    <w:uiPriority w:val="99"/>
    <w:semiHidden/>
    <w:unhideWhenUsed/>
    <w:rsid w:val="00F67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30"/>
    <w:rPr>
      <w:rFonts w:ascii="Tahoma" w:hAnsi="Tahoma" w:cs="Tahoma"/>
      <w:sz w:val="16"/>
      <w:szCs w:val="16"/>
    </w:rPr>
  </w:style>
  <w:style w:type="paragraph" w:styleId="TOC1">
    <w:name w:val="toc 1"/>
    <w:basedOn w:val="Normal"/>
    <w:next w:val="Normal"/>
    <w:autoRedefine/>
    <w:uiPriority w:val="39"/>
    <w:unhideWhenUsed/>
    <w:rsid w:val="004C0076"/>
  </w:style>
  <w:style w:type="paragraph" w:styleId="TOC2">
    <w:name w:val="toc 2"/>
    <w:basedOn w:val="Normal"/>
    <w:next w:val="Normal"/>
    <w:autoRedefine/>
    <w:uiPriority w:val="39"/>
    <w:unhideWhenUsed/>
    <w:rsid w:val="004C0076"/>
    <w:pPr>
      <w:ind w:left="220"/>
    </w:pPr>
  </w:style>
  <w:style w:type="paragraph" w:styleId="TOC3">
    <w:name w:val="toc 3"/>
    <w:basedOn w:val="Normal"/>
    <w:next w:val="Normal"/>
    <w:autoRedefine/>
    <w:uiPriority w:val="39"/>
    <w:unhideWhenUsed/>
    <w:rsid w:val="004C0076"/>
    <w:pPr>
      <w:ind w:left="440"/>
    </w:pPr>
  </w:style>
  <w:style w:type="paragraph" w:styleId="TOC4">
    <w:name w:val="toc 4"/>
    <w:basedOn w:val="Normal"/>
    <w:next w:val="Normal"/>
    <w:autoRedefine/>
    <w:uiPriority w:val="39"/>
    <w:unhideWhenUsed/>
    <w:rsid w:val="004C0076"/>
    <w:pPr>
      <w:ind w:left="660"/>
    </w:pPr>
  </w:style>
  <w:style w:type="paragraph" w:styleId="TOC5">
    <w:name w:val="toc 5"/>
    <w:basedOn w:val="Normal"/>
    <w:next w:val="Normal"/>
    <w:autoRedefine/>
    <w:uiPriority w:val="39"/>
    <w:unhideWhenUsed/>
    <w:rsid w:val="004C0076"/>
    <w:pPr>
      <w:ind w:left="880"/>
    </w:pPr>
  </w:style>
  <w:style w:type="paragraph" w:styleId="TOC6">
    <w:name w:val="toc 6"/>
    <w:basedOn w:val="Normal"/>
    <w:next w:val="Normal"/>
    <w:autoRedefine/>
    <w:uiPriority w:val="39"/>
    <w:unhideWhenUsed/>
    <w:rsid w:val="004C0076"/>
    <w:pPr>
      <w:ind w:left="1100"/>
    </w:pPr>
  </w:style>
  <w:style w:type="paragraph" w:styleId="TOC7">
    <w:name w:val="toc 7"/>
    <w:basedOn w:val="Normal"/>
    <w:next w:val="Normal"/>
    <w:autoRedefine/>
    <w:uiPriority w:val="39"/>
    <w:unhideWhenUsed/>
    <w:rsid w:val="004C0076"/>
    <w:pPr>
      <w:ind w:left="1320"/>
    </w:pPr>
  </w:style>
  <w:style w:type="paragraph" w:styleId="TOC8">
    <w:name w:val="toc 8"/>
    <w:basedOn w:val="Normal"/>
    <w:next w:val="Normal"/>
    <w:autoRedefine/>
    <w:uiPriority w:val="39"/>
    <w:unhideWhenUsed/>
    <w:rsid w:val="004C0076"/>
    <w:pPr>
      <w:ind w:left="1540"/>
    </w:pPr>
  </w:style>
  <w:style w:type="paragraph" w:styleId="TOC9">
    <w:name w:val="toc 9"/>
    <w:basedOn w:val="Normal"/>
    <w:next w:val="Normal"/>
    <w:autoRedefine/>
    <w:uiPriority w:val="39"/>
    <w:unhideWhenUsed/>
    <w:rsid w:val="004C0076"/>
    <w:pPr>
      <w:ind w:left="1760"/>
    </w:pPr>
  </w:style>
  <w:style w:type="character" w:customStyle="1" w:styleId="Heading1Char">
    <w:name w:val="Heading 1 Char"/>
    <w:basedOn w:val="DefaultParagraphFont"/>
    <w:link w:val="Heading1"/>
    <w:uiPriority w:val="9"/>
    <w:rsid w:val="004C007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0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07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A17349"/>
  </w:style>
  <w:style w:type="character" w:styleId="CommentReference">
    <w:name w:val="annotation reference"/>
    <w:basedOn w:val="DefaultParagraphFont"/>
    <w:uiPriority w:val="99"/>
    <w:semiHidden/>
    <w:unhideWhenUsed/>
    <w:rsid w:val="000C7C99"/>
    <w:rPr>
      <w:sz w:val="18"/>
      <w:szCs w:val="18"/>
    </w:rPr>
  </w:style>
  <w:style w:type="paragraph" w:styleId="CommentText">
    <w:name w:val="annotation text"/>
    <w:basedOn w:val="Normal"/>
    <w:link w:val="CommentTextChar"/>
    <w:uiPriority w:val="99"/>
    <w:semiHidden/>
    <w:unhideWhenUsed/>
    <w:rsid w:val="000C7C99"/>
    <w:pPr>
      <w:spacing w:line="240" w:lineRule="auto"/>
    </w:pPr>
    <w:rPr>
      <w:sz w:val="24"/>
      <w:szCs w:val="24"/>
    </w:rPr>
  </w:style>
  <w:style w:type="character" w:customStyle="1" w:styleId="CommentTextChar">
    <w:name w:val="Comment Text Char"/>
    <w:basedOn w:val="DefaultParagraphFont"/>
    <w:link w:val="CommentText"/>
    <w:uiPriority w:val="99"/>
    <w:semiHidden/>
    <w:rsid w:val="000C7C99"/>
    <w:rPr>
      <w:sz w:val="24"/>
      <w:szCs w:val="24"/>
    </w:rPr>
  </w:style>
  <w:style w:type="paragraph" w:styleId="CommentSubject">
    <w:name w:val="annotation subject"/>
    <w:basedOn w:val="CommentText"/>
    <w:next w:val="CommentText"/>
    <w:link w:val="CommentSubjectChar"/>
    <w:uiPriority w:val="99"/>
    <w:semiHidden/>
    <w:unhideWhenUsed/>
    <w:rsid w:val="000C7C99"/>
    <w:rPr>
      <w:b/>
      <w:bCs/>
      <w:sz w:val="20"/>
      <w:szCs w:val="20"/>
    </w:rPr>
  </w:style>
  <w:style w:type="character" w:customStyle="1" w:styleId="CommentSubjectChar">
    <w:name w:val="Comment Subject Char"/>
    <w:basedOn w:val="CommentTextChar"/>
    <w:link w:val="CommentSubject"/>
    <w:uiPriority w:val="99"/>
    <w:semiHidden/>
    <w:rsid w:val="000C7C99"/>
    <w:rPr>
      <w:b/>
      <w:bCs/>
      <w:sz w:val="20"/>
      <w:szCs w:val="20"/>
    </w:rPr>
  </w:style>
  <w:style w:type="paragraph" w:styleId="Revision">
    <w:name w:val="Revision"/>
    <w:hidden/>
    <w:uiPriority w:val="99"/>
    <w:semiHidden/>
    <w:rsid w:val="000C7C99"/>
    <w:pPr>
      <w:spacing w:after="0" w:line="240" w:lineRule="auto"/>
    </w:pPr>
  </w:style>
  <w:style w:type="paragraph" w:styleId="DocumentMap">
    <w:name w:val="Document Map"/>
    <w:basedOn w:val="Normal"/>
    <w:link w:val="DocumentMapChar"/>
    <w:uiPriority w:val="99"/>
    <w:semiHidden/>
    <w:unhideWhenUsed/>
    <w:rsid w:val="003D02AF"/>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D02AF"/>
    <w:rPr>
      <w:rFonts w:ascii="Lucida Grande" w:hAnsi="Lucida Grande"/>
      <w:sz w:val="24"/>
      <w:szCs w:val="24"/>
    </w:rPr>
  </w:style>
  <w:style w:type="character" w:styleId="Hyperlink">
    <w:name w:val="Hyperlink"/>
    <w:basedOn w:val="DefaultParagraphFont"/>
    <w:uiPriority w:val="99"/>
    <w:unhideWhenUsed/>
    <w:rsid w:val="00E552F7"/>
    <w:rPr>
      <w:color w:val="0000FF" w:themeColor="hyperlink"/>
      <w:u w:val="single"/>
    </w:rPr>
  </w:style>
  <w:style w:type="paragraph" w:customStyle="1" w:styleId="Default">
    <w:name w:val="Default"/>
    <w:rsid w:val="00E552F7"/>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orchers@bricker.com" TargetMode="External"/><Relationship Id="rId18" Type="http://schemas.openxmlformats.org/officeDocument/2006/relationships/hyperlink" Target="mailto:cynthia.brady@constellat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rent@theOEC.org" TargetMode="External"/><Relationship Id="rId7" Type="http://schemas.openxmlformats.org/officeDocument/2006/relationships/footnotes" Target="footnotes.xml"/><Relationship Id="rId12" Type="http://schemas.openxmlformats.org/officeDocument/2006/relationships/hyperlink" Target="mailto:ricks@ohanet.org" TargetMode="External"/><Relationship Id="rId17" Type="http://schemas.openxmlformats.org/officeDocument/2006/relationships/hyperlink" Target="mailto:david.fein@exeloncorp.com" TargetMode="External"/><Relationship Id="rId25" Type="http://schemas.openxmlformats.org/officeDocument/2006/relationships/hyperlink" Target="mailto:schmidt@sppgrp.com" TargetMode="External"/><Relationship Id="rId2" Type="http://schemas.openxmlformats.org/officeDocument/2006/relationships/numbering" Target="numbering.xml"/><Relationship Id="rId16" Type="http://schemas.openxmlformats.org/officeDocument/2006/relationships/hyperlink" Target="mailto:mohler@carpenterlipps.com" TargetMode="External"/><Relationship Id="rId20" Type="http://schemas.openxmlformats.org/officeDocument/2006/relationships/hyperlink" Target="mailto:cloucas@ohiopartner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onway@porterwright.com" TargetMode="External"/><Relationship Id="rId24" Type="http://schemas.openxmlformats.org/officeDocument/2006/relationships/hyperlink" Target="mailto:tshadrick@spilmanlaw.com"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gary.a.jeffries@dom.com" TargetMode="External"/><Relationship Id="rId23" Type="http://schemas.openxmlformats.org/officeDocument/2006/relationships/hyperlink" Target="mailto:gpoulos@enernoc.com" TargetMode="External"/><Relationship Id="rId28" Type="http://schemas.openxmlformats.org/officeDocument/2006/relationships/footer" Target="footer4.xml"/><Relationship Id="rId10" Type="http://schemas.openxmlformats.org/officeDocument/2006/relationships/hyperlink" Target="mailto:mjsatterwhite@aep.com" TargetMode="External"/><Relationship Id="rId19" Type="http://schemas.openxmlformats.org/officeDocument/2006/relationships/hyperlink" Target="mailto:Lael.Campbell@constellation.com"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werner.margard@puc.state.oh.us" TargetMode="External"/><Relationship Id="rId22" Type="http://schemas.openxmlformats.org/officeDocument/2006/relationships/hyperlink" Target="mailto:plee@oslsa.or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8999-EDBB-4D0A-BB72-4DD75234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5336</Words>
  <Characters>27270</Characters>
  <Application>Microsoft Office Word</Application>
  <DocSecurity>4</DocSecurity>
  <Lines>737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2014-08-15T18:49:00Z</cp:lastPrinted>
  <dcterms:created xsi:type="dcterms:W3CDTF">2014-08-15T20:07:00Z</dcterms:created>
  <dcterms:modified xsi:type="dcterms:W3CDTF">2014-08-15T20:07:00Z</dcterms:modified>
</cp:coreProperties>
</file>