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EF693D" w:rsidRPr="003529C3" w:rsidP="00EF693D">
      <w:pPr>
        <w:jc w:val="center"/>
        <w:rPr>
          <w:b/>
        </w:rPr>
      </w:pPr>
      <w:bookmarkStart w:id="0" w:name="_GoBack"/>
      <w:bookmarkEnd w:id="0"/>
      <w:r w:rsidRPr="003529C3">
        <w:rPr>
          <w:b/>
        </w:rPr>
        <w:t>BEFORE</w:t>
      </w:r>
    </w:p>
    <w:p w:rsidR="00EF693D" w:rsidRPr="003529C3" w:rsidP="00EF693D">
      <w:pPr>
        <w:jc w:val="center"/>
        <w:rPr>
          <w:b/>
        </w:rPr>
      </w:pPr>
      <w:r w:rsidRPr="003529C3">
        <w:rPr>
          <w:b/>
        </w:rPr>
        <w:t xml:space="preserve"> THE PUBLIC UTILITIES COMMISSION OF OHIO</w:t>
      </w:r>
    </w:p>
    <w:tbl>
      <w:tblPr>
        <w:tblW w:w="5004" w:type="pct"/>
        <w:tblInd w:w="0" w:type="dxa"/>
        <w:tblCellMar>
          <w:top w:w="0" w:type="dxa"/>
          <w:left w:w="108" w:type="dxa"/>
          <w:bottom w:w="0" w:type="dxa"/>
          <w:right w:w="108" w:type="dxa"/>
        </w:tblCellMar>
        <w:tblLook w:val="01E0"/>
      </w:tblPr>
      <w:tblGrid>
        <w:gridCol w:w="4265"/>
        <w:gridCol w:w="333"/>
        <w:gridCol w:w="4265"/>
      </w:tblGrid>
      <w:tr w:rsidTr="00EF693D">
        <w:tblPrEx>
          <w:tblW w:w="5004" w:type="pct"/>
          <w:tblInd w:w="0" w:type="dxa"/>
          <w:tblCellMar>
            <w:top w:w="0" w:type="dxa"/>
            <w:left w:w="108" w:type="dxa"/>
            <w:bottom w:w="0" w:type="dxa"/>
            <w:right w:w="108" w:type="dxa"/>
          </w:tblCellMar>
          <w:tblLook w:val="01E0"/>
        </w:tblPrEx>
        <w:trPr>
          <w:trHeight w:val="2061"/>
        </w:trPr>
        <w:tc>
          <w:tcPr>
            <w:tcW w:w="2406" w:type="pct"/>
          </w:tcPr>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The Office of the Ohio Consumers’ Counsel, </w:t>
            </w: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and</w:t>
            </w: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Communities United for Action</w:t>
            </w:r>
          </w:p>
          <w:p w:rsidR="00EF693D" w:rsidRPr="00AB55A6" w:rsidP="00EF693D">
            <w:pPr>
              <w:autoSpaceDE w:val="0"/>
              <w:autoSpaceDN w:val="0"/>
              <w:adjustRightInd w:val="0"/>
              <w:spacing w:after="0" w:line="240" w:lineRule="auto"/>
              <w:ind w:left="720"/>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Complainants,</w:t>
            </w: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v. </w:t>
            </w: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EF693D" w:rsidRPr="00AB55A6"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Duke Energy Ohio, Inc.</w:t>
            </w:r>
            <w:r>
              <w:rPr>
                <w:rFonts w:ascii="Times New Roman" w:eastAsia="Calibri" w:hAnsi="Times New Roman" w:cs="Times New Roman"/>
                <w:sz w:val="24"/>
                <w:szCs w:val="24"/>
                <w:lang w:val="en-US" w:eastAsia="en-US" w:bidi="ar-SA"/>
              </w:rPr>
              <w:t>,</w:t>
            </w:r>
          </w:p>
          <w:p w:rsidR="00EF693D" w:rsidP="00EF693D">
            <w:pPr>
              <w:spacing w:after="0" w:line="240" w:lineRule="auto"/>
              <w:ind w:left="720"/>
              <w:rPr>
                <w:rStyle w:val="DefaultParagraphFont"/>
                <w:rFonts w:ascii="Times New Roman" w:eastAsia="Times New Roman"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Respondent.</w:t>
            </w: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tc>
        <w:tc>
          <w:tcPr>
            <w:tcW w:w="188" w:type="pct"/>
          </w:tcPr>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 ) ) )</w:t>
            </w: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EF693D"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5B4F0E" w:rsidRPr="00857F52"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EF693D" w:rsidRPr="00857F52" w:rsidP="00EF693D">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tc>
        <w:tc>
          <w:tcPr>
            <w:tcW w:w="2406" w:type="pct"/>
          </w:tcPr>
          <w:p w:rsidR="00EF693D" w:rsidRPr="003529C3"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RPr="003529C3"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r w:rsidRPr="003529C3">
              <w:rPr>
                <w:rFonts w:ascii="Times New Roman" w:eastAsia="Times New Roman" w:hAnsi="Times New Roman" w:cs="Times New Roman"/>
                <w:sz w:val="24"/>
                <w:szCs w:val="24"/>
                <w:lang w:val="en-US" w:eastAsia="en-US" w:bidi="ar-SA"/>
              </w:rPr>
              <w:t>Case No</w:t>
            </w:r>
            <w:r>
              <w:rPr>
                <w:rFonts w:ascii="Times New Roman" w:eastAsia="Times New Roman" w:hAnsi="Times New Roman" w:cs="Times New Roman"/>
                <w:sz w:val="24"/>
                <w:szCs w:val="24"/>
                <w:lang w:val="en-US" w:eastAsia="en-US" w:bidi="ar-SA"/>
              </w:rPr>
              <w:t>. 15-1588-GE-CSS</w:t>
            </w:r>
          </w:p>
          <w:p w:rsidR="00EF693D" w:rsidRPr="003529C3" w:rsidP="00EF693D">
            <w:pPr>
              <w:spacing w:after="0" w:line="240" w:lineRule="auto"/>
              <w:ind w:left="432"/>
              <w:rPr>
                <w:rStyle w:val="DefaultParagraphFont"/>
                <w:rFonts w:ascii="Times New Roman" w:eastAsia="Times New Roman" w:hAnsi="Times New Roman" w:cs="Times New Roman"/>
                <w:sz w:val="24"/>
                <w:szCs w:val="24"/>
                <w:lang w:val="en-US" w:eastAsia="en-US" w:bidi="ar-SA"/>
              </w:rPr>
            </w:pPr>
          </w:p>
          <w:p w:rsidR="00EF693D" w:rsidRPr="003529C3" w:rsidP="00EF693D">
            <w:pPr>
              <w:spacing w:after="0" w:line="240" w:lineRule="auto"/>
              <w:ind w:left="432"/>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P="00EF693D">
            <w:pPr>
              <w:spacing w:after="0" w:line="240" w:lineRule="auto"/>
              <w:rPr>
                <w:rStyle w:val="DefaultParagraphFont"/>
                <w:rFonts w:ascii="Times New Roman" w:eastAsia="Times New Roman" w:hAnsi="Times New Roman" w:cs="Times New Roman"/>
                <w:sz w:val="24"/>
                <w:szCs w:val="24"/>
                <w:lang w:val="en-US" w:eastAsia="en-US" w:bidi="ar-SA"/>
              </w:rPr>
            </w:pPr>
          </w:p>
          <w:p w:rsidR="00EF693D" w:rsidRPr="003529C3" w:rsidP="00EF693D">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EF693D" w:rsidRPr="003529C3" w:rsidP="00EF693D">
      <w:r w:rsidRPr="003529C3">
        <w:t>________________________________________________________________________</w:t>
      </w:r>
    </w:p>
    <w:p w:rsidR="00EF693D" w:rsidRPr="003529C3" w:rsidP="00EF693D"/>
    <w:p w:rsidR="005B4F0E" w:rsidP="00EF693D">
      <w:pPr>
        <w:jc w:val="center"/>
        <w:rPr>
          <w:b/>
        </w:rPr>
      </w:pPr>
      <w:r>
        <w:rPr>
          <w:b/>
        </w:rPr>
        <w:t>APPLICATION FOR REHEARING</w:t>
      </w:r>
      <w:r w:rsidRPr="003529C3">
        <w:rPr>
          <w:b/>
        </w:rPr>
        <w:t xml:space="preserve"> </w:t>
      </w:r>
    </w:p>
    <w:p w:rsidR="00EF693D" w:rsidP="00EF693D">
      <w:pPr>
        <w:jc w:val="center"/>
        <w:rPr>
          <w:b/>
        </w:rPr>
      </w:pPr>
      <w:r>
        <w:rPr>
          <w:b/>
        </w:rPr>
        <w:t>BY</w:t>
      </w:r>
    </w:p>
    <w:p w:rsidR="00EF693D" w:rsidP="00EF693D">
      <w:pPr>
        <w:jc w:val="center"/>
        <w:rPr>
          <w:b/>
        </w:rPr>
      </w:pPr>
      <w:r w:rsidRPr="003529C3">
        <w:rPr>
          <w:b/>
        </w:rPr>
        <w:t xml:space="preserve">THE </w:t>
      </w:r>
      <w:r>
        <w:rPr>
          <w:b/>
        </w:rPr>
        <w:t>OFFICE OF THE OHIO CONSUMERS’ COUNSEL</w:t>
      </w:r>
    </w:p>
    <w:p w:rsidR="008D5E6A" w:rsidP="00EF693D">
      <w:pPr>
        <w:jc w:val="center"/>
        <w:rPr>
          <w:b/>
        </w:rPr>
      </w:pPr>
      <w:r>
        <w:rPr>
          <w:b/>
        </w:rPr>
        <w:t>AND</w:t>
      </w:r>
    </w:p>
    <w:p w:rsidR="008D5E6A" w:rsidRPr="003529C3" w:rsidP="00EF693D">
      <w:pPr>
        <w:jc w:val="center"/>
        <w:rPr>
          <w:b/>
        </w:rPr>
      </w:pPr>
      <w:r>
        <w:rPr>
          <w:b/>
        </w:rPr>
        <w:t>COMMUNITIES UNITED FOR ACTION</w:t>
      </w:r>
    </w:p>
    <w:p w:rsidR="00EF693D" w:rsidP="00EF693D">
      <w:pPr>
        <w:rPr>
          <w:b/>
        </w:rPr>
      </w:pPr>
      <w:r>
        <w:rPr>
          <w:b/>
        </w:rPr>
        <w:t>________________________________________________________________________</w:t>
      </w:r>
    </w:p>
    <w:p w:rsidR="005B4F0E" w:rsidP="00EF693D">
      <w:pPr>
        <w:rPr>
          <w:b/>
        </w:rPr>
      </w:pPr>
    </w:p>
    <w:p w:rsidR="00CF4FCB" w:rsidP="005B4F0E">
      <w:pPr>
        <w:pStyle w:val="Footer"/>
        <w:tabs>
          <w:tab w:val="left" w:pos="4320"/>
        </w:tabs>
        <w:ind w:left="4320"/>
      </w:pPr>
    </w:p>
    <w:p w:rsidR="00CF4FCB" w:rsidP="005B4F0E">
      <w:pPr>
        <w:pStyle w:val="Footer"/>
        <w:tabs>
          <w:tab w:val="left" w:pos="4320"/>
        </w:tabs>
        <w:ind w:left="4320"/>
      </w:pPr>
    </w:p>
    <w:p w:rsidR="005B4F0E" w:rsidRPr="008C0455" w:rsidP="005B4F0E">
      <w:pPr>
        <w:pStyle w:val="Footer"/>
        <w:tabs>
          <w:tab w:val="left" w:pos="4320"/>
        </w:tabs>
        <w:ind w:left="4320"/>
      </w:pPr>
      <w:r>
        <w:t xml:space="preserve">BRUCE </w:t>
      </w:r>
      <w:r w:rsidRPr="008C0455">
        <w:t>WESTON (0016973)</w:t>
      </w:r>
    </w:p>
    <w:p w:rsidR="005B4F0E" w:rsidP="005B4F0E">
      <w:pPr>
        <w:pStyle w:val="Footer"/>
        <w:tabs>
          <w:tab w:val="left" w:pos="4320"/>
        </w:tabs>
        <w:spacing w:after="120"/>
        <w:ind w:left="4320"/>
      </w:pPr>
      <w:r>
        <w:t xml:space="preserve">OHIO </w:t>
      </w:r>
      <w:r w:rsidRPr="008C0455" w:rsidR="00352E1F">
        <w:t>CONSUMERS’ COUNSEL</w:t>
      </w:r>
    </w:p>
    <w:p w:rsidR="005B4F0E" w:rsidRPr="008C0455" w:rsidP="005B4F0E">
      <w:pPr>
        <w:widowControl w:val="0"/>
        <w:tabs>
          <w:tab w:val="left" w:pos="4320"/>
          <w:tab w:val="right" w:pos="9360"/>
        </w:tabs>
        <w:ind w:left="4320"/>
      </w:pPr>
      <w:r>
        <w:t>Terry L. Etter</w:t>
      </w:r>
      <w:r w:rsidRPr="008C0455">
        <w:t>, Counsel of Record (</w:t>
      </w:r>
      <w:r>
        <w:t>0067445</w:t>
      </w:r>
      <w:r w:rsidRPr="008C0455">
        <w:t>)</w:t>
      </w:r>
    </w:p>
    <w:p w:rsidR="005B4F0E" w:rsidP="005B4F0E">
      <w:pPr>
        <w:tabs>
          <w:tab w:val="left" w:pos="4320"/>
        </w:tabs>
        <w:ind w:left="4320"/>
      </w:pPr>
      <w:r w:rsidRPr="008C0455">
        <w:t>Assistant Consumers’ Counsel</w:t>
      </w:r>
    </w:p>
    <w:p w:rsidR="005B4F0E" w:rsidRPr="00901B50" w:rsidP="005B4F0E">
      <w:pPr>
        <w:spacing w:before="120"/>
        <w:rPr>
          <w:b/>
        </w:rPr>
      </w:pPr>
      <w:r>
        <w:tab/>
      </w:r>
      <w:r>
        <w:tab/>
      </w:r>
      <w:r>
        <w:tab/>
      </w:r>
      <w:r>
        <w:tab/>
      </w:r>
      <w:r>
        <w:tab/>
      </w:r>
      <w:r>
        <w:tab/>
      </w:r>
      <w:r w:rsidRPr="00901B50">
        <w:rPr>
          <w:b/>
        </w:rPr>
        <w:t>Office of the Ohio Consumers’ Counsel</w:t>
      </w:r>
    </w:p>
    <w:p w:rsidR="005B4F0E" w:rsidRPr="005F02E9" w:rsidP="005B4F0E">
      <w:r w:rsidRPr="005F02E9">
        <w:tab/>
      </w:r>
      <w:r w:rsidRPr="005F02E9">
        <w:tab/>
      </w:r>
      <w:r w:rsidRPr="005F02E9">
        <w:tab/>
      </w:r>
      <w:r w:rsidRPr="005F02E9">
        <w:tab/>
      </w:r>
      <w:r w:rsidRPr="005F02E9">
        <w:tab/>
      </w:r>
      <w:r w:rsidRPr="005F02E9">
        <w:tab/>
        <w:t>10 West Broad Street, Suite 1800</w:t>
      </w:r>
    </w:p>
    <w:p w:rsidR="005B4F0E" w:rsidRPr="005F02E9" w:rsidP="005B4F0E">
      <w:r w:rsidRPr="005F02E9">
        <w:tab/>
      </w:r>
      <w:r w:rsidRPr="005F02E9">
        <w:tab/>
      </w:r>
      <w:r w:rsidRPr="005F02E9">
        <w:tab/>
      </w:r>
      <w:r w:rsidRPr="005F02E9">
        <w:tab/>
      </w:r>
      <w:r w:rsidRPr="005F02E9">
        <w:tab/>
      </w:r>
      <w:r w:rsidRPr="005F02E9">
        <w:tab/>
        <w:t>Columbus, Ohio 43215-3485</w:t>
      </w:r>
    </w:p>
    <w:p w:rsidR="005B4F0E" w:rsidRPr="008C0455" w:rsidP="005B4F0E">
      <w:pPr>
        <w:tabs>
          <w:tab w:val="left" w:pos="4320"/>
        </w:tabs>
        <w:autoSpaceDE w:val="0"/>
        <w:autoSpaceDN w:val="0"/>
        <w:adjustRightInd w:val="0"/>
        <w:ind w:left="4320"/>
      </w:pPr>
      <w:r w:rsidRPr="008C0455">
        <w:t>Telephone: (614) 466-</w:t>
      </w:r>
      <w:r>
        <w:t>7964</w:t>
      </w:r>
      <w:r w:rsidRPr="008C0455">
        <w:t xml:space="preserve"> (</w:t>
      </w:r>
      <w:r>
        <w:t>Etter</w:t>
      </w:r>
      <w:r w:rsidRPr="008C0455">
        <w:t xml:space="preserve"> direct)</w:t>
      </w:r>
    </w:p>
    <w:p w:rsidR="005B4F0E" w:rsidRPr="008C0455" w:rsidP="005B4F0E">
      <w:pPr>
        <w:tabs>
          <w:tab w:val="left" w:pos="4320"/>
          <w:tab w:val="center" w:pos="4680"/>
          <w:tab w:val="right" w:pos="9360"/>
        </w:tabs>
        <w:ind w:left="4320"/>
      </w:pPr>
      <w:r>
        <w:rPr>
          <w:rStyle w:val="Hyperlink"/>
        </w:rPr>
        <w:t>terry.etter</w:t>
      </w:r>
      <w:r w:rsidRPr="008C0455">
        <w:rPr>
          <w:rStyle w:val="Hyperlink"/>
        </w:rPr>
        <w:t>@occ.ohio.gov</w:t>
      </w:r>
    </w:p>
    <w:p w:rsidR="005B4F0E" w:rsidP="005B4F0E">
      <w:pPr>
        <w:widowControl w:val="0"/>
        <w:tabs>
          <w:tab w:val="left" w:pos="4320"/>
          <w:tab w:val="center" w:pos="4680"/>
          <w:tab w:val="right" w:pos="9360"/>
        </w:tabs>
        <w:ind w:left="4320"/>
      </w:pPr>
    </w:p>
    <w:p w:rsidR="005B4F0E" w:rsidRPr="008C0455" w:rsidP="005B4F0E">
      <w:pPr>
        <w:widowControl w:val="0"/>
        <w:tabs>
          <w:tab w:val="left" w:pos="4320"/>
          <w:tab w:val="center" w:pos="4680"/>
          <w:tab w:val="right" w:pos="9360"/>
        </w:tabs>
        <w:ind w:left="4320"/>
      </w:pPr>
      <w:r w:rsidRPr="008C0455">
        <w:t>Kimberly W. Bojko (0069402)</w:t>
      </w:r>
    </w:p>
    <w:p w:rsidR="005B4F0E" w:rsidRPr="008C0455" w:rsidP="005B4F0E">
      <w:pPr>
        <w:widowControl w:val="0"/>
        <w:tabs>
          <w:tab w:val="left" w:pos="4320"/>
          <w:tab w:val="center" w:pos="4680"/>
          <w:tab w:val="right" w:pos="9360"/>
        </w:tabs>
        <w:ind w:left="4320"/>
      </w:pPr>
      <w:r w:rsidRPr="008C0455">
        <w:t>Carpenter Lipps &amp; Leland LLP</w:t>
      </w:r>
    </w:p>
    <w:p w:rsidR="005B4F0E" w:rsidRPr="008C0455" w:rsidP="005B4F0E">
      <w:pPr>
        <w:widowControl w:val="0"/>
        <w:tabs>
          <w:tab w:val="left" w:pos="4320"/>
          <w:tab w:val="center" w:pos="4680"/>
          <w:tab w:val="right" w:pos="9360"/>
        </w:tabs>
        <w:ind w:left="4320"/>
      </w:pPr>
      <w:r w:rsidRPr="008C0455">
        <w:t>280 North High Street, Suite 1300</w:t>
      </w:r>
    </w:p>
    <w:p w:rsidR="005B4F0E" w:rsidRPr="008C0455" w:rsidP="005B4F0E">
      <w:pPr>
        <w:widowControl w:val="0"/>
        <w:tabs>
          <w:tab w:val="left" w:pos="4320"/>
          <w:tab w:val="center" w:pos="4680"/>
          <w:tab w:val="right" w:pos="9360"/>
        </w:tabs>
        <w:ind w:left="4320"/>
      </w:pPr>
      <w:r w:rsidRPr="008C0455">
        <w:t>Columbus, Ohio 43215</w:t>
      </w:r>
    </w:p>
    <w:p w:rsidR="005B4F0E" w:rsidRPr="008C0455" w:rsidP="005B4F0E">
      <w:pPr>
        <w:widowControl w:val="0"/>
        <w:tabs>
          <w:tab w:val="left" w:pos="4320"/>
          <w:tab w:val="center" w:pos="4680"/>
          <w:tab w:val="right" w:pos="9360"/>
        </w:tabs>
        <w:ind w:left="4320"/>
      </w:pPr>
      <w:r>
        <w:t>Telep</w:t>
      </w:r>
      <w:r w:rsidRPr="008C0455">
        <w:t>hone: (614) 365-4100</w:t>
      </w:r>
    </w:p>
    <w:p w:rsidR="005B4F0E" w:rsidRPr="008C0455" w:rsidP="005B4F0E">
      <w:pPr>
        <w:widowControl w:val="0"/>
        <w:tabs>
          <w:tab w:val="left" w:pos="4320"/>
          <w:tab w:val="center" w:pos="4680"/>
          <w:tab w:val="right" w:pos="9360"/>
        </w:tabs>
        <w:ind w:left="4320"/>
      </w:pPr>
      <w:r>
        <w:fldChar w:fldCharType="begin"/>
      </w:r>
      <w:r>
        <w:instrText xml:space="preserve"> HYPERLINK "mailto:bojko@carpenterlipps.com" </w:instrText>
      </w:r>
      <w:r>
        <w:fldChar w:fldCharType="separate"/>
      </w:r>
      <w:r w:rsidRPr="008C0455" w:rsidR="00352E1F">
        <w:rPr>
          <w:rStyle w:val="Hyperlink"/>
        </w:rPr>
        <w:t>bojko@carpenterlipps.com</w:t>
      </w:r>
      <w:r>
        <w:fldChar w:fldCharType="end"/>
      </w:r>
    </w:p>
    <w:p w:rsidR="005B4F0E" w:rsidRPr="008C0455" w:rsidP="005B4F0E">
      <w:pPr>
        <w:widowControl w:val="0"/>
        <w:tabs>
          <w:tab w:val="left" w:pos="4320"/>
          <w:tab w:val="center" w:pos="4680"/>
          <w:tab w:val="right" w:pos="9360"/>
        </w:tabs>
        <w:ind w:left="4320"/>
      </w:pPr>
    </w:p>
    <w:p w:rsidR="005B4F0E" w:rsidRPr="008C0455" w:rsidP="005B4F0E">
      <w:pPr>
        <w:widowControl w:val="0"/>
        <w:tabs>
          <w:tab w:val="center" w:pos="4680"/>
          <w:tab w:val="right" w:pos="9360"/>
        </w:tabs>
        <w:ind w:firstLine="4320"/>
        <w:rPr>
          <w:i/>
        </w:rPr>
      </w:pPr>
      <w:r w:rsidRPr="008C0455">
        <w:rPr>
          <w:i/>
        </w:rPr>
        <w:t>Outside Counsel for the</w:t>
      </w:r>
    </w:p>
    <w:p w:rsidR="005B4F0E" w:rsidP="005B4F0E">
      <w:pPr>
        <w:widowControl w:val="0"/>
        <w:tabs>
          <w:tab w:val="center" w:pos="4680"/>
          <w:tab w:val="right" w:pos="9360"/>
        </w:tabs>
        <w:ind w:firstLine="4320"/>
      </w:pPr>
      <w:r w:rsidRPr="008C0455">
        <w:rPr>
          <w:i/>
        </w:rPr>
        <w:t>Office of the Ohio Consumers’ Counsel</w:t>
      </w:r>
    </w:p>
    <w:p w:rsidR="005B4F0E" w:rsidP="00EF693D">
      <w:pPr>
        <w:rPr>
          <w:b/>
        </w:rPr>
      </w:pPr>
    </w:p>
    <w:p w:rsidR="008D5E6A" w:rsidRPr="008D5E6A" w:rsidP="008D5E6A">
      <w:pPr>
        <w:ind w:left="4320"/>
        <w:rPr>
          <w:rFonts w:eastAsia="Calibri"/>
        </w:rPr>
      </w:pPr>
      <w:r w:rsidRPr="008D5E6A">
        <w:rPr>
          <w:rFonts w:eastAsia="Calibri"/>
        </w:rPr>
        <w:t>Noel M. Morgan (0066904)</w:t>
      </w:r>
    </w:p>
    <w:p w:rsidR="008D5E6A" w:rsidRPr="008D5E6A" w:rsidP="008D5E6A">
      <w:pPr>
        <w:ind w:left="4320"/>
        <w:rPr>
          <w:rFonts w:eastAsia="Calibri"/>
        </w:rPr>
      </w:pPr>
      <w:r w:rsidRPr="008D5E6A">
        <w:rPr>
          <w:rFonts w:eastAsia="Calibri"/>
        </w:rPr>
        <w:t>Attorney for CUFA</w:t>
      </w:r>
    </w:p>
    <w:p w:rsidR="008D5E6A" w:rsidRPr="008D5E6A" w:rsidP="008D5E6A">
      <w:pPr>
        <w:ind w:left="4320"/>
        <w:rPr>
          <w:rFonts w:eastAsia="Calibri"/>
        </w:rPr>
      </w:pPr>
      <w:r w:rsidRPr="008D5E6A">
        <w:rPr>
          <w:rFonts w:eastAsia="Calibri"/>
        </w:rPr>
        <w:t>Legal Aid Society of Southwest Ohio, LLC</w:t>
      </w:r>
    </w:p>
    <w:p w:rsidR="008D5E6A" w:rsidRPr="008D5E6A" w:rsidP="008D5E6A">
      <w:pPr>
        <w:ind w:left="4320"/>
        <w:rPr>
          <w:rFonts w:eastAsia="Calibri"/>
        </w:rPr>
      </w:pPr>
      <w:r w:rsidRPr="008D5E6A">
        <w:rPr>
          <w:rFonts w:eastAsia="Calibri"/>
        </w:rPr>
        <w:t>215 East Ninth Street, Suite 500</w:t>
      </w:r>
    </w:p>
    <w:p w:rsidR="008D5E6A" w:rsidRPr="008D5E6A" w:rsidP="008D5E6A">
      <w:pPr>
        <w:ind w:left="4320"/>
        <w:rPr>
          <w:rFonts w:eastAsia="Calibri"/>
        </w:rPr>
      </w:pPr>
      <w:r w:rsidRPr="008D5E6A">
        <w:rPr>
          <w:rFonts w:eastAsia="Calibri"/>
        </w:rPr>
        <w:t>Cincinnati, Ohio  45202</w:t>
      </w:r>
    </w:p>
    <w:p w:rsidR="008D5E6A" w:rsidRPr="008D5E6A" w:rsidP="008D5E6A">
      <w:pPr>
        <w:ind w:left="4320"/>
        <w:rPr>
          <w:rFonts w:eastAsia="Calibri"/>
        </w:rPr>
      </w:pPr>
      <w:r w:rsidRPr="008D5E6A">
        <w:rPr>
          <w:rFonts w:eastAsia="Calibri"/>
        </w:rPr>
        <w:t>Telephone: (513) 362-2837</w:t>
      </w:r>
    </w:p>
    <w:p w:rsidR="008D5E6A" w:rsidRPr="008D5E6A" w:rsidP="008D5E6A">
      <w:pPr>
        <w:ind w:left="4320"/>
        <w:rPr>
          <w:rFonts w:eastAsia="Calibri"/>
        </w:rPr>
      </w:pPr>
      <w:r w:rsidRPr="008D5E6A">
        <w:rPr>
          <w:rFonts w:eastAsia="Calibri"/>
        </w:rPr>
        <w:t xml:space="preserve">Email:  </w:t>
      </w:r>
      <w:r>
        <w:fldChar w:fldCharType="begin"/>
      </w:r>
      <w:r>
        <w:instrText xml:space="preserve"> HYPERLINK "mailto:nmorgan@lascinti.org" </w:instrText>
      </w:r>
      <w:r>
        <w:fldChar w:fldCharType="separate"/>
      </w:r>
      <w:r w:rsidRPr="008D5E6A">
        <w:rPr>
          <w:rFonts w:eastAsia="Calibri"/>
          <w:color w:val="0000FF"/>
          <w:u w:val="single"/>
        </w:rPr>
        <w:t>nmorgan@lascinti.org</w:t>
      </w:r>
      <w:r>
        <w:fldChar w:fldCharType="end"/>
      </w:r>
    </w:p>
    <w:p w:rsidR="008D5E6A" w:rsidRPr="008D5E6A" w:rsidP="008D5E6A">
      <w:pPr>
        <w:tabs>
          <w:tab w:val="center" w:pos="4680"/>
          <w:tab w:val="right" w:pos="9360"/>
        </w:tabs>
        <w:ind w:firstLine="4320"/>
        <w:rPr>
          <w:rFonts w:eastAsia="Calibri"/>
        </w:rPr>
      </w:pPr>
      <w:r w:rsidRPr="008D5E6A">
        <w:rPr>
          <w:rFonts w:eastAsia="Calibri"/>
        </w:rPr>
        <w:t>(willing to accept service by e-mail)</w:t>
      </w:r>
    </w:p>
    <w:p w:rsidR="008D5E6A" w:rsidP="00CF4FCB">
      <w:pPr>
        <w:spacing w:after="200" w:line="276" w:lineRule="auto"/>
        <w:jc w:val="center"/>
        <w:rPr>
          <w:b/>
          <w:bCs/>
        </w:rPr>
        <w:sectPr w:rsidSect="00EF693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fmt="lowerRoman" w:start="1"/>
          <w:cols w:space="720"/>
          <w:titlePg/>
          <w:docGrid w:linePitch="360"/>
        </w:sectPr>
      </w:pPr>
    </w:p>
    <w:p w:rsidR="00EF693D" w:rsidP="00CF4FCB">
      <w:pPr>
        <w:spacing w:after="200" w:line="276" w:lineRule="auto"/>
        <w:jc w:val="center"/>
        <w:rPr>
          <w:b/>
          <w:bCs/>
        </w:rPr>
      </w:pPr>
      <w:r>
        <w:rPr>
          <w:b/>
          <w:bCs/>
        </w:rPr>
        <w:t>TABLE OF CONTENTS</w:t>
      </w:r>
    </w:p>
    <w:p w:rsidR="0045601B" w:rsidP="00CF4FCB">
      <w:pPr>
        <w:spacing w:after="200" w:line="276" w:lineRule="auto"/>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rsidR="00526CED">
      <w:pPr>
        <w:pStyle w:val="TOC1"/>
        <w:rPr>
          <w:rFonts w:asciiTheme="minorHAnsi" w:eastAsiaTheme="minorEastAsia" w:hAnsiTheme="minorHAnsi" w:cstheme="minorBidi"/>
          <w:caps w:val="0"/>
          <w:noProof/>
          <w:sz w:val="22"/>
          <w:szCs w:val="22"/>
        </w:rPr>
      </w:pPr>
      <w:r>
        <w:rPr>
          <w:b/>
          <w:bCs/>
        </w:rPr>
        <w:fldChar w:fldCharType="begin"/>
      </w:r>
      <w:r>
        <w:rPr>
          <w:b/>
          <w:bCs/>
        </w:rPr>
        <w:instrText xml:space="preserve"> TOC \o "1-2" \h \z \u </w:instrText>
      </w:r>
      <w:r>
        <w:rPr>
          <w:b/>
          <w:bCs/>
        </w:rPr>
        <w:fldChar w:fldCharType="separate"/>
      </w:r>
      <w:r>
        <w:fldChar w:fldCharType="begin"/>
      </w:r>
      <w:r>
        <w:instrText xml:space="preserve"> HYPERLINK \l "_Toc498353711" </w:instrText>
      </w:r>
      <w:r>
        <w:fldChar w:fldCharType="separate"/>
      </w:r>
      <w:r w:rsidRPr="004F54A8">
        <w:rPr>
          <w:rStyle w:val="Hyperlink"/>
          <w:noProof/>
        </w:rPr>
        <w:t>I.</w:t>
      </w:r>
      <w:r>
        <w:rPr>
          <w:rFonts w:asciiTheme="minorHAnsi" w:eastAsiaTheme="minorEastAsia" w:hAnsiTheme="minorHAnsi" w:cstheme="minorBidi"/>
          <w:caps w:val="0"/>
          <w:noProof/>
          <w:sz w:val="22"/>
          <w:szCs w:val="22"/>
        </w:rPr>
        <w:tab/>
      </w:r>
      <w:r w:rsidRPr="004F54A8">
        <w:rPr>
          <w:rStyle w:val="Hyperlink"/>
          <w:noProof/>
        </w:rPr>
        <w:t>INTRODUCTION</w:t>
      </w:r>
      <w:r>
        <w:rPr>
          <w:noProof/>
          <w:webHidden/>
        </w:rPr>
        <w:tab/>
      </w:r>
      <w:r>
        <w:rPr>
          <w:noProof/>
          <w:webHidden/>
        </w:rPr>
        <w:fldChar w:fldCharType="begin"/>
      </w:r>
      <w:r>
        <w:rPr>
          <w:noProof/>
          <w:webHidden/>
        </w:rPr>
        <w:instrText xml:space="preserve"> PAGEREF _Toc498353711 \h </w:instrText>
      </w:r>
      <w:r>
        <w:rPr>
          <w:noProof/>
          <w:webHidden/>
        </w:rPr>
        <w:fldChar w:fldCharType="separate"/>
      </w:r>
      <w:r w:rsidR="00F04C7E">
        <w:rPr>
          <w:noProof/>
          <w:webHidden/>
        </w:rPr>
        <w:t>1</w:t>
      </w:r>
      <w:r>
        <w:rPr>
          <w:noProof/>
          <w:webHidden/>
        </w:rPr>
        <w:fldChar w:fldCharType="end"/>
      </w:r>
      <w:r>
        <w:fldChar w:fldCharType="end"/>
      </w:r>
    </w:p>
    <w:p w:rsidR="00526CED">
      <w:pPr>
        <w:pStyle w:val="TOC1"/>
        <w:rPr>
          <w:rFonts w:asciiTheme="minorHAnsi" w:eastAsiaTheme="minorEastAsia" w:hAnsiTheme="minorHAnsi" w:cstheme="minorBidi"/>
          <w:caps w:val="0"/>
          <w:noProof/>
          <w:sz w:val="22"/>
          <w:szCs w:val="22"/>
        </w:rPr>
      </w:pPr>
      <w:r>
        <w:fldChar w:fldCharType="begin"/>
      </w:r>
      <w:r>
        <w:instrText xml:space="preserve"> HYPERLINK \l "_Toc498353712" </w:instrText>
      </w:r>
      <w:r>
        <w:fldChar w:fldCharType="separate"/>
      </w:r>
      <w:r w:rsidRPr="004F54A8" w:rsidR="00352E1F">
        <w:rPr>
          <w:rStyle w:val="Hyperlink"/>
          <w:noProof/>
        </w:rPr>
        <w:t>II.</w:t>
      </w:r>
      <w:r w:rsidR="00352E1F">
        <w:rPr>
          <w:rFonts w:asciiTheme="minorHAnsi" w:eastAsiaTheme="minorEastAsia" w:hAnsiTheme="minorHAnsi" w:cstheme="minorBidi"/>
          <w:caps w:val="0"/>
          <w:noProof/>
          <w:sz w:val="22"/>
          <w:szCs w:val="22"/>
        </w:rPr>
        <w:tab/>
      </w:r>
      <w:r w:rsidRPr="004F54A8" w:rsidR="00352E1F">
        <w:rPr>
          <w:rStyle w:val="Hyperlink"/>
          <w:noProof/>
        </w:rPr>
        <w:t>STANDARD OF REVIEW</w:t>
      </w:r>
      <w:r w:rsidR="00352E1F">
        <w:rPr>
          <w:noProof/>
          <w:webHidden/>
        </w:rPr>
        <w:tab/>
      </w:r>
      <w:r w:rsidR="00352E1F">
        <w:rPr>
          <w:noProof/>
          <w:webHidden/>
        </w:rPr>
        <w:fldChar w:fldCharType="begin"/>
      </w:r>
      <w:r w:rsidR="00352E1F">
        <w:rPr>
          <w:noProof/>
          <w:webHidden/>
        </w:rPr>
        <w:instrText xml:space="preserve"> PAGEREF _Toc498353712 \h </w:instrText>
      </w:r>
      <w:r w:rsidR="00352E1F">
        <w:rPr>
          <w:noProof/>
          <w:webHidden/>
        </w:rPr>
        <w:fldChar w:fldCharType="separate"/>
      </w:r>
      <w:r w:rsidR="00F04C7E">
        <w:rPr>
          <w:noProof/>
          <w:webHidden/>
        </w:rPr>
        <w:t>3</w:t>
      </w:r>
      <w:r w:rsidR="00352E1F">
        <w:rPr>
          <w:noProof/>
          <w:webHidden/>
        </w:rPr>
        <w:fldChar w:fldCharType="end"/>
      </w:r>
      <w:r>
        <w:fldChar w:fldCharType="end"/>
      </w:r>
    </w:p>
    <w:p w:rsidR="00526CED">
      <w:pPr>
        <w:pStyle w:val="TOC1"/>
        <w:rPr>
          <w:rFonts w:asciiTheme="minorHAnsi" w:eastAsiaTheme="minorEastAsia" w:hAnsiTheme="minorHAnsi" w:cstheme="minorBidi"/>
          <w:caps w:val="0"/>
          <w:noProof/>
          <w:sz w:val="22"/>
          <w:szCs w:val="22"/>
        </w:rPr>
      </w:pPr>
      <w:r>
        <w:fldChar w:fldCharType="begin"/>
      </w:r>
      <w:r>
        <w:instrText xml:space="preserve"> HYPERLINK \l "_Toc498353713" </w:instrText>
      </w:r>
      <w:r>
        <w:fldChar w:fldCharType="separate"/>
      </w:r>
      <w:r w:rsidRPr="004F54A8" w:rsidR="00352E1F">
        <w:rPr>
          <w:rStyle w:val="Hyperlink"/>
          <w:rFonts w:eastAsiaTheme="minorHAnsi"/>
          <w:noProof/>
        </w:rPr>
        <w:t>III.</w:t>
      </w:r>
      <w:r w:rsidR="00352E1F">
        <w:rPr>
          <w:rFonts w:asciiTheme="minorHAnsi" w:eastAsiaTheme="minorEastAsia" w:hAnsiTheme="minorHAnsi" w:cstheme="minorBidi"/>
          <w:caps w:val="0"/>
          <w:noProof/>
          <w:sz w:val="22"/>
          <w:szCs w:val="22"/>
        </w:rPr>
        <w:tab/>
      </w:r>
      <w:r w:rsidRPr="004F54A8" w:rsidR="00352E1F">
        <w:rPr>
          <w:rStyle w:val="Hyperlink"/>
          <w:rFonts w:eastAsiaTheme="minorHAnsi"/>
          <w:noProof/>
        </w:rPr>
        <w:t>ASSIGNMENTS OF ERROR</w:t>
      </w:r>
      <w:r w:rsidR="00352E1F">
        <w:rPr>
          <w:noProof/>
          <w:webHidden/>
        </w:rPr>
        <w:tab/>
      </w:r>
      <w:r w:rsidR="00352E1F">
        <w:rPr>
          <w:noProof/>
          <w:webHidden/>
        </w:rPr>
        <w:fldChar w:fldCharType="begin"/>
      </w:r>
      <w:r w:rsidR="00352E1F">
        <w:rPr>
          <w:noProof/>
          <w:webHidden/>
        </w:rPr>
        <w:instrText xml:space="preserve"> PAGEREF _Toc498353713 \h </w:instrText>
      </w:r>
      <w:r w:rsidR="00352E1F">
        <w:rPr>
          <w:noProof/>
          <w:webHidden/>
        </w:rPr>
        <w:fldChar w:fldCharType="separate"/>
      </w:r>
      <w:r w:rsidR="00F04C7E">
        <w:rPr>
          <w:noProof/>
          <w:webHidden/>
        </w:rPr>
        <w:t>3</w:t>
      </w:r>
      <w:r w:rsidR="00352E1F">
        <w:rPr>
          <w:noProof/>
          <w:webHidden/>
        </w:rPr>
        <w:fldChar w:fldCharType="end"/>
      </w:r>
      <w:r>
        <w:fldChar w:fldCharType="end"/>
      </w:r>
    </w:p>
    <w:p w:rsidR="00526CED">
      <w:pPr>
        <w:pStyle w:val="TOC2"/>
        <w:rPr>
          <w:rFonts w:asciiTheme="minorHAnsi" w:eastAsiaTheme="minorEastAsia" w:hAnsiTheme="minorHAnsi" w:cstheme="minorBidi"/>
          <w:noProof/>
          <w:sz w:val="22"/>
          <w:szCs w:val="22"/>
        </w:rPr>
      </w:pPr>
      <w:r>
        <w:fldChar w:fldCharType="begin"/>
      </w:r>
      <w:r>
        <w:instrText xml:space="preserve"> HYPERLINK \l "_Toc498353714" </w:instrText>
      </w:r>
      <w:r>
        <w:fldChar w:fldCharType="separate"/>
      </w:r>
      <w:r w:rsidRPr="004F54A8" w:rsidR="00352E1F">
        <w:rPr>
          <w:rStyle w:val="Hyperlink"/>
          <w:noProof/>
        </w:rPr>
        <w:t xml:space="preserve">ASSIGNMENT OF ERROR NO. 1:  The PUCO violated controlling precedent </w:t>
      </w:r>
      <w:r w:rsidR="00352E1F">
        <w:rPr>
          <w:rStyle w:val="Hyperlink"/>
          <w:noProof/>
        </w:rPr>
        <w:br/>
      </w:r>
      <w:r w:rsidRPr="004F54A8" w:rsidR="00352E1F">
        <w:rPr>
          <w:rStyle w:val="Hyperlink"/>
          <w:noProof/>
        </w:rPr>
        <w:t>by finding that the Complaint did not state reasonable grounds.</w:t>
      </w:r>
      <w:r w:rsidR="00352E1F">
        <w:rPr>
          <w:noProof/>
          <w:webHidden/>
        </w:rPr>
        <w:tab/>
      </w:r>
      <w:r w:rsidR="00352E1F">
        <w:rPr>
          <w:noProof/>
          <w:webHidden/>
        </w:rPr>
        <w:fldChar w:fldCharType="begin"/>
      </w:r>
      <w:r w:rsidR="00352E1F">
        <w:rPr>
          <w:noProof/>
          <w:webHidden/>
        </w:rPr>
        <w:instrText xml:space="preserve"> PAGEREF _Toc498353714 \h </w:instrText>
      </w:r>
      <w:r w:rsidR="00352E1F">
        <w:rPr>
          <w:noProof/>
          <w:webHidden/>
        </w:rPr>
        <w:fldChar w:fldCharType="separate"/>
      </w:r>
      <w:r w:rsidR="00F04C7E">
        <w:rPr>
          <w:noProof/>
          <w:webHidden/>
        </w:rPr>
        <w:t>3</w:t>
      </w:r>
      <w:r w:rsidR="00352E1F">
        <w:rPr>
          <w:noProof/>
          <w:webHidden/>
        </w:rPr>
        <w:fldChar w:fldCharType="end"/>
      </w:r>
      <w:r>
        <w:fldChar w:fldCharType="end"/>
      </w:r>
    </w:p>
    <w:p w:rsidR="00526CED">
      <w:pPr>
        <w:pStyle w:val="TOC2"/>
        <w:rPr>
          <w:rFonts w:asciiTheme="minorHAnsi" w:eastAsiaTheme="minorEastAsia" w:hAnsiTheme="minorHAnsi" w:cstheme="minorBidi"/>
          <w:noProof/>
          <w:sz w:val="22"/>
          <w:szCs w:val="22"/>
        </w:rPr>
      </w:pPr>
      <w:r>
        <w:fldChar w:fldCharType="begin"/>
      </w:r>
      <w:r>
        <w:instrText xml:space="preserve"> HYPERLINK \l "_Toc498353715" </w:instrText>
      </w:r>
      <w:r>
        <w:fldChar w:fldCharType="separate"/>
      </w:r>
      <w:r w:rsidRPr="004F54A8" w:rsidR="00352E1F">
        <w:rPr>
          <w:rStyle w:val="Hyperlink"/>
          <w:noProof/>
        </w:rPr>
        <w:t>ASSIGNMENT OF ERROR NO. 2:  The PUCO erred by dismissing the Complaint on the grounds that statistics alone cannot sustain a complaint against a motion to dismiss before discovery is conducted and by failing to follow controlling precedent.</w:t>
      </w:r>
      <w:r w:rsidR="00352E1F">
        <w:rPr>
          <w:noProof/>
          <w:webHidden/>
        </w:rPr>
        <w:tab/>
      </w:r>
      <w:r w:rsidR="00352E1F">
        <w:rPr>
          <w:noProof/>
          <w:webHidden/>
        </w:rPr>
        <w:fldChar w:fldCharType="begin"/>
      </w:r>
      <w:r w:rsidR="00352E1F">
        <w:rPr>
          <w:noProof/>
          <w:webHidden/>
        </w:rPr>
        <w:instrText xml:space="preserve"> PAGEREF _Toc498353715 \h </w:instrText>
      </w:r>
      <w:r w:rsidR="00352E1F">
        <w:rPr>
          <w:noProof/>
          <w:webHidden/>
        </w:rPr>
        <w:fldChar w:fldCharType="separate"/>
      </w:r>
      <w:r w:rsidR="00F04C7E">
        <w:rPr>
          <w:noProof/>
          <w:webHidden/>
        </w:rPr>
        <w:t>5</w:t>
      </w:r>
      <w:r w:rsidR="00352E1F">
        <w:rPr>
          <w:noProof/>
          <w:webHidden/>
        </w:rPr>
        <w:fldChar w:fldCharType="end"/>
      </w:r>
      <w:r>
        <w:fldChar w:fldCharType="end"/>
      </w:r>
    </w:p>
    <w:p w:rsidR="00526CED">
      <w:pPr>
        <w:pStyle w:val="TOC2"/>
        <w:rPr>
          <w:rFonts w:asciiTheme="minorHAnsi" w:eastAsiaTheme="minorEastAsia" w:hAnsiTheme="minorHAnsi" w:cstheme="minorBidi"/>
          <w:noProof/>
          <w:sz w:val="22"/>
          <w:szCs w:val="22"/>
        </w:rPr>
      </w:pPr>
      <w:r>
        <w:fldChar w:fldCharType="begin"/>
      </w:r>
      <w:r>
        <w:instrText xml:space="preserve"> HYPERLINK \l "_Toc498353716" </w:instrText>
      </w:r>
      <w:r>
        <w:fldChar w:fldCharType="separate"/>
      </w:r>
      <w:r w:rsidRPr="004F54A8" w:rsidR="00352E1F">
        <w:rPr>
          <w:rStyle w:val="Hyperlink"/>
          <w:noProof/>
        </w:rPr>
        <w:t>ASSIGNMENT OF ERROR NO. 3:  The PUCO erred by dismissing the Complaint without ruling on OCC’s Motion to Compel Discovery.</w:t>
      </w:r>
      <w:r w:rsidR="00352E1F">
        <w:rPr>
          <w:noProof/>
          <w:webHidden/>
        </w:rPr>
        <w:tab/>
      </w:r>
      <w:r w:rsidR="00352E1F">
        <w:rPr>
          <w:noProof/>
          <w:webHidden/>
        </w:rPr>
        <w:fldChar w:fldCharType="begin"/>
      </w:r>
      <w:r w:rsidR="00352E1F">
        <w:rPr>
          <w:noProof/>
          <w:webHidden/>
        </w:rPr>
        <w:instrText xml:space="preserve"> PAGEREF _Toc498353716 \h </w:instrText>
      </w:r>
      <w:r w:rsidR="00352E1F">
        <w:rPr>
          <w:noProof/>
          <w:webHidden/>
        </w:rPr>
        <w:fldChar w:fldCharType="separate"/>
      </w:r>
      <w:r w:rsidR="00F04C7E">
        <w:rPr>
          <w:noProof/>
          <w:webHidden/>
        </w:rPr>
        <w:t>6</w:t>
      </w:r>
      <w:r w:rsidR="00352E1F">
        <w:rPr>
          <w:noProof/>
          <w:webHidden/>
        </w:rPr>
        <w:fldChar w:fldCharType="end"/>
      </w:r>
      <w:r>
        <w:fldChar w:fldCharType="end"/>
      </w:r>
    </w:p>
    <w:p w:rsidR="00526CED">
      <w:pPr>
        <w:pStyle w:val="TOC2"/>
        <w:rPr>
          <w:rFonts w:asciiTheme="minorHAnsi" w:eastAsiaTheme="minorEastAsia" w:hAnsiTheme="minorHAnsi" w:cstheme="minorBidi"/>
          <w:noProof/>
          <w:sz w:val="22"/>
          <w:szCs w:val="22"/>
        </w:rPr>
      </w:pPr>
      <w:r>
        <w:fldChar w:fldCharType="begin"/>
      </w:r>
      <w:r>
        <w:instrText xml:space="preserve"> HYPERLINK \l "_Toc498353717" </w:instrText>
      </w:r>
      <w:r>
        <w:fldChar w:fldCharType="separate"/>
      </w:r>
      <w:r w:rsidRPr="004F54A8" w:rsidR="00352E1F">
        <w:rPr>
          <w:rStyle w:val="Hyperlink"/>
          <w:noProof/>
        </w:rPr>
        <w:t>ASSIGNMENT OF ERROR NO. 4:  The PUCO erred by finding that Complainants would be able to have their concerns vindicated through participation in the PUCO-ordered Investigative Audit of Duke’s Disconnection Policies and Procedures.</w:t>
      </w:r>
      <w:r w:rsidR="00352E1F">
        <w:rPr>
          <w:noProof/>
          <w:webHidden/>
        </w:rPr>
        <w:tab/>
      </w:r>
      <w:r w:rsidR="00352E1F">
        <w:rPr>
          <w:noProof/>
          <w:webHidden/>
        </w:rPr>
        <w:fldChar w:fldCharType="begin"/>
      </w:r>
      <w:r w:rsidR="00352E1F">
        <w:rPr>
          <w:noProof/>
          <w:webHidden/>
        </w:rPr>
        <w:instrText xml:space="preserve"> PAGEREF _Toc498353717 \h </w:instrText>
      </w:r>
      <w:r w:rsidR="00352E1F">
        <w:rPr>
          <w:noProof/>
          <w:webHidden/>
        </w:rPr>
        <w:fldChar w:fldCharType="separate"/>
      </w:r>
      <w:r w:rsidR="00F04C7E">
        <w:rPr>
          <w:noProof/>
          <w:webHidden/>
        </w:rPr>
        <w:t>8</w:t>
      </w:r>
      <w:r w:rsidR="00352E1F">
        <w:rPr>
          <w:noProof/>
          <w:webHidden/>
        </w:rPr>
        <w:fldChar w:fldCharType="end"/>
      </w:r>
      <w:r>
        <w:fldChar w:fldCharType="end"/>
      </w:r>
    </w:p>
    <w:p w:rsidR="00526CED">
      <w:pPr>
        <w:pStyle w:val="TOC1"/>
        <w:rPr>
          <w:rFonts w:asciiTheme="minorHAnsi" w:eastAsiaTheme="minorEastAsia" w:hAnsiTheme="minorHAnsi" w:cstheme="minorBidi"/>
          <w:caps w:val="0"/>
          <w:noProof/>
          <w:sz w:val="22"/>
          <w:szCs w:val="22"/>
        </w:rPr>
      </w:pPr>
      <w:r>
        <w:fldChar w:fldCharType="begin"/>
      </w:r>
      <w:r>
        <w:instrText xml:space="preserve"> HYPERLINK \l "_Toc498353718" </w:instrText>
      </w:r>
      <w:r>
        <w:fldChar w:fldCharType="separate"/>
      </w:r>
      <w:r w:rsidRPr="004F54A8" w:rsidR="00352E1F">
        <w:rPr>
          <w:rStyle w:val="Hyperlink"/>
          <w:rFonts w:eastAsiaTheme="minorHAnsi"/>
          <w:noProof/>
        </w:rPr>
        <w:t>IV.</w:t>
      </w:r>
      <w:r w:rsidR="00352E1F">
        <w:rPr>
          <w:rFonts w:asciiTheme="minorHAnsi" w:eastAsiaTheme="minorEastAsia" w:hAnsiTheme="minorHAnsi" w:cstheme="minorBidi"/>
          <w:caps w:val="0"/>
          <w:noProof/>
          <w:sz w:val="22"/>
          <w:szCs w:val="22"/>
        </w:rPr>
        <w:tab/>
      </w:r>
      <w:r w:rsidRPr="004F54A8" w:rsidR="00352E1F">
        <w:rPr>
          <w:rStyle w:val="Hyperlink"/>
          <w:rFonts w:eastAsiaTheme="minorHAnsi"/>
          <w:noProof/>
        </w:rPr>
        <w:t>CONCLUSION</w:t>
      </w:r>
      <w:r w:rsidR="00352E1F">
        <w:rPr>
          <w:noProof/>
          <w:webHidden/>
        </w:rPr>
        <w:tab/>
      </w:r>
      <w:r w:rsidR="00352E1F">
        <w:rPr>
          <w:noProof/>
          <w:webHidden/>
        </w:rPr>
        <w:fldChar w:fldCharType="begin"/>
      </w:r>
      <w:r w:rsidR="00352E1F">
        <w:rPr>
          <w:noProof/>
          <w:webHidden/>
        </w:rPr>
        <w:instrText xml:space="preserve"> PAGEREF _Toc498353718 \h </w:instrText>
      </w:r>
      <w:r w:rsidR="00352E1F">
        <w:rPr>
          <w:noProof/>
          <w:webHidden/>
        </w:rPr>
        <w:fldChar w:fldCharType="separate"/>
      </w:r>
      <w:r w:rsidR="00F04C7E">
        <w:rPr>
          <w:noProof/>
          <w:webHidden/>
        </w:rPr>
        <w:t>10</w:t>
      </w:r>
      <w:r w:rsidR="00352E1F">
        <w:rPr>
          <w:noProof/>
          <w:webHidden/>
        </w:rPr>
        <w:fldChar w:fldCharType="end"/>
      </w:r>
      <w:r>
        <w:fldChar w:fldCharType="end"/>
      </w:r>
    </w:p>
    <w:p w:rsidR="0045601B" w:rsidP="00CF4FCB">
      <w:pPr>
        <w:spacing w:after="200" w:line="276" w:lineRule="auto"/>
        <w:jc w:val="center"/>
        <w:rPr>
          <w:b/>
          <w:bCs/>
        </w:rPr>
      </w:pPr>
      <w:r>
        <w:rPr>
          <w:b/>
          <w:bCs/>
        </w:rPr>
        <w:fldChar w:fldCharType="end"/>
      </w:r>
    </w:p>
    <w:p w:rsidR="00CF4FCB" w:rsidP="00CF4FCB">
      <w:pPr>
        <w:spacing w:after="200" w:line="276" w:lineRule="auto"/>
        <w:jc w:val="center"/>
        <w:rPr>
          <w:b/>
          <w:bCs/>
        </w:rPr>
      </w:pPr>
    </w:p>
    <w:p w:rsidR="00CF4FCB" w:rsidP="00CF4FCB">
      <w:pPr>
        <w:spacing w:after="200" w:line="276" w:lineRule="auto"/>
        <w:jc w:val="center"/>
        <w:rPr>
          <w:b/>
          <w:bCs/>
        </w:rPr>
        <w:sectPr w:rsidSect="00EF693D">
          <w:headerReference w:type="first" r:id="rId11"/>
          <w:footerReference w:type="first" r:id="rId12"/>
          <w:pgSz w:w="12240" w:h="15840"/>
          <w:pgMar w:top="1440" w:right="1800" w:bottom="1440" w:left="1800" w:header="720" w:footer="720" w:gutter="0"/>
          <w:pgNumType w:fmt="lowerRoman" w:start="1"/>
          <w:cols w:space="720"/>
          <w:titlePg/>
          <w:docGrid w:linePitch="360"/>
        </w:sectPr>
      </w:pPr>
    </w:p>
    <w:p w:rsidR="005156C7" w:rsidRPr="003529C3" w:rsidP="005156C7">
      <w:pPr>
        <w:jc w:val="center"/>
        <w:rPr>
          <w:b/>
        </w:rPr>
      </w:pPr>
      <w:r w:rsidRPr="003529C3">
        <w:rPr>
          <w:b/>
        </w:rPr>
        <w:t>BEFORE</w:t>
      </w:r>
    </w:p>
    <w:p w:rsidR="005156C7" w:rsidRPr="003529C3" w:rsidP="005156C7">
      <w:pPr>
        <w:jc w:val="center"/>
        <w:rPr>
          <w:b/>
        </w:rPr>
      </w:pPr>
      <w:r w:rsidRPr="003529C3">
        <w:rPr>
          <w:b/>
        </w:rPr>
        <w:t xml:space="preserve"> THE PUBLIC UTILITIES COMMISSION OF OHIO</w:t>
      </w:r>
    </w:p>
    <w:tbl>
      <w:tblPr>
        <w:tblW w:w="5004" w:type="pct"/>
        <w:tblInd w:w="0" w:type="dxa"/>
        <w:tblCellMar>
          <w:top w:w="0" w:type="dxa"/>
          <w:left w:w="108" w:type="dxa"/>
          <w:bottom w:w="0" w:type="dxa"/>
          <w:right w:w="108" w:type="dxa"/>
        </w:tblCellMar>
        <w:tblLook w:val="01E0"/>
      </w:tblPr>
      <w:tblGrid>
        <w:gridCol w:w="4612"/>
        <w:gridCol w:w="360"/>
        <w:gridCol w:w="4612"/>
      </w:tblGrid>
      <w:tr w:rsidTr="00F86016">
        <w:tblPrEx>
          <w:tblW w:w="5004" w:type="pct"/>
          <w:tblInd w:w="0" w:type="dxa"/>
          <w:tblCellMar>
            <w:top w:w="0" w:type="dxa"/>
            <w:left w:w="108" w:type="dxa"/>
            <w:bottom w:w="0" w:type="dxa"/>
            <w:right w:w="108" w:type="dxa"/>
          </w:tblCellMar>
          <w:tblLook w:val="01E0"/>
        </w:tblPrEx>
        <w:trPr>
          <w:trHeight w:val="2061"/>
        </w:trPr>
        <w:tc>
          <w:tcPr>
            <w:tcW w:w="2406" w:type="pct"/>
          </w:tcPr>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The Office of the Ohio Consumers’ Counsel, </w:t>
            </w:r>
          </w:p>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and</w:t>
            </w: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Communities United for Action</w:t>
            </w:r>
            <w:r>
              <w:rPr>
                <w:rFonts w:ascii="Times New Roman" w:eastAsia="Calibri" w:hAnsi="Times New Roman" w:cs="Times New Roman"/>
                <w:sz w:val="24"/>
                <w:szCs w:val="24"/>
                <w:lang w:val="en-US" w:eastAsia="en-US" w:bidi="ar-SA"/>
              </w:rPr>
              <w:t>,</w:t>
            </w:r>
          </w:p>
          <w:p w:rsidR="00BE1BF8" w:rsidRPr="00AB55A6" w:rsidP="00BE1BF8">
            <w:pPr>
              <w:autoSpaceDE w:val="0"/>
              <w:autoSpaceDN w:val="0"/>
              <w:adjustRightInd w:val="0"/>
              <w:spacing w:after="0" w:line="240" w:lineRule="auto"/>
              <w:ind w:left="720"/>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Complainants,</w:t>
            </w: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v. </w:t>
            </w: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BE1BF8" w:rsidRPr="00AB55A6"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Duke Energy Ohio, Inc.</w:t>
            </w:r>
            <w:r>
              <w:rPr>
                <w:rFonts w:ascii="Times New Roman" w:eastAsia="Calibri" w:hAnsi="Times New Roman" w:cs="Times New Roman"/>
                <w:sz w:val="24"/>
                <w:szCs w:val="24"/>
                <w:lang w:val="en-US" w:eastAsia="en-US" w:bidi="ar-SA"/>
              </w:rPr>
              <w:t>,</w:t>
            </w:r>
          </w:p>
          <w:p w:rsidR="00BE1BF8" w:rsidP="00BE1BF8">
            <w:pPr>
              <w:spacing w:after="0" w:line="240" w:lineRule="auto"/>
              <w:ind w:left="720"/>
              <w:rPr>
                <w:rStyle w:val="DefaultParagraphFont"/>
                <w:rFonts w:ascii="Times New Roman" w:eastAsia="Times New Roman"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Respondent.</w:t>
            </w:r>
          </w:p>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p>
        </w:tc>
        <w:tc>
          <w:tcPr>
            <w:tcW w:w="188" w:type="pct"/>
          </w:tcPr>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BE1BF8" w:rsidP="00BE1BF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 ) ) )</w:t>
            </w:r>
          </w:p>
          <w:p w:rsidR="00BE1BF8"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BE1BF8" w:rsidRPr="00857F52"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Pr>
                <w:rFonts w:ascii="Times New Roman" w:eastAsia="Calibri" w:hAnsi="Times New Roman" w:cs="Times New Roman"/>
                <w:sz w:val="24"/>
                <w:szCs w:val="24"/>
                <w:lang w:val="en-US" w:eastAsia="en-US" w:bidi="ar-SA"/>
              </w:rPr>
              <w:t>)</w:t>
            </w:r>
          </w:p>
          <w:p w:rsidR="00BE1BF8" w:rsidRPr="00857F52" w:rsidP="00BE1BF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tc>
        <w:tc>
          <w:tcPr>
            <w:tcW w:w="2406" w:type="pct"/>
          </w:tcPr>
          <w:p w:rsidR="00BE1BF8" w:rsidRPr="003529C3" w:rsidP="0080289C">
            <w:pPr>
              <w:spacing w:after="0" w:line="240" w:lineRule="auto"/>
              <w:rPr>
                <w:rStyle w:val="DefaultParagraphFont"/>
                <w:rFonts w:ascii="Times New Roman" w:eastAsia="Times New Roman" w:hAnsi="Times New Roman" w:cs="Times New Roman"/>
                <w:sz w:val="24"/>
                <w:szCs w:val="24"/>
                <w:lang w:val="en-US" w:eastAsia="en-US" w:bidi="ar-SA"/>
              </w:rPr>
            </w:pPr>
          </w:p>
          <w:p w:rsidR="00BE1BF8" w:rsidRPr="003529C3" w:rsidP="0080289C">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80289C">
            <w:pPr>
              <w:spacing w:after="0" w:line="240" w:lineRule="auto"/>
              <w:rPr>
                <w:rStyle w:val="DefaultParagraphFont"/>
                <w:rFonts w:ascii="Times New Roman" w:eastAsia="Times New Roman" w:hAnsi="Times New Roman" w:cs="Times New Roman"/>
                <w:sz w:val="24"/>
                <w:szCs w:val="24"/>
                <w:lang w:val="en-US" w:eastAsia="en-US" w:bidi="ar-SA"/>
              </w:rPr>
            </w:pPr>
            <w:r w:rsidRPr="003529C3">
              <w:rPr>
                <w:rFonts w:ascii="Times New Roman" w:eastAsia="Times New Roman" w:hAnsi="Times New Roman" w:cs="Times New Roman"/>
                <w:sz w:val="24"/>
                <w:szCs w:val="24"/>
                <w:lang w:val="en-US" w:eastAsia="en-US" w:bidi="ar-SA"/>
              </w:rPr>
              <w:t>Case No</w:t>
            </w:r>
            <w:r>
              <w:rPr>
                <w:rFonts w:ascii="Times New Roman" w:eastAsia="Times New Roman" w:hAnsi="Times New Roman" w:cs="Times New Roman"/>
                <w:sz w:val="24"/>
                <w:szCs w:val="24"/>
                <w:lang w:val="en-US" w:eastAsia="en-US" w:bidi="ar-SA"/>
              </w:rPr>
              <w:t>. 15-1588-GE-CSS</w:t>
            </w:r>
          </w:p>
          <w:p w:rsidR="00BE1BF8" w:rsidRPr="003529C3" w:rsidP="0080289C">
            <w:pPr>
              <w:spacing w:after="0" w:line="240" w:lineRule="auto"/>
              <w:ind w:left="432"/>
              <w:rPr>
                <w:rStyle w:val="DefaultParagraphFont"/>
                <w:rFonts w:ascii="Times New Roman" w:eastAsia="Times New Roman" w:hAnsi="Times New Roman" w:cs="Times New Roman"/>
                <w:sz w:val="24"/>
                <w:szCs w:val="24"/>
                <w:lang w:val="en-US" w:eastAsia="en-US" w:bidi="ar-SA"/>
              </w:rPr>
            </w:pPr>
          </w:p>
          <w:p w:rsidR="00BE1BF8" w:rsidRPr="003529C3" w:rsidP="0080289C">
            <w:pPr>
              <w:spacing w:after="0" w:line="240" w:lineRule="auto"/>
              <w:ind w:left="432"/>
              <w:rPr>
                <w:rStyle w:val="DefaultParagraphFont"/>
                <w:rFonts w:ascii="Times New Roman" w:eastAsia="Times New Roman" w:hAnsi="Times New Roman" w:cs="Times New Roman"/>
                <w:sz w:val="24"/>
                <w:szCs w:val="24"/>
                <w:lang w:val="en-US" w:eastAsia="en-US" w:bidi="ar-SA"/>
              </w:rPr>
            </w:pPr>
          </w:p>
          <w:p w:rsidR="00BE1BF8" w:rsidP="00F86016">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F86016">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F86016">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F86016">
            <w:pPr>
              <w:spacing w:after="0" w:line="240" w:lineRule="auto"/>
              <w:rPr>
                <w:rStyle w:val="DefaultParagraphFont"/>
                <w:rFonts w:ascii="Times New Roman" w:eastAsia="Times New Roman" w:hAnsi="Times New Roman" w:cs="Times New Roman"/>
                <w:sz w:val="24"/>
                <w:szCs w:val="24"/>
                <w:lang w:val="en-US" w:eastAsia="en-US" w:bidi="ar-SA"/>
              </w:rPr>
            </w:pPr>
          </w:p>
          <w:p w:rsidR="00BE1BF8" w:rsidP="00F86016">
            <w:pPr>
              <w:spacing w:after="0" w:line="240" w:lineRule="auto"/>
              <w:rPr>
                <w:rStyle w:val="DefaultParagraphFont"/>
                <w:rFonts w:ascii="Times New Roman" w:eastAsia="Times New Roman" w:hAnsi="Times New Roman" w:cs="Times New Roman"/>
                <w:sz w:val="24"/>
                <w:szCs w:val="24"/>
                <w:lang w:val="en-US" w:eastAsia="en-US" w:bidi="ar-SA"/>
              </w:rPr>
            </w:pPr>
          </w:p>
          <w:p w:rsidR="00BE1BF8" w:rsidRPr="003529C3" w:rsidP="00F86016">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80289C" w:rsidRPr="003529C3">
      <w:r w:rsidRPr="003529C3">
        <w:t>______________________________________________________________________________</w:t>
      </w:r>
    </w:p>
    <w:p w:rsidR="005156C7" w:rsidRPr="003529C3"/>
    <w:p w:rsidR="005B4F0E" w:rsidP="005156C7">
      <w:pPr>
        <w:jc w:val="center"/>
        <w:rPr>
          <w:b/>
        </w:rPr>
      </w:pPr>
      <w:r>
        <w:rPr>
          <w:b/>
        </w:rPr>
        <w:t>APPLICATION FOR REHEARING</w:t>
      </w:r>
      <w:r w:rsidRPr="003529C3">
        <w:rPr>
          <w:b/>
        </w:rPr>
        <w:t xml:space="preserve"> </w:t>
      </w:r>
    </w:p>
    <w:p w:rsidR="00F86016" w:rsidP="005156C7">
      <w:pPr>
        <w:jc w:val="center"/>
        <w:rPr>
          <w:b/>
        </w:rPr>
      </w:pPr>
      <w:r>
        <w:rPr>
          <w:b/>
        </w:rPr>
        <w:t>BY</w:t>
      </w:r>
      <w:r w:rsidRPr="003529C3">
        <w:rPr>
          <w:b/>
        </w:rPr>
        <w:t xml:space="preserve"> </w:t>
      </w:r>
    </w:p>
    <w:p w:rsidR="008D5E6A" w:rsidP="008D5E6A">
      <w:pPr>
        <w:jc w:val="center"/>
        <w:rPr>
          <w:b/>
        </w:rPr>
      </w:pPr>
      <w:r w:rsidRPr="003529C3">
        <w:rPr>
          <w:b/>
        </w:rPr>
        <w:t xml:space="preserve">THE </w:t>
      </w:r>
      <w:r>
        <w:rPr>
          <w:b/>
        </w:rPr>
        <w:t>OFFICE OF THE OHIO CONSUMERS’ COUNSEL</w:t>
      </w:r>
      <w:r w:rsidRPr="008D5E6A">
        <w:rPr>
          <w:b/>
        </w:rPr>
        <w:t xml:space="preserve"> </w:t>
      </w:r>
    </w:p>
    <w:p w:rsidR="008D5E6A" w:rsidP="008D5E6A">
      <w:pPr>
        <w:jc w:val="center"/>
        <w:rPr>
          <w:b/>
        </w:rPr>
      </w:pPr>
      <w:r>
        <w:rPr>
          <w:b/>
        </w:rPr>
        <w:t>AND</w:t>
      </w:r>
    </w:p>
    <w:p w:rsidR="005156C7" w:rsidRPr="003529C3" w:rsidP="008D5E6A">
      <w:pPr>
        <w:jc w:val="center"/>
        <w:rPr>
          <w:b/>
        </w:rPr>
      </w:pPr>
      <w:r>
        <w:rPr>
          <w:b/>
        </w:rPr>
        <w:t>COMMUNITIES UNITED FOR ACTION</w:t>
      </w:r>
    </w:p>
    <w:p w:rsidR="005156C7" w:rsidP="005156C7">
      <w:pPr>
        <w:rPr>
          <w:b/>
        </w:rPr>
      </w:pPr>
      <w:r>
        <w:rPr>
          <w:b/>
        </w:rPr>
        <w:t>______________________________________________________________________________</w:t>
      </w:r>
    </w:p>
    <w:p w:rsidR="005156C7" w:rsidP="004A13F1">
      <w:pPr>
        <w:spacing w:after="240"/>
        <w:rPr>
          <w:b/>
        </w:rPr>
      </w:pPr>
    </w:p>
    <w:p w:rsidR="00731546" w:rsidP="00E53F28">
      <w:pPr>
        <w:spacing w:line="480" w:lineRule="auto"/>
        <w:ind w:firstLine="720"/>
      </w:pPr>
      <w:r w:rsidRPr="003D619F">
        <w:t xml:space="preserve">The Office of the Ohio Consumers’ Counsel </w:t>
      </w:r>
      <w:r>
        <w:t xml:space="preserve">(“OCC”) and Communities United for Action (“CUFA”) </w:t>
      </w:r>
      <w:r w:rsidRPr="003D619F">
        <w:t>(</w:t>
      </w:r>
      <w:r>
        <w:t xml:space="preserve">collectively, </w:t>
      </w:r>
      <w:r w:rsidRPr="003D619F">
        <w:t>“C</w:t>
      </w:r>
      <w:r>
        <w:t>omplainants</w:t>
      </w:r>
      <w:r w:rsidRPr="003D619F">
        <w:t>”) file this application for rehearing</w:t>
      </w:r>
      <w:r>
        <w:rPr>
          <w:vertAlign w:val="superscript"/>
        </w:rPr>
        <w:footnoteReference w:id="2"/>
      </w:r>
      <w:r w:rsidRPr="003D619F">
        <w:t xml:space="preserve"> to</w:t>
      </w:r>
      <w:r w:rsidRPr="007A675E">
        <w:t xml:space="preserve"> </w:t>
      </w:r>
      <w:r>
        <w:t>protect c</w:t>
      </w:r>
      <w:r w:rsidRPr="007A675E">
        <w:t xml:space="preserve">onsumers against </w:t>
      </w:r>
      <w:r>
        <w:t>w</w:t>
      </w:r>
      <w:r w:rsidRPr="007A675E">
        <w:t xml:space="preserve">rongful </w:t>
      </w:r>
      <w:r>
        <w:t>d</w:t>
      </w:r>
      <w:r w:rsidRPr="007A675E">
        <w:t xml:space="preserve">isconnection </w:t>
      </w:r>
      <w:r>
        <w:t xml:space="preserve">of utility service to residential consumers.  On September 15, 2015, Complainants filed a Complaint against Duke Energy Ohio, Inc. (“Duke”).  The Complaint alleges that Duke violated the Public Utilities Commission of Ohio’s (“PUCO”) regulations concerning the disconnection of utility service to residential consumers for nonpayment.  The Complaint also alleges that Duke failed to provide adequate and reasonable public utility service </w:t>
      </w:r>
      <w:r>
        <w:rPr>
          <w:bCs/>
        </w:rPr>
        <w:t>under Ohio law and PUCO rules</w:t>
      </w:r>
      <w:r>
        <w:t xml:space="preserve"> because of its high rate of disconnecting customers.</w:t>
      </w:r>
      <w:r>
        <w:rPr>
          <w:rStyle w:val="FootnoteReference"/>
        </w:rPr>
        <w:t xml:space="preserve"> </w:t>
      </w:r>
      <w:r>
        <w:t xml:space="preserve">  The Complaint notes that two consumers had died from hypothermia after Duke unlawfully disconnected their electric service in November 2011.  The Complaint further alleges that Duke violated the PUCO’s previous winter reconnection orders. Given that the Complaint likely would not be resolved before the start of the 2015-2016 winter heating season, Complainants also filed a m</w:t>
      </w:r>
      <w:r w:rsidRPr="007A675E">
        <w:t xml:space="preserve">otion to </w:t>
      </w:r>
      <w:r>
        <w:t>protect Duke’</w:t>
      </w:r>
      <w:r w:rsidRPr="007A675E">
        <w:t xml:space="preserve">s </w:t>
      </w:r>
      <w:r>
        <w:t>c</w:t>
      </w:r>
      <w:r w:rsidRPr="007A675E">
        <w:t xml:space="preserve">onsumers against </w:t>
      </w:r>
      <w:r>
        <w:t>w</w:t>
      </w:r>
      <w:r w:rsidRPr="007A675E">
        <w:t xml:space="preserve">rongful </w:t>
      </w:r>
      <w:r>
        <w:t>d</w:t>
      </w:r>
      <w:r w:rsidRPr="007A675E">
        <w:t xml:space="preserve">isconnection during the </w:t>
      </w:r>
      <w:r>
        <w:t>2015-2016 w</w:t>
      </w:r>
      <w:r w:rsidRPr="007A675E">
        <w:t xml:space="preserve">inter </w:t>
      </w:r>
      <w:r>
        <w:t>h</w:t>
      </w:r>
      <w:r w:rsidRPr="007A675E">
        <w:t xml:space="preserve">eating </w:t>
      </w:r>
      <w:r>
        <w:t>s</w:t>
      </w:r>
      <w:r w:rsidRPr="007A675E">
        <w:t>eason</w:t>
      </w:r>
      <w:r>
        <w:t xml:space="preserve">. </w:t>
      </w:r>
    </w:p>
    <w:p w:rsidR="00731546" w:rsidP="00E53F28">
      <w:pPr>
        <w:spacing w:line="480" w:lineRule="auto"/>
        <w:ind w:firstLine="720"/>
      </w:pPr>
      <w:r>
        <w:t>Over two years later, on October 11, 2017, the PUCO dismissed the 2015 Complaint against Duke regarding its unlawful and unreasonable disconnection practices.</w:t>
      </w:r>
      <w:r>
        <w:rPr>
          <w:rStyle w:val="FootnoteReference"/>
        </w:rPr>
        <w:footnoteReference w:id="3"/>
      </w:r>
      <w:r>
        <w:t xml:space="preserve">  The Entry </w:t>
      </w:r>
      <w:r w:rsidRPr="00C044AA">
        <w:t xml:space="preserve">dismissing the Complaint is unlawful and unreasonable in the following respects: </w:t>
      </w:r>
    </w:p>
    <w:p w:rsidR="00C044AA" w:rsidRPr="00C044AA" w:rsidP="004B2A3F">
      <w:pPr>
        <w:autoSpaceDE w:val="0"/>
        <w:autoSpaceDN w:val="0"/>
        <w:adjustRightInd w:val="0"/>
        <w:ind w:left="360" w:hanging="360"/>
      </w:pPr>
      <w:r>
        <w:tab/>
        <w:t>ASSIGNMENT OF ERROR NO. 1:  The PUCO violated c</w:t>
      </w:r>
      <w:r w:rsidRPr="00C044AA">
        <w:t>ontroll</w:t>
      </w:r>
      <w:r>
        <w:t>ing precedent by finding that the parties did not state reasonable grounds for a c</w:t>
      </w:r>
      <w:r w:rsidRPr="00C044AA">
        <w:t>omplaint</w:t>
      </w:r>
      <w:r>
        <w:t>.</w:t>
      </w:r>
    </w:p>
    <w:p w:rsidR="00C044AA" w:rsidRPr="00C044AA" w:rsidP="004B2A3F">
      <w:pPr>
        <w:autoSpaceDE w:val="0"/>
        <w:autoSpaceDN w:val="0"/>
        <w:adjustRightInd w:val="0"/>
        <w:ind w:left="360" w:hanging="360"/>
      </w:pPr>
    </w:p>
    <w:p w:rsidR="00C044AA" w:rsidRPr="00C044AA" w:rsidP="004B2A3F">
      <w:pPr>
        <w:tabs>
          <w:tab w:val="left" w:pos="360"/>
        </w:tabs>
        <w:autoSpaceDE w:val="0"/>
        <w:autoSpaceDN w:val="0"/>
        <w:adjustRightInd w:val="0"/>
        <w:ind w:left="360" w:hanging="360"/>
      </w:pPr>
      <w:r>
        <w:tab/>
        <w:t>ASSIGNMENT OF ERROR NO. 2:  The PUCO erred by dismissing the Complaint on the grounds that statistics alone cannot sustain a complaint against a motion to dismiss before discovery is c</w:t>
      </w:r>
      <w:r w:rsidRPr="00C044AA">
        <w:t>onducte</w:t>
      </w:r>
      <w:r>
        <w:t>d and by failing to follow controlling p</w:t>
      </w:r>
      <w:r w:rsidRPr="00C044AA">
        <w:t>recedent.</w:t>
      </w:r>
    </w:p>
    <w:p w:rsidR="00C044AA" w:rsidRPr="00C044AA" w:rsidP="004B2A3F">
      <w:pPr>
        <w:pStyle w:val="ListParagraph"/>
        <w:autoSpaceDE w:val="0"/>
        <w:autoSpaceDN w:val="0"/>
        <w:adjustRightInd w:val="0"/>
        <w:ind w:left="360" w:hanging="360"/>
      </w:pPr>
    </w:p>
    <w:p w:rsidR="00C044AA" w:rsidP="004B2A3F">
      <w:pPr>
        <w:autoSpaceDE w:val="0"/>
        <w:autoSpaceDN w:val="0"/>
        <w:adjustRightInd w:val="0"/>
        <w:spacing w:after="120"/>
        <w:ind w:left="360"/>
      </w:pPr>
      <w:r>
        <w:t>ASSIGNMENT OF ERROR NO. 3:  The PUCO erred by d</w:t>
      </w:r>
      <w:r w:rsidRPr="00C044AA">
        <w:t xml:space="preserve">ismissing the Complaint </w:t>
      </w:r>
      <w:r>
        <w:t>without r</w:t>
      </w:r>
      <w:r w:rsidRPr="00C044AA">
        <w:t xml:space="preserve">uling on </w:t>
      </w:r>
      <w:r>
        <w:t>OCC’s</w:t>
      </w:r>
      <w:r w:rsidRPr="00C044AA">
        <w:t xml:space="preserve"> Motion to Compel Discovery.</w:t>
      </w:r>
    </w:p>
    <w:p w:rsidR="00C044AA" w:rsidRPr="00C044AA" w:rsidP="004B2A3F">
      <w:pPr>
        <w:autoSpaceDE w:val="0"/>
        <w:autoSpaceDN w:val="0"/>
        <w:adjustRightInd w:val="0"/>
        <w:ind w:left="360"/>
      </w:pPr>
      <w:r>
        <w:t>ASSIGNMENT OF ERROR NO. 4:  The PUCO erred by finding that Complainants would be able to have their concerns v</w:t>
      </w:r>
      <w:r w:rsidRPr="00C044AA">
        <w:t>in</w:t>
      </w:r>
      <w:r>
        <w:t>dicated through participation in the PUCO-or</w:t>
      </w:r>
      <w:r w:rsidRPr="00C044AA">
        <w:t xml:space="preserve">dered Investigative Audit of Duke’s Disconnection Policies and Procedures.  </w:t>
      </w:r>
    </w:p>
    <w:p w:rsidR="008D6EFA" w:rsidRPr="009A1EA6" w:rsidP="00E53F28">
      <w:pPr>
        <w:ind w:right="720"/>
      </w:pPr>
    </w:p>
    <w:p w:rsidR="00121696" w:rsidRPr="008A4CEF" w:rsidP="00CF4FCB">
      <w:pPr>
        <w:spacing w:line="480" w:lineRule="auto"/>
        <w:ind w:firstLine="720"/>
        <w:contextualSpacing/>
      </w:pPr>
      <w:r w:rsidRPr="008A4CEF">
        <w:t xml:space="preserve">The reasons in support of this application for rehearing are set forth in the accompanying Memorandum in Support.  The </w:t>
      </w:r>
      <w:r>
        <w:t>PUCO</w:t>
      </w:r>
      <w:r w:rsidRPr="008A4CEF">
        <w:t xml:space="preserve"> should grant rehearing and abrogate or modify its </w:t>
      </w:r>
      <w:r>
        <w:t>October 11, 2017 Entry</w:t>
      </w:r>
      <w:r w:rsidRPr="008A4CEF">
        <w:t xml:space="preserve"> as requested</w:t>
      </w:r>
      <w:r>
        <w:t xml:space="preserve"> herein</w:t>
      </w:r>
      <w:r w:rsidRPr="008A4CEF">
        <w:t xml:space="preserve"> by </w:t>
      </w:r>
      <w:r>
        <w:t>Complainants</w:t>
      </w:r>
      <w:r w:rsidRPr="008A4CEF">
        <w:t xml:space="preserve">. </w:t>
      </w:r>
    </w:p>
    <w:p w:rsidR="0045601B" w:rsidP="00BD50F7">
      <w:pPr>
        <w:autoSpaceDE w:val="0"/>
        <w:autoSpaceDN w:val="0"/>
        <w:adjustRightInd w:val="0"/>
        <w:spacing w:line="480" w:lineRule="auto"/>
        <w:contextualSpacing/>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rsidR="0045601B">
      <w:pPr>
        <w:spacing w:after="200" w:line="276" w:lineRule="auto"/>
        <w:rPr>
          <w:rFonts w:eastAsiaTheme="minorHAnsi"/>
        </w:rPr>
      </w:pPr>
      <w:r>
        <w:rPr>
          <w:rFonts w:eastAsiaTheme="minorHAnsi"/>
        </w:rPr>
        <w:br w:type="page"/>
      </w:r>
    </w:p>
    <w:p w:rsidR="0059283F" w:rsidRPr="0059283F" w:rsidP="00BD50F7">
      <w:pPr>
        <w:autoSpaceDE w:val="0"/>
        <w:autoSpaceDN w:val="0"/>
        <w:adjustRightInd w:val="0"/>
        <w:spacing w:line="480" w:lineRule="auto"/>
        <w:contextualSpacing/>
        <w:rPr>
          <w:rFonts w:eastAsiaTheme="minorHAnsi"/>
        </w:rPr>
      </w:pPr>
      <w:r>
        <w:tab/>
      </w:r>
      <w:r>
        <w:tab/>
      </w:r>
      <w:r>
        <w:tab/>
      </w:r>
      <w:r>
        <w:tab/>
      </w:r>
      <w:r>
        <w:tab/>
      </w:r>
      <w:r>
        <w:tab/>
      </w:r>
      <w:r w:rsidRPr="008C0455">
        <w:t>Respectfully submitted,</w:t>
      </w:r>
    </w:p>
    <w:p w:rsidR="0059283F" w:rsidRPr="008C0455" w:rsidP="00E53F28">
      <w:pPr>
        <w:pStyle w:val="Footer"/>
        <w:tabs>
          <w:tab w:val="left" w:pos="4320"/>
        </w:tabs>
        <w:ind w:left="4320"/>
      </w:pPr>
      <w:r>
        <w:t xml:space="preserve">BRUCE </w:t>
      </w:r>
      <w:r w:rsidRPr="008C0455">
        <w:t>WESTON (0016973)</w:t>
      </w:r>
    </w:p>
    <w:p w:rsidR="0059283F" w:rsidP="00E53F28">
      <w:pPr>
        <w:pStyle w:val="Footer"/>
        <w:tabs>
          <w:tab w:val="left" w:pos="4320"/>
        </w:tabs>
        <w:spacing w:after="120"/>
        <w:ind w:left="4320"/>
      </w:pPr>
      <w:r>
        <w:t xml:space="preserve">OHIO </w:t>
      </w:r>
      <w:r w:rsidRPr="008C0455">
        <w:t>CONSUMERS’ COUNSEL</w:t>
      </w:r>
    </w:p>
    <w:p w:rsidR="001A0065" w:rsidRPr="003A5FEC" w:rsidP="001A0065">
      <w:pPr>
        <w:tabs>
          <w:tab w:val="left" w:pos="4320"/>
        </w:tabs>
        <w:spacing w:before="240"/>
        <w:ind w:left="4320"/>
      </w:pPr>
      <w:r w:rsidRPr="003A5FEC">
        <w:rPr>
          <w:i/>
          <w:u w:val="single"/>
        </w:rPr>
        <w:t>/s/ Terry L. Etter</w:t>
      </w:r>
      <w:r w:rsidRPr="003A5FEC">
        <w:rPr>
          <w:i/>
          <w:u w:val="single"/>
        </w:rPr>
        <w:tab/>
      </w:r>
      <w:r w:rsidRPr="003A5FEC">
        <w:rPr>
          <w:i/>
          <w:u w:val="single"/>
        </w:rPr>
        <w:tab/>
      </w:r>
      <w:r w:rsidRPr="003A5FEC">
        <w:rPr>
          <w:i/>
          <w:u w:val="single"/>
        </w:rPr>
        <w:tab/>
      </w:r>
    </w:p>
    <w:p w:rsidR="0059283F" w:rsidRPr="008C0455" w:rsidP="00E53F28">
      <w:pPr>
        <w:widowControl w:val="0"/>
        <w:tabs>
          <w:tab w:val="left" w:pos="4320"/>
          <w:tab w:val="right" w:pos="9360"/>
        </w:tabs>
        <w:ind w:left="4320"/>
      </w:pPr>
      <w:r>
        <w:t>Terry L. Etter</w:t>
      </w:r>
      <w:r w:rsidRPr="008C0455">
        <w:t>, Counsel of Record (</w:t>
      </w:r>
      <w:r>
        <w:t>0067445</w:t>
      </w:r>
      <w:r w:rsidRPr="008C0455">
        <w:t>)</w:t>
      </w:r>
    </w:p>
    <w:p w:rsidR="0059283F" w:rsidP="00E53F28">
      <w:pPr>
        <w:tabs>
          <w:tab w:val="left" w:pos="4320"/>
        </w:tabs>
        <w:ind w:left="4320"/>
      </w:pPr>
      <w:r w:rsidRPr="008C0455">
        <w:t>Assistant Consumers’ Counsel</w:t>
      </w:r>
    </w:p>
    <w:p w:rsidR="0059283F" w:rsidRPr="00901B50" w:rsidP="00E53F28">
      <w:pPr>
        <w:spacing w:before="120"/>
        <w:rPr>
          <w:b/>
        </w:rPr>
      </w:pPr>
      <w:r>
        <w:tab/>
      </w:r>
      <w:r>
        <w:tab/>
      </w:r>
      <w:r>
        <w:tab/>
      </w:r>
      <w:r>
        <w:tab/>
      </w:r>
      <w:r>
        <w:tab/>
      </w:r>
      <w:r>
        <w:tab/>
      </w:r>
      <w:r w:rsidRPr="00901B50">
        <w:rPr>
          <w:b/>
        </w:rPr>
        <w:t>Office of the Ohio Consumers’ Counsel</w:t>
      </w:r>
    </w:p>
    <w:p w:rsidR="0059283F" w:rsidRPr="005F02E9" w:rsidP="00E53F28">
      <w:r w:rsidRPr="005F02E9">
        <w:tab/>
      </w:r>
      <w:r w:rsidRPr="005F02E9">
        <w:tab/>
      </w:r>
      <w:r w:rsidRPr="005F02E9">
        <w:tab/>
      </w:r>
      <w:r w:rsidRPr="005F02E9">
        <w:tab/>
      </w:r>
      <w:r w:rsidRPr="005F02E9">
        <w:tab/>
      </w:r>
      <w:r w:rsidRPr="005F02E9">
        <w:tab/>
        <w:t>10 West Broad Street, Suite 1800</w:t>
      </w:r>
    </w:p>
    <w:p w:rsidR="0059283F" w:rsidRPr="005F02E9" w:rsidP="00E53F28">
      <w:r w:rsidRPr="005F02E9">
        <w:tab/>
      </w:r>
      <w:r w:rsidRPr="005F02E9">
        <w:tab/>
      </w:r>
      <w:r w:rsidRPr="005F02E9">
        <w:tab/>
      </w:r>
      <w:r w:rsidRPr="005F02E9">
        <w:tab/>
      </w:r>
      <w:r w:rsidRPr="005F02E9">
        <w:tab/>
      </w:r>
      <w:r w:rsidRPr="005F02E9">
        <w:tab/>
        <w:t>Columbus, Ohio 43215-3485</w:t>
      </w:r>
    </w:p>
    <w:p w:rsidR="0059283F" w:rsidRPr="008C0455" w:rsidP="00E53F28">
      <w:pPr>
        <w:tabs>
          <w:tab w:val="left" w:pos="4320"/>
        </w:tabs>
        <w:autoSpaceDE w:val="0"/>
        <w:autoSpaceDN w:val="0"/>
        <w:adjustRightInd w:val="0"/>
        <w:ind w:left="4320"/>
      </w:pPr>
      <w:r w:rsidRPr="008C0455">
        <w:t>Telephone: (614) 466-</w:t>
      </w:r>
      <w:r>
        <w:t>7964</w:t>
      </w:r>
      <w:r w:rsidRPr="008C0455">
        <w:t xml:space="preserve"> (</w:t>
      </w:r>
      <w:r>
        <w:t>Etter</w:t>
      </w:r>
      <w:r w:rsidRPr="008C0455">
        <w:t xml:space="preserve"> direct)</w:t>
      </w:r>
    </w:p>
    <w:p w:rsidR="0059283F" w:rsidRPr="008C0455" w:rsidP="00E53F28">
      <w:pPr>
        <w:tabs>
          <w:tab w:val="left" w:pos="4320"/>
          <w:tab w:val="center" w:pos="4680"/>
          <w:tab w:val="right" w:pos="9360"/>
        </w:tabs>
        <w:ind w:left="4320"/>
      </w:pPr>
      <w:r>
        <w:rPr>
          <w:rStyle w:val="Hyperlink"/>
        </w:rPr>
        <w:t>terry.etter</w:t>
      </w:r>
      <w:r w:rsidRPr="008C0455">
        <w:rPr>
          <w:rStyle w:val="Hyperlink"/>
        </w:rPr>
        <w:t>@occ.ohio.gov</w:t>
      </w:r>
    </w:p>
    <w:p w:rsidR="0059283F" w:rsidP="00E53F28">
      <w:pPr>
        <w:widowControl w:val="0"/>
        <w:tabs>
          <w:tab w:val="left" w:pos="4320"/>
          <w:tab w:val="center" w:pos="4680"/>
          <w:tab w:val="right" w:pos="9360"/>
        </w:tabs>
        <w:ind w:left="4320"/>
      </w:pPr>
    </w:p>
    <w:p w:rsidR="0059283F" w:rsidRPr="008C0455" w:rsidP="00E53F28">
      <w:pPr>
        <w:widowControl w:val="0"/>
        <w:tabs>
          <w:tab w:val="left" w:pos="4320"/>
          <w:tab w:val="center" w:pos="4680"/>
          <w:tab w:val="right" w:pos="9360"/>
        </w:tabs>
        <w:ind w:left="4320"/>
      </w:pPr>
      <w:r w:rsidRPr="008C0455">
        <w:t>Kimberly W. Bojko (0069402)</w:t>
      </w:r>
    </w:p>
    <w:p w:rsidR="0059283F" w:rsidRPr="008C0455" w:rsidP="00E53F28">
      <w:pPr>
        <w:widowControl w:val="0"/>
        <w:tabs>
          <w:tab w:val="left" w:pos="4320"/>
          <w:tab w:val="center" w:pos="4680"/>
          <w:tab w:val="right" w:pos="9360"/>
        </w:tabs>
        <w:ind w:left="4320"/>
      </w:pPr>
      <w:r w:rsidRPr="008C0455">
        <w:t>Carpenter Lipps &amp; Leland LLP</w:t>
      </w:r>
    </w:p>
    <w:p w:rsidR="0059283F" w:rsidRPr="008C0455" w:rsidP="00E53F28">
      <w:pPr>
        <w:widowControl w:val="0"/>
        <w:tabs>
          <w:tab w:val="left" w:pos="4320"/>
          <w:tab w:val="center" w:pos="4680"/>
          <w:tab w:val="right" w:pos="9360"/>
        </w:tabs>
        <w:ind w:left="4320"/>
      </w:pPr>
      <w:r w:rsidRPr="008C0455">
        <w:t>280 North High Street, Suite 1300</w:t>
      </w:r>
    </w:p>
    <w:p w:rsidR="0059283F" w:rsidRPr="008C0455" w:rsidP="00E53F28">
      <w:pPr>
        <w:widowControl w:val="0"/>
        <w:tabs>
          <w:tab w:val="left" w:pos="4320"/>
          <w:tab w:val="center" w:pos="4680"/>
          <w:tab w:val="right" w:pos="9360"/>
        </w:tabs>
        <w:ind w:left="4320"/>
      </w:pPr>
      <w:r w:rsidRPr="008C0455">
        <w:t>Columbus, Ohio 43215</w:t>
      </w:r>
    </w:p>
    <w:p w:rsidR="0059283F" w:rsidRPr="008C0455" w:rsidP="00E53F28">
      <w:pPr>
        <w:widowControl w:val="0"/>
        <w:tabs>
          <w:tab w:val="left" w:pos="4320"/>
          <w:tab w:val="center" w:pos="4680"/>
          <w:tab w:val="right" w:pos="9360"/>
        </w:tabs>
        <w:ind w:left="4320"/>
      </w:pPr>
      <w:r>
        <w:t>Telep</w:t>
      </w:r>
      <w:r w:rsidRPr="008C0455">
        <w:t>hone: (614) 365-4100</w:t>
      </w:r>
    </w:p>
    <w:p w:rsidR="0059283F" w:rsidRPr="008C0455" w:rsidP="00E53F28">
      <w:pPr>
        <w:widowControl w:val="0"/>
        <w:tabs>
          <w:tab w:val="left" w:pos="4320"/>
          <w:tab w:val="center" w:pos="4680"/>
          <w:tab w:val="right" w:pos="9360"/>
        </w:tabs>
        <w:ind w:left="4320"/>
      </w:pPr>
      <w:r>
        <w:fldChar w:fldCharType="begin"/>
      </w:r>
      <w:r>
        <w:instrText xml:space="preserve"> HYPERLINK "mailto:bojko@carpenterlipps.com" </w:instrText>
      </w:r>
      <w:r>
        <w:fldChar w:fldCharType="separate"/>
      </w:r>
      <w:r w:rsidRPr="008C0455" w:rsidR="00352E1F">
        <w:rPr>
          <w:rStyle w:val="Hyperlink"/>
        </w:rPr>
        <w:t>bojko@carpenterlipps.com</w:t>
      </w:r>
      <w:r>
        <w:fldChar w:fldCharType="end"/>
      </w:r>
    </w:p>
    <w:p w:rsidR="0059283F" w:rsidRPr="008C0455" w:rsidP="00E53F28">
      <w:pPr>
        <w:widowControl w:val="0"/>
        <w:tabs>
          <w:tab w:val="left" w:pos="4320"/>
          <w:tab w:val="center" w:pos="4680"/>
          <w:tab w:val="right" w:pos="9360"/>
        </w:tabs>
        <w:ind w:left="4320"/>
      </w:pPr>
    </w:p>
    <w:p w:rsidR="0059283F" w:rsidRPr="008C0455" w:rsidP="00E53F28">
      <w:pPr>
        <w:widowControl w:val="0"/>
        <w:tabs>
          <w:tab w:val="center" w:pos="4680"/>
          <w:tab w:val="right" w:pos="9360"/>
        </w:tabs>
        <w:ind w:firstLine="4320"/>
        <w:rPr>
          <w:i/>
        </w:rPr>
      </w:pPr>
      <w:r w:rsidRPr="008C0455">
        <w:rPr>
          <w:i/>
        </w:rPr>
        <w:t>Outside Counsel for the</w:t>
      </w:r>
    </w:p>
    <w:p w:rsidR="0059283F" w:rsidP="00E53F28">
      <w:pPr>
        <w:widowControl w:val="0"/>
        <w:tabs>
          <w:tab w:val="center" w:pos="4680"/>
          <w:tab w:val="right" w:pos="9360"/>
        </w:tabs>
        <w:ind w:firstLine="4320"/>
      </w:pPr>
      <w:r w:rsidRPr="008C0455">
        <w:rPr>
          <w:i/>
        </w:rPr>
        <w:t>Office of the Ohio Consumers’ Counsel</w:t>
      </w:r>
    </w:p>
    <w:p w:rsidR="004925A7" w:rsidP="00E53F28">
      <w:pPr>
        <w:autoSpaceDE w:val="0"/>
        <w:autoSpaceDN w:val="0"/>
        <w:adjustRightInd w:val="0"/>
        <w:contextualSpacing/>
      </w:pPr>
    </w:p>
    <w:p w:rsidR="00CF4FCB" w:rsidP="00E53F28">
      <w:pPr>
        <w:autoSpaceDE w:val="0"/>
        <w:autoSpaceDN w:val="0"/>
        <w:adjustRightInd w:val="0"/>
        <w:contextualSpacing/>
      </w:pPr>
    </w:p>
    <w:p w:rsidR="00CF4FCB" w:rsidP="00E53F28">
      <w:pPr>
        <w:autoSpaceDE w:val="0"/>
        <w:autoSpaceDN w:val="0"/>
        <w:adjustRightInd w:val="0"/>
        <w:contextualSpacing/>
      </w:pPr>
    </w:p>
    <w:p w:rsidR="008D5E6A" w:rsidRPr="00BE1469" w:rsidP="008D5E6A">
      <w:pPr>
        <w:widowControl w:val="0"/>
        <w:tabs>
          <w:tab w:val="center" w:pos="4680"/>
          <w:tab w:val="right" w:pos="9360"/>
        </w:tabs>
        <w:ind w:firstLine="4320"/>
        <w:rPr>
          <w:rFonts w:ascii="Georgia" w:eastAsia="Calibri" w:hAnsi="Georgia" w:cs="Arial"/>
          <w:u w:val="single"/>
        </w:rPr>
      </w:pPr>
      <w:r w:rsidRPr="00BE1469">
        <w:rPr>
          <w:rFonts w:eastAsia="Calibri"/>
        </w:rPr>
        <w:tab/>
      </w:r>
      <w:r w:rsidRPr="00BE1469">
        <w:rPr>
          <w:rFonts w:eastAsia="Calibri"/>
        </w:rPr>
        <w:tab/>
      </w:r>
      <w:r w:rsidRPr="00BE1469">
        <w:rPr>
          <w:rFonts w:eastAsia="Calibri"/>
        </w:rPr>
        <w:tab/>
      </w:r>
      <w:r w:rsidRPr="00BE1469">
        <w:rPr>
          <w:rFonts w:eastAsia="Calibri"/>
        </w:rPr>
        <w:tab/>
      </w:r>
      <w:r w:rsidRPr="00BE1469">
        <w:rPr>
          <w:rFonts w:eastAsia="Calibri"/>
        </w:rPr>
        <w:tab/>
      </w:r>
      <w:r w:rsidRPr="00BE1469">
        <w:rPr>
          <w:rFonts w:eastAsia="Calibri"/>
        </w:rPr>
        <w:tab/>
      </w:r>
    </w:p>
    <w:p w:rsidR="008D5E6A" w:rsidRPr="00BE1469" w:rsidP="008D5E6A">
      <w:pPr>
        <w:ind w:left="4320"/>
        <w:rPr>
          <w:rFonts w:eastAsia="Calibri"/>
        </w:rPr>
      </w:pPr>
      <w:r>
        <w:rPr>
          <w:rFonts w:eastAsia="Calibri"/>
          <w:u w:val="single"/>
        </w:rPr>
        <w:t xml:space="preserve">/s/ </w:t>
      </w:r>
      <w:r>
        <w:rPr>
          <w:rFonts w:eastAsia="Calibri"/>
          <w:i/>
          <w:u w:val="single"/>
        </w:rPr>
        <w:t>Noel M. Morgan</w:t>
      </w:r>
      <w:r w:rsidRPr="00BE1469">
        <w:rPr>
          <w:rFonts w:eastAsia="Calibri"/>
          <w:u w:val="single"/>
        </w:rPr>
        <w:tab/>
      </w:r>
      <w:r w:rsidRPr="00BE1469">
        <w:rPr>
          <w:rFonts w:eastAsia="Calibri"/>
          <w:u w:val="single"/>
        </w:rPr>
        <w:tab/>
      </w:r>
      <w:r w:rsidRPr="00BE1469">
        <w:rPr>
          <w:rFonts w:eastAsia="Calibri"/>
          <w:u w:val="single"/>
        </w:rPr>
        <w:tab/>
      </w:r>
    </w:p>
    <w:p w:rsidR="008D5E6A" w:rsidRPr="00BE1469" w:rsidP="008D5E6A">
      <w:pPr>
        <w:ind w:left="4320"/>
        <w:rPr>
          <w:rFonts w:eastAsia="Calibri"/>
        </w:rPr>
      </w:pPr>
      <w:r w:rsidRPr="00BE1469">
        <w:rPr>
          <w:rFonts w:eastAsia="Calibri"/>
        </w:rPr>
        <w:t>Noel M. Morgan (0066904)</w:t>
      </w:r>
    </w:p>
    <w:p w:rsidR="008D5E6A" w:rsidRPr="00BE1469" w:rsidP="008D5E6A">
      <w:pPr>
        <w:ind w:left="4320"/>
        <w:rPr>
          <w:rFonts w:eastAsia="Calibri"/>
        </w:rPr>
      </w:pPr>
      <w:r w:rsidRPr="00BE1469">
        <w:rPr>
          <w:rFonts w:eastAsia="Calibri"/>
        </w:rPr>
        <w:t>Attorney for CUFA</w:t>
      </w:r>
    </w:p>
    <w:p w:rsidR="008D5E6A" w:rsidRPr="00BE1469" w:rsidP="008D5E6A">
      <w:pPr>
        <w:ind w:left="4320"/>
        <w:rPr>
          <w:rFonts w:eastAsia="Calibri"/>
        </w:rPr>
      </w:pPr>
      <w:r w:rsidRPr="00BE1469">
        <w:rPr>
          <w:rFonts w:eastAsia="Calibri"/>
        </w:rPr>
        <w:t>Legal Aid Society of Southwest Ohio, LLC</w:t>
      </w:r>
    </w:p>
    <w:p w:rsidR="008D5E6A" w:rsidRPr="00BE1469" w:rsidP="008D5E6A">
      <w:pPr>
        <w:ind w:left="4320"/>
        <w:rPr>
          <w:rFonts w:eastAsia="Calibri"/>
        </w:rPr>
      </w:pPr>
      <w:r w:rsidRPr="00BE1469">
        <w:rPr>
          <w:rFonts w:eastAsia="Calibri"/>
        </w:rPr>
        <w:t>215 East Ninth Street, Suite 500</w:t>
      </w:r>
    </w:p>
    <w:p w:rsidR="008D5E6A" w:rsidRPr="00BE1469" w:rsidP="008D5E6A">
      <w:pPr>
        <w:ind w:left="4320"/>
        <w:rPr>
          <w:rFonts w:eastAsia="Calibri"/>
        </w:rPr>
      </w:pPr>
      <w:r w:rsidRPr="00BE1469">
        <w:rPr>
          <w:rFonts w:eastAsia="Calibri"/>
        </w:rPr>
        <w:t>Cincinnati, Ohio  45202</w:t>
      </w:r>
    </w:p>
    <w:p w:rsidR="008D5E6A" w:rsidRPr="00BE1469" w:rsidP="008D5E6A">
      <w:pPr>
        <w:ind w:left="4320"/>
        <w:rPr>
          <w:rFonts w:eastAsia="Calibri"/>
        </w:rPr>
      </w:pPr>
      <w:r w:rsidRPr="00BE1469">
        <w:rPr>
          <w:rFonts w:eastAsia="Calibri"/>
        </w:rPr>
        <w:t>Telephone: (513) 362-2837</w:t>
      </w:r>
    </w:p>
    <w:p w:rsidR="008D5E6A" w:rsidRPr="00BE1469" w:rsidP="008D5E6A">
      <w:pPr>
        <w:ind w:left="4320"/>
        <w:rPr>
          <w:rFonts w:eastAsia="Calibri"/>
        </w:rPr>
      </w:pPr>
      <w:r w:rsidRPr="00BE1469">
        <w:rPr>
          <w:rFonts w:eastAsia="Calibri"/>
        </w:rPr>
        <w:t xml:space="preserve">Email:  </w:t>
      </w:r>
      <w:r>
        <w:fldChar w:fldCharType="begin"/>
      </w:r>
      <w:r>
        <w:instrText xml:space="preserve"> HYPERLINK "mailto:nmorgan@lascinti.org" </w:instrText>
      </w:r>
      <w:r>
        <w:fldChar w:fldCharType="separate"/>
      </w:r>
      <w:r w:rsidRPr="00BE1469">
        <w:rPr>
          <w:rFonts w:eastAsia="Calibri"/>
          <w:color w:val="0000FF"/>
          <w:u w:val="single"/>
        </w:rPr>
        <w:t>nmorgan@lascinti.org</w:t>
      </w:r>
      <w:r>
        <w:fldChar w:fldCharType="end"/>
      </w:r>
    </w:p>
    <w:p w:rsidR="008D5E6A" w:rsidRPr="00BE1469" w:rsidP="008D5E6A">
      <w:pPr>
        <w:tabs>
          <w:tab w:val="center" w:pos="4680"/>
          <w:tab w:val="right" w:pos="9360"/>
        </w:tabs>
        <w:ind w:firstLine="4320"/>
        <w:rPr>
          <w:rFonts w:eastAsia="Calibri"/>
        </w:rPr>
      </w:pPr>
      <w:r w:rsidRPr="00BE1469">
        <w:rPr>
          <w:rFonts w:eastAsia="Calibri"/>
        </w:rPr>
        <w:t>(willing to accept service by e-mail)</w:t>
      </w:r>
    </w:p>
    <w:p w:rsidR="008D5E6A" w:rsidP="00E53F28">
      <w:pPr>
        <w:autoSpaceDE w:val="0"/>
        <w:autoSpaceDN w:val="0"/>
        <w:adjustRightInd w:val="0"/>
        <w:contextualSpacing/>
        <w:sectPr w:rsidSect="00CF4FC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2C6AC2" w:rsidRPr="003529C3" w:rsidP="00731546">
      <w:pPr>
        <w:jc w:val="center"/>
        <w:rPr>
          <w:b/>
        </w:rPr>
      </w:pPr>
      <w:r w:rsidRPr="003529C3">
        <w:rPr>
          <w:b/>
        </w:rPr>
        <w:t>BEFORE</w:t>
      </w:r>
    </w:p>
    <w:p w:rsidR="002C6AC2" w:rsidRPr="003529C3" w:rsidP="00731546">
      <w:pPr>
        <w:jc w:val="center"/>
        <w:rPr>
          <w:b/>
        </w:rPr>
      </w:pPr>
      <w:r w:rsidRPr="003529C3">
        <w:rPr>
          <w:b/>
        </w:rPr>
        <w:t>THE PUBLIC UTILITIES COMMISSION OF OHIO</w:t>
      </w:r>
    </w:p>
    <w:p w:rsidR="002C6AC2" w:rsidRPr="003529C3" w:rsidP="00E53F28">
      <w:pPr>
        <w:rPr>
          <w:b/>
        </w:rPr>
      </w:pPr>
    </w:p>
    <w:tbl>
      <w:tblPr>
        <w:tblW w:w="5004" w:type="pct"/>
        <w:tblInd w:w="0" w:type="dxa"/>
        <w:tblCellMar>
          <w:top w:w="0" w:type="dxa"/>
          <w:left w:w="108" w:type="dxa"/>
          <w:bottom w:w="0" w:type="dxa"/>
          <w:right w:w="108" w:type="dxa"/>
        </w:tblCellMar>
        <w:tblLook w:val="01E0"/>
      </w:tblPr>
      <w:tblGrid>
        <w:gridCol w:w="4265"/>
        <w:gridCol w:w="333"/>
        <w:gridCol w:w="4265"/>
      </w:tblGrid>
      <w:tr w:rsidTr="00B37957">
        <w:tblPrEx>
          <w:tblW w:w="5004" w:type="pct"/>
          <w:tblInd w:w="0" w:type="dxa"/>
          <w:tblCellMar>
            <w:top w:w="0" w:type="dxa"/>
            <w:left w:w="108" w:type="dxa"/>
            <w:bottom w:w="0" w:type="dxa"/>
            <w:right w:w="108" w:type="dxa"/>
          </w:tblCellMar>
          <w:tblLook w:val="01E0"/>
        </w:tblPrEx>
        <w:trPr>
          <w:trHeight w:val="2061"/>
        </w:trPr>
        <w:tc>
          <w:tcPr>
            <w:tcW w:w="2406" w:type="pct"/>
          </w:tcPr>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59283F"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The Office of the Ohio Consumers’ Counsel, </w:t>
            </w:r>
          </w:p>
          <w:p w:rsidR="0059283F"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and</w:t>
            </w: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59283F"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Communities United for Action</w:t>
            </w:r>
            <w:r>
              <w:rPr>
                <w:rFonts w:ascii="Times New Roman" w:eastAsia="Calibri" w:hAnsi="Times New Roman" w:cs="Times New Roman"/>
                <w:sz w:val="24"/>
                <w:szCs w:val="24"/>
                <w:lang w:val="en-US" w:eastAsia="en-US" w:bidi="ar-SA"/>
              </w:rPr>
              <w:t>,</w:t>
            </w:r>
          </w:p>
          <w:p w:rsidR="0059283F" w:rsidRPr="00AB55A6" w:rsidP="00E53F28">
            <w:pPr>
              <w:autoSpaceDE w:val="0"/>
              <w:autoSpaceDN w:val="0"/>
              <w:adjustRightInd w:val="0"/>
              <w:spacing w:after="0" w:line="240" w:lineRule="auto"/>
              <w:ind w:left="720"/>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Complainants,</w:t>
            </w: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 xml:space="preserve">v. </w:t>
            </w: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p w:rsidR="0059283F" w:rsidRPr="00AB55A6" w:rsidP="00E53F28">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Duke Energy Ohio, Inc.</w:t>
            </w:r>
            <w:r>
              <w:rPr>
                <w:rFonts w:ascii="Times New Roman" w:eastAsia="Calibri" w:hAnsi="Times New Roman" w:cs="Times New Roman"/>
                <w:sz w:val="24"/>
                <w:szCs w:val="24"/>
                <w:lang w:val="en-US" w:eastAsia="en-US" w:bidi="ar-SA"/>
              </w:rPr>
              <w:t>,</w:t>
            </w:r>
          </w:p>
          <w:p w:rsidR="0059283F" w:rsidP="00E53F28">
            <w:pPr>
              <w:spacing w:after="0" w:line="240" w:lineRule="auto"/>
              <w:ind w:left="720"/>
              <w:rPr>
                <w:rStyle w:val="DefaultParagraphFont"/>
                <w:rFonts w:ascii="Times New Roman" w:eastAsia="Times New Roman"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Respondent.</w:t>
            </w:r>
          </w:p>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p>
        </w:tc>
        <w:tc>
          <w:tcPr>
            <w:tcW w:w="188" w:type="pct"/>
          </w:tcPr>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3529C3">
              <w:rPr>
                <w:rFonts w:ascii="Times New Roman" w:eastAsia="Times New Roman" w:hAnsi="Times New Roman" w:cs="Times New Roman"/>
                <w:sz w:val="24"/>
                <w:szCs w:val="24"/>
                <w:lang w:val="en-US" w:eastAsia="en-US" w:bidi="ar-SA"/>
              </w:rPr>
              <w:br/>
              <w:t>)</w:t>
            </w:r>
            <w:r w:rsidRPr="003529C3">
              <w:rPr>
                <w:rFonts w:ascii="Times New Roman" w:eastAsia="Times New Roman" w:hAnsi="Times New Roman" w:cs="Times New Roman"/>
                <w:sz w:val="24"/>
                <w:szCs w:val="24"/>
                <w:lang w:val="en-US" w:eastAsia="en-US" w:bidi="ar-SA"/>
              </w:rPr>
              <w:br/>
              <w:t>)</w:t>
            </w:r>
            <w:r w:rsidRPr="003529C3">
              <w:rPr>
                <w:rFonts w:ascii="Times New Roman" w:eastAsia="Times New Roman" w:hAnsi="Times New Roman" w:cs="Times New Roman"/>
                <w:sz w:val="24"/>
                <w:szCs w:val="24"/>
                <w:lang w:val="en-US" w:eastAsia="en-US" w:bidi="ar-SA"/>
              </w:rPr>
              <w:br/>
              <w:t>)</w:t>
            </w:r>
            <w:r w:rsidRPr="003529C3">
              <w:rPr>
                <w:rFonts w:ascii="Times New Roman" w:eastAsia="Times New Roman" w:hAnsi="Times New Roman" w:cs="Times New Roman"/>
                <w:sz w:val="24"/>
                <w:szCs w:val="24"/>
                <w:lang w:val="en-US" w:eastAsia="en-US" w:bidi="ar-SA"/>
              </w:rPr>
              <w:br/>
              <w:t>)</w:t>
            </w:r>
            <w:r w:rsidRPr="003529C3">
              <w:rPr>
                <w:rFonts w:ascii="Times New Roman" w:eastAsia="Times New Roman" w:hAnsi="Times New Roman" w:cs="Times New Roman"/>
                <w:sz w:val="24"/>
                <w:szCs w:val="24"/>
                <w:lang w:val="en-US" w:eastAsia="en-US" w:bidi="ar-SA"/>
              </w:rPr>
              <w:br/>
              <w:t>)</w:t>
            </w:r>
            <w:r w:rsidRPr="003529C3">
              <w:rPr>
                <w:rFonts w:ascii="Times New Roman" w:eastAsia="Times New Roman" w:hAnsi="Times New Roman" w:cs="Times New Roman"/>
                <w:sz w:val="24"/>
                <w:szCs w:val="24"/>
                <w:lang w:val="en-US" w:eastAsia="en-US" w:bidi="ar-SA"/>
              </w:rPr>
              <w:br/>
            </w:r>
            <w:r>
              <w:rPr>
                <w:rFonts w:ascii="Times New Roman" w:eastAsia="Times New Roman" w:hAnsi="Times New Roman" w:cs="Times New Roman"/>
                <w:sz w:val="24"/>
                <w:szCs w:val="24"/>
                <w:lang w:val="en-US" w:eastAsia="en-US" w:bidi="ar-SA"/>
              </w:rPr>
              <w:t>)</w:t>
            </w:r>
          </w:p>
          <w:p w:rsidR="00B37957" w:rsidRP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B37957">
              <w:rPr>
                <w:rFonts w:ascii="Times New Roman" w:eastAsia="Times New Roman" w:hAnsi="Times New Roman" w:cs="Times New Roman"/>
                <w:sz w:val="24"/>
                <w:szCs w:val="24"/>
                <w:lang w:val="en-US" w:eastAsia="en-US" w:bidi="ar-SA"/>
              </w:rPr>
              <w:t>)</w:t>
            </w:r>
          </w:p>
          <w:p w:rsidR="00B37957" w:rsidRP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B37957">
              <w:rPr>
                <w:rFonts w:ascii="Times New Roman" w:eastAsia="Times New Roman" w:hAnsi="Times New Roman" w:cs="Times New Roman"/>
                <w:sz w:val="24"/>
                <w:szCs w:val="24"/>
                <w:lang w:val="en-US" w:eastAsia="en-US" w:bidi="ar-SA"/>
              </w:rPr>
              <w:t>)</w:t>
            </w:r>
          </w:p>
          <w:p w:rsidR="00B37957" w:rsidRP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B37957">
              <w:rPr>
                <w:rFonts w:ascii="Times New Roman" w:eastAsia="Times New Roman" w:hAnsi="Times New Roman" w:cs="Times New Roman"/>
                <w:sz w:val="24"/>
                <w:szCs w:val="24"/>
                <w:lang w:val="en-US" w:eastAsia="en-US" w:bidi="ar-SA"/>
              </w:rPr>
              <w:t>)</w:t>
            </w:r>
          </w:p>
          <w:p w:rsidR="00B37957" w:rsidRP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B37957">
              <w:rPr>
                <w:rFonts w:ascii="Times New Roman" w:eastAsia="Times New Roman" w:hAnsi="Times New Roman" w:cs="Times New Roman"/>
                <w:sz w:val="24"/>
                <w:szCs w:val="24"/>
                <w:lang w:val="en-US" w:eastAsia="en-US" w:bidi="ar-SA"/>
              </w:rPr>
              <w:t>)</w:t>
            </w: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5B4F0E" w:rsidRPr="00B37957" w:rsidP="00E53F28">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w:t>
            </w:r>
          </w:p>
          <w:p w:rsidR="00B37957" w:rsidRPr="003529C3" w:rsidP="00E53F28">
            <w:pPr>
              <w:spacing w:after="0" w:line="240" w:lineRule="auto"/>
              <w:rPr>
                <w:rStyle w:val="DefaultParagraphFont"/>
                <w:rFonts w:ascii="Times New Roman" w:eastAsia="Times New Roman" w:hAnsi="Times New Roman" w:cs="Times New Roman"/>
                <w:b/>
                <w:sz w:val="24"/>
                <w:szCs w:val="24"/>
                <w:u w:val="single"/>
                <w:lang w:val="en-US" w:eastAsia="en-US" w:bidi="ar-SA"/>
              </w:rPr>
            </w:pPr>
          </w:p>
        </w:tc>
        <w:tc>
          <w:tcPr>
            <w:tcW w:w="2406" w:type="pct"/>
          </w:tcPr>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r w:rsidRPr="00AB55A6">
              <w:rPr>
                <w:rFonts w:ascii="Times New Roman" w:eastAsia="Calibri" w:hAnsi="Times New Roman" w:cs="Times New Roman"/>
                <w:sz w:val="24"/>
                <w:szCs w:val="24"/>
                <w:lang w:val="en-US" w:eastAsia="en-US" w:bidi="ar-SA"/>
              </w:rPr>
              <w:t>Case No. 15-</w:t>
            </w:r>
            <w:r>
              <w:rPr>
                <w:rFonts w:ascii="Times New Roman" w:eastAsia="Calibri" w:hAnsi="Times New Roman" w:cs="Times New Roman"/>
                <w:sz w:val="24"/>
                <w:szCs w:val="24"/>
                <w:lang w:val="en-US" w:eastAsia="en-US" w:bidi="ar-SA"/>
              </w:rPr>
              <w:t>1588</w:t>
            </w:r>
            <w:r w:rsidRPr="00AB55A6">
              <w:rPr>
                <w:rFonts w:ascii="Times New Roman" w:eastAsia="Calibri" w:hAnsi="Times New Roman" w:cs="Times New Roman"/>
                <w:sz w:val="24"/>
                <w:szCs w:val="24"/>
                <w:lang w:val="en-US" w:eastAsia="en-US" w:bidi="ar-SA"/>
              </w:rPr>
              <w:t>-GE-CSS</w:t>
            </w:r>
            <w:r w:rsidRPr="003529C3">
              <w:rPr>
                <w:rFonts w:ascii="Times New Roman" w:eastAsia="Times New Roman" w:hAnsi="Times New Roman" w:cs="Times New Roman"/>
                <w:sz w:val="24"/>
                <w:szCs w:val="24"/>
                <w:lang w:val="en-US" w:eastAsia="en-US" w:bidi="ar-SA"/>
              </w:rPr>
              <w:t xml:space="preserve"> </w:t>
            </w:r>
          </w:p>
          <w:p w:rsidR="00B37957" w:rsidRPr="003529C3" w:rsidP="00E53F28">
            <w:pPr>
              <w:spacing w:after="0" w:line="240" w:lineRule="auto"/>
              <w:ind w:left="432"/>
              <w:rPr>
                <w:rStyle w:val="DefaultParagraphFont"/>
                <w:rFonts w:ascii="Times New Roman" w:eastAsia="Times New Roman" w:hAnsi="Times New Roman" w:cs="Times New Roman"/>
                <w:sz w:val="24"/>
                <w:szCs w:val="24"/>
                <w:lang w:val="en-US" w:eastAsia="en-US" w:bidi="ar-SA"/>
              </w:rPr>
            </w:pP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P="00E53F28">
            <w:pPr>
              <w:spacing w:after="0" w:line="240" w:lineRule="auto"/>
              <w:rPr>
                <w:rStyle w:val="DefaultParagraphFont"/>
                <w:rFonts w:ascii="Times New Roman" w:eastAsia="Times New Roman" w:hAnsi="Times New Roman" w:cs="Times New Roman"/>
                <w:sz w:val="24"/>
                <w:szCs w:val="24"/>
                <w:lang w:val="en-US" w:eastAsia="en-US" w:bidi="ar-SA"/>
              </w:rPr>
            </w:pPr>
          </w:p>
          <w:p w:rsidR="00B37957" w:rsidRPr="003529C3" w:rsidP="00E53F28">
            <w:pPr>
              <w:spacing w:after="0" w:line="240" w:lineRule="auto"/>
              <w:rPr>
                <w:rStyle w:val="DefaultParagraphFont"/>
                <w:rFonts w:ascii="Times New Roman" w:eastAsia="Times New Roman" w:hAnsi="Times New Roman" w:cs="Times New Roman"/>
                <w:sz w:val="24"/>
                <w:szCs w:val="24"/>
                <w:lang w:val="en-US" w:eastAsia="en-US" w:bidi="ar-SA"/>
              </w:rPr>
            </w:pPr>
          </w:p>
        </w:tc>
      </w:tr>
    </w:tbl>
    <w:p w:rsidR="002C6AC2" w:rsidRPr="003529C3" w:rsidP="00E53F28">
      <w:r w:rsidRPr="003529C3">
        <w:t>______________________________________________</w:t>
      </w:r>
      <w:r>
        <w:t>__________________________</w:t>
      </w:r>
    </w:p>
    <w:p w:rsidR="002C6AC2" w:rsidRPr="003529C3" w:rsidP="00E53F28"/>
    <w:p w:rsidR="002C6AC2" w:rsidRPr="003529C3" w:rsidP="00BD50F7">
      <w:pPr>
        <w:jc w:val="center"/>
        <w:rPr>
          <w:b/>
        </w:rPr>
      </w:pPr>
      <w:r>
        <w:rPr>
          <w:b/>
        </w:rPr>
        <w:t>MEMORANDUM IN SUPPORT</w:t>
      </w:r>
    </w:p>
    <w:p w:rsidR="002C6AC2" w:rsidP="00E53F28">
      <w:pPr>
        <w:rPr>
          <w:b/>
        </w:rPr>
      </w:pPr>
      <w:r>
        <w:rPr>
          <w:b/>
        </w:rPr>
        <w:t>________________________________________________________________________</w:t>
      </w:r>
    </w:p>
    <w:p w:rsidR="002C6AC2" w:rsidP="00E53F28">
      <w:pPr>
        <w:rPr>
          <w:b/>
        </w:rPr>
      </w:pPr>
    </w:p>
    <w:p w:rsidR="00C012A2" w:rsidRPr="0062024B" w:rsidP="00E53F28">
      <w:pPr>
        <w:rPr>
          <w:b/>
        </w:rPr>
      </w:pPr>
    </w:p>
    <w:p w:rsidR="009A1EA6" w:rsidRPr="007E3831" w:rsidP="0045601B">
      <w:pPr>
        <w:pStyle w:val="Heading1"/>
      </w:pPr>
      <w:bookmarkStart w:id="1" w:name="_Toc498353711"/>
      <w:r>
        <w:t>I.</w:t>
      </w:r>
      <w:r>
        <w:tab/>
      </w:r>
      <w:r w:rsidRPr="007E3831">
        <w:t>INTRODUCTION</w:t>
      </w:r>
      <w:bookmarkEnd w:id="1"/>
      <w:r w:rsidRPr="007E3831">
        <w:t xml:space="preserve"> </w:t>
      </w:r>
    </w:p>
    <w:p w:rsidR="00CD6ADF" w:rsidP="00CD6ADF">
      <w:pPr>
        <w:pStyle w:val="BodyTextIndent3"/>
        <w:suppressAutoHyphens/>
        <w:spacing w:line="480" w:lineRule="auto"/>
        <w:rPr>
          <w:rFonts w:eastAsia="Calibri"/>
          <w:szCs w:val="24"/>
        </w:rPr>
      </w:pPr>
      <w:r>
        <w:rPr>
          <w:szCs w:val="24"/>
        </w:rPr>
        <w:t>OCC has been concerned about the impact of Duke’s disconnection policies and practices on Ohioans.  OCC sought PUCO review of Duke’s disconnection policies and practices in another case three years ago.</w:t>
      </w:r>
      <w:r>
        <w:rPr>
          <w:rFonts w:eastAsia="Calibri"/>
          <w:szCs w:val="24"/>
          <w:vertAlign w:val="superscript"/>
        </w:rPr>
        <w:footnoteReference w:id="4"/>
      </w:r>
      <w:r>
        <w:rPr>
          <w:szCs w:val="24"/>
        </w:rPr>
        <w:t xml:space="preserve">  There, the PUCO denied OCC the opportunity to address the issue and advised OCC to </w:t>
      </w:r>
      <w:r w:rsidRPr="00DC5669">
        <w:rPr>
          <w:rFonts w:eastAsia="Calibri"/>
          <w:szCs w:val="24"/>
        </w:rPr>
        <w:t xml:space="preserve">raise the </w:t>
      </w:r>
      <w:r>
        <w:rPr>
          <w:rFonts w:eastAsia="Calibri"/>
          <w:szCs w:val="24"/>
        </w:rPr>
        <w:t>matter</w:t>
      </w:r>
      <w:r w:rsidRPr="00DC5669">
        <w:rPr>
          <w:rFonts w:eastAsia="Calibri"/>
          <w:szCs w:val="24"/>
        </w:rPr>
        <w:t xml:space="preserve"> “in an appropriate docket.”</w:t>
      </w:r>
      <w:r>
        <w:rPr>
          <w:rFonts w:eastAsia="Calibri"/>
          <w:szCs w:val="24"/>
          <w:vertAlign w:val="superscript"/>
        </w:rPr>
        <w:footnoteReference w:id="5"/>
      </w:r>
      <w:r>
        <w:rPr>
          <w:rFonts w:eastAsia="Calibri"/>
          <w:szCs w:val="24"/>
        </w:rPr>
        <w:t xml:space="preserve">  In response to the PUCO’s directive, OCC joined CUFA in filing a Complaint against Duke on September 15, 2015.  </w:t>
      </w:r>
    </w:p>
    <w:p w:rsidR="00F0372B" w:rsidP="00E53F28">
      <w:pPr>
        <w:autoSpaceDE w:val="0"/>
        <w:autoSpaceDN w:val="0"/>
        <w:adjustRightInd w:val="0"/>
        <w:spacing w:line="480" w:lineRule="auto"/>
        <w:ind w:firstLine="720"/>
      </w:pPr>
      <w:r>
        <w:t>Complainants alleged that Duke (1) failed to comply with the PUCO’s Special Winter Reconnection Orders concerning disconnections, reconnections, and maintaining service to residential customers during the Ohio winter months; (2) failed to comply with the PUCO’s Winter Rule concerning disconnection of utility service to residential customers, and; (3) failed to provide adequate and reasonable utility service.</w:t>
      </w:r>
      <w:r>
        <w:rPr>
          <w:rStyle w:val="FootnoteReference"/>
        </w:rPr>
        <w:footnoteReference w:id="6"/>
      </w:r>
    </w:p>
    <w:p w:rsidR="00CD6ADF" w:rsidP="00CD6ADF">
      <w:pPr>
        <w:autoSpaceDE w:val="0"/>
        <w:autoSpaceDN w:val="0"/>
        <w:adjustRightInd w:val="0"/>
        <w:spacing w:line="480" w:lineRule="auto"/>
        <w:ind w:firstLine="720"/>
      </w:pPr>
      <w:r>
        <w:t>On October 8, 2015, Duke filed a Motion to Dismiss the Complaint.</w:t>
      </w:r>
      <w:r>
        <w:rPr>
          <w:rStyle w:val="FootnoteReference"/>
        </w:rPr>
        <w:footnoteReference w:id="7"/>
      </w:r>
      <w:r>
        <w:t xml:space="preserve">  That same day, Duke also filed a Motion for a Protective Order to Stay Discovery while its Motion to Dismiss was pending.</w:t>
      </w:r>
      <w:r>
        <w:rPr>
          <w:rStyle w:val="FootnoteReference"/>
        </w:rPr>
        <w:footnoteReference w:id="8"/>
      </w:r>
      <w:r>
        <w:t xml:space="preserve">  Complainants opposed each of Duke’s October 8 motions.</w:t>
      </w:r>
      <w:r>
        <w:rPr>
          <w:rStyle w:val="FootnoteReference"/>
        </w:rPr>
        <w:footnoteReference w:id="9"/>
      </w:r>
      <w:r>
        <w:t xml:space="preserve">  Then, on November 12, 2015, OCC filed a Motion to Compel Responses to Discovery.</w:t>
      </w:r>
      <w:r>
        <w:rPr>
          <w:rStyle w:val="FootnoteReference"/>
        </w:rPr>
        <w:footnoteReference w:id="10"/>
      </w:r>
      <w:r>
        <w:t xml:space="preserve">  </w:t>
      </w:r>
      <w:r>
        <w:rPr>
          <w:rFonts w:eastAsia="Calibri"/>
        </w:rPr>
        <w:t>The case then lay dormant for nearly two years as the parties awaited PUCO rulings on these motions.  The PUCO did not schedule a settlement conference as required by Ohio Adm. Code 4901-9-01(G).</w:t>
      </w:r>
    </w:p>
    <w:p w:rsidR="00CD6ADF" w:rsidP="00CD6ADF">
      <w:pPr>
        <w:autoSpaceDE w:val="0"/>
        <w:autoSpaceDN w:val="0"/>
        <w:adjustRightInd w:val="0"/>
        <w:spacing w:line="480" w:lineRule="auto"/>
        <w:ind w:firstLine="720"/>
      </w:pPr>
      <w:r>
        <w:t>The PUCO never ruled on that motion or directed Duke to comply with its discovery obligations.  Instead, the PUCO simply dismissed the Complaint altogether, nearly two years after OCC asked it to compel discovery.</w:t>
      </w:r>
      <w:r>
        <w:rPr>
          <w:rStyle w:val="FootnoteReference"/>
        </w:rPr>
        <w:footnoteReference w:id="11"/>
      </w:r>
      <w:r>
        <w:t xml:space="preserve">  In doing so, the PUCO set a near-impossible standard for any party that wishes to challenge a utility’s policies and practices that unreasonably and unlawfully harm its consumers.  Under the terms laid out in the PUCO’s dismissal of the Complaint, all complainants must be able to support their claims regarding a utility’s policies and practices in granular detail—even general statistics will not suffice—and they must do so without being afforded the ability to conduct even a modicum of discovery. </w:t>
      </w:r>
    </w:p>
    <w:p w:rsidR="00285941" w:rsidP="00E53F28">
      <w:pPr>
        <w:autoSpaceDE w:val="0"/>
        <w:autoSpaceDN w:val="0"/>
        <w:adjustRightInd w:val="0"/>
        <w:spacing w:line="480" w:lineRule="auto"/>
        <w:ind w:firstLine="720"/>
      </w:pPr>
      <w:r>
        <w:t>Complainants now respectfully request rehearing of the PUCO’s unreasonable and unlawful decision to grant Duke’s Motion to Dismiss without discovery and without being heard on the Complaint.  The arguments in support of this application for rehearing are set forth below.</w:t>
      </w:r>
    </w:p>
    <w:p w:rsidR="0045601B" w:rsidP="0045601B">
      <w:pPr>
        <w:autoSpaceDE w:val="0"/>
        <w:autoSpaceDN w:val="0"/>
        <w:adjustRightInd w:val="0"/>
        <w:ind w:firstLine="720"/>
      </w:pPr>
    </w:p>
    <w:p w:rsidR="00783625" w:rsidP="0045601B">
      <w:pPr>
        <w:pStyle w:val="Heading1"/>
      </w:pPr>
      <w:bookmarkStart w:id="2" w:name="_Toc498353712"/>
      <w:r>
        <w:t>II.</w:t>
      </w:r>
      <w:r>
        <w:tab/>
        <w:t>STANDARD OF REVIEW</w:t>
      </w:r>
      <w:bookmarkEnd w:id="2"/>
    </w:p>
    <w:p w:rsidR="00783625" w:rsidP="008D5E6A">
      <w:pPr>
        <w:pStyle w:val="ListParagraph"/>
        <w:autoSpaceDE w:val="0"/>
        <w:autoSpaceDN w:val="0"/>
        <w:adjustRightInd w:val="0"/>
        <w:spacing w:line="480" w:lineRule="auto"/>
        <w:ind w:left="0" w:firstLine="720"/>
        <w:contextualSpacing w:val="0"/>
      </w:pPr>
      <w:r w:rsidRPr="00C044AA">
        <w:t xml:space="preserve"> “</w:t>
      </w:r>
      <w:r>
        <w:t>[A]</w:t>
      </w:r>
      <w:r w:rsidRPr="00C044AA">
        <w:t>ny party who has entered an appearance in person or by counsel in the proceeding may apply for rehearing in respect to any matters determined in the proceeding” within 30 days of the issuance of a PUCO order.</w:t>
      </w:r>
      <w:r>
        <w:rPr>
          <w:rStyle w:val="FootnoteReference"/>
        </w:rPr>
        <w:footnoteReference w:id="12"/>
      </w:r>
      <w:r w:rsidRPr="00C044AA">
        <w:t xml:space="preserve">  OCC </w:t>
      </w:r>
      <w:r>
        <w:t>and CUFA are the</w:t>
      </w:r>
      <w:r w:rsidRPr="00C044AA">
        <w:t xml:space="preserve"> Complainant</w:t>
      </w:r>
      <w:r>
        <w:t>s</w:t>
      </w:r>
      <w:r w:rsidRPr="00C044AA">
        <w:t xml:space="preserve"> in this case with standing to request rehearing and this request falls within the 30-day </w:t>
      </w:r>
      <w:r>
        <w:t xml:space="preserve">timeline </w:t>
      </w:r>
      <w:r w:rsidRPr="00C044AA">
        <w:t>for parties to apply for rehearing.</w:t>
      </w:r>
    </w:p>
    <w:p w:rsidR="0045601B" w:rsidRPr="00C044AA" w:rsidP="0045601B">
      <w:pPr>
        <w:pStyle w:val="ListParagraph"/>
        <w:autoSpaceDE w:val="0"/>
        <w:autoSpaceDN w:val="0"/>
        <w:adjustRightInd w:val="0"/>
        <w:ind w:left="0" w:firstLine="720"/>
        <w:contextualSpacing w:val="0"/>
      </w:pPr>
    </w:p>
    <w:p w:rsidR="00F0372B" w:rsidRPr="00C044AA" w:rsidP="0045601B">
      <w:pPr>
        <w:pStyle w:val="Heading1"/>
      </w:pPr>
      <w:bookmarkStart w:id="3" w:name="_Toc498353713"/>
      <w:r>
        <w:rPr>
          <w:rFonts w:eastAsiaTheme="minorHAnsi"/>
        </w:rPr>
        <w:t>III.</w:t>
      </w:r>
      <w:r>
        <w:rPr>
          <w:rFonts w:eastAsiaTheme="minorHAnsi"/>
        </w:rPr>
        <w:tab/>
        <w:t>ASSIGNMENTS OF ERROR</w:t>
      </w:r>
      <w:bookmarkEnd w:id="3"/>
    </w:p>
    <w:p w:rsidR="0057629F" w:rsidRPr="00731546" w:rsidP="00A37FE5">
      <w:pPr>
        <w:pStyle w:val="Heading2"/>
      </w:pPr>
      <w:bookmarkStart w:id="4" w:name="_Toc498353714"/>
      <w:r>
        <w:t xml:space="preserve">ASSIGNMENT OF ERROR NO. 1:  </w:t>
      </w:r>
      <w:r w:rsidRPr="00731546">
        <w:t xml:space="preserve">The PUCO </w:t>
      </w:r>
      <w:r>
        <w:t>v</w:t>
      </w:r>
      <w:r w:rsidRPr="00731546">
        <w:t xml:space="preserve">iolated </w:t>
      </w:r>
      <w:r>
        <w:t>c</w:t>
      </w:r>
      <w:r w:rsidRPr="00731546">
        <w:t xml:space="preserve">ontrolling </w:t>
      </w:r>
      <w:r>
        <w:t>p</w:t>
      </w:r>
      <w:r w:rsidRPr="00731546">
        <w:t xml:space="preserve">recedent by </w:t>
      </w:r>
      <w:r>
        <w:t>f</w:t>
      </w:r>
      <w:r w:rsidRPr="00731546">
        <w:t xml:space="preserve">inding that the </w:t>
      </w:r>
      <w:r>
        <w:t>C</w:t>
      </w:r>
      <w:r w:rsidRPr="00731546">
        <w:t xml:space="preserve">omplaint </w:t>
      </w:r>
      <w:r>
        <w:t>d</w:t>
      </w:r>
      <w:r w:rsidRPr="00731546">
        <w:t xml:space="preserve">id </w:t>
      </w:r>
      <w:r>
        <w:t>n</w:t>
      </w:r>
      <w:r w:rsidRPr="00731546">
        <w:t xml:space="preserve">ot </w:t>
      </w:r>
      <w:r>
        <w:t>s</w:t>
      </w:r>
      <w:r w:rsidRPr="00731546">
        <w:t xml:space="preserve">tate </w:t>
      </w:r>
      <w:r>
        <w:t>r</w:t>
      </w:r>
      <w:r w:rsidRPr="00731546">
        <w:t xml:space="preserve">easonable </w:t>
      </w:r>
      <w:r>
        <w:t>g</w:t>
      </w:r>
      <w:r w:rsidRPr="00731546">
        <w:t>rounds</w:t>
      </w:r>
      <w:r>
        <w:t>.</w:t>
      </w:r>
      <w:bookmarkEnd w:id="4"/>
    </w:p>
    <w:p w:rsidR="002077FA" w:rsidRPr="00C044AA" w:rsidP="00E53F28">
      <w:pPr>
        <w:autoSpaceDE w:val="0"/>
        <w:autoSpaceDN w:val="0"/>
        <w:adjustRightInd w:val="0"/>
        <w:spacing w:line="480" w:lineRule="auto"/>
        <w:ind w:firstLine="720"/>
      </w:pPr>
      <w:r w:rsidRPr="00C044AA">
        <w:t>Ohio law requires that complaints against public utilities state “reasonable grounds for complaint.”</w:t>
      </w:r>
      <w:r>
        <w:rPr>
          <w:rStyle w:val="FootnoteReference"/>
        </w:rPr>
        <w:footnoteReference w:id="13"/>
      </w:r>
      <w:r w:rsidRPr="00C044AA">
        <w:t xml:space="preserve">  The PUCO found that this Complaint did not set forth reasonable grounds for a hearing.</w:t>
      </w:r>
      <w:r>
        <w:rPr>
          <w:rStyle w:val="FootnoteReference"/>
        </w:rPr>
        <w:footnoteReference w:id="14"/>
      </w:r>
      <w:r w:rsidRPr="00C044AA">
        <w:t xml:space="preserve">  In dismissing the Complaint on that basis, the PUCO acted contrary to the Supreme Court of Ohio’s</w:t>
      </w:r>
      <w:r>
        <w:t xml:space="preserve"> (“Court”)</w:t>
      </w:r>
      <w:r w:rsidRPr="00C044AA">
        <w:t xml:space="preserve"> precedent that dictates a less demanding standard than the one the PUCO applied here.</w:t>
      </w:r>
    </w:p>
    <w:p w:rsidR="002077FA" w:rsidRPr="00C044AA" w:rsidP="00E53F28">
      <w:pPr>
        <w:autoSpaceDE w:val="0"/>
        <w:autoSpaceDN w:val="0"/>
        <w:adjustRightInd w:val="0"/>
        <w:spacing w:line="480" w:lineRule="auto"/>
        <w:ind w:firstLine="720"/>
      </w:pPr>
      <w:r>
        <w:t>The</w:t>
      </w:r>
      <w:r w:rsidRPr="00C044AA">
        <w:t xml:space="preserve"> Court</w:t>
      </w:r>
      <w:r>
        <w:t xml:space="preserve"> has</w:t>
      </w:r>
      <w:r w:rsidRPr="00C044AA">
        <w:t xml:space="preserve"> held that the “unique circumstance” of one utility</w:t>
      </w:r>
      <w:r>
        <w:t xml:space="preserve"> was sufficient to</w:t>
      </w:r>
      <w:r w:rsidRPr="00C044AA">
        <w:t xml:space="preserve"> “provid</w:t>
      </w:r>
      <w:r>
        <w:t>e[]</w:t>
      </w:r>
      <w:r w:rsidRPr="00C044AA">
        <w:t xml:space="preserve"> ‘reasonable grounds’ for the commission to proceed to hearing.”</w:t>
      </w:r>
      <w:r>
        <w:rPr>
          <w:rStyle w:val="FootnoteReference"/>
        </w:rPr>
        <w:footnoteReference w:id="15"/>
      </w:r>
      <w:r w:rsidRPr="00C044AA">
        <w:t xml:space="preserve">  There, the Court was </w:t>
      </w:r>
      <w:r>
        <w:t>addressing</w:t>
      </w:r>
      <w:r w:rsidRPr="00C044AA">
        <w:t xml:space="preserve"> an investigation initiated by Staff of the PUCO, but the Court stated that the same “reasonable grounds” analysis “should apply whether the commission begins such a proceeding on its own initiative, </w:t>
      </w:r>
      <w:r w:rsidRPr="00413394">
        <w:rPr>
          <w:i/>
        </w:rPr>
        <w:t>or on the complaint of another party</w:t>
      </w:r>
      <w:r w:rsidRPr="00C044AA">
        <w:t>.”</w:t>
      </w:r>
      <w:r>
        <w:rPr>
          <w:rStyle w:val="FootnoteReference"/>
        </w:rPr>
        <w:footnoteReference w:id="16"/>
      </w:r>
    </w:p>
    <w:p w:rsidR="00D06FBE" w:rsidRPr="00C044AA" w:rsidP="00E53F28">
      <w:pPr>
        <w:autoSpaceDE w:val="0"/>
        <w:autoSpaceDN w:val="0"/>
        <w:adjustRightInd w:val="0"/>
        <w:spacing w:line="480" w:lineRule="auto"/>
        <w:ind w:firstLine="720"/>
      </w:pPr>
      <w:r w:rsidRPr="00C044AA">
        <w:t xml:space="preserve">Here, evidence reveals unique circumstances surrounding Duke’s disconnection </w:t>
      </w:r>
      <w:r>
        <w:t>policies and practices</w:t>
      </w:r>
      <w:r w:rsidRPr="00C044AA">
        <w:t xml:space="preserve"> that constitute reasonable gr</w:t>
      </w:r>
      <w:r>
        <w:t>ounds to support this Complaint</w:t>
      </w:r>
      <w:r w:rsidRPr="00C044AA">
        <w:t>.  The Complaint drew the PUCO’s attention to the fact that Duke was disconnecting residential customers at a rate that was between 42</w:t>
      </w:r>
      <w:r>
        <w:t xml:space="preserve"> percent</w:t>
      </w:r>
      <w:r w:rsidRPr="00C044AA">
        <w:t xml:space="preserve"> and 490</w:t>
      </w:r>
      <w:r>
        <w:t xml:space="preserve"> percent</w:t>
      </w:r>
      <w:r w:rsidRPr="00C044AA">
        <w:t xml:space="preserve"> higher than other Ohio utilities.</w:t>
      </w:r>
      <w:r>
        <w:rPr>
          <w:rStyle w:val="FootnoteReference"/>
        </w:rPr>
        <w:footnoteReference w:id="17"/>
      </w:r>
      <w:r w:rsidRPr="00C044AA">
        <w:t xml:space="preserve">  Moreover, the Complaint noted that Duke had recently shown a dramatic increase in the number of residential disconnections it was conducting.</w:t>
      </w:r>
      <w:r>
        <w:rPr>
          <w:rStyle w:val="FootnoteReference"/>
        </w:rPr>
        <w:footnoteReference w:id="18"/>
      </w:r>
      <w:r w:rsidRPr="00C044AA">
        <w:t xml:space="preserve">  And these unusually high numbers of </w:t>
      </w:r>
      <w:r>
        <w:t>residential customers being disconnected</w:t>
      </w:r>
      <w:r w:rsidRPr="00C044AA">
        <w:t xml:space="preserve"> by Duke </w:t>
      </w:r>
      <w:r>
        <w:t>were</w:t>
      </w:r>
      <w:r w:rsidRPr="00C044AA">
        <w:t xml:space="preserve"> not an anomaly; the Complaint </w:t>
      </w:r>
      <w:r>
        <w:t xml:space="preserve">revealed that </w:t>
      </w:r>
      <w:r w:rsidRPr="00C044AA">
        <w:t xml:space="preserve">Duke </w:t>
      </w:r>
      <w:r>
        <w:t>had</w:t>
      </w:r>
      <w:r w:rsidRPr="00C044AA">
        <w:t xml:space="preserve"> consistently disconnected </w:t>
      </w:r>
      <w:r>
        <w:t xml:space="preserve">significantly </w:t>
      </w:r>
      <w:r w:rsidRPr="00C044AA">
        <w:t xml:space="preserve">more residential customers than </w:t>
      </w:r>
      <w:r>
        <w:t xml:space="preserve">had </w:t>
      </w:r>
      <w:r w:rsidRPr="00C044AA">
        <w:t>other Ohio utilities.</w:t>
      </w:r>
      <w:r>
        <w:rPr>
          <w:rStyle w:val="FootnoteReference"/>
        </w:rPr>
        <w:footnoteReference w:id="19"/>
      </w:r>
      <w:r w:rsidRPr="00C044AA">
        <w:t xml:space="preserve"> </w:t>
      </w:r>
    </w:p>
    <w:p w:rsidR="00955940" w:rsidRPr="00C044AA" w:rsidP="00955940">
      <w:pPr>
        <w:spacing w:line="480" w:lineRule="auto"/>
        <w:ind w:firstLine="720"/>
      </w:pPr>
      <w:r w:rsidRPr="00C044AA">
        <w:t xml:space="preserve">Given the unique </w:t>
      </w:r>
      <w:r>
        <w:t>circumstances surrounding</w:t>
      </w:r>
      <w:r w:rsidRPr="00C044AA">
        <w:t xml:space="preserve"> Duke’s disconnection p</w:t>
      </w:r>
      <w:r>
        <w:t>olicies and practices</w:t>
      </w:r>
      <w:r w:rsidRPr="00C044AA">
        <w:t xml:space="preserve">, the Complainants stated sufficient reasonable </w:t>
      </w:r>
      <w:r>
        <w:t>grounds to proceed to discovery</w:t>
      </w:r>
      <w:r w:rsidRPr="00C044AA">
        <w:t xml:space="preserve"> and</w:t>
      </w:r>
      <w:r>
        <w:t>, eventually</w:t>
      </w:r>
      <w:r w:rsidRPr="00C044AA">
        <w:t xml:space="preserve">, a hearing.  </w:t>
      </w:r>
      <w:r>
        <w:t>Therefore, the PUCO should grant Complainants’ rehearing request.</w:t>
      </w:r>
    </w:p>
    <w:p w:rsidR="0045601B">
      <w:pPr>
        <w:spacing w:after="200" w:line="276" w:lineRule="auto"/>
        <w:rPr>
          <w:rFonts w:ascii="Times New Roman Bold" w:hAnsi="Times New Roman Bold"/>
          <w:b/>
          <w:bCs/>
          <w:szCs w:val="36"/>
        </w:rPr>
      </w:pPr>
      <w:r>
        <w:br w:type="page"/>
      </w:r>
    </w:p>
    <w:p w:rsidR="00652882" w:rsidRPr="00731546" w:rsidP="00A37FE5">
      <w:pPr>
        <w:pStyle w:val="Heading2"/>
      </w:pPr>
      <w:bookmarkStart w:id="5" w:name="_Toc498353715"/>
      <w:r w:rsidRPr="00731546">
        <w:t xml:space="preserve">ASSIGNMENT OF ERROR NO. 2:  The PUCO </w:t>
      </w:r>
      <w:r>
        <w:t>e</w:t>
      </w:r>
      <w:r w:rsidRPr="00731546">
        <w:t xml:space="preserve">rred by </w:t>
      </w:r>
      <w:r>
        <w:t>d</w:t>
      </w:r>
      <w:r w:rsidRPr="00731546">
        <w:t xml:space="preserve">ismissing the Complaint on the </w:t>
      </w:r>
      <w:r>
        <w:t>g</w:t>
      </w:r>
      <w:r w:rsidRPr="00731546">
        <w:t xml:space="preserve">rounds that </w:t>
      </w:r>
      <w:r>
        <w:t>s</w:t>
      </w:r>
      <w:r w:rsidRPr="00731546">
        <w:t xml:space="preserve">tatistics </w:t>
      </w:r>
      <w:r>
        <w:t>a</w:t>
      </w:r>
      <w:r w:rsidRPr="00731546">
        <w:t xml:space="preserve">lone </w:t>
      </w:r>
      <w:r>
        <w:t>c</w:t>
      </w:r>
      <w:r w:rsidRPr="00731546">
        <w:t xml:space="preserve">annot </w:t>
      </w:r>
      <w:r>
        <w:t>s</w:t>
      </w:r>
      <w:r w:rsidRPr="00731546">
        <w:t xml:space="preserve">ustain a </w:t>
      </w:r>
      <w:r>
        <w:t>c</w:t>
      </w:r>
      <w:r w:rsidRPr="00731546">
        <w:t>omplaint</w:t>
      </w:r>
      <w:r>
        <w:t xml:space="preserve"> a</w:t>
      </w:r>
      <w:r w:rsidRPr="00731546">
        <w:t xml:space="preserve">gainst a </w:t>
      </w:r>
      <w:r>
        <w:t>m</w:t>
      </w:r>
      <w:r w:rsidRPr="00731546">
        <w:t xml:space="preserve">otion to </w:t>
      </w:r>
      <w:r>
        <w:t>d</w:t>
      </w:r>
      <w:r w:rsidRPr="00731546">
        <w:t xml:space="preserve">ismiss </w:t>
      </w:r>
      <w:r>
        <w:t>b</w:t>
      </w:r>
      <w:r w:rsidRPr="00731546">
        <w:t xml:space="preserve">efore </w:t>
      </w:r>
      <w:r>
        <w:t>d</w:t>
      </w:r>
      <w:r w:rsidRPr="00731546">
        <w:t xml:space="preserve">iscovery is </w:t>
      </w:r>
      <w:r>
        <w:t>c</w:t>
      </w:r>
      <w:r w:rsidRPr="00731546">
        <w:t xml:space="preserve">onducted and </w:t>
      </w:r>
      <w:r>
        <w:t>by f</w:t>
      </w:r>
      <w:r w:rsidRPr="00731546">
        <w:t xml:space="preserve">ailing to </w:t>
      </w:r>
      <w:r>
        <w:t>f</w:t>
      </w:r>
      <w:r w:rsidRPr="00731546">
        <w:t xml:space="preserve">ollow </w:t>
      </w:r>
      <w:r>
        <w:t>c</w:t>
      </w:r>
      <w:r w:rsidRPr="00731546">
        <w:t xml:space="preserve">ontrolling </w:t>
      </w:r>
      <w:r>
        <w:t>p</w:t>
      </w:r>
      <w:r w:rsidRPr="00731546">
        <w:t>recedent.</w:t>
      </w:r>
      <w:bookmarkEnd w:id="5"/>
    </w:p>
    <w:p w:rsidR="003B7D58" w:rsidRPr="00C044AA" w:rsidP="00E53F28">
      <w:pPr>
        <w:spacing w:line="480" w:lineRule="auto"/>
        <w:ind w:firstLine="720"/>
      </w:pPr>
      <w:r w:rsidRPr="00C044AA">
        <w:t>The PUCO contradicted its own controlling precedent when it said tha</w:t>
      </w:r>
      <w:r>
        <w:t>t “general statistics” were in</w:t>
      </w:r>
      <w:r w:rsidRPr="00C044AA">
        <w:t>sufficient to sustain a complaint at the motion to dismiss stage.</w:t>
      </w:r>
      <w:r>
        <w:rPr>
          <w:rStyle w:val="FootnoteReference"/>
        </w:rPr>
        <w:footnoteReference w:id="20"/>
      </w:r>
      <w:r w:rsidRPr="00C044AA">
        <w:t xml:space="preserve">  The PUCO cited </w:t>
      </w:r>
      <w:r w:rsidRPr="00C044AA">
        <w:rPr>
          <w:i/>
        </w:rPr>
        <w:t>In re Complaint of the Office of the Consumers’ Counsel v. West Ohio Gas Co.</w:t>
      </w:r>
      <w:r>
        <w:rPr>
          <w:i/>
        </w:rPr>
        <w:t xml:space="preserve"> </w:t>
      </w:r>
      <w:r>
        <w:t>(“</w:t>
      </w:r>
      <w:r>
        <w:rPr>
          <w:i/>
        </w:rPr>
        <w:t>West Ohio Gas I</w:t>
      </w:r>
      <w:r>
        <w:t>”)</w:t>
      </w:r>
      <w:r>
        <w:rPr>
          <w:rStyle w:val="FootnoteReference"/>
        </w:rPr>
        <w:footnoteReference w:id="21"/>
      </w:r>
      <w:r w:rsidRPr="00C044AA">
        <w:t xml:space="preserve"> for its statement of the requirements of the “reasonable grounds test.”</w:t>
      </w:r>
      <w:r>
        <w:rPr>
          <w:rStyle w:val="FootnoteReference"/>
        </w:rPr>
        <w:footnoteReference w:id="22"/>
      </w:r>
      <w:r w:rsidRPr="00C044AA">
        <w:t xml:space="preserve">  It failed, however, to consider the precedent of a later case concerning the very same issues that was filed after the PUCO initially dismissed the complaint in </w:t>
      </w:r>
      <w:r w:rsidRPr="00C044AA">
        <w:rPr>
          <w:i/>
        </w:rPr>
        <w:t>West Ohio Gas I</w:t>
      </w:r>
      <w:r w:rsidRPr="00C044AA">
        <w:t>.</w:t>
      </w:r>
    </w:p>
    <w:p w:rsidR="00B921DB" w:rsidRPr="00C044AA" w:rsidP="00E53F28">
      <w:pPr>
        <w:spacing w:line="480" w:lineRule="auto"/>
        <w:ind w:firstLine="720"/>
      </w:pPr>
      <w:r>
        <w:t>Shortly</w:t>
      </w:r>
      <w:r w:rsidRPr="00C044AA">
        <w:t xml:space="preserve"> after it dismissed </w:t>
      </w:r>
      <w:r w:rsidRPr="00C044AA">
        <w:rPr>
          <w:i/>
        </w:rPr>
        <w:t>West Ohio Gas I</w:t>
      </w:r>
      <w:r w:rsidRPr="00C044AA">
        <w:t xml:space="preserve">, </w:t>
      </w:r>
      <w:r>
        <w:t xml:space="preserve">the PUCO took up </w:t>
      </w:r>
      <w:r w:rsidRPr="00C044AA">
        <w:rPr>
          <w:i/>
        </w:rPr>
        <w:t>In the Matter of the Complaint of the Office of the Consumers’ Counsel v. West Ohio Gas Co.</w:t>
      </w:r>
      <w:r>
        <w:rPr>
          <w:i/>
        </w:rPr>
        <w:t xml:space="preserve"> </w:t>
      </w:r>
      <w:r>
        <w:t>(“</w:t>
      </w:r>
      <w:r>
        <w:rPr>
          <w:i/>
        </w:rPr>
        <w:t>West Ohio Gas II</w:t>
      </w:r>
      <w:r>
        <w:t>”).</w:t>
      </w:r>
      <w:r>
        <w:rPr>
          <w:rStyle w:val="FootnoteReference"/>
        </w:rPr>
        <w:footnoteReference w:id="23"/>
      </w:r>
      <w:r>
        <w:t xml:space="preserve">  This case was OCC’s attempt to remedy the issues that had doomed its complaint in </w:t>
      </w:r>
      <w:r>
        <w:rPr>
          <w:i/>
        </w:rPr>
        <w:t xml:space="preserve">West Ohio Gas I </w:t>
      </w:r>
      <w:r>
        <w:t xml:space="preserve">in the eyes of the PUCO.  </w:t>
      </w:r>
      <w:r w:rsidRPr="00AC179D">
        <w:t>Much</w:t>
      </w:r>
      <w:r w:rsidRPr="00C044AA">
        <w:t xml:space="preserve"> like in th</w:t>
      </w:r>
      <w:r>
        <w:t>e instant</w:t>
      </w:r>
      <w:r w:rsidRPr="00C044AA">
        <w:t xml:space="preserve"> case, the PUCO was concerned about the sufficiency of the data offered by OCC and the relation of that data to the factual and legal issues at the heart of the complaint.</w:t>
      </w:r>
      <w:r>
        <w:rPr>
          <w:rStyle w:val="FootnoteReference"/>
        </w:rPr>
        <w:footnoteReference w:id="24"/>
      </w:r>
      <w:r w:rsidRPr="00C044AA">
        <w:t xml:space="preserve">  However, the PUCO still declined to dismiss the complaint because it believed that “OCC should be given the opportunity to present to the Commission . . . other data that would begin to support a finding” that the complaint was valid.</w:t>
      </w:r>
      <w:r>
        <w:rPr>
          <w:rStyle w:val="FootnoteReference"/>
        </w:rPr>
        <w:footnoteReference w:id="25"/>
      </w:r>
    </w:p>
    <w:p w:rsidR="003B7D58" w:rsidRPr="00C044AA" w:rsidP="00E53F28">
      <w:pPr>
        <w:spacing w:line="480" w:lineRule="auto"/>
        <w:ind w:firstLine="720"/>
      </w:pPr>
      <w:r w:rsidRPr="00C044AA">
        <w:t>The PUCO then went on to explain just how OCC should go about presenting that data when it stated</w:t>
      </w:r>
      <w:r>
        <w:t>:</w:t>
      </w:r>
      <w:r w:rsidRPr="00C044AA">
        <w:t xml:space="preserve"> “</w:t>
      </w:r>
      <w:r>
        <w:t>I</w:t>
      </w:r>
      <w:r w:rsidRPr="00C044AA">
        <w:t>n order for OCC to respond to the Commission’s concerns, OCC may need to engage more fully in discovery.”</w:t>
      </w:r>
      <w:r>
        <w:rPr>
          <w:rStyle w:val="FootnoteReference"/>
        </w:rPr>
        <w:footnoteReference w:id="26"/>
      </w:r>
      <w:r w:rsidRPr="00C044AA">
        <w:t xml:space="preserve">  The PUCO specifically noted that, under Ohio law, “discovery is appropriate at the outset of a proceeding.”</w:t>
      </w:r>
      <w:r>
        <w:rPr>
          <w:rStyle w:val="FootnoteReference"/>
        </w:rPr>
        <w:footnoteReference w:id="27"/>
      </w:r>
    </w:p>
    <w:p w:rsidR="00442694" w:rsidRPr="00C044AA" w:rsidP="00E53F28">
      <w:pPr>
        <w:spacing w:line="480" w:lineRule="auto"/>
        <w:ind w:firstLine="720"/>
      </w:pPr>
      <w:r w:rsidRPr="00C044AA">
        <w:t xml:space="preserve">Here, Complainants were denied the opportunity to engage in any discovery, even though, like OCC in </w:t>
      </w:r>
      <w:r w:rsidRPr="00C044AA">
        <w:rPr>
          <w:i/>
        </w:rPr>
        <w:t>West Ohio Gas II</w:t>
      </w:r>
      <w:r w:rsidRPr="00C044AA">
        <w:t xml:space="preserve">, </w:t>
      </w:r>
      <w:r>
        <w:t>they</w:t>
      </w:r>
      <w:r w:rsidRPr="00C044AA">
        <w:t xml:space="preserve"> could have</w:t>
      </w:r>
      <w:r>
        <w:t>, through discovery,</w:t>
      </w:r>
      <w:r w:rsidRPr="00C044AA">
        <w:t xml:space="preserve"> substantiated a complaint that the PUCO found to be lacking.  </w:t>
      </w:r>
      <w:r>
        <w:t>As discussed above, Complainants maintain that the Complaint is sufficient to stand on its own merits.  But h</w:t>
      </w:r>
      <w:r w:rsidRPr="00C044AA">
        <w:t xml:space="preserve">ad </w:t>
      </w:r>
      <w:r>
        <w:t xml:space="preserve">the PUCO compelled </w:t>
      </w:r>
      <w:r w:rsidRPr="00C044AA">
        <w:t>Duke</w:t>
      </w:r>
      <w:r>
        <w:t xml:space="preserve"> to</w:t>
      </w:r>
      <w:r w:rsidRPr="00C044AA">
        <w:t xml:space="preserve"> </w:t>
      </w:r>
      <w:r>
        <w:t xml:space="preserve">respond appropriately to OCC’s </w:t>
      </w:r>
      <w:r w:rsidRPr="00C044AA">
        <w:t xml:space="preserve">discovery, Complainants </w:t>
      </w:r>
      <w:r>
        <w:t xml:space="preserve">would have </w:t>
      </w:r>
      <w:r w:rsidRPr="00C044AA">
        <w:t>been able to prove through specific allegations what the statistics surrounding Duke’s disconnect</w:t>
      </w:r>
      <w:r>
        <w:t>ion</w:t>
      </w:r>
      <w:r w:rsidRPr="00C044AA">
        <w:t xml:space="preserve"> </w:t>
      </w:r>
      <w:r>
        <w:t xml:space="preserve">policies and </w:t>
      </w:r>
      <w:r w:rsidRPr="00C044AA">
        <w:t>practices suggest generally</w:t>
      </w:r>
      <w:r>
        <w:t>.  Accordingly, Complainants would then have been able to satisfy the more demanding standard for complaints that the PUCO employed in this matter</w:t>
      </w:r>
      <w:r w:rsidRPr="00C044AA">
        <w:t>.  When the PUCO dismissed this Complaint without allowing any discovery, it violated its own precedent that complainants should be given th</w:t>
      </w:r>
      <w:r>
        <w:t>e</w:t>
      </w:r>
      <w:r w:rsidRPr="00C044AA">
        <w:t xml:space="preserve"> opportunity to substantiate even complaints that, </w:t>
      </w:r>
      <w:r>
        <w:t>as filed,</w:t>
      </w:r>
      <w:r w:rsidRPr="00C044AA">
        <w:t xml:space="preserve"> might not be able to </w:t>
      </w:r>
      <w:r>
        <w:t>withstand</w:t>
      </w:r>
      <w:r w:rsidRPr="00C044AA">
        <w:t xml:space="preserve"> a motion to dismiss</w:t>
      </w:r>
      <w:r>
        <w:t xml:space="preserve"> at the outset of filing the complaint</w:t>
      </w:r>
      <w:r w:rsidRPr="00C044AA">
        <w:t>.</w:t>
      </w:r>
      <w:r>
        <w:t xml:space="preserve">  Therefore, the PUCO should grant Complainants’ rehearing request.</w:t>
      </w:r>
    </w:p>
    <w:p w:rsidR="00C044AA" w:rsidRPr="00731546" w:rsidP="00A37FE5">
      <w:pPr>
        <w:pStyle w:val="Heading2"/>
      </w:pPr>
      <w:bookmarkStart w:id="6" w:name="_Toc498353716"/>
      <w:r w:rsidRPr="00731546">
        <w:t xml:space="preserve">ASSIGNMENT OF ERROR NO. 3:  The PUCO </w:t>
      </w:r>
      <w:r>
        <w:t>e</w:t>
      </w:r>
      <w:r w:rsidRPr="00731546">
        <w:t xml:space="preserve">rred by </w:t>
      </w:r>
      <w:r>
        <w:t>d</w:t>
      </w:r>
      <w:r w:rsidRPr="00731546">
        <w:t xml:space="preserve">ismissing the Complaint </w:t>
      </w:r>
      <w:r>
        <w:t>w</w:t>
      </w:r>
      <w:r w:rsidRPr="00731546">
        <w:t xml:space="preserve">ithout </w:t>
      </w:r>
      <w:r>
        <w:t>r</w:t>
      </w:r>
      <w:r w:rsidRPr="00731546">
        <w:t xml:space="preserve">uling on </w:t>
      </w:r>
      <w:r>
        <w:t>OCC’s</w:t>
      </w:r>
      <w:r w:rsidRPr="00731546">
        <w:t xml:space="preserve"> Motion to Compel Discovery.</w:t>
      </w:r>
      <w:bookmarkEnd w:id="6"/>
    </w:p>
    <w:p w:rsidR="00C044AA" w:rsidRPr="00C044AA" w:rsidP="00CF4FCB">
      <w:pPr>
        <w:autoSpaceDE w:val="0"/>
        <w:autoSpaceDN w:val="0"/>
        <w:adjustRightInd w:val="0"/>
        <w:spacing w:line="480" w:lineRule="auto"/>
        <w:ind w:firstLine="720"/>
      </w:pPr>
      <w:r>
        <w:t xml:space="preserve">R.C. 4903.082 provides that all parties shall be granted ample rights of discovery, which may include deposing witnesses under R.C. 4903.06.  Additionally, the PUCO’s rules </w:t>
      </w:r>
      <w:r w:rsidRPr="00C044AA">
        <w:t>“encourage</w:t>
      </w:r>
      <w:r>
        <w:t>[]</w:t>
      </w:r>
      <w:r w:rsidRPr="00C044AA">
        <w:t xml:space="preserve"> the prompt and expeditious use of prehearing discovery in order to facilitate thorough and adequate preparation for participation in commission proceedings.”</w:t>
      </w:r>
      <w:r>
        <w:rPr>
          <w:rStyle w:val="FootnoteReference"/>
        </w:rPr>
        <w:footnoteReference w:id="28"/>
      </w:r>
      <w:r w:rsidRPr="00C044AA">
        <w:t xml:space="preserve">  Complainant</w:t>
      </w:r>
      <w:r>
        <w:t xml:space="preserve"> OCC</w:t>
      </w:r>
      <w:r w:rsidRPr="00C044AA">
        <w:t xml:space="preserve"> attempted to use the discovery process just as the </w:t>
      </w:r>
      <w:r>
        <w:t>rules</w:t>
      </w:r>
      <w:r w:rsidRPr="00C044AA">
        <w:t xml:space="preserve"> intended</w:t>
      </w:r>
      <w:r>
        <w:t>, i.e.,</w:t>
      </w:r>
      <w:r w:rsidRPr="00C044AA">
        <w:t xml:space="preserve"> to prepare to substantiate the claims against Duke</w:t>
      </w:r>
      <w:r>
        <w:t xml:space="preserve">—which </w:t>
      </w:r>
      <w:r w:rsidRPr="00C044AA">
        <w:t>general statistics already suggested were valid</w:t>
      </w:r>
      <w:r>
        <w:t>—in a hearing before the PUCO</w:t>
      </w:r>
      <w:r w:rsidRPr="00C044AA">
        <w:t xml:space="preserve">.  When Duke resisted lawful attempts to procure discovery, </w:t>
      </w:r>
      <w:r>
        <w:t>OCC</w:t>
      </w:r>
      <w:r w:rsidRPr="00C044AA">
        <w:t xml:space="preserve"> filed a Motion to Compel Discovery with the PUCO.</w:t>
      </w:r>
      <w:r>
        <w:rPr>
          <w:rStyle w:val="FootnoteReference"/>
        </w:rPr>
        <w:footnoteReference w:id="29"/>
      </w:r>
      <w:r w:rsidRPr="00C044AA">
        <w:t xml:space="preserve">  That Motion </w:t>
      </w:r>
      <w:r>
        <w:t>was pending</w:t>
      </w:r>
      <w:r w:rsidRPr="00C044AA">
        <w:t xml:space="preserve"> for nearly two years before the PUCO dismissed the Complaint, </w:t>
      </w:r>
      <w:r>
        <w:t xml:space="preserve">without addressing </w:t>
      </w:r>
      <w:r w:rsidRPr="00C044AA">
        <w:t xml:space="preserve">the Motion to Compel. </w:t>
      </w:r>
    </w:p>
    <w:p w:rsidR="00C044AA" w:rsidRPr="00C044AA" w:rsidP="00CF4FCB">
      <w:pPr>
        <w:autoSpaceDE w:val="0"/>
        <w:autoSpaceDN w:val="0"/>
        <w:adjustRightInd w:val="0"/>
        <w:spacing w:line="480" w:lineRule="auto"/>
        <w:ind w:firstLine="720"/>
      </w:pPr>
      <w:r w:rsidRPr="00C044AA">
        <w:t>The PUCO acknowledged in its Entry dismissing th</w:t>
      </w:r>
      <w:r>
        <w:t>e</w:t>
      </w:r>
      <w:r w:rsidRPr="00C044AA">
        <w:t xml:space="preserve"> Complaint that Duke’s discovery avoidance tactics did not comport with parties’ obligations before the PUCO. </w:t>
      </w:r>
      <w:r>
        <w:t xml:space="preserve"> In a footnote, the PUCO stated:</w:t>
      </w:r>
      <w:r w:rsidRPr="00C044AA">
        <w:t xml:space="preserve"> “Although we do not discuss Duke’s motion for a protective order in this Entry, the Commission notes that there is no basis in our rules for a party to stymie discovery while a motion to dismiss is under consideration.”</w:t>
      </w:r>
      <w:r>
        <w:rPr>
          <w:rStyle w:val="FootnoteReference"/>
        </w:rPr>
        <w:footnoteReference w:id="30"/>
      </w:r>
      <w:r w:rsidRPr="00C044AA">
        <w:t xml:space="preserve">  </w:t>
      </w:r>
      <w:r>
        <w:t>By failing to address OCC’s Motion to Compel, t</w:t>
      </w:r>
      <w:r w:rsidRPr="00C044AA">
        <w:t>he PUCO</w:t>
      </w:r>
      <w:r>
        <w:t xml:space="preserve"> effectively permitted Duke to do just that</w:t>
      </w:r>
      <w:r w:rsidRPr="00C044AA">
        <w:t>.</w:t>
      </w:r>
      <w:r>
        <w:rPr>
          <w:rStyle w:val="FootnoteReference"/>
        </w:rPr>
        <w:footnoteReference w:id="31"/>
      </w:r>
      <w:r w:rsidRPr="00C044AA">
        <w:t xml:space="preserve"> </w:t>
      </w:r>
    </w:p>
    <w:p w:rsidR="00C044AA" w:rsidP="00CF4FCB">
      <w:pPr>
        <w:autoSpaceDE w:val="0"/>
        <w:autoSpaceDN w:val="0"/>
        <w:adjustRightInd w:val="0"/>
        <w:spacing w:line="480" w:lineRule="auto"/>
        <w:ind w:firstLine="720"/>
      </w:pPr>
      <w:r w:rsidRPr="00C044AA">
        <w:t xml:space="preserve">This decision </w:t>
      </w:r>
      <w:r>
        <w:t xml:space="preserve">to ignore Duke’s blatant disregard for its discovery obligations </w:t>
      </w:r>
      <w:r w:rsidRPr="00C044AA">
        <w:t>carries with it disastrous precedent</w:t>
      </w:r>
      <w:r>
        <w:t>i</w:t>
      </w:r>
      <w:r w:rsidRPr="00C044AA">
        <w:t xml:space="preserve">al implications.  The PUCO has essentially </w:t>
      </w:r>
      <w:r>
        <w:t xml:space="preserve">blessed similar future tactics by </w:t>
      </w:r>
      <w:r w:rsidRPr="00C044AA">
        <w:t>Duke and other utilities</w:t>
      </w:r>
      <w:r>
        <w:t xml:space="preserve">.  Utilities </w:t>
      </w:r>
      <w:r w:rsidRPr="00C044AA">
        <w:t xml:space="preserve">can delay—if not avoid—their discovery obligations </w:t>
      </w:r>
      <w:r>
        <w:t>merely by contending that the</w:t>
      </w:r>
      <w:r w:rsidRPr="00C044AA">
        <w:t xml:space="preserve"> complaint</w:t>
      </w:r>
      <w:r>
        <w:t xml:space="preserve"> lacks merit</w:t>
      </w:r>
      <w:r w:rsidRPr="00C044AA">
        <w:t xml:space="preserve">.  Although the PUCO somewhat </w:t>
      </w:r>
      <w:r>
        <w:t xml:space="preserve">chastised </w:t>
      </w:r>
      <w:r w:rsidRPr="00C044AA">
        <w:t xml:space="preserve">Duke for </w:t>
      </w:r>
      <w:r>
        <w:t xml:space="preserve">improperly </w:t>
      </w:r>
      <w:r w:rsidRPr="00C044AA">
        <w:t xml:space="preserve">stymieing discovery, it exacted no consequences upon Duke for doing so.  </w:t>
      </w:r>
      <w:r>
        <w:t>So, i</w:t>
      </w:r>
      <w:r w:rsidRPr="00C044AA">
        <w:t xml:space="preserve">n the end, Duke </w:t>
      </w:r>
      <w:r>
        <w:t>saw</w:t>
      </w:r>
      <w:r w:rsidRPr="00C044AA">
        <w:t xml:space="preserve"> no </w:t>
      </w:r>
      <w:r>
        <w:t>repercussions from denying Complainants</w:t>
      </w:r>
      <w:r w:rsidRPr="00C044AA">
        <w:t xml:space="preserve"> the </w:t>
      </w:r>
      <w:r>
        <w:t>disco</w:t>
      </w:r>
      <w:r w:rsidRPr="00C044AA">
        <w:t xml:space="preserve">very </w:t>
      </w:r>
      <w:r>
        <w:t xml:space="preserve">rights </w:t>
      </w:r>
      <w:r w:rsidRPr="00C044AA">
        <w:t xml:space="preserve">to which they </w:t>
      </w:r>
      <w:r>
        <w:t>a</w:t>
      </w:r>
      <w:r w:rsidRPr="00C044AA">
        <w:t xml:space="preserve">re entitled.  </w:t>
      </w:r>
    </w:p>
    <w:p w:rsidR="00F96890" w:rsidP="00CF4FCB">
      <w:pPr>
        <w:autoSpaceDE w:val="0"/>
        <w:autoSpaceDN w:val="0"/>
        <w:adjustRightInd w:val="0"/>
        <w:spacing w:line="480" w:lineRule="auto"/>
        <w:ind w:firstLine="720"/>
      </w:pPr>
      <w:r>
        <w:t xml:space="preserve">Aside from the broader precedential concerns, the PUCO’s failure to address the Motion to Compel had negative implications for this case specifically.  The PUCO’s Entry dismissing the Complaint raised concerns about the sufficiency of the evidence underlying the Complaint.  However, had the PUCO properly granted the Motion to Compel, it would have never needed an Entry addressing the Motion to Dismiss. </w:t>
      </w:r>
    </w:p>
    <w:p w:rsidR="00C044AA" w:rsidRPr="00731546" w:rsidP="0045601B">
      <w:pPr>
        <w:autoSpaceDE w:val="0"/>
        <w:autoSpaceDN w:val="0"/>
        <w:adjustRightInd w:val="0"/>
        <w:spacing w:line="480" w:lineRule="auto"/>
        <w:ind w:firstLine="720"/>
      </w:pPr>
      <w:r>
        <w:t xml:space="preserve">   If the PUCO had granted the Motion to Compel, one of two things would have happened: Complainants either would have amended the Complaint to reflect the specific facts they learned in discovery—thus alleviating the PUCO’s concerns about the specificity of the Complaint—or, they would have learned that the facts are not as the general statistics suggest and dismissed the Complaint on their own volition.  Either way, a full discovery process would have brought additional actual facts of Duke’s disconnection policies and practices to light and allowed the case to proceed accordingly.  Instead, the PUCO opted to terminate the case without Complainants ever conducting the discovery they are entitled to under Ohio law.  Consistent with Ohio law and its precedent, the PUCO should grant rehearing to allow discovery to proceed in order for Complainants to properly prosecute the Complaint.</w:t>
      </w:r>
    </w:p>
    <w:p w:rsidR="009626AD" w:rsidRPr="0081330F" w:rsidP="00A37FE5">
      <w:pPr>
        <w:pStyle w:val="Heading2"/>
      </w:pPr>
      <w:bookmarkStart w:id="7" w:name="_Toc498353717"/>
      <w:r w:rsidRPr="00731546">
        <w:t xml:space="preserve">ASSIGNMENT OF ERROR NO. 4:  The PUCO </w:t>
      </w:r>
      <w:r>
        <w:t>e</w:t>
      </w:r>
      <w:r w:rsidRPr="00731546">
        <w:t xml:space="preserve">rred by </w:t>
      </w:r>
      <w:r>
        <w:t>f</w:t>
      </w:r>
      <w:r w:rsidRPr="00731546">
        <w:t xml:space="preserve">inding that Complainants </w:t>
      </w:r>
      <w:r>
        <w:t>w</w:t>
      </w:r>
      <w:r w:rsidRPr="00731546">
        <w:t xml:space="preserve">ould </w:t>
      </w:r>
      <w:r>
        <w:t>b</w:t>
      </w:r>
      <w:r w:rsidRPr="00731546">
        <w:t xml:space="preserve">e </w:t>
      </w:r>
      <w:r>
        <w:t>a</w:t>
      </w:r>
      <w:r w:rsidRPr="00731546">
        <w:t xml:space="preserve">ble to </w:t>
      </w:r>
      <w:r>
        <w:t>h</w:t>
      </w:r>
      <w:r w:rsidRPr="00731546">
        <w:t xml:space="preserve">ave </w:t>
      </w:r>
      <w:r>
        <w:t>t</w:t>
      </w:r>
      <w:r w:rsidRPr="00731546">
        <w:t xml:space="preserve">heir </w:t>
      </w:r>
      <w:r>
        <w:t>c</w:t>
      </w:r>
      <w:r w:rsidRPr="00731546">
        <w:t xml:space="preserve">oncerns </w:t>
      </w:r>
      <w:r>
        <w:t>v</w:t>
      </w:r>
      <w:r w:rsidRPr="00731546">
        <w:t xml:space="preserve">indicated </w:t>
      </w:r>
      <w:r>
        <w:t>t</w:t>
      </w:r>
      <w:r w:rsidRPr="00731546">
        <w:t xml:space="preserve">hrough </w:t>
      </w:r>
      <w:r>
        <w:t>p</w:t>
      </w:r>
      <w:r w:rsidRPr="00731546">
        <w:t>articipation in the PUCO-</w:t>
      </w:r>
      <w:r>
        <w:t>o</w:t>
      </w:r>
      <w:r w:rsidRPr="00731546">
        <w:t>rdered Investigative Audit of Duke’s Disconnection Policies and Procedures.</w:t>
      </w:r>
      <w:bookmarkEnd w:id="7"/>
      <w:r w:rsidRPr="00731546">
        <w:t xml:space="preserve">  </w:t>
      </w:r>
    </w:p>
    <w:p w:rsidR="003807D7" w:rsidRPr="00C044AA" w:rsidP="00E53F28">
      <w:pPr>
        <w:autoSpaceDE w:val="0"/>
        <w:autoSpaceDN w:val="0"/>
        <w:adjustRightInd w:val="0"/>
        <w:spacing w:line="480" w:lineRule="auto"/>
        <w:ind w:firstLine="720"/>
        <w:contextualSpacing/>
        <w:rPr>
          <w:rFonts w:eastAsiaTheme="minorHAnsi"/>
        </w:rPr>
      </w:pPr>
      <w:r w:rsidRPr="00C044AA">
        <w:rPr>
          <w:rFonts w:eastAsiaTheme="minorHAnsi"/>
        </w:rPr>
        <w:t>In the Entry dismissing the Complaint, the PUCO invited “Complainants and any other interested stakeholders who have . . . concerns to participate in the Commission’s investigative audit of Duke’s disconnection policies and practices.”</w:t>
      </w:r>
      <w:r>
        <w:rPr>
          <w:rStyle w:val="FootnoteReference"/>
          <w:rFonts w:eastAsiaTheme="minorHAnsi"/>
        </w:rPr>
        <w:footnoteReference w:id="32"/>
      </w:r>
      <w:r w:rsidRPr="00C044AA">
        <w:rPr>
          <w:rFonts w:eastAsiaTheme="minorHAnsi"/>
        </w:rPr>
        <w:t xml:space="preserve">  The PUCO found that because interested parties have the ability to participate in this audit, “this complaint is not the appropriate instrument.”</w:t>
      </w:r>
      <w:r>
        <w:rPr>
          <w:rStyle w:val="FootnoteReference"/>
          <w:rFonts w:eastAsiaTheme="minorHAnsi"/>
        </w:rPr>
        <w:footnoteReference w:id="33"/>
      </w:r>
      <w:r w:rsidRPr="00C044AA">
        <w:rPr>
          <w:rFonts w:eastAsiaTheme="minorHAnsi"/>
        </w:rPr>
        <w:t xml:space="preserve">  The PUCO-ordered audit, however, does not provide for the possibility of the same relief that this Complaint seeks.</w:t>
      </w:r>
    </w:p>
    <w:p w:rsidR="00A72273" w:rsidRPr="00C044AA" w:rsidP="00E53F28">
      <w:pPr>
        <w:autoSpaceDE w:val="0"/>
        <w:autoSpaceDN w:val="0"/>
        <w:adjustRightInd w:val="0"/>
        <w:spacing w:line="480" w:lineRule="auto"/>
        <w:ind w:firstLine="720"/>
        <w:contextualSpacing/>
        <w:rPr>
          <w:rFonts w:eastAsiaTheme="minorHAnsi"/>
        </w:rPr>
      </w:pPr>
      <w:r w:rsidRPr="00C044AA">
        <w:rPr>
          <w:rFonts w:eastAsiaTheme="minorHAnsi"/>
        </w:rPr>
        <w:t xml:space="preserve">In </w:t>
      </w:r>
      <w:r>
        <w:rPr>
          <w:rFonts w:eastAsiaTheme="minorHAnsi"/>
        </w:rPr>
        <w:t>the</w:t>
      </w:r>
      <w:r w:rsidRPr="00C044AA">
        <w:rPr>
          <w:rFonts w:eastAsiaTheme="minorHAnsi"/>
        </w:rPr>
        <w:t xml:space="preserve"> request for relief, Complainants ask the PUCO to assess the maximum civil forfeitures permitted by law and </w:t>
      </w:r>
      <w:r>
        <w:rPr>
          <w:rFonts w:eastAsiaTheme="minorHAnsi"/>
        </w:rPr>
        <w:t xml:space="preserve">the </w:t>
      </w:r>
      <w:r w:rsidRPr="00C044AA">
        <w:rPr>
          <w:rFonts w:eastAsiaTheme="minorHAnsi"/>
        </w:rPr>
        <w:t>PUCO</w:t>
      </w:r>
      <w:r>
        <w:rPr>
          <w:rFonts w:eastAsiaTheme="minorHAnsi"/>
        </w:rPr>
        <w:t>’s</w:t>
      </w:r>
      <w:r w:rsidRPr="00C044AA">
        <w:rPr>
          <w:rFonts w:eastAsiaTheme="minorHAnsi"/>
        </w:rPr>
        <w:t xml:space="preserve"> rules as specified in </w:t>
      </w:r>
      <w:r>
        <w:rPr>
          <w:rFonts w:eastAsiaTheme="minorHAnsi"/>
        </w:rPr>
        <w:t>Ohio Adm. Code</w:t>
      </w:r>
      <w:r w:rsidRPr="00C044AA">
        <w:rPr>
          <w:rFonts w:eastAsiaTheme="minorHAnsi"/>
        </w:rPr>
        <w:t xml:space="preserve"> 4901:1-10-30</w:t>
      </w:r>
      <w:r>
        <w:rPr>
          <w:rFonts w:eastAsiaTheme="minorHAnsi"/>
        </w:rPr>
        <w:t>.  The Complainants also sought</w:t>
      </w:r>
      <w:r w:rsidRPr="00C044AA">
        <w:rPr>
          <w:rFonts w:eastAsiaTheme="minorHAnsi"/>
        </w:rPr>
        <w:t xml:space="preserve"> a finding that Duke violated R.C. 4905.22 and R.C. 4933.121(A), which would allow Duke’s customers to seek treble damages in a civil court.</w:t>
      </w:r>
      <w:r>
        <w:rPr>
          <w:rStyle w:val="FootnoteReference"/>
          <w:rFonts w:eastAsiaTheme="minorHAnsi"/>
        </w:rPr>
        <w:footnoteReference w:id="34"/>
      </w:r>
      <w:r w:rsidRPr="00C044AA">
        <w:rPr>
          <w:rFonts w:eastAsiaTheme="minorHAnsi"/>
        </w:rPr>
        <w:t xml:space="preserve">  Although the PUCO’s Request for Proposal in that audit ask</w:t>
      </w:r>
      <w:r>
        <w:rPr>
          <w:rFonts w:eastAsiaTheme="minorHAnsi"/>
        </w:rPr>
        <w:t>s</w:t>
      </w:r>
      <w:r w:rsidRPr="00C044AA">
        <w:rPr>
          <w:rFonts w:eastAsiaTheme="minorHAnsi"/>
        </w:rPr>
        <w:t xml:space="preserve"> the auditor to review R.C. 4933.121, it does not ask for a review of R.C. 4905.22.</w:t>
      </w:r>
      <w:r>
        <w:rPr>
          <w:rStyle w:val="FootnoteReference"/>
          <w:rFonts w:eastAsiaTheme="minorHAnsi"/>
        </w:rPr>
        <w:footnoteReference w:id="35"/>
      </w:r>
      <w:r w:rsidRPr="00C044AA">
        <w:rPr>
          <w:rFonts w:eastAsiaTheme="minorHAnsi"/>
        </w:rPr>
        <w:t xml:space="preserve">  Moreover, the audit is prospective-looking, with a purpose to “audit and evaluate Duke’s gas and electric disconnection practices, and to recommend any steps that the Company should take to improve its performance in this area.”</w:t>
      </w:r>
      <w:r>
        <w:rPr>
          <w:rStyle w:val="FootnoteReference"/>
          <w:rFonts w:eastAsiaTheme="minorHAnsi"/>
        </w:rPr>
        <w:footnoteReference w:id="36"/>
      </w:r>
      <w:r w:rsidRPr="00C044AA">
        <w:rPr>
          <w:rFonts w:eastAsiaTheme="minorHAnsi"/>
        </w:rPr>
        <w:t xml:space="preserve">  OCC intervened in that PUCO investigation in order to protect the interests of residential customers,</w:t>
      </w:r>
      <w:r>
        <w:rPr>
          <w:rStyle w:val="FootnoteReference"/>
          <w:rFonts w:eastAsiaTheme="minorHAnsi"/>
        </w:rPr>
        <w:footnoteReference w:id="37"/>
      </w:r>
      <w:r w:rsidRPr="00C044AA">
        <w:rPr>
          <w:rFonts w:eastAsiaTheme="minorHAnsi"/>
        </w:rPr>
        <w:t xml:space="preserve"> </w:t>
      </w:r>
      <w:r>
        <w:rPr>
          <w:rFonts w:eastAsiaTheme="minorHAnsi"/>
        </w:rPr>
        <w:t>as it did by filing this Complaint.  T</w:t>
      </w:r>
      <w:r w:rsidRPr="00C044AA">
        <w:rPr>
          <w:rFonts w:eastAsiaTheme="minorHAnsi"/>
        </w:rPr>
        <w:t>hat intervention</w:t>
      </w:r>
      <w:r>
        <w:rPr>
          <w:rFonts w:eastAsiaTheme="minorHAnsi"/>
        </w:rPr>
        <w:t>, however,</w:t>
      </w:r>
      <w:r w:rsidRPr="00C044AA">
        <w:rPr>
          <w:rFonts w:eastAsiaTheme="minorHAnsi"/>
        </w:rPr>
        <w:t xml:space="preserve"> </w:t>
      </w:r>
      <w:r>
        <w:rPr>
          <w:rFonts w:eastAsiaTheme="minorHAnsi"/>
        </w:rPr>
        <w:t>might</w:t>
      </w:r>
      <w:r w:rsidRPr="00C044AA">
        <w:rPr>
          <w:rFonts w:eastAsiaTheme="minorHAnsi"/>
        </w:rPr>
        <w:t xml:space="preserve"> not allow OCC—or any other party—to obtain a judgment from the PUCO against Duke that would allow either civil forfeitures or a suit for treble damages in civil court.</w:t>
      </w:r>
    </w:p>
    <w:p w:rsidR="00622224" w:rsidRPr="00C044AA" w:rsidP="00E53F28">
      <w:pPr>
        <w:autoSpaceDE w:val="0"/>
        <w:autoSpaceDN w:val="0"/>
        <w:adjustRightInd w:val="0"/>
        <w:spacing w:line="480" w:lineRule="auto"/>
        <w:ind w:firstLine="720"/>
        <w:contextualSpacing/>
        <w:rPr>
          <w:rFonts w:eastAsiaTheme="minorHAnsi"/>
        </w:rPr>
      </w:pPr>
      <w:r w:rsidRPr="00C044AA">
        <w:rPr>
          <w:rFonts w:eastAsiaTheme="minorHAnsi"/>
        </w:rPr>
        <w:t xml:space="preserve">Additionally, the Request for Proposal, which was issued the same day as the Entry Dismissing this Complaint, lists the docket numbers of PUCO matters that the auditor is to consider in reviewing Duke’s </w:t>
      </w:r>
      <w:r>
        <w:rPr>
          <w:rFonts w:eastAsiaTheme="minorHAnsi"/>
        </w:rPr>
        <w:t xml:space="preserve">disconnection </w:t>
      </w:r>
      <w:r w:rsidRPr="00C044AA">
        <w:rPr>
          <w:rFonts w:eastAsiaTheme="minorHAnsi"/>
        </w:rPr>
        <w:t>policies</w:t>
      </w:r>
      <w:r>
        <w:rPr>
          <w:rFonts w:eastAsiaTheme="minorHAnsi"/>
        </w:rPr>
        <w:t xml:space="preserve"> and practices</w:t>
      </w:r>
      <w:r w:rsidRPr="00C044AA">
        <w:rPr>
          <w:rFonts w:eastAsiaTheme="minorHAnsi"/>
        </w:rPr>
        <w:t>.</w:t>
      </w:r>
      <w:r>
        <w:rPr>
          <w:rStyle w:val="FootnoteReference"/>
          <w:rFonts w:eastAsiaTheme="minorHAnsi"/>
        </w:rPr>
        <w:footnoteReference w:id="38"/>
      </w:r>
      <w:r w:rsidRPr="00C044AA">
        <w:rPr>
          <w:rFonts w:eastAsiaTheme="minorHAnsi"/>
        </w:rPr>
        <w:t xml:space="preserve"> </w:t>
      </w:r>
      <w:r>
        <w:rPr>
          <w:rFonts w:eastAsiaTheme="minorHAnsi"/>
        </w:rPr>
        <w:t xml:space="preserve"> </w:t>
      </w:r>
      <w:r w:rsidRPr="00C044AA">
        <w:rPr>
          <w:rFonts w:eastAsiaTheme="minorHAnsi"/>
        </w:rPr>
        <w:t>The PUCO does not include th</w:t>
      </w:r>
      <w:r>
        <w:rPr>
          <w:rFonts w:eastAsiaTheme="minorHAnsi"/>
        </w:rPr>
        <w:t>e</w:t>
      </w:r>
      <w:r w:rsidRPr="00C044AA">
        <w:rPr>
          <w:rFonts w:eastAsiaTheme="minorHAnsi"/>
        </w:rPr>
        <w:t xml:space="preserve"> matter</w:t>
      </w:r>
      <w:r>
        <w:rPr>
          <w:rFonts w:eastAsiaTheme="minorHAnsi"/>
        </w:rPr>
        <w:t>s involved with this Complaint</w:t>
      </w:r>
      <w:r w:rsidRPr="00C044AA">
        <w:rPr>
          <w:rFonts w:eastAsiaTheme="minorHAnsi"/>
        </w:rPr>
        <w:t xml:space="preserve"> among those listed.  The </w:t>
      </w:r>
      <w:r>
        <w:rPr>
          <w:rFonts w:eastAsiaTheme="minorHAnsi"/>
        </w:rPr>
        <w:t>omission</w:t>
      </w:r>
      <w:r w:rsidRPr="00C044AA">
        <w:rPr>
          <w:rFonts w:eastAsiaTheme="minorHAnsi"/>
        </w:rPr>
        <w:t xml:space="preserve"> </w:t>
      </w:r>
      <w:r>
        <w:rPr>
          <w:rFonts w:eastAsiaTheme="minorHAnsi"/>
        </w:rPr>
        <w:t xml:space="preserve">of </w:t>
      </w:r>
      <w:r w:rsidRPr="00C044AA">
        <w:rPr>
          <w:rFonts w:eastAsiaTheme="minorHAnsi"/>
        </w:rPr>
        <w:t xml:space="preserve">the allegations </w:t>
      </w:r>
      <w:r>
        <w:rPr>
          <w:rFonts w:eastAsiaTheme="minorHAnsi"/>
        </w:rPr>
        <w:t>in this case from the</w:t>
      </w:r>
      <w:r w:rsidRPr="00C044AA">
        <w:rPr>
          <w:rFonts w:eastAsiaTheme="minorHAnsi"/>
        </w:rPr>
        <w:t xml:space="preserve"> matters the auditor </w:t>
      </w:r>
      <w:r>
        <w:rPr>
          <w:rFonts w:eastAsiaTheme="minorHAnsi"/>
        </w:rPr>
        <w:t xml:space="preserve">will </w:t>
      </w:r>
      <w:r w:rsidRPr="00C044AA">
        <w:rPr>
          <w:rFonts w:eastAsiaTheme="minorHAnsi"/>
        </w:rPr>
        <w:t xml:space="preserve">review belies the contention that this audit will allow Complainants in this case to vindicate their concerns.  </w:t>
      </w:r>
    </w:p>
    <w:p w:rsidR="00F539A2" w:rsidP="00627D75">
      <w:pPr>
        <w:spacing w:line="480" w:lineRule="auto"/>
        <w:ind w:firstLine="720"/>
      </w:pPr>
      <w:r w:rsidRPr="00C044AA">
        <w:rPr>
          <w:rFonts w:eastAsiaTheme="minorHAnsi"/>
        </w:rPr>
        <w:t>OCC welcomes the PUCO’s willingness to put the disconnection policies</w:t>
      </w:r>
      <w:r>
        <w:rPr>
          <w:rFonts w:eastAsiaTheme="minorHAnsi"/>
        </w:rPr>
        <w:t xml:space="preserve"> and practices</w:t>
      </w:r>
      <w:r w:rsidRPr="00C044AA">
        <w:rPr>
          <w:rFonts w:eastAsiaTheme="minorHAnsi"/>
        </w:rPr>
        <w:t xml:space="preserve"> of Duke—or any other utility—under a microscope to ensure that they comply with Ohio law.  OCC does, however, urge the PUCO to reconsider its determination that a PUCO-ordered audit is an adequate substitute for complaints against utilities.  R.C. 4905.26 plainly allows for complaints “against any public utility . . . relating to any service furnished by the public utility…</w:t>
      </w:r>
      <w:r>
        <w:rPr>
          <w:rFonts w:eastAsiaTheme="minorHAnsi"/>
        </w:rPr>
        <w:t>.</w:t>
      </w:r>
      <w:r w:rsidRPr="00C044AA">
        <w:rPr>
          <w:rFonts w:eastAsiaTheme="minorHAnsi"/>
        </w:rPr>
        <w:t>”  The fact that the PUCO separately chooses to conduct an audit to protect against future inadequate service should not</w:t>
      </w:r>
      <w:r>
        <w:rPr>
          <w:rFonts w:eastAsiaTheme="minorHAnsi"/>
        </w:rPr>
        <w:t xml:space="preserve"> serve as a barrier to complaints that address past inadequacies and rule and statutory violations just because the audit and the complaint concern the same general subject matter.  </w:t>
      </w:r>
      <w:r>
        <w:t>Therefore, the PUCO should grant rehearing.</w:t>
      </w:r>
    </w:p>
    <w:p w:rsidR="0045601B" w:rsidRPr="00627D75" w:rsidP="0045601B">
      <w:pPr>
        <w:ind w:firstLine="720"/>
      </w:pPr>
    </w:p>
    <w:p w:rsidR="005E0282" w:rsidP="0045601B">
      <w:pPr>
        <w:pStyle w:val="Heading1"/>
        <w:rPr>
          <w:rFonts w:eastAsiaTheme="minorHAnsi"/>
        </w:rPr>
      </w:pPr>
      <w:bookmarkStart w:id="8" w:name="_Toc498353718"/>
      <w:r>
        <w:rPr>
          <w:rFonts w:eastAsiaTheme="minorHAnsi"/>
        </w:rPr>
        <w:t>IV.</w:t>
      </w:r>
      <w:r>
        <w:rPr>
          <w:rFonts w:eastAsiaTheme="minorHAnsi"/>
        </w:rPr>
        <w:tab/>
      </w:r>
      <w:r w:rsidRPr="005E0282">
        <w:rPr>
          <w:rFonts w:eastAsiaTheme="minorHAnsi"/>
        </w:rPr>
        <w:t>CONCLUSION</w:t>
      </w:r>
      <w:bookmarkEnd w:id="8"/>
    </w:p>
    <w:p w:rsidR="00E411D4" w:rsidRPr="005E0282" w:rsidP="00E53F28">
      <w:pPr>
        <w:tabs>
          <w:tab w:val="left" w:pos="720"/>
        </w:tabs>
        <w:autoSpaceDE w:val="0"/>
        <w:autoSpaceDN w:val="0"/>
        <w:adjustRightInd w:val="0"/>
        <w:spacing w:line="480" w:lineRule="auto"/>
        <w:rPr>
          <w:rFonts w:eastAsiaTheme="minorHAnsi"/>
        </w:rPr>
      </w:pPr>
      <w:r>
        <w:rPr>
          <w:rFonts w:eastAsiaTheme="minorHAnsi"/>
        </w:rPr>
        <w:tab/>
        <w:t xml:space="preserve">The PUCO erred when it dismissed this Complaint for failure to state reasonable grounds and when it failed to rule on Complainants’ Motion to Compel Discovery.  The precedent of both the PUCO and the Court dictate that the Complaint </w:t>
      </w:r>
      <w:r w:rsidRPr="00CF4FCB">
        <w:rPr>
          <w:rFonts w:eastAsiaTheme="minorHAnsi"/>
          <w:i/>
        </w:rPr>
        <w:t>did</w:t>
      </w:r>
      <w:r>
        <w:rPr>
          <w:rFonts w:eastAsiaTheme="minorHAnsi"/>
        </w:rPr>
        <w:t xml:space="preserve"> state reasonable grounds, which entitles the parties to proceed to discovery and an eventual hearing. The PUCO should grant hearing to allow Complainants to proceed with the Complaint and protect consumers from unlawful disconnection.</w:t>
      </w:r>
    </w:p>
    <w:p w:rsidR="00C044AA" w:rsidRPr="0059283F" w:rsidP="00E53F28">
      <w:pPr>
        <w:autoSpaceDE w:val="0"/>
        <w:autoSpaceDN w:val="0"/>
        <w:adjustRightInd w:val="0"/>
        <w:spacing w:line="480" w:lineRule="auto"/>
        <w:ind w:firstLine="720"/>
        <w:contextualSpacing/>
        <w:rPr>
          <w:rFonts w:eastAsiaTheme="minorHAnsi"/>
        </w:rPr>
      </w:pPr>
      <w:r>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8C0455">
        <w:t>Respectfully submitted,</w:t>
      </w:r>
    </w:p>
    <w:p w:rsidR="00C044AA" w:rsidRPr="008C0455" w:rsidP="00E53F28">
      <w:pPr>
        <w:pStyle w:val="Footer"/>
        <w:tabs>
          <w:tab w:val="left" w:pos="4320"/>
        </w:tabs>
        <w:ind w:left="4320"/>
      </w:pPr>
      <w:r>
        <w:t xml:space="preserve">BRUCE </w:t>
      </w:r>
      <w:r w:rsidRPr="008C0455">
        <w:t>WESTON (0016973)</w:t>
      </w:r>
    </w:p>
    <w:p w:rsidR="00C044AA" w:rsidP="00E53F28">
      <w:pPr>
        <w:pStyle w:val="Footer"/>
        <w:tabs>
          <w:tab w:val="left" w:pos="4320"/>
        </w:tabs>
        <w:spacing w:after="120"/>
        <w:ind w:left="4320"/>
      </w:pPr>
      <w:r>
        <w:t xml:space="preserve">OHIO </w:t>
      </w:r>
      <w:r w:rsidRPr="008C0455" w:rsidR="00352E1F">
        <w:t>CONSUMERS’ COUNSEL</w:t>
      </w:r>
    </w:p>
    <w:p w:rsidR="003A5FEC" w:rsidRPr="003A5FEC" w:rsidP="003A5FEC">
      <w:pPr>
        <w:tabs>
          <w:tab w:val="left" w:pos="4320"/>
        </w:tabs>
        <w:spacing w:before="240"/>
        <w:ind w:left="4320"/>
      </w:pPr>
      <w:r w:rsidRPr="003A5FEC">
        <w:rPr>
          <w:i/>
          <w:u w:val="single"/>
        </w:rPr>
        <w:t>/s/ Terry L. Etter</w:t>
      </w:r>
      <w:r w:rsidRPr="003A5FEC">
        <w:rPr>
          <w:i/>
          <w:u w:val="single"/>
        </w:rPr>
        <w:tab/>
      </w:r>
      <w:r w:rsidRPr="003A5FEC">
        <w:rPr>
          <w:i/>
          <w:u w:val="single"/>
        </w:rPr>
        <w:tab/>
      </w:r>
      <w:r w:rsidRPr="003A5FEC">
        <w:rPr>
          <w:i/>
          <w:u w:val="single"/>
        </w:rPr>
        <w:tab/>
      </w:r>
    </w:p>
    <w:p w:rsidR="00C044AA" w:rsidRPr="008C0455" w:rsidP="00E53F28">
      <w:pPr>
        <w:widowControl w:val="0"/>
        <w:tabs>
          <w:tab w:val="left" w:pos="4320"/>
          <w:tab w:val="right" w:pos="9360"/>
        </w:tabs>
        <w:ind w:left="4320"/>
      </w:pPr>
      <w:r>
        <w:t>Terry L. Etter</w:t>
      </w:r>
      <w:r w:rsidRPr="008C0455">
        <w:t>, Counsel of Record (</w:t>
      </w:r>
      <w:r>
        <w:t>0067445</w:t>
      </w:r>
      <w:r w:rsidRPr="008C0455">
        <w:t>)</w:t>
      </w:r>
    </w:p>
    <w:p w:rsidR="00C044AA" w:rsidP="00E53F28">
      <w:pPr>
        <w:tabs>
          <w:tab w:val="left" w:pos="4320"/>
        </w:tabs>
        <w:ind w:left="4320"/>
      </w:pPr>
      <w:r w:rsidRPr="008C0455">
        <w:t>Assistant Consumers’ Counsel</w:t>
      </w:r>
    </w:p>
    <w:p w:rsidR="00C044AA" w:rsidRPr="00901B50" w:rsidP="00E53F28">
      <w:pPr>
        <w:spacing w:before="120"/>
        <w:rPr>
          <w:b/>
        </w:rPr>
      </w:pPr>
      <w:r>
        <w:tab/>
      </w:r>
      <w:r>
        <w:tab/>
      </w:r>
      <w:r>
        <w:tab/>
      </w:r>
      <w:r>
        <w:tab/>
      </w:r>
      <w:r>
        <w:tab/>
      </w:r>
      <w:r>
        <w:tab/>
      </w:r>
      <w:r w:rsidRPr="00901B50">
        <w:rPr>
          <w:b/>
        </w:rPr>
        <w:t>Office of the Ohio Consumers’ Counsel</w:t>
      </w:r>
    </w:p>
    <w:p w:rsidR="00C044AA" w:rsidRPr="005F02E9" w:rsidP="00E53F28">
      <w:r w:rsidRPr="005F02E9">
        <w:tab/>
      </w:r>
      <w:r w:rsidRPr="005F02E9">
        <w:tab/>
      </w:r>
      <w:r w:rsidRPr="005F02E9">
        <w:tab/>
      </w:r>
      <w:r w:rsidRPr="005F02E9">
        <w:tab/>
      </w:r>
      <w:r w:rsidRPr="005F02E9">
        <w:tab/>
      </w:r>
      <w:r w:rsidRPr="005F02E9">
        <w:tab/>
        <w:t>10 West Broad Street, Suite 1800</w:t>
      </w:r>
    </w:p>
    <w:p w:rsidR="00C044AA" w:rsidRPr="005F02E9" w:rsidP="00E53F28">
      <w:r w:rsidRPr="005F02E9">
        <w:tab/>
      </w:r>
      <w:r w:rsidRPr="005F02E9">
        <w:tab/>
      </w:r>
      <w:r w:rsidRPr="005F02E9">
        <w:tab/>
      </w:r>
      <w:r w:rsidRPr="005F02E9">
        <w:tab/>
      </w:r>
      <w:r w:rsidRPr="005F02E9">
        <w:tab/>
      </w:r>
      <w:r w:rsidRPr="005F02E9">
        <w:tab/>
        <w:t>Columbus, Ohio 43215-3485</w:t>
      </w:r>
    </w:p>
    <w:p w:rsidR="00C044AA" w:rsidRPr="008C0455" w:rsidP="00E53F28">
      <w:pPr>
        <w:tabs>
          <w:tab w:val="left" w:pos="4320"/>
        </w:tabs>
        <w:autoSpaceDE w:val="0"/>
        <w:autoSpaceDN w:val="0"/>
        <w:adjustRightInd w:val="0"/>
        <w:ind w:left="4320"/>
      </w:pPr>
      <w:r w:rsidRPr="008C0455">
        <w:t>Telephone: (614) 466-</w:t>
      </w:r>
      <w:r>
        <w:t>7964</w:t>
      </w:r>
      <w:r w:rsidRPr="008C0455">
        <w:t xml:space="preserve"> (</w:t>
      </w:r>
      <w:r>
        <w:t>Etter</w:t>
      </w:r>
      <w:r w:rsidRPr="008C0455">
        <w:t xml:space="preserve"> direct)</w:t>
      </w:r>
    </w:p>
    <w:p w:rsidR="00C044AA" w:rsidRPr="008C0455" w:rsidP="00E53F28">
      <w:pPr>
        <w:tabs>
          <w:tab w:val="left" w:pos="4320"/>
          <w:tab w:val="center" w:pos="4680"/>
          <w:tab w:val="right" w:pos="9360"/>
        </w:tabs>
        <w:ind w:left="4320"/>
      </w:pPr>
      <w:r>
        <w:rPr>
          <w:rStyle w:val="Hyperlink"/>
        </w:rPr>
        <w:t>terry.etter</w:t>
      </w:r>
      <w:r w:rsidRPr="008C0455">
        <w:rPr>
          <w:rStyle w:val="Hyperlink"/>
        </w:rPr>
        <w:t>@occ.ohio.gov</w:t>
      </w:r>
    </w:p>
    <w:p w:rsidR="00C044AA" w:rsidP="00E53F28">
      <w:pPr>
        <w:widowControl w:val="0"/>
        <w:tabs>
          <w:tab w:val="left" w:pos="4320"/>
          <w:tab w:val="center" w:pos="4680"/>
          <w:tab w:val="right" w:pos="9360"/>
        </w:tabs>
        <w:ind w:left="4320"/>
      </w:pPr>
    </w:p>
    <w:p w:rsidR="00526CED" w:rsidP="00E53F28">
      <w:pPr>
        <w:widowControl w:val="0"/>
        <w:tabs>
          <w:tab w:val="left" w:pos="4320"/>
          <w:tab w:val="center" w:pos="4680"/>
          <w:tab w:val="right" w:pos="9360"/>
        </w:tabs>
        <w:ind w:left="4320"/>
      </w:pPr>
    </w:p>
    <w:p w:rsidR="00C044AA" w:rsidRPr="008C0455" w:rsidP="00E53F28">
      <w:pPr>
        <w:widowControl w:val="0"/>
        <w:tabs>
          <w:tab w:val="left" w:pos="4320"/>
          <w:tab w:val="center" w:pos="4680"/>
          <w:tab w:val="right" w:pos="9360"/>
        </w:tabs>
        <w:ind w:left="4320"/>
      </w:pPr>
      <w:r w:rsidRPr="008C0455">
        <w:t>Kimberly W. Bojko (0069402)</w:t>
      </w:r>
    </w:p>
    <w:p w:rsidR="00C044AA" w:rsidRPr="008C0455" w:rsidP="00E53F28">
      <w:pPr>
        <w:widowControl w:val="0"/>
        <w:tabs>
          <w:tab w:val="left" w:pos="4320"/>
          <w:tab w:val="center" w:pos="4680"/>
          <w:tab w:val="right" w:pos="9360"/>
        </w:tabs>
        <w:ind w:left="4320"/>
      </w:pPr>
      <w:r w:rsidRPr="008C0455">
        <w:t>Carpenter Lipps &amp; Leland LLP</w:t>
      </w:r>
    </w:p>
    <w:p w:rsidR="00C044AA" w:rsidRPr="008C0455" w:rsidP="00E53F28">
      <w:pPr>
        <w:widowControl w:val="0"/>
        <w:tabs>
          <w:tab w:val="left" w:pos="4320"/>
          <w:tab w:val="center" w:pos="4680"/>
          <w:tab w:val="right" w:pos="9360"/>
        </w:tabs>
        <w:ind w:left="4320"/>
      </w:pPr>
      <w:r w:rsidRPr="008C0455">
        <w:t>280 North High Street, Suite 1300</w:t>
      </w:r>
    </w:p>
    <w:p w:rsidR="00C044AA" w:rsidRPr="008C0455" w:rsidP="00E53F28">
      <w:pPr>
        <w:widowControl w:val="0"/>
        <w:tabs>
          <w:tab w:val="left" w:pos="4320"/>
          <w:tab w:val="center" w:pos="4680"/>
          <w:tab w:val="right" w:pos="9360"/>
        </w:tabs>
        <w:ind w:left="4320"/>
      </w:pPr>
      <w:r w:rsidRPr="008C0455">
        <w:t>Columbus, Ohio 43215</w:t>
      </w:r>
    </w:p>
    <w:p w:rsidR="00C044AA" w:rsidRPr="008C0455" w:rsidP="00E53F28">
      <w:pPr>
        <w:widowControl w:val="0"/>
        <w:tabs>
          <w:tab w:val="left" w:pos="4320"/>
          <w:tab w:val="center" w:pos="4680"/>
          <w:tab w:val="right" w:pos="9360"/>
        </w:tabs>
        <w:ind w:left="4320"/>
      </w:pPr>
      <w:r>
        <w:t>Telep</w:t>
      </w:r>
      <w:r w:rsidRPr="008C0455">
        <w:t>hone: (614) 365-4100</w:t>
      </w:r>
    </w:p>
    <w:p w:rsidR="00C044AA" w:rsidRPr="008C0455" w:rsidP="00E53F28">
      <w:pPr>
        <w:widowControl w:val="0"/>
        <w:tabs>
          <w:tab w:val="left" w:pos="4320"/>
          <w:tab w:val="center" w:pos="4680"/>
          <w:tab w:val="right" w:pos="9360"/>
        </w:tabs>
        <w:ind w:left="4320"/>
      </w:pPr>
      <w:r>
        <w:fldChar w:fldCharType="begin"/>
      </w:r>
      <w:r>
        <w:instrText xml:space="preserve"> HYPERLINK "mailto:bojko@carpenterlipps.com" </w:instrText>
      </w:r>
      <w:r>
        <w:fldChar w:fldCharType="separate"/>
      </w:r>
      <w:r w:rsidRPr="008C0455" w:rsidR="00352E1F">
        <w:rPr>
          <w:rStyle w:val="Hyperlink"/>
        </w:rPr>
        <w:t>bojko@carpenterlipps.com</w:t>
      </w:r>
      <w:r>
        <w:fldChar w:fldCharType="end"/>
      </w:r>
    </w:p>
    <w:p w:rsidR="00C044AA" w:rsidRPr="008C0455" w:rsidP="00E53F28">
      <w:pPr>
        <w:widowControl w:val="0"/>
        <w:tabs>
          <w:tab w:val="left" w:pos="4320"/>
          <w:tab w:val="center" w:pos="4680"/>
          <w:tab w:val="right" w:pos="9360"/>
        </w:tabs>
        <w:ind w:left="4320"/>
      </w:pPr>
    </w:p>
    <w:p w:rsidR="00C044AA" w:rsidRPr="008C0455" w:rsidP="00E53F28">
      <w:pPr>
        <w:widowControl w:val="0"/>
        <w:tabs>
          <w:tab w:val="center" w:pos="4680"/>
          <w:tab w:val="right" w:pos="9360"/>
        </w:tabs>
        <w:ind w:firstLine="4320"/>
        <w:rPr>
          <w:i/>
        </w:rPr>
      </w:pPr>
      <w:r w:rsidRPr="008C0455">
        <w:rPr>
          <w:i/>
        </w:rPr>
        <w:t>Outside Counsel for the</w:t>
      </w:r>
    </w:p>
    <w:p w:rsidR="00C044AA" w:rsidP="00E53F28">
      <w:pPr>
        <w:widowControl w:val="0"/>
        <w:tabs>
          <w:tab w:val="center" w:pos="4680"/>
          <w:tab w:val="right" w:pos="9360"/>
        </w:tabs>
        <w:ind w:firstLine="4320"/>
      </w:pPr>
      <w:r w:rsidRPr="008C0455">
        <w:rPr>
          <w:i/>
        </w:rPr>
        <w:t>Office of the Ohio Consumers’ Counsel</w:t>
      </w:r>
    </w:p>
    <w:p w:rsidR="008D5E6A" w:rsidP="00965090">
      <w:pPr>
        <w:spacing w:after="200" w:line="276" w:lineRule="auto"/>
        <w:jc w:val="center"/>
        <w:rPr>
          <w:rFonts w:eastAsiaTheme="minorHAnsi"/>
        </w:rPr>
      </w:pPr>
    </w:p>
    <w:p w:rsidR="00526CED" w:rsidP="00965090">
      <w:pPr>
        <w:spacing w:after="200" w:line="276" w:lineRule="auto"/>
        <w:jc w:val="center"/>
        <w:rPr>
          <w:rFonts w:eastAsiaTheme="minorHAnsi"/>
        </w:rPr>
      </w:pPr>
    </w:p>
    <w:p w:rsidR="008D5E6A" w:rsidRPr="00BE1469" w:rsidP="008D5E6A">
      <w:pPr>
        <w:ind w:left="4320"/>
        <w:rPr>
          <w:rFonts w:eastAsia="Calibri"/>
        </w:rPr>
      </w:pPr>
      <w:r>
        <w:rPr>
          <w:rFonts w:eastAsia="Calibri"/>
          <w:u w:val="single"/>
        </w:rPr>
        <w:t xml:space="preserve">/s/ </w:t>
      </w:r>
      <w:r>
        <w:rPr>
          <w:rFonts w:eastAsia="Calibri"/>
          <w:i/>
          <w:u w:val="single"/>
        </w:rPr>
        <w:t>Noel M. Morgan</w:t>
      </w:r>
      <w:r w:rsidRPr="00BE1469">
        <w:rPr>
          <w:rFonts w:eastAsia="Calibri"/>
          <w:u w:val="single"/>
        </w:rPr>
        <w:tab/>
      </w:r>
      <w:r w:rsidRPr="00BE1469">
        <w:rPr>
          <w:rFonts w:eastAsia="Calibri"/>
          <w:u w:val="single"/>
        </w:rPr>
        <w:tab/>
      </w:r>
      <w:r w:rsidRPr="00BE1469">
        <w:rPr>
          <w:rFonts w:eastAsia="Calibri"/>
          <w:u w:val="single"/>
        </w:rPr>
        <w:tab/>
      </w:r>
    </w:p>
    <w:p w:rsidR="008D5E6A" w:rsidRPr="00BE1469" w:rsidP="008D5E6A">
      <w:pPr>
        <w:ind w:left="4320"/>
        <w:rPr>
          <w:rFonts w:eastAsia="Calibri"/>
        </w:rPr>
      </w:pPr>
      <w:r w:rsidRPr="00BE1469">
        <w:rPr>
          <w:rFonts w:eastAsia="Calibri"/>
        </w:rPr>
        <w:t>Noel M. Morgan (0066904)</w:t>
      </w:r>
    </w:p>
    <w:p w:rsidR="008D5E6A" w:rsidRPr="00BE1469" w:rsidP="008D5E6A">
      <w:pPr>
        <w:ind w:left="4320"/>
        <w:rPr>
          <w:rFonts w:eastAsia="Calibri"/>
        </w:rPr>
      </w:pPr>
      <w:r w:rsidRPr="00BE1469">
        <w:rPr>
          <w:rFonts w:eastAsia="Calibri"/>
        </w:rPr>
        <w:t>Attorney for CUFA</w:t>
      </w:r>
    </w:p>
    <w:p w:rsidR="008D5E6A" w:rsidRPr="00BE1469" w:rsidP="008D5E6A">
      <w:pPr>
        <w:ind w:left="4320"/>
        <w:rPr>
          <w:rFonts w:eastAsia="Calibri"/>
        </w:rPr>
      </w:pPr>
      <w:r w:rsidRPr="00BE1469">
        <w:rPr>
          <w:rFonts w:eastAsia="Calibri"/>
        </w:rPr>
        <w:t>Legal Aid Society of Southwest Ohio, LLC</w:t>
      </w:r>
    </w:p>
    <w:p w:rsidR="008D5E6A" w:rsidRPr="00BE1469" w:rsidP="008D5E6A">
      <w:pPr>
        <w:ind w:left="4320"/>
        <w:rPr>
          <w:rFonts w:eastAsia="Calibri"/>
        </w:rPr>
      </w:pPr>
      <w:r w:rsidRPr="00BE1469">
        <w:rPr>
          <w:rFonts w:eastAsia="Calibri"/>
        </w:rPr>
        <w:t>215 East Ninth Street, Suite 500</w:t>
      </w:r>
    </w:p>
    <w:p w:rsidR="008D5E6A" w:rsidRPr="00BE1469" w:rsidP="008D5E6A">
      <w:pPr>
        <w:ind w:left="4320"/>
        <w:rPr>
          <w:rFonts w:eastAsia="Calibri"/>
        </w:rPr>
      </w:pPr>
      <w:r w:rsidRPr="00BE1469">
        <w:rPr>
          <w:rFonts w:eastAsia="Calibri"/>
        </w:rPr>
        <w:t>Cincinnati, Ohio  45202</w:t>
      </w:r>
    </w:p>
    <w:p w:rsidR="008D5E6A" w:rsidRPr="00BE1469" w:rsidP="008D5E6A">
      <w:pPr>
        <w:ind w:left="4320"/>
        <w:rPr>
          <w:rFonts w:eastAsia="Calibri"/>
        </w:rPr>
      </w:pPr>
      <w:r w:rsidRPr="00BE1469">
        <w:rPr>
          <w:rFonts w:eastAsia="Calibri"/>
        </w:rPr>
        <w:t>Telephone: (513) 362-2837</w:t>
      </w:r>
    </w:p>
    <w:p w:rsidR="008D5E6A" w:rsidRPr="00BE1469" w:rsidP="008D5E6A">
      <w:pPr>
        <w:ind w:left="4320"/>
        <w:rPr>
          <w:rFonts w:eastAsia="Calibri"/>
        </w:rPr>
      </w:pPr>
      <w:r w:rsidRPr="00BE1469">
        <w:rPr>
          <w:rFonts w:eastAsia="Calibri"/>
        </w:rPr>
        <w:t xml:space="preserve">Email:  </w:t>
      </w:r>
      <w:r>
        <w:fldChar w:fldCharType="begin"/>
      </w:r>
      <w:r>
        <w:instrText xml:space="preserve"> HYPERLINK "mailto:nmorgan@lascinti.org" </w:instrText>
      </w:r>
      <w:r>
        <w:fldChar w:fldCharType="separate"/>
      </w:r>
      <w:r w:rsidRPr="00BE1469">
        <w:rPr>
          <w:rFonts w:eastAsia="Calibri"/>
          <w:color w:val="0000FF"/>
          <w:u w:val="single"/>
        </w:rPr>
        <w:t>nmorgan@lascinti.org</w:t>
      </w:r>
      <w:r>
        <w:fldChar w:fldCharType="end"/>
      </w:r>
    </w:p>
    <w:p w:rsidR="008D5E6A" w:rsidRPr="00BE1469" w:rsidP="008D5E6A">
      <w:pPr>
        <w:tabs>
          <w:tab w:val="center" w:pos="4680"/>
          <w:tab w:val="right" w:pos="9360"/>
        </w:tabs>
        <w:ind w:firstLine="4320"/>
        <w:rPr>
          <w:rFonts w:eastAsia="Calibri"/>
        </w:rPr>
      </w:pPr>
      <w:r w:rsidRPr="00BE1469">
        <w:rPr>
          <w:rFonts w:eastAsia="Calibri"/>
        </w:rPr>
        <w:t>(willing to accept service by e-mail)</w:t>
      </w:r>
    </w:p>
    <w:p w:rsidR="006E0D8B" w:rsidRPr="000C1560" w:rsidP="00965090">
      <w:pPr>
        <w:spacing w:after="200" w:line="276" w:lineRule="auto"/>
        <w:jc w:val="center"/>
        <w:rPr>
          <w:rFonts w:eastAsiaTheme="minorHAnsi"/>
          <w:b/>
          <w:color w:val="292929"/>
          <w:u w:val="single"/>
        </w:rPr>
      </w:pPr>
      <w:r>
        <w:rPr>
          <w:rFonts w:eastAsiaTheme="minorHAnsi"/>
        </w:rPr>
        <w:br w:type="page"/>
      </w:r>
      <w:r w:rsidRPr="000C1560">
        <w:rPr>
          <w:rFonts w:eastAsiaTheme="minorHAnsi"/>
          <w:b/>
          <w:color w:val="292929"/>
          <w:u w:val="single"/>
        </w:rPr>
        <w:t>CERTIFICATE OF SERVICE</w:t>
      </w:r>
    </w:p>
    <w:p w:rsidR="006E0D8B" w:rsidP="00E53F28">
      <w:pPr>
        <w:autoSpaceDE w:val="0"/>
        <w:autoSpaceDN w:val="0"/>
        <w:adjustRightInd w:val="0"/>
        <w:rPr>
          <w:rFonts w:eastAsiaTheme="minorHAnsi"/>
          <w:color w:val="292929"/>
        </w:rPr>
      </w:pPr>
    </w:p>
    <w:p w:rsidR="006E0D8B" w:rsidP="00E53F28">
      <w:pPr>
        <w:autoSpaceDE w:val="0"/>
        <w:autoSpaceDN w:val="0"/>
        <w:adjustRightInd w:val="0"/>
        <w:spacing w:line="480" w:lineRule="auto"/>
        <w:ind w:firstLine="720"/>
        <w:contextualSpacing/>
        <w:rPr>
          <w:color w:val="000000"/>
        </w:rPr>
      </w:pPr>
      <w:r>
        <w:rPr>
          <w:rFonts w:eastAsiaTheme="minorHAnsi"/>
          <w:color w:val="292929"/>
        </w:rPr>
        <w:t xml:space="preserve">I hereby certify that </w:t>
      </w:r>
      <w:r>
        <w:rPr>
          <w:color w:val="000000"/>
        </w:rPr>
        <w:t xml:space="preserve">a true and accurate copy of the foregoing Application for Rehearing </w:t>
      </w:r>
      <w:r w:rsidRPr="009E520D">
        <w:rPr>
          <w:iCs/>
          <w:color w:val="000000"/>
        </w:rPr>
        <w:t>was</w:t>
      </w:r>
      <w:r w:rsidRPr="009E520D">
        <w:rPr>
          <w:color w:val="000000"/>
        </w:rPr>
        <w:t xml:space="preserve"> </w:t>
      </w:r>
      <w:r>
        <w:rPr>
          <w:color w:val="000000"/>
        </w:rPr>
        <w:t>served upon the following parties via electronic mail on November 13, 2017.</w:t>
      </w:r>
    </w:p>
    <w:p w:rsidR="001A0065" w:rsidP="001A0065">
      <w:pPr>
        <w:tabs>
          <w:tab w:val="left" w:pos="4320"/>
        </w:tabs>
        <w:spacing w:before="240"/>
        <w:ind w:left="4320"/>
        <w:rPr>
          <w:i/>
          <w:u w:val="single"/>
        </w:rPr>
      </w:pPr>
      <w:r w:rsidRPr="003A5FEC">
        <w:rPr>
          <w:i/>
          <w:u w:val="single"/>
        </w:rPr>
        <w:t>/s/ Terry L. Etter</w:t>
      </w:r>
      <w:r w:rsidRPr="003A5FEC">
        <w:rPr>
          <w:i/>
          <w:u w:val="single"/>
        </w:rPr>
        <w:tab/>
      </w:r>
      <w:r w:rsidRPr="003A5FEC">
        <w:rPr>
          <w:i/>
          <w:u w:val="single"/>
        </w:rPr>
        <w:tab/>
      </w:r>
      <w:r w:rsidRPr="003A5FEC">
        <w:rPr>
          <w:i/>
          <w:u w:val="single"/>
        </w:rPr>
        <w:tab/>
      </w:r>
    </w:p>
    <w:p w:rsidR="006E0D8B" w:rsidRPr="001A0065" w:rsidP="001A0065">
      <w:pPr>
        <w:tabs>
          <w:tab w:val="left" w:pos="4320"/>
        </w:tabs>
        <w:ind w:left="4320"/>
      </w:pPr>
      <w:r>
        <w:rPr>
          <w:color w:val="000000"/>
        </w:rPr>
        <w:t>Terry L. Etter</w:t>
      </w:r>
    </w:p>
    <w:p w:rsidR="000E4151" w:rsidP="00E53F28">
      <w:pPr>
        <w:autoSpaceDE w:val="0"/>
        <w:autoSpaceDN w:val="0"/>
        <w:adjustRightInd w:val="0"/>
        <w:rPr>
          <w:rFonts w:eastAsiaTheme="minorHAnsi"/>
          <w:color w:val="292929"/>
        </w:rPr>
      </w:pPr>
    </w:p>
    <w:p w:rsidR="000E4151" w:rsidP="00E53F28">
      <w:pPr>
        <w:autoSpaceDE w:val="0"/>
        <w:autoSpaceDN w:val="0"/>
        <w:adjustRightInd w:val="0"/>
        <w:rPr>
          <w:rFonts w:eastAsiaTheme="minorHAnsi"/>
          <w:color w:val="292929"/>
        </w:rPr>
      </w:pPr>
    </w:p>
    <w:p w:rsidR="0045601B" w:rsidRPr="00B60195" w:rsidP="0045601B">
      <w:pPr>
        <w:pStyle w:val="CommentText"/>
        <w:jc w:val="center"/>
        <w:rPr>
          <w:b/>
          <w:sz w:val="24"/>
          <w:szCs w:val="24"/>
          <w:u w:val="single"/>
        </w:rPr>
      </w:pPr>
      <w:r w:rsidRPr="00B60195">
        <w:rPr>
          <w:b/>
          <w:sz w:val="24"/>
          <w:szCs w:val="24"/>
          <w:u w:val="single"/>
        </w:rPr>
        <w:t>SERVICE LIST</w:t>
      </w:r>
    </w:p>
    <w:p w:rsidR="0045601B" w:rsidRPr="00B60195" w:rsidP="0045601B">
      <w:pPr>
        <w:pStyle w:val="CommentText"/>
        <w:jc w:val="center"/>
        <w:rPr>
          <w:b/>
          <w:sz w:val="24"/>
          <w:szCs w:val="24"/>
          <w:u w:val="single"/>
        </w:rPr>
      </w:pPr>
    </w:p>
    <w:tbl>
      <w:tblPr>
        <w:tblW w:w="0" w:type="auto"/>
        <w:tblInd w:w="0" w:type="dxa"/>
        <w:tblCellMar>
          <w:top w:w="0" w:type="dxa"/>
          <w:left w:w="108" w:type="dxa"/>
          <w:bottom w:w="0" w:type="dxa"/>
          <w:right w:w="108" w:type="dxa"/>
        </w:tblCellMar>
        <w:tblLook w:val="01E0"/>
      </w:tblPr>
      <w:tblGrid>
        <w:gridCol w:w="4428"/>
        <w:gridCol w:w="4428"/>
      </w:tblGrid>
      <w:tr w:rsidTr="00391CFB">
        <w:tblPrEx>
          <w:tblW w:w="0" w:type="auto"/>
          <w:tblInd w:w="0" w:type="dxa"/>
          <w:tblCellMar>
            <w:top w:w="0" w:type="dxa"/>
            <w:left w:w="108" w:type="dxa"/>
            <w:bottom w:w="0" w:type="dxa"/>
            <w:right w:w="108" w:type="dxa"/>
          </w:tblCellMar>
          <w:tblLook w:val="01E0"/>
        </w:tblPrEx>
        <w:tc>
          <w:tcPr>
            <w:tcW w:w="4428" w:type="dxa"/>
            <w:shd w:val="clear" w:color="auto" w:fill="auto"/>
          </w:tcPr>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William Wright, Chief</w:t>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Attorney General’s Office</w:t>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Public Utilities Commission of Ohio</w:t>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30</w:t>
            </w:r>
            <w:r w:rsidRPr="00B60195">
              <w:rPr>
                <w:rFonts w:ascii="Times New Roman" w:eastAsia="Times New Roman" w:hAnsi="Times New Roman" w:cs="Times New Roman"/>
                <w:sz w:val="24"/>
                <w:szCs w:val="24"/>
                <w:lang w:val="en-US" w:eastAsia="en-US" w:bidi="ar-SA"/>
              </w:rPr>
              <w:t xml:space="preserve"> E. Broad St., </w:t>
            </w:r>
            <w:r>
              <w:rPr>
                <w:rFonts w:ascii="Times New Roman" w:eastAsia="Times New Roman" w:hAnsi="Times New Roman" w:cs="Times New Roman"/>
                <w:sz w:val="24"/>
                <w:szCs w:val="24"/>
                <w:lang w:val="en-US" w:eastAsia="en-US" w:bidi="ar-SA"/>
              </w:rPr>
              <w:t>1</w:t>
            </w:r>
            <w:r w:rsidRPr="00B60195">
              <w:rPr>
                <w:rFonts w:ascii="Times New Roman" w:eastAsia="Times New Roman" w:hAnsi="Times New Roman" w:cs="Times New Roman"/>
                <w:sz w:val="24"/>
                <w:szCs w:val="24"/>
                <w:lang w:val="en-US" w:eastAsia="en-US" w:bidi="ar-SA"/>
              </w:rPr>
              <w:t>6th Fl.</w:t>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Columbus, Ohio 43216</w:t>
            </w:r>
          </w:p>
          <w:p w:rsidR="0045601B" w:rsidP="00391CFB">
            <w:pPr>
              <w:autoSpaceDE w:val="0"/>
              <w:autoSpaceDN w:val="0"/>
              <w:adjustRightInd w:val="0"/>
              <w:spacing w:after="0" w:line="240" w:lineRule="auto"/>
              <w:rPr>
                <w:rStyle w:val="Hyperlink"/>
                <w:rFonts w:ascii="Times New Roman" w:eastAsia="Times New Roman" w:hAnsi="Times New Roman" w:cs="Times New Roman"/>
                <w:color w:val="00008B"/>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"mailto:William.wright@ohioattorneygeneral.gov" </w:instrText>
            </w:r>
            <w:r>
              <w:fldChar w:fldCharType="separate"/>
            </w:r>
            <w:r w:rsidRPr="00090B1D" w:rsidR="00352E1F">
              <w:rPr>
                <w:rStyle w:val="Hyperlink"/>
                <w:rFonts w:ascii="Times New Roman" w:eastAsia="Times New Roman" w:hAnsi="Times New Roman" w:cs="Times New Roman"/>
                <w:color w:val="00008B"/>
                <w:sz w:val="24"/>
                <w:szCs w:val="24"/>
                <w:u w:val="single"/>
                <w:lang w:val="en-US" w:eastAsia="en-US" w:bidi="ar-SA"/>
              </w:rPr>
              <w:t>William.wright@ohioattorneygeneral.gov</w:t>
            </w:r>
            <w:r>
              <w:fldChar w:fldCharType="end"/>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Attorney Examiner:</w:t>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"mailto:Bryce.McKenney@puc.state.oh.us" </w:instrText>
            </w:r>
            <w:r>
              <w:fldChar w:fldCharType="separate"/>
            </w:r>
            <w:r w:rsidRPr="00B60195" w:rsidR="00352E1F">
              <w:rPr>
                <w:rStyle w:val="Hyperlink"/>
                <w:rFonts w:ascii="Times New Roman" w:eastAsia="Times New Roman" w:hAnsi="Times New Roman" w:cs="Times New Roman"/>
                <w:color w:val="00008B"/>
                <w:sz w:val="24"/>
                <w:szCs w:val="24"/>
                <w:u w:val="single"/>
                <w:lang w:val="en-US" w:eastAsia="en-US" w:bidi="ar-SA"/>
              </w:rPr>
              <w:t>Bryce.McKenney@puc.state.oh.us</w:t>
            </w:r>
            <w:r>
              <w:fldChar w:fldCharType="end"/>
            </w: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45601B" w:rsidRPr="00B60195" w:rsidP="00391CFB">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tc>
        <w:tc>
          <w:tcPr>
            <w:tcW w:w="4428" w:type="dxa"/>
            <w:shd w:val="clear" w:color="auto" w:fill="auto"/>
          </w:tcPr>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Amy B. Spiller</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Elizabeth H. Watts</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Duke Energy Business Services</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139 East Fourth Street</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1303-Main</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rsidRPr="00B60195">
              <w:rPr>
                <w:rFonts w:ascii="Times New Roman" w:eastAsia="Times New Roman" w:hAnsi="Times New Roman" w:cs="Times New Roman"/>
                <w:sz w:val="24"/>
                <w:szCs w:val="24"/>
                <w:lang w:val="en-US" w:eastAsia="en-US" w:bidi="ar-SA"/>
              </w:rPr>
              <w:t>Cincinnati, Ohio 45202</w:t>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"mailto:Amy.Spiller@duke-energy.com" </w:instrText>
            </w:r>
            <w:r>
              <w:fldChar w:fldCharType="separate"/>
            </w:r>
            <w:r w:rsidRPr="00B60195" w:rsidR="00352E1F">
              <w:rPr>
                <w:rStyle w:val="Hyperlink"/>
                <w:rFonts w:ascii="Times New Roman" w:eastAsia="Times New Roman" w:hAnsi="Times New Roman" w:cs="Times New Roman"/>
                <w:color w:val="00008B"/>
                <w:sz w:val="24"/>
                <w:szCs w:val="24"/>
                <w:u w:val="single"/>
                <w:lang w:val="en-US" w:eastAsia="en-US" w:bidi="ar-SA"/>
              </w:rPr>
              <w:t>Amy.Spiller@duke-energy.com</w:t>
            </w:r>
            <w:r>
              <w:fldChar w:fldCharType="end"/>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"mailto:Elizabeth.watts@duke-energy.com" </w:instrText>
            </w:r>
            <w:r>
              <w:fldChar w:fldCharType="separate"/>
            </w:r>
            <w:r w:rsidRPr="00B60195" w:rsidR="00352E1F">
              <w:rPr>
                <w:rStyle w:val="Hyperlink"/>
                <w:rFonts w:ascii="Times New Roman" w:eastAsia="Times New Roman" w:hAnsi="Times New Roman" w:cs="Times New Roman"/>
                <w:color w:val="00008B"/>
                <w:sz w:val="24"/>
                <w:szCs w:val="24"/>
                <w:u w:val="single"/>
                <w:lang w:val="en-US" w:eastAsia="en-US" w:bidi="ar-SA"/>
              </w:rPr>
              <w:t>Elizabeth.watts@duke-energy.com</w:t>
            </w:r>
            <w:r>
              <w:fldChar w:fldCharType="end"/>
            </w:r>
          </w:p>
          <w:p w:rsidR="0045601B" w:rsidRPr="00B60195" w:rsidP="00526CED">
            <w:pPr>
              <w:autoSpaceDE w:val="0"/>
              <w:autoSpaceDN w:val="0"/>
              <w:adjustRightInd w:val="0"/>
              <w:spacing w:after="0" w:line="240" w:lineRule="auto"/>
              <w:ind w:left="612"/>
              <w:rPr>
                <w:rStyle w:val="DefaultParagraphFont"/>
                <w:rFonts w:ascii="Times New Roman" w:eastAsia="Times New Roman" w:hAnsi="Times New Roman" w:cs="Times New Roman"/>
                <w:sz w:val="24"/>
                <w:szCs w:val="24"/>
                <w:lang w:val="en-US" w:eastAsia="en-US" w:bidi="ar-SA"/>
              </w:rPr>
            </w:pPr>
          </w:p>
        </w:tc>
      </w:tr>
    </w:tbl>
    <w:p w:rsidR="000E4151" w:rsidRPr="000E4151" w:rsidP="00B60195">
      <w:pPr>
        <w:autoSpaceDE w:val="0"/>
        <w:autoSpaceDN w:val="0"/>
        <w:adjustRightInd w:val="0"/>
        <w:rPr>
          <w:sz w:val="16"/>
          <w:szCs w:val="16"/>
        </w:rPr>
      </w:pPr>
    </w:p>
    <w:sectPr w:rsidSect="00CF4FCB">
      <w:headerReference w:type="first" r:id="rId16"/>
      <w:pgSz w:w="12240" w:h="15840"/>
      <w:pgMar w:top="1440" w:right="216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E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01B" w:rsidP="0045601B">
    <w:pPr>
      <w:pStyle w:val="Footer"/>
      <w:tabs>
        <w:tab w:val="center" w:pos="4320"/>
        <w:tab w:val="left" w:pos="4740"/>
      </w:tabs>
    </w:pPr>
  </w:p>
  <w:p w:rsidR="004560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91875983"/>
      <w:docPartObj>
        <w:docPartGallery w:val="Page Numbers (Bottom of Page)"/>
        <w:docPartUnique/>
      </w:docPartObj>
    </w:sdtPr>
    <w:sdtEndPr>
      <w:rPr>
        <w:noProof/>
      </w:rPr>
    </w:sdtEndPr>
    <w:sdtContent>
      <w:p w:rsidR="0045601B">
        <w:pPr>
          <w:pStyle w:val="Footer"/>
          <w:jc w:val="center"/>
        </w:pPr>
        <w:r>
          <w:fldChar w:fldCharType="begin"/>
        </w:r>
        <w:r>
          <w:instrText xml:space="preserve"> PAGE   \* MERGEFORMAT </w:instrText>
        </w:r>
        <w:r>
          <w:fldChar w:fldCharType="separate"/>
        </w:r>
        <w:r w:rsidR="00A65E3D">
          <w:rPr>
            <w:noProof/>
          </w:rPr>
          <w:t>i</w:t>
        </w:r>
        <w:r>
          <w:rPr>
            <w:noProof/>
          </w:rPr>
          <w:fldChar w:fldCharType="end"/>
        </w:r>
      </w:p>
    </w:sdtContent>
  </w:sdt>
  <w:p w:rsidR="004560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2905243"/>
      <w:docPartObj>
        <w:docPartGallery w:val="Page Numbers (Bottom of Page)"/>
        <w:docPartUnique/>
      </w:docPartObj>
    </w:sdtPr>
    <w:sdtContent>
      <w:p w:rsidR="00375B50">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75B5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02905244"/>
      <w:docPartObj>
        <w:docPartGallery w:val="Page Numbers (Bottom of Page)"/>
        <w:docPartUnique/>
      </w:docPartObj>
    </w:sdtPr>
    <w:sdtContent>
      <w:p w:rsidR="00375B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75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39AC" w:rsidP="003105CE">
      <w:r>
        <w:separator/>
      </w:r>
    </w:p>
  </w:footnote>
  <w:footnote w:type="continuationSeparator" w:id="1">
    <w:p w:rsidR="003739AC" w:rsidP="003105CE">
      <w:r>
        <w:continuationSeparator/>
      </w:r>
    </w:p>
  </w:footnote>
  <w:footnote w:id="2">
    <w:p w:rsidR="00375B50" w:rsidRPr="007211BB" w:rsidP="00731546">
      <w:pPr>
        <w:pStyle w:val="FootnoteText"/>
        <w:tabs>
          <w:tab w:val="left" w:pos="360"/>
        </w:tabs>
        <w:spacing w:after="120"/>
      </w:pPr>
      <w:r w:rsidRPr="007211BB">
        <w:rPr>
          <w:rStyle w:val="FootnoteReference"/>
        </w:rPr>
        <w:footnoteRef/>
      </w:r>
      <w:r w:rsidRPr="007211BB">
        <w:t>This application for rehearing is authorized under R.C. 4903.10 and Ohio Adm. Code 4901-1-35.</w:t>
      </w:r>
    </w:p>
  </w:footnote>
  <w:footnote w:id="3">
    <w:p w:rsidR="00375B50" w:rsidRPr="00F354AC" w:rsidP="00731546">
      <w:pPr>
        <w:pStyle w:val="FootnoteText"/>
        <w:tabs>
          <w:tab w:val="left" w:pos="360"/>
        </w:tabs>
        <w:spacing w:after="120"/>
      </w:pPr>
      <w:r>
        <w:rPr>
          <w:rStyle w:val="FootnoteReference"/>
        </w:rPr>
        <w:footnoteRef/>
      </w:r>
      <w:r>
        <w:t xml:space="preserve"> Entry (October 11, 2017). </w:t>
      </w:r>
    </w:p>
  </w:footnote>
  <w:footnote w:id="4">
    <w:p w:rsidR="00CD6ADF" w:rsidP="00627D75">
      <w:pPr>
        <w:pStyle w:val="FootnoteText"/>
        <w:spacing w:after="120"/>
      </w:pPr>
      <w:r>
        <w:rPr>
          <w:rStyle w:val="FootnoteReference"/>
        </w:rPr>
        <w:footnoteRef/>
      </w:r>
      <w:r>
        <w:t xml:space="preserve"> </w:t>
      </w:r>
      <w:r>
        <w:rPr>
          <w:i/>
        </w:rPr>
        <w:t xml:space="preserve">See </w:t>
      </w:r>
      <w:r w:rsidRPr="00481BF5">
        <w:rPr>
          <w:i/>
        </w:rPr>
        <w:t>In the Matter of the Application of Duke Energy Ohio, Inc., to Adjust Rider DR-IM and Rider AU for 2013 SmartGrid Costs</w:t>
      </w:r>
      <w:r>
        <w:t>, Case No. 14-1051-GE-RDR, Direct Testimony of James D. Williams (December 31, 2014).</w:t>
      </w:r>
    </w:p>
  </w:footnote>
  <w:footnote w:id="5">
    <w:p w:rsidR="00CD6ADF" w:rsidP="00627D75">
      <w:pPr>
        <w:pStyle w:val="FootnoteText"/>
        <w:spacing w:after="120"/>
      </w:pPr>
      <w:r>
        <w:rPr>
          <w:rStyle w:val="FootnoteReference"/>
        </w:rPr>
        <w:footnoteRef/>
      </w:r>
      <w:r>
        <w:t xml:space="preserve"> Case No. 14-1051-GE-RDR, Entry (January 22, 2015) at 3.</w:t>
      </w:r>
    </w:p>
  </w:footnote>
  <w:footnote w:id="6">
    <w:p w:rsidR="00375B50" w:rsidP="00731546">
      <w:pPr>
        <w:pStyle w:val="FootnoteText"/>
        <w:tabs>
          <w:tab w:val="left" w:pos="360"/>
        </w:tabs>
        <w:spacing w:after="120"/>
      </w:pPr>
      <w:r>
        <w:rPr>
          <w:rStyle w:val="FootnoteReference"/>
        </w:rPr>
        <w:footnoteRef/>
      </w:r>
      <w:r>
        <w:t xml:space="preserve"> </w:t>
      </w:r>
      <w:r w:rsidRPr="00CF4FCB">
        <w:rPr>
          <w:i/>
        </w:rPr>
        <w:t>Id</w:t>
      </w:r>
      <w:r>
        <w:t>.</w:t>
      </w:r>
    </w:p>
  </w:footnote>
  <w:footnote w:id="7">
    <w:p w:rsidR="00375B50" w:rsidP="00731546">
      <w:pPr>
        <w:pStyle w:val="FootnoteText"/>
        <w:tabs>
          <w:tab w:val="left" w:pos="360"/>
        </w:tabs>
        <w:spacing w:after="120"/>
      </w:pPr>
      <w:r>
        <w:rPr>
          <w:rStyle w:val="FootnoteReference"/>
        </w:rPr>
        <w:footnoteRef/>
      </w:r>
      <w:r>
        <w:t xml:space="preserve"> Motion to Dismiss at 1 (October 8, 2015) (“Motion to Dismiss”).</w:t>
      </w:r>
    </w:p>
  </w:footnote>
  <w:footnote w:id="8">
    <w:p w:rsidR="00375B50" w:rsidP="00731546">
      <w:pPr>
        <w:pStyle w:val="FootnoteText"/>
        <w:tabs>
          <w:tab w:val="left" w:pos="360"/>
        </w:tabs>
        <w:spacing w:after="120"/>
      </w:pPr>
      <w:r>
        <w:rPr>
          <w:rStyle w:val="FootnoteReference"/>
        </w:rPr>
        <w:footnoteRef/>
      </w:r>
      <w:r>
        <w:t xml:space="preserve"> Motion for a Protective Order at 1 (October 8, 2015) (“Motion for Protective Order”).</w:t>
      </w:r>
    </w:p>
  </w:footnote>
  <w:footnote w:id="9">
    <w:p w:rsidR="00375B50" w:rsidP="00731546">
      <w:pPr>
        <w:pStyle w:val="FootnoteText"/>
        <w:tabs>
          <w:tab w:val="left" w:pos="90"/>
          <w:tab w:val="left" w:pos="360"/>
        </w:tabs>
        <w:spacing w:after="120"/>
        <w:ind w:left="90" w:hanging="90"/>
      </w:pPr>
      <w:r>
        <w:rPr>
          <w:rStyle w:val="FootnoteReference"/>
        </w:rPr>
        <w:footnoteRef/>
      </w:r>
      <w:r>
        <w:t xml:space="preserve"> Memorandum Contra Duke’s Motion to Dismiss at 1 (October 23, 2015); Memorandum Contra Duke’s Motion for a Protective Order at 1 (October 23, 2015).</w:t>
      </w:r>
    </w:p>
  </w:footnote>
  <w:footnote w:id="10">
    <w:p w:rsidR="00375B50" w:rsidP="00731546">
      <w:pPr>
        <w:pStyle w:val="FootnoteText"/>
        <w:tabs>
          <w:tab w:val="left" w:pos="360"/>
        </w:tabs>
        <w:spacing w:after="120"/>
      </w:pPr>
      <w:r>
        <w:rPr>
          <w:rStyle w:val="FootnoteReference"/>
        </w:rPr>
        <w:footnoteRef/>
      </w:r>
      <w:r>
        <w:t xml:space="preserve"> Motion to Compel Responses to Discovery at 1 (November 12, 2015) (“Motion to Compel”).  </w:t>
      </w:r>
    </w:p>
  </w:footnote>
  <w:footnote w:id="11">
    <w:p w:rsidR="008D5E6A" w:rsidP="008D5E6A">
      <w:pPr>
        <w:pStyle w:val="FootnoteText"/>
        <w:tabs>
          <w:tab w:val="left" w:pos="360"/>
        </w:tabs>
        <w:spacing w:after="120"/>
      </w:pPr>
      <w:r>
        <w:rPr>
          <w:rStyle w:val="FootnoteReference"/>
        </w:rPr>
        <w:footnoteRef/>
      </w:r>
      <w:r>
        <w:t xml:space="preserve"> </w:t>
      </w:r>
      <w:r w:rsidRPr="00CF4FCB">
        <w:rPr>
          <w:i/>
        </w:rPr>
        <w:t>See</w:t>
      </w:r>
      <w:r>
        <w:t xml:space="preserve"> Entry at ¶1.</w:t>
      </w:r>
    </w:p>
  </w:footnote>
  <w:footnote w:id="12">
    <w:p w:rsidR="00375B50" w:rsidP="00731546">
      <w:pPr>
        <w:pStyle w:val="FootnoteText"/>
        <w:tabs>
          <w:tab w:val="left" w:pos="360"/>
        </w:tabs>
        <w:spacing w:after="120"/>
      </w:pPr>
      <w:r>
        <w:rPr>
          <w:rStyle w:val="FootnoteReference"/>
        </w:rPr>
        <w:footnoteRef/>
      </w:r>
      <w:r>
        <w:t xml:space="preserve"> R.C. 4903.10.</w:t>
      </w:r>
    </w:p>
  </w:footnote>
  <w:footnote w:id="13">
    <w:p w:rsidR="00375B50" w:rsidP="00731546">
      <w:pPr>
        <w:pStyle w:val="FootnoteText"/>
        <w:tabs>
          <w:tab w:val="left" w:pos="360"/>
        </w:tabs>
        <w:spacing w:after="120"/>
      </w:pPr>
      <w:r>
        <w:rPr>
          <w:rStyle w:val="FootnoteReference"/>
        </w:rPr>
        <w:footnoteRef/>
      </w:r>
      <w:r>
        <w:t xml:space="preserve"> R.C. 4905.26.</w:t>
      </w:r>
    </w:p>
  </w:footnote>
  <w:footnote w:id="14">
    <w:p w:rsidR="00375B50" w:rsidP="00731546">
      <w:pPr>
        <w:pStyle w:val="FootnoteText"/>
        <w:tabs>
          <w:tab w:val="left" w:pos="360"/>
        </w:tabs>
        <w:spacing w:after="120"/>
      </w:pPr>
      <w:r>
        <w:rPr>
          <w:rStyle w:val="FootnoteReference"/>
        </w:rPr>
        <w:footnoteRef/>
      </w:r>
      <w:r>
        <w:t xml:space="preserve"> Entry at ¶18.</w:t>
      </w:r>
    </w:p>
  </w:footnote>
  <w:footnote w:id="15">
    <w:p w:rsidR="00375B50" w:rsidP="00731546">
      <w:pPr>
        <w:pStyle w:val="FootnoteText"/>
        <w:tabs>
          <w:tab w:val="left" w:pos="360"/>
        </w:tabs>
        <w:spacing w:after="120"/>
      </w:pPr>
      <w:r>
        <w:rPr>
          <w:rStyle w:val="FootnoteReference"/>
        </w:rPr>
        <w:footnoteRef/>
      </w:r>
      <w:r>
        <w:t xml:space="preserve"> </w:t>
      </w:r>
      <w:r>
        <w:rPr>
          <w:i/>
        </w:rPr>
        <w:t>Ohio Utilities Company v. The Public Utilities Commission of Ohio</w:t>
      </w:r>
      <w:r>
        <w:t xml:space="preserve">, 58 Ohio St. 2d 153, 159 (1979). </w:t>
      </w:r>
    </w:p>
  </w:footnote>
  <w:footnote w:id="16">
    <w:p w:rsidR="00375B50" w:rsidP="00731546">
      <w:pPr>
        <w:pStyle w:val="FootnoteText"/>
        <w:tabs>
          <w:tab w:val="left" w:pos="360"/>
        </w:tabs>
        <w:spacing w:after="120"/>
      </w:pPr>
      <w:r>
        <w:rPr>
          <w:rStyle w:val="FootnoteReference"/>
        </w:rPr>
        <w:footnoteRef/>
      </w:r>
      <w:r>
        <w:t xml:space="preserve"> </w:t>
      </w:r>
      <w:r w:rsidRPr="00CF4FCB">
        <w:rPr>
          <w:i/>
        </w:rPr>
        <w:t>Id</w:t>
      </w:r>
      <w:r>
        <w:t xml:space="preserve">. (emphasis added). </w:t>
      </w:r>
    </w:p>
  </w:footnote>
  <w:footnote w:id="17">
    <w:p w:rsidR="00375B50" w:rsidP="00731546">
      <w:pPr>
        <w:pStyle w:val="FootnoteText"/>
        <w:tabs>
          <w:tab w:val="left" w:pos="360"/>
        </w:tabs>
        <w:spacing w:after="120"/>
      </w:pPr>
      <w:r>
        <w:rPr>
          <w:rStyle w:val="FootnoteReference"/>
        </w:rPr>
        <w:footnoteRef/>
      </w:r>
      <w:r>
        <w:t xml:space="preserve"> Complaint at 6, Table 1.</w:t>
      </w:r>
    </w:p>
  </w:footnote>
  <w:footnote w:id="18">
    <w:p w:rsidR="00375B50" w:rsidP="00731546">
      <w:pPr>
        <w:pStyle w:val="FootnoteText"/>
        <w:tabs>
          <w:tab w:val="left" w:pos="360"/>
        </w:tabs>
        <w:spacing w:after="120"/>
      </w:pPr>
      <w:r>
        <w:rPr>
          <w:rStyle w:val="FootnoteReference"/>
        </w:rPr>
        <w:footnoteRef/>
      </w:r>
      <w:r>
        <w:t xml:space="preserve"> </w:t>
      </w:r>
      <w:r w:rsidRPr="00CF4FCB">
        <w:rPr>
          <w:i/>
        </w:rPr>
        <w:t>Id</w:t>
      </w:r>
      <w:r>
        <w:t>. at 6.</w:t>
      </w:r>
    </w:p>
  </w:footnote>
  <w:footnote w:id="19">
    <w:p w:rsidR="00375B50" w:rsidP="00731546">
      <w:pPr>
        <w:pStyle w:val="FootnoteText"/>
        <w:tabs>
          <w:tab w:val="left" w:pos="360"/>
        </w:tabs>
        <w:spacing w:after="120"/>
      </w:pPr>
      <w:r>
        <w:rPr>
          <w:rStyle w:val="FootnoteReference"/>
        </w:rPr>
        <w:footnoteRef/>
      </w:r>
      <w:r>
        <w:t xml:space="preserve"> </w:t>
      </w:r>
      <w:r w:rsidRPr="00CF4FCB">
        <w:rPr>
          <w:i/>
        </w:rPr>
        <w:t>Id</w:t>
      </w:r>
      <w:r>
        <w:t>. at 8, Table 3.</w:t>
      </w:r>
    </w:p>
  </w:footnote>
  <w:footnote w:id="20">
    <w:p w:rsidR="00375B50" w:rsidP="00731546">
      <w:pPr>
        <w:pStyle w:val="FootnoteText"/>
        <w:tabs>
          <w:tab w:val="left" w:pos="360"/>
        </w:tabs>
        <w:spacing w:after="120"/>
      </w:pPr>
      <w:r>
        <w:rPr>
          <w:rStyle w:val="FootnoteReference"/>
        </w:rPr>
        <w:footnoteRef/>
      </w:r>
      <w:r>
        <w:t xml:space="preserve"> </w:t>
      </w:r>
      <w:r w:rsidRPr="00CF4FCB">
        <w:rPr>
          <w:i/>
        </w:rPr>
        <w:t>See</w:t>
      </w:r>
      <w:r>
        <w:t xml:space="preserve"> Entry at ¶18.</w:t>
      </w:r>
    </w:p>
  </w:footnote>
  <w:footnote w:id="21">
    <w:p w:rsidR="00375B50" w:rsidP="00731546">
      <w:pPr>
        <w:pStyle w:val="FootnoteText"/>
        <w:tabs>
          <w:tab w:val="left" w:pos="360"/>
        </w:tabs>
        <w:spacing w:after="120"/>
      </w:pPr>
      <w:r>
        <w:rPr>
          <w:rStyle w:val="FootnoteReference"/>
        </w:rPr>
        <w:footnoteRef/>
      </w:r>
      <w:r>
        <w:t xml:space="preserve"> </w:t>
      </w:r>
      <w:r w:rsidRPr="00C044AA">
        <w:t>Case No. 88-</w:t>
      </w:r>
      <w:r>
        <w:t>1743</w:t>
      </w:r>
      <w:r w:rsidRPr="00C044AA">
        <w:t>-GA-CSS (</w:t>
      </w:r>
      <w:r w:rsidRPr="00C044AA">
        <w:rPr>
          <w:i/>
        </w:rPr>
        <w:t>West Ohio Gas I</w:t>
      </w:r>
      <w:r w:rsidRPr="00C044AA">
        <w:t>), Entry (January 31, 1989)</w:t>
      </w:r>
      <w:r>
        <w:t>.</w:t>
      </w:r>
    </w:p>
  </w:footnote>
  <w:footnote w:id="22">
    <w:p w:rsidR="00375B50" w:rsidP="00731546">
      <w:pPr>
        <w:pStyle w:val="FootnoteText"/>
        <w:tabs>
          <w:tab w:val="left" w:pos="360"/>
        </w:tabs>
        <w:spacing w:after="120"/>
      </w:pPr>
      <w:r>
        <w:rPr>
          <w:rStyle w:val="FootnoteReference"/>
        </w:rPr>
        <w:footnoteRef/>
      </w:r>
      <w:r>
        <w:t xml:space="preserve"> Entry at ¶18.</w:t>
      </w:r>
    </w:p>
  </w:footnote>
  <w:footnote w:id="23">
    <w:p w:rsidR="00375B50" w:rsidP="00731546">
      <w:pPr>
        <w:pStyle w:val="FootnoteText"/>
        <w:tabs>
          <w:tab w:val="left" w:pos="360"/>
        </w:tabs>
        <w:spacing w:after="120"/>
      </w:pPr>
      <w:r>
        <w:rPr>
          <w:rStyle w:val="FootnoteReference"/>
        </w:rPr>
        <w:footnoteRef/>
      </w:r>
      <w:r>
        <w:t xml:space="preserve"> </w:t>
      </w:r>
      <w:r w:rsidRPr="00C044AA">
        <w:t>Case No. 89-275-GA-CSS (</w:t>
      </w:r>
      <w:r w:rsidRPr="00C044AA">
        <w:rPr>
          <w:i/>
        </w:rPr>
        <w:t>West Ohio Gas II</w:t>
      </w:r>
      <w:r w:rsidRPr="00C044AA">
        <w:t>), Entry (April 18, 1989)</w:t>
      </w:r>
      <w:r>
        <w:t xml:space="preserve">, </w:t>
      </w:r>
      <w:r w:rsidRPr="00845824">
        <w:rPr>
          <w:bCs/>
          <w:kern w:val="36"/>
        </w:rPr>
        <w:t>1989 Ohio PUC LEXIS 325</w:t>
      </w:r>
      <w:r w:rsidRPr="00C044AA">
        <w:t>.</w:t>
      </w:r>
    </w:p>
  </w:footnote>
  <w:footnote w:id="24">
    <w:p w:rsidR="00375B50" w:rsidRPr="00AB0D1A" w:rsidP="00731546">
      <w:pPr>
        <w:pStyle w:val="FootnoteText"/>
        <w:tabs>
          <w:tab w:val="left" w:pos="360"/>
        </w:tabs>
        <w:spacing w:after="120"/>
      </w:pPr>
      <w:r>
        <w:rPr>
          <w:rStyle w:val="FootnoteReference"/>
        </w:rPr>
        <w:footnoteRef/>
      </w:r>
      <w:r>
        <w:t xml:space="preserve"> </w:t>
      </w:r>
      <w:r w:rsidRPr="00CF4FCB">
        <w:rPr>
          <w:i/>
        </w:rPr>
        <w:t>Id</w:t>
      </w:r>
      <w:r>
        <w:t xml:space="preserve">., </w:t>
      </w:r>
      <w:r w:rsidRPr="00845824">
        <w:rPr>
          <w:bCs/>
          <w:kern w:val="36"/>
        </w:rPr>
        <w:t>1989 Ohio PUC LEXIS 325</w:t>
      </w:r>
      <w:r>
        <w:rPr>
          <w:bCs/>
          <w:kern w:val="36"/>
        </w:rPr>
        <w:t>, [*9].</w:t>
      </w:r>
    </w:p>
  </w:footnote>
  <w:footnote w:id="25">
    <w:p w:rsidR="00375B50" w:rsidP="00731546">
      <w:pPr>
        <w:pStyle w:val="FootnoteText"/>
        <w:tabs>
          <w:tab w:val="left" w:pos="360"/>
        </w:tabs>
        <w:spacing w:after="120"/>
      </w:pPr>
      <w:r>
        <w:rPr>
          <w:rStyle w:val="FootnoteReference"/>
        </w:rPr>
        <w:footnoteRef/>
      </w:r>
      <w:r>
        <w:t xml:space="preserve"> </w:t>
      </w:r>
      <w:r w:rsidRPr="00CF4FCB">
        <w:rPr>
          <w:i/>
        </w:rPr>
        <w:t>Id</w:t>
      </w:r>
      <w:r>
        <w:t>.</w:t>
      </w:r>
    </w:p>
  </w:footnote>
  <w:footnote w:id="26">
    <w:p w:rsidR="00375B50" w:rsidP="00731546">
      <w:pPr>
        <w:pStyle w:val="FootnoteText"/>
        <w:tabs>
          <w:tab w:val="left" w:pos="360"/>
        </w:tabs>
        <w:spacing w:after="120"/>
      </w:pPr>
      <w:r>
        <w:rPr>
          <w:rStyle w:val="FootnoteReference"/>
        </w:rPr>
        <w:footnoteRef/>
      </w:r>
      <w:r>
        <w:t xml:space="preserve"> </w:t>
      </w:r>
      <w:r w:rsidRPr="00CF4FCB">
        <w:rPr>
          <w:i/>
        </w:rPr>
        <w:t>Id</w:t>
      </w:r>
      <w:r>
        <w:t xml:space="preserve">., </w:t>
      </w:r>
      <w:r w:rsidRPr="00845824">
        <w:rPr>
          <w:bCs/>
          <w:kern w:val="36"/>
        </w:rPr>
        <w:t>1989 Ohio PUC LEXIS 325</w:t>
      </w:r>
      <w:r>
        <w:rPr>
          <w:bCs/>
          <w:kern w:val="36"/>
        </w:rPr>
        <w:t>, [*10].</w:t>
      </w:r>
    </w:p>
  </w:footnote>
  <w:footnote w:id="27">
    <w:p w:rsidR="00375B50" w:rsidP="00731546">
      <w:pPr>
        <w:pStyle w:val="FootnoteText"/>
        <w:tabs>
          <w:tab w:val="left" w:pos="360"/>
        </w:tabs>
        <w:spacing w:after="120"/>
      </w:pPr>
      <w:r>
        <w:rPr>
          <w:rStyle w:val="FootnoteReference"/>
        </w:rPr>
        <w:footnoteRef/>
      </w:r>
      <w:r>
        <w:t xml:space="preserve"> </w:t>
      </w:r>
      <w:r w:rsidRPr="00CF4FCB">
        <w:rPr>
          <w:i/>
        </w:rPr>
        <w:t>Id</w:t>
      </w:r>
      <w:r>
        <w:t>.</w:t>
      </w:r>
    </w:p>
  </w:footnote>
  <w:footnote w:id="28">
    <w:p w:rsidR="00375B50" w:rsidP="00731546">
      <w:pPr>
        <w:pStyle w:val="FootnoteText"/>
        <w:tabs>
          <w:tab w:val="left" w:pos="360"/>
        </w:tabs>
        <w:spacing w:after="120"/>
      </w:pPr>
      <w:r>
        <w:rPr>
          <w:rStyle w:val="FootnoteReference"/>
        </w:rPr>
        <w:footnoteRef/>
      </w:r>
      <w:r>
        <w:t xml:space="preserve"> Ohio Adm. Code 4901-1-16; </w:t>
      </w:r>
      <w:r w:rsidRPr="00CF4FCB">
        <w:rPr>
          <w:i/>
        </w:rPr>
        <w:t>see also</w:t>
      </w:r>
      <w:r>
        <w:t xml:space="preserve"> Ohio Adm. Code 4901-1-17 through 4901-1-24.</w:t>
      </w:r>
    </w:p>
  </w:footnote>
  <w:footnote w:id="29">
    <w:p w:rsidR="00375B50" w:rsidP="00731546">
      <w:pPr>
        <w:pStyle w:val="FootnoteText"/>
        <w:tabs>
          <w:tab w:val="left" w:pos="360"/>
        </w:tabs>
        <w:spacing w:after="120"/>
      </w:pPr>
      <w:r>
        <w:rPr>
          <w:rStyle w:val="FootnoteReference"/>
        </w:rPr>
        <w:footnoteRef/>
      </w:r>
      <w:r>
        <w:t xml:space="preserve"> </w:t>
      </w:r>
      <w:r w:rsidRPr="00CF4FCB">
        <w:rPr>
          <w:i/>
        </w:rPr>
        <w:t>See</w:t>
      </w:r>
      <w:r>
        <w:t xml:space="preserve"> Motion to Compel.</w:t>
      </w:r>
    </w:p>
  </w:footnote>
  <w:footnote w:id="30">
    <w:p w:rsidR="00375B50" w:rsidP="00731546">
      <w:pPr>
        <w:pStyle w:val="FootnoteText"/>
        <w:tabs>
          <w:tab w:val="left" w:pos="360"/>
        </w:tabs>
        <w:spacing w:after="120"/>
      </w:pPr>
      <w:r>
        <w:rPr>
          <w:rStyle w:val="FootnoteReference"/>
        </w:rPr>
        <w:footnoteRef/>
      </w:r>
      <w:r>
        <w:t xml:space="preserve"> Entry at 5, n.2. </w:t>
      </w:r>
    </w:p>
  </w:footnote>
  <w:footnote w:id="31">
    <w:p w:rsidR="00375B50" w:rsidP="00731546">
      <w:pPr>
        <w:pStyle w:val="FootnoteText"/>
        <w:tabs>
          <w:tab w:val="left" w:pos="360"/>
        </w:tabs>
        <w:spacing w:after="120"/>
      </w:pPr>
      <w:r>
        <w:rPr>
          <w:rStyle w:val="FootnoteReference"/>
        </w:rPr>
        <w:footnoteRef/>
      </w:r>
      <w:r>
        <w:t xml:space="preserve"> </w:t>
      </w:r>
      <w:r w:rsidRPr="00CF4FCB">
        <w:rPr>
          <w:i/>
        </w:rPr>
        <w:t>Id</w:t>
      </w:r>
      <w:r>
        <w:t xml:space="preserve">. </w:t>
      </w:r>
      <w:r>
        <w:rPr>
          <w:i/>
        </w:rPr>
        <w:t>See also id.,</w:t>
      </w:r>
      <w:r>
        <w:t xml:space="preserve"> n.3.</w:t>
      </w:r>
    </w:p>
  </w:footnote>
  <w:footnote w:id="32">
    <w:p w:rsidR="00375B50" w:rsidP="00731546">
      <w:pPr>
        <w:pStyle w:val="FootnoteText"/>
        <w:tabs>
          <w:tab w:val="left" w:pos="360"/>
        </w:tabs>
        <w:spacing w:after="120"/>
      </w:pPr>
      <w:r>
        <w:rPr>
          <w:rStyle w:val="FootnoteReference"/>
        </w:rPr>
        <w:footnoteRef/>
      </w:r>
      <w:r>
        <w:t xml:space="preserve"> Entry at ¶22.</w:t>
      </w:r>
    </w:p>
  </w:footnote>
  <w:footnote w:id="33">
    <w:p w:rsidR="00375B50" w:rsidP="00731546">
      <w:pPr>
        <w:pStyle w:val="FootnoteText"/>
        <w:tabs>
          <w:tab w:val="left" w:pos="360"/>
        </w:tabs>
        <w:spacing w:after="120"/>
      </w:pPr>
      <w:r>
        <w:rPr>
          <w:rStyle w:val="FootnoteReference"/>
        </w:rPr>
        <w:footnoteRef/>
      </w:r>
      <w:r>
        <w:t xml:space="preserve"> </w:t>
      </w:r>
      <w:r w:rsidRPr="00CF4FCB">
        <w:rPr>
          <w:i/>
        </w:rPr>
        <w:t>Id</w:t>
      </w:r>
      <w:r>
        <w:t>.</w:t>
      </w:r>
    </w:p>
  </w:footnote>
  <w:footnote w:id="34">
    <w:p w:rsidR="00375B50" w:rsidP="00731546">
      <w:pPr>
        <w:pStyle w:val="FootnoteText"/>
        <w:tabs>
          <w:tab w:val="left" w:pos="360"/>
        </w:tabs>
        <w:spacing w:after="120"/>
      </w:pPr>
      <w:r>
        <w:rPr>
          <w:rStyle w:val="FootnoteReference"/>
        </w:rPr>
        <w:footnoteRef/>
      </w:r>
      <w:r>
        <w:t xml:space="preserve"> Complaint at 18.</w:t>
      </w:r>
    </w:p>
  </w:footnote>
  <w:footnote w:id="35">
    <w:p w:rsidR="00375B50" w:rsidRPr="004C1E4A" w:rsidP="00731546">
      <w:pPr>
        <w:pStyle w:val="FootnoteText"/>
        <w:tabs>
          <w:tab w:val="left" w:pos="360"/>
        </w:tabs>
        <w:spacing w:after="120"/>
        <w:ind w:left="180" w:hanging="180"/>
      </w:pPr>
      <w:r>
        <w:rPr>
          <w:rStyle w:val="FootnoteReference"/>
        </w:rPr>
        <w:footnoteRef/>
      </w:r>
      <w:r>
        <w:t xml:space="preserve"> </w:t>
      </w:r>
      <w:r w:rsidRPr="00CF4FCB">
        <w:rPr>
          <w:i/>
        </w:rPr>
        <w:t>See</w:t>
      </w:r>
      <w:r>
        <w:t xml:space="preserve"> </w:t>
      </w:r>
      <w:r>
        <w:rPr>
          <w:i/>
        </w:rPr>
        <w:t>In the Matter of the Commission’s Investigation of the Disconnection Practices and Policies of Duke Energy Ohio, Inc.</w:t>
      </w:r>
      <w:r>
        <w:t xml:space="preserve">, Case No. 17-2089-GE-COI (PUCO Audit of Duke), Request for Proposal at 3 (October 11, 2017) (Audit Request for Proposal). </w:t>
      </w:r>
    </w:p>
  </w:footnote>
  <w:footnote w:id="36">
    <w:p w:rsidR="00375B50" w:rsidP="00731546">
      <w:pPr>
        <w:pStyle w:val="FootnoteText"/>
        <w:tabs>
          <w:tab w:val="left" w:pos="360"/>
        </w:tabs>
        <w:spacing w:after="120"/>
      </w:pPr>
      <w:r>
        <w:rPr>
          <w:rStyle w:val="FootnoteReference"/>
        </w:rPr>
        <w:footnoteRef/>
      </w:r>
      <w:r>
        <w:t xml:space="preserve"> </w:t>
      </w:r>
      <w:r w:rsidRPr="00CF4FCB">
        <w:rPr>
          <w:i/>
        </w:rPr>
        <w:t>Id</w:t>
      </w:r>
      <w:r>
        <w:t>. at 2.</w:t>
      </w:r>
    </w:p>
  </w:footnote>
  <w:footnote w:id="37">
    <w:p w:rsidR="00375B50" w:rsidRPr="00AB0E33" w:rsidP="00731546">
      <w:pPr>
        <w:pStyle w:val="FootnoteText"/>
        <w:tabs>
          <w:tab w:val="left" w:pos="360"/>
        </w:tabs>
        <w:spacing w:after="120"/>
        <w:ind w:left="180" w:hanging="180"/>
      </w:pPr>
      <w:r>
        <w:rPr>
          <w:rStyle w:val="FootnoteReference"/>
        </w:rPr>
        <w:footnoteRef/>
      </w:r>
      <w:r>
        <w:t xml:space="preserve"> </w:t>
      </w:r>
      <w:r w:rsidRPr="00CF4FCB">
        <w:rPr>
          <w:i/>
        </w:rPr>
        <w:t>See</w:t>
      </w:r>
      <w:r>
        <w:t xml:space="preserve"> PUCO Audit of Duke, Motion to Intervene by the Office of the Ohio Consumers’ Counsel (October 24, 2017).</w:t>
      </w:r>
    </w:p>
  </w:footnote>
  <w:footnote w:id="38">
    <w:p w:rsidR="00375B50" w:rsidP="00731546">
      <w:pPr>
        <w:pStyle w:val="FootnoteText"/>
        <w:tabs>
          <w:tab w:val="left" w:pos="360"/>
        </w:tabs>
        <w:spacing w:after="120"/>
      </w:pPr>
      <w:r>
        <w:rPr>
          <w:rStyle w:val="FootnoteReference"/>
        </w:rPr>
        <w:footnoteRef/>
      </w:r>
      <w:r>
        <w:t xml:space="preserve"> Audit Request for Proposal at 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65E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60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FC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A1056"/>
    <w:multiLevelType w:val="hybridMultilevel"/>
    <w:tmpl w:val="C51C6E54"/>
    <w:lvl w:ilvl="0">
      <w:start w:val="1"/>
      <w:numFmt w:val="upp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
    <w:nsid w:val="0269344B"/>
    <w:multiLevelType w:val="hybridMultilevel"/>
    <w:tmpl w:val="1A7EC5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51D5D53"/>
    <w:multiLevelType w:val="hybridMultilevel"/>
    <w:tmpl w:val="89E0EF56"/>
    <w:lvl w:ilvl="0">
      <w:start w:val="1"/>
      <w:numFmt w:val="upperRoman"/>
      <w:lvlText w:val="%1."/>
      <w:lvlJc w:val="left"/>
      <w:pPr>
        <w:ind w:left="1080" w:hanging="720"/>
      </w:pPr>
      <w:rPr>
        <w:rFonts w:eastAsiaTheme="minorHAnsi" w:hint="default"/>
      </w:rPr>
    </w:lvl>
    <w:lvl w:ilvl="1">
      <w:start w:val="1"/>
      <w:numFmt w:val="upp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5DE5761"/>
    <w:multiLevelType w:val="hybridMultilevel"/>
    <w:tmpl w:val="C8C00864"/>
    <w:lvl w:ilvl="0">
      <w:start w:val="1"/>
      <w:numFmt w:val="upperLetter"/>
      <w:lvlText w:val="%1."/>
      <w:lvlJc w:val="left"/>
      <w:pPr>
        <w:ind w:left="1170" w:hanging="360"/>
      </w:pPr>
      <w:rPr>
        <w:rFonts w:hint="default"/>
      </w:rPr>
    </w:lvl>
    <w:lvl w:ilvl="1">
      <w:start w:val="1"/>
      <w:numFmt w:val="decimal"/>
      <w:lvlText w:val="%2."/>
      <w:lvlJc w:val="left"/>
      <w:pPr>
        <w:ind w:left="2160" w:hanging="360"/>
      </w:pPr>
    </w:lvl>
    <w:lvl w:ilvl="2">
      <w:start w:val="1"/>
      <w:numFmt w:val="lowerLetter"/>
      <w:lvlText w:val="%3."/>
      <w:lvlJc w:val="left"/>
      <w:pPr>
        <w:ind w:left="270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4">
    <w:nsid w:val="07474CCA"/>
    <w:multiLevelType w:val="hybridMultilevel"/>
    <w:tmpl w:val="5D88C5F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BB42929"/>
    <w:multiLevelType w:val="hybridMultilevel"/>
    <w:tmpl w:val="8DB284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DD13069"/>
    <w:multiLevelType w:val="hybridMultilevel"/>
    <w:tmpl w:val="B4221C58"/>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0F253CCD"/>
    <w:multiLevelType w:val="hybridMultilevel"/>
    <w:tmpl w:val="1A7EC5D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12503EB3"/>
    <w:multiLevelType w:val="hybridMultilevel"/>
    <w:tmpl w:val="F0C418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F24AC2"/>
    <w:multiLevelType w:val="hybridMultilevel"/>
    <w:tmpl w:val="90965E26"/>
    <w:lvl w:ilvl="0">
      <w:start w:val="1"/>
      <w:numFmt w:val="lowerLetter"/>
      <w:lvlText w:val="%1."/>
      <w:lvlJc w:val="left"/>
      <w:pPr>
        <w:ind w:left="1890" w:hanging="360"/>
      </w:p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0">
    <w:nsid w:val="160A423F"/>
    <w:multiLevelType w:val="hybridMultilevel"/>
    <w:tmpl w:val="64E62FE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8DF5DED"/>
    <w:multiLevelType w:val="hybridMultilevel"/>
    <w:tmpl w:val="C4B83E0A"/>
    <w:lvl w:ilvl="0">
      <w:start w:val="1"/>
      <w:numFmt w:val="upperLetter"/>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2">
    <w:nsid w:val="1B18246F"/>
    <w:multiLevelType w:val="hybridMultilevel"/>
    <w:tmpl w:val="FE500348"/>
    <w:lvl w:ilvl="0">
      <w:start w:val="1"/>
      <w:numFmt w:val="upp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3">
    <w:nsid w:val="1BEC56A8"/>
    <w:multiLevelType w:val="hybridMultilevel"/>
    <w:tmpl w:val="E850D2A4"/>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681613C"/>
    <w:multiLevelType w:val="hybridMultilevel"/>
    <w:tmpl w:val="1B9A41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7005D5F"/>
    <w:multiLevelType w:val="hybridMultilevel"/>
    <w:tmpl w:val="B94645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DA71E76"/>
    <w:multiLevelType w:val="hybridMultilevel"/>
    <w:tmpl w:val="7D98B9A6"/>
    <w:lvl w:ilvl="0">
      <w:start w:val="1"/>
      <w:numFmt w:val="upp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30B25D00"/>
    <w:multiLevelType w:val="hybridMultilevel"/>
    <w:tmpl w:val="2472A556"/>
    <w:lvl w:ilvl="0">
      <w:start w:val="1"/>
      <w:numFmt w:val="lowerLetter"/>
      <w:lvlText w:val="%1."/>
      <w:lvlJc w:val="left"/>
      <w:pPr>
        <w:ind w:left="1890" w:hanging="360"/>
      </w:p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8">
    <w:nsid w:val="32E54AA1"/>
    <w:multiLevelType w:val="hybridMultilevel"/>
    <w:tmpl w:val="926A751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6A6428B"/>
    <w:multiLevelType w:val="hybridMultilevel"/>
    <w:tmpl w:val="1C007F96"/>
    <w:lvl w:ilvl="0">
      <w:start w:val="1"/>
      <w:numFmt w:val="upperLetter"/>
      <w:lvlText w:val="%1."/>
      <w:lvlJc w:val="left"/>
      <w:pPr>
        <w:ind w:left="1890" w:hanging="360"/>
      </w:pPr>
      <w:rPr>
        <w:rFonts w:hint="default"/>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20">
    <w:nsid w:val="37E6416E"/>
    <w:multiLevelType w:val="hybridMultilevel"/>
    <w:tmpl w:val="BEA0AA0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3B4056B4"/>
    <w:multiLevelType w:val="hybridMultilevel"/>
    <w:tmpl w:val="51324426"/>
    <w:lvl w:ilvl="0">
      <w:start w:val="3"/>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41B33E17"/>
    <w:multiLevelType w:val="hybridMultilevel"/>
    <w:tmpl w:val="7CBE00B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DFF7159"/>
    <w:multiLevelType w:val="hybridMultilevel"/>
    <w:tmpl w:val="CBD4FD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29845CB"/>
    <w:multiLevelType w:val="hybridMultilevel"/>
    <w:tmpl w:val="CAA24C14"/>
    <w:lvl w:ilvl="0">
      <w:start w:val="1"/>
      <w:numFmt w:val="upperRoman"/>
      <w:lvlText w:val="%1."/>
      <w:lvlJc w:val="left"/>
      <w:pPr>
        <w:ind w:left="1080" w:hanging="720"/>
      </w:pPr>
      <w:rPr>
        <w:rFonts w:eastAsiaTheme="minorHAnsi"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236A17"/>
    <w:multiLevelType w:val="hybridMultilevel"/>
    <w:tmpl w:val="E9AC2D8A"/>
    <w:lvl w:ilvl="0">
      <w:start w:val="1"/>
      <w:numFmt w:val="upperLetter"/>
      <w:lvlText w:val="%1."/>
      <w:lvlJc w:val="left"/>
      <w:pPr>
        <w:ind w:left="99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26">
    <w:nsid w:val="55BB1DF9"/>
    <w:multiLevelType w:val="hybridMultilevel"/>
    <w:tmpl w:val="C1B4BCFA"/>
    <w:lvl w:ilvl="0">
      <w:start w:val="1"/>
      <w:numFmt w:val="upperLetter"/>
      <w:lvlText w:val="(%1)"/>
      <w:lvlJc w:val="left"/>
      <w:pPr>
        <w:ind w:left="1260" w:hanging="360"/>
      </w:pPr>
      <w:rPr>
        <w:rFonts w:eastAsiaTheme="minorHAnsi"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7">
    <w:nsid w:val="5ED55C33"/>
    <w:multiLevelType w:val="hybridMultilevel"/>
    <w:tmpl w:val="219A8A9E"/>
    <w:lvl w:ilvl="0">
      <w:start w:val="1"/>
      <w:numFmt w:val="decimal"/>
      <w:lvlText w:val="%1."/>
      <w:lvlJc w:val="lef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28">
    <w:nsid w:val="5FE348EB"/>
    <w:multiLevelType w:val="hybridMultilevel"/>
    <w:tmpl w:val="5E4052E0"/>
    <w:lvl w:ilvl="0">
      <w:start w:val="4"/>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2EE125D"/>
    <w:multiLevelType w:val="hybridMultilevel"/>
    <w:tmpl w:val="1A522C3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70611A3D"/>
    <w:multiLevelType w:val="hybridMultilevel"/>
    <w:tmpl w:val="BD8E8AB4"/>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755809B1"/>
    <w:multiLevelType w:val="hybridMultilevel"/>
    <w:tmpl w:val="A958102A"/>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122D38"/>
    <w:multiLevelType w:val="hybridMultilevel"/>
    <w:tmpl w:val="0F78B0C0"/>
    <w:lvl w:ilvl="0">
      <w:start w:val="1"/>
      <w:numFmt w:val="lowerLetter"/>
      <w:lvlText w:val="%1."/>
      <w:lvlJc w:val="left"/>
      <w:pPr>
        <w:ind w:left="1890" w:hanging="360"/>
      </w:p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33">
    <w:nsid w:val="78662156"/>
    <w:multiLevelType w:val="hybridMultilevel"/>
    <w:tmpl w:val="CF245642"/>
    <w:lvl w:ilvl="0">
      <w:start w:val="5"/>
      <w:numFmt w:val="decimal"/>
      <w:lvlText w:val="%1"/>
      <w:lvlJc w:val="left"/>
      <w:pPr>
        <w:ind w:left="2520" w:hanging="360"/>
      </w:pPr>
      <w:rPr>
        <w:rFonts w:hint="default"/>
      </w:rPr>
    </w:lvl>
    <w:lvl w:ilvl="1">
      <w:start w:val="1"/>
      <w:numFmt w:val="decimal"/>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4">
    <w:nsid w:val="787F6C2B"/>
    <w:multiLevelType w:val="hybridMultilevel"/>
    <w:tmpl w:val="443E7A6E"/>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5">
    <w:nsid w:val="7A444B21"/>
    <w:multiLevelType w:val="hybridMultilevel"/>
    <w:tmpl w:val="0764061E"/>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7AEE5251"/>
    <w:multiLevelType w:val="hybridMultilevel"/>
    <w:tmpl w:val="31D66DA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B040EA8"/>
    <w:multiLevelType w:val="hybridMultilevel"/>
    <w:tmpl w:val="FC3E71A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4"/>
  </w:num>
  <w:num w:numId="2">
    <w:abstractNumId w:val="2"/>
  </w:num>
  <w:num w:numId="3">
    <w:abstractNumId w:val="13"/>
  </w:num>
  <w:num w:numId="4">
    <w:abstractNumId w:val="3"/>
  </w:num>
  <w:num w:numId="5">
    <w:abstractNumId w:val="32"/>
  </w:num>
  <w:num w:numId="6">
    <w:abstractNumId w:val="9"/>
  </w:num>
  <w:num w:numId="7">
    <w:abstractNumId w:val="17"/>
  </w:num>
  <w:num w:numId="8">
    <w:abstractNumId w:val="0"/>
  </w:num>
  <w:num w:numId="9">
    <w:abstractNumId w:val="12"/>
  </w:num>
  <w:num w:numId="10">
    <w:abstractNumId w:val="16"/>
  </w:num>
  <w:num w:numId="11">
    <w:abstractNumId w:val="19"/>
  </w:num>
  <w:num w:numId="12">
    <w:abstractNumId w:val="27"/>
  </w:num>
  <w:num w:numId="13">
    <w:abstractNumId w:val="6"/>
  </w:num>
  <w:num w:numId="14">
    <w:abstractNumId w:val="33"/>
  </w:num>
  <w:num w:numId="15">
    <w:abstractNumId w:val="25"/>
  </w:num>
  <w:num w:numId="16">
    <w:abstractNumId w:val="11"/>
  </w:num>
  <w:num w:numId="17">
    <w:abstractNumId w:val="15"/>
  </w:num>
  <w:num w:numId="18">
    <w:abstractNumId w:val="4"/>
  </w:num>
  <w:num w:numId="19">
    <w:abstractNumId w:val="28"/>
  </w:num>
  <w:num w:numId="20">
    <w:abstractNumId w:val="23"/>
  </w:num>
  <w:num w:numId="21">
    <w:abstractNumId w:val="10"/>
  </w:num>
  <w:num w:numId="22">
    <w:abstractNumId w:val="26"/>
  </w:num>
  <w:num w:numId="23">
    <w:abstractNumId w:val="1"/>
  </w:num>
  <w:num w:numId="24">
    <w:abstractNumId w:val="36"/>
  </w:num>
  <w:num w:numId="25">
    <w:abstractNumId w:val="21"/>
  </w:num>
  <w:num w:numId="26">
    <w:abstractNumId w:val="20"/>
  </w:num>
  <w:num w:numId="27">
    <w:abstractNumId w:val="14"/>
  </w:num>
  <w:num w:numId="28">
    <w:abstractNumId w:val="35"/>
  </w:num>
  <w:num w:numId="29">
    <w:abstractNumId w:val="7"/>
  </w:num>
  <w:num w:numId="30">
    <w:abstractNumId w:val="29"/>
  </w:num>
  <w:num w:numId="31">
    <w:abstractNumId w:val="8"/>
  </w:num>
  <w:num w:numId="32">
    <w:abstractNumId w:val="18"/>
  </w:num>
  <w:num w:numId="33">
    <w:abstractNumId w:val="22"/>
  </w:num>
  <w:num w:numId="34">
    <w:abstractNumId w:val="37"/>
  </w:num>
  <w:num w:numId="35">
    <w:abstractNumId w:val="5"/>
  </w:num>
  <w:num w:numId="36">
    <w:abstractNumId w:val="30"/>
  </w:num>
  <w:num w:numId="37">
    <w:abstractNumId w:val="34"/>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drawingGridHorizontalSpacing w:val="120"/>
  <w:displayHorizont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6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5601B"/>
    <w:pPr>
      <w:keepNext/>
      <w:keepLines/>
      <w:spacing w:after="240"/>
      <w:ind w:left="720" w:hanging="720"/>
      <w:outlineLvl w:val="0"/>
    </w:pPr>
    <w:rPr>
      <w:rFonts w:ascii="Times New Roman Bold" w:hAnsi="Times New Roman Bold" w:eastAsiaTheme="majorEastAsia" w:cstheme="majorBidi"/>
      <w:b/>
      <w:bCs/>
      <w:caps/>
      <w:szCs w:val="28"/>
    </w:rPr>
  </w:style>
  <w:style w:type="paragraph" w:styleId="Heading2">
    <w:name w:val="heading 2"/>
    <w:basedOn w:val="Normal"/>
    <w:link w:val="Heading2Char"/>
    <w:autoRedefine/>
    <w:uiPriority w:val="9"/>
    <w:qFormat/>
    <w:rsid w:val="00A37FE5"/>
    <w:pPr>
      <w:spacing w:after="240"/>
      <w:ind w:left="720"/>
      <w:outlineLvl w:val="1"/>
    </w:pPr>
    <w:rPr>
      <w:rFonts w:ascii="Times New Roman Bold" w:hAnsi="Times New Roman Bold"/>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24B"/>
    <w:pPr>
      <w:ind w:left="720"/>
      <w:contextualSpacing/>
    </w:pPr>
  </w:style>
  <w:style w:type="character" w:styleId="Hyperlink">
    <w:name w:val="Hyperlink"/>
    <w:basedOn w:val="DefaultParagraphFont"/>
    <w:uiPriority w:val="99"/>
    <w:unhideWhenUsed/>
    <w:rsid w:val="00243B80"/>
    <w:rPr>
      <w:color w:val="00008B"/>
      <w:u w:val="single"/>
    </w:rPr>
  </w:style>
  <w:style w:type="paragraph" w:styleId="Header">
    <w:name w:val="header"/>
    <w:basedOn w:val="Normal"/>
    <w:link w:val="HeaderChar"/>
    <w:uiPriority w:val="99"/>
    <w:unhideWhenUsed/>
    <w:rsid w:val="003105CE"/>
    <w:pPr>
      <w:tabs>
        <w:tab w:val="center" w:pos="4680"/>
        <w:tab w:val="right" w:pos="9360"/>
      </w:tabs>
    </w:pPr>
  </w:style>
  <w:style w:type="character" w:customStyle="1" w:styleId="HeaderChar">
    <w:name w:val="Header Char"/>
    <w:basedOn w:val="DefaultParagraphFont"/>
    <w:link w:val="Header"/>
    <w:uiPriority w:val="99"/>
    <w:rsid w:val="003105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5CE"/>
    <w:pPr>
      <w:tabs>
        <w:tab w:val="center" w:pos="4680"/>
        <w:tab w:val="right" w:pos="9360"/>
      </w:tabs>
    </w:pPr>
  </w:style>
  <w:style w:type="character" w:customStyle="1" w:styleId="FooterChar">
    <w:name w:val="Footer Char"/>
    <w:basedOn w:val="DefaultParagraphFont"/>
    <w:link w:val="Footer"/>
    <w:uiPriority w:val="99"/>
    <w:rsid w:val="003105CE"/>
    <w:rPr>
      <w:rFonts w:ascii="Times New Roman" w:eastAsia="Times New Roman" w:hAnsi="Times New Roman" w:cs="Times New Roman"/>
      <w:sz w:val="24"/>
      <w:szCs w:val="24"/>
    </w:rPr>
  </w:style>
  <w:style w:type="paragraph" w:styleId="FootnoteText">
    <w:name w:val="footnote text"/>
    <w:aliases w:val="ALTS FOOTNOTE,Footnote Text Char Char,Footnote Text Char Char Char Char,Footnote Text Char1,Footnote Text Char1 Char Char1,Footnote Text Char1 Char Char1 Char Char Char,Footnote Text Char2 Char Char Char Char1,Footnote Text Char4 Char,fn"/>
    <w:basedOn w:val="Normal"/>
    <w:link w:val="FootnoteTextChar"/>
    <w:unhideWhenUsed/>
    <w:qFormat/>
    <w:rsid w:val="00E760FC"/>
    <w:rPr>
      <w:sz w:val="20"/>
      <w:szCs w:val="20"/>
    </w:rPr>
  </w:style>
  <w:style w:type="character" w:customStyle="1" w:styleId="FootnoteTextChar">
    <w:name w:val="Footnote Text Char"/>
    <w:aliases w:val="ALTS FOOTNOTE Char,Footnote Text Char Char Char,Footnote Text Char Char Char Char Char,Footnote Text Char1 Char,Footnote Text Char1 Char Char1 Char,Footnote Text Char1 Char Char1 Char Char Char Char,Footnote Text Char4 Char Char"/>
    <w:basedOn w:val="DefaultParagraphFont"/>
    <w:link w:val="FootnoteText"/>
    <w:uiPriority w:val="99"/>
    <w:rsid w:val="00E760FC"/>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6,Style 17,Style 18,Style 19,Style 20,Style 21,Style 28,Style 3,Style 4,Style 42,Style 7,Style 8,Style 9,fr,fr1,fr2,fr3,o,o1,o2,o3"/>
    <w:basedOn w:val="DefaultParagraphFont"/>
    <w:uiPriority w:val="99"/>
    <w:unhideWhenUsed/>
    <w:qFormat/>
    <w:rsid w:val="00E760FC"/>
    <w:rPr>
      <w:vertAlign w:val="superscript"/>
    </w:rPr>
  </w:style>
  <w:style w:type="character" w:styleId="CommentReference">
    <w:name w:val="annotation reference"/>
    <w:basedOn w:val="DefaultParagraphFont"/>
    <w:uiPriority w:val="99"/>
    <w:semiHidden/>
    <w:unhideWhenUsed/>
    <w:rsid w:val="00E445A3"/>
    <w:rPr>
      <w:sz w:val="16"/>
      <w:szCs w:val="16"/>
    </w:rPr>
  </w:style>
  <w:style w:type="paragraph" w:styleId="CommentText">
    <w:name w:val="annotation text"/>
    <w:basedOn w:val="Normal"/>
    <w:link w:val="CommentTextChar"/>
    <w:semiHidden/>
    <w:unhideWhenUsed/>
    <w:rsid w:val="00E445A3"/>
    <w:rPr>
      <w:sz w:val="20"/>
      <w:szCs w:val="20"/>
    </w:rPr>
  </w:style>
  <w:style w:type="character" w:customStyle="1" w:styleId="CommentTextChar">
    <w:name w:val="Comment Text Char"/>
    <w:basedOn w:val="DefaultParagraphFont"/>
    <w:link w:val="CommentText"/>
    <w:semiHidden/>
    <w:rsid w:val="00E445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45A3"/>
    <w:rPr>
      <w:b/>
      <w:bCs/>
    </w:rPr>
  </w:style>
  <w:style w:type="character" w:customStyle="1" w:styleId="CommentSubjectChar">
    <w:name w:val="Comment Subject Char"/>
    <w:basedOn w:val="CommentTextChar"/>
    <w:link w:val="CommentSubject"/>
    <w:uiPriority w:val="99"/>
    <w:semiHidden/>
    <w:rsid w:val="00E445A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45A3"/>
    <w:rPr>
      <w:rFonts w:ascii="Tahoma" w:hAnsi="Tahoma" w:cs="Tahoma"/>
      <w:sz w:val="16"/>
      <w:szCs w:val="16"/>
    </w:rPr>
  </w:style>
  <w:style w:type="character" w:customStyle="1" w:styleId="BalloonTextChar">
    <w:name w:val="Balloon Text Char"/>
    <w:basedOn w:val="DefaultParagraphFont"/>
    <w:link w:val="BalloonText"/>
    <w:uiPriority w:val="99"/>
    <w:semiHidden/>
    <w:rsid w:val="00E445A3"/>
    <w:rPr>
      <w:rFonts w:ascii="Tahoma" w:eastAsia="Times New Roman" w:hAnsi="Tahoma" w:cs="Tahoma"/>
      <w:sz w:val="16"/>
      <w:szCs w:val="16"/>
    </w:rPr>
  </w:style>
  <w:style w:type="character" w:customStyle="1" w:styleId="Heading2Char">
    <w:name w:val="Heading 2 Char"/>
    <w:basedOn w:val="DefaultParagraphFont"/>
    <w:link w:val="Heading2"/>
    <w:uiPriority w:val="9"/>
    <w:rsid w:val="00A37FE5"/>
    <w:rPr>
      <w:rFonts w:ascii="Times New Roman Bold" w:eastAsia="Times New Roman" w:hAnsi="Times New Roman Bold" w:cs="Times New Roman"/>
      <w:b/>
      <w:bCs/>
      <w:sz w:val="24"/>
      <w:szCs w:val="36"/>
    </w:rPr>
  </w:style>
  <w:style w:type="paragraph" w:styleId="NormalWeb">
    <w:name w:val="Normal (Web)"/>
    <w:basedOn w:val="Normal"/>
    <w:uiPriority w:val="99"/>
    <w:semiHidden/>
    <w:unhideWhenUsed/>
    <w:rsid w:val="00F31319"/>
    <w:pPr>
      <w:spacing w:before="100" w:beforeAutospacing="1" w:after="100" w:afterAutospacing="1"/>
    </w:pPr>
  </w:style>
  <w:style w:type="character" w:customStyle="1" w:styleId="apple-converted-space">
    <w:name w:val="apple-converted-space"/>
    <w:basedOn w:val="DefaultParagraphFont"/>
    <w:rsid w:val="00F31319"/>
  </w:style>
  <w:style w:type="table" w:styleId="TableGrid">
    <w:name w:val="Table Grid"/>
    <w:basedOn w:val="TableNormal"/>
    <w:uiPriority w:val="59"/>
    <w:rsid w:val="006E0D8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starpage2">
    <w:name w:val="co_starpage2"/>
    <w:basedOn w:val="DefaultParagraphFont"/>
    <w:rsid w:val="00FE66EA"/>
  </w:style>
  <w:style w:type="paragraph" w:styleId="BodyTextIndent3">
    <w:name w:val="Body Text Indent 3"/>
    <w:basedOn w:val="Normal"/>
    <w:link w:val="BodyTextIndent3Char"/>
    <w:rsid w:val="00CD6ADF"/>
    <w:pPr>
      <w:spacing w:line="480" w:lineRule="atLeast"/>
      <w:ind w:firstLine="720"/>
    </w:pPr>
    <w:rPr>
      <w:szCs w:val="20"/>
    </w:rPr>
  </w:style>
  <w:style w:type="character" w:customStyle="1" w:styleId="BodyTextIndent3Char">
    <w:name w:val="Body Text Indent 3 Char"/>
    <w:basedOn w:val="DefaultParagraphFont"/>
    <w:link w:val="BodyTextIndent3"/>
    <w:rsid w:val="00CD6AD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5601B"/>
    <w:rPr>
      <w:rFonts w:ascii="Times New Roman Bold" w:hAnsi="Times New Roman Bold" w:eastAsiaTheme="majorEastAsia" w:cstheme="majorBidi"/>
      <w:b/>
      <w:bCs/>
      <w:caps/>
      <w:sz w:val="24"/>
      <w:szCs w:val="28"/>
    </w:rPr>
  </w:style>
  <w:style w:type="paragraph" w:styleId="TOC1">
    <w:name w:val="toc 1"/>
    <w:basedOn w:val="Normal"/>
    <w:next w:val="Normal"/>
    <w:autoRedefine/>
    <w:uiPriority w:val="39"/>
    <w:unhideWhenUsed/>
    <w:qFormat/>
    <w:rsid w:val="0045601B"/>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45601B"/>
    <w:pPr>
      <w:tabs>
        <w:tab w:val="decimal" w:leader="dot" w:pos="8640"/>
      </w:tabs>
      <w:spacing w:after="24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3512</Words>
  <Characters>20023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2017-11-13T21:31:59Z</dcterms:created>
  <dcterms:modified xsi:type="dcterms:W3CDTF">2017-11-13T21:31:59Z</dcterms:modified>
</cp:coreProperties>
</file>