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BC974" w14:textId="77777777" w:rsidR="00BA5DFD" w:rsidRDefault="00BA5DFD" w:rsidP="00BA5DFD">
      <w:pPr>
        <w:jc w:val="center"/>
        <w:rPr>
          <w:rFonts w:ascii="Times New Roman" w:hAnsi="Times New Roman" w:cs="Times New Roman"/>
          <w:b/>
        </w:rPr>
      </w:pPr>
      <w:bookmarkStart w:id="0" w:name="_GoBack"/>
      <w:bookmarkEnd w:id="0"/>
      <w:r>
        <w:rPr>
          <w:rFonts w:ascii="Times New Roman" w:hAnsi="Times New Roman" w:cs="Times New Roman"/>
          <w:b/>
        </w:rPr>
        <w:t>BEFORE</w:t>
      </w:r>
    </w:p>
    <w:p w14:paraId="301C4999" w14:textId="77777777" w:rsidR="00BA5DFD" w:rsidRDefault="00BA5DFD" w:rsidP="00BA5DFD">
      <w:pPr>
        <w:jc w:val="center"/>
        <w:rPr>
          <w:rFonts w:ascii="Times New Roman" w:hAnsi="Times New Roman" w:cs="Times New Roman"/>
          <w:b/>
        </w:rPr>
      </w:pPr>
      <w:r>
        <w:rPr>
          <w:rFonts w:ascii="Times New Roman" w:hAnsi="Times New Roman" w:cs="Times New Roman"/>
          <w:b/>
        </w:rPr>
        <w:t>THE PUBLIC UTILITIES COMMISSION OF OHIO</w:t>
      </w:r>
    </w:p>
    <w:p w14:paraId="48403FFC" w14:textId="77777777" w:rsidR="00BA5DFD" w:rsidRDefault="00BA5DFD" w:rsidP="00BA5DFD">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BA5DFD" w14:paraId="3925005D" w14:textId="77777777" w:rsidTr="00CD7D0C">
        <w:tc>
          <w:tcPr>
            <w:tcW w:w="4608" w:type="dxa"/>
          </w:tcPr>
          <w:p w14:paraId="63E3725F" w14:textId="77777777" w:rsidR="00BA5DFD" w:rsidRDefault="00BA5DFD" w:rsidP="00CD7D0C">
            <w:pPr>
              <w:rPr>
                <w:rFonts w:ascii="Times New Roman" w:hAnsi="Times New Roman" w:cs="Times New Roman"/>
              </w:rPr>
            </w:pPr>
            <w:r>
              <w:rPr>
                <w:rFonts w:ascii="Times New Roman" w:hAnsi="Times New Roman" w:cs="Times New Roman"/>
              </w:rPr>
              <w:t>JUDY ALEXANDER,</w:t>
            </w:r>
          </w:p>
          <w:p w14:paraId="27A79FD3" w14:textId="77777777" w:rsidR="00BA5DFD" w:rsidRDefault="00BA5DFD" w:rsidP="00CD7D0C">
            <w:pPr>
              <w:rPr>
                <w:rFonts w:ascii="Times New Roman" w:hAnsi="Times New Roman" w:cs="Times New Roman"/>
              </w:rPr>
            </w:pPr>
          </w:p>
          <w:p w14:paraId="64AB180C" w14:textId="77777777" w:rsidR="00BA5DFD" w:rsidRDefault="00BA5DFD" w:rsidP="00CD7D0C">
            <w:pPr>
              <w:ind w:firstLine="720"/>
              <w:rPr>
                <w:rFonts w:ascii="Times New Roman" w:hAnsi="Times New Roman" w:cs="Times New Roman"/>
              </w:rPr>
            </w:pPr>
            <w:r>
              <w:rPr>
                <w:rFonts w:ascii="Times New Roman" w:hAnsi="Times New Roman" w:cs="Times New Roman"/>
              </w:rPr>
              <w:t>Complainant,</w:t>
            </w:r>
          </w:p>
          <w:p w14:paraId="12C67F9F" w14:textId="77777777" w:rsidR="00BA5DFD" w:rsidRDefault="00BA5DFD" w:rsidP="00CD7D0C">
            <w:pPr>
              <w:rPr>
                <w:rFonts w:ascii="Times New Roman" w:hAnsi="Times New Roman" w:cs="Times New Roman"/>
              </w:rPr>
            </w:pPr>
          </w:p>
          <w:p w14:paraId="641AA285" w14:textId="77777777" w:rsidR="00BA5DFD" w:rsidRDefault="00BA5DFD" w:rsidP="00CD7D0C">
            <w:pPr>
              <w:ind w:firstLine="720"/>
              <w:rPr>
                <w:rFonts w:ascii="Times New Roman" w:hAnsi="Times New Roman" w:cs="Times New Roman"/>
              </w:rPr>
            </w:pPr>
            <w:proofErr w:type="gramStart"/>
            <w:r>
              <w:rPr>
                <w:rFonts w:ascii="Times New Roman" w:hAnsi="Times New Roman" w:cs="Times New Roman"/>
              </w:rPr>
              <w:t>v</w:t>
            </w:r>
            <w:proofErr w:type="gramEnd"/>
            <w:r>
              <w:rPr>
                <w:rFonts w:ascii="Times New Roman" w:hAnsi="Times New Roman" w:cs="Times New Roman"/>
              </w:rPr>
              <w:t>.</w:t>
            </w:r>
          </w:p>
          <w:p w14:paraId="6CD9A526" w14:textId="77777777" w:rsidR="00BA5DFD" w:rsidRDefault="00BA5DFD" w:rsidP="00CD7D0C">
            <w:pPr>
              <w:rPr>
                <w:rFonts w:ascii="Times New Roman" w:hAnsi="Times New Roman" w:cs="Times New Roman"/>
              </w:rPr>
            </w:pPr>
          </w:p>
          <w:p w14:paraId="74A1A507" w14:textId="77777777" w:rsidR="00BA5DFD" w:rsidRDefault="00BA5DFD" w:rsidP="00CD7D0C">
            <w:pPr>
              <w:rPr>
                <w:rFonts w:ascii="Times New Roman" w:hAnsi="Times New Roman" w:cs="Times New Roman"/>
              </w:rPr>
            </w:pPr>
            <w:r>
              <w:rPr>
                <w:rFonts w:ascii="Times New Roman" w:hAnsi="Times New Roman" w:cs="Times New Roman"/>
              </w:rPr>
              <w:t>THE EAST OHIO GAS COMPANY D/B/A DOMINION EAST OHIO,</w:t>
            </w:r>
          </w:p>
          <w:p w14:paraId="7844F20E" w14:textId="77777777" w:rsidR="00BA5DFD" w:rsidRDefault="00BA5DFD" w:rsidP="00CD7D0C">
            <w:pPr>
              <w:rPr>
                <w:rFonts w:ascii="Times New Roman" w:hAnsi="Times New Roman" w:cs="Times New Roman"/>
              </w:rPr>
            </w:pPr>
          </w:p>
          <w:p w14:paraId="0806EE50" w14:textId="77777777" w:rsidR="00BA5DFD" w:rsidRDefault="00BA5DFD" w:rsidP="00CD7D0C">
            <w:pPr>
              <w:ind w:firstLine="720"/>
              <w:rPr>
                <w:rFonts w:ascii="Times New Roman" w:hAnsi="Times New Roman" w:cs="Times New Roman"/>
              </w:rPr>
            </w:pPr>
            <w:r>
              <w:rPr>
                <w:rFonts w:ascii="Times New Roman" w:hAnsi="Times New Roman" w:cs="Times New Roman"/>
              </w:rPr>
              <w:t>Respondent.</w:t>
            </w:r>
          </w:p>
        </w:tc>
        <w:tc>
          <w:tcPr>
            <w:tcW w:w="360" w:type="dxa"/>
          </w:tcPr>
          <w:p w14:paraId="0CF123D8" w14:textId="77777777" w:rsidR="00BA5DFD" w:rsidRDefault="00BA5DFD" w:rsidP="00CD7D0C">
            <w:pPr>
              <w:jc w:val="center"/>
              <w:rPr>
                <w:rFonts w:ascii="Times New Roman" w:hAnsi="Times New Roman" w:cs="Times New Roman"/>
              </w:rPr>
            </w:pPr>
            <w:r>
              <w:rPr>
                <w:rFonts w:ascii="Times New Roman" w:hAnsi="Times New Roman" w:cs="Times New Roman"/>
              </w:rPr>
              <w:t>)</w:t>
            </w:r>
          </w:p>
          <w:p w14:paraId="19F8D277" w14:textId="77777777" w:rsidR="00BA5DFD" w:rsidRDefault="00BA5DFD" w:rsidP="00CD7D0C">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p>
          <w:p w14:paraId="79AECD29" w14:textId="77777777" w:rsidR="00BA5DFD" w:rsidRDefault="00BA5DFD" w:rsidP="00CD7D0C">
            <w:pPr>
              <w:jc w:val="center"/>
              <w:rPr>
                <w:rFonts w:ascii="Times New Roman" w:hAnsi="Times New Roman" w:cs="Times New Roman"/>
              </w:rPr>
            </w:pPr>
            <w:r>
              <w:rPr>
                <w:rFonts w:ascii="Times New Roman" w:hAnsi="Times New Roman" w:cs="Times New Roman"/>
              </w:rPr>
              <w:t>)</w:t>
            </w:r>
          </w:p>
          <w:p w14:paraId="420184FF" w14:textId="77777777" w:rsidR="00BA5DFD" w:rsidRDefault="00BA5DFD" w:rsidP="00CD7D0C">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p>
        </w:tc>
        <w:tc>
          <w:tcPr>
            <w:tcW w:w="4608" w:type="dxa"/>
          </w:tcPr>
          <w:p w14:paraId="4F580214" w14:textId="77777777" w:rsidR="00BA5DFD" w:rsidRDefault="00BA5DFD" w:rsidP="00CD7D0C">
            <w:pPr>
              <w:ind w:firstLine="612"/>
              <w:rPr>
                <w:rFonts w:ascii="Times New Roman" w:hAnsi="Times New Roman" w:cs="Times New Roman"/>
              </w:rPr>
            </w:pPr>
          </w:p>
          <w:p w14:paraId="7E549221" w14:textId="77777777" w:rsidR="00BA5DFD" w:rsidRDefault="00BA5DFD" w:rsidP="00CD7D0C">
            <w:pPr>
              <w:ind w:firstLine="612"/>
              <w:rPr>
                <w:rFonts w:ascii="Times New Roman" w:hAnsi="Times New Roman" w:cs="Times New Roman"/>
              </w:rPr>
            </w:pPr>
          </w:p>
          <w:p w14:paraId="0D76E62A" w14:textId="77777777" w:rsidR="00BA5DFD" w:rsidRDefault="00BA5DFD" w:rsidP="00CD7D0C">
            <w:pPr>
              <w:ind w:firstLine="612"/>
              <w:rPr>
                <w:rFonts w:ascii="Times New Roman" w:hAnsi="Times New Roman" w:cs="Times New Roman"/>
              </w:rPr>
            </w:pPr>
          </w:p>
          <w:p w14:paraId="25689B92" w14:textId="77777777" w:rsidR="00BA5DFD" w:rsidRDefault="00BA5DFD" w:rsidP="00CD7D0C">
            <w:pPr>
              <w:ind w:firstLine="612"/>
              <w:rPr>
                <w:rFonts w:ascii="Times New Roman" w:hAnsi="Times New Roman" w:cs="Times New Roman"/>
              </w:rPr>
            </w:pPr>
            <w:r>
              <w:rPr>
                <w:rFonts w:ascii="Times New Roman" w:hAnsi="Times New Roman" w:cs="Times New Roman"/>
              </w:rPr>
              <w:t>Case No. 11-5601-GA-CSS</w:t>
            </w:r>
          </w:p>
        </w:tc>
      </w:tr>
    </w:tbl>
    <w:p w14:paraId="5B8BBED5" w14:textId="77777777" w:rsidR="00BA5DFD" w:rsidRDefault="00BA5DFD" w:rsidP="00BA5DFD">
      <w:pPr>
        <w:jc w:val="center"/>
        <w:rPr>
          <w:rFonts w:ascii="Times New Roman" w:hAnsi="Times New Roman" w:cs="Times New Roman"/>
        </w:rPr>
      </w:pPr>
    </w:p>
    <w:p w14:paraId="1B24E36C" w14:textId="77777777" w:rsidR="00BA5DFD" w:rsidRPr="00F02974" w:rsidRDefault="00BA5DFD" w:rsidP="00BA5DFD">
      <w:pPr>
        <w:jc w:val="center"/>
        <w:rPr>
          <w:rFonts w:ascii="Times New Roman" w:hAnsi="Times New Roman" w:cs="Times New Roman"/>
          <w:b/>
        </w:rPr>
      </w:pPr>
      <w:r>
        <w:rPr>
          <w:rFonts w:ascii="Times New Roman" w:hAnsi="Times New Roman" w:cs="Times New Roman"/>
          <w:b/>
        </w:rPr>
        <w:t>POST-HEARING</w:t>
      </w:r>
      <w:r w:rsidRPr="00F02974">
        <w:rPr>
          <w:rFonts w:ascii="Times New Roman" w:hAnsi="Times New Roman" w:cs="Times New Roman"/>
          <w:b/>
        </w:rPr>
        <w:t xml:space="preserve"> BRIEF OF</w:t>
      </w:r>
      <w:r>
        <w:rPr>
          <w:rFonts w:ascii="Times New Roman" w:hAnsi="Times New Roman" w:cs="Times New Roman"/>
          <w:b/>
        </w:rPr>
        <w:t xml:space="preserve"> RESPONDENT</w:t>
      </w:r>
    </w:p>
    <w:p w14:paraId="71356B3E" w14:textId="77777777" w:rsidR="00BA5DFD" w:rsidRDefault="00BA5DFD" w:rsidP="00BA5DFD">
      <w:pPr>
        <w:jc w:val="center"/>
        <w:rPr>
          <w:rFonts w:ascii="Times New Roman" w:hAnsi="Times New Roman" w:cs="Times New Roman"/>
          <w:b/>
          <w:u w:val="single"/>
        </w:rPr>
      </w:pPr>
      <w:r>
        <w:rPr>
          <w:rFonts w:ascii="Times New Roman" w:hAnsi="Times New Roman" w:cs="Times New Roman"/>
          <w:b/>
          <w:u w:val="single"/>
        </w:rPr>
        <w:t>THE EAST OHIO GAS COMPANY D/B/A DOMINION EAST OHIO</w:t>
      </w:r>
    </w:p>
    <w:p w14:paraId="29600E87" w14:textId="77777777" w:rsidR="00BA5DFD" w:rsidRDefault="00BA5DFD" w:rsidP="00BA5DFD">
      <w:pPr>
        <w:jc w:val="center"/>
        <w:rPr>
          <w:rFonts w:ascii="Times New Roman" w:hAnsi="Times New Roman" w:cs="Times New Roman"/>
          <w:b/>
          <w:u w:val="single"/>
        </w:rPr>
      </w:pPr>
    </w:p>
    <w:p w14:paraId="651A252F" w14:textId="77777777" w:rsidR="00BA5DFD" w:rsidRDefault="00BA5DFD" w:rsidP="00BA5DFD">
      <w:pPr>
        <w:jc w:val="center"/>
        <w:rPr>
          <w:rFonts w:ascii="Times New Roman" w:hAnsi="Times New Roman" w:cs="Times New Roman"/>
          <w:b/>
          <w:u w:val="single"/>
        </w:rPr>
      </w:pPr>
    </w:p>
    <w:p w14:paraId="37117B9A" w14:textId="77777777" w:rsidR="00BA5DFD" w:rsidRDefault="00BA5DFD" w:rsidP="00BA5DFD">
      <w:pPr>
        <w:jc w:val="center"/>
        <w:rPr>
          <w:rFonts w:ascii="Times New Roman" w:hAnsi="Times New Roman" w:cs="Times New Roman"/>
          <w:b/>
          <w:u w:val="single"/>
        </w:rPr>
      </w:pPr>
    </w:p>
    <w:p w14:paraId="34BFA2A1" w14:textId="77777777" w:rsidR="00BA5DFD" w:rsidRDefault="00BA5DFD" w:rsidP="00BA5DFD">
      <w:pPr>
        <w:jc w:val="center"/>
        <w:rPr>
          <w:rFonts w:ascii="Times New Roman" w:hAnsi="Times New Roman" w:cs="Times New Roman"/>
          <w:b/>
          <w:u w:val="single"/>
        </w:rPr>
      </w:pPr>
    </w:p>
    <w:p w14:paraId="36CED29B" w14:textId="77777777" w:rsidR="00BA5DFD" w:rsidRDefault="00BA5DFD" w:rsidP="00BA5DFD">
      <w:pPr>
        <w:jc w:val="center"/>
        <w:rPr>
          <w:rFonts w:ascii="Times New Roman" w:hAnsi="Times New Roman" w:cs="Times New Roman"/>
          <w:b/>
          <w:u w:val="single"/>
        </w:rPr>
      </w:pPr>
    </w:p>
    <w:p w14:paraId="37724F2A" w14:textId="77777777" w:rsidR="00BA5DFD" w:rsidRDefault="00BA5DFD" w:rsidP="00BA5DFD">
      <w:pPr>
        <w:jc w:val="center"/>
        <w:rPr>
          <w:rFonts w:ascii="Times New Roman" w:hAnsi="Times New Roman" w:cs="Times New Roman"/>
          <w:b/>
          <w:u w:val="single"/>
        </w:rPr>
      </w:pPr>
    </w:p>
    <w:p w14:paraId="3753C358" w14:textId="77777777" w:rsidR="00BA5DFD" w:rsidRDefault="00BA5DFD" w:rsidP="00BA5DFD">
      <w:pPr>
        <w:jc w:val="center"/>
        <w:rPr>
          <w:rFonts w:ascii="Times New Roman" w:hAnsi="Times New Roman" w:cs="Times New Roman"/>
          <w:b/>
          <w:u w:val="single"/>
        </w:rPr>
      </w:pPr>
    </w:p>
    <w:p w14:paraId="2379CC94" w14:textId="77777777" w:rsidR="00BA5DFD" w:rsidRDefault="00BA5DFD" w:rsidP="00BA5DFD">
      <w:pPr>
        <w:jc w:val="center"/>
        <w:rPr>
          <w:rFonts w:ascii="Times New Roman" w:hAnsi="Times New Roman" w:cs="Times New Roman"/>
          <w:b/>
          <w:u w:val="single"/>
        </w:rPr>
      </w:pPr>
    </w:p>
    <w:p w14:paraId="12AA19CB" w14:textId="77777777" w:rsidR="00BA5DFD" w:rsidRDefault="00BA5DFD" w:rsidP="00BA5DFD">
      <w:pPr>
        <w:jc w:val="center"/>
        <w:rPr>
          <w:rFonts w:ascii="Times New Roman" w:hAnsi="Times New Roman" w:cs="Times New Roman"/>
          <w:b/>
          <w:u w:val="single"/>
        </w:rPr>
      </w:pPr>
    </w:p>
    <w:p w14:paraId="22AC33ED" w14:textId="77777777" w:rsidR="00BA5DFD" w:rsidRDefault="00BA5DFD" w:rsidP="00BA5DFD">
      <w:pPr>
        <w:jc w:val="center"/>
        <w:rPr>
          <w:rFonts w:ascii="Times New Roman" w:hAnsi="Times New Roman" w:cs="Times New Roman"/>
          <w:b/>
          <w:u w:val="single"/>
        </w:rPr>
      </w:pPr>
    </w:p>
    <w:p w14:paraId="4350C0E5" w14:textId="77777777" w:rsidR="00BA5DFD" w:rsidRDefault="00BA5DFD" w:rsidP="00BA5DFD">
      <w:pPr>
        <w:jc w:val="center"/>
        <w:rPr>
          <w:rFonts w:ascii="Times New Roman" w:hAnsi="Times New Roman" w:cs="Times New Roman"/>
          <w:b/>
          <w:u w:val="single"/>
        </w:rPr>
      </w:pPr>
    </w:p>
    <w:p w14:paraId="0C04FB12" w14:textId="77777777" w:rsidR="00BA5DFD" w:rsidRDefault="00BA5DFD" w:rsidP="00BA5DFD">
      <w:pPr>
        <w:rPr>
          <w:rFonts w:ascii="Times New Roman" w:hAnsi="Times New Roman" w:cs="Times New Roman"/>
          <w:b/>
          <w:u w:val="single"/>
        </w:rPr>
      </w:pPr>
    </w:p>
    <w:p w14:paraId="362087E7" w14:textId="77777777" w:rsidR="00BA5DFD" w:rsidRDefault="00BA5DFD" w:rsidP="00BA5DFD">
      <w:pPr>
        <w:ind w:left="5040"/>
        <w:rPr>
          <w:rFonts w:ascii="Times New Roman" w:hAnsi="Times New Roman" w:cs="Times New Roman"/>
        </w:rPr>
      </w:pPr>
      <w:r>
        <w:rPr>
          <w:rFonts w:ascii="Times New Roman" w:hAnsi="Times New Roman" w:cs="Times New Roman"/>
        </w:rPr>
        <w:t>Mark A. Whitt (Counsel of Record)</w:t>
      </w:r>
    </w:p>
    <w:p w14:paraId="190A82C2" w14:textId="77777777" w:rsidR="00BA5DFD" w:rsidRDefault="00BA5DFD" w:rsidP="00BA5DFD">
      <w:pPr>
        <w:ind w:left="5040"/>
        <w:rPr>
          <w:rFonts w:ascii="Times New Roman" w:hAnsi="Times New Roman" w:cs="Times New Roman"/>
        </w:rPr>
      </w:pPr>
      <w:r>
        <w:rPr>
          <w:rFonts w:ascii="Times New Roman" w:hAnsi="Times New Roman" w:cs="Times New Roman"/>
        </w:rPr>
        <w:t>Andrew J. Campbell</w:t>
      </w:r>
    </w:p>
    <w:p w14:paraId="43471E26" w14:textId="77777777" w:rsidR="00BA5DFD" w:rsidRDefault="00BA5DFD" w:rsidP="00BA5DFD">
      <w:pPr>
        <w:ind w:left="5040"/>
        <w:rPr>
          <w:rFonts w:ascii="Times New Roman" w:hAnsi="Times New Roman" w:cs="Times New Roman"/>
        </w:rPr>
      </w:pPr>
      <w:r>
        <w:rPr>
          <w:rFonts w:ascii="Times New Roman" w:hAnsi="Times New Roman" w:cs="Times New Roman"/>
        </w:rPr>
        <w:t>Melissa L. Thompson</w:t>
      </w:r>
    </w:p>
    <w:p w14:paraId="1A5C7132" w14:textId="77777777" w:rsidR="00BA5DFD" w:rsidRDefault="00BA5DFD" w:rsidP="00BA5DFD">
      <w:pPr>
        <w:ind w:left="5040"/>
        <w:rPr>
          <w:rFonts w:ascii="Times New Roman" w:hAnsi="Times New Roman" w:cs="Times New Roman"/>
        </w:rPr>
      </w:pPr>
      <w:r>
        <w:rPr>
          <w:rFonts w:ascii="Times New Roman" w:hAnsi="Times New Roman" w:cs="Times New Roman"/>
        </w:rPr>
        <w:t>WHITT STURTEVANT LLP</w:t>
      </w:r>
    </w:p>
    <w:p w14:paraId="676F5963" w14:textId="77777777" w:rsidR="00BA5DFD" w:rsidRDefault="00BA5DFD" w:rsidP="00BA5DFD">
      <w:pPr>
        <w:ind w:left="5040"/>
        <w:rPr>
          <w:rFonts w:ascii="Times New Roman" w:hAnsi="Times New Roman" w:cs="Times New Roman"/>
        </w:rPr>
      </w:pPr>
      <w:r>
        <w:rPr>
          <w:rFonts w:ascii="Times New Roman" w:hAnsi="Times New Roman" w:cs="Times New Roman"/>
        </w:rPr>
        <w:t>PNC Plaza, Suite 2020</w:t>
      </w:r>
    </w:p>
    <w:p w14:paraId="35C51D15" w14:textId="77777777" w:rsidR="00BA5DFD" w:rsidRDefault="00BA5DFD" w:rsidP="00BA5DFD">
      <w:pPr>
        <w:ind w:left="5040"/>
        <w:rPr>
          <w:rFonts w:ascii="Times New Roman" w:hAnsi="Times New Roman" w:cs="Times New Roman"/>
        </w:rPr>
      </w:pPr>
      <w:r>
        <w:rPr>
          <w:rFonts w:ascii="Times New Roman" w:hAnsi="Times New Roman" w:cs="Times New Roman"/>
        </w:rPr>
        <w:t>155 East Broad Street</w:t>
      </w:r>
    </w:p>
    <w:p w14:paraId="65F97A9B" w14:textId="77777777" w:rsidR="00BA5DFD" w:rsidRDefault="00BA5DFD" w:rsidP="00BA5DFD">
      <w:pPr>
        <w:ind w:left="5040"/>
        <w:rPr>
          <w:rFonts w:ascii="Times New Roman" w:hAnsi="Times New Roman" w:cs="Times New Roman"/>
        </w:rPr>
      </w:pPr>
      <w:r>
        <w:rPr>
          <w:rFonts w:ascii="Times New Roman" w:hAnsi="Times New Roman" w:cs="Times New Roman"/>
        </w:rPr>
        <w:t>Columbus, Ohio 43215</w:t>
      </w:r>
    </w:p>
    <w:p w14:paraId="2EE16D31" w14:textId="77777777" w:rsidR="00BA5DFD" w:rsidRDefault="00BA5DFD" w:rsidP="00BA5DFD">
      <w:pPr>
        <w:ind w:left="5040"/>
        <w:rPr>
          <w:rFonts w:ascii="Times New Roman" w:hAnsi="Times New Roman" w:cs="Times New Roman"/>
        </w:rPr>
      </w:pPr>
      <w:r>
        <w:rPr>
          <w:rFonts w:ascii="Times New Roman" w:hAnsi="Times New Roman" w:cs="Times New Roman"/>
        </w:rPr>
        <w:t>Telephone: (614) 224-3911</w:t>
      </w:r>
    </w:p>
    <w:p w14:paraId="1926C553" w14:textId="77777777" w:rsidR="00BA5DFD" w:rsidRDefault="00BA5DFD" w:rsidP="00BA5DFD">
      <w:pPr>
        <w:ind w:left="5040"/>
        <w:rPr>
          <w:rFonts w:ascii="Times New Roman" w:hAnsi="Times New Roman" w:cs="Times New Roman"/>
        </w:rPr>
      </w:pPr>
      <w:r>
        <w:rPr>
          <w:rFonts w:ascii="Times New Roman" w:hAnsi="Times New Roman" w:cs="Times New Roman"/>
        </w:rPr>
        <w:t>Facsimile:  (614) 224-3960</w:t>
      </w:r>
    </w:p>
    <w:p w14:paraId="7F6CB06E" w14:textId="77777777" w:rsidR="00BA5DFD" w:rsidRDefault="00BA5DFD" w:rsidP="00BA5DFD">
      <w:pPr>
        <w:ind w:left="5040"/>
        <w:rPr>
          <w:rFonts w:ascii="Times New Roman" w:hAnsi="Times New Roman" w:cs="Times New Roman"/>
        </w:rPr>
      </w:pPr>
      <w:r>
        <w:rPr>
          <w:rFonts w:ascii="Times New Roman" w:hAnsi="Times New Roman" w:cs="Times New Roman"/>
        </w:rPr>
        <w:t>whitt@whitt-sturtevant.com</w:t>
      </w:r>
    </w:p>
    <w:p w14:paraId="07B95D68" w14:textId="77777777" w:rsidR="00BA5DFD" w:rsidRDefault="00BA5DFD" w:rsidP="00BA5DFD">
      <w:pPr>
        <w:ind w:left="5040"/>
        <w:rPr>
          <w:rFonts w:ascii="Times New Roman" w:hAnsi="Times New Roman" w:cs="Times New Roman"/>
        </w:rPr>
      </w:pPr>
      <w:r>
        <w:rPr>
          <w:rFonts w:ascii="Times New Roman" w:hAnsi="Times New Roman" w:cs="Times New Roman"/>
        </w:rPr>
        <w:t>campbell@whtt-sturtevant.com</w:t>
      </w:r>
    </w:p>
    <w:p w14:paraId="6D41128E" w14:textId="77777777" w:rsidR="00BA5DFD" w:rsidRDefault="00BA5DFD" w:rsidP="00BA5DFD">
      <w:pPr>
        <w:ind w:left="5040"/>
        <w:rPr>
          <w:rFonts w:ascii="Times New Roman" w:hAnsi="Times New Roman" w:cs="Times New Roman"/>
        </w:rPr>
      </w:pPr>
      <w:r>
        <w:rPr>
          <w:rFonts w:ascii="Times New Roman" w:hAnsi="Times New Roman" w:cs="Times New Roman"/>
        </w:rPr>
        <w:t>thompson@whitt-sturtevant.com</w:t>
      </w:r>
    </w:p>
    <w:p w14:paraId="7471BF21" w14:textId="77777777" w:rsidR="00BA5DFD" w:rsidRDefault="00BA5DFD" w:rsidP="00BA5DFD">
      <w:pPr>
        <w:ind w:left="5040"/>
        <w:rPr>
          <w:rFonts w:ascii="Times New Roman" w:hAnsi="Times New Roman" w:cs="Times New Roman"/>
        </w:rPr>
      </w:pPr>
    </w:p>
    <w:p w14:paraId="4ABE4468" w14:textId="77777777" w:rsidR="00BA5DFD" w:rsidRDefault="00BA5DFD" w:rsidP="00BA5DFD">
      <w:pPr>
        <w:ind w:left="5040"/>
        <w:rPr>
          <w:rFonts w:ascii="Times New Roman" w:hAnsi="Times New Roman" w:cs="Times New Roman"/>
        </w:rPr>
      </w:pPr>
      <w:r>
        <w:rPr>
          <w:rFonts w:ascii="Times New Roman" w:hAnsi="Times New Roman" w:cs="Times New Roman"/>
        </w:rPr>
        <w:t>ATTORNEYS FOR THE EAST OHIO GAS COMPANY D/B/A DOMINION EAST OHIO</w:t>
      </w:r>
    </w:p>
    <w:p w14:paraId="00532785" w14:textId="77777777" w:rsidR="00BA5DFD" w:rsidRDefault="00BA5DFD" w:rsidP="00BA5DFD">
      <w:pPr>
        <w:ind w:left="5040"/>
        <w:rPr>
          <w:rFonts w:ascii="Times New Roman" w:hAnsi="Times New Roman" w:cs="Times New Roman"/>
        </w:rPr>
      </w:pPr>
    </w:p>
    <w:p w14:paraId="111FD5B6" w14:textId="77777777" w:rsidR="00BA5DFD" w:rsidRDefault="00BA5DFD" w:rsidP="00BA5DFD">
      <w:pPr>
        <w:rPr>
          <w:rFonts w:ascii="Times New Roman" w:hAnsi="Times New Roman" w:cs="Times New Roman"/>
        </w:rPr>
      </w:pPr>
      <w:r>
        <w:rPr>
          <w:rFonts w:ascii="Times New Roman" w:hAnsi="Times New Roman" w:cs="Times New Roman"/>
        </w:rPr>
        <w:t>Dated:  August 2, 2012</w:t>
      </w:r>
    </w:p>
    <w:p w14:paraId="3944ADD6" w14:textId="77777777" w:rsidR="00BA5DFD" w:rsidRDefault="00BA5DFD" w:rsidP="00BA5DFD">
      <w:pPr>
        <w:rPr>
          <w:rFonts w:ascii="Times New Roman" w:hAnsi="Times New Roman" w:cs="Times New Roman"/>
        </w:rPr>
        <w:sectPr w:rsidR="00BA5DFD" w:rsidSect="00CD7D0C">
          <w:footerReference w:type="even" r:id="rId9"/>
          <w:footerReference w:type="default" r:id="rId10"/>
          <w:pgSz w:w="12240" w:h="15840"/>
          <w:pgMar w:top="1440" w:right="1440" w:bottom="1440" w:left="1440" w:header="720" w:footer="720" w:gutter="0"/>
          <w:cols w:space="720"/>
          <w:titlePg/>
          <w:docGrid w:linePitch="360"/>
        </w:sectPr>
      </w:pPr>
    </w:p>
    <w:p w14:paraId="0D566A08" w14:textId="1ACDC70E" w:rsidR="00BA5DFD" w:rsidRPr="00BA5DFD" w:rsidRDefault="00BA5DFD" w:rsidP="00BA5DFD">
      <w:pPr>
        <w:jc w:val="center"/>
        <w:rPr>
          <w:rFonts w:ascii="Times New Roman" w:hAnsi="Times New Roman" w:cs="Times New Roman"/>
        </w:rPr>
      </w:pPr>
      <w:r w:rsidRPr="00BA5DFD">
        <w:rPr>
          <w:rFonts w:ascii="Times New Roman" w:hAnsi="Times New Roman" w:cs="Times New Roman"/>
          <w:b/>
          <w:u w:val="single"/>
        </w:rPr>
        <w:lastRenderedPageBreak/>
        <w:t>TABLE OF CONTENTS</w:t>
      </w:r>
      <w:r w:rsidRPr="00BA5DFD">
        <w:rPr>
          <w:rFonts w:ascii="Times New Roman" w:hAnsi="Times New Roman" w:cs="Times New Roman"/>
          <w:b/>
          <w:u w:val="single"/>
        </w:rPr>
        <w:br/>
      </w:r>
    </w:p>
    <w:p w14:paraId="771602A4" w14:textId="77777777" w:rsidR="00BA5DFD" w:rsidRPr="00BA5DFD" w:rsidRDefault="00BA5DFD" w:rsidP="00BA5DFD">
      <w:pPr>
        <w:pStyle w:val="TOC1"/>
        <w:tabs>
          <w:tab w:val="left" w:pos="380"/>
          <w:tab w:val="right" w:leader="dot" w:pos="9350"/>
        </w:tabs>
        <w:spacing w:after="120"/>
        <w:ind w:hanging="374"/>
        <w:rPr>
          <w:rFonts w:cs="Times New Roman"/>
          <w:b/>
          <w:noProof/>
          <w:lang w:eastAsia="ja-JP"/>
        </w:rPr>
      </w:pPr>
      <w:r w:rsidRPr="00BA5DFD">
        <w:rPr>
          <w:rFonts w:cs="Times New Roman"/>
          <w:b/>
        </w:rPr>
        <w:fldChar w:fldCharType="begin"/>
      </w:r>
      <w:r w:rsidRPr="00BA5DFD">
        <w:rPr>
          <w:rFonts w:cs="Times New Roman"/>
          <w:b/>
        </w:rPr>
        <w:instrText xml:space="preserve"> TOC \t "Memo Heading 2,2,Memo Heading 1,1,Memo Heading 3,3,Memo Heading 4,4" </w:instrText>
      </w:r>
      <w:r w:rsidRPr="00BA5DFD">
        <w:rPr>
          <w:rFonts w:cs="Times New Roman"/>
          <w:b/>
        </w:rPr>
        <w:fldChar w:fldCharType="separate"/>
      </w:r>
      <w:r w:rsidRPr="00BA5DFD">
        <w:rPr>
          <w:rFonts w:cs="Times New Roman"/>
          <w:b/>
          <w:noProof/>
        </w:rPr>
        <w:t>I.</w:t>
      </w:r>
      <w:r w:rsidRPr="00BA5DFD">
        <w:rPr>
          <w:rFonts w:cs="Times New Roman"/>
          <w:b/>
          <w:noProof/>
          <w:lang w:eastAsia="ja-JP"/>
        </w:rPr>
        <w:tab/>
      </w:r>
      <w:r w:rsidRPr="00BA5DFD">
        <w:rPr>
          <w:rFonts w:cs="Times New Roman"/>
          <w:b/>
          <w:noProof/>
        </w:rPr>
        <w:t>INTRODUCTION</w:t>
      </w:r>
      <w:r w:rsidRPr="00BA5DFD">
        <w:rPr>
          <w:rFonts w:cs="Times New Roman"/>
          <w:b/>
          <w:noProof/>
        </w:rPr>
        <w:tab/>
      </w:r>
      <w:r w:rsidRPr="00BA5DFD">
        <w:rPr>
          <w:rFonts w:cs="Times New Roman"/>
          <w:b/>
          <w:noProof/>
        </w:rPr>
        <w:fldChar w:fldCharType="begin"/>
      </w:r>
      <w:r w:rsidRPr="00BA5DFD">
        <w:rPr>
          <w:rFonts w:cs="Times New Roman"/>
          <w:b/>
          <w:noProof/>
        </w:rPr>
        <w:instrText xml:space="preserve"> PAGEREF _Toc205266043 \h </w:instrText>
      </w:r>
      <w:r w:rsidRPr="00BA5DFD">
        <w:rPr>
          <w:rFonts w:cs="Times New Roman"/>
          <w:b/>
          <w:noProof/>
        </w:rPr>
      </w:r>
      <w:r w:rsidRPr="00BA5DFD">
        <w:rPr>
          <w:rFonts w:cs="Times New Roman"/>
          <w:b/>
          <w:noProof/>
        </w:rPr>
        <w:fldChar w:fldCharType="separate"/>
      </w:r>
      <w:r w:rsidR="00BC2E31">
        <w:rPr>
          <w:rFonts w:cs="Times New Roman"/>
          <w:b/>
          <w:noProof/>
        </w:rPr>
        <w:t>1</w:t>
      </w:r>
      <w:r w:rsidRPr="00BA5DFD">
        <w:rPr>
          <w:rFonts w:cs="Times New Roman"/>
          <w:b/>
          <w:noProof/>
        </w:rPr>
        <w:fldChar w:fldCharType="end"/>
      </w:r>
    </w:p>
    <w:p w14:paraId="22703581" w14:textId="77777777" w:rsidR="00BA5DFD" w:rsidRPr="00BA5DFD" w:rsidRDefault="00BA5DFD" w:rsidP="00BA5DFD">
      <w:pPr>
        <w:pStyle w:val="TOC1"/>
        <w:tabs>
          <w:tab w:val="left" w:pos="460"/>
          <w:tab w:val="right" w:leader="dot" w:pos="9350"/>
        </w:tabs>
        <w:spacing w:after="120"/>
        <w:ind w:hanging="374"/>
        <w:rPr>
          <w:rFonts w:cs="Times New Roman"/>
          <w:b/>
          <w:noProof/>
          <w:lang w:eastAsia="ja-JP"/>
        </w:rPr>
      </w:pPr>
      <w:r w:rsidRPr="00BA5DFD">
        <w:rPr>
          <w:rFonts w:cs="Times New Roman"/>
          <w:b/>
          <w:noProof/>
        </w:rPr>
        <w:t>II.</w:t>
      </w:r>
      <w:r w:rsidRPr="00BA5DFD">
        <w:rPr>
          <w:rFonts w:cs="Times New Roman"/>
          <w:b/>
          <w:noProof/>
          <w:lang w:eastAsia="ja-JP"/>
        </w:rPr>
        <w:tab/>
      </w:r>
      <w:r w:rsidRPr="00BA5DFD">
        <w:rPr>
          <w:rFonts w:cs="Times New Roman"/>
          <w:b/>
          <w:noProof/>
        </w:rPr>
        <w:t>FACTUAL BACKGROUND</w:t>
      </w:r>
      <w:r w:rsidRPr="00BA5DFD">
        <w:rPr>
          <w:rFonts w:cs="Times New Roman"/>
          <w:b/>
          <w:noProof/>
        </w:rPr>
        <w:tab/>
      </w:r>
      <w:r w:rsidRPr="00BA5DFD">
        <w:rPr>
          <w:rFonts w:cs="Times New Roman"/>
          <w:b/>
          <w:noProof/>
        </w:rPr>
        <w:fldChar w:fldCharType="begin"/>
      </w:r>
      <w:r w:rsidRPr="00BA5DFD">
        <w:rPr>
          <w:rFonts w:cs="Times New Roman"/>
          <w:b/>
          <w:noProof/>
        </w:rPr>
        <w:instrText xml:space="preserve"> PAGEREF _Toc205266044 \h </w:instrText>
      </w:r>
      <w:r w:rsidRPr="00BA5DFD">
        <w:rPr>
          <w:rFonts w:cs="Times New Roman"/>
          <w:b/>
          <w:noProof/>
        </w:rPr>
      </w:r>
      <w:r w:rsidRPr="00BA5DFD">
        <w:rPr>
          <w:rFonts w:cs="Times New Roman"/>
          <w:b/>
          <w:noProof/>
        </w:rPr>
        <w:fldChar w:fldCharType="separate"/>
      </w:r>
      <w:r w:rsidR="00BC2E31">
        <w:rPr>
          <w:rFonts w:cs="Times New Roman"/>
          <w:b/>
          <w:noProof/>
        </w:rPr>
        <w:t>2</w:t>
      </w:r>
      <w:r w:rsidRPr="00BA5DFD">
        <w:rPr>
          <w:rFonts w:cs="Times New Roman"/>
          <w:b/>
          <w:noProof/>
        </w:rPr>
        <w:fldChar w:fldCharType="end"/>
      </w:r>
    </w:p>
    <w:p w14:paraId="45C16D4E" w14:textId="77777777" w:rsidR="00BA5DFD" w:rsidRPr="00BA5DFD" w:rsidRDefault="00BA5DFD" w:rsidP="00BA5DFD">
      <w:pPr>
        <w:pStyle w:val="TOC1"/>
        <w:tabs>
          <w:tab w:val="left" w:pos="540"/>
          <w:tab w:val="right" w:leader="dot" w:pos="9350"/>
        </w:tabs>
        <w:spacing w:after="120"/>
        <w:ind w:hanging="374"/>
        <w:rPr>
          <w:rFonts w:cs="Times New Roman"/>
          <w:b/>
          <w:noProof/>
          <w:lang w:eastAsia="ja-JP"/>
        </w:rPr>
      </w:pPr>
      <w:r w:rsidRPr="00BA5DFD">
        <w:rPr>
          <w:rFonts w:cs="Times New Roman"/>
          <w:b/>
          <w:noProof/>
        </w:rPr>
        <w:t>III.</w:t>
      </w:r>
      <w:r w:rsidRPr="00BA5DFD">
        <w:rPr>
          <w:rFonts w:cs="Times New Roman"/>
          <w:b/>
          <w:noProof/>
          <w:lang w:eastAsia="ja-JP"/>
        </w:rPr>
        <w:tab/>
      </w:r>
      <w:r w:rsidRPr="00BA5DFD">
        <w:rPr>
          <w:rFonts w:cs="Times New Roman"/>
          <w:b/>
          <w:noProof/>
        </w:rPr>
        <w:t>STANDARD OF PROOF</w:t>
      </w:r>
      <w:r w:rsidRPr="00BA5DFD">
        <w:rPr>
          <w:rFonts w:cs="Times New Roman"/>
          <w:b/>
          <w:noProof/>
        </w:rPr>
        <w:tab/>
      </w:r>
      <w:r w:rsidRPr="00BA5DFD">
        <w:rPr>
          <w:rFonts w:cs="Times New Roman"/>
          <w:b/>
          <w:noProof/>
        </w:rPr>
        <w:fldChar w:fldCharType="begin"/>
      </w:r>
      <w:r w:rsidRPr="00BA5DFD">
        <w:rPr>
          <w:rFonts w:cs="Times New Roman"/>
          <w:b/>
          <w:noProof/>
        </w:rPr>
        <w:instrText xml:space="preserve"> PAGEREF _Toc205266045 \h </w:instrText>
      </w:r>
      <w:r w:rsidRPr="00BA5DFD">
        <w:rPr>
          <w:rFonts w:cs="Times New Roman"/>
          <w:b/>
          <w:noProof/>
        </w:rPr>
      </w:r>
      <w:r w:rsidRPr="00BA5DFD">
        <w:rPr>
          <w:rFonts w:cs="Times New Roman"/>
          <w:b/>
          <w:noProof/>
        </w:rPr>
        <w:fldChar w:fldCharType="separate"/>
      </w:r>
      <w:r w:rsidR="00BC2E31">
        <w:rPr>
          <w:rFonts w:cs="Times New Roman"/>
          <w:b/>
          <w:noProof/>
        </w:rPr>
        <w:t>3</w:t>
      </w:r>
      <w:r w:rsidRPr="00BA5DFD">
        <w:rPr>
          <w:rFonts w:cs="Times New Roman"/>
          <w:b/>
          <w:noProof/>
        </w:rPr>
        <w:fldChar w:fldCharType="end"/>
      </w:r>
    </w:p>
    <w:p w14:paraId="288B2234" w14:textId="77777777" w:rsidR="00BA5DFD" w:rsidRPr="00BA5DFD" w:rsidRDefault="00BA5DFD" w:rsidP="00BA5DFD">
      <w:pPr>
        <w:pStyle w:val="TOC1"/>
        <w:tabs>
          <w:tab w:val="left" w:pos="553"/>
          <w:tab w:val="right" w:leader="dot" w:pos="9350"/>
        </w:tabs>
        <w:spacing w:after="120"/>
        <w:ind w:hanging="374"/>
        <w:rPr>
          <w:rFonts w:cs="Times New Roman"/>
          <w:b/>
          <w:noProof/>
          <w:lang w:eastAsia="ja-JP"/>
        </w:rPr>
      </w:pPr>
      <w:r w:rsidRPr="00BA5DFD">
        <w:rPr>
          <w:rFonts w:cs="Times New Roman"/>
          <w:b/>
          <w:noProof/>
        </w:rPr>
        <w:t>IV.</w:t>
      </w:r>
      <w:r w:rsidRPr="00BA5DFD">
        <w:rPr>
          <w:rFonts w:cs="Times New Roman"/>
          <w:b/>
          <w:noProof/>
          <w:lang w:eastAsia="ja-JP"/>
        </w:rPr>
        <w:tab/>
      </w:r>
      <w:r w:rsidRPr="00BA5DFD">
        <w:rPr>
          <w:rFonts w:cs="Times New Roman"/>
          <w:b/>
          <w:noProof/>
        </w:rPr>
        <w:t>ARGUMENT</w:t>
      </w:r>
      <w:r w:rsidRPr="00BA5DFD">
        <w:rPr>
          <w:rFonts w:cs="Times New Roman"/>
          <w:b/>
          <w:noProof/>
        </w:rPr>
        <w:tab/>
      </w:r>
      <w:r w:rsidRPr="00BA5DFD">
        <w:rPr>
          <w:rFonts w:cs="Times New Roman"/>
          <w:b/>
          <w:noProof/>
        </w:rPr>
        <w:fldChar w:fldCharType="begin"/>
      </w:r>
      <w:r w:rsidRPr="00BA5DFD">
        <w:rPr>
          <w:rFonts w:cs="Times New Roman"/>
          <w:b/>
          <w:noProof/>
        </w:rPr>
        <w:instrText xml:space="preserve"> PAGEREF _Toc205266046 \h </w:instrText>
      </w:r>
      <w:r w:rsidRPr="00BA5DFD">
        <w:rPr>
          <w:rFonts w:cs="Times New Roman"/>
          <w:b/>
          <w:noProof/>
        </w:rPr>
      </w:r>
      <w:r w:rsidRPr="00BA5DFD">
        <w:rPr>
          <w:rFonts w:cs="Times New Roman"/>
          <w:b/>
          <w:noProof/>
        </w:rPr>
        <w:fldChar w:fldCharType="separate"/>
      </w:r>
      <w:r w:rsidR="00BC2E31">
        <w:rPr>
          <w:rFonts w:cs="Times New Roman"/>
          <w:b/>
          <w:noProof/>
        </w:rPr>
        <w:t>3</w:t>
      </w:r>
      <w:r w:rsidRPr="00BA5DFD">
        <w:rPr>
          <w:rFonts w:cs="Times New Roman"/>
          <w:b/>
          <w:noProof/>
        </w:rPr>
        <w:fldChar w:fldCharType="end"/>
      </w:r>
    </w:p>
    <w:p w14:paraId="7CABE8B3" w14:textId="77777777" w:rsidR="00BA5DFD" w:rsidRPr="00BA5DFD" w:rsidRDefault="00BA5DFD" w:rsidP="00BA5DFD">
      <w:pPr>
        <w:pStyle w:val="TOC2"/>
        <w:rPr>
          <w:rFonts w:ascii="Times New Roman" w:hAnsi="Times New Roman" w:cs="Times New Roman"/>
          <w:noProof/>
          <w:lang w:eastAsia="ja-JP"/>
        </w:rPr>
      </w:pPr>
      <w:r w:rsidRPr="00BA5DFD">
        <w:rPr>
          <w:rFonts w:ascii="Times New Roman" w:hAnsi="Times New Roman" w:cs="Times New Roman"/>
          <w:noProof/>
        </w:rPr>
        <w:t>A.</w:t>
      </w:r>
      <w:r w:rsidRPr="00BA5DFD">
        <w:rPr>
          <w:rFonts w:ascii="Times New Roman" w:hAnsi="Times New Roman" w:cs="Times New Roman"/>
          <w:noProof/>
          <w:lang w:eastAsia="ja-JP"/>
        </w:rPr>
        <w:tab/>
      </w:r>
      <w:r w:rsidRPr="00BA5DFD">
        <w:rPr>
          <w:rFonts w:ascii="Times New Roman" w:hAnsi="Times New Roman" w:cs="Times New Roman"/>
          <w:noProof/>
        </w:rPr>
        <w:t>The evidence shows that DEO accurately measured Ms. Alexander’s gas consumption.</w:t>
      </w:r>
      <w:r w:rsidRPr="00BA5DFD">
        <w:rPr>
          <w:rFonts w:ascii="Times New Roman" w:hAnsi="Times New Roman" w:cs="Times New Roman"/>
          <w:noProof/>
        </w:rPr>
        <w:tab/>
      </w:r>
      <w:r w:rsidRPr="00BA5DFD">
        <w:rPr>
          <w:rFonts w:ascii="Times New Roman" w:hAnsi="Times New Roman" w:cs="Times New Roman"/>
          <w:noProof/>
        </w:rPr>
        <w:fldChar w:fldCharType="begin"/>
      </w:r>
      <w:r w:rsidRPr="00BA5DFD">
        <w:rPr>
          <w:rFonts w:ascii="Times New Roman" w:hAnsi="Times New Roman" w:cs="Times New Roman"/>
          <w:noProof/>
        </w:rPr>
        <w:instrText xml:space="preserve"> PAGEREF _Toc205266047 \h </w:instrText>
      </w:r>
      <w:r w:rsidRPr="00BA5DFD">
        <w:rPr>
          <w:rFonts w:ascii="Times New Roman" w:hAnsi="Times New Roman" w:cs="Times New Roman"/>
          <w:noProof/>
        </w:rPr>
      </w:r>
      <w:r w:rsidRPr="00BA5DFD">
        <w:rPr>
          <w:rFonts w:ascii="Times New Roman" w:hAnsi="Times New Roman" w:cs="Times New Roman"/>
          <w:noProof/>
        </w:rPr>
        <w:fldChar w:fldCharType="separate"/>
      </w:r>
      <w:r w:rsidR="00BC2E31">
        <w:rPr>
          <w:rFonts w:ascii="Times New Roman" w:hAnsi="Times New Roman" w:cs="Times New Roman"/>
          <w:noProof/>
        </w:rPr>
        <w:t>3</w:t>
      </w:r>
      <w:r w:rsidRPr="00BA5DFD">
        <w:rPr>
          <w:rFonts w:ascii="Times New Roman" w:hAnsi="Times New Roman" w:cs="Times New Roman"/>
          <w:noProof/>
        </w:rPr>
        <w:fldChar w:fldCharType="end"/>
      </w:r>
    </w:p>
    <w:p w14:paraId="6A0B03A0" w14:textId="77777777" w:rsidR="00BA5DFD" w:rsidRPr="00BA5DFD" w:rsidRDefault="00BA5DFD" w:rsidP="00BA5DFD">
      <w:pPr>
        <w:pStyle w:val="TOC2"/>
        <w:rPr>
          <w:rFonts w:ascii="Times New Roman" w:hAnsi="Times New Roman" w:cs="Times New Roman"/>
          <w:noProof/>
          <w:lang w:eastAsia="ja-JP"/>
        </w:rPr>
      </w:pPr>
      <w:r w:rsidRPr="00BA5DFD">
        <w:rPr>
          <w:rFonts w:ascii="Times New Roman" w:hAnsi="Times New Roman" w:cs="Times New Roman"/>
          <w:noProof/>
        </w:rPr>
        <w:t>B.</w:t>
      </w:r>
      <w:r w:rsidRPr="00BA5DFD">
        <w:rPr>
          <w:rFonts w:ascii="Times New Roman" w:hAnsi="Times New Roman" w:cs="Times New Roman"/>
          <w:noProof/>
          <w:lang w:eastAsia="ja-JP"/>
        </w:rPr>
        <w:tab/>
      </w:r>
      <w:r w:rsidRPr="00BA5DFD">
        <w:rPr>
          <w:rFonts w:ascii="Times New Roman" w:hAnsi="Times New Roman" w:cs="Times New Roman"/>
          <w:noProof/>
        </w:rPr>
        <w:t>DEO accurately billed Ms. Alexander for her gas service.</w:t>
      </w:r>
      <w:r w:rsidRPr="00BA5DFD">
        <w:rPr>
          <w:rFonts w:ascii="Times New Roman" w:hAnsi="Times New Roman" w:cs="Times New Roman"/>
          <w:noProof/>
        </w:rPr>
        <w:tab/>
      </w:r>
      <w:r w:rsidRPr="00BA5DFD">
        <w:rPr>
          <w:rFonts w:ascii="Times New Roman" w:hAnsi="Times New Roman" w:cs="Times New Roman"/>
          <w:noProof/>
        </w:rPr>
        <w:fldChar w:fldCharType="begin"/>
      </w:r>
      <w:r w:rsidRPr="00BA5DFD">
        <w:rPr>
          <w:rFonts w:ascii="Times New Roman" w:hAnsi="Times New Roman" w:cs="Times New Roman"/>
          <w:noProof/>
        </w:rPr>
        <w:instrText xml:space="preserve"> PAGEREF _Toc205266048 \h </w:instrText>
      </w:r>
      <w:r w:rsidRPr="00BA5DFD">
        <w:rPr>
          <w:rFonts w:ascii="Times New Roman" w:hAnsi="Times New Roman" w:cs="Times New Roman"/>
          <w:noProof/>
        </w:rPr>
      </w:r>
      <w:r w:rsidRPr="00BA5DFD">
        <w:rPr>
          <w:rFonts w:ascii="Times New Roman" w:hAnsi="Times New Roman" w:cs="Times New Roman"/>
          <w:noProof/>
        </w:rPr>
        <w:fldChar w:fldCharType="separate"/>
      </w:r>
      <w:r w:rsidR="00BC2E31">
        <w:rPr>
          <w:rFonts w:ascii="Times New Roman" w:hAnsi="Times New Roman" w:cs="Times New Roman"/>
          <w:noProof/>
        </w:rPr>
        <w:t>5</w:t>
      </w:r>
      <w:r w:rsidRPr="00BA5DFD">
        <w:rPr>
          <w:rFonts w:ascii="Times New Roman" w:hAnsi="Times New Roman" w:cs="Times New Roman"/>
          <w:noProof/>
        </w:rPr>
        <w:fldChar w:fldCharType="end"/>
      </w:r>
    </w:p>
    <w:p w14:paraId="439700D8" w14:textId="77777777" w:rsidR="00BA5DFD" w:rsidRPr="00BA5DFD" w:rsidRDefault="00BA5DFD" w:rsidP="00BA5DFD">
      <w:pPr>
        <w:pStyle w:val="TOC1"/>
        <w:tabs>
          <w:tab w:val="left" w:pos="473"/>
          <w:tab w:val="right" w:leader="dot" w:pos="9350"/>
        </w:tabs>
        <w:spacing w:after="120"/>
        <w:ind w:hanging="374"/>
        <w:rPr>
          <w:rFonts w:cs="Times New Roman"/>
          <w:b/>
          <w:noProof/>
          <w:lang w:eastAsia="ja-JP"/>
        </w:rPr>
      </w:pPr>
      <w:r w:rsidRPr="00BA5DFD">
        <w:rPr>
          <w:rFonts w:cs="Times New Roman"/>
          <w:b/>
          <w:noProof/>
        </w:rPr>
        <w:t>V.</w:t>
      </w:r>
      <w:r w:rsidRPr="00BA5DFD">
        <w:rPr>
          <w:rFonts w:cs="Times New Roman"/>
          <w:b/>
          <w:noProof/>
          <w:lang w:eastAsia="ja-JP"/>
        </w:rPr>
        <w:tab/>
      </w:r>
      <w:r w:rsidRPr="00BA5DFD">
        <w:rPr>
          <w:rFonts w:cs="Times New Roman"/>
          <w:b/>
          <w:noProof/>
        </w:rPr>
        <w:t>CONCLUSION</w:t>
      </w:r>
      <w:r w:rsidRPr="00BA5DFD">
        <w:rPr>
          <w:rFonts w:cs="Times New Roman"/>
          <w:b/>
          <w:noProof/>
        </w:rPr>
        <w:tab/>
      </w:r>
      <w:r w:rsidRPr="00BA5DFD">
        <w:rPr>
          <w:rFonts w:cs="Times New Roman"/>
          <w:b/>
          <w:noProof/>
        </w:rPr>
        <w:fldChar w:fldCharType="begin"/>
      </w:r>
      <w:r w:rsidRPr="00BA5DFD">
        <w:rPr>
          <w:rFonts w:cs="Times New Roman"/>
          <w:b/>
          <w:noProof/>
        </w:rPr>
        <w:instrText xml:space="preserve"> PAGEREF _Toc205266049 \h </w:instrText>
      </w:r>
      <w:r w:rsidRPr="00BA5DFD">
        <w:rPr>
          <w:rFonts w:cs="Times New Roman"/>
          <w:b/>
          <w:noProof/>
        </w:rPr>
      </w:r>
      <w:r w:rsidRPr="00BA5DFD">
        <w:rPr>
          <w:rFonts w:cs="Times New Roman"/>
          <w:b/>
          <w:noProof/>
        </w:rPr>
        <w:fldChar w:fldCharType="separate"/>
      </w:r>
      <w:r w:rsidR="00BC2E31">
        <w:rPr>
          <w:rFonts w:cs="Times New Roman"/>
          <w:b/>
          <w:noProof/>
        </w:rPr>
        <w:t>6</w:t>
      </w:r>
      <w:r w:rsidRPr="00BA5DFD">
        <w:rPr>
          <w:rFonts w:cs="Times New Roman"/>
          <w:b/>
          <w:noProof/>
        </w:rPr>
        <w:fldChar w:fldCharType="end"/>
      </w:r>
    </w:p>
    <w:p w14:paraId="257F475B" w14:textId="77777777" w:rsidR="00BA5DFD" w:rsidRDefault="00BA5DFD" w:rsidP="00BA5DFD">
      <w:pPr>
        <w:pStyle w:val="TOC1"/>
        <w:spacing w:after="120"/>
        <w:ind w:hanging="374"/>
        <w:rPr>
          <w:rFonts w:cs="Times New Roman"/>
          <w:b/>
        </w:rPr>
        <w:sectPr w:rsidR="00BA5DFD" w:rsidSect="00CD7D0C">
          <w:pgSz w:w="12240" w:h="15840"/>
          <w:pgMar w:top="1440" w:right="1440" w:bottom="1440" w:left="1440" w:header="720" w:footer="720" w:gutter="0"/>
          <w:cols w:space="720"/>
          <w:titlePg/>
          <w:docGrid w:linePitch="360"/>
        </w:sectPr>
      </w:pPr>
      <w:r w:rsidRPr="00BA5DFD">
        <w:rPr>
          <w:rFonts w:cs="Times New Roman"/>
          <w:b/>
        </w:rPr>
        <w:fldChar w:fldCharType="end"/>
      </w:r>
    </w:p>
    <w:p w14:paraId="53523A8B" w14:textId="77777777" w:rsidR="00BA5DFD" w:rsidRDefault="00BA5DFD" w:rsidP="00BA5DFD">
      <w:pPr>
        <w:jc w:val="center"/>
        <w:rPr>
          <w:rFonts w:ascii="Times New Roman" w:hAnsi="Times New Roman" w:cs="Times New Roman"/>
          <w:b/>
        </w:rPr>
      </w:pPr>
      <w:r>
        <w:rPr>
          <w:rFonts w:ascii="Times New Roman" w:hAnsi="Times New Roman" w:cs="Times New Roman"/>
          <w:b/>
        </w:rPr>
        <w:t>BEFORE</w:t>
      </w:r>
    </w:p>
    <w:p w14:paraId="149CD34C" w14:textId="77777777" w:rsidR="00BA5DFD" w:rsidRDefault="00BA5DFD" w:rsidP="00BA5DFD">
      <w:pPr>
        <w:jc w:val="center"/>
        <w:rPr>
          <w:rFonts w:ascii="Times New Roman" w:hAnsi="Times New Roman" w:cs="Times New Roman"/>
          <w:b/>
        </w:rPr>
      </w:pPr>
      <w:r>
        <w:rPr>
          <w:rFonts w:ascii="Times New Roman" w:hAnsi="Times New Roman" w:cs="Times New Roman"/>
          <w:b/>
        </w:rPr>
        <w:t>THE PUBLIC UTILITIES COMMISSION OF OHIO</w:t>
      </w:r>
    </w:p>
    <w:p w14:paraId="5F62B431" w14:textId="77777777" w:rsidR="00BA5DFD" w:rsidRDefault="00BA5DFD" w:rsidP="00BA5DFD">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BA5DFD" w14:paraId="1634C1E5" w14:textId="77777777" w:rsidTr="00CD7D0C">
        <w:tc>
          <w:tcPr>
            <w:tcW w:w="4608" w:type="dxa"/>
          </w:tcPr>
          <w:p w14:paraId="68A7B4BC" w14:textId="77777777" w:rsidR="00BA5DFD" w:rsidRDefault="00BA5DFD" w:rsidP="00CD7D0C">
            <w:pPr>
              <w:rPr>
                <w:rFonts w:ascii="Times New Roman" w:hAnsi="Times New Roman" w:cs="Times New Roman"/>
              </w:rPr>
            </w:pPr>
            <w:r>
              <w:rPr>
                <w:rFonts w:ascii="Times New Roman" w:hAnsi="Times New Roman" w:cs="Times New Roman"/>
              </w:rPr>
              <w:t>JUDY ALEXANDER,</w:t>
            </w:r>
          </w:p>
          <w:p w14:paraId="04CD7095" w14:textId="77777777" w:rsidR="00BA5DFD" w:rsidRDefault="00BA5DFD" w:rsidP="00CD7D0C">
            <w:pPr>
              <w:rPr>
                <w:rFonts w:ascii="Times New Roman" w:hAnsi="Times New Roman" w:cs="Times New Roman"/>
              </w:rPr>
            </w:pPr>
          </w:p>
          <w:p w14:paraId="5864C743" w14:textId="77777777" w:rsidR="00BA5DFD" w:rsidRDefault="00BA5DFD" w:rsidP="00CD7D0C">
            <w:pPr>
              <w:ind w:firstLine="720"/>
              <w:rPr>
                <w:rFonts w:ascii="Times New Roman" w:hAnsi="Times New Roman" w:cs="Times New Roman"/>
              </w:rPr>
            </w:pPr>
            <w:r>
              <w:rPr>
                <w:rFonts w:ascii="Times New Roman" w:hAnsi="Times New Roman" w:cs="Times New Roman"/>
              </w:rPr>
              <w:t>Complainant,</w:t>
            </w:r>
          </w:p>
          <w:p w14:paraId="2D3D4BF4" w14:textId="77777777" w:rsidR="00BA5DFD" w:rsidRDefault="00BA5DFD" w:rsidP="00CD7D0C">
            <w:pPr>
              <w:rPr>
                <w:rFonts w:ascii="Times New Roman" w:hAnsi="Times New Roman" w:cs="Times New Roman"/>
              </w:rPr>
            </w:pPr>
          </w:p>
          <w:p w14:paraId="239797B9" w14:textId="77777777" w:rsidR="00BA5DFD" w:rsidRDefault="00BA5DFD" w:rsidP="00CD7D0C">
            <w:pPr>
              <w:ind w:firstLine="720"/>
              <w:rPr>
                <w:rFonts w:ascii="Times New Roman" w:hAnsi="Times New Roman" w:cs="Times New Roman"/>
              </w:rPr>
            </w:pPr>
            <w:proofErr w:type="gramStart"/>
            <w:r>
              <w:rPr>
                <w:rFonts w:ascii="Times New Roman" w:hAnsi="Times New Roman" w:cs="Times New Roman"/>
              </w:rPr>
              <w:t>v</w:t>
            </w:r>
            <w:proofErr w:type="gramEnd"/>
            <w:r>
              <w:rPr>
                <w:rFonts w:ascii="Times New Roman" w:hAnsi="Times New Roman" w:cs="Times New Roman"/>
              </w:rPr>
              <w:t>.</w:t>
            </w:r>
          </w:p>
          <w:p w14:paraId="09A46402" w14:textId="77777777" w:rsidR="00BA5DFD" w:rsidRDefault="00BA5DFD" w:rsidP="00CD7D0C">
            <w:pPr>
              <w:rPr>
                <w:rFonts w:ascii="Times New Roman" w:hAnsi="Times New Roman" w:cs="Times New Roman"/>
              </w:rPr>
            </w:pPr>
          </w:p>
          <w:p w14:paraId="029D655D" w14:textId="77777777" w:rsidR="00BA5DFD" w:rsidRDefault="00BA5DFD" w:rsidP="00CD7D0C">
            <w:pPr>
              <w:rPr>
                <w:rFonts w:ascii="Times New Roman" w:hAnsi="Times New Roman" w:cs="Times New Roman"/>
              </w:rPr>
            </w:pPr>
            <w:r>
              <w:rPr>
                <w:rFonts w:ascii="Times New Roman" w:hAnsi="Times New Roman" w:cs="Times New Roman"/>
              </w:rPr>
              <w:t>THE EAST OHIO GAS COMPANY D/B/A DOMINION EAST OHIO,</w:t>
            </w:r>
          </w:p>
          <w:p w14:paraId="6B4662F2" w14:textId="77777777" w:rsidR="00BA5DFD" w:rsidRDefault="00BA5DFD" w:rsidP="00CD7D0C">
            <w:pPr>
              <w:rPr>
                <w:rFonts w:ascii="Times New Roman" w:hAnsi="Times New Roman" w:cs="Times New Roman"/>
              </w:rPr>
            </w:pPr>
          </w:p>
          <w:p w14:paraId="064EC6AC" w14:textId="77777777" w:rsidR="00BA5DFD" w:rsidRDefault="00BA5DFD" w:rsidP="00CD7D0C">
            <w:pPr>
              <w:ind w:firstLine="720"/>
              <w:rPr>
                <w:rFonts w:ascii="Times New Roman" w:hAnsi="Times New Roman" w:cs="Times New Roman"/>
              </w:rPr>
            </w:pPr>
            <w:r>
              <w:rPr>
                <w:rFonts w:ascii="Times New Roman" w:hAnsi="Times New Roman" w:cs="Times New Roman"/>
              </w:rPr>
              <w:t>Respondent.</w:t>
            </w:r>
          </w:p>
        </w:tc>
        <w:tc>
          <w:tcPr>
            <w:tcW w:w="360" w:type="dxa"/>
          </w:tcPr>
          <w:p w14:paraId="17285621" w14:textId="77777777" w:rsidR="00BA5DFD" w:rsidRDefault="00BA5DFD" w:rsidP="00CD7D0C">
            <w:pPr>
              <w:jc w:val="center"/>
              <w:rPr>
                <w:rFonts w:ascii="Times New Roman" w:hAnsi="Times New Roman" w:cs="Times New Roman"/>
              </w:rPr>
            </w:pPr>
            <w:r>
              <w:rPr>
                <w:rFonts w:ascii="Times New Roman" w:hAnsi="Times New Roman" w:cs="Times New Roman"/>
              </w:rPr>
              <w:t>)</w:t>
            </w:r>
          </w:p>
          <w:p w14:paraId="017CF8D3" w14:textId="77777777" w:rsidR="00BA5DFD" w:rsidRDefault="00BA5DFD" w:rsidP="00CD7D0C">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p>
          <w:p w14:paraId="3262590C" w14:textId="77777777" w:rsidR="00BA5DFD" w:rsidRDefault="00BA5DFD" w:rsidP="00CD7D0C">
            <w:pPr>
              <w:jc w:val="center"/>
              <w:rPr>
                <w:rFonts w:ascii="Times New Roman" w:hAnsi="Times New Roman" w:cs="Times New Roman"/>
              </w:rPr>
            </w:pPr>
            <w:r>
              <w:rPr>
                <w:rFonts w:ascii="Times New Roman" w:hAnsi="Times New Roman" w:cs="Times New Roman"/>
              </w:rPr>
              <w:t>)</w:t>
            </w:r>
          </w:p>
          <w:p w14:paraId="01FEE327" w14:textId="77777777" w:rsidR="00BA5DFD" w:rsidRDefault="00BA5DFD" w:rsidP="00CD7D0C">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p>
        </w:tc>
        <w:tc>
          <w:tcPr>
            <w:tcW w:w="4608" w:type="dxa"/>
          </w:tcPr>
          <w:p w14:paraId="2A5CFA37" w14:textId="77777777" w:rsidR="00BA5DFD" w:rsidRDefault="00BA5DFD" w:rsidP="00CD7D0C">
            <w:pPr>
              <w:ind w:firstLine="612"/>
              <w:rPr>
                <w:rFonts w:ascii="Times New Roman" w:hAnsi="Times New Roman" w:cs="Times New Roman"/>
              </w:rPr>
            </w:pPr>
          </w:p>
          <w:p w14:paraId="4BF7E42A" w14:textId="77777777" w:rsidR="00BA5DFD" w:rsidRDefault="00BA5DFD" w:rsidP="00CD7D0C">
            <w:pPr>
              <w:ind w:firstLine="612"/>
              <w:rPr>
                <w:rFonts w:ascii="Times New Roman" w:hAnsi="Times New Roman" w:cs="Times New Roman"/>
              </w:rPr>
            </w:pPr>
          </w:p>
          <w:p w14:paraId="7FF8FFB9" w14:textId="77777777" w:rsidR="00BA5DFD" w:rsidRDefault="00BA5DFD" w:rsidP="00CD7D0C">
            <w:pPr>
              <w:ind w:firstLine="612"/>
              <w:rPr>
                <w:rFonts w:ascii="Times New Roman" w:hAnsi="Times New Roman" w:cs="Times New Roman"/>
              </w:rPr>
            </w:pPr>
          </w:p>
          <w:p w14:paraId="0E776A46" w14:textId="77777777" w:rsidR="00BA5DFD" w:rsidRDefault="00BA5DFD" w:rsidP="00CD7D0C">
            <w:pPr>
              <w:ind w:firstLine="612"/>
              <w:rPr>
                <w:rFonts w:ascii="Times New Roman" w:hAnsi="Times New Roman" w:cs="Times New Roman"/>
              </w:rPr>
            </w:pPr>
            <w:r>
              <w:rPr>
                <w:rFonts w:ascii="Times New Roman" w:hAnsi="Times New Roman" w:cs="Times New Roman"/>
              </w:rPr>
              <w:t>Case No. 11-5601-GA-CSS</w:t>
            </w:r>
          </w:p>
        </w:tc>
      </w:tr>
    </w:tbl>
    <w:p w14:paraId="00FF2618" w14:textId="77777777" w:rsidR="00BA5DFD" w:rsidRDefault="00BA5DFD" w:rsidP="00BA5DFD">
      <w:pPr>
        <w:jc w:val="center"/>
        <w:rPr>
          <w:rFonts w:ascii="Times New Roman" w:hAnsi="Times New Roman" w:cs="Times New Roman"/>
        </w:rPr>
      </w:pPr>
    </w:p>
    <w:p w14:paraId="57650729" w14:textId="77777777" w:rsidR="00BA5DFD" w:rsidRPr="00F02974" w:rsidRDefault="00BA5DFD" w:rsidP="00BA5DFD">
      <w:pPr>
        <w:jc w:val="center"/>
        <w:rPr>
          <w:rFonts w:ascii="Times New Roman" w:hAnsi="Times New Roman" w:cs="Times New Roman"/>
          <w:b/>
        </w:rPr>
      </w:pPr>
      <w:r>
        <w:rPr>
          <w:rFonts w:ascii="Times New Roman" w:hAnsi="Times New Roman" w:cs="Times New Roman"/>
          <w:b/>
        </w:rPr>
        <w:t>POST-HEARING</w:t>
      </w:r>
      <w:r w:rsidRPr="00F02974">
        <w:rPr>
          <w:rFonts w:ascii="Times New Roman" w:hAnsi="Times New Roman" w:cs="Times New Roman"/>
          <w:b/>
        </w:rPr>
        <w:t xml:space="preserve"> BRIEF OF</w:t>
      </w:r>
      <w:r>
        <w:rPr>
          <w:rFonts w:ascii="Times New Roman" w:hAnsi="Times New Roman" w:cs="Times New Roman"/>
          <w:b/>
        </w:rPr>
        <w:t xml:space="preserve"> RESPONDENT</w:t>
      </w:r>
    </w:p>
    <w:p w14:paraId="59D0A2AF" w14:textId="77777777" w:rsidR="00BA5DFD" w:rsidRDefault="00BA5DFD" w:rsidP="00BA5DFD">
      <w:pPr>
        <w:jc w:val="center"/>
        <w:rPr>
          <w:rFonts w:ascii="Times New Roman" w:hAnsi="Times New Roman" w:cs="Times New Roman"/>
          <w:b/>
          <w:u w:val="single"/>
        </w:rPr>
      </w:pPr>
      <w:r>
        <w:rPr>
          <w:rFonts w:ascii="Times New Roman" w:hAnsi="Times New Roman" w:cs="Times New Roman"/>
          <w:b/>
          <w:u w:val="single"/>
        </w:rPr>
        <w:t>THE EAST OHIO GAS COMPANY D/B/A DOMINION EAST OHIO</w:t>
      </w:r>
    </w:p>
    <w:p w14:paraId="5263A232" w14:textId="77777777" w:rsidR="00BA5DFD" w:rsidRDefault="00BA5DFD" w:rsidP="00B1608B">
      <w:pPr>
        <w:pStyle w:val="MemoBodyText"/>
      </w:pPr>
    </w:p>
    <w:p w14:paraId="4733F0F4" w14:textId="33FE035E" w:rsidR="00B1608B" w:rsidRPr="002C0988" w:rsidRDefault="00B1608B" w:rsidP="00B1608B">
      <w:pPr>
        <w:pStyle w:val="MemoBodyText"/>
      </w:pPr>
      <w:r>
        <w:t>In accordance with Ohio Adm. Code 4901-1-31 and the Attorney Examiner’s ruling at the Hearing held on June 21, 2012,</w:t>
      </w:r>
      <w:r w:rsidR="00BA5DFD">
        <w:t xml:space="preserve"> respondent</w:t>
      </w:r>
      <w:r>
        <w:t xml:space="preserve"> The East Ohio Gas Company d/b/a Dominion East Ohio (“DEO”) files its Post-Hearing Brief in this proceeding.</w:t>
      </w:r>
    </w:p>
    <w:p w14:paraId="2EAFA2A6" w14:textId="77777777" w:rsidR="00B1608B" w:rsidRPr="002C0988" w:rsidRDefault="00B1608B" w:rsidP="00B1608B">
      <w:pPr>
        <w:pStyle w:val="MemoHeading1"/>
      </w:pPr>
      <w:bookmarkStart w:id="1" w:name="_Toc205266043"/>
      <w:r>
        <w:t>INTRODUCTION</w:t>
      </w:r>
      <w:bookmarkEnd w:id="1"/>
    </w:p>
    <w:p w14:paraId="22FF8443" w14:textId="103B6AF8" w:rsidR="00B1608B" w:rsidRPr="00B1608B" w:rsidRDefault="00B1608B" w:rsidP="00B1608B">
      <w:pPr>
        <w:pStyle w:val="MemoBodyText"/>
      </w:pPr>
      <w:r>
        <w:t xml:space="preserve">The sole allegation of unreasonable service raised in Ms. Alexander’s complaint is that </w:t>
      </w:r>
      <w:r w:rsidRPr="00B1608B">
        <w:t>“the amount [of her bills] is incorrect</w:t>
      </w:r>
      <w:r>
        <w:t>.</w:t>
      </w:r>
      <w:r w:rsidRPr="00B1608B">
        <w:t xml:space="preserve">” </w:t>
      </w:r>
      <w:r>
        <w:t xml:space="preserve"> </w:t>
      </w:r>
      <w:r w:rsidRPr="00B1608B">
        <w:t>(Complaint, p. 10 (Nov. 2, 2011)</w:t>
      </w:r>
      <w:r>
        <w:t xml:space="preserve">; </w:t>
      </w:r>
      <w:r>
        <w:rPr>
          <w:i/>
        </w:rPr>
        <w:t>see also</w:t>
      </w:r>
      <w:r>
        <w:t xml:space="preserve"> </w:t>
      </w:r>
      <w:r>
        <w:rPr>
          <w:i/>
        </w:rPr>
        <w:t>id</w:t>
      </w:r>
      <w:r w:rsidRPr="00B1608B">
        <w:t>.</w:t>
      </w:r>
      <w:r>
        <w:t xml:space="preserve"> (</w:t>
      </w:r>
      <w:proofErr w:type="gramStart"/>
      <w:r w:rsidRPr="00B1608B">
        <w:t>she</w:t>
      </w:r>
      <w:proofErr w:type="gramEnd"/>
      <w:r w:rsidRPr="00B1608B">
        <w:t xml:space="preserve"> is “[d]</w:t>
      </w:r>
      <w:proofErr w:type="spellStart"/>
      <w:r w:rsidRPr="00B1608B">
        <w:t>isputing</w:t>
      </w:r>
      <w:proofErr w:type="spellEnd"/>
      <w:r w:rsidRPr="00B1608B">
        <w:t xml:space="preserve"> the amount of the bill</w:t>
      </w:r>
      <w:r>
        <w:t>”)</w:t>
      </w:r>
      <w:r w:rsidR="00CD7D0C">
        <w:t>; Tr. 25–26 (she alleges she should be b</w:t>
      </w:r>
      <w:r w:rsidR="007B6E04">
        <w:t>illed for gas used “between March</w:t>
      </w:r>
      <w:r w:rsidR="00CD7D0C">
        <w:t xml:space="preserve"> and April</w:t>
      </w:r>
      <w:r>
        <w:t>.</w:t>
      </w:r>
      <w:r w:rsidR="00CD7D0C">
        <w:t>”</w:t>
      </w:r>
      <w:r w:rsidRPr="00B1608B">
        <w:t xml:space="preserve">) </w:t>
      </w:r>
      <w:r>
        <w:t xml:space="preserve"> </w:t>
      </w:r>
      <w:r w:rsidRPr="00B1608B">
        <w:t xml:space="preserve">But </w:t>
      </w:r>
      <w:r>
        <w:t xml:space="preserve">Ms. Alexander </w:t>
      </w:r>
      <w:r w:rsidRPr="00B1608B">
        <w:t xml:space="preserve">has introduced no evidence </w:t>
      </w:r>
      <w:r>
        <w:t xml:space="preserve">in support of her theory.  The evidence points the other way: </w:t>
      </w:r>
      <w:r w:rsidRPr="00B1608B">
        <w:t>her meter</w:t>
      </w:r>
      <w:r w:rsidR="00CD7D0C">
        <w:t>s</w:t>
      </w:r>
      <w:r w:rsidRPr="00B1608B">
        <w:t xml:space="preserve"> tested accurately, and she has not alleged </w:t>
      </w:r>
      <w:r>
        <w:t xml:space="preserve">or shown </w:t>
      </w:r>
      <w:r w:rsidRPr="00B1608B">
        <w:t>that DEO misread her meter</w:t>
      </w:r>
      <w:r w:rsidR="00CD7D0C">
        <w:t>s</w:t>
      </w:r>
      <w:r w:rsidRPr="00B1608B">
        <w:t xml:space="preserve">, miscalculated her bill, or charged her under the wrong rate.  </w:t>
      </w:r>
    </w:p>
    <w:p w14:paraId="3F81BC88" w14:textId="53E1E023" w:rsidR="00B1608B" w:rsidRDefault="00B1608B" w:rsidP="00B1608B">
      <w:pPr>
        <w:pStyle w:val="MemoBodyText"/>
        <w:rPr>
          <w:b/>
        </w:rPr>
      </w:pPr>
      <w:r>
        <w:t xml:space="preserve">What Ms. Alexander has shown—that </w:t>
      </w:r>
      <w:r w:rsidR="001A3578">
        <w:t>her</w:t>
      </w:r>
      <w:r>
        <w:t xml:space="preserve"> property was in a deplorable condition—</w:t>
      </w:r>
      <w:r w:rsidR="001A3578">
        <w:t xml:space="preserve">is irrelevant to the accuracy of her bills.  </w:t>
      </w:r>
      <w:r w:rsidR="00786F1A">
        <w:t xml:space="preserve">As in virtually every case, </w:t>
      </w:r>
      <w:r w:rsidR="001A3578">
        <w:t xml:space="preserve">DEO has no way of knowing </w:t>
      </w:r>
      <w:r w:rsidR="001A3578" w:rsidRPr="001A3578">
        <w:rPr>
          <w:i/>
        </w:rPr>
        <w:t xml:space="preserve">how </w:t>
      </w:r>
      <w:r w:rsidR="001A3578">
        <w:t xml:space="preserve">the gas that passed through </w:t>
      </w:r>
      <w:r w:rsidR="00786F1A">
        <w:t xml:space="preserve">Ms. Alexander’s </w:t>
      </w:r>
      <w:r w:rsidR="001A3578">
        <w:t xml:space="preserve">meter was </w:t>
      </w:r>
      <w:r w:rsidR="00786F1A">
        <w:t xml:space="preserve">ultimately </w:t>
      </w:r>
      <w:r w:rsidR="001A3578">
        <w:t xml:space="preserve">consumed, but there is no question that it was consumed.  </w:t>
      </w:r>
      <w:r>
        <w:t xml:space="preserve">The </w:t>
      </w:r>
      <w:r w:rsidR="00CD7D0C">
        <w:t>C</w:t>
      </w:r>
      <w:r>
        <w:t xml:space="preserve">omplaint </w:t>
      </w:r>
      <w:r w:rsidR="001A3578">
        <w:t xml:space="preserve">lacks merit and </w:t>
      </w:r>
      <w:r>
        <w:t xml:space="preserve">should be dismissed. </w:t>
      </w:r>
    </w:p>
    <w:p w14:paraId="6F2A7E1A" w14:textId="77777777" w:rsidR="00B1608B" w:rsidRPr="003B47FF" w:rsidRDefault="00B1608B" w:rsidP="00B1608B">
      <w:pPr>
        <w:pStyle w:val="MemoHeading1"/>
      </w:pPr>
      <w:bookmarkStart w:id="2" w:name="_Toc205266044"/>
      <w:r>
        <w:t>FACTUAL BACKGROUND</w:t>
      </w:r>
      <w:bookmarkEnd w:id="2"/>
    </w:p>
    <w:p w14:paraId="4C349D56" w14:textId="77777777" w:rsidR="00CF4FDC" w:rsidRDefault="001A3578" w:rsidP="001A3578">
      <w:pPr>
        <w:pStyle w:val="MemoBodyText"/>
      </w:pPr>
      <w:r>
        <w:t xml:space="preserve">Ms. Alexander received service from </w:t>
      </w:r>
      <w:r w:rsidR="00B1608B">
        <w:t xml:space="preserve">DEO </w:t>
      </w:r>
      <w:r>
        <w:t xml:space="preserve">on two accounts, an upstairs and downstairs unit in a single building.  </w:t>
      </w:r>
    </w:p>
    <w:p w14:paraId="1984C9AE" w14:textId="642512B4" w:rsidR="008C05DF" w:rsidRDefault="001A3578" w:rsidP="008C05DF">
      <w:pPr>
        <w:pStyle w:val="MemoBodyText"/>
      </w:pPr>
      <w:r>
        <w:t xml:space="preserve">Service was </w:t>
      </w:r>
      <w:r w:rsidR="00B1608B">
        <w:t xml:space="preserve">established </w:t>
      </w:r>
      <w:r>
        <w:t>at the downstairs unit</w:t>
      </w:r>
      <w:r w:rsidR="00CD7D0C">
        <w:t>, 8207 Beman Avenue,</w:t>
      </w:r>
      <w:r>
        <w:t xml:space="preserve"> on November 19, 2010</w:t>
      </w:r>
      <w:r w:rsidR="00CF4FDC">
        <w:t>.</w:t>
      </w:r>
      <w:r w:rsidR="00B1608B">
        <w:t xml:space="preserve"> </w:t>
      </w:r>
      <w:r w:rsidR="00CF4FDC">
        <w:t xml:space="preserve"> </w:t>
      </w:r>
      <w:r w:rsidR="00B1608B">
        <w:t>(DEO Ex. 1.0 (</w:t>
      </w:r>
      <w:r>
        <w:t>“</w:t>
      </w:r>
      <w:r w:rsidR="00B1608B">
        <w:t>Edwards Dir.</w:t>
      </w:r>
      <w:r>
        <w:t>”</w:t>
      </w:r>
      <w:r w:rsidR="00B1608B">
        <w:t>) at 2</w:t>
      </w:r>
      <w:r w:rsidR="00CF4FDC">
        <w:t xml:space="preserve">.)  </w:t>
      </w:r>
      <w:r>
        <w:t xml:space="preserve">Gas was already on at the downstairs unit, so DEO provided an initial meter read to transfer the service to Ms. Alexander. </w:t>
      </w:r>
      <w:r w:rsidR="00B1608B" w:rsidRPr="001A3578">
        <w:t xml:space="preserve">(DEO Ex. 3.0; </w:t>
      </w:r>
      <w:r w:rsidR="00B1608B" w:rsidRPr="001A3578">
        <w:rPr>
          <w:i/>
        </w:rPr>
        <w:t xml:space="preserve">see also </w:t>
      </w:r>
      <w:r w:rsidR="00B1608B" w:rsidRPr="001A3578">
        <w:t>Tr. 37</w:t>
      </w:r>
      <w:r>
        <w:t>,</w:t>
      </w:r>
      <w:r w:rsidR="00B1608B" w:rsidRPr="001A3578">
        <w:t xml:space="preserve"> 39.) </w:t>
      </w:r>
      <w:r w:rsidR="00CF4FDC">
        <w:t xml:space="preserve"> </w:t>
      </w:r>
      <w:r>
        <w:t xml:space="preserve">A </w:t>
      </w:r>
      <w:r w:rsidR="00CF4FDC">
        <w:t xml:space="preserve">woman, presumably Ms. Alexander, allowed a </w:t>
      </w:r>
      <w:r>
        <w:t xml:space="preserve">DEO employee </w:t>
      </w:r>
      <w:r w:rsidR="00CF4FDC">
        <w:t xml:space="preserve">into the property, and he </w:t>
      </w:r>
      <w:r>
        <w:t xml:space="preserve">found </w:t>
      </w:r>
      <w:r w:rsidR="00CF4FDC">
        <w:t xml:space="preserve">that the property had a furnace and that the furnace was working.  </w:t>
      </w:r>
      <w:r w:rsidR="00B1608B" w:rsidRPr="001A3578">
        <w:t>(Tr. 33</w:t>
      </w:r>
      <w:r w:rsidR="00CF4FDC">
        <w:t>–35</w:t>
      </w:r>
      <w:r w:rsidR="008C05DF">
        <w:t xml:space="preserve">; </w:t>
      </w:r>
      <w:r w:rsidR="008C05DF">
        <w:rPr>
          <w:i/>
        </w:rPr>
        <w:t xml:space="preserve">see also </w:t>
      </w:r>
      <w:r w:rsidR="008C05DF">
        <w:t>DEO Ex. 3.0</w:t>
      </w:r>
      <w:r w:rsidR="00B1608B" w:rsidRPr="001A3578">
        <w:t xml:space="preserve">.) </w:t>
      </w:r>
      <w:r w:rsidR="00CF4FDC">
        <w:t xml:space="preserve"> DEO </w:t>
      </w:r>
      <w:r w:rsidR="00B1608B" w:rsidRPr="001A3578">
        <w:t xml:space="preserve">did not </w:t>
      </w:r>
      <w:r w:rsidR="00CF4FDC">
        <w:t xml:space="preserve">note </w:t>
      </w:r>
      <w:r w:rsidR="00B1608B" w:rsidRPr="001A3578">
        <w:t xml:space="preserve">any leaks in Ms. Alexander’s house or service lines.  (DEO Ex. 3.0.)  </w:t>
      </w:r>
    </w:p>
    <w:p w14:paraId="1639DF19" w14:textId="7D4B6B76" w:rsidR="008C05DF" w:rsidRDefault="00CF4FDC" w:rsidP="008C05DF">
      <w:pPr>
        <w:pStyle w:val="MemoBodyText"/>
      </w:pPr>
      <w:r>
        <w:t xml:space="preserve">About a month and half later, </w:t>
      </w:r>
      <w:r w:rsidRPr="00CF4FDC">
        <w:t>on January 6, 2011</w:t>
      </w:r>
      <w:r>
        <w:t>, DEO established service at the upstairs unit</w:t>
      </w:r>
      <w:r w:rsidR="00CD7D0C">
        <w:t>, 8209 Beman Avenue</w:t>
      </w:r>
      <w:r>
        <w:t>.  (</w:t>
      </w:r>
      <w:r w:rsidRPr="00CF4FDC">
        <w:t>Edwards Dir.</w:t>
      </w:r>
      <w:r>
        <w:rPr>
          <w:i/>
        </w:rPr>
        <w:t xml:space="preserve"> </w:t>
      </w:r>
      <w:r w:rsidRPr="001A3578">
        <w:t>at</w:t>
      </w:r>
      <w:r>
        <w:t xml:space="preserve"> 4.)  </w:t>
      </w:r>
      <w:r w:rsidR="008C05DF">
        <w:t>Ms. Alexander testified that this unit also had a furnace.  (Tr. 18 (“we have new furnaces.  They are already in here, new furnaces on both ends . . </w:t>
      </w:r>
      <w:proofErr w:type="gramStart"/>
      <w:r w:rsidR="008C05DF">
        <w:t>. .</w:t>
      </w:r>
      <w:proofErr w:type="gramEnd"/>
      <w:r w:rsidR="008C05DF">
        <w:t xml:space="preserve"> </w:t>
      </w:r>
      <w:proofErr w:type="gramStart"/>
      <w:r w:rsidR="008C05DF">
        <w:t>around</w:t>
      </w:r>
      <w:proofErr w:type="gramEnd"/>
      <w:r w:rsidR="008C05DF">
        <w:t xml:space="preserve"> November, the latter part of November, he did have the furnaces in”).)</w:t>
      </w:r>
    </w:p>
    <w:p w14:paraId="45306F1D" w14:textId="51669988" w:rsidR="00B1608B" w:rsidRPr="008C05DF" w:rsidRDefault="00CF4FDC" w:rsidP="00B1608B">
      <w:pPr>
        <w:pStyle w:val="MemoBodyText"/>
      </w:pPr>
      <w:r>
        <w:t xml:space="preserve">For several months, </w:t>
      </w:r>
      <w:r w:rsidR="00B1608B">
        <w:t xml:space="preserve">DEO sent </w:t>
      </w:r>
      <w:r>
        <w:t xml:space="preserve">bills </w:t>
      </w:r>
      <w:r w:rsidR="00B1608B">
        <w:t xml:space="preserve">to both service addresses. </w:t>
      </w:r>
      <w:r>
        <w:t xml:space="preserve"> </w:t>
      </w:r>
      <w:r w:rsidR="00B1608B">
        <w:t>(</w:t>
      </w:r>
      <w:r>
        <w:t xml:space="preserve">Edwards Dir. at </w:t>
      </w:r>
      <w:r w:rsidR="00B1608B">
        <w:t>2</w:t>
      </w:r>
      <w:r>
        <w:t>–5</w:t>
      </w:r>
      <w:r w:rsidR="00B1608B">
        <w:t>.)</w:t>
      </w:r>
      <w:r w:rsidR="00CD7D0C">
        <w:t xml:space="preserve"> </w:t>
      </w:r>
      <w:r w:rsidR="00B1608B">
        <w:t xml:space="preserve"> Ms. Alexander</w:t>
      </w:r>
      <w:r>
        <w:t>, however,</w:t>
      </w:r>
      <w:r w:rsidR="00B1608B">
        <w:t xml:space="preserve"> never paid anything towards </w:t>
      </w:r>
      <w:r>
        <w:t>either account</w:t>
      </w:r>
      <w:r w:rsidR="00B1608B">
        <w:t>.  (</w:t>
      </w:r>
      <w:r>
        <w:rPr>
          <w:i/>
        </w:rPr>
        <w:t>Id</w:t>
      </w:r>
      <w:r>
        <w:t xml:space="preserve">. at </w:t>
      </w:r>
      <w:r w:rsidR="00B1608B">
        <w:t>2</w:t>
      </w:r>
      <w:r>
        <w:t xml:space="preserve"> and </w:t>
      </w:r>
      <w:r w:rsidR="00B1608B">
        <w:t>4.)</w:t>
      </w:r>
      <w:r>
        <w:t xml:space="preserve"> </w:t>
      </w:r>
      <w:r w:rsidR="008C05DF">
        <w:t xml:space="preserve"> Although DEO did not observe any leaks in the property, Ms. Alexander testified that she “kept smelling this faint od</w:t>
      </w:r>
      <w:r w:rsidR="000D62E2">
        <w:t>or.”  (Tr. 20.)  She did not cal</w:t>
      </w:r>
      <w:r w:rsidR="008C05DF">
        <w:t xml:space="preserve">l </w:t>
      </w:r>
      <w:r w:rsidR="00B80B74">
        <w:t xml:space="preserve">DEO to report a leak, however, until April 18, 2011.  </w:t>
      </w:r>
      <w:r w:rsidR="00B1608B">
        <w:t>(DEO Ex. 2.0 (</w:t>
      </w:r>
      <w:r>
        <w:t>“</w:t>
      </w:r>
      <w:r w:rsidR="00B1608B">
        <w:t>Kazmer</w:t>
      </w:r>
      <w:r w:rsidR="00B1608B" w:rsidRPr="00893926">
        <w:t xml:space="preserve"> </w:t>
      </w:r>
      <w:r w:rsidR="00B1608B">
        <w:t>Dir.</w:t>
      </w:r>
      <w:r>
        <w:t>”)</w:t>
      </w:r>
      <w:r w:rsidR="00B1608B">
        <w:t xml:space="preserve"> at 2.)  </w:t>
      </w:r>
      <w:r>
        <w:t xml:space="preserve">Within a half an hour, a </w:t>
      </w:r>
      <w:r w:rsidR="00B1608B">
        <w:t xml:space="preserve">DEO </w:t>
      </w:r>
      <w:r>
        <w:t xml:space="preserve">service technician arrived at the property, tested numerous lines at the both units, and </w:t>
      </w:r>
      <w:r w:rsidR="008C05DF">
        <w:t>discovered leaks.  (</w:t>
      </w:r>
      <w:r w:rsidR="008C05DF">
        <w:rPr>
          <w:i/>
        </w:rPr>
        <w:t>Id</w:t>
      </w:r>
      <w:r w:rsidR="008C05DF">
        <w:t>.)  He turned off the upstairs meter and disconnected the necessary lines in the downstairs unit</w:t>
      </w:r>
      <w:r>
        <w:t xml:space="preserve">.  </w:t>
      </w:r>
      <w:r w:rsidR="00B1608B">
        <w:t>(</w:t>
      </w:r>
      <w:r>
        <w:rPr>
          <w:i/>
        </w:rPr>
        <w:t>Id</w:t>
      </w:r>
      <w:r w:rsidR="00B1608B">
        <w:t>.</w:t>
      </w:r>
      <w:r w:rsidR="008C05DF">
        <w:t xml:space="preserve"> at 2–3.</w:t>
      </w:r>
      <w:r w:rsidR="00B1608B">
        <w:t xml:space="preserve">) </w:t>
      </w:r>
      <w:r w:rsidR="008C05DF">
        <w:t xml:space="preserve"> All leaks </w:t>
      </w:r>
      <w:r w:rsidR="00B1608B">
        <w:t xml:space="preserve">discovered were </w:t>
      </w:r>
      <w:r w:rsidR="008C05DF">
        <w:t xml:space="preserve">downstream of the meter, </w:t>
      </w:r>
      <w:r w:rsidR="00B1608B">
        <w:t xml:space="preserve">in the </w:t>
      </w:r>
      <w:r w:rsidR="008C05DF">
        <w:t>house lines.  (</w:t>
      </w:r>
      <w:r w:rsidR="008C05DF">
        <w:rPr>
          <w:i/>
        </w:rPr>
        <w:t>Id</w:t>
      </w:r>
      <w:r w:rsidR="008C05DF">
        <w:t>.)</w:t>
      </w:r>
    </w:p>
    <w:p w14:paraId="64B4DA8D" w14:textId="1EECC268" w:rsidR="00B1608B" w:rsidRDefault="008C05DF" w:rsidP="00786F1A">
      <w:pPr>
        <w:pStyle w:val="MemoBodyText"/>
      </w:pPr>
      <w:r>
        <w:t xml:space="preserve">On May 5, 2011, </w:t>
      </w:r>
      <w:r w:rsidR="00B1608B">
        <w:t xml:space="preserve">DEO disconnected Ms. Alexander’s service at both </w:t>
      </w:r>
      <w:r>
        <w:t>u</w:t>
      </w:r>
      <w:r w:rsidR="00B1608B">
        <w:t>nits</w:t>
      </w:r>
      <w:r>
        <w:t xml:space="preserve"> at her request</w:t>
      </w:r>
      <w:r w:rsidR="00B1608B">
        <w:t>.  (</w:t>
      </w:r>
      <w:r>
        <w:t xml:space="preserve">Edwards Dir. </w:t>
      </w:r>
      <w:r w:rsidR="00B1608B">
        <w:t xml:space="preserve">at 2, 4.) </w:t>
      </w:r>
      <w:r w:rsidR="00786F1A">
        <w:t xml:space="preserve"> </w:t>
      </w:r>
      <w:r w:rsidR="00B1608B">
        <w:t>Ms. Alexander currently owes $397.88 for the Upstairs Unit and $803.19 for the Down</w:t>
      </w:r>
      <w:r>
        <w:t>stairs Unit.  (</w:t>
      </w:r>
      <w:r w:rsidRPr="008C05DF">
        <w:rPr>
          <w:i/>
        </w:rPr>
        <w:t>Id</w:t>
      </w:r>
      <w:r>
        <w:t xml:space="preserve">. </w:t>
      </w:r>
      <w:r w:rsidRPr="008C05DF">
        <w:t>at</w:t>
      </w:r>
      <w:r>
        <w:t xml:space="preserve"> 2</w:t>
      </w:r>
      <w:r w:rsidR="00B1608B">
        <w:t>, 4.)</w:t>
      </w:r>
      <w:r w:rsidR="00786F1A">
        <w:t xml:space="preserve"> </w:t>
      </w:r>
    </w:p>
    <w:p w14:paraId="53ABBE54" w14:textId="6D54AAB0" w:rsidR="00B1608B" w:rsidRPr="0062704F" w:rsidRDefault="00B1608B" w:rsidP="00B1608B">
      <w:pPr>
        <w:pStyle w:val="MemoBodyText"/>
      </w:pPr>
      <w:r>
        <w:t>Ms. Alexander filed her Complaint on November 2, 2011, disputing the bills from the February, March</w:t>
      </w:r>
      <w:r w:rsidR="00786F1A">
        <w:t>,</w:t>
      </w:r>
      <w:r>
        <w:t xml:space="preserve"> and April 2011 billing statements.  </w:t>
      </w:r>
      <w:proofErr w:type="gramStart"/>
      <w:r>
        <w:t>Entry at 1</w:t>
      </w:r>
      <w:r w:rsidR="00786F1A">
        <w:t xml:space="preserve"> (June 12, 2012).</w:t>
      </w:r>
      <w:proofErr w:type="gramEnd"/>
      <w:r w:rsidR="00786F1A">
        <w:t xml:space="preserve">  DEO tested her meters for accuracy in her presence on May 11, 2012.  (DEO Ex. 2.1 (“Kazmer Supp.”) at 3.)  The downstairs meter ran slow by 0.55%, and the </w:t>
      </w:r>
      <w:r w:rsidR="00CD7D0C">
        <w:t>u</w:t>
      </w:r>
      <w:r w:rsidR="00786F1A">
        <w:t>pstairs meter ran fast by 1.6%.  (</w:t>
      </w:r>
      <w:r w:rsidR="00786F1A">
        <w:rPr>
          <w:i/>
        </w:rPr>
        <w:t>Id</w:t>
      </w:r>
      <w:r w:rsidR="00786F1A">
        <w:t xml:space="preserve">.)  An </w:t>
      </w:r>
      <w:r>
        <w:t>evidentiary hearing was held on June 21, 2012.</w:t>
      </w:r>
    </w:p>
    <w:p w14:paraId="7EB17620" w14:textId="77777777" w:rsidR="00B1608B" w:rsidRDefault="00B1608B" w:rsidP="00B1608B">
      <w:pPr>
        <w:pStyle w:val="MemoHeading1"/>
      </w:pPr>
      <w:bookmarkStart w:id="3" w:name="_Toc205266045"/>
      <w:r>
        <w:t>STANDARD OF PROOF</w:t>
      </w:r>
      <w:bookmarkEnd w:id="3"/>
    </w:p>
    <w:p w14:paraId="790DB31E" w14:textId="621069BB" w:rsidR="00B1608B" w:rsidRPr="000209F5" w:rsidRDefault="00B1608B" w:rsidP="00B1608B">
      <w:pPr>
        <w:pStyle w:val="MemoBodyText"/>
      </w:pPr>
      <w:r>
        <w:t xml:space="preserve">R.C. 4905.26 </w:t>
      </w:r>
      <w:r w:rsidRPr="009534CB">
        <w:t>provides that</w:t>
      </w:r>
      <w:r>
        <w:t xml:space="preserve"> </w:t>
      </w:r>
      <w:r w:rsidRPr="009534CB">
        <w:t>any person</w:t>
      </w:r>
      <w:r>
        <w:t xml:space="preserve"> may file a written complaint that</w:t>
      </w:r>
      <w:r w:rsidRPr="009534CB">
        <w:t xml:space="preserve"> any rate, charge, or service </w:t>
      </w:r>
      <w:r>
        <w:t xml:space="preserve">of a public utility </w:t>
      </w:r>
      <w:r w:rsidRPr="009534CB">
        <w:t xml:space="preserve">is in any respect unjust, unreasonable, unjustly discriminatory, in violation of law, or inadequate. </w:t>
      </w:r>
      <w:r>
        <w:t xml:space="preserve"> In every Commission complaint proceeding brought pursuant to R.C. 4905.26, the Complainant bears the burden of proving the allegations alleged in the Complaint.  </w:t>
      </w:r>
      <w:proofErr w:type="gramStart"/>
      <w:r>
        <w:rPr>
          <w:i/>
        </w:rPr>
        <w:t>Grossman v. Pub.</w:t>
      </w:r>
      <w:proofErr w:type="gramEnd"/>
      <w:r>
        <w:rPr>
          <w:i/>
        </w:rPr>
        <w:t xml:space="preserve"> </w:t>
      </w:r>
      <w:proofErr w:type="gramStart"/>
      <w:r>
        <w:rPr>
          <w:i/>
        </w:rPr>
        <w:t>Util. Comm.</w:t>
      </w:r>
      <w:r>
        <w:t xml:space="preserve">, 5 Ohio St.2d 189 (1966); Entry at </w:t>
      </w:r>
      <w:r w:rsidR="00786F1A">
        <w:t>2 (June 12, 2012)</w:t>
      </w:r>
      <w:r>
        <w:t>.</w:t>
      </w:r>
      <w:proofErr w:type="gramEnd"/>
      <w:r>
        <w:t xml:space="preserve">  Therefore, if Ms. Alexander fails to prove her Complaint that DEO incorrectly billed her in February, March</w:t>
      </w:r>
      <w:r w:rsidR="00786F1A">
        <w:t>,</w:t>
      </w:r>
      <w:r>
        <w:t xml:space="preserve"> and April 2011, then the Commission should rule in favor of DEO and dismiss the Complaint.</w:t>
      </w:r>
    </w:p>
    <w:p w14:paraId="1D9D6BBA" w14:textId="77777777" w:rsidR="00B1608B" w:rsidRDefault="00B1608B" w:rsidP="00B1608B">
      <w:pPr>
        <w:pStyle w:val="MemoHeading1"/>
      </w:pPr>
      <w:bookmarkStart w:id="4" w:name="_Toc205266046"/>
      <w:r>
        <w:t>ARGUMENT</w:t>
      </w:r>
      <w:bookmarkEnd w:id="4"/>
    </w:p>
    <w:p w14:paraId="3B3A92B7" w14:textId="242AFBC2" w:rsidR="00B1608B" w:rsidRDefault="00786F1A" w:rsidP="00B1608B">
      <w:pPr>
        <w:pStyle w:val="MemoHeading2"/>
      </w:pPr>
      <w:bookmarkStart w:id="5" w:name="_Toc205266047"/>
      <w:r>
        <w:t xml:space="preserve">The evidence shows that </w:t>
      </w:r>
      <w:r w:rsidR="00B1608B">
        <w:t xml:space="preserve">DEO accurately measured </w:t>
      </w:r>
      <w:r>
        <w:t>Ms. Alexander’s gas consumption</w:t>
      </w:r>
      <w:r w:rsidR="00B1608B">
        <w:t>.</w:t>
      </w:r>
      <w:bookmarkEnd w:id="5"/>
    </w:p>
    <w:p w14:paraId="1FCB4CA1" w14:textId="37C0AC47" w:rsidR="00B1608B" w:rsidRDefault="00786F1A" w:rsidP="00B1608B">
      <w:pPr>
        <w:pStyle w:val="MemoBodyText"/>
      </w:pPr>
      <w:r>
        <w:t>DEO established service to Ms. Alexander’s properties in November 2010 and January 2011.  (Edwards Dir. at 2, 4.)  As with every c</w:t>
      </w:r>
      <w:r w:rsidR="00CD7D0C">
        <w:t>ustomer, DEO used</w:t>
      </w:r>
      <w:r>
        <w:t xml:space="preserve"> meters to measure Ms. Alexander’s gas consumption.  Ms. Alexander claimed that DEO was overbilling her for usage, so to determine whether this was so, DEO tested her </w:t>
      </w:r>
      <w:r w:rsidR="00B1608B">
        <w:t>meters</w:t>
      </w:r>
      <w:r w:rsidR="00D1221B">
        <w:t xml:space="preserve"> in her presence</w:t>
      </w:r>
      <w:r>
        <w:t>.</w:t>
      </w:r>
      <w:r w:rsidR="00D1221B">
        <w:t xml:space="preserve">  (Kazmer Supp. at 1.)</w:t>
      </w:r>
      <w:r>
        <w:t xml:space="preserve"> </w:t>
      </w:r>
      <w:r w:rsidR="00D1221B">
        <w:t xml:space="preserve"> </w:t>
      </w:r>
      <w:r>
        <w:t>The meters proved accurate.  (</w:t>
      </w:r>
      <w:r w:rsidR="00D1221B">
        <w:rPr>
          <w:i/>
        </w:rPr>
        <w:t>Id</w:t>
      </w:r>
      <w:r w:rsidR="00D1221B">
        <w:t>. at 3–4.)</w:t>
      </w:r>
      <w:r w:rsidR="00D1221B">
        <w:rPr>
          <w:i/>
        </w:rPr>
        <w:t xml:space="preserve"> </w:t>
      </w:r>
      <w:r w:rsidR="00D1221B">
        <w:t xml:space="preserve"> Under </w:t>
      </w:r>
      <w:r w:rsidR="00B1608B">
        <w:t>R.C. 4933.09, a meter is “deemed correct if the variation is not greater than three per cent</w:t>
      </w:r>
      <w:r w:rsidR="00D1221B">
        <w:t> . . </w:t>
      </w:r>
      <w:proofErr w:type="gramStart"/>
      <w:r w:rsidR="00D1221B">
        <w:t>. .</w:t>
      </w:r>
      <w:r w:rsidR="00B1608B">
        <w:t>”</w:t>
      </w:r>
      <w:proofErr w:type="gramEnd"/>
      <w:r w:rsidR="00B1608B">
        <w:t xml:space="preserve"> </w:t>
      </w:r>
      <w:r w:rsidR="00D1221B">
        <w:t xml:space="preserve"> </w:t>
      </w:r>
      <w:r w:rsidR="00B1608B">
        <w:t xml:space="preserve">Both </w:t>
      </w:r>
      <w:r w:rsidR="00D1221B">
        <w:t xml:space="preserve">of Ms. Alexander’s </w:t>
      </w:r>
      <w:r w:rsidR="00B1608B">
        <w:t>meter</w:t>
      </w:r>
      <w:r w:rsidR="00D1221B">
        <w:t>s</w:t>
      </w:r>
      <w:r w:rsidR="00B1608B">
        <w:t xml:space="preserve"> met the statutory standard: on average, the </w:t>
      </w:r>
      <w:r w:rsidR="00D1221B">
        <w:t>d</w:t>
      </w:r>
      <w:r w:rsidR="00B1608B">
        <w:t>ownstairs meter ran slow by 0.55</w:t>
      </w:r>
      <w:r w:rsidR="00D1221B">
        <w:t xml:space="preserve"> percent</w:t>
      </w:r>
      <w:r w:rsidR="00B1608B">
        <w:t xml:space="preserve">, and the </w:t>
      </w:r>
      <w:r w:rsidR="00D1221B">
        <w:t>u</w:t>
      </w:r>
      <w:r w:rsidR="00B1608B">
        <w:t>pstairs meter ran fast by 1.6</w:t>
      </w:r>
      <w:r w:rsidR="00D1221B">
        <w:t xml:space="preserve"> percent</w:t>
      </w:r>
      <w:r w:rsidR="00B1608B">
        <w:t>.  (</w:t>
      </w:r>
      <w:r w:rsidR="00D1221B">
        <w:t xml:space="preserve">Kazmer Supp. </w:t>
      </w:r>
      <w:r w:rsidR="00B1608B">
        <w:t xml:space="preserve">at 3; </w:t>
      </w:r>
      <w:r w:rsidR="00B1608B">
        <w:rPr>
          <w:i/>
        </w:rPr>
        <w:t>see also</w:t>
      </w:r>
      <w:r w:rsidR="00B1608B">
        <w:t xml:space="preserve"> DEO Ex. 2.11 and 2.12.) </w:t>
      </w:r>
      <w:r w:rsidR="00901B18">
        <w:t xml:space="preserve"> As </w:t>
      </w:r>
      <w:r w:rsidR="00B1608B">
        <w:t>Ms. Alexander’s meters were correctly measuring the gas consumed on the property</w:t>
      </w:r>
      <w:r w:rsidR="00901B18">
        <w:t>, and as she has offered no other basis for doubting the accuracy of her bills, her complaint for incorrect billing must be rejected</w:t>
      </w:r>
      <w:r w:rsidR="00B1608B">
        <w:t xml:space="preserve">.  </w:t>
      </w:r>
    </w:p>
    <w:p w14:paraId="55476E3D" w14:textId="19A6B5EF" w:rsidR="00B1608B" w:rsidRDefault="00B1608B" w:rsidP="00B1608B">
      <w:pPr>
        <w:pStyle w:val="MemoBodyText"/>
      </w:pPr>
      <w:r>
        <w:t xml:space="preserve">Ms. Alexander attempts to argue that the measured consumption was incorrect because the property was in a “deplorable condition.”  (Tr. 19.)  </w:t>
      </w:r>
      <w:r w:rsidR="00901B18">
        <w:t xml:space="preserve">But that her property was in a “deplorable condition” does not show in any way that gas would not have been consumed there—indeed, it is not surprising that such a property might be less energy-efficient and thus consume </w:t>
      </w:r>
      <w:r w:rsidR="00901B18" w:rsidRPr="0062242A">
        <w:rPr>
          <w:i/>
        </w:rPr>
        <w:t>more</w:t>
      </w:r>
      <w:r w:rsidR="00901B18">
        <w:t xml:space="preserve"> gas.  </w:t>
      </w:r>
      <w:r w:rsidR="0062242A">
        <w:t>And Ms. Alexander conceded that the properties were equipped with gas-consuming appliances.  (Tr. 18 (“we have new furnaces.  They are already in here, new furnaces on both ends . . </w:t>
      </w:r>
      <w:proofErr w:type="gramStart"/>
      <w:r w:rsidR="0062242A">
        <w:t>. .</w:t>
      </w:r>
      <w:proofErr w:type="gramEnd"/>
      <w:r w:rsidR="0062242A">
        <w:t xml:space="preserve"> </w:t>
      </w:r>
      <w:proofErr w:type="gramStart"/>
      <w:r w:rsidR="0062242A">
        <w:t>around</w:t>
      </w:r>
      <w:proofErr w:type="gramEnd"/>
      <w:r w:rsidR="0062242A">
        <w:t xml:space="preserve"> November, the latter part of November, he did have the furnaces in”); Tr. 20–21</w:t>
      </w:r>
      <w:r w:rsidR="00CD7D0C">
        <w:t>; DEO Ex. 3.0</w:t>
      </w:r>
      <w:r w:rsidR="0062242A">
        <w:t xml:space="preserve"> (noting</w:t>
      </w:r>
      <w:r w:rsidR="00CD7D0C">
        <w:t xml:space="preserve"> a gas line to the water heater</w:t>
      </w:r>
      <w:r w:rsidR="0062242A">
        <w:t xml:space="preserve">).)  </w:t>
      </w:r>
      <w:r w:rsidR="00D92267">
        <w:t xml:space="preserve">At the hearing, </w:t>
      </w:r>
      <w:r>
        <w:t xml:space="preserve">Ms. Alexander </w:t>
      </w:r>
      <w:r w:rsidR="0062242A">
        <w:t xml:space="preserve">presented evidence </w:t>
      </w:r>
      <w:r>
        <w:t xml:space="preserve">that the </w:t>
      </w:r>
      <w:r w:rsidR="00901B18">
        <w:t>house was unoccupied</w:t>
      </w:r>
      <w:r w:rsidR="0062242A">
        <w:t xml:space="preserve"> and argued that </w:t>
      </w:r>
      <w:r w:rsidR="00D92267">
        <w:t xml:space="preserve">her gas </w:t>
      </w:r>
      <w:r w:rsidR="0062242A">
        <w:t xml:space="preserve">appliances were not being used. </w:t>
      </w:r>
      <w:r w:rsidR="00D92267">
        <w:t xml:space="preserve"> No gas company can provide round-the-clock surveillance on all of its customers to disprove a later allegation that, </w:t>
      </w:r>
      <w:r w:rsidR="00CD7D0C">
        <w:t>regardless of</w:t>
      </w:r>
      <w:r w:rsidR="00D92267">
        <w:t xml:space="preserve"> their meter </w:t>
      </w:r>
      <w:r w:rsidR="00CD7D0C">
        <w:t>reading</w:t>
      </w:r>
      <w:r w:rsidR="00D92267">
        <w:t xml:space="preserve">, they did not use the gas.  Companies must rely on their meters, and Ms. Alexander </w:t>
      </w:r>
      <w:r w:rsidR="00901B18">
        <w:t xml:space="preserve">has not called into question the critical </w:t>
      </w:r>
      <w:r>
        <w:t>fact</w:t>
      </w:r>
      <w:r w:rsidR="00901B18">
        <w:t xml:space="preserve">s: gas </w:t>
      </w:r>
      <w:r w:rsidR="0062242A">
        <w:t xml:space="preserve">service had been established in her name at both accounts (Edwards Dir. at 2, 4); </w:t>
      </w:r>
      <w:r>
        <w:t>DEO’s meters measured gas consumption</w:t>
      </w:r>
      <w:r w:rsidR="0062242A">
        <w:t xml:space="preserve"> (</w:t>
      </w:r>
      <w:r w:rsidR="0062242A">
        <w:rPr>
          <w:i/>
        </w:rPr>
        <w:t>id</w:t>
      </w:r>
      <w:r w:rsidR="0062242A">
        <w:t>. at 2–5);</w:t>
      </w:r>
      <w:r w:rsidR="00901B18">
        <w:t xml:space="preserve"> and the </w:t>
      </w:r>
      <w:r w:rsidR="0062242A">
        <w:t>meters proved accurate</w:t>
      </w:r>
      <w:r w:rsidR="00D92267">
        <w:t xml:space="preserve"> (Kazmer Supp. at 2–4</w:t>
      </w:r>
      <w:r w:rsidR="0062242A">
        <w:t>.</w:t>
      </w:r>
      <w:r w:rsidR="00D92267">
        <w:t>)</w:t>
      </w:r>
      <w:r>
        <w:t xml:space="preserve"> </w:t>
      </w:r>
    </w:p>
    <w:p w14:paraId="305D0B61" w14:textId="1F8AAFE2" w:rsidR="00B1608B" w:rsidRDefault="00B1608B" w:rsidP="00B1608B">
      <w:pPr>
        <w:pStyle w:val="MemoBodyText"/>
      </w:pPr>
      <w:r>
        <w:t xml:space="preserve">DEO accurately metered </w:t>
      </w:r>
      <w:r w:rsidR="00D92267">
        <w:t xml:space="preserve">Ms. Alexander’s </w:t>
      </w:r>
      <w:r>
        <w:t xml:space="preserve">usage, </w:t>
      </w:r>
      <w:r w:rsidR="00D92267">
        <w:t xml:space="preserve">and </w:t>
      </w:r>
      <w:r>
        <w:t xml:space="preserve">as the customer of record, </w:t>
      </w:r>
      <w:r w:rsidR="009D7336">
        <w:t xml:space="preserve">pursuant to Ohio Adm. Code 4901:1-18-01(G) and 4901:1-18-04, </w:t>
      </w:r>
      <w:r w:rsidR="00D92267">
        <w:t xml:space="preserve">she is </w:t>
      </w:r>
      <w:r>
        <w:t xml:space="preserve">responsible to pay for the gas consumed.   </w:t>
      </w:r>
    </w:p>
    <w:p w14:paraId="7C8A4D52" w14:textId="6FD4D4FB" w:rsidR="00B1608B" w:rsidRDefault="00B1608B" w:rsidP="00B1608B">
      <w:pPr>
        <w:pStyle w:val="MemoHeading2"/>
      </w:pPr>
      <w:bookmarkStart w:id="6" w:name="_Toc205266048"/>
      <w:r>
        <w:t xml:space="preserve">DEO accurately billed Ms. Alexander for </w:t>
      </w:r>
      <w:r w:rsidR="00BA5DFD">
        <w:t>her gas service</w:t>
      </w:r>
      <w:r>
        <w:t>.</w:t>
      </w:r>
      <w:bookmarkEnd w:id="6"/>
    </w:p>
    <w:p w14:paraId="60C52EC2" w14:textId="59A64DC1" w:rsidR="00B1608B" w:rsidRDefault="00D92267" w:rsidP="00B1608B">
      <w:pPr>
        <w:pStyle w:val="MemoBodyText"/>
      </w:pPr>
      <w:r>
        <w:t>Other than claiming that she did not use the metered gas, Ms. Alexander has not put forth any theory or evidence questioning the accuracy of her bills.  But DEO will point out that it did correctly bill her</w:t>
      </w:r>
      <w:r w:rsidR="00B1608B">
        <w:t xml:space="preserve">.  Ohio Adm. Code 4901:1-13-11(B) </w:t>
      </w:r>
      <w:proofErr w:type="gramStart"/>
      <w:r w:rsidR="00B1608B">
        <w:t>require</w:t>
      </w:r>
      <w:proofErr w:type="gramEnd"/>
      <w:r w:rsidR="00B1608B">
        <w:t xml:space="preserve"> natural gas company bills to be “accurate and rendered at monthly intervals.”  In accordance with this obligation, each natural gas company must “obtain actual readings of its customer meters at least once every twelve months” and must “make reasonable attempts to obtain actual readings of its customer meters every other month.”  Ohio Adm. Code 4901:1-13-04(G)(1).  When the natural gas company bases its bills on estimated usage, it must “calculate the amount due using the applicable rate(s) in effect during each period of estimated usage.”  </w:t>
      </w:r>
      <w:r w:rsidR="00B1608B">
        <w:rPr>
          <w:i/>
        </w:rPr>
        <w:t>Id.</w:t>
      </w:r>
      <w:r w:rsidR="00B1608B">
        <w:t xml:space="preserve">  </w:t>
      </w:r>
    </w:p>
    <w:p w14:paraId="60E0B6F4" w14:textId="3FF6661E" w:rsidR="00B1608B" w:rsidRDefault="00B1608B" w:rsidP="00300CEE">
      <w:pPr>
        <w:pStyle w:val="MemoBodyText"/>
      </w:pPr>
      <w:r>
        <w:t xml:space="preserve">DEO complied with these rules when it billed Ms. Alexander.  For both units, DEO made reasonable attempts to obtain an actual meter reading every other month. </w:t>
      </w:r>
      <w:r w:rsidR="00D92267">
        <w:t xml:space="preserve"> </w:t>
      </w:r>
      <w:r>
        <w:t>(</w:t>
      </w:r>
      <w:r w:rsidR="00D92267">
        <w:t xml:space="preserve">Edwards Dir. </w:t>
      </w:r>
      <w:r>
        <w:t xml:space="preserve">at 3, 5; </w:t>
      </w:r>
      <w:r>
        <w:rPr>
          <w:i/>
        </w:rPr>
        <w:t xml:space="preserve">see also </w:t>
      </w:r>
      <w:r>
        <w:t xml:space="preserve">DEO Ex. 1.1 and 1.2.)  DEO billed Ms. Alexander </w:t>
      </w:r>
      <w:r w:rsidR="00D92267">
        <w:t xml:space="preserve">for </w:t>
      </w:r>
      <w:r>
        <w:t>estimated consumptio</w:t>
      </w:r>
      <w:r w:rsidR="00D92267">
        <w:t>n</w:t>
      </w:r>
      <w:r>
        <w:t xml:space="preserve"> when DEO did not </w:t>
      </w:r>
      <w:r w:rsidR="00D92267">
        <w:t>acquire an actual read</w:t>
      </w:r>
      <w:r>
        <w:t xml:space="preserve"> and </w:t>
      </w:r>
      <w:r w:rsidR="00D92267">
        <w:t xml:space="preserve">for </w:t>
      </w:r>
      <w:r>
        <w:t>actual consumption</w:t>
      </w:r>
      <w:r w:rsidR="00D92267">
        <w:t xml:space="preserve"> </w:t>
      </w:r>
      <w:r>
        <w:t xml:space="preserve">when </w:t>
      </w:r>
      <w:r w:rsidR="00D92267">
        <w:t>it did</w:t>
      </w:r>
      <w:r>
        <w:t>.  (</w:t>
      </w:r>
      <w:r w:rsidR="00D92267">
        <w:t xml:space="preserve">Edwards Dir. </w:t>
      </w:r>
      <w:r>
        <w:t>at 3, 5</w:t>
      </w:r>
      <w:r w:rsidR="00D92267">
        <w:t>–</w:t>
      </w:r>
      <w:r>
        <w:t xml:space="preserve">6.)  </w:t>
      </w:r>
      <w:r w:rsidR="00D92267">
        <w:t>W</w:t>
      </w:r>
      <w:r>
        <w:t>hen DEO overestimated her consumption, it rebilled Ms. Alexander.   (</w:t>
      </w:r>
      <w:r>
        <w:rPr>
          <w:i/>
        </w:rPr>
        <w:t xml:space="preserve">See </w:t>
      </w:r>
      <w:r>
        <w:t xml:space="preserve">DEO Ex. 1.1 and 1.2; </w:t>
      </w:r>
      <w:r>
        <w:rPr>
          <w:i/>
        </w:rPr>
        <w:t xml:space="preserve">see also </w:t>
      </w:r>
      <w:r w:rsidR="00D92267">
        <w:t xml:space="preserve">Edwards Dir. </w:t>
      </w:r>
      <w:r>
        <w:t>at 4</w:t>
      </w:r>
      <w:r w:rsidR="00D92267">
        <w:t xml:space="preserve">, </w:t>
      </w:r>
      <w:r>
        <w:t xml:space="preserve">6.) </w:t>
      </w:r>
      <w:r w:rsidR="00D92267">
        <w:t xml:space="preserve"> And DEO sent all of the bills to the </w:t>
      </w:r>
      <w:r w:rsidR="00300CEE">
        <w:t xml:space="preserve">address on record until Ms. Alexander requested that DEO use a different billing address.  </w:t>
      </w:r>
      <w:r>
        <w:t>(</w:t>
      </w:r>
      <w:r w:rsidR="00300CEE">
        <w:t xml:space="preserve">Edwards Dir. </w:t>
      </w:r>
      <w:r>
        <w:t>at 2</w:t>
      </w:r>
      <w:r w:rsidR="00300CEE">
        <w:t>–3</w:t>
      </w:r>
      <w:r>
        <w:t>, 4</w:t>
      </w:r>
      <w:r w:rsidR="00300CEE">
        <w:t>–</w:t>
      </w:r>
      <w:r>
        <w:t>5.)</w:t>
      </w:r>
      <w:r w:rsidR="00300CEE">
        <w:t xml:space="preserve"> </w:t>
      </w:r>
      <w:r w:rsidR="009D7336">
        <w:t xml:space="preserve"> This evidence proves that DEO accurately billed Ms. Alexander for</w:t>
      </w:r>
      <w:r w:rsidR="00BC2E31">
        <w:t xml:space="preserve"> </w:t>
      </w:r>
      <w:r w:rsidR="009D7336">
        <w:t>her gas service.</w:t>
      </w:r>
    </w:p>
    <w:p w14:paraId="13FDF01B" w14:textId="77777777" w:rsidR="00B1608B" w:rsidRDefault="00B1608B" w:rsidP="00B1608B">
      <w:pPr>
        <w:pStyle w:val="MemoHeading1"/>
      </w:pPr>
      <w:bookmarkStart w:id="7" w:name="_Toc205266049"/>
      <w:r>
        <w:t>CONCLUSION</w:t>
      </w:r>
      <w:bookmarkEnd w:id="7"/>
    </w:p>
    <w:p w14:paraId="0FF1040B" w14:textId="068FAFC4" w:rsidR="00B1608B" w:rsidRDefault="00300CEE" w:rsidP="00B1608B">
      <w:pPr>
        <w:pStyle w:val="MemoBodyText"/>
      </w:pPr>
      <w:r>
        <w:t xml:space="preserve">Ms. Alexander requested natural gas service, and DEO established it.  Ms. Alexander’s meters then measured gas consumption, and the meters proved accurate.  None of Ms. Alexander’s evidence </w:t>
      </w:r>
      <w:r w:rsidR="00BA5DFD">
        <w:t xml:space="preserve">regarding the condition of her property </w:t>
      </w:r>
      <w:r>
        <w:t>provides any r</w:t>
      </w:r>
      <w:r w:rsidR="00BA5DFD">
        <w:t xml:space="preserve">eason to doubt the meter test, and she has offered no other basis for doubting the accuracy of her bills.  She </w:t>
      </w:r>
      <w:r>
        <w:t xml:space="preserve">has not shown that DEO provided </w:t>
      </w:r>
      <w:r w:rsidR="009D7336">
        <w:t>inadequate</w:t>
      </w:r>
      <w:r>
        <w:t xml:space="preserve"> service in any way, and her complaint should be dismissed</w:t>
      </w:r>
      <w:r w:rsidR="00B1608B">
        <w:t>.</w:t>
      </w:r>
      <w:r>
        <w:t xml:space="preserve">  </w:t>
      </w:r>
    </w:p>
    <w:p w14:paraId="0940560E" w14:textId="77777777" w:rsidR="00BA5DFD" w:rsidRDefault="00BA5DFD" w:rsidP="00BA5DFD">
      <w:pPr>
        <w:tabs>
          <w:tab w:val="left" w:pos="5040"/>
        </w:tabs>
        <w:rPr>
          <w:rFonts w:ascii="Times New Roman" w:hAnsi="Times New Roman" w:cs="Times New Roman"/>
        </w:rPr>
      </w:pPr>
      <w:r>
        <w:rPr>
          <w:rFonts w:ascii="Times New Roman" w:hAnsi="Times New Roman" w:cs="Times New Roman"/>
        </w:rPr>
        <w:t>Dated:  August 2,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0431FB94" w14:textId="77777777" w:rsidR="00BA5DFD" w:rsidRDefault="00BA5DFD" w:rsidP="00BA5DFD">
      <w:pPr>
        <w:tabs>
          <w:tab w:val="left" w:pos="5040"/>
        </w:tabs>
        <w:rPr>
          <w:rFonts w:ascii="Times New Roman" w:hAnsi="Times New Roman" w:cs="Times New Roman"/>
        </w:rPr>
      </w:pPr>
    </w:p>
    <w:p w14:paraId="0C8D21DA" w14:textId="77777777" w:rsidR="00BA5DFD" w:rsidRDefault="00BA5DFD" w:rsidP="00BA5DFD">
      <w:pPr>
        <w:ind w:left="5040"/>
        <w:rPr>
          <w:rFonts w:ascii="Times New Roman" w:hAnsi="Times New Roman" w:cs="Times New Roman"/>
          <w:u w:val="single"/>
        </w:rPr>
      </w:pPr>
      <w:r>
        <w:rPr>
          <w:rFonts w:ascii="Times New Roman" w:hAnsi="Times New Roman" w:cs="Times New Roman"/>
          <w:u w:val="single"/>
        </w:rPr>
        <w:t>/s/ Mark A. Whitt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D586DCE" w14:textId="77777777" w:rsidR="00BA5DFD" w:rsidRDefault="00BA5DFD" w:rsidP="00BA5DFD">
      <w:pPr>
        <w:ind w:left="5040"/>
        <w:rPr>
          <w:rFonts w:ascii="Times New Roman" w:hAnsi="Times New Roman" w:cs="Times New Roman"/>
        </w:rPr>
      </w:pPr>
      <w:r>
        <w:rPr>
          <w:rFonts w:ascii="Times New Roman" w:hAnsi="Times New Roman" w:cs="Times New Roman"/>
        </w:rPr>
        <w:t>Mark A. Whitt (Counsel of Record)</w:t>
      </w:r>
    </w:p>
    <w:p w14:paraId="647947DC" w14:textId="77777777" w:rsidR="00BA5DFD" w:rsidRDefault="00BA5DFD" w:rsidP="00BA5DFD">
      <w:pPr>
        <w:ind w:left="5040"/>
        <w:rPr>
          <w:rFonts w:ascii="Times New Roman" w:hAnsi="Times New Roman" w:cs="Times New Roman"/>
        </w:rPr>
      </w:pPr>
      <w:r>
        <w:rPr>
          <w:rFonts w:ascii="Times New Roman" w:hAnsi="Times New Roman" w:cs="Times New Roman"/>
        </w:rPr>
        <w:t>Andrew J. Campbell</w:t>
      </w:r>
    </w:p>
    <w:p w14:paraId="1BC69C77" w14:textId="77777777" w:rsidR="00BA5DFD" w:rsidRDefault="00BA5DFD" w:rsidP="00BA5DFD">
      <w:pPr>
        <w:ind w:left="5040"/>
        <w:rPr>
          <w:rFonts w:ascii="Times New Roman" w:hAnsi="Times New Roman" w:cs="Times New Roman"/>
        </w:rPr>
      </w:pPr>
      <w:r>
        <w:rPr>
          <w:rFonts w:ascii="Times New Roman" w:hAnsi="Times New Roman" w:cs="Times New Roman"/>
        </w:rPr>
        <w:t>Melissa L. Thompson</w:t>
      </w:r>
    </w:p>
    <w:p w14:paraId="2D6D3708" w14:textId="77777777" w:rsidR="00BA5DFD" w:rsidRDefault="00BA5DFD" w:rsidP="00BA5DFD">
      <w:pPr>
        <w:ind w:left="5040"/>
        <w:rPr>
          <w:rFonts w:ascii="Times New Roman" w:hAnsi="Times New Roman" w:cs="Times New Roman"/>
        </w:rPr>
      </w:pPr>
      <w:r>
        <w:rPr>
          <w:rFonts w:ascii="Times New Roman" w:hAnsi="Times New Roman" w:cs="Times New Roman"/>
        </w:rPr>
        <w:t>WHITT STURTEVANT LLP</w:t>
      </w:r>
    </w:p>
    <w:p w14:paraId="51E4F16A" w14:textId="77777777" w:rsidR="00BA5DFD" w:rsidRDefault="00BA5DFD" w:rsidP="00BA5DFD">
      <w:pPr>
        <w:ind w:left="5040"/>
        <w:rPr>
          <w:rFonts w:ascii="Times New Roman" w:hAnsi="Times New Roman" w:cs="Times New Roman"/>
        </w:rPr>
      </w:pPr>
      <w:r>
        <w:rPr>
          <w:rFonts w:ascii="Times New Roman" w:hAnsi="Times New Roman" w:cs="Times New Roman"/>
        </w:rPr>
        <w:t>PNC Plaza, Suite 2020</w:t>
      </w:r>
    </w:p>
    <w:p w14:paraId="570E6299" w14:textId="77777777" w:rsidR="00BA5DFD" w:rsidRDefault="00BA5DFD" w:rsidP="00BA5DFD">
      <w:pPr>
        <w:ind w:left="5040"/>
        <w:rPr>
          <w:rFonts w:ascii="Times New Roman" w:hAnsi="Times New Roman" w:cs="Times New Roman"/>
        </w:rPr>
      </w:pPr>
      <w:r>
        <w:rPr>
          <w:rFonts w:ascii="Times New Roman" w:hAnsi="Times New Roman" w:cs="Times New Roman"/>
        </w:rPr>
        <w:t>155 East Broad Street</w:t>
      </w:r>
    </w:p>
    <w:p w14:paraId="5DE9616B" w14:textId="77777777" w:rsidR="00BA5DFD" w:rsidRDefault="00BA5DFD" w:rsidP="00BA5DFD">
      <w:pPr>
        <w:ind w:left="5040"/>
        <w:rPr>
          <w:rFonts w:ascii="Times New Roman" w:hAnsi="Times New Roman" w:cs="Times New Roman"/>
        </w:rPr>
      </w:pPr>
      <w:r>
        <w:rPr>
          <w:rFonts w:ascii="Times New Roman" w:hAnsi="Times New Roman" w:cs="Times New Roman"/>
        </w:rPr>
        <w:t>Columbus, Ohio 43215</w:t>
      </w:r>
    </w:p>
    <w:p w14:paraId="5D4B3DE8" w14:textId="77777777" w:rsidR="00BA5DFD" w:rsidRDefault="00BA5DFD" w:rsidP="00BA5DFD">
      <w:pPr>
        <w:ind w:left="5040"/>
        <w:rPr>
          <w:rFonts w:ascii="Times New Roman" w:hAnsi="Times New Roman" w:cs="Times New Roman"/>
        </w:rPr>
      </w:pPr>
      <w:r>
        <w:rPr>
          <w:rFonts w:ascii="Times New Roman" w:hAnsi="Times New Roman" w:cs="Times New Roman"/>
        </w:rPr>
        <w:t>Telephone:  (614) 224-3911</w:t>
      </w:r>
    </w:p>
    <w:p w14:paraId="2A92C6AC" w14:textId="77777777" w:rsidR="00BA5DFD" w:rsidRDefault="00BA5DFD" w:rsidP="00BA5DFD">
      <w:pPr>
        <w:ind w:left="5040"/>
        <w:rPr>
          <w:rFonts w:ascii="Times New Roman" w:hAnsi="Times New Roman" w:cs="Times New Roman"/>
        </w:rPr>
      </w:pPr>
      <w:r>
        <w:rPr>
          <w:rFonts w:ascii="Times New Roman" w:hAnsi="Times New Roman" w:cs="Times New Roman"/>
        </w:rPr>
        <w:t>Facsimile:   (614) 224- 3960</w:t>
      </w:r>
    </w:p>
    <w:p w14:paraId="5BDC82B5" w14:textId="77777777" w:rsidR="00BA5DFD" w:rsidRDefault="00BA5DFD" w:rsidP="00BA5DFD">
      <w:pPr>
        <w:ind w:left="5040"/>
        <w:rPr>
          <w:rFonts w:ascii="Times New Roman" w:hAnsi="Times New Roman" w:cs="Times New Roman"/>
        </w:rPr>
      </w:pPr>
      <w:r>
        <w:rPr>
          <w:rFonts w:ascii="Times New Roman" w:hAnsi="Times New Roman" w:cs="Times New Roman"/>
        </w:rPr>
        <w:t>whitt@whitt-sturtevant.com</w:t>
      </w:r>
    </w:p>
    <w:p w14:paraId="358F4BDF" w14:textId="77777777" w:rsidR="00BA5DFD" w:rsidRDefault="00BA5DFD" w:rsidP="00BA5DFD">
      <w:pPr>
        <w:ind w:left="5040"/>
        <w:rPr>
          <w:rFonts w:ascii="Times New Roman" w:hAnsi="Times New Roman" w:cs="Times New Roman"/>
        </w:rPr>
      </w:pPr>
      <w:r>
        <w:rPr>
          <w:rFonts w:ascii="Times New Roman" w:hAnsi="Times New Roman" w:cs="Times New Roman"/>
        </w:rPr>
        <w:t>campbell@whitt-sturtevant.com</w:t>
      </w:r>
    </w:p>
    <w:p w14:paraId="555E75FD" w14:textId="77777777" w:rsidR="00BA5DFD" w:rsidRDefault="00BA5DFD" w:rsidP="00BA5DFD">
      <w:pPr>
        <w:ind w:left="5040"/>
        <w:rPr>
          <w:rFonts w:ascii="Times New Roman" w:hAnsi="Times New Roman" w:cs="Times New Roman"/>
        </w:rPr>
      </w:pPr>
      <w:r>
        <w:rPr>
          <w:rFonts w:ascii="Times New Roman" w:hAnsi="Times New Roman" w:cs="Times New Roman"/>
        </w:rPr>
        <w:t>thompson@whitt-sturtevant.com</w:t>
      </w:r>
    </w:p>
    <w:p w14:paraId="23E14BCB" w14:textId="77777777" w:rsidR="00BA5DFD" w:rsidRDefault="00BA5DFD" w:rsidP="00BA5DFD">
      <w:pPr>
        <w:ind w:left="5040"/>
        <w:rPr>
          <w:rFonts w:ascii="Times New Roman" w:hAnsi="Times New Roman" w:cs="Times New Roman"/>
          <w:b/>
        </w:rPr>
      </w:pPr>
    </w:p>
    <w:p w14:paraId="15257F45" w14:textId="77777777" w:rsidR="00BA5DFD" w:rsidRDefault="00BA5DFD" w:rsidP="00BA5DFD">
      <w:pPr>
        <w:ind w:left="5040"/>
        <w:rPr>
          <w:rFonts w:ascii="Times New Roman" w:hAnsi="Times New Roman" w:cs="Times New Roman"/>
        </w:rPr>
        <w:sectPr w:rsidR="00BA5DFD" w:rsidSect="00CD7D0C">
          <w:footerReference w:type="first" r:id="rId11"/>
          <w:pgSz w:w="12240" w:h="15840"/>
          <w:pgMar w:top="1440" w:right="1440" w:bottom="1440" w:left="1440" w:header="720" w:footer="720" w:gutter="0"/>
          <w:pgNumType w:start="1"/>
          <w:cols w:space="720"/>
          <w:titlePg/>
          <w:docGrid w:linePitch="360"/>
        </w:sectPr>
      </w:pPr>
      <w:r>
        <w:rPr>
          <w:rFonts w:ascii="Times New Roman" w:hAnsi="Times New Roman" w:cs="Times New Roman"/>
        </w:rPr>
        <w:t>ATTORNEYS FOR THE EAST OHIO GAS COMPANY D/B/A DOMINION EAST OHIO</w:t>
      </w:r>
    </w:p>
    <w:p w14:paraId="5A902958" w14:textId="77777777" w:rsidR="00BA5DFD" w:rsidRDefault="00BA5DFD" w:rsidP="00BA5DFD">
      <w:pPr>
        <w:spacing w:line="480" w:lineRule="auto"/>
        <w:jc w:val="center"/>
        <w:rPr>
          <w:rFonts w:ascii="Times New Roman" w:hAnsi="Times New Roman" w:cs="Times New Roman"/>
          <w:b/>
          <w:u w:val="single"/>
        </w:rPr>
      </w:pPr>
      <w:r w:rsidRPr="00156041">
        <w:rPr>
          <w:rFonts w:ascii="Times New Roman" w:hAnsi="Times New Roman" w:cs="Times New Roman"/>
          <w:b/>
          <w:u w:val="single"/>
        </w:rPr>
        <w:t>CERTIFICATE OF SERVICE</w:t>
      </w:r>
    </w:p>
    <w:p w14:paraId="678F0668" w14:textId="77777777" w:rsidR="00BA5DFD" w:rsidRDefault="00BA5DFD" w:rsidP="00BA5DFD">
      <w:pPr>
        <w:spacing w:line="480" w:lineRule="auto"/>
        <w:rPr>
          <w:rFonts w:ascii="Times New Roman" w:hAnsi="Times New Roman" w:cs="Times New Roman"/>
        </w:rPr>
      </w:pPr>
      <w:r>
        <w:rPr>
          <w:rFonts w:ascii="Times New Roman" w:hAnsi="Times New Roman" w:cs="Times New Roman"/>
        </w:rPr>
        <w:tab/>
        <w:t xml:space="preserve">I hereby certify that a copy of the foregoing Post-Hearing Brief of The East Ohio Gas Company d/b/a Dominion East Ohio was served by electronic mail to the following person on this 2nd day of </w:t>
      </w:r>
      <w:proofErr w:type="gramStart"/>
      <w:r>
        <w:rPr>
          <w:rFonts w:ascii="Times New Roman" w:hAnsi="Times New Roman" w:cs="Times New Roman"/>
        </w:rPr>
        <w:t>August,</w:t>
      </w:r>
      <w:proofErr w:type="gramEnd"/>
      <w:r>
        <w:rPr>
          <w:rFonts w:ascii="Times New Roman" w:hAnsi="Times New Roman" w:cs="Times New Roman"/>
        </w:rPr>
        <w:t xml:space="preserve"> 2012:</w:t>
      </w:r>
    </w:p>
    <w:p w14:paraId="74F5C421" w14:textId="77777777" w:rsidR="00BA5DFD" w:rsidRDefault="00BA5DFD" w:rsidP="00BA5DFD">
      <w:pPr>
        <w:rPr>
          <w:rFonts w:ascii="Times New Roman" w:hAnsi="Times New Roman" w:cs="Times New Roman"/>
        </w:rPr>
      </w:pPr>
      <w:r>
        <w:rPr>
          <w:rFonts w:ascii="Times New Roman" w:hAnsi="Times New Roman" w:cs="Times New Roman"/>
        </w:rPr>
        <w:t>Ms. Judy Alexander</w:t>
      </w:r>
    </w:p>
    <w:p w14:paraId="13722BF7" w14:textId="77777777" w:rsidR="00BA5DFD" w:rsidRDefault="00BA5DFD" w:rsidP="00BA5DFD">
      <w:pPr>
        <w:rPr>
          <w:rFonts w:ascii="Times New Roman" w:hAnsi="Times New Roman" w:cs="Times New Roman"/>
        </w:rPr>
      </w:pPr>
      <w:r>
        <w:rPr>
          <w:rFonts w:ascii="Times New Roman" w:hAnsi="Times New Roman" w:cs="Times New Roman"/>
        </w:rPr>
        <w:t>4391 E. 86th Street</w:t>
      </w:r>
    </w:p>
    <w:p w14:paraId="1E0D4D84" w14:textId="77777777" w:rsidR="00BA5DFD" w:rsidRDefault="00BA5DFD" w:rsidP="00BA5DFD">
      <w:pPr>
        <w:rPr>
          <w:rFonts w:ascii="Times New Roman" w:hAnsi="Times New Roman" w:cs="Times New Roman"/>
        </w:rPr>
      </w:pPr>
      <w:r>
        <w:rPr>
          <w:rFonts w:ascii="Times New Roman" w:hAnsi="Times New Roman" w:cs="Times New Roman"/>
        </w:rPr>
        <w:t xml:space="preserve">Cleveland, </w:t>
      </w:r>
      <w:proofErr w:type="gramStart"/>
      <w:r>
        <w:rPr>
          <w:rFonts w:ascii="Times New Roman" w:hAnsi="Times New Roman" w:cs="Times New Roman"/>
        </w:rPr>
        <w:t>Ohio  44105</w:t>
      </w:r>
      <w:proofErr w:type="gramEnd"/>
    </w:p>
    <w:p w14:paraId="7F638FED" w14:textId="77777777" w:rsidR="00BA5DFD" w:rsidRDefault="00BA5DFD" w:rsidP="00BA5DFD">
      <w:pPr>
        <w:rPr>
          <w:rFonts w:ascii="Times New Roman" w:hAnsi="Times New Roman" w:cs="Times New Roman"/>
        </w:rPr>
      </w:pPr>
    </w:p>
    <w:p w14:paraId="2995622C" w14:textId="77777777" w:rsidR="00BA5DFD" w:rsidRDefault="00BA5DFD" w:rsidP="00BA5DFD">
      <w:pPr>
        <w:ind w:left="5040"/>
        <w:rPr>
          <w:rFonts w:ascii="Times New Roman" w:hAnsi="Times New Roman" w:cs="Times New Roman"/>
        </w:rPr>
      </w:pPr>
      <w:r>
        <w:rPr>
          <w:rFonts w:ascii="Times New Roman" w:hAnsi="Times New Roman" w:cs="Times New Roman"/>
          <w:u w:val="single"/>
        </w:rPr>
        <w:t>/s/ Melissa L. Thompson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2E3FB30" w14:textId="77777777" w:rsidR="00BA5DFD" w:rsidRPr="00156041" w:rsidRDefault="00BA5DFD" w:rsidP="00BA5DFD">
      <w:pPr>
        <w:ind w:left="5040"/>
        <w:rPr>
          <w:rFonts w:ascii="Times New Roman" w:hAnsi="Times New Roman" w:cs="Times New Roman"/>
        </w:rPr>
      </w:pPr>
      <w:r>
        <w:rPr>
          <w:rFonts w:ascii="Times New Roman" w:hAnsi="Times New Roman" w:cs="Times New Roman"/>
        </w:rPr>
        <w:t>One of the Attorneys for The East Ohio Gas Company d/b/a Dominion East Ohio</w:t>
      </w:r>
    </w:p>
    <w:p w14:paraId="170DD8BC" w14:textId="77777777" w:rsidR="00BA5DFD" w:rsidRDefault="00BA5DFD" w:rsidP="00B1608B">
      <w:pPr>
        <w:pStyle w:val="MemoBodyText"/>
      </w:pPr>
    </w:p>
    <w:p w14:paraId="2C34D15F" w14:textId="77777777" w:rsidR="001B42E3" w:rsidRPr="00B1608B" w:rsidRDefault="001B42E3" w:rsidP="00B1608B"/>
    <w:sectPr w:rsidR="001B42E3" w:rsidRPr="00B1608B" w:rsidSect="00BA5DFD">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FDD4F" w14:textId="77777777" w:rsidR="00CD7D0C" w:rsidRDefault="00CD7D0C" w:rsidP="0032154A">
      <w:r>
        <w:separator/>
      </w:r>
    </w:p>
  </w:endnote>
  <w:endnote w:type="continuationSeparator" w:id="0">
    <w:p w14:paraId="5C9E9675" w14:textId="77777777" w:rsidR="00CD7D0C" w:rsidRDefault="00CD7D0C"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7E9E" w14:textId="77777777" w:rsidR="00CD7D0C" w:rsidRDefault="00CD7D0C" w:rsidP="00CD7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C4AE5" w14:textId="77777777" w:rsidR="00CD7D0C" w:rsidRDefault="00CD7D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85A7" w14:textId="77777777" w:rsidR="00CD7D0C" w:rsidRPr="002807D9" w:rsidRDefault="00CD7D0C" w:rsidP="00CD7D0C">
    <w:pPr>
      <w:pStyle w:val="Footer"/>
      <w:framePr w:wrap="around" w:vAnchor="text" w:hAnchor="margin" w:xAlign="center" w:y="1"/>
      <w:rPr>
        <w:rStyle w:val="PageNumber"/>
        <w:rFonts w:ascii="Times New Roman" w:hAnsi="Times New Roman" w:cs="Times New Roman"/>
      </w:rPr>
    </w:pPr>
    <w:r w:rsidRPr="002807D9">
      <w:rPr>
        <w:rStyle w:val="PageNumber"/>
        <w:rFonts w:ascii="Times New Roman" w:hAnsi="Times New Roman" w:cs="Times New Roman"/>
      </w:rPr>
      <w:fldChar w:fldCharType="begin"/>
    </w:r>
    <w:r w:rsidRPr="002807D9">
      <w:rPr>
        <w:rStyle w:val="PageNumber"/>
        <w:rFonts w:ascii="Times New Roman" w:hAnsi="Times New Roman" w:cs="Times New Roman"/>
      </w:rPr>
      <w:instrText xml:space="preserve">PAGE  </w:instrText>
    </w:r>
    <w:r w:rsidRPr="002807D9">
      <w:rPr>
        <w:rStyle w:val="PageNumber"/>
        <w:rFonts w:ascii="Times New Roman" w:hAnsi="Times New Roman" w:cs="Times New Roman"/>
      </w:rPr>
      <w:fldChar w:fldCharType="separate"/>
    </w:r>
    <w:r w:rsidR="00B667BF">
      <w:rPr>
        <w:rStyle w:val="PageNumber"/>
        <w:rFonts w:ascii="Times New Roman" w:hAnsi="Times New Roman" w:cs="Times New Roman"/>
        <w:noProof/>
      </w:rPr>
      <w:t>6</w:t>
    </w:r>
    <w:r w:rsidRPr="002807D9">
      <w:rPr>
        <w:rStyle w:val="PageNumber"/>
        <w:rFonts w:ascii="Times New Roman" w:hAnsi="Times New Roman" w:cs="Times New Roman"/>
      </w:rPr>
      <w:fldChar w:fldCharType="end"/>
    </w:r>
  </w:p>
  <w:p w14:paraId="60FA35ED" w14:textId="77777777" w:rsidR="00CD7D0C" w:rsidRPr="002807D9" w:rsidRDefault="00CD7D0C">
    <w:pPr>
      <w:pStyle w:val="Footer"/>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4C08" w14:textId="77777777" w:rsidR="00CD7D0C" w:rsidRDefault="00CD7D0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27A8" w14:textId="77777777" w:rsidR="00CD7D0C" w:rsidRDefault="00CD7D0C" w:rsidP="008C05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E286D" w14:textId="77777777" w:rsidR="00CD7D0C" w:rsidRDefault="00CD7D0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39BE" w14:textId="77777777" w:rsidR="00CD7D0C" w:rsidRPr="008C05DF" w:rsidRDefault="00CD7D0C" w:rsidP="008C05DF">
    <w:pPr>
      <w:pStyle w:val="Footer"/>
      <w:framePr w:wrap="around" w:vAnchor="text" w:hAnchor="margin" w:xAlign="center" w:y="1"/>
      <w:rPr>
        <w:rStyle w:val="PageNumber"/>
        <w:rFonts w:ascii="Times New Roman" w:hAnsi="Times New Roman"/>
      </w:rPr>
    </w:pPr>
    <w:r w:rsidRPr="008C05DF">
      <w:rPr>
        <w:rStyle w:val="PageNumber"/>
        <w:rFonts w:ascii="Times New Roman" w:hAnsi="Times New Roman"/>
      </w:rPr>
      <w:fldChar w:fldCharType="begin"/>
    </w:r>
    <w:r w:rsidRPr="008C05DF">
      <w:rPr>
        <w:rStyle w:val="PageNumber"/>
        <w:rFonts w:ascii="Times New Roman" w:hAnsi="Times New Roman"/>
      </w:rPr>
      <w:instrText xml:space="preserve">PAGE  </w:instrText>
    </w:r>
    <w:r w:rsidRPr="008C05DF">
      <w:rPr>
        <w:rStyle w:val="PageNumber"/>
        <w:rFonts w:ascii="Times New Roman" w:hAnsi="Times New Roman"/>
      </w:rPr>
      <w:fldChar w:fldCharType="separate"/>
    </w:r>
    <w:r>
      <w:rPr>
        <w:rStyle w:val="PageNumber"/>
        <w:rFonts w:ascii="Times New Roman" w:hAnsi="Times New Roman"/>
        <w:noProof/>
      </w:rPr>
      <w:t>6</w:t>
    </w:r>
    <w:r w:rsidRPr="008C05DF">
      <w:rPr>
        <w:rStyle w:val="PageNumber"/>
        <w:rFonts w:ascii="Times New Roman" w:hAnsi="Times New Roman"/>
      </w:rPr>
      <w:fldChar w:fldCharType="end"/>
    </w:r>
  </w:p>
  <w:p w14:paraId="3A27F37C" w14:textId="77777777" w:rsidR="00CD7D0C" w:rsidRDefault="00CD7D0C">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6023" w14:textId="77777777" w:rsidR="00CD7D0C" w:rsidRPr="008C05DF" w:rsidRDefault="00CD7D0C" w:rsidP="008C05DF">
    <w:pPr>
      <w:pStyle w:val="Footer"/>
      <w:framePr w:wrap="around" w:vAnchor="text" w:hAnchor="margin" w:xAlign="center" w:y="1"/>
      <w:rPr>
        <w:rStyle w:val="PageNumber"/>
        <w:rFonts w:ascii="Times New Roman" w:hAnsi="Times New Roman"/>
      </w:rPr>
    </w:pPr>
    <w:r w:rsidRPr="008C05DF">
      <w:rPr>
        <w:rStyle w:val="PageNumber"/>
        <w:rFonts w:ascii="Times New Roman" w:hAnsi="Times New Roman"/>
      </w:rPr>
      <w:fldChar w:fldCharType="begin"/>
    </w:r>
    <w:r w:rsidRPr="008C05DF">
      <w:rPr>
        <w:rStyle w:val="PageNumber"/>
        <w:rFonts w:ascii="Times New Roman" w:hAnsi="Times New Roman"/>
      </w:rPr>
      <w:instrText xml:space="preserve">PAGE  </w:instrText>
    </w:r>
    <w:r w:rsidRPr="008C05DF">
      <w:rPr>
        <w:rStyle w:val="PageNumber"/>
        <w:rFonts w:ascii="Times New Roman" w:hAnsi="Times New Roman"/>
      </w:rPr>
      <w:fldChar w:fldCharType="separate"/>
    </w:r>
    <w:r w:rsidR="00B667BF">
      <w:rPr>
        <w:rStyle w:val="PageNumber"/>
        <w:rFonts w:ascii="Times New Roman" w:hAnsi="Times New Roman"/>
        <w:noProof/>
      </w:rPr>
      <w:t>1</w:t>
    </w:r>
    <w:r w:rsidRPr="008C05DF">
      <w:rPr>
        <w:rStyle w:val="PageNumber"/>
        <w:rFonts w:ascii="Times New Roman" w:hAnsi="Times New Roman"/>
      </w:rPr>
      <w:fldChar w:fldCharType="end"/>
    </w:r>
  </w:p>
  <w:p w14:paraId="152BD3C4" w14:textId="77777777" w:rsidR="00CD7D0C" w:rsidRDefault="00CD7D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0E5E8" w14:textId="77777777" w:rsidR="00CD7D0C" w:rsidRDefault="00CD7D0C" w:rsidP="0032154A">
      <w:r>
        <w:separator/>
      </w:r>
    </w:p>
  </w:footnote>
  <w:footnote w:type="continuationSeparator" w:id="0">
    <w:p w14:paraId="25F71183" w14:textId="77777777" w:rsidR="00CD7D0C" w:rsidRDefault="00CD7D0C" w:rsidP="00321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9D279F"/>
    <w:multiLevelType w:val="hybridMultilevel"/>
    <w:tmpl w:val="E88CFC60"/>
    <w:lvl w:ilvl="0" w:tplc="9B8CCB08">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F1AB6"/>
    <w:multiLevelType w:val="hybridMultilevel"/>
    <w:tmpl w:val="A74CB9AC"/>
    <w:lvl w:ilvl="0" w:tplc="6CBAA0CE">
      <w:start w:val="1"/>
      <w:numFmt w:val="upperLetter"/>
      <w:pStyle w:val="Memo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8B"/>
    <w:rsid w:val="000127D6"/>
    <w:rsid w:val="00020DF7"/>
    <w:rsid w:val="000213CC"/>
    <w:rsid w:val="0002146F"/>
    <w:rsid w:val="0007068D"/>
    <w:rsid w:val="000A288D"/>
    <w:rsid w:val="000B3928"/>
    <w:rsid w:val="000C463A"/>
    <w:rsid w:val="000D62E2"/>
    <w:rsid w:val="000D6365"/>
    <w:rsid w:val="000E56C8"/>
    <w:rsid w:val="00115568"/>
    <w:rsid w:val="00185310"/>
    <w:rsid w:val="001A3578"/>
    <w:rsid w:val="001B42E3"/>
    <w:rsid w:val="001C04B0"/>
    <w:rsid w:val="001C2978"/>
    <w:rsid w:val="001C5A8F"/>
    <w:rsid w:val="001C75E2"/>
    <w:rsid w:val="00200600"/>
    <w:rsid w:val="0022361A"/>
    <w:rsid w:val="002A5ACF"/>
    <w:rsid w:val="002C52DA"/>
    <w:rsid w:val="002F78A9"/>
    <w:rsid w:val="00300CEE"/>
    <w:rsid w:val="00314522"/>
    <w:rsid w:val="0032154A"/>
    <w:rsid w:val="00321A8D"/>
    <w:rsid w:val="00326992"/>
    <w:rsid w:val="003355C7"/>
    <w:rsid w:val="00357D60"/>
    <w:rsid w:val="0044167D"/>
    <w:rsid w:val="00472357"/>
    <w:rsid w:val="004773F5"/>
    <w:rsid w:val="004A0D8B"/>
    <w:rsid w:val="004D37FA"/>
    <w:rsid w:val="005353F0"/>
    <w:rsid w:val="00547FE7"/>
    <w:rsid w:val="0055112A"/>
    <w:rsid w:val="00554664"/>
    <w:rsid w:val="00575F07"/>
    <w:rsid w:val="005A317E"/>
    <w:rsid w:val="005A4751"/>
    <w:rsid w:val="005B111C"/>
    <w:rsid w:val="005B6400"/>
    <w:rsid w:val="005C32EE"/>
    <w:rsid w:val="005D368E"/>
    <w:rsid w:val="00600B90"/>
    <w:rsid w:val="0062242A"/>
    <w:rsid w:val="00644998"/>
    <w:rsid w:val="006456C7"/>
    <w:rsid w:val="006558AB"/>
    <w:rsid w:val="00657CEE"/>
    <w:rsid w:val="00697433"/>
    <w:rsid w:val="006D0B91"/>
    <w:rsid w:val="006D28C1"/>
    <w:rsid w:val="006E03F9"/>
    <w:rsid w:val="0071539B"/>
    <w:rsid w:val="0072150D"/>
    <w:rsid w:val="00721C9A"/>
    <w:rsid w:val="0072651D"/>
    <w:rsid w:val="00786F1A"/>
    <w:rsid w:val="007B6E04"/>
    <w:rsid w:val="007F3219"/>
    <w:rsid w:val="007F4B37"/>
    <w:rsid w:val="00804023"/>
    <w:rsid w:val="00836971"/>
    <w:rsid w:val="008554E9"/>
    <w:rsid w:val="00867185"/>
    <w:rsid w:val="00873F93"/>
    <w:rsid w:val="00877A88"/>
    <w:rsid w:val="00890483"/>
    <w:rsid w:val="008A5BCF"/>
    <w:rsid w:val="008A7499"/>
    <w:rsid w:val="008B32AE"/>
    <w:rsid w:val="008C05DF"/>
    <w:rsid w:val="008C1D84"/>
    <w:rsid w:val="008C357A"/>
    <w:rsid w:val="008E7532"/>
    <w:rsid w:val="00901B18"/>
    <w:rsid w:val="00905A5F"/>
    <w:rsid w:val="00914D4F"/>
    <w:rsid w:val="00925ED3"/>
    <w:rsid w:val="00937130"/>
    <w:rsid w:val="009601B6"/>
    <w:rsid w:val="00975368"/>
    <w:rsid w:val="00996F91"/>
    <w:rsid w:val="009A409D"/>
    <w:rsid w:val="009B1541"/>
    <w:rsid w:val="009B4728"/>
    <w:rsid w:val="009C02F1"/>
    <w:rsid w:val="009C37E8"/>
    <w:rsid w:val="009C386A"/>
    <w:rsid w:val="009C3876"/>
    <w:rsid w:val="009D7336"/>
    <w:rsid w:val="009E6F3C"/>
    <w:rsid w:val="00A11350"/>
    <w:rsid w:val="00A32837"/>
    <w:rsid w:val="00A35B7B"/>
    <w:rsid w:val="00A404A4"/>
    <w:rsid w:val="00A43054"/>
    <w:rsid w:val="00A54C4E"/>
    <w:rsid w:val="00A573AD"/>
    <w:rsid w:val="00A60317"/>
    <w:rsid w:val="00A77EE5"/>
    <w:rsid w:val="00A8215C"/>
    <w:rsid w:val="00A95046"/>
    <w:rsid w:val="00A975C4"/>
    <w:rsid w:val="00AA3D1D"/>
    <w:rsid w:val="00AA7B74"/>
    <w:rsid w:val="00AB1388"/>
    <w:rsid w:val="00AD1445"/>
    <w:rsid w:val="00AF001A"/>
    <w:rsid w:val="00B0188B"/>
    <w:rsid w:val="00B133A1"/>
    <w:rsid w:val="00B1608B"/>
    <w:rsid w:val="00B22994"/>
    <w:rsid w:val="00B253E4"/>
    <w:rsid w:val="00B566FB"/>
    <w:rsid w:val="00B6183A"/>
    <w:rsid w:val="00B667BF"/>
    <w:rsid w:val="00B80B74"/>
    <w:rsid w:val="00B85C90"/>
    <w:rsid w:val="00B948BC"/>
    <w:rsid w:val="00B97FCD"/>
    <w:rsid w:val="00BA2274"/>
    <w:rsid w:val="00BA5DFD"/>
    <w:rsid w:val="00BB286F"/>
    <w:rsid w:val="00BC2E31"/>
    <w:rsid w:val="00BE6588"/>
    <w:rsid w:val="00C07D65"/>
    <w:rsid w:val="00C246CC"/>
    <w:rsid w:val="00C46F19"/>
    <w:rsid w:val="00C56BDD"/>
    <w:rsid w:val="00C67A12"/>
    <w:rsid w:val="00C67AF7"/>
    <w:rsid w:val="00C96B44"/>
    <w:rsid w:val="00CB6AD0"/>
    <w:rsid w:val="00CD56B4"/>
    <w:rsid w:val="00CD7D0C"/>
    <w:rsid w:val="00CF4FDC"/>
    <w:rsid w:val="00D02712"/>
    <w:rsid w:val="00D1221B"/>
    <w:rsid w:val="00D76BD9"/>
    <w:rsid w:val="00D86C75"/>
    <w:rsid w:val="00D874A1"/>
    <w:rsid w:val="00D92267"/>
    <w:rsid w:val="00D93E59"/>
    <w:rsid w:val="00DC72F5"/>
    <w:rsid w:val="00DF7BDE"/>
    <w:rsid w:val="00E05C6A"/>
    <w:rsid w:val="00E105F8"/>
    <w:rsid w:val="00E40A14"/>
    <w:rsid w:val="00E62E7B"/>
    <w:rsid w:val="00E72BE2"/>
    <w:rsid w:val="00EE4CDB"/>
    <w:rsid w:val="00F02EF6"/>
    <w:rsid w:val="00F06866"/>
    <w:rsid w:val="00F16639"/>
    <w:rsid w:val="00F24A15"/>
    <w:rsid w:val="00F82D76"/>
    <w:rsid w:val="00FA20C6"/>
    <w:rsid w:val="00FA300A"/>
    <w:rsid w:val="00FA437D"/>
    <w:rsid w:val="00FB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E4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8B"/>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paragraph" w:styleId="TOC2">
    <w:name w:val="toc 2"/>
    <w:basedOn w:val="Normal"/>
    <w:next w:val="Normal"/>
    <w:autoRedefine/>
    <w:uiPriority w:val="39"/>
    <w:unhideWhenUsed/>
    <w:rsid w:val="00BA5DFD"/>
    <w:pPr>
      <w:tabs>
        <w:tab w:val="left" w:pos="676"/>
        <w:tab w:val="right" w:leader="dot" w:pos="9350"/>
      </w:tabs>
      <w:spacing w:after="120"/>
      <w:ind w:left="676" w:hanging="380"/>
    </w:pPr>
  </w:style>
  <w:style w:type="paragraph" w:styleId="TOC1">
    <w:name w:val="toc 1"/>
    <w:basedOn w:val="Normal"/>
    <w:next w:val="Normal"/>
    <w:autoRedefine/>
    <w:uiPriority w:val="39"/>
    <w:unhideWhenUsed/>
    <w:rsid w:val="00BA5DFD"/>
    <w:pPr>
      <w:spacing w:after="100"/>
    </w:pPr>
    <w:rPr>
      <w:rFonts w:ascii="Times New Roman" w:hAnsi="Times New Roman"/>
    </w:rPr>
  </w:style>
  <w:style w:type="paragraph" w:styleId="TOC3">
    <w:name w:val="toc 3"/>
    <w:basedOn w:val="Normal"/>
    <w:next w:val="Normal"/>
    <w:autoRedefine/>
    <w:uiPriority w:val="39"/>
    <w:unhideWhenUsed/>
    <w:rsid w:val="00BA5DFD"/>
    <w:pPr>
      <w:ind w:left="480"/>
    </w:pPr>
  </w:style>
  <w:style w:type="paragraph" w:styleId="TOC4">
    <w:name w:val="toc 4"/>
    <w:basedOn w:val="Normal"/>
    <w:next w:val="Normal"/>
    <w:autoRedefine/>
    <w:uiPriority w:val="39"/>
    <w:unhideWhenUsed/>
    <w:rsid w:val="00BA5DFD"/>
    <w:pPr>
      <w:ind w:left="720"/>
    </w:pPr>
  </w:style>
  <w:style w:type="paragraph" w:styleId="TOC5">
    <w:name w:val="toc 5"/>
    <w:basedOn w:val="Normal"/>
    <w:next w:val="Normal"/>
    <w:autoRedefine/>
    <w:uiPriority w:val="39"/>
    <w:unhideWhenUsed/>
    <w:rsid w:val="00BA5DFD"/>
    <w:pPr>
      <w:ind w:left="960"/>
    </w:pPr>
  </w:style>
  <w:style w:type="paragraph" w:styleId="TOC6">
    <w:name w:val="toc 6"/>
    <w:basedOn w:val="Normal"/>
    <w:next w:val="Normal"/>
    <w:autoRedefine/>
    <w:uiPriority w:val="39"/>
    <w:unhideWhenUsed/>
    <w:rsid w:val="00BA5DFD"/>
    <w:pPr>
      <w:ind w:left="1200"/>
    </w:pPr>
  </w:style>
  <w:style w:type="paragraph" w:styleId="TOC7">
    <w:name w:val="toc 7"/>
    <w:basedOn w:val="Normal"/>
    <w:next w:val="Normal"/>
    <w:autoRedefine/>
    <w:uiPriority w:val="39"/>
    <w:unhideWhenUsed/>
    <w:rsid w:val="00BA5DFD"/>
    <w:pPr>
      <w:ind w:left="1440"/>
    </w:pPr>
  </w:style>
  <w:style w:type="paragraph" w:styleId="TOC8">
    <w:name w:val="toc 8"/>
    <w:basedOn w:val="Normal"/>
    <w:next w:val="Normal"/>
    <w:autoRedefine/>
    <w:uiPriority w:val="39"/>
    <w:unhideWhenUsed/>
    <w:rsid w:val="00BA5DFD"/>
    <w:pPr>
      <w:ind w:left="1680"/>
    </w:pPr>
  </w:style>
  <w:style w:type="paragraph" w:styleId="TOC9">
    <w:name w:val="toc 9"/>
    <w:basedOn w:val="Normal"/>
    <w:next w:val="Normal"/>
    <w:autoRedefine/>
    <w:uiPriority w:val="39"/>
    <w:unhideWhenUsed/>
    <w:rsid w:val="00BA5DF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8B"/>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paragraph" w:styleId="TOC2">
    <w:name w:val="toc 2"/>
    <w:basedOn w:val="Normal"/>
    <w:next w:val="Normal"/>
    <w:autoRedefine/>
    <w:uiPriority w:val="39"/>
    <w:unhideWhenUsed/>
    <w:rsid w:val="00BA5DFD"/>
    <w:pPr>
      <w:tabs>
        <w:tab w:val="left" w:pos="676"/>
        <w:tab w:val="right" w:leader="dot" w:pos="9350"/>
      </w:tabs>
      <w:spacing w:after="120"/>
      <w:ind w:left="676" w:hanging="380"/>
    </w:pPr>
  </w:style>
  <w:style w:type="paragraph" w:styleId="TOC1">
    <w:name w:val="toc 1"/>
    <w:basedOn w:val="Normal"/>
    <w:next w:val="Normal"/>
    <w:autoRedefine/>
    <w:uiPriority w:val="39"/>
    <w:unhideWhenUsed/>
    <w:rsid w:val="00BA5DFD"/>
    <w:pPr>
      <w:spacing w:after="100"/>
    </w:pPr>
    <w:rPr>
      <w:rFonts w:ascii="Times New Roman" w:hAnsi="Times New Roman"/>
    </w:rPr>
  </w:style>
  <w:style w:type="paragraph" w:styleId="TOC3">
    <w:name w:val="toc 3"/>
    <w:basedOn w:val="Normal"/>
    <w:next w:val="Normal"/>
    <w:autoRedefine/>
    <w:uiPriority w:val="39"/>
    <w:unhideWhenUsed/>
    <w:rsid w:val="00BA5DFD"/>
    <w:pPr>
      <w:ind w:left="480"/>
    </w:pPr>
  </w:style>
  <w:style w:type="paragraph" w:styleId="TOC4">
    <w:name w:val="toc 4"/>
    <w:basedOn w:val="Normal"/>
    <w:next w:val="Normal"/>
    <w:autoRedefine/>
    <w:uiPriority w:val="39"/>
    <w:unhideWhenUsed/>
    <w:rsid w:val="00BA5DFD"/>
    <w:pPr>
      <w:ind w:left="720"/>
    </w:pPr>
  </w:style>
  <w:style w:type="paragraph" w:styleId="TOC5">
    <w:name w:val="toc 5"/>
    <w:basedOn w:val="Normal"/>
    <w:next w:val="Normal"/>
    <w:autoRedefine/>
    <w:uiPriority w:val="39"/>
    <w:unhideWhenUsed/>
    <w:rsid w:val="00BA5DFD"/>
    <w:pPr>
      <w:ind w:left="960"/>
    </w:pPr>
  </w:style>
  <w:style w:type="paragraph" w:styleId="TOC6">
    <w:name w:val="toc 6"/>
    <w:basedOn w:val="Normal"/>
    <w:next w:val="Normal"/>
    <w:autoRedefine/>
    <w:uiPriority w:val="39"/>
    <w:unhideWhenUsed/>
    <w:rsid w:val="00BA5DFD"/>
    <w:pPr>
      <w:ind w:left="1200"/>
    </w:pPr>
  </w:style>
  <w:style w:type="paragraph" w:styleId="TOC7">
    <w:name w:val="toc 7"/>
    <w:basedOn w:val="Normal"/>
    <w:next w:val="Normal"/>
    <w:autoRedefine/>
    <w:uiPriority w:val="39"/>
    <w:unhideWhenUsed/>
    <w:rsid w:val="00BA5DFD"/>
    <w:pPr>
      <w:ind w:left="1440"/>
    </w:pPr>
  </w:style>
  <w:style w:type="paragraph" w:styleId="TOC8">
    <w:name w:val="toc 8"/>
    <w:basedOn w:val="Normal"/>
    <w:next w:val="Normal"/>
    <w:autoRedefine/>
    <w:uiPriority w:val="39"/>
    <w:unhideWhenUsed/>
    <w:rsid w:val="00BA5DFD"/>
    <w:pPr>
      <w:ind w:left="1680"/>
    </w:pPr>
  </w:style>
  <w:style w:type="paragraph" w:styleId="TOC9">
    <w:name w:val="toc 9"/>
    <w:basedOn w:val="Normal"/>
    <w:next w:val="Normal"/>
    <w:autoRedefine/>
    <w:uiPriority w:val="39"/>
    <w:unhideWhenUsed/>
    <w:rsid w:val="00BA5DF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pbell:Desktop: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69B6-F9E5-AE42-BA01-BA0168C0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Template.dotx</Template>
  <TotalTime>0</TotalTime>
  <Pages>9</Pages>
  <Words>1686</Words>
  <Characters>9611</Characters>
  <Application>Microsoft Macintosh Word</Application>
  <DocSecurity>0</DocSecurity>
  <Lines>80</Lines>
  <Paragraphs>22</Paragraphs>
  <ScaleCrop>false</ScaleCrop>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Sturtevant</dc:creator>
  <cp:keywords/>
  <dc:description/>
  <cp:lastModifiedBy>Melissa Thompson</cp:lastModifiedBy>
  <cp:revision>2</cp:revision>
  <cp:lastPrinted>2012-08-02T16:23:00Z</cp:lastPrinted>
  <dcterms:created xsi:type="dcterms:W3CDTF">2012-08-02T16:34:00Z</dcterms:created>
  <dcterms:modified xsi:type="dcterms:W3CDTF">2012-08-02T16:34:00Z</dcterms:modified>
</cp:coreProperties>
</file>