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F8" w:rsidRPr="00AC2AF3" w:rsidRDefault="004316F8" w:rsidP="004316F8">
      <w:pPr>
        <w:jc w:val="center"/>
        <w:rPr>
          <w:rFonts w:ascii="Times New Roman" w:hAnsi="Times New Roman" w:cs="Times New Roman"/>
        </w:rPr>
      </w:pPr>
      <w:bookmarkStart w:id="0" w:name="_GoBack"/>
      <w:bookmarkEnd w:id="0"/>
      <w:r w:rsidRPr="00AC2AF3">
        <w:rPr>
          <w:rFonts w:ascii="Times New Roman" w:hAnsi="Times New Roman" w:cs="Times New Roman"/>
        </w:rPr>
        <w:t>BEFORE</w:t>
      </w:r>
    </w:p>
    <w:p w:rsidR="004316F8" w:rsidRDefault="004316F8" w:rsidP="004316F8">
      <w:pPr>
        <w:jc w:val="center"/>
        <w:rPr>
          <w:rFonts w:ascii="Times New Roman" w:hAnsi="Times New Roman" w:cs="Times New Roman"/>
        </w:rPr>
      </w:pPr>
      <w:r w:rsidRPr="00AC2AF3">
        <w:rPr>
          <w:rFonts w:ascii="Times New Roman" w:hAnsi="Times New Roman" w:cs="Times New Roman"/>
        </w:rPr>
        <w:t>THE PUBLIC UTILITIES COMMISSION OF OHIO</w:t>
      </w:r>
    </w:p>
    <w:p w:rsidR="004316F8" w:rsidRDefault="004316F8" w:rsidP="004316F8">
      <w:pPr>
        <w:jc w:val="center"/>
        <w:rPr>
          <w:rFonts w:ascii="Times New Roman" w:hAnsi="Times New Roman" w:cs="Times New Roman"/>
        </w:rPr>
      </w:pPr>
    </w:p>
    <w:p w:rsidR="004316F8" w:rsidRDefault="004316F8" w:rsidP="004316F8">
      <w:pPr>
        <w:rPr>
          <w:rFonts w:ascii="Times New Roman" w:hAnsi="Times New Roman" w:cs="Times New Roman"/>
        </w:rPr>
      </w:pPr>
      <w:r>
        <w:rPr>
          <w:rFonts w:ascii="Times New Roman" w:hAnsi="Times New Roman" w:cs="Times New Roman"/>
        </w:rPr>
        <w:t>AT&amp;T CORP.,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t>Complainant,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Case No. 16-1104-TP-CSS</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TSC COMMUNICATIONS, INC.,</w:t>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r>
        <w:rPr>
          <w:rFonts w:ascii="Times New Roman" w:hAnsi="Times New Roman" w:cs="Times New Roman"/>
        </w:rPr>
        <w:tab/>
      </w:r>
      <w:r>
        <w:rPr>
          <w:rFonts w:ascii="Times New Roman" w:hAnsi="Times New Roman" w:cs="Times New Roman"/>
        </w:rPr>
        <w:tab/>
        <w:t>Respondent.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6F8" w:rsidRDefault="004316F8" w:rsidP="004316F8">
      <w:pPr>
        <w:rPr>
          <w:rFonts w:ascii="Times New Roman" w:hAnsi="Times New Roman" w:cs="Times New Roman"/>
        </w:rPr>
      </w:pPr>
    </w:p>
    <w:p w:rsidR="004316F8" w:rsidRPr="00AC2AF3" w:rsidRDefault="004316F8" w:rsidP="004316F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149D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16F8" w:rsidRDefault="004316F8" w:rsidP="004316F8">
      <w:pPr>
        <w:rPr>
          <w:rFonts w:ascii="Times New Roman" w:hAnsi="Times New Roman" w:cs="Times New Roman"/>
        </w:rPr>
      </w:pPr>
    </w:p>
    <w:p w:rsidR="005C2874" w:rsidRDefault="005C2874" w:rsidP="004316F8">
      <w:pPr>
        <w:jc w:val="center"/>
        <w:rPr>
          <w:rFonts w:ascii="Times New Roman" w:hAnsi="Times New Roman" w:cs="Times New Roman"/>
        </w:rPr>
      </w:pPr>
      <w:r w:rsidRPr="00AC2AF3">
        <w:rPr>
          <w:rFonts w:ascii="Times New Roman" w:hAnsi="Times New Roman" w:cs="Times New Roman"/>
        </w:rPr>
        <w:t>RESPONDENT TSC COMMUNICATIONS, INC.</w:t>
      </w:r>
      <w:r>
        <w:rPr>
          <w:rFonts w:ascii="Times New Roman" w:hAnsi="Times New Roman" w:cs="Times New Roman"/>
        </w:rPr>
        <w:t xml:space="preserve">’S </w:t>
      </w:r>
    </w:p>
    <w:p w:rsidR="004316F8" w:rsidRDefault="006439F2" w:rsidP="005C2874">
      <w:pPr>
        <w:jc w:val="center"/>
        <w:rPr>
          <w:rFonts w:ascii="Times New Roman" w:hAnsi="Times New Roman" w:cs="Times New Roman"/>
        </w:rPr>
      </w:pPr>
      <w:r>
        <w:rPr>
          <w:rFonts w:ascii="Times New Roman" w:hAnsi="Times New Roman" w:cs="Times New Roman"/>
        </w:rPr>
        <w:t>MOTION TO DISMISS</w:t>
      </w:r>
      <w:r w:rsidR="005C2874">
        <w:rPr>
          <w:rFonts w:ascii="Times New Roman" w:hAnsi="Times New Roman" w:cs="Times New Roman"/>
        </w:rPr>
        <w:t xml:space="preserve"> COMPLAINT</w:t>
      </w:r>
    </w:p>
    <w:p w:rsidR="004316F8" w:rsidRDefault="004316F8" w:rsidP="004316F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149DC">
        <w:rPr>
          <w:rFonts w:ascii="Times New Roman" w:hAnsi="Times New Roman" w:cs="Times New Roman"/>
          <w:u w:val="single"/>
        </w:rPr>
        <w:tab/>
      </w:r>
      <w:r>
        <w:rPr>
          <w:rFonts w:ascii="Times New Roman" w:hAnsi="Times New Roman" w:cs="Times New Roman"/>
          <w:u w:val="single"/>
        </w:rPr>
        <w:tab/>
      </w:r>
    </w:p>
    <w:p w:rsidR="004316F8" w:rsidRPr="00AC2AF3" w:rsidRDefault="004316F8" w:rsidP="004316F8">
      <w:pPr>
        <w:rPr>
          <w:rFonts w:ascii="Times New Roman" w:hAnsi="Times New Roman" w:cs="Times New Roman"/>
          <w:u w:val="single"/>
        </w:rPr>
      </w:pPr>
    </w:p>
    <w:p w:rsidR="006439F2" w:rsidRPr="006439F2" w:rsidRDefault="004316F8" w:rsidP="006439F2">
      <w:pPr>
        <w:spacing w:line="480" w:lineRule="auto"/>
        <w:jc w:val="both"/>
        <w:rPr>
          <w:rFonts w:ascii="Times New Roman" w:hAnsi="Times New Roman" w:cs="Times New Roman"/>
        </w:rPr>
      </w:pPr>
      <w:r>
        <w:rPr>
          <w:rFonts w:ascii="Times New Roman" w:hAnsi="Times New Roman" w:cs="Times New Roman"/>
        </w:rPr>
        <w:tab/>
      </w:r>
      <w:r w:rsidR="006439F2">
        <w:rPr>
          <w:rFonts w:ascii="Times New Roman" w:hAnsi="Times New Roman" w:cs="Times New Roman"/>
        </w:rPr>
        <w:t>Respondent TSC Communications, Inc. ("TSCCI")</w:t>
      </w:r>
      <w:r w:rsidR="006439F2" w:rsidRPr="006439F2">
        <w:rPr>
          <w:rFonts w:ascii="Times New Roman" w:hAnsi="Times New Roman" w:cs="Times New Roman"/>
        </w:rPr>
        <w:t xml:space="preserve">, by its attorney and pursuant to Section 4901:1-12 of the </w:t>
      </w:r>
      <w:r w:rsidR="00082130">
        <w:rPr>
          <w:rFonts w:ascii="Times New Roman" w:hAnsi="Times New Roman" w:cs="Times New Roman"/>
        </w:rPr>
        <w:t>rules of the Public Utilities Commission of Ohio (“Commission”)</w:t>
      </w:r>
      <w:r w:rsidR="006439F2" w:rsidRPr="006439F2">
        <w:rPr>
          <w:rFonts w:ascii="Times New Roman" w:hAnsi="Times New Roman" w:cs="Times New Roman"/>
        </w:rPr>
        <w:t xml:space="preserve">, moves to dismiss </w:t>
      </w:r>
      <w:r w:rsidR="0000010F">
        <w:rPr>
          <w:rFonts w:ascii="Times New Roman" w:hAnsi="Times New Roman" w:cs="Times New Roman"/>
        </w:rPr>
        <w:t xml:space="preserve">in large part </w:t>
      </w:r>
      <w:r w:rsidR="006439F2" w:rsidRPr="006439F2">
        <w:rPr>
          <w:rFonts w:ascii="Times New Roman" w:hAnsi="Times New Roman" w:cs="Times New Roman"/>
        </w:rPr>
        <w:t xml:space="preserve">the Complaint </w:t>
      </w:r>
      <w:r w:rsidR="006439F2">
        <w:rPr>
          <w:rFonts w:ascii="Times New Roman" w:hAnsi="Times New Roman" w:cs="Times New Roman"/>
        </w:rPr>
        <w:t xml:space="preserve">of Complainant AT&amp;T Corp. ("AT&amp;T") </w:t>
      </w:r>
      <w:r w:rsidR="006439F2" w:rsidRPr="006439F2">
        <w:rPr>
          <w:rFonts w:ascii="Times New Roman" w:hAnsi="Times New Roman" w:cs="Times New Roman"/>
        </w:rPr>
        <w:t>for the reason</w:t>
      </w:r>
      <w:r w:rsidR="006439F2">
        <w:rPr>
          <w:rFonts w:ascii="Times New Roman" w:hAnsi="Times New Roman" w:cs="Times New Roman"/>
        </w:rPr>
        <w:t xml:space="preserve"> that it is barred by the </w:t>
      </w:r>
      <w:r w:rsidR="003946A1" w:rsidRPr="003946A1">
        <w:rPr>
          <w:rFonts w:ascii="Times New Roman" w:hAnsi="Times New Roman" w:cs="Times New Roman"/>
        </w:rPr>
        <w:t>filed-rate</w:t>
      </w:r>
      <w:r w:rsidR="00273141">
        <w:rPr>
          <w:rFonts w:ascii="Times New Roman" w:hAnsi="Times New Roman" w:cs="Times New Roman"/>
        </w:rPr>
        <w:t xml:space="preserve"> </w:t>
      </w:r>
      <w:r w:rsidR="006439F2">
        <w:rPr>
          <w:rFonts w:ascii="Times New Roman" w:hAnsi="Times New Roman" w:cs="Times New Roman"/>
        </w:rPr>
        <w:t xml:space="preserve">doctrine, as is more fully set forth in the attached </w:t>
      </w:r>
      <w:r w:rsidR="006439F2" w:rsidRPr="006439F2">
        <w:rPr>
          <w:rFonts w:ascii="Times New Roman" w:hAnsi="Times New Roman" w:cs="Times New Roman"/>
        </w:rPr>
        <w:t>memorandum in support.</w:t>
      </w:r>
    </w:p>
    <w:p w:rsidR="00093321" w:rsidRDefault="00093321" w:rsidP="006439F2">
      <w:pPr>
        <w:spacing w:line="480" w:lineRule="auto"/>
        <w:jc w:val="both"/>
        <w:rPr>
          <w:rFonts w:ascii="Times New Roman" w:hAnsi="Times New Roman" w:cs="Times New Roman"/>
        </w:rPr>
      </w:pPr>
      <w:r>
        <w:rPr>
          <w:rFonts w:ascii="Times New Roman" w:hAnsi="Times New Roman" w:cs="Times New Roman"/>
        </w:rPr>
        <w:t xml:space="preserve"> </w:t>
      </w:r>
    </w:p>
    <w:p w:rsidR="00093321" w:rsidRDefault="00093321" w:rsidP="00093321">
      <w:pPr>
        <w:pStyle w:val="BodyText"/>
        <w:ind w:left="3600" w:firstLine="720"/>
      </w:pPr>
      <w:r>
        <w:t>Respectfully submitted,</w:t>
      </w:r>
    </w:p>
    <w:p w:rsidR="00093321" w:rsidRDefault="00093321" w:rsidP="00093321">
      <w:pPr>
        <w:pStyle w:val="BodyText"/>
        <w:ind w:left="3600" w:firstLine="720"/>
      </w:pPr>
    </w:p>
    <w:p w:rsidR="00093321" w:rsidRDefault="00093321" w:rsidP="00BC4B1F">
      <w:pPr>
        <w:pStyle w:val="BodyText"/>
        <w:spacing w:line="240" w:lineRule="auto"/>
        <w:ind w:firstLine="720"/>
      </w:pPr>
      <w:r>
        <w:tab/>
      </w:r>
      <w:r>
        <w:tab/>
      </w:r>
      <w:r>
        <w:tab/>
      </w:r>
      <w:r>
        <w:tab/>
      </w:r>
      <w:r>
        <w:tab/>
      </w:r>
      <w:r w:rsidR="00133E2E">
        <w:rPr>
          <w:u w:val="single"/>
        </w:rPr>
        <w:t>/s/</w:t>
      </w:r>
      <w:r w:rsidR="00133E2E" w:rsidRPr="00133E2E">
        <w:rPr>
          <w:i/>
          <w:sz w:val="28"/>
          <w:u w:val="single"/>
        </w:rPr>
        <w:t>William A. Adams</w:t>
      </w:r>
      <w:r w:rsidR="00BC4B1F" w:rsidRPr="00133E2E">
        <w:rPr>
          <w:sz w:val="28"/>
          <w:u w:val="single"/>
        </w:rPr>
        <w:tab/>
      </w:r>
      <w:r w:rsidR="00BC4B1F">
        <w:rPr>
          <w:u w:val="single"/>
        </w:rPr>
        <w:tab/>
      </w:r>
      <w:r w:rsidR="00BC4B1F">
        <w:rPr>
          <w:u w:val="single"/>
        </w:rPr>
        <w:tab/>
      </w:r>
      <w:r w:rsidR="00BC4B1F">
        <w:rPr>
          <w:u w:val="single"/>
        </w:rPr>
        <w:tab/>
      </w:r>
      <w:r>
        <w:tab/>
      </w:r>
      <w:r>
        <w:tab/>
      </w:r>
      <w:r>
        <w:tab/>
      </w:r>
      <w:r>
        <w:tab/>
      </w:r>
      <w:r>
        <w:tab/>
      </w:r>
      <w:r>
        <w:tab/>
        <w:t>William A. Adams, Counsel of Record</w:t>
      </w:r>
      <w:r>
        <w:tab/>
      </w:r>
    </w:p>
    <w:p w:rsidR="00093321" w:rsidRDefault="00093321" w:rsidP="00093321">
      <w:pPr>
        <w:pStyle w:val="BodyText"/>
        <w:spacing w:line="240" w:lineRule="auto"/>
        <w:ind w:firstLine="720"/>
        <w:jc w:val="left"/>
      </w:pPr>
      <w:r>
        <w:tab/>
      </w:r>
      <w:r>
        <w:tab/>
      </w:r>
      <w:r>
        <w:tab/>
      </w:r>
      <w:r>
        <w:tab/>
      </w:r>
      <w:r>
        <w:tab/>
        <w:t>BAILEY CAVALIERI LLC</w:t>
      </w:r>
    </w:p>
    <w:p w:rsidR="00093321" w:rsidRDefault="00093321" w:rsidP="00093321">
      <w:pPr>
        <w:pStyle w:val="BodyText"/>
        <w:spacing w:line="240" w:lineRule="auto"/>
        <w:ind w:firstLine="720"/>
        <w:jc w:val="left"/>
      </w:pPr>
      <w:r>
        <w:tab/>
      </w:r>
      <w:r>
        <w:tab/>
      </w:r>
      <w:r>
        <w:tab/>
      </w:r>
      <w:r>
        <w:tab/>
      </w:r>
      <w:r>
        <w:tab/>
        <w:t>10 West Broad Street, Suite 2100</w:t>
      </w:r>
    </w:p>
    <w:p w:rsidR="00093321" w:rsidRDefault="00093321" w:rsidP="00093321">
      <w:pPr>
        <w:pStyle w:val="BodyText"/>
        <w:spacing w:line="240" w:lineRule="auto"/>
        <w:ind w:firstLine="720"/>
        <w:jc w:val="left"/>
      </w:pPr>
      <w:r>
        <w:tab/>
      </w:r>
      <w:r>
        <w:tab/>
      </w:r>
      <w:r>
        <w:tab/>
      </w:r>
      <w:r>
        <w:tab/>
      </w:r>
      <w:r>
        <w:tab/>
        <w:t xml:space="preserve">Columbus, OH </w:t>
      </w:r>
      <w:smartTag w:uri="schemas-workshare-com/workshare" w:element="socialsecuritynumber">
        <w:smartTagPr>
          <w:attr w:name="TagType" w:val="1"/>
        </w:smartTagPr>
        <w:r>
          <w:t>43215-3422</w:t>
        </w:r>
      </w:smartTag>
    </w:p>
    <w:p w:rsidR="00093321" w:rsidRDefault="00093321" w:rsidP="00093321">
      <w:pPr>
        <w:pStyle w:val="BodyText"/>
        <w:spacing w:line="240" w:lineRule="auto"/>
        <w:ind w:firstLine="720"/>
        <w:jc w:val="left"/>
      </w:pPr>
      <w:r>
        <w:tab/>
      </w:r>
      <w:r>
        <w:tab/>
      </w:r>
      <w:r>
        <w:tab/>
      </w:r>
      <w:r>
        <w:tab/>
      </w:r>
      <w:r>
        <w:tab/>
        <w:t>(614) 229-3278 (telephone)</w:t>
      </w:r>
    </w:p>
    <w:p w:rsidR="00093321" w:rsidRDefault="00093321" w:rsidP="00093321">
      <w:pPr>
        <w:pStyle w:val="BodyText"/>
        <w:spacing w:line="240" w:lineRule="auto"/>
        <w:ind w:firstLine="720"/>
        <w:jc w:val="left"/>
      </w:pPr>
      <w:r>
        <w:tab/>
      </w:r>
      <w:r>
        <w:tab/>
      </w:r>
      <w:r>
        <w:tab/>
      </w:r>
      <w:r>
        <w:tab/>
      </w:r>
      <w:r>
        <w:tab/>
        <w:t>(614) 221-0479 (fax)</w:t>
      </w:r>
    </w:p>
    <w:p w:rsidR="00093321" w:rsidRPr="00AA1C6B" w:rsidRDefault="00093321" w:rsidP="00093321">
      <w:pPr>
        <w:pStyle w:val="BodyText"/>
        <w:spacing w:line="240" w:lineRule="auto"/>
        <w:ind w:firstLine="720"/>
        <w:jc w:val="left"/>
      </w:pPr>
      <w:r>
        <w:tab/>
      </w:r>
      <w:r>
        <w:tab/>
      </w:r>
      <w:r>
        <w:tab/>
      </w:r>
      <w:r>
        <w:tab/>
      </w:r>
      <w:r>
        <w:tab/>
      </w:r>
      <w:hyperlink r:id="rId8" w:history="1">
        <w:r w:rsidRPr="00AA1C6B">
          <w:rPr>
            <w:rStyle w:val="Hyperlink"/>
            <w:rFonts w:eastAsiaTheme="minorEastAsia"/>
          </w:rPr>
          <w:t>William.Adams@baileycavalieri.com</w:t>
        </w:r>
      </w:hyperlink>
    </w:p>
    <w:p w:rsidR="00093321" w:rsidRDefault="00093321" w:rsidP="00BC4B1F">
      <w:pPr>
        <w:pStyle w:val="BodyText"/>
        <w:spacing w:line="240" w:lineRule="auto"/>
        <w:ind w:left="4320"/>
        <w:jc w:val="left"/>
        <w:rPr>
          <w:i/>
        </w:rPr>
      </w:pPr>
      <w:r w:rsidRPr="002F2CF5">
        <w:rPr>
          <w:i/>
        </w:rPr>
        <w:t xml:space="preserve">Attorneys for Respondent </w:t>
      </w:r>
    </w:p>
    <w:p w:rsidR="00BC4B1F" w:rsidRDefault="00BC4B1F" w:rsidP="00BC4B1F">
      <w:pPr>
        <w:pStyle w:val="BodyText"/>
        <w:spacing w:line="240" w:lineRule="auto"/>
        <w:ind w:left="4320"/>
        <w:jc w:val="left"/>
        <w:rPr>
          <w:i/>
        </w:rPr>
      </w:pPr>
      <w:r>
        <w:rPr>
          <w:i/>
        </w:rPr>
        <w:t xml:space="preserve">TSC Communications, Inc. </w:t>
      </w:r>
    </w:p>
    <w:p w:rsidR="006439F2" w:rsidRDefault="006439F2">
      <w:pPr>
        <w:widowControl/>
        <w:autoSpaceDE/>
        <w:autoSpaceDN/>
        <w:adjustRightInd/>
        <w:spacing w:after="160" w:line="259" w:lineRule="auto"/>
        <w:rPr>
          <w:rFonts w:ascii="Times New Roman" w:hAnsi="Times New Roman" w:cs="Times New Roman"/>
          <w:u w:val="single"/>
        </w:rPr>
      </w:pPr>
      <w:r>
        <w:rPr>
          <w:rFonts w:ascii="Times New Roman" w:hAnsi="Times New Roman" w:cs="Times New Roman"/>
          <w:u w:val="single"/>
        </w:rPr>
        <w:br w:type="page"/>
      </w:r>
    </w:p>
    <w:p w:rsidR="006439F2" w:rsidRDefault="006439F2" w:rsidP="006439F2">
      <w:pPr>
        <w:rPr>
          <w:rFonts w:ascii="Times New Roman" w:hAnsi="Times New Roman" w:cs="Times New Roman"/>
        </w:rPr>
      </w:pPr>
      <w:r>
        <w:rPr>
          <w:rFonts w:ascii="Times New Roman" w:hAnsi="Times New Roman" w:cs="Times New Roman"/>
        </w:rPr>
        <w:lastRenderedPageBreak/>
        <w:t>_____________________________________________________________________________</w:t>
      </w:r>
    </w:p>
    <w:p w:rsidR="006439F2" w:rsidRDefault="006439F2" w:rsidP="006439F2">
      <w:pPr>
        <w:rPr>
          <w:rFonts w:ascii="Times New Roman" w:hAnsi="Times New Roman" w:cs="Times New Roman"/>
        </w:rPr>
      </w:pPr>
    </w:p>
    <w:p w:rsidR="006439F2" w:rsidRDefault="006439F2" w:rsidP="006439F2">
      <w:pPr>
        <w:widowControl/>
        <w:autoSpaceDE/>
        <w:autoSpaceDN/>
        <w:adjustRightInd/>
        <w:spacing w:after="160" w:line="259" w:lineRule="auto"/>
        <w:jc w:val="center"/>
        <w:rPr>
          <w:rFonts w:ascii="Times New Roman" w:hAnsi="Times New Roman" w:cs="Times New Roman"/>
        </w:rPr>
      </w:pPr>
      <w:r>
        <w:rPr>
          <w:rFonts w:ascii="Times New Roman" w:hAnsi="Times New Roman" w:cs="Times New Roman"/>
        </w:rPr>
        <w:t>MEMORANDUM IN SUPPORT ______________________________________________________________________________</w:t>
      </w:r>
    </w:p>
    <w:p w:rsidR="006439F2" w:rsidRDefault="006439F2" w:rsidP="006439F2">
      <w:pPr>
        <w:rPr>
          <w:rFonts w:ascii="Times New Roman" w:hAnsi="Times New Roman" w:cs="Times New Roman"/>
        </w:rPr>
      </w:pPr>
    </w:p>
    <w:p w:rsidR="00BB2B31" w:rsidRDefault="006439F2" w:rsidP="006439F2">
      <w:pPr>
        <w:spacing w:line="480" w:lineRule="auto"/>
        <w:jc w:val="both"/>
        <w:rPr>
          <w:rFonts w:ascii="Times New Roman" w:hAnsi="Times New Roman" w:cs="Times New Roman"/>
        </w:rPr>
      </w:pPr>
      <w:r>
        <w:rPr>
          <w:rFonts w:ascii="Times New Roman" w:hAnsi="Times New Roman" w:cs="Times New Roman"/>
        </w:rPr>
        <w:tab/>
        <w:t>AT&amp;T's Complaint in this case alleges that it has overpaid TSCCI intrastate access charges since January 1, 2009.  Complaint</w:t>
      </w:r>
      <w:r w:rsidR="00D30AC7">
        <w:rPr>
          <w:rFonts w:ascii="Times New Roman" w:hAnsi="Times New Roman" w:cs="Times New Roman"/>
        </w:rPr>
        <w:t xml:space="preserve"> </w:t>
      </w:r>
      <w:r>
        <w:rPr>
          <w:rFonts w:ascii="Times New Roman" w:hAnsi="Times New Roman" w:cs="Times New Roman"/>
        </w:rPr>
        <w:t xml:space="preserve">¶ 1.  </w:t>
      </w:r>
      <w:r w:rsidR="00BB2B31">
        <w:rPr>
          <w:rFonts w:ascii="Times New Roman" w:hAnsi="Times New Roman" w:cs="Times New Roman"/>
        </w:rPr>
        <w:t xml:space="preserve">At all times since January 1, 2009, TSCCI charged AT&amp;T </w:t>
      </w:r>
      <w:r w:rsidR="000B125C">
        <w:rPr>
          <w:rFonts w:ascii="Times New Roman" w:hAnsi="Times New Roman" w:cs="Times New Roman"/>
        </w:rPr>
        <w:t>National Exchange Carrier Association (“</w:t>
      </w:r>
      <w:r w:rsidR="00BB2B31">
        <w:rPr>
          <w:rFonts w:ascii="Times New Roman" w:hAnsi="Times New Roman" w:cs="Times New Roman"/>
        </w:rPr>
        <w:t>NECA</w:t>
      </w:r>
      <w:r w:rsidR="000B125C">
        <w:rPr>
          <w:rFonts w:ascii="Times New Roman" w:hAnsi="Times New Roman" w:cs="Times New Roman"/>
        </w:rPr>
        <w:t>”)</w:t>
      </w:r>
      <w:r w:rsidR="00BB2B31">
        <w:rPr>
          <w:rFonts w:ascii="Times New Roman" w:hAnsi="Times New Roman" w:cs="Times New Roman"/>
        </w:rPr>
        <w:t xml:space="preserve"> rates for the </w:t>
      </w:r>
      <w:r w:rsidR="00FF1EA0">
        <w:rPr>
          <w:rFonts w:ascii="Times New Roman" w:hAnsi="Times New Roman" w:cs="Times New Roman"/>
        </w:rPr>
        <w:t xml:space="preserve">intrastate </w:t>
      </w:r>
      <w:r w:rsidR="00BB2B31">
        <w:rPr>
          <w:rFonts w:ascii="Times New Roman" w:hAnsi="Times New Roman" w:cs="Times New Roman"/>
        </w:rPr>
        <w:t>switched access service</w:t>
      </w:r>
      <w:r w:rsidR="00082130">
        <w:rPr>
          <w:rFonts w:ascii="Times New Roman" w:hAnsi="Times New Roman" w:cs="Times New Roman"/>
        </w:rPr>
        <w:t>s</w:t>
      </w:r>
      <w:r w:rsidR="00BB2B31">
        <w:rPr>
          <w:rFonts w:ascii="Times New Roman" w:hAnsi="Times New Roman" w:cs="Times New Roman"/>
        </w:rPr>
        <w:t xml:space="preserve"> it provid</w:t>
      </w:r>
      <w:r w:rsidR="00082130">
        <w:rPr>
          <w:rFonts w:ascii="Times New Roman" w:hAnsi="Times New Roman" w:cs="Times New Roman"/>
        </w:rPr>
        <w:t>ed.</w:t>
      </w:r>
      <w:r w:rsidR="00D30AC7">
        <w:rPr>
          <w:rFonts w:ascii="Times New Roman" w:hAnsi="Times New Roman" w:cs="Times New Roman"/>
        </w:rPr>
        <w:t xml:space="preserve">  Complaint </w:t>
      </w:r>
      <w:r w:rsidR="00082130">
        <w:rPr>
          <w:rFonts w:ascii="Times New Roman" w:hAnsi="Times New Roman" w:cs="Times New Roman"/>
        </w:rPr>
        <w:t xml:space="preserve">¶ 33. </w:t>
      </w:r>
      <w:r w:rsidR="00B50A5D">
        <w:rPr>
          <w:rFonts w:ascii="Times New Roman" w:hAnsi="Times New Roman" w:cs="Times New Roman"/>
        </w:rPr>
        <w:t xml:space="preserve"> AT&amp;T stopped paying TSCCI’s bills in full in </w:t>
      </w:r>
      <w:r w:rsidR="00CB0EF0">
        <w:rPr>
          <w:rFonts w:ascii="Times New Roman" w:hAnsi="Times New Roman" w:cs="Times New Roman"/>
        </w:rPr>
        <w:t xml:space="preserve">February </w:t>
      </w:r>
      <w:r w:rsidR="00B50A5D">
        <w:rPr>
          <w:rFonts w:ascii="Times New Roman" w:hAnsi="Times New Roman" w:cs="Times New Roman"/>
        </w:rPr>
        <w:t xml:space="preserve">2015 </w:t>
      </w:r>
      <w:r w:rsidR="003946A1">
        <w:rPr>
          <w:rFonts w:ascii="Times New Roman" w:hAnsi="Times New Roman" w:cs="Times New Roman"/>
        </w:rPr>
        <w:t>(</w:t>
      </w:r>
      <w:r w:rsidR="00B50A5D">
        <w:rPr>
          <w:rFonts w:ascii="Times New Roman" w:hAnsi="Times New Roman" w:cs="Times New Roman"/>
        </w:rPr>
        <w:t>Complaint ¶ 3</w:t>
      </w:r>
      <w:r w:rsidR="00CB0EF0">
        <w:rPr>
          <w:rFonts w:ascii="Times New Roman" w:hAnsi="Times New Roman" w:cs="Times New Roman"/>
        </w:rPr>
        <w:t>7</w:t>
      </w:r>
      <w:r w:rsidR="003946A1">
        <w:rPr>
          <w:rFonts w:ascii="Times New Roman" w:hAnsi="Times New Roman" w:cs="Times New Roman"/>
        </w:rPr>
        <w:t>), and seeks a refund back to 2009</w:t>
      </w:r>
      <w:r w:rsidR="00B50A5D">
        <w:rPr>
          <w:rFonts w:ascii="Times New Roman" w:hAnsi="Times New Roman" w:cs="Times New Roman"/>
        </w:rPr>
        <w:t>.</w:t>
      </w:r>
    </w:p>
    <w:p w:rsidR="00BB2B31" w:rsidRDefault="00BB2B31" w:rsidP="006439F2">
      <w:pPr>
        <w:spacing w:line="480" w:lineRule="auto"/>
        <w:jc w:val="both"/>
        <w:rPr>
          <w:rFonts w:ascii="Times New Roman" w:hAnsi="Times New Roman" w:cs="Times New Roman"/>
        </w:rPr>
      </w:pPr>
      <w:r>
        <w:rPr>
          <w:rFonts w:ascii="Times New Roman" w:hAnsi="Times New Roman" w:cs="Times New Roman"/>
        </w:rPr>
        <w:tab/>
        <w:t xml:space="preserve">During this entire time, TSCCI was billing </w:t>
      </w:r>
      <w:r w:rsidR="00082130">
        <w:rPr>
          <w:rFonts w:ascii="Times New Roman" w:hAnsi="Times New Roman" w:cs="Times New Roman"/>
        </w:rPr>
        <w:t xml:space="preserve">AT&amp;T in accordance with </w:t>
      </w:r>
      <w:r>
        <w:rPr>
          <w:rFonts w:ascii="Times New Roman" w:hAnsi="Times New Roman" w:cs="Times New Roman"/>
        </w:rPr>
        <w:t>its Commission-approved tariff, which provides as follows:</w:t>
      </w:r>
    </w:p>
    <w:p w:rsidR="00BB2B31" w:rsidRDefault="00BB2B31" w:rsidP="00D30AC7">
      <w:pPr>
        <w:ind w:left="1440" w:right="1440"/>
        <w:jc w:val="both"/>
        <w:rPr>
          <w:rFonts w:ascii="Times New Roman" w:hAnsi="Times New Roman" w:cs="Times New Roman"/>
        </w:rPr>
      </w:pPr>
      <w:r>
        <w:rPr>
          <w:rFonts w:ascii="Times New Roman" w:hAnsi="Times New Roman" w:cs="Times New Roman"/>
        </w:rPr>
        <w:t>TSC Communications, Inc. ("TSC") hereby adopts the access service charge benchmark set by the FCC in its Seventh Report and Order released April 27, 20</w:t>
      </w:r>
      <w:r w:rsidR="00D30AC7">
        <w:rPr>
          <w:rFonts w:ascii="Times New Roman" w:hAnsi="Times New Roman" w:cs="Times New Roman"/>
        </w:rPr>
        <w:t>0</w:t>
      </w:r>
      <w:r>
        <w:rPr>
          <w:rFonts w:ascii="Times New Roman" w:hAnsi="Times New Roman" w:cs="Times New Roman"/>
        </w:rPr>
        <w:t xml:space="preserve">1, </w:t>
      </w:r>
      <w:r>
        <w:rPr>
          <w:rFonts w:ascii="Times New Roman" w:hAnsi="Times New Roman" w:cs="Times New Roman"/>
          <w:i/>
        </w:rPr>
        <w:t xml:space="preserve">In the Matter of Access Charge Reform, </w:t>
      </w:r>
      <w:r>
        <w:rPr>
          <w:rFonts w:ascii="Times New Roman" w:hAnsi="Times New Roman" w:cs="Times New Roman"/>
        </w:rPr>
        <w:t>CC Docket No. 96-262, and any future FCC decisions in its access proceedings as they may apply to rural CLECs competing with non-rural ILECs.</w:t>
      </w:r>
    </w:p>
    <w:p w:rsidR="00BB2B31" w:rsidRDefault="00BB2B31" w:rsidP="00BB2B31">
      <w:pPr>
        <w:ind w:left="1440" w:right="720"/>
        <w:jc w:val="both"/>
        <w:rPr>
          <w:rFonts w:ascii="Times New Roman" w:hAnsi="Times New Roman" w:cs="Times New Roman"/>
        </w:rPr>
      </w:pPr>
    </w:p>
    <w:p w:rsidR="00BB2B31" w:rsidRDefault="00BB2B31" w:rsidP="00BB2B31">
      <w:pPr>
        <w:spacing w:line="480" w:lineRule="auto"/>
        <w:jc w:val="both"/>
        <w:rPr>
          <w:rFonts w:ascii="Times New Roman" w:hAnsi="Times New Roman" w:cs="Times New Roman"/>
        </w:rPr>
      </w:pPr>
      <w:r>
        <w:rPr>
          <w:rFonts w:ascii="Times New Roman" w:hAnsi="Times New Roman" w:cs="Times New Roman"/>
        </w:rPr>
        <w:t xml:space="preserve">Complaint ¶ 14, Exhibit 3.  The rural CLEC </w:t>
      </w:r>
      <w:r w:rsidR="00D30AC7">
        <w:rPr>
          <w:rFonts w:ascii="Times New Roman" w:hAnsi="Times New Roman" w:cs="Times New Roman"/>
        </w:rPr>
        <w:t xml:space="preserve">access </w:t>
      </w:r>
      <w:r>
        <w:rPr>
          <w:rFonts w:ascii="Times New Roman" w:hAnsi="Times New Roman" w:cs="Times New Roman"/>
        </w:rPr>
        <w:t>charges authorized by that ta</w:t>
      </w:r>
      <w:r w:rsidR="00D30AC7">
        <w:rPr>
          <w:rFonts w:ascii="Times New Roman" w:hAnsi="Times New Roman" w:cs="Times New Roman"/>
        </w:rPr>
        <w:t xml:space="preserve">riff are the NECA rates </w:t>
      </w:r>
      <w:r w:rsidR="0000010F">
        <w:rPr>
          <w:rFonts w:ascii="Times New Roman" w:hAnsi="Times New Roman" w:cs="Times New Roman"/>
        </w:rPr>
        <w:t xml:space="preserve">which TSCCI </w:t>
      </w:r>
      <w:r w:rsidR="00D30AC7">
        <w:rPr>
          <w:rFonts w:ascii="Times New Roman" w:hAnsi="Times New Roman" w:cs="Times New Roman"/>
        </w:rPr>
        <w:t>billed</w:t>
      </w:r>
      <w:r>
        <w:rPr>
          <w:rFonts w:ascii="Times New Roman" w:hAnsi="Times New Roman" w:cs="Times New Roman"/>
        </w:rPr>
        <w:t xml:space="preserve"> </w:t>
      </w:r>
      <w:r w:rsidR="00B70741">
        <w:rPr>
          <w:rFonts w:ascii="Times New Roman" w:hAnsi="Times New Roman" w:cs="Times New Roman"/>
        </w:rPr>
        <w:t>to AT&amp;T</w:t>
      </w:r>
      <w:r>
        <w:rPr>
          <w:rFonts w:ascii="Times New Roman" w:hAnsi="Times New Roman" w:cs="Times New Roman"/>
        </w:rPr>
        <w:t>.  This tariff w</w:t>
      </w:r>
      <w:r w:rsidR="00B70741">
        <w:rPr>
          <w:rFonts w:ascii="Times New Roman" w:hAnsi="Times New Roman" w:cs="Times New Roman"/>
        </w:rPr>
        <w:t>as</w:t>
      </w:r>
      <w:r>
        <w:rPr>
          <w:rFonts w:ascii="Times New Roman" w:hAnsi="Times New Roman" w:cs="Times New Roman"/>
        </w:rPr>
        <w:t xml:space="preserve"> first approved in Case No. 01-1348-TP-ATA.  In its November 29, 2001 Finding </w:t>
      </w:r>
      <w:r w:rsidR="00665B3F">
        <w:rPr>
          <w:rFonts w:ascii="Times New Roman" w:hAnsi="Times New Roman" w:cs="Times New Roman"/>
        </w:rPr>
        <w:t>and Order in that case, the Commission</w:t>
      </w:r>
      <w:r>
        <w:rPr>
          <w:rFonts w:ascii="Times New Roman" w:hAnsi="Times New Roman" w:cs="Times New Roman"/>
        </w:rPr>
        <w:t xml:space="preserve"> </w:t>
      </w:r>
      <w:r w:rsidR="0000315C">
        <w:rPr>
          <w:rFonts w:ascii="Times New Roman" w:hAnsi="Times New Roman" w:cs="Times New Roman"/>
        </w:rPr>
        <w:t xml:space="preserve">determined that TSCCI was a rural CLEC and </w:t>
      </w:r>
      <w:r>
        <w:rPr>
          <w:rFonts w:ascii="Times New Roman" w:hAnsi="Times New Roman" w:cs="Times New Roman"/>
        </w:rPr>
        <w:t xml:space="preserve">authorized TSCCI to </w:t>
      </w:r>
      <w:r w:rsidR="00243AB9">
        <w:rPr>
          <w:rFonts w:ascii="Times New Roman" w:hAnsi="Times New Roman" w:cs="Times New Roman"/>
        </w:rPr>
        <w:t xml:space="preserve">file a tariff </w:t>
      </w:r>
      <w:r>
        <w:rPr>
          <w:rFonts w:ascii="Times New Roman" w:hAnsi="Times New Roman" w:cs="Times New Roman"/>
        </w:rPr>
        <w:t>charg</w:t>
      </w:r>
      <w:r w:rsidR="00243AB9">
        <w:rPr>
          <w:rFonts w:ascii="Times New Roman" w:hAnsi="Times New Roman" w:cs="Times New Roman"/>
        </w:rPr>
        <w:t>ing</w:t>
      </w:r>
      <w:r>
        <w:rPr>
          <w:rFonts w:ascii="Times New Roman" w:hAnsi="Times New Roman" w:cs="Times New Roman"/>
        </w:rPr>
        <w:t xml:space="preserve"> </w:t>
      </w:r>
      <w:r w:rsidR="0000315C">
        <w:rPr>
          <w:rFonts w:ascii="Times New Roman" w:hAnsi="Times New Roman" w:cs="Times New Roman"/>
        </w:rPr>
        <w:t>the</w:t>
      </w:r>
      <w:r>
        <w:rPr>
          <w:rFonts w:ascii="Times New Roman" w:hAnsi="Times New Roman" w:cs="Times New Roman"/>
        </w:rPr>
        <w:t xml:space="preserve"> NECA access rates.  TSCCI's tariff became effective on November 30, 2001, and the same language has been continually in effect since then, although incorporated into a new tariff document effective on May 10, 2011</w:t>
      </w:r>
      <w:r w:rsidR="000D5811">
        <w:rPr>
          <w:rFonts w:ascii="Times New Roman" w:hAnsi="Times New Roman" w:cs="Times New Roman"/>
        </w:rPr>
        <w:t xml:space="preserve"> in Case No. 11-2923-TP-ATA</w:t>
      </w:r>
      <w:r>
        <w:rPr>
          <w:rFonts w:ascii="Times New Roman" w:hAnsi="Times New Roman" w:cs="Times New Roman"/>
        </w:rPr>
        <w:t>.</w:t>
      </w:r>
    </w:p>
    <w:p w:rsidR="001D1A21" w:rsidRDefault="00BB2B31" w:rsidP="00393B5F">
      <w:pPr>
        <w:spacing w:line="480" w:lineRule="auto"/>
        <w:jc w:val="both"/>
        <w:rPr>
          <w:rFonts w:ascii="Times New Roman" w:hAnsi="Times New Roman" w:cs="Times New Roman"/>
        </w:rPr>
      </w:pPr>
      <w:r>
        <w:rPr>
          <w:rFonts w:ascii="Times New Roman" w:hAnsi="Times New Roman" w:cs="Times New Roman"/>
        </w:rPr>
        <w:tab/>
        <w:t xml:space="preserve">TSCCI is lawfully required to bill AT&amp;T the </w:t>
      </w:r>
      <w:r w:rsidR="00243AB9">
        <w:rPr>
          <w:rFonts w:ascii="Times New Roman" w:hAnsi="Times New Roman" w:cs="Times New Roman"/>
        </w:rPr>
        <w:t xml:space="preserve">tariffed </w:t>
      </w:r>
      <w:r>
        <w:rPr>
          <w:rFonts w:ascii="Times New Roman" w:hAnsi="Times New Roman" w:cs="Times New Roman"/>
        </w:rPr>
        <w:t xml:space="preserve">NECA </w:t>
      </w:r>
      <w:r w:rsidR="00243AB9">
        <w:rPr>
          <w:rFonts w:ascii="Times New Roman" w:hAnsi="Times New Roman" w:cs="Times New Roman"/>
        </w:rPr>
        <w:t xml:space="preserve">access </w:t>
      </w:r>
      <w:r>
        <w:rPr>
          <w:rFonts w:ascii="Times New Roman" w:hAnsi="Times New Roman" w:cs="Times New Roman"/>
        </w:rPr>
        <w:t>rates approved by the Commission.  Because TSCCI has been and is billing the Commission-approved rate, there is nothing to refund and AT&amp;T may not offset its current intrastate switched access payments.</w:t>
      </w:r>
      <w:r w:rsidR="0073668E">
        <w:rPr>
          <w:rFonts w:ascii="Times New Roman" w:hAnsi="Times New Roman" w:cs="Times New Roman"/>
        </w:rPr>
        <w:t xml:space="preserve"> </w:t>
      </w:r>
    </w:p>
    <w:p w:rsidR="00393B5F" w:rsidRDefault="00BB2B31" w:rsidP="001D1A21">
      <w:pPr>
        <w:spacing w:line="480" w:lineRule="auto"/>
        <w:ind w:firstLine="720"/>
        <w:jc w:val="both"/>
        <w:rPr>
          <w:rFonts w:ascii="Times New Roman" w:hAnsi="Times New Roman" w:cs="Times New Roman"/>
        </w:rPr>
      </w:pPr>
      <w:r>
        <w:rPr>
          <w:rFonts w:ascii="Times New Roman" w:hAnsi="Times New Roman" w:cs="Times New Roman"/>
        </w:rPr>
        <w:lastRenderedPageBreak/>
        <w:t>Ohio law is clear</w:t>
      </w:r>
      <w:r w:rsidR="001D1A21">
        <w:rPr>
          <w:rFonts w:ascii="Times New Roman" w:hAnsi="Times New Roman" w:cs="Times New Roman"/>
        </w:rPr>
        <w:t xml:space="preserve"> on this point</w:t>
      </w:r>
      <w:r>
        <w:rPr>
          <w:rFonts w:ascii="Times New Roman" w:hAnsi="Times New Roman" w:cs="Times New Roman"/>
        </w:rPr>
        <w:t xml:space="preserve">, dating back to the Supreme Court of Ohio's </w:t>
      </w:r>
      <w:r>
        <w:rPr>
          <w:rFonts w:ascii="Times New Roman" w:hAnsi="Times New Roman" w:cs="Times New Roman"/>
          <w:i/>
        </w:rPr>
        <w:t>Keco</w:t>
      </w:r>
      <w:r>
        <w:rPr>
          <w:rFonts w:ascii="Times New Roman" w:hAnsi="Times New Roman" w:cs="Times New Roman"/>
        </w:rPr>
        <w:t xml:space="preserve"> decision and before.  </w:t>
      </w:r>
      <w:r>
        <w:rPr>
          <w:rFonts w:ascii="Times New Roman" w:hAnsi="Times New Roman" w:cs="Times New Roman"/>
          <w:i/>
        </w:rPr>
        <w:t>Keco Industries, Inc. v. The Cincinnati &amp; Suburban Bell Telephone Co.</w:t>
      </w:r>
      <w:r>
        <w:rPr>
          <w:rFonts w:ascii="Times New Roman" w:hAnsi="Times New Roman" w:cs="Times New Roman"/>
        </w:rPr>
        <w:t xml:space="preserve">, 166 Ohio St. 254, 141 N.E. 2d 465 (1957).  </w:t>
      </w:r>
      <w:r w:rsidR="00393B5F">
        <w:rPr>
          <w:rFonts w:ascii="Times New Roman" w:hAnsi="Times New Roman" w:cs="Times New Roman"/>
        </w:rPr>
        <w:t xml:space="preserve">The Court consistently has reaffirmed </w:t>
      </w:r>
      <w:r w:rsidR="00393B5F">
        <w:rPr>
          <w:rFonts w:ascii="Times New Roman" w:hAnsi="Times New Roman" w:cs="Times New Roman"/>
          <w:i/>
        </w:rPr>
        <w:t>Keco</w:t>
      </w:r>
      <w:r w:rsidR="00393B5F">
        <w:rPr>
          <w:rFonts w:ascii="Times New Roman" w:hAnsi="Times New Roman" w:cs="Times New Roman"/>
        </w:rPr>
        <w:t xml:space="preserve"> since then.  In 1997, the Court undertook a fresh statutory analysis and </w:t>
      </w:r>
      <w:r w:rsidR="00870CFF">
        <w:rPr>
          <w:rFonts w:ascii="Times New Roman" w:hAnsi="Times New Roman" w:cs="Times New Roman"/>
        </w:rPr>
        <w:t>concluded</w:t>
      </w:r>
      <w:r w:rsidR="00393B5F">
        <w:rPr>
          <w:rFonts w:ascii="Times New Roman" w:hAnsi="Times New Roman" w:cs="Times New Roman"/>
        </w:rPr>
        <w:t>:</w:t>
      </w:r>
    </w:p>
    <w:p w:rsidR="00393B5F" w:rsidRDefault="00393B5F" w:rsidP="00870CFF">
      <w:pPr>
        <w:ind w:left="1440" w:right="1440"/>
        <w:jc w:val="both"/>
        <w:rPr>
          <w:rFonts w:ascii="Times New Roman" w:hAnsi="Times New Roman" w:cs="Times New Roman"/>
        </w:rPr>
      </w:pPr>
      <w:r w:rsidRPr="00393B5F">
        <w:rPr>
          <w:rFonts w:ascii="Times New Roman" w:hAnsi="Times New Roman" w:cs="Times New Roman"/>
        </w:rPr>
        <w:t xml:space="preserve">Thus, utility ratemaking by the Public Utilities Commission is prospective only. </w:t>
      </w:r>
      <w:r w:rsidR="00870CFF">
        <w:rPr>
          <w:rFonts w:ascii="Times New Roman" w:hAnsi="Times New Roman" w:cs="Times New Roman"/>
        </w:rPr>
        <w:t xml:space="preserve"> </w:t>
      </w:r>
      <w:r w:rsidRPr="00393B5F">
        <w:rPr>
          <w:rFonts w:ascii="Times New Roman" w:hAnsi="Times New Roman" w:cs="Times New Roman"/>
        </w:rPr>
        <w:t xml:space="preserve">The General Assembly has attempted to balance the equities by prohibiting utilities from charging increased rates during the pendency of Commission proceedings and appeals, while also prohibiting customers from obtaining refunds of excessive rates that may be reversed on appeal. </w:t>
      </w:r>
      <w:r w:rsidR="00870CFF">
        <w:rPr>
          <w:rFonts w:ascii="Times New Roman" w:hAnsi="Times New Roman" w:cs="Times New Roman"/>
        </w:rPr>
        <w:t xml:space="preserve"> </w:t>
      </w:r>
      <w:r w:rsidRPr="00870CFF">
        <w:rPr>
          <w:rFonts w:ascii="Times New Roman" w:hAnsi="Times New Roman" w:cs="Times New Roman"/>
          <w:b/>
          <w:i/>
        </w:rPr>
        <w:t>In short, retroactive ratemaking is not permitted under Ohio's comprehensive statutory scheme.</w:t>
      </w:r>
    </w:p>
    <w:p w:rsidR="00393B5F" w:rsidRPr="00393B5F" w:rsidRDefault="00393B5F" w:rsidP="00393B5F">
      <w:pPr>
        <w:ind w:left="1440" w:right="720"/>
        <w:jc w:val="both"/>
        <w:rPr>
          <w:rFonts w:ascii="Times New Roman" w:hAnsi="Times New Roman" w:cs="Times New Roman"/>
        </w:rPr>
      </w:pPr>
    </w:p>
    <w:p w:rsidR="00294E80" w:rsidRDefault="00393B5F" w:rsidP="00CA3A98">
      <w:pPr>
        <w:pStyle w:val="BodyText1"/>
        <w:shd w:val="clear" w:color="auto" w:fill="auto"/>
        <w:spacing w:after="0" w:line="480" w:lineRule="auto"/>
        <w:ind w:left="14" w:right="14"/>
        <w:rPr>
          <w:sz w:val="24"/>
          <w:szCs w:val="24"/>
        </w:rPr>
      </w:pPr>
      <w:r w:rsidRPr="00393B5F">
        <w:rPr>
          <w:i/>
          <w:sz w:val="24"/>
          <w:szCs w:val="24"/>
        </w:rPr>
        <w:t>Lucas County Commissioners v.</w:t>
      </w:r>
      <w:r w:rsidR="00FD4FA4">
        <w:rPr>
          <w:i/>
          <w:sz w:val="24"/>
          <w:szCs w:val="24"/>
        </w:rPr>
        <w:t xml:space="preserve"> </w:t>
      </w:r>
      <w:r w:rsidRPr="00393B5F">
        <w:rPr>
          <w:i/>
          <w:sz w:val="24"/>
          <w:szCs w:val="24"/>
        </w:rPr>
        <w:t xml:space="preserve">Public Utilities Commission, </w:t>
      </w:r>
      <w:r w:rsidRPr="00393B5F">
        <w:rPr>
          <w:sz w:val="24"/>
          <w:szCs w:val="24"/>
        </w:rPr>
        <w:t>80 Ohio St.3d 344, 686 N.E.2d 501 (1997)</w:t>
      </w:r>
      <w:r w:rsidR="004428D5">
        <w:rPr>
          <w:sz w:val="24"/>
          <w:szCs w:val="24"/>
        </w:rPr>
        <w:t xml:space="preserve"> </w:t>
      </w:r>
      <w:r w:rsidR="00870CFF" w:rsidRPr="00870CFF">
        <w:rPr>
          <w:kern w:val="24"/>
          <w:sz w:val="24"/>
          <w:szCs w:val="20"/>
        </w:rPr>
        <w:t>(citations omitted; emphasis added)</w:t>
      </w:r>
      <w:r w:rsidRPr="00393B5F">
        <w:rPr>
          <w:sz w:val="24"/>
          <w:szCs w:val="24"/>
        </w:rPr>
        <w:t>.</w:t>
      </w:r>
      <w:r w:rsidR="00CA3A98">
        <w:rPr>
          <w:sz w:val="24"/>
          <w:szCs w:val="24"/>
        </w:rPr>
        <w:t xml:space="preserve">  </w:t>
      </w:r>
      <w:r w:rsidRPr="00393B5F">
        <w:rPr>
          <w:sz w:val="24"/>
          <w:szCs w:val="24"/>
        </w:rPr>
        <w:t xml:space="preserve">Recent Court decisions reaffirm and apply </w:t>
      </w:r>
      <w:r w:rsidRPr="00393B5F">
        <w:rPr>
          <w:rStyle w:val="BodytextItalic"/>
          <w:rFonts w:eastAsiaTheme="minorEastAsia"/>
        </w:rPr>
        <w:t>Keco.</w:t>
      </w:r>
      <w:r w:rsidR="00F13A42">
        <w:rPr>
          <w:rStyle w:val="BodytextItalic"/>
          <w:rFonts w:eastAsiaTheme="minorEastAsia"/>
        </w:rPr>
        <w:t xml:space="preserve"> </w:t>
      </w:r>
      <w:r w:rsidRPr="00393B5F">
        <w:rPr>
          <w:rStyle w:val="BodytextItalic"/>
          <w:rFonts w:eastAsiaTheme="minorEastAsia"/>
        </w:rPr>
        <w:t xml:space="preserve"> Industrial Energy Users-Ohio</w:t>
      </w:r>
      <w:r w:rsidRPr="00393B5F">
        <w:rPr>
          <w:sz w:val="24"/>
          <w:szCs w:val="24"/>
        </w:rPr>
        <w:t xml:space="preserve"> v. </w:t>
      </w:r>
      <w:r w:rsidRPr="00393B5F">
        <w:rPr>
          <w:rStyle w:val="BodytextItalic"/>
          <w:rFonts w:eastAsiaTheme="minorEastAsia"/>
        </w:rPr>
        <w:t>Public Utilities Commission of Ohio</w:t>
      </w:r>
      <w:r w:rsidRPr="00393B5F">
        <w:rPr>
          <w:sz w:val="24"/>
          <w:szCs w:val="24"/>
        </w:rPr>
        <w:t xml:space="preserve">, 117 Ohio St.3d 486, 885 N.E.2d 195 (2008) (the Court declined to order a refund of $24 million American Electric Power collected for new advanced coal plant research and development costs even though the </w:t>
      </w:r>
      <w:r w:rsidR="004428D5">
        <w:rPr>
          <w:sz w:val="24"/>
          <w:szCs w:val="24"/>
        </w:rPr>
        <w:t xml:space="preserve">approved </w:t>
      </w:r>
      <w:r w:rsidRPr="00393B5F">
        <w:rPr>
          <w:sz w:val="24"/>
          <w:szCs w:val="24"/>
        </w:rPr>
        <w:t xml:space="preserve">rates collecting that amount were </w:t>
      </w:r>
      <w:r w:rsidR="004428D5">
        <w:rPr>
          <w:sz w:val="24"/>
          <w:szCs w:val="24"/>
        </w:rPr>
        <w:t xml:space="preserve">later </w:t>
      </w:r>
      <w:r w:rsidRPr="00393B5F">
        <w:rPr>
          <w:sz w:val="24"/>
          <w:szCs w:val="24"/>
        </w:rPr>
        <w:t xml:space="preserve">determined to be unlawful); </w:t>
      </w:r>
      <w:r w:rsidRPr="00393B5F">
        <w:rPr>
          <w:rStyle w:val="BodytextItalic"/>
          <w:rFonts w:eastAsiaTheme="minorEastAsia"/>
        </w:rPr>
        <w:t>In re Application of Columbus Southern Power Co</w:t>
      </w:r>
      <w:r w:rsidRPr="00393B5F">
        <w:rPr>
          <w:sz w:val="24"/>
          <w:szCs w:val="24"/>
        </w:rPr>
        <w:t xml:space="preserve"> v. </w:t>
      </w:r>
      <w:r w:rsidRPr="00393B5F">
        <w:rPr>
          <w:rStyle w:val="BodytextItalic"/>
          <w:rFonts w:eastAsiaTheme="minorEastAsia"/>
        </w:rPr>
        <w:t>Public Utilities Commission of Ohio</w:t>
      </w:r>
      <w:r w:rsidRPr="00393B5F">
        <w:rPr>
          <w:sz w:val="24"/>
          <w:szCs w:val="24"/>
        </w:rPr>
        <w:t xml:space="preserve">, 138 Ohio St.3d 863, 8 N.E.3d 863 (2014) (under </w:t>
      </w:r>
      <w:r w:rsidRPr="00393B5F">
        <w:rPr>
          <w:rStyle w:val="BodytextItalic"/>
          <w:rFonts w:eastAsiaTheme="minorEastAsia"/>
        </w:rPr>
        <w:t>Keco</w:t>
      </w:r>
      <w:r w:rsidRPr="00393B5F">
        <w:rPr>
          <w:sz w:val="24"/>
          <w:szCs w:val="24"/>
        </w:rPr>
        <w:t xml:space="preserve"> American Electric Power was allowed to keep $368 million even though resulting in a windfall).</w:t>
      </w:r>
      <w:r w:rsidR="00A16FC3">
        <w:rPr>
          <w:sz w:val="24"/>
          <w:szCs w:val="24"/>
        </w:rPr>
        <w:t xml:space="preserve">  </w:t>
      </w:r>
      <w:r w:rsidR="004428D5">
        <w:rPr>
          <w:sz w:val="24"/>
          <w:szCs w:val="24"/>
        </w:rPr>
        <w:t>Last year, i</w:t>
      </w:r>
      <w:r w:rsidR="00A16FC3">
        <w:rPr>
          <w:sz w:val="24"/>
          <w:szCs w:val="24"/>
        </w:rPr>
        <w:t xml:space="preserve">n </w:t>
      </w:r>
      <w:r w:rsidR="00A16FC3">
        <w:rPr>
          <w:i/>
          <w:sz w:val="24"/>
          <w:szCs w:val="24"/>
        </w:rPr>
        <w:t>In re Complaint of Pilkington N. Am., Inc.</w:t>
      </w:r>
      <w:r w:rsidR="00A16FC3">
        <w:rPr>
          <w:sz w:val="24"/>
          <w:szCs w:val="24"/>
        </w:rPr>
        <w:t xml:space="preserve">, 145 Ohio St.3d 125, </w:t>
      </w:r>
      <w:r w:rsidR="00F515CD">
        <w:rPr>
          <w:sz w:val="24"/>
          <w:szCs w:val="24"/>
        </w:rPr>
        <w:t xml:space="preserve">131, </w:t>
      </w:r>
      <w:r w:rsidR="00A16FC3">
        <w:rPr>
          <w:sz w:val="24"/>
          <w:szCs w:val="24"/>
        </w:rPr>
        <w:t xml:space="preserve">47 N.E.3d 786, 793 (2015), the Court </w:t>
      </w:r>
      <w:r w:rsidR="001404A3">
        <w:rPr>
          <w:sz w:val="24"/>
          <w:szCs w:val="24"/>
        </w:rPr>
        <w:t>stated</w:t>
      </w:r>
      <w:r w:rsidR="00A16FC3">
        <w:rPr>
          <w:sz w:val="24"/>
          <w:szCs w:val="24"/>
        </w:rPr>
        <w:t xml:space="preserve">, “The filed-rate doctrine holds that rates approved by and filed with the commission are the lawful rates, unless a litigant proves otherwise.”  </w:t>
      </w:r>
    </w:p>
    <w:p w:rsidR="00393B5F" w:rsidRPr="00393B5F" w:rsidRDefault="00393B5F" w:rsidP="00393B5F">
      <w:pPr>
        <w:pStyle w:val="BodyText1"/>
        <w:shd w:val="clear" w:color="auto" w:fill="auto"/>
        <w:spacing w:after="0" w:line="480" w:lineRule="auto"/>
        <w:ind w:left="20" w:right="20" w:firstLine="700"/>
        <w:rPr>
          <w:sz w:val="24"/>
          <w:szCs w:val="24"/>
        </w:rPr>
      </w:pPr>
      <w:r>
        <w:rPr>
          <w:sz w:val="24"/>
          <w:szCs w:val="24"/>
        </w:rPr>
        <w:t xml:space="preserve">TSCCI is required to charge its tariff rates, even if those rates ultimately are determined to be unlawful.  </w:t>
      </w:r>
      <w:r w:rsidR="00294E80">
        <w:rPr>
          <w:sz w:val="24"/>
          <w:szCs w:val="24"/>
        </w:rPr>
        <w:t xml:space="preserve">Indeed, the tariff rates are the lawful rates until determined to be unlawful, as the Court wrote in the </w:t>
      </w:r>
      <w:r w:rsidR="00294E80">
        <w:rPr>
          <w:i/>
          <w:sz w:val="24"/>
          <w:szCs w:val="24"/>
        </w:rPr>
        <w:t>Pilkington</w:t>
      </w:r>
      <w:r w:rsidR="00294E80">
        <w:rPr>
          <w:sz w:val="24"/>
          <w:szCs w:val="24"/>
        </w:rPr>
        <w:t xml:space="preserve"> case.  </w:t>
      </w:r>
      <w:r>
        <w:rPr>
          <w:sz w:val="24"/>
          <w:szCs w:val="24"/>
        </w:rPr>
        <w:t xml:space="preserve">Under </w:t>
      </w:r>
      <w:r>
        <w:rPr>
          <w:i/>
          <w:sz w:val="24"/>
          <w:szCs w:val="24"/>
        </w:rPr>
        <w:t>Keco</w:t>
      </w:r>
      <w:r>
        <w:rPr>
          <w:sz w:val="24"/>
          <w:szCs w:val="24"/>
        </w:rPr>
        <w:t xml:space="preserve">, the rates must continue to be charged until </w:t>
      </w:r>
      <w:r w:rsidR="004428D5">
        <w:rPr>
          <w:sz w:val="24"/>
          <w:szCs w:val="24"/>
        </w:rPr>
        <w:lastRenderedPageBreak/>
        <w:t xml:space="preserve">such time as </w:t>
      </w:r>
      <w:r>
        <w:rPr>
          <w:sz w:val="24"/>
          <w:szCs w:val="24"/>
        </w:rPr>
        <w:t xml:space="preserve">the Commission approves new rates.  Consequently, </w:t>
      </w:r>
      <w:r w:rsidR="004428D5">
        <w:rPr>
          <w:sz w:val="24"/>
          <w:szCs w:val="24"/>
        </w:rPr>
        <w:t xml:space="preserve">as a matter of law </w:t>
      </w:r>
      <w:r>
        <w:rPr>
          <w:sz w:val="24"/>
          <w:szCs w:val="24"/>
        </w:rPr>
        <w:t xml:space="preserve">AT&amp;T is not entitled to a refund.  Rather, AT&amp;T must pay TSCCI the NECA rates billed until </w:t>
      </w:r>
      <w:r w:rsidR="004428D5">
        <w:rPr>
          <w:sz w:val="24"/>
          <w:szCs w:val="24"/>
        </w:rPr>
        <w:t>the tariff is changed</w:t>
      </w:r>
      <w:r>
        <w:rPr>
          <w:sz w:val="24"/>
          <w:szCs w:val="24"/>
        </w:rPr>
        <w:t>.  TSCCI does not owe anything to AT&amp;T and its Complaint should be dismissed with prejudice</w:t>
      </w:r>
      <w:r w:rsidR="005B6E62">
        <w:rPr>
          <w:sz w:val="24"/>
          <w:szCs w:val="24"/>
        </w:rPr>
        <w:t xml:space="preserve">, except for </w:t>
      </w:r>
      <w:r w:rsidR="00B40580">
        <w:rPr>
          <w:sz w:val="24"/>
          <w:szCs w:val="24"/>
        </w:rPr>
        <w:t xml:space="preserve">a determination of whether the tariff should be revised and applied on a prospective basis which is item (d) in the </w:t>
      </w:r>
      <w:r w:rsidR="007E5735">
        <w:rPr>
          <w:sz w:val="24"/>
          <w:szCs w:val="24"/>
        </w:rPr>
        <w:t xml:space="preserve">Complaint </w:t>
      </w:r>
      <w:r w:rsidR="00B40580">
        <w:rPr>
          <w:sz w:val="24"/>
          <w:szCs w:val="24"/>
        </w:rPr>
        <w:t>prayer for relief</w:t>
      </w:r>
      <w:r>
        <w:rPr>
          <w:sz w:val="24"/>
          <w:szCs w:val="24"/>
        </w:rPr>
        <w:t>.  Moreover, TSCCI's Counterclaim is meritorious a</w:t>
      </w:r>
      <w:r w:rsidR="00F26660">
        <w:rPr>
          <w:sz w:val="24"/>
          <w:szCs w:val="24"/>
        </w:rPr>
        <w:t xml:space="preserve">nd the Commission should order </w:t>
      </w:r>
      <w:r>
        <w:rPr>
          <w:sz w:val="24"/>
          <w:szCs w:val="24"/>
        </w:rPr>
        <w:t xml:space="preserve">AT&amp;T </w:t>
      </w:r>
      <w:r w:rsidR="00F26660">
        <w:rPr>
          <w:sz w:val="24"/>
          <w:szCs w:val="24"/>
        </w:rPr>
        <w:t>to pay TSCCI the amounts</w:t>
      </w:r>
      <w:r w:rsidR="00E7532B" w:rsidRPr="00E7532B">
        <w:rPr>
          <w:sz w:val="24"/>
          <w:szCs w:val="24"/>
        </w:rPr>
        <w:t xml:space="preserve"> </w:t>
      </w:r>
      <w:r w:rsidR="00E7532B">
        <w:rPr>
          <w:sz w:val="24"/>
          <w:szCs w:val="24"/>
        </w:rPr>
        <w:t>withheld</w:t>
      </w:r>
      <w:r w:rsidR="00F26660">
        <w:rPr>
          <w:sz w:val="24"/>
          <w:szCs w:val="24"/>
        </w:rPr>
        <w:t>.</w:t>
      </w:r>
    </w:p>
    <w:p w:rsidR="00F26660" w:rsidRDefault="00F26660" w:rsidP="00F26660">
      <w:pPr>
        <w:pStyle w:val="BodyText"/>
        <w:ind w:left="3600" w:firstLine="720"/>
      </w:pPr>
      <w:r>
        <w:t>Respectfully submitted,</w:t>
      </w:r>
    </w:p>
    <w:p w:rsidR="00F26660" w:rsidRDefault="00F26660" w:rsidP="00F26660">
      <w:pPr>
        <w:pStyle w:val="BodyText"/>
        <w:ind w:left="3600" w:firstLine="720"/>
      </w:pPr>
    </w:p>
    <w:p w:rsidR="00F26660" w:rsidRDefault="00F26660" w:rsidP="00F26660">
      <w:pPr>
        <w:pStyle w:val="BodyText"/>
        <w:spacing w:line="240" w:lineRule="auto"/>
        <w:ind w:firstLine="720"/>
      </w:pPr>
      <w:r>
        <w:tab/>
      </w:r>
      <w:r>
        <w:tab/>
      </w:r>
      <w:r>
        <w:tab/>
      </w:r>
      <w:r>
        <w:tab/>
      </w:r>
      <w:r>
        <w:tab/>
      </w:r>
      <w:r w:rsidR="00133E2E">
        <w:rPr>
          <w:u w:val="single"/>
        </w:rPr>
        <w:t>/s/</w:t>
      </w:r>
      <w:r w:rsidR="00133E2E" w:rsidRPr="00133E2E">
        <w:rPr>
          <w:i/>
          <w:sz w:val="28"/>
          <w:u w:val="single"/>
        </w:rPr>
        <w:t>William A. Adams</w:t>
      </w:r>
      <w:r w:rsidRPr="00133E2E">
        <w:rPr>
          <w:sz w:val="28"/>
          <w:u w:val="single"/>
        </w:rPr>
        <w:tab/>
      </w:r>
      <w:r w:rsidR="00133E2E">
        <w:rPr>
          <w:u w:val="single"/>
        </w:rPr>
        <w:tab/>
      </w:r>
      <w:r w:rsidR="00133E2E">
        <w:rPr>
          <w:u w:val="single"/>
        </w:rPr>
        <w:tab/>
      </w:r>
      <w:r w:rsidR="00133E2E">
        <w:rPr>
          <w:u w:val="single"/>
        </w:rPr>
        <w:tab/>
      </w:r>
      <w:r w:rsidR="00133E2E">
        <w:tab/>
      </w:r>
      <w:r w:rsidR="00133E2E">
        <w:tab/>
      </w:r>
      <w:r w:rsidR="00133E2E">
        <w:tab/>
      </w:r>
      <w:r w:rsidR="00133E2E">
        <w:tab/>
      </w:r>
      <w:r w:rsidR="00133E2E">
        <w:tab/>
      </w:r>
      <w:r w:rsidR="00133E2E">
        <w:tab/>
      </w:r>
      <w:r>
        <w:t>William A. Adams, Counsel of Record</w:t>
      </w:r>
      <w:r>
        <w:tab/>
      </w:r>
    </w:p>
    <w:p w:rsidR="00F26660" w:rsidRDefault="00F26660" w:rsidP="00F26660">
      <w:pPr>
        <w:pStyle w:val="BodyText"/>
        <w:spacing w:line="240" w:lineRule="auto"/>
        <w:ind w:firstLine="720"/>
        <w:jc w:val="left"/>
      </w:pPr>
      <w:r>
        <w:tab/>
      </w:r>
      <w:r>
        <w:tab/>
      </w:r>
      <w:r>
        <w:tab/>
      </w:r>
      <w:r>
        <w:tab/>
      </w:r>
      <w:r>
        <w:tab/>
        <w:t>BAILEY CAVALIERI LLC</w:t>
      </w:r>
    </w:p>
    <w:p w:rsidR="00F26660" w:rsidRDefault="00F26660" w:rsidP="00F26660">
      <w:pPr>
        <w:pStyle w:val="BodyText"/>
        <w:spacing w:line="240" w:lineRule="auto"/>
        <w:ind w:firstLine="720"/>
        <w:jc w:val="left"/>
      </w:pPr>
      <w:r>
        <w:tab/>
      </w:r>
      <w:r>
        <w:tab/>
      </w:r>
      <w:r>
        <w:tab/>
      </w:r>
      <w:r>
        <w:tab/>
      </w:r>
      <w:r>
        <w:tab/>
        <w:t>10 West Broad Street, Suite 2100</w:t>
      </w:r>
    </w:p>
    <w:p w:rsidR="00F26660" w:rsidRDefault="00F26660" w:rsidP="00F26660">
      <w:pPr>
        <w:pStyle w:val="BodyText"/>
        <w:spacing w:line="240" w:lineRule="auto"/>
        <w:ind w:firstLine="720"/>
        <w:jc w:val="left"/>
      </w:pPr>
      <w:r>
        <w:tab/>
      </w:r>
      <w:r>
        <w:tab/>
      </w:r>
      <w:r>
        <w:tab/>
      </w:r>
      <w:r>
        <w:tab/>
      </w:r>
      <w:r>
        <w:tab/>
        <w:t xml:space="preserve">Columbus, OH </w:t>
      </w:r>
      <w:smartTag w:uri="schemas-workshare-com/workshare" w:element="socialsecuritynumber">
        <w:smartTagPr>
          <w:attr w:name="TagType" w:val="1"/>
        </w:smartTagPr>
        <w:r>
          <w:t>43215-3422</w:t>
        </w:r>
      </w:smartTag>
    </w:p>
    <w:p w:rsidR="00F26660" w:rsidRDefault="00F26660" w:rsidP="00F26660">
      <w:pPr>
        <w:pStyle w:val="BodyText"/>
        <w:spacing w:line="240" w:lineRule="auto"/>
        <w:ind w:firstLine="720"/>
        <w:jc w:val="left"/>
      </w:pPr>
      <w:r>
        <w:tab/>
      </w:r>
      <w:r>
        <w:tab/>
      </w:r>
      <w:r>
        <w:tab/>
      </w:r>
      <w:r>
        <w:tab/>
      </w:r>
      <w:r>
        <w:tab/>
        <w:t>(614) 229-3278 (telephone)</w:t>
      </w:r>
    </w:p>
    <w:p w:rsidR="00F26660" w:rsidRDefault="00F26660" w:rsidP="00F26660">
      <w:pPr>
        <w:pStyle w:val="BodyText"/>
        <w:spacing w:line="240" w:lineRule="auto"/>
        <w:ind w:firstLine="720"/>
        <w:jc w:val="left"/>
      </w:pPr>
      <w:r>
        <w:tab/>
      </w:r>
      <w:r>
        <w:tab/>
      </w:r>
      <w:r>
        <w:tab/>
      </w:r>
      <w:r>
        <w:tab/>
      </w:r>
      <w:r>
        <w:tab/>
        <w:t>(614) 221-0479 (fax)</w:t>
      </w:r>
    </w:p>
    <w:p w:rsidR="00F26660" w:rsidRPr="00AA1C6B" w:rsidRDefault="00F26660" w:rsidP="00F26660">
      <w:pPr>
        <w:pStyle w:val="BodyText"/>
        <w:spacing w:line="240" w:lineRule="auto"/>
        <w:ind w:firstLine="720"/>
        <w:jc w:val="left"/>
      </w:pPr>
      <w:r>
        <w:tab/>
      </w:r>
      <w:r>
        <w:tab/>
      </w:r>
      <w:r>
        <w:tab/>
      </w:r>
      <w:r>
        <w:tab/>
      </w:r>
      <w:r>
        <w:tab/>
      </w:r>
      <w:hyperlink r:id="rId9" w:history="1">
        <w:r w:rsidRPr="00AA1C6B">
          <w:rPr>
            <w:rStyle w:val="Hyperlink"/>
            <w:rFonts w:eastAsiaTheme="minorEastAsia"/>
          </w:rPr>
          <w:t>William.Adams@baileycavalieri.com</w:t>
        </w:r>
      </w:hyperlink>
    </w:p>
    <w:p w:rsidR="00F26660" w:rsidRDefault="00F26660" w:rsidP="00F26660">
      <w:pPr>
        <w:pStyle w:val="BodyText"/>
        <w:spacing w:line="240" w:lineRule="auto"/>
        <w:ind w:left="4320"/>
        <w:jc w:val="left"/>
        <w:rPr>
          <w:i/>
        </w:rPr>
      </w:pPr>
      <w:r w:rsidRPr="002F2CF5">
        <w:rPr>
          <w:i/>
        </w:rPr>
        <w:t xml:space="preserve">Attorneys for Respondent </w:t>
      </w:r>
    </w:p>
    <w:p w:rsidR="006439F2" w:rsidRPr="00F26660" w:rsidRDefault="00F26660" w:rsidP="00F26660">
      <w:pPr>
        <w:pStyle w:val="BodyText"/>
        <w:spacing w:line="240" w:lineRule="auto"/>
        <w:ind w:left="4320"/>
        <w:jc w:val="left"/>
        <w:rPr>
          <w:i/>
        </w:rPr>
      </w:pPr>
      <w:r>
        <w:rPr>
          <w:i/>
        </w:rPr>
        <w:t xml:space="preserve">TSC Communications, Inc. </w:t>
      </w:r>
    </w:p>
    <w:p w:rsidR="006439F2" w:rsidRDefault="006439F2" w:rsidP="006439F2">
      <w:pPr>
        <w:rPr>
          <w:rFonts w:ascii="Times New Roman" w:hAnsi="Times New Roman" w:cs="Times New Roman"/>
          <w:u w:val="single"/>
        </w:rPr>
      </w:pPr>
    </w:p>
    <w:p w:rsidR="006439F2" w:rsidRDefault="006439F2">
      <w:pPr>
        <w:widowControl/>
        <w:autoSpaceDE/>
        <w:autoSpaceDN/>
        <w:adjustRightInd/>
        <w:spacing w:after="160" w:line="259" w:lineRule="auto"/>
        <w:rPr>
          <w:rFonts w:ascii="Times New Roman" w:hAnsi="Times New Roman" w:cs="Times New Roman"/>
          <w:u w:val="single"/>
        </w:rPr>
      </w:pPr>
    </w:p>
    <w:p w:rsidR="00785A3D" w:rsidRDefault="00785A3D">
      <w:pPr>
        <w:widowControl/>
        <w:autoSpaceDE/>
        <w:autoSpaceDN/>
        <w:adjustRightInd/>
        <w:spacing w:after="160" w:line="259" w:lineRule="auto"/>
        <w:rPr>
          <w:rFonts w:ascii="Times New Roman" w:hAnsi="Times New Roman" w:cs="Times New Roman"/>
          <w:u w:val="single"/>
        </w:rPr>
      </w:pPr>
      <w:r>
        <w:rPr>
          <w:rFonts w:ascii="Times New Roman" w:hAnsi="Times New Roman" w:cs="Times New Roman"/>
          <w:u w:val="single"/>
        </w:rPr>
        <w:br w:type="page"/>
      </w:r>
    </w:p>
    <w:p w:rsidR="00BC4B1F" w:rsidRPr="00BC4B1F" w:rsidRDefault="00BC4B1F" w:rsidP="00BC4B1F">
      <w:pPr>
        <w:spacing w:line="480" w:lineRule="auto"/>
        <w:jc w:val="center"/>
        <w:rPr>
          <w:rFonts w:ascii="Times New Roman" w:hAnsi="Times New Roman" w:cs="Times New Roman"/>
          <w:u w:val="single"/>
        </w:rPr>
      </w:pPr>
      <w:r w:rsidRPr="00BC4B1F">
        <w:rPr>
          <w:rFonts w:ascii="Times New Roman" w:hAnsi="Times New Roman" w:cs="Times New Roman"/>
          <w:u w:val="single"/>
        </w:rPr>
        <w:lastRenderedPageBreak/>
        <w:t>CERTIFICATE OF SERVICE</w:t>
      </w:r>
    </w:p>
    <w:p w:rsidR="00BC4B1F" w:rsidRPr="00BC4B1F" w:rsidRDefault="00BC4B1F" w:rsidP="00BC4B1F">
      <w:pPr>
        <w:jc w:val="both"/>
        <w:rPr>
          <w:rFonts w:ascii="Times New Roman" w:hAnsi="Times New Roman" w:cs="Times New Roman"/>
        </w:rPr>
      </w:pPr>
      <w:r w:rsidRPr="00BC4B1F">
        <w:rPr>
          <w:rFonts w:ascii="Times New Roman" w:hAnsi="Times New Roman" w:cs="Times New Roman"/>
        </w:rPr>
        <w:tab/>
        <w:t xml:space="preserve">The undersigned hereby certifies that a true copy of the foregoing </w:t>
      </w:r>
      <w:r w:rsidR="00F26660">
        <w:rPr>
          <w:rFonts w:ascii="Times New Roman" w:hAnsi="Times New Roman" w:cs="Times New Roman"/>
          <w:i/>
        </w:rPr>
        <w:t xml:space="preserve">Motion to Dismiss of </w:t>
      </w:r>
      <w:r>
        <w:rPr>
          <w:rFonts w:ascii="Times New Roman" w:hAnsi="Times New Roman" w:cs="Times New Roman"/>
          <w:i/>
        </w:rPr>
        <w:t xml:space="preserve">Respondent TSC Communications, Inc. </w:t>
      </w:r>
      <w:r w:rsidRPr="00BC4B1F">
        <w:rPr>
          <w:rFonts w:ascii="Times New Roman" w:hAnsi="Times New Roman" w:cs="Times New Roman"/>
        </w:rPr>
        <w:t>was served this</w:t>
      </w:r>
      <w:r w:rsidR="00133E2E">
        <w:rPr>
          <w:rFonts w:ascii="Times New Roman" w:hAnsi="Times New Roman" w:cs="Times New Roman"/>
        </w:rPr>
        <w:t xml:space="preserve"> 28</w:t>
      </w:r>
      <w:r w:rsidR="00133E2E" w:rsidRPr="00133E2E">
        <w:rPr>
          <w:rFonts w:ascii="Times New Roman" w:hAnsi="Times New Roman" w:cs="Times New Roman"/>
          <w:vertAlign w:val="superscript"/>
        </w:rPr>
        <w:t>th</w:t>
      </w:r>
      <w:r w:rsidR="00133E2E">
        <w:rPr>
          <w:rFonts w:ascii="Times New Roman" w:hAnsi="Times New Roman" w:cs="Times New Roman"/>
        </w:rPr>
        <w:t xml:space="preserve"> </w:t>
      </w:r>
      <w:r w:rsidRPr="00BC4B1F">
        <w:rPr>
          <w:rFonts w:ascii="Times New Roman" w:hAnsi="Times New Roman" w:cs="Times New Roman"/>
        </w:rPr>
        <w:t>day of</w:t>
      </w:r>
      <w:r>
        <w:rPr>
          <w:rFonts w:ascii="Times New Roman" w:hAnsi="Times New Roman" w:cs="Times New Roman"/>
        </w:rPr>
        <w:t xml:space="preserve"> </w:t>
      </w:r>
      <w:r w:rsidR="009E2613">
        <w:rPr>
          <w:rFonts w:ascii="Times New Roman" w:hAnsi="Times New Roman" w:cs="Times New Roman"/>
        </w:rPr>
        <w:t>June</w:t>
      </w:r>
      <w:r>
        <w:rPr>
          <w:rFonts w:ascii="Times New Roman" w:hAnsi="Times New Roman" w:cs="Times New Roman"/>
        </w:rPr>
        <w:t>, 2016</w:t>
      </w:r>
      <w:r w:rsidRPr="00BC4B1F">
        <w:rPr>
          <w:rFonts w:ascii="Times New Roman" w:hAnsi="Times New Roman" w:cs="Times New Roman"/>
        </w:rPr>
        <w:t>, by</w:t>
      </w:r>
      <w:r>
        <w:rPr>
          <w:rFonts w:ascii="Times New Roman" w:hAnsi="Times New Roman" w:cs="Times New Roman"/>
        </w:rPr>
        <w:t xml:space="preserve"> electronic transmission upon the following</w:t>
      </w:r>
      <w:r w:rsidRPr="00BC4B1F">
        <w:rPr>
          <w:rFonts w:ascii="Times New Roman" w:hAnsi="Times New Roman" w:cs="Times New Roman"/>
        </w:rPr>
        <w:t>:</w:t>
      </w:r>
    </w:p>
    <w:p w:rsidR="00BC4B1F" w:rsidRPr="00BC4B1F" w:rsidRDefault="00BC4B1F" w:rsidP="00BC4B1F">
      <w:pPr>
        <w:jc w:val="both"/>
        <w:rPr>
          <w:rFonts w:ascii="Times New Roman" w:hAnsi="Times New Roman" w:cs="Times New Roman"/>
        </w:rPr>
      </w:pPr>
    </w:p>
    <w:p w:rsidR="00BC4B1F" w:rsidRDefault="00BC4B1F" w:rsidP="00BC4B1F">
      <w:pPr>
        <w:jc w:val="both"/>
        <w:rPr>
          <w:rFonts w:ascii="Times New Roman" w:hAnsi="Times New Roman" w:cs="Times New Roman"/>
        </w:rPr>
      </w:pPr>
      <w:r>
        <w:rPr>
          <w:rFonts w:ascii="Times New Roman" w:hAnsi="Times New Roman" w:cs="Times New Roman"/>
        </w:rPr>
        <w:tab/>
        <w:t>Mark R. Ortlieb</w:t>
      </w:r>
    </w:p>
    <w:p w:rsidR="00BC4B1F" w:rsidRDefault="00BC4B1F" w:rsidP="00BC4B1F">
      <w:pPr>
        <w:jc w:val="both"/>
        <w:rPr>
          <w:rFonts w:ascii="Times New Roman" w:hAnsi="Times New Roman" w:cs="Times New Roman"/>
        </w:rPr>
      </w:pPr>
      <w:r>
        <w:rPr>
          <w:rFonts w:ascii="Times New Roman" w:hAnsi="Times New Roman" w:cs="Times New Roman"/>
        </w:rPr>
        <w:tab/>
        <w:t>AT&amp;T Services, Inc.</w:t>
      </w:r>
    </w:p>
    <w:p w:rsidR="00BC4B1F" w:rsidRDefault="00BC4B1F" w:rsidP="00BC4B1F">
      <w:pPr>
        <w:jc w:val="both"/>
        <w:rPr>
          <w:rFonts w:ascii="Times New Roman" w:hAnsi="Times New Roman" w:cs="Times New Roman"/>
        </w:rPr>
      </w:pPr>
      <w:r>
        <w:rPr>
          <w:rFonts w:ascii="Times New Roman" w:hAnsi="Times New Roman" w:cs="Times New Roman"/>
        </w:rPr>
        <w:tab/>
        <w:t>225 West Randolph, Floor 25D</w:t>
      </w:r>
    </w:p>
    <w:p w:rsidR="00BC4B1F" w:rsidRDefault="00BC4B1F" w:rsidP="00BC4B1F">
      <w:pPr>
        <w:jc w:val="both"/>
        <w:rPr>
          <w:rFonts w:ascii="Times New Roman" w:hAnsi="Times New Roman" w:cs="Times New Roman"/>
        </w:rPr>
      </w:pPr>
      <w:r>
        <w:rPr>
          <w:rFonts w:ascii="Times New Roman" w:hAnsi="Times New Roman" w:cs="Times New Roman"/>
        </w:rPr>
        <w:tab/>
        <w:t>Chicago, IL 60606</w:t>
      </w:r>
    </w:p>
    <w:p w:rsidR="00BC4B1F" w:rsidRDefault="00BC4B1F" w:rsidP="00BC4B1F">
      <w:pPr>
        <w:jc w:val="both"/>
        <w:rPr>
          <w:rFonts w:ascii="Times New Roman" w:hAnsi="Times New Roman" w:cs="Times New Roman"/>
        </w:rPr>
      </w:pPr>
      <w:r>
        <w:rPr>
          <w:rFonts w:ascii="Times New Roman" w:hAnsi="Times New Roman" w:cs="Times New Roman"/>
        </w:rPr>
        <w:tab/>
      </w:r>
      <w:hyperlink r:id="rId10" w:history="1">
        <w:r w:rsidRPr="00CF5D64">
          <w:rPr>
            <w:rStyle w:val="Hyperlink"/>
            <w:rFonts w:ascii="Times New Roman" w:hAnsi="Times New Roman" w:cs="Times New Roman"/>
          </w:rPr>
          <w:t>mo2753@att.com</w:t>
        </w:r>
      </w:hyperlink>
    </w:p>
    <w:p w:rsidR="00BC4B1F" w:rsidRDefault="00BC4B1F" w:rsidP="00BC4B1F">
      <w:pPr>
        <w:jc w:val="both"/>
        <w:rPr>
          <w:rFonts w:ascii="Times New Roman" w:hAnsi="Times New Roman" w:cs="Times New Roman"/>
        </w:rPr>
      </w:pPr>
    </w:p>
    <w:p w:rsidR="00BC4B1F" w:rsidRDefault="00BC4B1F" w:rsidP="00BC4B1F">
      <w:pPr>
        <w:jc w:val="both"/>
        <w:rPr>
          <w:rFonts w:ascii="Times New Roman" w:hAnsi="Times New Roman" w:cs="Times New Roman"/>
        </w:rPr>
      </w:pPr>
      <w:r>
        <w:rPr>
          <w:rFonts w:ascii="Times New Roman" w:hAnsi="Times New Roman" w:cs="Times New Roman"/>
        </w:rPr>
        <w:tab/>
        <w:t>Dennis G. Friedman</w:t>
      </w:r>
    </w:p>
    <w:p w:rsidR="00BC4B1F" w:rsidRDefault="00BC4B1F" w:rsidP="00BC4B1F">
      <w:pPr>
        <w:jc w:val="both"/>
        <w:rPr>
          <w:rFonts w:ascii="Times New Roman" w:hAnsi="Times New Roman" w:cs="Times New Roman"/>
        </w:rPr>
      </w:pPr>
      <w:r>
        <w:rPr>
          <w:rFonts w:ascii="Times New Roman" w:hAnsi="Times New Roman" w:cs="Times New Roman"/>
        </w:rPr>
        <w:tab/>
        <w:t>Mayer Brown LLP</w:t>
      </w:r>
    </w:p>
    <w:p w:rsidR="00BC4B1F" w:rsidRDefault="00BC4B1F" w:rsidP="00BC4B1F">
      <w:pPr>
        <w:jc w:val="both"/>
        <w:rPr>
          <w:rFonts w:ascii="Times New Roman" w:hAnsi="Times New Roman" w:cs="Times New Roman"/>
        </w:rPr>
      </w:pPr>
      <w:r>
        <w:rPr>
          <w:rFonts w:ascii="Times New Roman" w:hAnsi="Times New Roman" w:cs="Times New Roman"/>
        </w:rPr>
        <w:tab/>
        <w:t>71 South Wacker Drive</w:t>
      </w:r>
    </w:p>
    <w:p w:rsidR="00BC4B1F" w:rsidRDefault="00BC4B1F" w:rsidP="00BC4B1F">
      <w:pPr>
        <w:jc w:val="both"/>
        <w:rPr>
          <w:rFonts w:ascii="Times New Roman" w:hAnsi="Times New Roman" w:cs="Times New Roman"/>
        </w:rPr>
      </w:pPr>
      <w:r>
        <w:rPr>
          <w:rFonts w:ascii="Times New Roman" w:hAnsi="Times New Roman" w:cs="Times New Roman"/>
        </w:rPr>
        <w:tab/>
        <w:t>Chicago, IL 60606</w:t>
      </w:r>
    </w:p>
    <w:p w:rsidR="00BC4B1F" w:rsidRDefault="00BC4B1F" w:rsidP="00BC4B1F">
      <w:pPr>
        <w:jc w:val="both"/>
        <w:rPr>
          <w:rStyle w:val="Hyperlink"/>
          <w:rFonts w:ascii="Times New Roman" w:hAnsi="Times New Roman" w:cs="Times New Roman"/>
        </w:rPr>
      </w:pPr>
      <w:r>
        <w:rPr>
          <w:rFonts w:ascii="Times New Roman" w:hAnsi="Times New Roman" w:cs="Times New Roman"/>
        </w:rPr>
        <w:tab/>
      </w:r>
      <w:hyperlink r:id="rId11" w:history="1">
        <w:r w:rsidR="00F26660" w:rsidRPr="00E90E8E">
          <w:rPr>
            <w:rStyle w:val="Hyperlink"/>
            <w:rFonts w:ascii="Times New Roman" w:hAnsi="Times New Roman" w:cs="Times New Roman"/>
          </w:rPr>
          <w:t>dfriedman@mayerbrown.com</w:t>
        </w:r>
      </w:hyperlink>
    </w:p>
    <w:p w:rsidR="00F26660" w:rsidRDefault="00F26660" w:rsidP="00BC4B1F">
      <w:pPr>
        <w:jc w:val="both"/>
        <w:rPr>
          <w:rStyle w:val="Hyperlink"/>
          <w:rFonts w:ascii="Times New Roman" w:hAnsi="Times New Roman" w:cs="Times New Roman"/>
        </w:rPr>
      </w:pPr>
    </w:p>
    <w:p w:rsidR="00F26660" w:rsidRPr="00BC4B1F" w:rsidRDefault="00F26660" w:rsidP="00BC4B1F">
      <w:pPr>
        <w:jc w:val="both"/>
        <w:rPr>
          <w:rStyle w:val="Hyperlink"/>
        </w:rPr>
      </w:pPr>
    </w:p>
    <w:p w:rsidR="00BC4B1F" w:rsidRPr="00BC4B1F" w:rsidRDefault="00BC4B1F" w:rsidP="00BC4B1F">
      <w:pPr>
        <w:jc w:val="both"/>
        <w:rPr>
          <w:rStyle w:val="Hyperlink"/>
        </w:rPr>
      </w:pPr>
    </w:p>
    <w:p w:rsidR="00BC4B1F" w:rsidRPr="00BC4B1F" w:rsidRDefault="00BC4B1F" w:rsidP="00BC4B1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E2E">
        <w:rPr>
          <w:rFonts w:ascii="Times New Roman" w:hAnsi="Times New Roman" w:cs="Times New Roman"/>
          <w:u w:val="single"/>
        </w:rPr>
        <w:t>/s/</w:t>
      </w:r>
      <w:r w:rsidR="00133E2E" w:rsidRPr="00133E2E">
        <w:rPr>
          <w:rFonts w:ascii="Times New Roman" w:hAnsi="Times New Roman" w:cs="Times New Roman"/>
          <w:i/>
          <w:sz w:val="28"/>
          <w:u w:val="single"/>
        </w:rPr>
        <w:t>William A. Adams</w:t>
      </w:r>
      <w:r w:rsidRPr="00133E2E">
        <w:rPr>
          <w:rFonts w:ascii="Times New Roman" w:hAnsi="Times New Roman" w:cs="Times New Roman"/>
          <w:sz w:val="28"/>
          <w:u w:val="single"/>
        </w:rPr>
        <w:tab/>
      </w:r>
      <w:r w:rsidRPr="00BC4B1F">
        <w:rPr>
          <w:rFonts w:ascii="Times New Roman" w:hAnsi="Times New Roman" w:cs="Times New Roman"/>
          <w:u w:val="single"/>
        </w:rPr>
        <w:tab/>
      </w:r>
      <w:r w:rsidRPr="00BC4B1F">
        <w:rPr>
          <w:rFonts w:ascii="Times New Roman" w:hAnsi="Times New Roman" w:cs="Times New Roman"/>
          <w:u w:val="single"/>
        </w:rPr>
        <w:tab/>
      </w:r>
      <w:r w:rsidRPr="00BC4B1F">
        <w:rPr>
          <w:rFonts w:ascii="Times New Roman" w:hAnsi="Times New Roman" w:cs="Times New Roman"/>
          <w:u w:val="single"/>
        </w:rPr>
        <w:tab/>
      </w:r>
    </w:p>
    <w:p w:rsidR="00093321" w:rsidRPr="00093321" w:rsidRDefault="00BC4B1F" w:rsidP="006839F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4B1F">
        <w:rPr>
          <w:rFonts w:ascii="Times New Roman" w:hAnsi="Times New Roman" w:cs="Times New Roman"/>
        </w:rPr>
        <w:t>William A. Adams, Counsel of Record</w:t>
      </w:r>
    </w:p>
    <w:sectPr w:rsidR="00093321" w:rsidRPr="00093321" w:rsidSect="008C519A">
      <w:footerReference w:type="defaul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6C" w:rsidRDefault="00E2446C" w:rsidP="00E2446C">
      <w:r>
        <w:separator/>
      </w:r>
    </w:p>
  </w:endnote>
  <w:endnote w:type="continuationSeparator" w:id="0">
    <w:p w:rsidR="00E2446C" w:rsidRDefault="00E2446C" w:rsidP="00E2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266285"/>
      <w:docPartObj>
        <w:docPartGallery w:val="Page Numbers (Bottom of Page)"/>
        <w:docPartUnique/>
      </w:docPartObj>
    </w:sdtPr>
    <w:sdtEndPr>
      <w:rPr>
        <w:rFonts w:ascii="Times New Roman" w:hAnsi="Times New Roman" w:cs="Times New Roman"/>
        <w:noProof/>
      </w:rPr>
    </w:sdtEndPr>
    <w:sdtContent>
      <w:p w:rsidR="00E2446C" w:rsidRPr="00E2446C" w:rsidRDefault="00E2446C">
        <w:pPr>
          <w:pStyle w:val="Footer"/>
          <w:jc w:val="center"/>
          <w:rPr>
            <w:rFonts w:ascii="Times New Roman" w:hAnsi="Times New Roman" w:cs="Times New Roman"/>
          </w:rPr>
        </w:pPr>
        <w:r w:rsidRPr="00E2446C">
          <w:rPr>
            <w:rFonts w:ascii="Times New Roman" w:hAnsi="Times New Roman" w:cs="Times New Roman"/>
          </w:rPr>
          <w:fldChar w:fldCharType="begin"/>
        </w:r>
        <w:r w:rsidRPr="00E2446C">
          <w:rPr>
            <w:rFonts w:ascii="Times New Roman" w:hAnsi="Times New Roman" w:cs="Times New Roman"/>
          </w:rPr>
          <w:instrText xml:space="preserve"> PAGE   \* MERGEFORMAT </w:instrText>
        </w:r>
        <w:r w:rsidRPr="00E2446C">
          <w:rPr>
            <w:rFonts w:ascii="Times New Roman" w:hAnsi="Times New Roman" w:cs="Times New Roman"/>
          </w:rPr>
          <w:fldChar w:fldCharType="separate"/>
        </w:r>
        <w:r w:rsidR="00133E2E">
          <w:rPr>
            <w:rFonts w:ascii="Times New Roman" w:hAnsi="Times New Roman" w:cs="Times New Roman"/>
            <w:noProof/>
          </w:rPr>
          <w:t>2</w:t>
        </w:r>
        <w:r w:rsidRPr="00E2446C">
          <w:rPr>
            <w:rFonts w:ascii="Times New Roman" w:hAnsi="Times New Roman" w:cs="Times New Roman"/>
            <w:noProof/>
          </w:rPr>
          <w:fldChar w:fldCharType="end"/>
        </w:r>
      </w:p>
    </w:sdtContent>
  </w:sdt>
  <w:p w:rsidR="00E2446C" w:rsidRPr="00E2446C" w:rsidRDefault="00FD4FA4">
    <w:pPr>
      <w:pStyle w:val="Footer"/>
      <w:rPr>
        <w:rFonts w:ascii="Times New Roman" w:hAnsi="Times New Roman" w:cs="Times New Roman"/>
        <w:sz w:val="16"/>
      </w:rPr>
    </w:pPr>
    <w:r>
      <w:rPr>
        <w:rFonts w:ascii="Times New Roman" w:hAnsi="Times New Roman" w:cs="Times New Roman"/>
        <w:sz w:val="16"/>
      </w:rPr>
      <w:t>#873381</w:t>
    </w:r>
    <w:r w:rsidR="00E2446C" w:rsidRPr="00E2446C">
      <w:rPr>
        <w:rFonts w:ascii="Times New Roman" w:hAnsi="Times New Roman" w:cs="Times New Roman"/>
        <w:sz w:val="16"/>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A4" w:rsidRPr="00E2446C" w:rsidRDefault="00FD4FA4" w:rsidP="00FD4FA4">
    <w:pPr>
      <w:pStyle w:val="Footer"/>
      <w:rPr>
        <w:rFonts w:ascii="Times New Roman" w:hAnsi="Times New Roman" w:cs="Times New Roman"/>
        <w:sz w:val="16"/>
      </w:rPr>
    </w:pPr>
    <w:r>
      <w:rPr>
        <w:rFonts w:ascii="Times New Roman" w:hAnsi="Times New Roman" w:cs="Times New Roman"/>
        <w:sz w:val="16"/>
      </w:rPr>
      <w:t>#873381</w:t>
    </w:r>
    <w:r w:rsidRPr="00E2446C">
      <w:rPr>
        <w:rFonts w:ascii="Times New Roman" w:hAnsi="Times New Roman" w:cs="Times New Roman"/>
        <w:sz w:val="16"/>
      </w:rPr>
      <w:t>v1</w:t>
    </w:r>
  </w:p>
  <w:p w:rsidR="00E2446C" w:rsidRDefault="00E2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6C" w:rsidRDefault="00E2446C" w:rsidP="00E2446C">
      <w:r>
        <w:separator/>
      </w:r>
    </w:p>
  </w:footnote>
  <w:footnote w:type="continuationSeparator" w:id="0">
    <w:p w:rsidR="00E2446C" w:rsidRDefault="00E2446C" w:rsidP="00E2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7AF"/>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E3AC0"/>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47061D"/>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6676DF"/>
    <w:multiLevelType w:val="hybridMultilevel"/>
    <w:tmpl w:val="501463CE"/>
    <w:lvl w:ilvl="0" w:tplc="7100766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BC7965"/>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33C5A"/>
    <w:multiLevelType w:val="hybridMultilevel"/>
    <w:tmpl w:val="501463CE"/>
    <w:lvl w:ilvl="0" w:tplc="7100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F8"/>
    <w:rsid w:val="0000010F"/>
    <w:rsid w:val="00002F16"/>
    <w:rsid w:val="0000315C"/>
    <w:rsid w:val="000568CD"/>
    <w:rsid w:val="00070000"/>
    <w:rsid w:val="00082130"/>
    <w:rsid w:val="00087CBC"/>
    <w:rsid w:val="00093321"/>
    <w:rsid w:val="000B125C"/>
    <w:rsid w:val="000D5811"/>
    <w:rsid w:val="00133E2E"/>
    <w:rsid w:val="001404A3"/>
    <w:rsid w:val="001641E2"/>
    <w:rsid w:val="001B4ACF"/>
    <w:rsid w:val="001D1A21"/>
    <w:rsid w:val="00232F86"/>
    <w:rsid w:val="00243AB9"/>
    <w:rsid w:val="00273141"/>
    <w:rsid w:val="00273F86"/>
    <w:rsid w:val="00293309"/>
    <w:rsid w:val="00294E80"/>
    <w:rsid w:val="002F24C2"/>
    <w:rsid w:val="002F57CC"/>
    <w:rsid w:val="003531C0"/>
    <w:rsid w:val="00382C5C"/>
    <w:rsid w:val="00393B5F"/>
    <w:rsid w:val="003946A1"/>
    <w:rsid w:val="003B7443"/>
    <w:rsid w:val="004316F8"/>
    <w:rsid w:val="004428D5"/>
    <w:rsid w:val="004B06EE"/>
    <w:rsid w:val="00552D97"/>
    <w:rsid w:val="00554800"/>
    <w:rsid w:val="005B6E62"/>
    <w:rsid w:val="005C2874"/>
    <w:rsid w:val="006439F2"/>
    <w:rsid w:val="00665B3F"/>
    <w:rsid w:val="006839FA"/>
    <w:rsid w:val="0071623A"/>
    <w:rsid w:val="0073668E"/>
    <w:rsid w:val="007374C4"/>
    <w:rsid w:val="00785A3D"/>
    <w:rsid w:val="007D3185"/>
    <w:rsid w:val="007E5735"/>
    <w:rsid w:val="00870CFF"/>
    <w:rsid w:val="008C519A"/>
    <w:rsid w:val="008E0F11"/>
    <w:rsid w:val="008E6AF0"/>
    <w:rsid w:val="00901EFD"/>
    <w:rsid w:val="0090314A"/>
    <w:rsid w:val="00913169"/>
    <w:rsid w:val="009E2613"/>
    <w:rsid w:val="00A16FC3"/>
    <w:rsid w:val="00A511C6"/>
    <w:rsid w:val="00A60F36"/>
    <w:rsid w:val="00B40580"/>
    <w:rsid w:val="00B50A5D"/>
    <w:rsid w:val="00B70741"/>
    <w:rsid w:val="00BB2B31"/>
    <w:rsid w:val="00BB48D3"/>
    <w:rsid w:val="00BC4B1F"/>
    <w:rsid w:val="00BE3DA8"/>
    <w:rsid w:val="00C203D5"/>
    <w:rsid w:val="00C37641"/>
    <w:rsid w:val="00C67D34"/>
    <w:rsid w:val="00CA3A98"/>
    <w:rsid w:val="00CB0EF0"/>
    <w:rsid w:val="00CE48FF"/>
    <w:rsid w:val="00D109C0"/>
    <w:rsid w:val="00D30AC7"/>
    <w:rsid w:val="00D3498F"/>
    <w:rsid w:val="00D71784"/>
    <w:rsid w:val="00D84A5E"/>
    <w:rsid w:val="00DB6E41"/>
    <w:rsid w:val="00DE40C8"/>
    <w:rsid w:val="00DF0B6B"/>
    <w:rsid w:val="00E149DC"/>
    <w:rsid w:val="00E2446C"/>
    <w:rsid w:val="00E37478"/>
    <w:rsid w:val="00E7532B"/>
    <w:rsid w:val="00F13A42"/>
    <w:rsid w:val="00F24F64"/>
    <w:rsid w:val="00F26660"/>
    <w:rsid w:val="00F515CD"/>
    <w:rsid w:val="00F621CF"/>
    <w:rsid w:val="00F70AD8"/>
    <w:rsid w:val="00FD4FA4"/>
    <w:rsid w:val="00FF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socialsecuritynumber"/>
  <w:shapeDefaults>
    <o:shapedefaults v:ext="edit" spidmax="18433"/>
    <o:shapelayout v:ext="edit">
      <o:idmap v:ext="edit" data="1"/>
    </o:shapelayout>
  </w:shapeDefaults>
  <w:decimalSymbol w:val="."/>
  <w:listSeparator w:val=","/>
  <w14:docId w14:val="382A32C2"/>
  <w15:docId w15:val="{2C8B5A23-4010-4CA8-8DCC-F4352152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16F8"/>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46C"/>
    <w:pPr>
      <w:tabs>
        <w:tab w:val="center" w:pos="4680"/>
        <w:tab w:val="right" w:pos="9360"/>
      </w:tabs>
    </w:pPr>
  </w:style>
  <w:style w:type="character" w:customStyle="1" w:styleId="HeaderChar">
    <w:name w:val="Header Char"/>
    <w:basedOn w:val="DefaultParagraphFont"/>
    <w:link w:val="Header"/>
    <w:uiPriority w:val="99"/>
    <w:rsid w:val="00E2446C"/>
    <w:rPr>
      <w:rFonts w:ascii="Arial" w:eastAsiaTheme="minorEastAsia" w:hAnsi="Arial" w:cs="Arial"/>
      <w:sz w:val="24"/>
      <w:szCs w:val="24"/>
    </w:rPr>
  </w:style>
  <w:style w:type="paragraph" w:styleId="Footer">
    <w:name w:val="footer"/>
    <w:basedOn w:val="Normal"/>
    <w:link w:val="FooterChar"/>
    <w:uiPriority w:val="99"/>
    <w:unhideWhenUsed/>
    <w:rsid w:val="00E2446C"/>
    <w:pPr>
      <w:tabs>
        <w:tab w:val="center" w:pos="4680"/>
        <w:tab w:val="right" w:pos="9360"/>
      </w:tabs>
    </w:pPr>
  </w:style>
  <w:style w:type="character" w:customStyle="1" w:styleId="FooterChar">
    <w:name w:val="Footer Char"/>
    <w:basedOn w:val="DefaultParagraphFont"/>
    <w:link w:val="Footer"/>
    <w:uiPriority w:val="99"/>
    <w:rsid w:val="00E2446C"/>
    <w:rPr>
      <w:rFonts w:ascii="Arial" w:eastAsiaTheme="minorEastAsia" w:hAnsi="Arial" w:cs="Arial"/>
      <w:sz w:val="24"/>
      <w:szCs w:val="24"/>
    </w:rPr>
  </w:style>
  <w:style w:type="paragraph" w:styleId="BodyText">
    <w:name w:val="Body Text"/>
    <w:basedOn w:val="Normal"/>
    <w:link w:val="BodyTextChar"/>
    <w:rsid w:val="00093321"/>
    <w:pPr>
      <w:widowControl/>
      <w:autoSpaceDE/>
      <w:autoSpaceDN/>
      <w:adjustRightInd/>
      <w:spacing w:line="48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3321"/>
    <w:rPr>
      <w:rFonts w:ascii="Times New Roman" w:eastAsia="Times New Roman" w:hAnsi="Times New Roman" w:cs="Times New Roman"/>
      <w:sz w:val="24"/>
      <w:szCs w:val="20"/>
    </w:rPr>
  </w:style>
  <w:style w:type="character" w:styleId="Hyperlink">
    <w:name w:val="Hyperlink"/>
    <w:rsid w:val="00093321"/>
    <w:rPr>
      <w:color w:val="0000FF"/>
      <w:u w:val="single"/>
    </w:rPr>
  </w:style>
  <w:style w:type="character" w:customStyle="1" w:styleId="Bodytext0">
    <w:name w:val="Body text_"/>
    <w:basedOn w:val="DefaultParagraphFont"/>
    <w:link w:val="BodyText1"/>
    <w:rsid w:val="00393B5F"/>
    <w:rPr>
      <w:rFonts w:ascii="Times New Roman" w:eastAsia="Times New Roman" w:hAnsi="Times New Roman" w:cs="Times New Roman"/>
      <w:shd w:val="clear" w:color="auto" w:fill="FFFFFF"/>
    </w:rPr>
  </w:style>
  <w:style w:type="paragraph" w:customStyle="1" w:styleId="BodyText1">
    <w:name w:val="Body Text1"/>
    <w:basedOn w:val="Normal"/>
    <w:link w:val="Bodytext0"/>
    <w:rsid w:val="00393B5F"/>
    <w:pPr>
      <w:shd w:val="clear" w:color="auto" w:fill="FFFFFF"/>
      <w:autoSpaceDE/>
      <w:autoSpaceDN/>
      <w:adjustRightInd/>
      <w:spacing w:after="240" w:line="277" w:lineRule="exact"/>
      <w:jc w:val="both"/>
    </w:pPr>
    <w:rPr>
      <w:rFonts w:ascii="Times New Roman" w:eastAsia="Times New Roman" w:hAnsi="Times New Roman" w:cs="Times New Roman"/>
      <w:sz w:val="22"/>
      <w:szCs w:val="22"/>
    </w:rPr>
  </w:style>
  <w:style w:type="character" w:customStyle="1" w:styleId="BodytextItalic">
    <w:name w:val="Body text + Italic"/>
    <w:basedOn w:val="Bodytext0"/>
    <w:rsid w:val="00393B5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2">
    <w:name w:val="Body text (2)_"/>
    <w:basedOn w:val="DefaultParagraphFont"/>
    <w:link w:val="Bodytext20"/>
    <w:rsid w:val="00393B5F"/>
    <w:rPr>
      <w:rFonts w:ascii="MS Gothic" w:eastAsia="MS Gothic" w:hAnsi="MS Gothic" w:cs="MS Gothic"/>
      <w:sz w:val="17"/>
      <w:szCs w:val="17"/>
      <w:shd w:val="clear" w:color="auto" w:fill="FFFFFF"/>
    </w:rPr>
  </w:style>
  <w:style w:type="paragraph" w:customStyle="1" w:styleId="Bodytext20">
    <w:name w:val="Body text (2)"/>
    <w:basedOn w:val="Normal"/>
    <w:link w:val="Bodytext2"/>
    <w:rsid w:val="00393B5F"/>
    <w:pPr>
      <w:shd w:val="clear" w:color="auto" w:fill="FFFFFF"/>
      <w:autoSpaceDE/>
      <w:autoSpaceDN/>
      <w:adjustRightInd/>
      <w:spacing w:before="180" w:after="360" w:line="0" w:lineRule="atLeast"/>
      <w:jc w:val="center"/>
    </w:pPr>
    <w:rPr>
      <w:rFonts w:ascii="MS Gothic" w:eastAsia="MS Gothic" w:hAnsi="MS Gothic" w:cs="MS Gothic"/>
      <w:sz w:val="17"/>
      <w:szCs w:val="17"/>
    </w:rPr>
  </w:style>
  <w:style w:type="paragraph" w:styleId="BalloonText">
    <w:name w:val="Balloon Text"/>
    <w:basedOn w:val="Normal"/>
    <w:link w:val="BalloonTextChar"/>
    <w:uiPriority w:val="99"/>
    <w:semiHidden/>
    <w:unhideWhenUsed/>
    <w:rsid w:val="0013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adams@baileycavalier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riedman@mayerbr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2753@att.com" TargetMode="External"/><Relationship Id="rId4" Type="http://schemas.openxmlformats.org/officeDocument/2006/relationships/settings" Target="settings.xml"/><Relationship Id="rId9" Type="http://schemas.openxmlformats.org/officeDocument/2006/relationships/hyperlink" Target="mailto:william.adams@baileycavalier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155D-A216-4340-9A35-EBB8FF97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Gerber</dc:creator>
  <cp:keywords/>
  <dc:description/>
  <cp:lastModifiedBy>Sherry Gerber</cp:lastModifiedBy>
  <cp:revision>2</cp:revision>
  <cp:lastPrinted>2016-06-28T13:03:00Z</cp:lastPrinted>
  <dcterms:created xsi:type="dcterms:W3CDTF">2016-06-28T13:03:00Z</dcterms:created>
  <dcterms:modified xsi:type="dcterms:W3CDTF">2016-06-28T13:03:00Z</dcterms:modified>
</cp:coreProperties>
</file>