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62" w:rsidRPr="00795574" w:rsidRDefault="001A7562" w:rsidP="001A7562">
      <w:pPr>
        <w:spacing w:after="0" w:line="240" w:lineRule="auto"/>
        <w:jc w:val="center"/>
        <w:rPr>
          <w:rFonts w:ascii="Times New Roman" w:hAnsi="Times New Roman"/>
          <w:bCs/>
          <w:sz w:val="24"/>
          <w:szCs w:val="24"/>
        </w:rPr>
      </w:pPr>
      <w:r w:rsidRPr="00795574">
        <w:rPr>
          <w:rFonts w:ascii="Times New Roman" w:hAnsi="Times New Roman"/>
          <w:bCs/>
          <w:sz w:val="24"/>
          <w:szCs w:val="24"/>
        </w:rPr>
        <w:t xml:space="preserve">BEFORE </w:t>
      </w:r>
    </w:p>
    <w:p w:rsidR="001A7562" w:rsidRPr="00795574" w:rsidRDefault="001A7562" w:rsidP="001A7562">
      <w:pPr>
        <w:spacing w:after="0" w:line="240" w:lineRule="auto"/>
        <w:jc w:val="center"/>
        <w:rPr>
          <w:rFonts w:ascii="Times New Roman" w:hAnsi="Times New Roman"/>
          <w:bCs/>
          <w:sz w:val="24"/>
          <w:szCs w:val="24"/>
        </w:rPr>
      </w:pPr>
      <w:r w:rsidRPr="00795574">
        <w:rPr>
          <w:rFonts w:ascii="Times New Roman" w:hAnsi="Times New Roman"/>
          <w:bCs/>
          <w:sz w:val="24"/>
          <w:szCs w:val="24"/>
        </w:rPr>
        <w:t>THE PUBLIC UTILITIES COMMISSION OF OHIO</w:t>
      </w:r>
    </w:p>
    <w:p w:rsidR="001A7562" w:rsidRPr="00795574" w:rsidRDefault="001A7562" w:rsidP="001A7562">
      <w:pPr>
        <w:spacing w:after="0" w:line="240" w:lineRule="auto"/>
        <w:rPr>
          <w:rFonts w:ascii="Times New Roman" w:hAnsi="Times New Roman"/>
          <w:bCs/>
          <w:sz w:val="24"/>
          <w:szCs w:val="24"/>
        </w:rPr>
      </w:pPr>
    </w:p>
    <w:p w:rsidR="001A7562" w:rsidRPr="00795574" w:rsidRDefault="001A7562" w:rsidP="001A7562">
      <w:pPr>
        <w:spacing w:after="0" w:line="240" w:lineRule="auto"/>
        <w:rPr>
          <w:rFonts w:ascii="Times New Roman" w:hAnsi="Times New Roman"/>
          <w:bCs/>
          <w:sz w:val="24"/>
          <w:szCs w:val="24"/>
        </w:rPr>
      </w:pPr>
      <w:r w:rsidRPr="00795574">
        <w:rPr>
          <w:rFonts w:ascii="Times New Roman" w:hAnsi="Times New Roman"/>
          <w:bCs/>
          <w:sz w:val="24"/>
          <w:szCs w:val="24"/>
        </w:rPr>
        <w:t xml:space="preserve">In the Matter of the Joint Motion to Modify the </w:t>
      </w:r>
      <w:r w:rsidRPr="00795574">
        <w:rPr>
          <w:rFonts w:ascii="Times New Roman" w:hAnsi="Times New Roman"/>
          <w:bCs/>
          <w:sz w:val="24"/>
          <w:szCs w:val="24"/>
        </w:rPr>
        <w:tab/>
      </w:r>
      <w:r w:rsidRPr="00795574">
        <w:rPr>
          <w:rFonts w:ascii="Times New Roman" w:hAnsi="Times New Roman"/>
          <w:bCs/>
          <w:sz w:val="24"/>
          <w:szCs w:val="24"/>
        </w:rPr>
        <w:tab/>
        <w:t>)</w:t>
      </w:r>
    </w:p>
    <w:p w:rsidR="001A7562" w:rsidRPr="00795574" w:rsidRDefault="001A7562" w:rsidP="001A7562">
      <w:pPr>
        <w:spacing w:after="0" w:line="240" w:lineRule="auto"/>
        <w:rPr>
          <w:rFonts w:ascii="Times New Roman" w:hAnsi="Times New Roman"/>
          <w:bCs/>
          <w:sz w:val="24"/>
          <w:szCs w:val="24"/>
        </w:rPr>
      </w:pPr>
      <w:r w:rsidRPr="00795574">
        <w:rPr>
          <w:rFonts w:ascii="Times New Roman" w:hAnsi="Times New Roman"/>
          <w:bCs/>
          <w:sz w:val="24"/>
          <w:szCs w:val="24"/>
        </w:rPr>
        <w:t xml:space="preserve">December 2, 2009 Opinion and Order and the </w:t>
      </w:r>
      <w:r w:rsidRPr="00795574">
        <w:rPr>
          <w:rFonts w:ascii="Times New Roman" w:hAnsi="Times New Roman"/>
          <w:bCs/>
          <w:sz w:val="24"/>
          <w:szCs w:val="24"/>
        </w:rPr>
        <w:tab/>
      </w:r>
      <w:r w:rsidRPr="00795574">
        <w:rPr>
          <w:rFonts w:ascii="Times New Roman" w:hAnsi="Times New Roman"/>
          <w:bCs/>
          <w:sz w:val="24"/>
          <w:szCs w:val="24"/>
        </w:rPr>
        <w:tab/>
        <w:t>)     Case No. 12-2637-GA-EXM</w:t>
      </w:r>
    </w:p>
    <w:p w:rsidR="001A7562" w:rsidRPr="00795574" w:rsidRDefault="001A7562" w:rsidP="001A7562">
      <w:pPr>
        <w:spacing w:after="0" w:line="240" w:lineRule="auto"/>
        <w:rPr>
          <w:rFonts w:ascii="Times New Roman" w:hAnsi="Times New Roman"/>
          <w:bCs/>
          <w:sz w:val="24"/>
          <w:szCs w:val="24"/>
        </w:rPr>
      </w:pPr>
      <w:r w:rsidRPr="00795574">
        <w:rPr>
          <w:rFonts w:ascii="Times New Roman" w:hAnsi="Times New Roman"/>
          <w:bCs/>
          <w:sz w:val="24"/>
          <w:szCs w:val="24"/>
        </w:rPr>
        <w:t>September 7, 2011 Second Opinion and Order in</w:t>
      </w:r>
      <w:r w:rsidRPr="00795574">
        <w:rPr>
          <w:rFonts w:ascii="Times New Roman" w:hAnsi="Times New Roman"/>
          <w:bCs/>
          <w:sz w:val="24"/>
          <w:szCs w:val="24"/>
        </w:rPr>
        <w:tab/>
      </w:r>
      <w:r w:rsidRPr="00795574">
        <w:rPr>
          <w:rFonts w:ascii="Times New Roman" w:hAnsi="Times New Roman"/>
          <w:bCs/>
          <w:sz w:val="24"/>
          <w:szCs w:val="24"/>
        </w:rPr>
        <w:tab/>
        <w:t>)</w:t>
      </w:r>
    </w:p>
    <w:p w:rsidR="001A7562" w:rsidRPr="00795574" w:rsidRDefault="001A7562" w:rsidP="001A7562">
      <w:pPr>
        <w:spacing w:after="0" w:line="240" w:lineRule="auto"/>
        <w:rPr>
          <w:rFonts w:ascii="Times New Roman" w:hAnsi="Times New Roman"/>
          <w:sz w:val="24"/>
          <w:szCs w:val="24"/>
        </w:rPr>
      </w:pPr>
      <w:r w:rsidRPr="00795574">
        <w:rPr>
          <w:rFonts w:ascii="Times New Roman" w:hAnsi="Times New Roman"/>
          <w:sz w:val="24"/>
          <w:szCs w:val="24"/>
        </w:rPr>
        <w:t>Case No. 08-1344-GA-EXM</w:t>
      </w:r>
      <w:r>
        <w:rPr>
          <w:rFonts w:ascii="Times New Roman" w:hAnsi="Times New Roman"/>
          <w:sz w:val="24"/>
          <w:szCs w:val="24"/>
        </w:rPr>
        <w:t>.</w:t>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t>)</w:t>
      </w:r>
    </w:p>
    <w:p w:rsidR="001A7562" w:rsidRPr="00FE4225" w:rsidRDefault="001A7562" w:rsidP="001A7562">
      <w:pPr>
        <w:spacing w:after="0" w:line="240" w:lineRule="auto"/>
        <w:rPr>
          <w:rFonts w:ascii="Times New Roman" w:hAnsi="Times New Roman"/>
          <w:b/>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rsidP="001A7562">
      <w:pPr>
        <w:spacing w:after="0"/>
        <w:rPr>
          <w:rFonts w:ascii="Times New Roman" w:hAnsi="Times New Roman"/>
          <w:b/>
          <w:sz w:val="24"/>
          <w:szCs w:val="24"/>
        </w:rPr>
      </w:pPr>
    </w:p>
    <w:p w:rsidR="009A35CB" w:rsidRDefault="001A7562" w:rsidP="001A7562">
      <w:pPr>
        <w:spacing w:after="0"/>
        <w:jc w:val="center"/>
        <w:rPr>
          <w:rFonts w:ascii="Times New Roman" w:hAnsi="Times New Roman"/>
          <w:b/>
          <w:sz w:val="24"/>
          <w:szCs w:val="24"/>
        </w:rPr>
      </w:pPr>
      <w:r>
        <w:rPr>
          <w:rFonts w:ascii="Times New Roman" w:hAnsi="Times New Roman"/>
          <w:b/>
          <w:sz w:val="24"/>
          <w:szCs w:val="24"/>
        </w:rPr>
        <w:t xml:space="preserve">HESS CORPORATION’S </w:t>
      </w:r>
    </w:p>
    <w:p w:rsidR="001A7562" w:rsidRDefault="009A35CB" w:rsidP="001A7562">
      <w:pPr>
        <w:spacing w:after="0"/>
        <w:jc w:val="center"/>
        <w:rPr>
          <w:rFonts w:ascii="Times New Roman" w:hAnsi="Times New Roman"/>
          <w:b/>
          <w:sz w:val="24"/>
          <w:szCs w:val="24"/>
        </w:rPr>
      </w:pPr>
      <w:r>
        <w:rPr>
          <w:rFonts w:ascii="Times New Roman" w:hAnsi="Times New Roman"/>
          <w:b/>
          <w:sz w:val="24"/>
          <w:szCs w:val="24"/>
        </w:rPr>
        <w:t xml:space="preserve">MEMORANDUM CONTRA </w:t>
      </w:r>
      <w:r w:rsidR="003A649E">
        <w:rPr>
          <w:rFonts w:ascii="Times New Roman" w:hAnsi="Times New Roman"/>
          <w:b/>
          <w:sz w:val="24"/>
          <w:szCs w:val="24"/>
        </w:rPr>
        <w:t xml:space="preserve">THE </w:t>
      </w:r>
      <w:r w:rsidR="001A7562">
        <w:rPr>
          <w:rFonts w:ascii="Times New Roman" w:hAnsi="Times New Roman"/>
          <w:b/>
          <w:sz w:val="24"/>
          <w:szCs w:val="24"/>
        </w:rPr>
        <w:t>APPLICATION</w:t>
      </w:r>
      <w:r>
        <w:rPr>
          <w:rFonts w:ascii="Times New Roman" w:hAnsi="Times New Roman"/>
          <w:b/>
          <w:sz w:val="24"/>
          <w:szCs w:val="24"/>
        </w:rPr>
        <w:t>S</w:t>
      </w:r>
      <w:r w:rsidR="001A7562">
        <w:rPr>
          <w:rFonts w:ascii="Times New Roman" w:hAnsi="Times New Roman"/>
          <w:b/>
          <w:sz w:val="24"/>
          <w:szCs w:val="24"/>
        </w:rPr>
        <w:t xml:space="preserve"> FOR REHEARING</w:t>
      </w:r>
      <w:r w:rsidR="003A649E">
        <w:rPr>
          <w:rFonts w:ascii="Times New Roman" w:hAnsi="Times New Roman"/>
          <w:b/>
          <w:sz w:val="24"/>
          <w:szCs w:val="24"/>
        </w:rPr>
        <w:t xml:space="preserve"> OF</w:t>
      </w:r>
    </w:p>
    <w:p w:rsidR="003A649E" w:rsidRDefault="003A649E" w:rsidP="001A7562">
      <w:pPr>
        <w:spacing w:after="0"/>
        <w:jc w:val="center"/>
        <w:rPr>
          <w:rFonts w:ascii="Times New Roman" w:hAnsi="Times New Roman"/>
          <w:b/>
          <w:sz w:val="24"/>
          <w:szCs w:val="24"/>
        </w:rPr>
      </w:pPr>
      <w:r>
        <w:rPr>
          <w:rFonts w:ascii="Times New Roman" w:hAnsi="Times New Roman"/>
          <w:b/>
          <w:sz w:val="24"/>
          <w:szCs w:val="24"/>
        </w:rPr>
        <w:t>DOMINION RETAIL, INC., AND</w:t>
      </w:r>
    </w:p>
    <w:p w:rsidR="003A649E" w:rsidRDefault="003A649E" w:rsidP="001A7562">
      <w:pPr>
        <w:spacing w:after="0"/>
        <w:jc w:val="center"/>
        <w:rPr>
          <w:rFonts w:ascii="Times New Roman" w:hAnsi="Times New Roman"/>
          <w:b/>
          <w:sz w:val="24"/>
          <w:szCs w:val="24"/>
        </w:rPr>
      </w:pPr>
      <w:proofErr w:type="gramStart"/>
      <w:r>
        <w:rPr>
          <w:rFonts w:ascii="Times New Roman" w:hAnsi="Times New Roman"/>
          <w:b/>
          <w:sz w:val="24"/>
          <w:szCs w:val="24"/>
        </w:rPr>
        <w:t>THE OHIO GAS MARKETERS GROUP/RETAIL ENERGY SUPPLY ASSOCIATION/COLUMBIA G</w:t>
      </w:r>
      <w:r w:rsidR="00B10A7E">
        <w:rPr>
          <w:rFonts w:ascii="Times New Roman" w:hAnsi="Times New Roman"/>
          <w:b/>
          <w:sz w:val="24"/>
          <w:szCs w:val="24"/>
        </w:rPr>
        <w:t>A</w:t>
      </w:r>
      <w:r>
        <w:rPr>
          <w:rFonts w:ascii="Times New Roman" w:hAnsi="Times New Roman"/>
          <w:b/>
          <w:sz w:val="24"/>
          <w:szCs w:val="24"/>
        </w:rPr>
        <w:t>S OF OHIO, INC.</w:t>
      </w:r>
      <w:proofErr w:type="gramEnd"/>
    </w:p>
    <w:p w:rsidR="001A7562" w:rsidRDefault="001A7562" w:rsidP="001A7562">
      <w:pPr>
        <w:pBdr>
          <w:bottom w:val="single" w:sz="12" w:space="1" w:color="auto"/>
        </w:pBdr>
        <w:spacing w:after="0" w:line="240" w:lineRule="auto"/>
        <w:rPr>
          <w:rFonts w:ascii="Times New Roman" w:hAnsi="Times New Roman"/>
          <w:sz w:val="24"/>
          <w:szCs w:val="24"/>
        </w:rPr>
      </w:pPr>
    </w:p>
    <w:p w:rsidR="001A7562" w:rsidRDefault="001A7562">
      <w:pPr>
        <w:rPr>
          <w:rFonts w:ascii="Times New Roman" w:hAnsi="Times New Roman"/>
          <w:bCs/>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Default="001A7562" w:rsidP="001A7562">
      <w:pPr>
        <w:tabs>
          <w:tab w:val="left" w:pos="342"/>
        </w:tabs>
        <w:spacing w:after="0" w:line="240" w:lineRule="auto"/>
        <w:ind w:left="4770" w:right="-360"/>
        <w:rPr>
          <w:rFonts w:ascii="Times New Roman" w:hAnsi="Times New Roman" w:cs="Times New Roman"/>
          <w:sz w:val="24"/>
          <w:szCs w:val="24"/>
        </w:rPr>
      </w:pPr>
    </w:p>
    <w:p w:rsidR="001A7562" w:rsidRPr="009F051D" w:rsidRDefault="001023BA" w:rsidP="001A7562">
      <w:pPr>
        <w:tabs>
          <w:tab w:val="left" w:pos="342"/>
        </w:tabs>
        <w:spacing w:after="0" w:line="240" w:lineRule="auto"/>
        <w:ind w:left="4770" w:right="-360"/>
        <w:rPr>
          <w:rFonts w:ascii="Times New Roman" w:hAnsi="Times New Roman" w:cs="Times New Roman"/>
          <w:sz w:val="24"/>
          <w:szCs w:val="24"/>
        </w:rPr>
      </w:pPr>
      <w:r>
        <w:rPr>
          <w:rFonts w:ascii="Times New Roman" w:hAnsi="Times New Roman" w:cs="Times New Roman"/>
          <w:sz w:val="24"/>
          <w:szCs w:val="24"/>
        </w:rPr>
        <w:t>Dane Stinson</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BAILEY CAVALIERI LLC</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10 West Broad Street, Suite 2100</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Columbus, Ohio 43215</w:t>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221-3155 (telephone)</w:t>
      </w:r>
      <w:r w:rsidRPr="009F051D">
        <w:rPr>
          <w:rFonts w:ascii="Times New Roman" w:hAnsi="Times New Roman" w:cs="Times New Roman"/>
          <w:sz w:val="24"/>
          <w:szCs w:val="24"/>
        </w:rPr>
        <w:tab/>
      </w:r>
    </w:p>
    <w:p w:rsidR="001A7562" w:rsidRPr="009F051D" w:rsidRDefault="001A7562" w:rsidP="001A7562">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221-0479 (fax)</w:t>
      </w:r>
    </w:p>
    <w:p w:rsidR="001A7562" w:rsidRPr="009F051D" w:rsidRDefault="001A7562" w:rsidP="001A7562">
      <w:pPr>
        <w:pStyle w:val="TxBrp12"/>
        <w:spacing w:line="240" w:lineRule="auto"/>
        <w:ind w:left="4766" w:right="-360" w:firstLine="0"/>
      </w:pPr>
      <w:r w:rsidRPr="009F051D">
        <w:t>Dane.Stinson@BaileyCavalieri.com</w:t>
      </w:r>
    </w:p>
    <w:p w:rsidR="001A7562" w:rsidRDefault="001A7562" w:rsidP="001A7562">
      <w:pPr>
        <w:pStyle w:val="BodyText"/>
        <w:spacing w:before="120" w:after="0"/>
        <w:ind w:left="4766" w:right="-360" w:firstLine="0"/>
        <w:rPr>
          <w:szCs w:val="24"/>
        </w:rPr>
      </w:pPr>
      <w:r w:rsidRPr="009F051D">
        <w:rPr>
          <w:szCs w:val="24"/>
        </w:rPr>
        <w:t>Attorney for Hess Corporation</w:t>
      </w:r>
    </w:p>
    <w:p w:rsidR="00E145D6" w:rsidRDefault="00E145D6">
      <w:pPr>
        <w:rPr>
          <w:rFonts w:ascii="Times New Roman" w:hAnsi="Times New Roman"/>
          <w:bCs/>
          <w:sz w:val="24"/>
          <w:szCs w:val="24"/>
        </w:rPr>
        <w:sectPr w:rsidR="00E145D6" w:rsidSect="00B10A7E">
          <w:footerReference w:type="even" r:id="rId8"/>
          <w:footerReference w:type="default" r:id="rId9"/>
          <w:headerReference w:type="first" r:id="rId10"/>
          <w:footerReference w:type="first" r:id="rId11"/>
          <w:pgSz w:w="12240" w:h="15840"/>
          <w:pgMar w:top="1440" w:right="1530" w:bottom="1440" w:left="1440" w:header="720" w:footer="720" w:gutter="0"/>
          <w:cols w:space="720"/>
          <w:titlePg/>
          <w:docGrid w:linePitch="360"/>
        </w:sectPr>
      </w:pPr>
    </w:p>
    <w:p w:rsidR="00C77DCF" w:rsidRPr="00795574" w:rsidRDefault="00C77DCF" w:rsidP="00C77DCF">
      <w:pPr>
        <w:spacing w:after="0" w:line="240" w:lineRule="auto"/>
        <w:jc w:val="center"/>
        <w:rPr>
          <w:rFonts w:ascii="Times New Roman" w:hAnsi="Times New Roman"/>
          <w:bCs/>
          <w:sz w:val="24"/>
          <w:szCs w:val="24"/>
        </w:rPr>
      </w:pPr>
      <w:r w:rsidRPr="00795574">
        <w:rPr>
          <w:rFonts w:ascii="Times New Roman" w:hAnsi="Times New Roman"/>
          <w:bCs/>
          <w:sz w:val="24"/>
          <w:szCs w:val="24"/>
        </w:rPr>
        <w:lastRenderedPageBreak/>
        <w:t xml:space="preserve">BEFORE </w:t>
      </w:r>
    </w:p>
    <w:p w:rsidR="00C77DCF" w:rsidRPr="00795574" w:rsidRDefault="00C77DCF" w:rsidP="00C77DCF">
      <w:pPr>
        <w:spacing w:after="0" w:line="240" w:lineRule="auto"/>
        <w:jc w:val="center"/>
        <w:rPr>
          <w:rFonts w:ascii="Times New Roman" w:hAnsi="Times New Roman"/>
          <w:bCs/>
          <w:sz w:val="24"/>
          <w:szCs w:val="24"/>
        </w:rPr>
      </w:pPr>
      <w:r w:rsidRPr="00795574">
        <w:rPr>
          <w:rFonts w:ascii="Times New Roman" w:hAnsi="Times New Roman"/>
          <w:bCs/>
          <w:sz w:val="24"/>
          <w:szCs w:val="24"/>
        </w:rPr>
        <w:t>THE PUBLIC UTILITIES COMMISSION OF OHIO</w:t>
      </w:r>
    </w:p>
    <w:p w:rsidR="00C77DCF" w:rsidRPr="00795574" w:rsidRDefault="00C77DCF" w:rsidP="00C77DCF">
      <w:pPr>
        <w:spacing w:after="0" w:line="240" w:lineRule="auto"/>
        <w:rPr>
          <w:rFonts w:ascii="Times New Roman" w:hAnsi="Times New Roman"/>
          <w:bCs/>
          <w:sz w:val="24"/>
          <w:szCs w:val="24"/>
        </w:rPr>
      </w:pPr>
    </w:p>
    <w:p w:rsidR="00C77DCF" w:rsidRPr="00795574" w:rsidRDefault="00C77DCF" w:rsidP="00C77DCF">
      <w:pPr>
        <w:spacing w:after="0" w:line="240" w:lineRule="auto"/>
        <w:rPr>
          <w:rFonts w:ascii="Times New Roman" w:hAnsi="Times New Roman"/>
          <w:bCs/>
          <w:sz w:val="24"/>
          <w:szCs w:val="24"/>
        </w:rPr>
      </w:pPr>
      <w:r w:rsidRPr="00795574">
        <w:rPr>
          <w:rFonts w:ascii="Times New Roman" w:hAnsi="Times New Roman"/>
          <w:bCs/>
          <w:sz w:val="24"/>
          <w:szCs w:val="24"/>
        </w:rPr>
        <w:t xml:space="preserve">In the Matter of the Joint Motion to Modify the </w:t>
      </w:r>
      <w:r w:rsidRPr="00795574">
        <w:rPr>
          <w:rFonts w:ascii="Times New Roman" w:hAnsi="Times New Roman"/>
          <w:bCs/>
          <w:sz w:val="24"/>
          <w:szCs w:val="24"/>
        </w:rPr>
        <w:tab/>
      </w:r>
      <w:r w:rsidRPr="00795574">
        <w:rPr>
          <w:rFonts w:ascii="Times New Roman" w:hAnsi="Times New Roman"/>
          <w:bCs/>
          <w:sz w:val="24"/>
          <w:szCs w:val="24"/>
        </w:rPr>
        <w:tab/>
        <w:t>)</w:t>
      </w:r>
    </w:p>
    <w:p w:rsidR="00C77DCF" w:rsidRPr="00795574" w:rsidRDefault="00C77DCF" w:rsidP="00C77DCF">
      <w:pPr>
        <w:spacing w:after="0" w:line="240" w:lineRule="auto"/>
        <w:rPr>
          <w:rFonts w:ascii="Times New Roman" w:hAnsi="Times New Roman"/>
          <w:bCs/>
          <w:sz w:val="24"/>
          <w:szCs w:val="24"/>
        </w:rPr>
      </w:pPr>
      <w:r w:rsidRPr="00795574">
        <w:rPr>
          <w:rFonts w:ascii="Times New Roman" w:hAnsi="Times New Roman"/>
          <w:bCs/>
          <w:sz w:val="24"/>
          <w:szCs w:val="24"/>
        </w:rPr>
        <w:t xml:space="preserve">December 2, 2009 Opinion and Order and the </w:t>
      </w:r>
      <w:r w:rsidRPr="00795574">
        <w:rPr>
          <w:rFonts w:ascii="Times New Roman" w:hAnsi="Times New Roman"/>
          <w:bCs/>
          <w:sz w:val="24"/>
          <w:szCs w:val="24"/>
        </w:rPr>
        <w:tab/>
      </w:r>
      <w:r w:rsidRPr="00795574">
        <w:rPr>
          <w:rFonts w:ascii="Times New Roman" w:hAnsi="Times New Roman"/>
          <w:bCs/>
          <w:sz w:val="24"/>
          <w:szCs w:val="24"/>
        </w:rPr>
        <w:tab/>
        <w:t>)     Case No. 12-2637-GA-EXM</w:t>
      </w:r>
    </w:p>
    <w:p w:rsidR="00C77DCF" w:rsidRPr="00795574" w:rsidRDefault="00C77DCF" w:rsidP="00C77DCF">
      <w:pPr>
        <w:spacing w:after="0" w:line="240" w:lineRule="auto"/>
        <w:rPr>
          <w:rFonts w:ascii="Times New Roman" w:hAnsi="Times New Roman"/>
          <w:bCs/>
          <w:sz w:val="24"/>
          <w:szCs w:val="24"/>
        </w:rPr>
      </w:pPr>
      <w:r w:rsidRPr="00795574">
        <w:rPr>
          <w:rFonts w:ascii="Times New Roman" w:hAnsi="Times New Roman"/>
          <w:bCs/>
          <w:sz w:val="24"/>
          <w:szCs w:val="24"/>
        </w:rPr>
        <w:t>September 7, 2011 Second Opinion and Order in</w:t>
      </w:r>
      <w:r w:rsidRPr="00795574">
        <w:rPr>
          <w:rFonts w:ascii="Times New Roman" w:hAnsi="Times New Roman"/>
          <w:bCs/>
          <w:sz w:val="24"/>
          <w:szCs w:val="24"/>
        </w:rPr>
        <w:tab/>
      </w:r>
      <w:r w:rsidRPr="00795574">
        <w:rPr>
          <w:rFonts w:ascii="Times New Roman" w:hAnsi="Times New Roman"/>
          <w:bCs/>
          <w:sz w:val="24"/>
          <w:szCs w:val="24"/>
        </w:rPr>
        <w:tab/>
        <w:t>)</w:t>
      </w:r>
    </w:p>
    <w:p w:rsidR="00C77DCF" w:rsidRPr="00795574" w:rsidRDefault="00C77DCF" w:rsidP="00C77DCF">
      <w:pPr>
        <w:spacing w:after="0" w:line="240" w:lineRule="auto"/>
        <w:rPr>
          <w:rFonts w:ascii="Times New Roman" w:hAnsi="Times New Roman"/>
          <w:sz w:val="24"/>
          <w:szCs w:val="24"/>
        </w:rPr>
      </w:pPr>
      <w:r w:rsidRPr="00795574">
        <w:rPr>
          <w:rFonts w:ascii="Times New Roman" w:hAnsi="Times New Roman"/>
          <w:sz w:val="24"/>
          <w:szCs w:val="24"/>
        </w:rPr>
        <w:t>Case No. 08-1344-GA-EXM</w:t>
      </w:r>
      <w:r w:rsidR="001023BA">
        <w:rPr>
          <w:rFonts w:ascii="Times New Roman" w:hAnsi="Times New Roman"/>
          <w:sz w:val="24"/>
          <w:szCs w:val="24"/>
        </w:rPr>
        <w:t>.</w:t>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r>
      <w:r w:rsidRPr="00795574">
        <w:rPr>
          <w:rFonts w:ascii="Times New Roman" w:hAnsi="Times New Roman"/>
          <w:sz w:val="24"/>
          <w:szCs w:val="24"/>
        </w:rPr>
        <w:tab/>
        <w:t>)</w:t>
      </w:r>
    </w:p>
    <w:p w:rsidR="00795574" w:rsidRPr="00FE4225" w:rsidRDefault="00795574" w:rsidP="00C77DCF">
      <w:pPr>
        <w:spacing w:after="0" w:line="240" w:lineRule="auto"/>
        <w:rPr>
          <w:rFonts w:ascii="Times New Roman" w:hAnsi="Times New Roman"/>
          <w:b/>
          <w:sz w:val="24"/>
          <w:szCs w:val="24"/>
        </w:rPr>
      </w:pPr>
    </w:p>
    <w:p w:rsidR="00C77DCF" w:rsidRDefault="00C77DCF" w:rsidP="00C77DCF">
      <w:pPr>
        <w:pBdr>
          <w:bottom w:val="single" w:sz="12" w:space="1" w:color="auto"/>
        </w:pBdr>
        <w:spacing w:after="0" w:line="240" w:lineRule="auto"/>
        <w:rPr>
          <w:rFonts w:ascii="Times New Roman" w:hAnsi="Times New Roman"/>
          <w:sz w:val="24"/>
          <w:szCs w:val="24"/>
        </w:rPr>
      </w:pPr>
    </w:p>
    <w:p w:rsidR="00795574" w:rsidRDefault="00795574" w:rsidP="00795574">
      <w:pPr>
        <w:spacing w:after="0"/>
        <w:rPr>
          <w:rFonts w:ascii="Times New Roman" w:hAnsi="Times New Roman"/>
          <w:b/>
          <w:sz w:val="24"/>
          <w:szCs w:val="24"/>
        </w:rPr>
      </w:pPr>
    </w:p>
    <w:p w:rsidR="009A35CB" w:rsidRDefault="00795574" w:rsidP="00E41FAB">
      <w:pPr>
        <w:spacing w:after="0"/>
        <w:jc w:val="center"/>
        <w:rPr>
          <w:rFonts w:ascii="Times New Roman" w:hAnsi="Times New Roman"/>
          <w:b/>
          <w:sz w:val="24"/>
          <w:szCs w:val="24"/>
        </w:rPr>
      </w:pPr>
      <w:r>
        <w:rPr>
          <w:rFonts w:ascii="Times New Roman" w:hAnsi="Times New Roman"/>
          <w:b/>
          <w:sz w:val="24"/>
          <w:szCs w:val="24"/>
        </w:rPr>
        <w:t>H</w:t>
      </w:r>
      <w:r w:rsidR="00E41FAB">
        <w:rPr>
          <w:rFonts w:ascii="Times New Roman" w:hAnsi="Times New Roman"/>
          <w:b/>
          <w:sz w:val="24"/>
          <w:szCs w:val="24"/>
        </w:rPr>
        <w:t xml:space="preserve">ESS CORPORATION’S </w:t>
      </w:r>
    </w:p>
    <w:p w:rsidR="003A649E" w:rsidRDefault="009A35CB" w:rsidP="003A649E">
      <w:pPr>
        <w:spacing w:after="0"/>
        <w:jc w:val="center"/>
        <w:rPr>
          <w:rFonts w:ascii="Times New Roman" w:hAnsi="Times New Roman"/>
          <w:b/>
          <w:sz w:val="24"/>
          <w:szCs w:val="24"/>
        </w:rPr>
      </w:pPr>
      <w:r>
        <w:rPr>
          <w:rFonts w:ascii="Times New Roman" w:hAnsi="Times New Roman"/>
          <w:b/>
          <w:sz w:val="24"/>
          <w:szCs w:val="24"/>
        </w:rPr>
        <w:t xml:space="preserve">MEMORANDUM CONTRA </w:t>
      </w:r>
      <w:r w:rsidR="00E41FAB">
        <w:rPr>
          <w:rFonts w:ascii="Times New Roman" w:hAnsi="Times New Roman"/>
          <w:b/>
          <w:sz w:val="24"/>
          <w:szCs w:val="24"/>
        </w:rPr>
        <w:t>APPLICATION</w:t>
      </w:r>
      <w:r>
        <w:rPr>
          <w:rFonts w:ascii="Times New Roman" w:hAnsi="Times New Roman"/>
          <w:b/>
          <w:sz w:val="24"/>
          <w:szCs w:val="24"/>
        </w:rPr>
        <w:t>S</w:t>
      </w:r>
      <w:r w:rsidR="00E41FAB">
        <w:rPr>
          <w:rFonts w:ascii="Times New Roman" w:hAnsi="Times New Roman"/>
          <w:b/>
          <w:sz w:val="24"/>
          <w:szCs w:val="24"/>
        </w:rPr>
        <w:t xml:space="preserve"> FOR REHEARING</w:t>
      </w:r>
      <w:r w:rsidR="003A649E" w:rsidRPr="003A649E">
        <w:rPr>
          <w:rFonts w:ascii="Times New Roman" w:hAnsi="Times New Roman"/>
          <w:b/>
          <w:sz w:val="24"/>
          <w:szCs w:val="24"/>
        </w:rPr>
        <w:t xml:space="preserve"> </w:t>
      </w:r>
      <w:r w:rsidR="003A649E">
        <w:rPr>
          <w:rFonts w:ascii="Times New Roman" w:hAnsi="Times New Roman"/>
          <w:b/>
          <w:sz w:val="24"/>
          <w:szCs w:val="24"/>
        </w:rPr>
        <w:t>OF</w:t>
      </w:r>
    </w:p>
    <w:p w:rsidR="003A649E" w:rsidRDefault="003A649E" w:rsidP="003A649E">
      <w:pPr>
        <w:spacing w:after="0"/>
        <w:jc w:val="center"/>
        <w:rPr>
          <w:rFonts w:ascii="Times New Roman" w:hAnsi="Times New Roman"/>
          <w:b/>
          <w:sz w:val="24"/>
          <w:szCs w:val="24"/>
        </w:rPr>
      </w:pPr>
      <w:r>
        <w:rPr>
          <w:rFonts w:ascii="Times New Roman" w:hAnsi="Times New Roman"/>
          <w:b/>
          <w:sz w:val="24"/>
          <w:szCs w:val="24"/>
        </w:rPr>
        <w:t>DOMINION RETAIL, INC., AND</w:t>
      </w:r>
    </w:p>
    <w:p w:rsidR="003A649E" w:rsidRDefault="003A649E" w:rsidP="003A649E">
      <w:pPr>
        <w:spacing w:after="0"/>
        <w:jc w:val="center"/>
        <w:rPr>
          <w:rFonts w:ascii="Times New Roman" w:hAnsi="Times New Roman"/>
          <w:b/>
          <w:sz w:val="24"/>
          <w:szCs w:val="24"/>
        </w:rPr>
      </w:pPr>
      <w:proofErr w:type="gramStart"/>
      <w:r>
        <w:rPr>
          <w:rFonts w:ascii="Times New Roman" w:hAnsi="Times New Roman"/>
          <w:b/>
          <w:sz w:val="24"/>
          <w:szCs w:val="24"/>
        </w:rPr>
        <w:t>THE OHIO GAS MARKETERS GROUP/RETAIL ENERGY SUPPLY ASSOCIATION/COLUMBIA G</w:t>
      </w:r>
      <w:r w:rsidR="00B10A7E">
        <w:rPr>
          <w:rFonts w:ascii="Times New Roman" w:hAnsi="Times New Roman"/>
          <w:b/>
          <w:sz w:val="24"/>
          <w:szCs w:val="24"/>
        </w:rPr>
        <w:t>A</w:t>
      </w:r>
      <w:r>
        <w:rPr>
          <w:rFonts w:ascii="Times New Roman" w:hAnsi="Times New Roman"/>
          <w:b/>
          <w:sz w:val="24"/>
          <w:szCs w:val="24"/>
        </w:rPr>
        <w:t>S OF OHIO, INC.</w:t>
      </w:r>
      <w:proofErr w:type="gramEnd"/>
    </w:p>
    <w:p w:rsidR="00795574" w:rsidRDefault="00795574" w:rsidP="00795574">
      <w:pPr>
        <w:pBdr>
          <w:bottom w:val="single" w:sz="12" w:space="1" w:color="auto"/>
        </w:pBdr>
        <w:spacing w:after="0" w:line="240" w:lineRule="auto"/>
        <w:rPr>
          <w:rFonts w:ascii="Times New Roman" w:hAnsi="Times New Roman"/>
          <w:sz w:val="24"/>
          <w:szCs w:val="24"/>
        </w:rPr>
      </w:pPr>
    </w:p>
    <w:p w:rsidR="000520D4" w:rsidRPr="00985FE2" w:rsidRDefault="009A35CB" w:rsidP="009A35CB">
      <w:pPr>
        <w:spacing w:before="240" w:after="0" w:line="480" w:lineRule="auto"/>
        <w:jc w:val="both"/>
        <w:rPr>
          <w:rFonts w:ascii="Times New Roman" w:hAnsi="Times New Roman" w:cs="Times New Roman"/>
          <w:b/>
          <w:i/>
          <w:sz w:val="24"/>
          <w:szCs w:val="24"/>
        </w:rPr>
      </w:pPr>
      <w:r w:rsidRPr="009A35CB">
        <w:rPr>
          <w:rFonts w:ascii="Times New Roman" w:hAnsi="Times New Roman"/>
          <w:b/>
          <w:i/>
          <w:sz w:val="24"/>
          <w:szCs w:val="24"/>
        </w:rPr>
        <w:t>I.</w:t>
      </w:r>
      <w:r w:rsidR="00E41FAB">
        <w:rPr>
          <w:rFonts w:ascii="Times New Roman" w:hAnsi="Times New Roman"/>
          <w:b/>
          <w:sz w:val="24"/>
          <w:szCs w:val="24"/>
        </w:rPr>
        <w:tab/>
      </w:r>
      <w:r w:rsidR="00DD65A3" w:rsidRPr="00DD65A3">
        <w:rPr>
          <w:rFonts w:ascii="Times New Roman" w:hAnsi="Times New Roman" w:cs="Times New Roman"/>
          <w:b/>
          <w:i/>
          <w:sz w:val="24"/>
          <w:szCs w:val="24"/>
        </w:rPr>
        <w:t>INTRODUCTION</w:t>
      </w:r>
    </w:p>
    <w:p w:rsidR="002846D2" w:rsidRDefault="00D922D1" w:rsidP="002846D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Hess Corporation (“Hess”) filed an application for rehearing in this proceeding on February 8, 2013, related to two specific areas of the </w:t>
      </w:r>
      <w:r w:rsidR="002846D2">
        <w:rPr>
          <w:rFonts w:ascii="Times New Roman" w:hAnsi="Times New Roman" w:cs="Times New Roman"/>
          <w:sz w:val="24"/>
          <w:szCs w:val="24"/>
        </w:rPr>
        <w:t xml:space="preserve">Public Utilities </w:t>
      </w:r>
      <w:r>
        <w:rPr>
          <w:rFonts w:ascii="Times New Roman" w:hAnsi="Times New Roman" w:cs="Times New Roman"/>
          <w:sz w:val="24"/>
          <w:szCs w:val="24"/>
        </w:rPr>
        <w:t>Commission</w:t>
      </w:r>
      <w:r w:rsidR="002846D2">
        <w:rPr>
          <w:rFonts w:ascii="Times New Roman" w:hAnsi="Times New Roman" w:cs="Times New Roman"/>
          <w:sz w:val="24"/>
          <w:szCs w:val="24"/>
        </w:rPr>
        <w:t xml:space="preserve"> of Ohio</w:t>
      </w:r>
      <w:r>
        <w:rPr>
          <w:rFonts w:ascii="Times New Roman" w:hAnsi="Times New Roman" w:cs="Times New Roman"/>
          <w:sz w:val="24"/>
          <w:szCs w:val="24"/>
        </w:rPr>
        <w:t xml:space="preserve">’s </w:t>
      </w:r>
      <w:r w:rsidR="002846D2">
        <w:rPr>
          <w:rFonts w:ascii="Times New Roman" w:hAnsi="Times New Roman" w:cs="Times New Roman"/>
          <w:sz w:val="24"/>
          <w:szCs w:val="24"/>
        </w:rPr>
        <w:t xml:space="preserve">(“Commission”) </w:t>
      </w:r>
      <w:r>
        <w:rPr>
          <w:rFonts w:ascii="Times New Roman" w:hAnsi="Times New Roman" w:cs="Times New Roman"/>
          <w:sz w:val="24"/>
          <w:szCs w:val="24"/>
        </w:rPr>
        <w:t xml:space="preserve">Opinion and Order issued January 9, 2013 (“Order”):   (1) the </w:t>
      </w:r>
      <w:r w:rsidR="00310D1C">
        <w:rPr>
          <w:rFonts w:ascii="Times New Roman" w:hAnsi="Times New Roman" w:cs="Times New Roman"/>
          <w:sz w:val="24"/>
          <w:szCs w:val="24"/>
        </w:rPr>
        <w:t>s</w:t>
      </w:r>
      <w:r>
        <w:rPr>
          <w:rFonts w:ascii="Times New Roman" w:hAnsi="Times New Roman" w:cs="Times New Roman"/>
          <w:sz w:val="24"/>
          <w:szCs w:val="24"/>
        </w:rPr>
        <w:t xml:space="preserve">tandard </w:t>
      </w:r>
      <w:r w:rsidR="00310D1C">
        <w:rPr>
          <w:rFonts w:ascii="Times New Roman" w:hAnsi="Times New Roman" w:cs="Times New Roman"/>
          <w:sz w:val="24"/>
          <w:szCs w:val="24"/>
        </w:rPr>
        <w:t>c</w:t>
      </w:r>
      <w:r>
        <w:rPr>
          <w:rFonts w:ascii="Times New Roman" w:hAnsi="Times New Roman" w:cs="Times New Roman"/>
          <w:sz w:val="24"/>
          <w:szCs w:val="24"/>
        </w:rPr>
        <w:t xml:space="preserve">hoice </w:t>
      </w:r>
      <w:r w:rsidR="00310D1C">
        <w:rPr>
          <w:rFonts w:ascii="Times New Roman" w:hAnsi="Times New Roman" w:cs="Times New Roman"/>
          <w:sz w:val="24"/>
          <w:szCs w:val="24"/>
        </w:rPr>
        <w:t>o</w:t>
      </w:r>
      <w:r>
        <w:rPr>
          <w:rFonts w:ascii="Times New Roman" w:hAnsi="Times New Roman" w:cs="Times New Roman"/>
          <w:sz w:val="24"/>
          <w:szCs w:val="24"/>
        </w:rPr>
        <w:t xml:space="preserve">ffer (“SCO”) </w:t>
      </w:r>
      <w:r w:rsidR="00310D1C">
        <w:rPr>
          <w:rFonts w:ascii="Times New Roman" w:hAnsi="Times New Roman" w:cs="Times New Roman"/>
          <w:sz w:val="24"/>
          <w:szCs w:val="24"/>
        </w:rPr>
        <w:t>s</w:t>
      </w:r>
      <w:r>
        <w:rPr>
          <w:rFonts w:ascii="Times New Roman" w:hAnsi="Times New Roman" w:cs="Times New Roman"/>
          <w:sz w:val="24"/>
          <w:szCs w:val="24"/>
        </w:rPr>
        <w:t xml:space="preserve">ecurity </w:t>
      </w:r>
      <w:r w:rsidR="00310D1C">
        <w:rPr>
          <w:rFonts w:ascii="Times New Roman" w:hAnsi="Times New Roman" w:cs="Times New Roman"/>
          <w:sz w:val="24"/>
          <w:szCs w:val="24"/>
        </w:rPr>
        <w:t>d</w:t>
      </w:r>
      <w:r>
        <w:rPr>
          <w:rFonts w:ascii="Times New Roman" w:hAnsi="Times New Roman" w:cs="Times New Roman"/>
          <w:sz w:val="24"/>
          <w:szCs w:val="24"/>
        </w:rPr>
        <w:t xml:space="preserve">eposit and (2) the </w:t>
      </w:r>
      <w:r w:rsidR="00310D1C">
        <w:rPr>
          <w:rFonts w:ascii="Times New Roman" w:hAnsi="Times New Roman" w:cs="Times New Roman"/>
          <w:sz w:val="24"/>
          <w:szCs w:val="24"/>
        </w:rPr>
        <w:t>m</w:t>
      </w:r>
      <w:r>
        <w:rPr>
          <w:rFonts w:ascii="Times New Roman" w:hAnsi="Times New Roman" w:cs="Times New Roman"/>
          <w:sz w:val="24"/>
          <w:szCs w:val="24"/>
        </w:rPr>
        <w:t xml:space="preserve">onthly </w:t>
      </w:r>
      <w:r w:rsidR="00310D1C">
        <w:rPr>
          <w:rFonts w:ascii="Times New Roman" w:hAnsi="Times New Roman" w:cs="Times New Roman"/>
          <w:sz w:val="24"/>
          <w:szCs w:val="24"/>
        </w:rPr>
        <w:t>v</w:t>
      </w:r>
      <w:r>
        <w:rPr>
          <w:rFonts w:ascii="Times New Roman" w:hAnsi="Times New Roman" w:cs="Times New Roman"/>
          <w:sz w:val="24"/>
          <w:szCs w:val="24"/>
        </w:rPr>
        <w:t xml:space="preserve">ariable </w:t>
      </w:r>
      <w:r w:rsidR="00310D1C">
        <w:rPr>
          <w:rFonts w:ascii="Times New Roman" w:hAnsi="Times New Roman" w:cs="Times New Roman"/>
          <w:sz w:val="24"/>
          <w:szCs w:val="24"/>
        </w:rPr>
        <w:t>r</w:t>
      </w:r>
      <w:r>
        <w:rPr>
          <w:rFonts w:ascii="Times New Roman" w:hAnsi="Times New Roman" w:cs="Times New Roman"/>
          <w:sz w:val="24"/>
          <w:szCs w:val="24"/>
        </w:rPr>
        <w:t xml:space="preserve">ate (“MVR”) allocation methodology.  </w:t>
      </w:r>
      <w:r w:rsidR="002846D2">
        <w:rPr>
          <w:rFonts w:ascii="Times New Roman" w:hAnsi="Times New Roman" w:cs="Times New Roman"/>
          <w:sz w:val="24"/>
          <w:szCs w:val="24"/>
        </w:rPr>
        <w:t>Specifically, Hess urged the Commission to grant rehearing and:</w:t>
      </w:r>
    </w:p>
    <w:p w:rsidR="002846D2" w:rsidRDefault="002846D2" w:rsidP="002846D2">
      <w:pPr>
        <w:pStyle w:val="ListParagraph"/>
        <w:numPr>
          <w:ilvl w:val="0"/>
          <w:numId w:val="18"/>
        </w:numPr>
        <w:spacing w:after="0" w:line="240" w:lineRule="auto"/>
        <w:ind w:left="1440" w:right="1350" w:hanging="720"/>
        <w:jc w:val="both"/>
        <w:rPr>
          <w:rFonts w:ascii="Times New Roman" w:hAnsi="Times New Roman"/>
          <w:sz w:val="24"/>
          <w:szCs w:val="24"/>
        </w:rPr>
      </w:pPr>
      <w:r w:rsidRPr="00FE57EF">
        <w:rPr>
          <w:rFonts w:ascii="Times New Roman" w:hAnsi="Times New Roman"/>
          <w:sz w:val="24"/>
          <w:szCs w:val="24"/>
        </w:rPr>
        <w:t xml:space="preserve">Reject the $0.06/Mcf SCO Security Deposit; or </w:t>
      </w:r>
      <w:r>
        <w:rPr>
          <w:rFonts w:ascii="Times New Roman" w:hAnsi="Times New Roman"/>
          <w:sz w:val="24"/>
          <w:szCs w:val="24"/>
        </w:rPr>
        <w:t>a</w:t>
      </w:r>
      <w:r w:rsidRPr="00FE57EF">
        <w:rPr>
          <w:rFonts w:ascii="Times New Roman" w:hAnsi="Times New Roman"/>
          <w:sz w:val="24"/>
          <w:szCs w:val="24"/>
        </w:rPr>
        <w:t>lternatively, make the $0.06/Mcf SCO Security Deposit refundable and return to SCO suppliers, with interest, all balances not used for purposes of SCO supplier default during the course of the SCO Program Year.</w:t>
      </w:r>
    </w:p>
    <w:p w:rsidR="002846D2" w:rsidRDefault="002846D2" w:rsidP="002846D2">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sidRPr="002846D2">
        <w:rPr>
          <w:rFonts w:ascii="Times New Roman" w:hAnsi="Times New Roman"/>
          <w:sz w:val="24"/>
          <w:szCs w:val="24"/>
        </w:rPr>
        <w:t xml:space="preserve">Clarify </w:t>
      </w:r>
      <w:r w:rsidR="00620664">
        <w:rPr>
          <w:rFonts w:ascii="Times New Roman" w:hAnsi="Times New Roman"/>
          <w:sz w:val="24"/>
          <w:szCs w:val="24"/>
        </w:rPr>
        <w:t>c</w:t>
      </w:r>
      <w:r w:rsidRPr="002846D2">
        <w:rPr>
          <w:rFonts w:ascii="Times New Roman" w:hAnsi="Times New Roman"/>
          <w:sz w:val="24"/>
          <w:szCs w:val="24"/>
        </w:rPr>
        <w:t xml:space="preserve">ertain </w:t>
      </w:r>
      <w:r w:rsidR="00620664">
        <w:rPr>
          <w:rFonts w:ascii="Times New Roman" w:hAnsi="Times New Roman"/>
          <w:sz w:val="24"/>
          <w:szCs w:val="24"/>
        </w:rPr>
        <w:t>a</w:t>
      </w:r>
      <w:r w:rsidRPr="002846D2">
        <w:rPr>
          <w:rFonts w:ascii="Times New Roman" w:hAnsi="Times New Roman"/>
          <w:sz w:val="24"/>
          <w:szCs w:val="24"/>
        </w:rPr>
        <w:t xml:space="preserve">spects of </w:t>
      </w:r>
      <w:r w:rsidR="00620664">
        <w:rPr>
          <w:rFonts w:ascii="Times New Roman" w:hAnsi="Times New Roman"/>
          <w:sz w:val="24"/>
          <w:szCs w:val="24"/>
        </w:rPr>
        <w:t xml:space="preserve">the Order which adopted, in large part, the </w:t>
      </w:r>
      <w:r w:rsidRPr="002846D2">
        <w:rPr>
          <w:rFonts w:ascii="Times New Roman" w:hAnsi="Times New Roman"/>
          <w:sz w:val="24"/>
          <w:szCs w:val="24"/>
        </w:rPr>
        <w:t xml:space="preserve">MVR </w:t>
      </w:r>
      <w:r w:rsidR="00620664">
        <w:rPr>
          <w:rFonts w:ascii="Times New Roman" w:hAnsi="Times New Roman"/>
          <w:sz w:val="24"/>
          <w:szCs w:val="24"/>
        </w:rPr>
        <w:t>a</w:t>
      </w:r>
      <w:r w:rsidRPr="002846D2">
        <w:rPr>
          <w:rFonts w:ascii="Times New Roman" w:hAnsi="Times New Roman"/>
          <w:sz w:val="24"/>
          <w:szCs w:val="24"/>
        </w:rPr>
        <w:t xml:space="preserve">llocation </w:t>
      </w:r>
      <w:r w:rsidR="00620664">
        <w:rPr>
          <w:rFonts w:ascii="Times New Roman" w:hAnsi="Times New Roman"/>
          <w:sz w:val="24"/>
          <w:szCs w:val="24"/>
        </w:rPr>
        <w:t>m</w:t>
      </w:r>
      <w:r w:rsidRPr="002846D2">
        <w:rPr>
          <w:rFonts w:ascii="Times New Roman" w:hAnsi="Times New Roman"/>
          <w:sz w:val="24"/>
          <w:szCs w:val="24"/>
        </w:rPr>
        <w:t>ethodology</w:t>
      </w:r>
      <w:r w:rsidR="00620664">
        <w:rPr>
          <w:rFonts w:ascii="Times New Roman" w:hAnsi="Times New Roman"/>
          <w:sz w:val="24"/>
          <w:szCs w:val="24"/>
        </w:rPr>
        <w:t xml:space="preserve"> proposed by Hess witness Magnani. </w:t>
      </w:r>
      <w:r w:rsidRPr="002846D2">
        <w:rPr>
          <w:rFonts w:ascii="Times New Roman" w:hAnsi="Times New Roman"/>
          <w:sz w:val="24"/>
          <w:szCs w:val="24"/>
        </w:rPr>
        <w:t xml:space="preserve"> </w:t>
      </w:r>
    </w:p>
    <w:p w:rsidR="002846D2" w:rsidRDefault="00620664" w:rsidP="002846D2">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Pr>
          <w:rFonts w:ascii="Times New Roman" w:hAnsi="Times New Roman"/>
          <w:sz w:val="24"/>
          <w:szCs w:val="24"/>
        </w:rPr>
        <w:t xml:space="preserve">Reject the minimum </w:t>
      </w:r>
      <w:r w:rsidR="0003046E">
        <w:rPr>
          <w:rFonts w:ascii="Times New Roman" w:hAnsi="Times New Roman"/>
          <w:sz w:val="24"/>
          <w:szCs w:val="24"/>
        </w:rPr>
        <w:t xml:space="preserve">assignment of </w:t>
      </w:r>
      <w:r>
        <w:rPr>
          <w:rFonts w:ascii="Times New Roman" w:hAnsi="Times New Roman"/>
          <w:sz w:val="24"/>
          <w:szCs w:val="24"/>
        </w:rPr>
        <w:t>one percent</w:t>
      </w:r>
      <w:r w:rsidR="0003046E">
        <w:rPr>
          <w:rFonts w:ascii="Times New Roman" w:hAnsi="Times New Roman"/>
          <w:sz w:val="24"/>
          <w:szCs w:val="24"/>
        </w:rPr>
        <w:t xml:space="preserve"> of </w:t>
      </w:r>
      <w:r w:rsidR="00310D1C">
        <w:rPr>
          <w:rFonts w:ascii="Times New Roman" w:hAnsi="Times New Roman"/>
          <w:sz w:val="24"/>
          <w:szCs w:val="24"/>
        </w:rPr>
        <w:t xml:space="preserve">non-shopping </w:t>
      </w:r>
      <w:r w:rsidR="0003046E">
        <w:rPr>
          <w:rFonts w:ascii="Times New Roman" w:hAnsi="Times New Roman"/>
          <w:sz w:val="24"/>
          <w:szCs w:val="24"/>
        </w:rPr>
        <w:t xml:space="preserve">customers to </w:t>
      </w:r>
      <w:r>
        <w:rPr>
          <w:rFonts w:ascii="Times New Roman" w:hAnsi="Times New Roman"/>
          <w:sz w:val="24"/>
          <w:szCs w:val="24"/>
        </w:rPr>
        <w:t>MVR</w:t>
      </w:r>
      <w:r w:rsidR="0003046E">
        <w:rPr>
          <w:rFonts w:ascii="Times New Roman" w:hAnsi="Times New Roman"/>
          <w:sz w:val="24"/>
          <w:szCs w:val="24"/>
        </w:rPr>
        <w:t xml:space="preserve"> suppliers</w:t>
      </w:r>
      <w:r w:rsidR="00310D1C">
        <w:rPr>
          <w:rFonts w:ascii="Times New Roman" w:hAnsi="Times New Roman"/>
          <w:sz w:val="24"/>
          <w:szCs w:val="24"/>
        </w:rPr>
        <w:t>,</w:t>
      </w:r>
      <w:r w:rsidR="0003046E">
        <w:rPr>
          <w:rFonts w:ascii="Times New Roman" w:hAnsi="Times New Roman"/>
          <w:sz w:val="24"/>
          <w:szCs w:val="24"/>
        </w:rPr>
        <w:t xml:space="preserve"> </w:t>
      </w:r>
      <w:r>
        <w:rPr>
          <w:rFonts w:ascii="Times New Roman" w:hAnsi="Times New Roman"/>
          <w:sz w:val="24"/>
          <w:szCs w:val="24"/>
        </w:rPr>
        <w:t>and a</w:t>
      </w:r>
      <w:r w:rsidR="002846D2">
        <w:rPr>
          <w:rFonts w:ascii="Times New Roman" w:hAnsi="Times New Roman"/>
          <w:sz w:val="24"/>
          <w:szCs w:val="24"/>
        </w:rPr>
        <w:t xml:space="preserve">dopt a 0.5 </w:t>
      </w:r>
      <w:r>
        <w:rPr>
          <w:rFonts w:ascii="Times New Roman" w:hAnsi="Times New Roman"/>
          <w:sz w:val="24"/>
          <w:szCs w:val="24"/>
        </w:rPr>
        <w:t>p</w:t>
      </w:r>
      <w:r w:rsidR="002846D2">
        <w:rPr>
          <w:rFonts w:ascii="Times New Roman" w:hAnsi="Times New Roman"/>
          <w:sz w:val="24"/>
          <w:szCs w:val="24"/>
        </w:rPr>
        <w:t xml:space="preserve">ercent </w:t>
      </w:r>
      <w:r>
        <w:rPr>
          <w:rFonts w:ascii="Times New Roman" w:hAnsi="Times New Roman"/>
          <w:sz w:val="24"/>
          <w:szCs w:val="24"/>
        </w:rPr>
        <w:t>a</w:t>
      </w:r>
      <w:r w:rsidR="002846D2">
        <w:rPr>
          <w:rFonts w:ascii="Times New Roman" w:hAnsi="Times New Roman"/>
          <w:sz w:val="24"/>
          <w:szCs w:val="24"/>
        </w:rPr>
        <w:t xml:space="preserve">llocation </w:t>
      </w:r>
      <w:r>
        <w:rPr>
          <w:rFonts w:ascii="Times New Roman" w:hAnsi="Times New Roman"/>
          <w:sz w:val="24"/>
          <w:szCs w:val="24"/>
        </w:rPr>
        <w:t>t</w:t>
      </w:r>
      <w:r w:rsidR="002846D2">
        <w:rPr>
          <w:rFonts w:ascii="Times New Roman" w:hAnsi="Times New Roman"/>
          <w:sz w:val="24"/>
          <w:szCs w:val="24"/>
        </w:rPr>
        <w:t xml:space="preserve">hreshold </w:t>
      </w:r>
      <w:r>
        <w:rPr>
          <w:rFonts w:ascii="Times New Roman" w:hAnsi="Times New Roman"/>
          <w:sz w:val="24"/>
          <w:szCs w:val="24"/>
        </w:rPr>
        <w:t>c</w:t>
      </w:r>
      <w:r w:rsidR="002846D2">
        <w:rPr>
          <w:rFonts w:ascii="Times New Roman" w:hAnsi="Times New Roman"/>
          <w:sz w:val="24"/>
          <w:szCs w:val="24"/>
        </w:rPr>
        <w:t>onsistent with</w:t>
      </w:r>
      <w:r>
        <w:rPr>
          <w:rFonts w:ascii="Times New Roman" w:hAnsi="Times New Roman"/>
          <w:sz w:val="24"/>
          <w:szCs w:val="24"/>
        </w:rPr>
        <w:t xml:space="preserve"> Hess’ a</w:t>
      </w:r>
      <w:r w:rsidR="002846D2">
        <w:rPr>
          <w:rFonts w:ascii="Times New Roman" w:hAnsi="Times New Roman"/>
          <w:sz w:val="24"/>
          <w:szCs w:val="24"/>
        </w:rPr>
        <w:t xml:space="preserve">pplication for </w:t>
      </w:r>
      <w:r>
        <w:rPr>
          <w:rFonts w:ascii="Times New Roman" w:hAnsi="Times New Roman"/>
          <w:sz w:val="24"/>
          <w:szCs w:val="24"/>
        </w:rPr>
        <w:t>r</w:t>
      </w:r>
      <w:r w:rsidR="002846D2">
        <w:rPr>
          <w:rFonts w:ascii="Times New Roman" w:hAnsi="Times New Roman"/>
          <w:sz w:val="24"/>
          <w:szCs w:val="24"/>
        </w:rPr>
        <w:t>ehearing.</w:t>
      </w:r>
    </w:p>
    <w:p w:rsidR="00D922D1" w:rsidRDefault="0014572B" w:rsidP="0062066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Dominion Retail, Inc. (“Dominion”)</w:t>
      </w:r>
      <w:r w:rsidR="00310D1C">
        <w:rPr>
          <w:rFonts w:ascii="Times New Roman" w:hAnsi="Times New Roman" w:cs="Times New Roman"/>
          <w:sz w:val="24"/>
          <w:szCs w:val="24"/>
        </w:rPr>
        <w:t>,</w:t>
      </w:r>
      <w:r>
        <w:rPr>
          <w:rFonts w:ascii="Times New Roman" w:hAnsi="Times New Roman" w:cs="Times New Roman"/>
          <w:sz w:val="24"/>
          <w:szCs w:val="24"/>
        </w:rPr>
        <w:t xml:space="preserve"> </w:t>
      </w:r>
      <w:r w:rsidR="00310D1C">
        <w:rPr>
          <w:rFonts w:ascii="Times New Roman" w:hAnsi="Times New Roman" w:cs="Times New Roman"/>
          <w:sz w:val="24"/>
          <w:szCs w:val="24"/>
        </w:rPr>
        <w:t xml:space="preserve">individually; </w:t>
      </w:r>
      <w:r>
        <w:rPr>
          <w:rFonts w:ascii="Times New Roman" w:hAnsi="Times New Roman" w:cs="Times New Roman"/>
          <w:sz w:val="24"/>
          <w:szCs w:val="24"/>
        </w:rPr>
        <w:t>and the Ohio Gas Marketers Group</w:t>
      </w:r>
      <w:r w:rsidR="00310D1C">
        <w:rPr>
          <w:rFonts w:ascii="Times New Roman" w:hAnsi="Times New Roman" w:cs="Times New Roman"/>
          <w:sz w:val="24"/>
          <w:szCs w:val="24"/>
        </w:rPr>
        <w:t xml:space="preserve">, </w:t>
      </w:r>
      <w:r>
        <w:rPr>
          <w:rFonts w:ascii="Times New Roman" w:hAnsi="Times New Roman" w:cs="Times New Roman"/>
          <w:sz w:val="24"/>
          <w:szCs w:val="24"/>
        </w:rPr>
        <w:t>Retail Energy Supply Association</w:t>
      </w:r>
      <w:r w:rsidR="00310D1C">
        <w:rPr>
          <w:rFonts w:ascii="Times New Roman" w:hAnsi="Times New Roman" w:cs="Times New Roman"/>
          <w:sz w:val="24"/>
          <w:szCs w:val="24"/>
        </w:rPr>
        <w:t xml:space="preserve">, and </w:t>
      </w:r>
      <w:r>
        <w:rPr>
          <w:rFonts w:ascii="Times New Roman" w:hAnsi="Times New Roman" w:cs="Times New Roman"/>
          <w:sz w:val="24"/>
          <w:szCs w:val="24"/>
        </w:rPr>
        <w:t>Columbia Gas</w:t>
      </w:r>
      <w:r w:rsidR="006F5AFE">
        <w:rPr>
          <w:rFonts w:ascii="Times New Roman" w:hAnsi="Times New Roman" w:cs="Times New Roman"/>
          <w:sz w:val="24"/>
          <w:szCs w:val="24"/>
        </w:rPr>
        <w:t xml:space="preserve"> </w:t>
      </w:r>
      <w:r>
        <w:rPr>
          <w:rFonts w:ascii="Times New Roman" w:hAnsi="Times New Roman" w:cs="Times New Roman"/>
          <w:sz w:val="24"/>
          <w:szCs w:val="24"/>
        </w:rPr>
        <w:t>of Ohio (“</w:t>
      </w:r>
      <w:r w:rsidR="00310D1C">
        <w:rPr>
          <w:rFonts w:ascii="Times New Roman" w:hAnsi="Times New Roman" w:cs="Times New Roman"/>
          <w:sz w:val="24"/>
          <w:szCs w:val="24"/>
        </w:rPr>
        <w:t>OGMG/RESA/</w:t>
      </w:r>
      <w:r w:rsidR="002846D2">
        <w:rPr>
          <w:rFonts w:ascii="Times New Roman" w:hAnsi="Times New Roman" w:cs="Times New Roman"/>
          <w:sz w:val="24"/>
          <w:szCs w:val="24"/>
        </w:rPr>
        <w:t>Columbia”</w:t>
      </w:r>
      <w:r>
        <w:rPr>
          <w:rFonts w:ascii="Times New Roman" w:hAnsi="Times New Roman" w:cs="Times New Roman"/>
          <w:sz w:val="24"/>
          <w:szCs w:val="24"/>
        </w:rPr>
        <w:t>)</w:t>
      </w:r>
      <w:r w:rsidR="00310D1C">
        <w:rPr>
          <w:rFonts w:ascii="Times New Roman" w:hAnsi="Times New Roman" w:cs="Times New Roman"/>
          <w:sz w:val="24"/>
          <w:szCs w:val="24"/>
        </w:rPr>
        <w:t xml:space="preserve">, </w:t>
      </w:r>
      <w:r w:rsidR="00310D1C">
        <w:rPr>
          <w:rFonts w:ascii="Times New Roman" w:hAnsi="Times New Roman" w:cs="Times New Roman"/>
          <w:sz w:val="24"/>
          <w:szCs w:val="24"/>
        </w:rPr>
        <w:lastRenderedPageBreak/>
        <w:t>jointly,</w:t>
      </w:r>
      <w:r>
        <w:rPr>
          <w:rFonts w:ascii="Times New Roman" w:hAnsi="Times New Roman" w:cs="Times New Roman"/>
          <w:sz w:val="24"/>
          <w:szCs w:val="24"/>
        </w:rPr>
        <w:t xml:space="preserve"> filed applications for rehearing on the same date.</w:t>
      </w:r>
      <w:r>
        <w:rPr>
          <w:rStyle w:val="FootnoteReference"/>
          <w:rFonts w:ascii="Times New Roman" w:hAnsi="Times New Roman" w:cs="Times New Roman"/>
          <w:sz w:val="24"/>
          <w:szCs w:val="24"/>
        </w:rPr>
        <w:footnoteReference w:id="1"/>
      </w:r>
      <w:r w:rsidR="002846D2">
        <w:rPr>
          <w:rFonts w:ascii="Times New Roman" w:hAnsi="Times New Roman" w:cs="Times New Roman"/>
          <w:sz w:val="24"/>
          <w:szCs w:val="24"/>
        </w:rPr>
        <w:t xml:space="preserve">  </w:t>
      </w:r>
      <w:r w:rsidR="00620664">
        <w:rPr>
          <w:rFonts w:ascii="Times New Roman" w:hAnsi="Times New Roman" w:cs="Times New Roman"/>
          <w:sz w:val="24"/>
          <w:szCs w:val="24"/>
        </w:rPr>
        <w:t xml:space="preserve">Neither Dominion nor </w:t>
      </w:r>
      <w:r w:rsidR="00310D1C">
        <w:rPr>
          <w:rFonts w:ascii="Times New Roman" w:hAnsi="Times New Roman" w:cs="Times New Roman"/>
          <w:sz w:val="24"/>
          <w:szCs w:val="24"/>
        </w:rPr>
        <w:t>OGMG/RESA</w:t>
      </w:r>
      <w:r w:rsidR="00620664">
        <w:rPr>
          <w:rFonts w:ascii="Times New Roman" w:hAnsi="Times New Roman" w:cs="Times New Roman"/>
          <w:sz w:val="24"/>
          <w:szCs w:val="24"/>
        </w:rPr>
        <w:t>/Columbia address</w:t>
      </w:r>
      <w:r w:rsidR="00A5613E">
        <w:rPr>
          <w:rFonts w:ascii="Times New Roman" w:hAnsi="Times New Roman" w:cs="Times New Roman"/>
          <w:sz w:val="24"/>
          <w:szCs w:val="24"/>
        </w:rPr>
        <w:t>es</w:t>
      </w:r>
      <w:r w:rsidR="00620664">
        <w:rPr>
          <w:rFonts w:ascii="Times New Roman" w:hAnsi="Times New Roman" w:cs="Times New Roman"/>
          <w:sz w:val="24"/>
          <w:szCs w:val="24"/>
        </w:rPr>
        <w:t xml:space="preserve"> the SCO </w:t>
      </w:r>
      <w:r w:rsidR="00310D1C">
        <w:rPr>
          <w:rFonts w:ascii="Times New Roman" w:hAnsi="Times New Roman" w:cs="Times New Roman"/>
          <w:sz w:val="24"/>
          <w:szCs w:val="24"/>
        </w:rPr>
        <w:t>s</w:t>
      </w:r>
      <w:r w:rsidR="00620664">
        <w:rPr>
          <w:rFonts w:ascii="Times New Roman" w:hAnsi="Times New Roman" w:cs="Times New Roman"/>
          <w:sz w:val="24"/>
          <w:szCs w:val="24"/>
        </w:rPr>
        <w:t xml:space="preserve">ecurity </w:t>
      </w:r>
      <w:r w:rsidR="00310D1C">
        <w:rPr>
          <w:rFonts w:ascii="Times New Roman" w:hAnsi="Times New Roman" w:cs="Times New Roman"/>
          <w:sz w:val="24"/>
          <w:szCs w:val="24"/>
        </w:rPr>
        <w:t>d</w:t>
      </w:r>
      <w:r w:rsidR="00620664">
        <w:rPr>
          <w:rFonts w:ascii="Times New Roman" w:hAnsi="Times New Roman" w:cs="Times New Roman"/>
          <w:sz w:val="24"/>
          <w:szCs w:val="24"/>
        </w:rPr>
        <w:t>eposit</w:t>
      </w:r>
      <w:r w:rsidR="00310D1C">
        <w:rPr>
          <w:rFonts w:ascii="Times New Roman" w:hAnsi="Times New Roman" w:cs="Times New Roman"/>
          <w:sz w:val="24"/>
          <w:szCs w:val="24"/>
        </w:rPr>
        <w:t xml:space="preserve"> issue raised by Hess</w:t>
      </w:r>
      <w:r w:rsidR="008C6A43">
        <w:rPr>
          <w:rFonts w:ascii="Times New Roman" w:hAnsi="Times New Roman" w:cs="Times New Roman"/>
          <w:sz w:val="24"/>
          <w:szCs w:val="24"/>
        </w:rPr>
        <w:t>.  S</w:t>
      </w:r>
      <w:r w:rsidR="00620664">
        <w:rPr>
          <w:rFonts w:ascii="Times New Roman" w:hAnsi="Times New Roman" w:cs="Times New Roman"/>
          <w:sz w:val="24"/>
          <w:szCs w:val="24"/>
        </w:rPr>
        <w:t xml:space="preserve">ignificantly, neither opposes </w:t>
      </w:r>
      <w:r w:rsidR="00310D1C">
        <w:rPr>
          <w:rFonts w:ascii="Times New Roman" w:hAnsi="Times New Roman" w:cs="Times New Roman"/>
          <w:sz w:val="24"/>
          <w:szCs w:val="24"/>
        </w:rPr>
        <w:t>the framework of the MVR allocation methodology proposed by He</w:t>
      </w:r>
      <w:r w:rsidR="00620664">
        <w:rPr>
          <w:rFonts w:ascii="Times New Roman" w:hAnsi="Times New Roman" w:cs="Times New Roman"/>
          <w:sz w:val="24"/>
          <w:szCs w:val="24"/>
        </w:rPr>
        <w:t>ss witness Magnani</w:t>
      </w:r>
      <w:r w:rsidR="00003E55">
        <w:rPr>
          <w:rFonts w:ascii="Times New Roman" w:hAnsi="Times New Roman" w:cs="Times New Roman"/>
          <w:sz w:val="24"/>
          <w:szCs w:val="24"/>
        </w:rPr>
        <w:t xml:space="preserve"> and adopted by the Commission</w:t>
      </w:r>
      <w:r w:rsidR="00310D1C">
        <w:rPr>
          <w:rFonts w:ascii="Times New Roman" w:hAnsi="Times New Roman" w:cs="Times New Roman"/>
          <w:sz w:val="24"/>
          <w:szCs w:val="24"/>
        </w:rPr>
        <w:t xml:space="preserve">, which allocates non-shopping customers proportionately to Choice and SCO suppliers.  Rather, </w:t>
      </w:r>
      <w:r w:rsidR="00620664">
        <w:rPr>
          <w:rFonts w:ascii="Times New Roman" w:hAnsi="Times New Roman" w:cs="Times New Roman"/>
          <w:sz w:val="24"/>
          <w:szCs w:val="24"/>
        </w:rPr>
        <w:t>Dominion seeks clarification</w:t>
      </w:r>
      <w:r w:rsidR="00074A7B">
        <w:rPr>
          <w:rFonts w:ascii="Times New Roman" w:hAnsi="Times New Roman" w:cs="Times New Roman"/>
          <w:sz w:val="24"/>
          <w:szCs w:val="24"/>
        </w:rPr>
        <w:t xml:space="preserve">s </w:t>
      </w:r>
      <w:r w:rsidR="00003E55">
        <w:rPr>
          <w:rFonts w:ascii="Times New Roman" w:hAnsi="Times New Roman" w:cs="Times New Roman"/>
          <w:sz w:val="24"/>
          <w:szCs w:val="24"/>
        </w:rPr>
        <w:t xml:space="preserve">in the methodology’s implementation.  </w:t>
      </w:r>
      <w:r w:rsidR="00310D1C">
        <w:rPr>
          <w:rFonts w:ascii="Times New Roman" w:hAnsi="Times New Roman" w:cs="Times New Roman"/>
          <w:sz w:val="24"/>
          <w:szCs w:val="24"/>
        </w:rPr>
        <w:t xml:space="preserve">In addition, </w:t>
      </w:r>
      <w:r w:rsidR="008C6A43">
        <w:rPr>
          <w:rFonts w:ascii="Times New Roman" w:hAnsi="Times New Roman" w:cs="Times New Roman"/>
          <w:sz w:val="24"/>
          <w:szCs w:val="24"/>
        </w:rPr>
        <w:t xml:space="preserve">Dominion and </w:t>
      </w:r>
      <w:r w:rsidR="00310D1C">
        <w:rPr>
          <w:rFonts w:ascii="Times New Roman" w:hAnsi="Times New Roman" w:cs="Times New Roman"/>
          <w:sz w:val="24"/>
          <w:szCs w:val="24"/>
        </w:rPr>
        <w:t>OGMG/RESA</w:t>
      </w:r>
      <w:r w:rsidR="00620664">
        <w:rPr>
          <w:rFonts w:ascii="Times New Roman" w:hAnsi="Times New Roman" w:cs="Times New Roman"/>
          <w:sz w:val="24"/>
          <w:szCs w:val="24"/>
        </w:rPr>
        <w:t xml:space="preserve">/Columbia </w:t>
      </w:r>
      <w:r w:rsidR="0003046E">
        <w:rPr>
          <w:rFonts w:ascii="Times New Roman" w:hAnsi="Times New Roman" w:cs="Times New Roman"/>
          <w:sz w:val="24"/>
          <w:szCs w:val="24"/>
        </w:rPr>
        <w:t xml:space="preserve">join with Hess </w:t>
      </w:r>
      <w:r w:rsidR="00310D1C">
        <w:rPr>
          <w:rFonts w:ascii="Times New Roman" w:hAnsi="Times New Roman" w:cs="Times New Roman"/>
          <w:sz w:val="24"/>
          <w:szCs w:val="24"/>
        </w:rPr>
        <w:t xml:space="preserve">in urging </w:t>
      </w:r>
      <w:r w:rsidR="0003046E">
        <w:rPr>
          <w:rFonts w:ascii="Times New Roman" w:hAnsi="Times New Roman" w:cs="Times New Roman"/>
          <w:sz w:val="24"/>
          <w:szCs w:val="24"/>
        </w:rPr>
        <w:t xml:space="preserve">the Commission to reject the </w:t>
      </w:r>
      <w:r w:rsidR="00A5613E">
        <w:rPr>
          <w:rFonts w:ascii="Times New Roman" w:hAnsi="Times New Roman" w:cs="Times New Roman"/>
          <w:sz w:val="24"/>
          <w:szCs w:val="24"/>
        </w:rPr>
        <w:t>Order’s</w:t>
      </w:r>
      <w:r w:rsidR="00310D1C">
        <w:rPr>
          <w:rFonts w:ascii="Times New Roman" w:hAnsi="Times New Roman"/>
          <w:sz w:val="24"/>
          <w:szCs w:val="24"/>
        </w:rPr>
        <w:t xml:space="preserve"> minimum assignment of one percent of non-shopping customers to MVR suppliers.</w:t>
      </w:r>
      <w:r w:rsidR="00620664">
        <w:rPr>
          <w:rFonts w:ascii="Times New Roman" w:hAnsi="Times New Roman" w:cs="Times New Roman"/>
          <w:sz w:val="24"/>
          <w:szCs w:val="24"/>
        </w:rPr>
        <w:t xml:space="preserve"> </w:t>
      </w:r>
    </w:p>
    <w:p w:rsidR="00B169BF" w:rsidRDefault="00B169BF" w:rsidP="00B169BF">
      <w:pPr>
        <w:spacing w:after="0" w:line="480" w:lineRule="auto"/>
        <w:ind w:firstLine="720"/>
        <w:jc w:val="both"/>
        <w:rPr>
          <w:rFonts w:ascii="Times New Roman" w:hAnsi="Times New Roman"/>
          <w:sz w:val="24"/>
          <w:szCs w:val="24"/>
        </w:rPr>
      </w:pPr>
      <w:r>
        <w:rPr>
          <w:rFonts w:ascii="Times New Roman" w:hAnsi="Times New Roman" w:cs="Times New Roman"/>
          <w:sz w:val="24"/>
          <w:szCs w:val="24"/>
        </w:rPr>
        <w:t xml:space="preserve">In this memorandum contra, Hess opposes certain of Dominion’s proposed clarifications </w:t>
      </w:r>
      <w:r w:rsidR="00310D1C">
        <w:rPr>
          <w:rFonts w:ascii="Times New Roman" w:hAnsi="Times New Roman" w:cs="Times New Roman"/>
          <w:sz w:val="24"/>
          <w:szCs w:val="24"/>
        </w:rPr>
        <w:t xml:space="preserve">to </w:t>
      </w:r>
      <w:r>
        <w:rPr>
          <w:rFonts w:ascii="Times New Roman" w:hAnsi="Times New Roman" w:cs="Times New Roman"/>
          <w:sz w:val="24"/>
          <w:szCs w:val="24"/>
        </w:rPr>
        <w:t>Hess witness Magnani’s MVR allocation methodology</w:t>
      </w:r>
      <w:r w:rsidR="00310D1C">
        <w:rPr>
          <w:rFonts w:ascii="Times New Roman" w:hAnsi="Times New Roman" w:cs="Times New Roman"/>
          <w:sz w:val="24"/>
          <w:szCs w:val="24"/>
        </w:rPr>
        <w:t xml:space="preserve"> and</w:t>
      </w:r>
      <w:r w:rsidR="00510286">
        <w:rPr>
          <w:rFonts w:ascii="Times New Roman" w:hAnsi="Times New Roman" w:cs="Times New Roman"/>
          <w:sz w:val="24"/>
          <w:szCs w:val="24"/>
        </w:rPr>
        <w:t xml:space="preserve">, while agreeing to </w:t>
      </w:r>
      <w:r w:rsidR="00484C47">
        <w:rPr>
          <w:rFonts w:ascii="Times New Roman" w:hAnsi="Times New Roman" w:cs="Times New Roman"/>
          <w:sz w:val="24"/>
          <w:szCs w:val="24"/>
        </w:rPr>
        <w:t>eliminate the assignment of a minimum percentage of non-shopping customers to MVR suppliers</w:t>
      </w:r>
      <w:r w:rsidR="00510286">
        <w:rPr>
          <w:rFonts w:ascii="Times New Roman" w:hAnsi="Times New Roman" w:cs="Times New Roman"/>
          <w:sz w:val="24"/>
          <w:szCs w:val="24"/>
        </w:rPr>
        <w:t xml:space="preserve">, Hess opposes OGMG/RESA/Columbia request that Columbia develop an allocation algorithm for Staff’s approval.  </w:t>
      </w:r>
    </w:p>
    <w:p w:rsidR="00B169BF" w:rsidRPr="00B169BF" w:rsidRDefault="00B169BF" w:rsidP="00B169BF">
      <w:pPr>
        <w:spacing w:before="120" w:after="0" w:line="480" w:lineRule="auto"/>
        <w:jc w:val="both"/>
        <w:rPr>
          <w:rFonts w:ascii="Times New Roman" w:hAnsi="Times New Roman" w:cs="Times New Roman"/>
          <w:b/>
          <w:i/>
          <w:sz w:val="24"/>
          <w:szCs w:val="24"/>
        </w:rPr>
      </w:pPr>
      <w:r w:rsidRPr="00B169BF">
        <w:rPr>
          <w:rFonts w:ascii="Times New Roman" w:hAnsi="Times New Roman"/>
          <w:b/>
          <w:i/>
          <w:sz w:val="24"/>
          <w:szCs w:val="24"/>
        </w:rPr>
        <w:t>II.</w:t>
      </w:r>
      <w:r w:rsidRPr="00B169BF">
        <w:rPr>
          <w:rFonts w:ascii="Times New Roman" w:hAnsi="Times New Roman"/>
          <w:b/>
          <w:i/>
          <w:sz w:val="24"/>
          <w:szCs w:val="24"/>
        </w:rPr>
        <w:tab/>
        <w:t>ARGUMENT</w:t>
      </w:r>
      <w:r w:rsidRPr="00B169BF">
        <w:rPr>
          <w:rFonts w:ascii="Times New Roman" w:hAnsi="Times New Roman" w:cs="Times New Roman"/>
          <w:b/>
          <w:i/>
          <w:sz w:val="24"/>
          <w:szCs w:val="24"/>
        </w:rPr>
        <w:t xml:space="preserve"> </w:t>
      </w:r>
    </w:p>
    <w:p w:rsidR="00B169BF" w:rsidRPr="00616BB2" w:rsidRDefault="00616BB2" w:rsidP="00616BB2">
      <w:pPr>
        <w:pStyle w:val="ListParagraph"/>
        <w:numPr>
          <w:ilvl w:val="0"/>
          <w:numId w:val="28"/>
        </w:numPr>
        <w:spacing w:after="0" w:line="240" w:lineRule="auto"/>
        <w:ind w:left="1440" w:right="630" w:hanging="720"/>
        <w:jc w:val="both"/>
        <w:rPr>
          <w:rFonts w:ascii="Times New Roman" w:hAnsi="Times New Roman" w:cs="Times New Roman"/>
          <w:b/>
          <w:sz w:val="24"/>
          <w:szCs w:val="24"/>
        </w:rPr>
      </w:pPr>
      <w:r w:rsidRPr="00616BB2">
        <w:rPr>
          <w:rFonts w:ascii="Times New Roman" w:hAnsi="Times New Roman" w:cs="Times New Roman"/>
          <w:b/>
          <w:sz w:val="24"/>
          <w:szCs w:val="24"/>
        </w:rPr>
        <w:t>DOMINION’S PROPOSED CLARIFICATIONS TO HESS WITNESS MAGNANI’S MVR ALLOCATION METHODOLOGY ARE UNREASONABLE</w:t>
      </w:r>
      <w:r>
        <w:rPr>
          <w:rFonts w:ascii="Times New Roman" w:hAnsi="Times New Roman" w:cs="Times New Roman"/>
          <w:b/>
          <w:sz w:val="24"/>
          <w:szCs w:val="24"/>
        </w:rPr>
        <w:t>.</w:t>
      </w:r>
    </w:p>
    <w:p w:rsidR="00B169BF" w:rsidRDefault="00616BB2" w:rsidP="00620664">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its application for rehearing, Dominion </w:t>
      </w:r>
      <w:r w:rsidR="00074A7B">
        <w:rPr>
          <w:rFonts w:ascii="Times New Roman" w:hAnsi="Times New Roman" w:cs="Times New Roman"/>
          <w:sz w:val="24"/>
          <w:szCs w:val="24"/>
        </w:rPr>
        <w:t xml:space="preserve">makes three proposals related to </w:t>
      </w:r>
      <w:r w:rsidR="00BC2680">
        <w:rPr>
          <w:rFonts w:ascii="Times New Roman" w:hAnsi="Times New Roman" w:cs="Times New Roman"/>
          <w:sz w:val="24"/>
          <w:szCs w:val="24"/>
        </w:rPr>
        <w:t>Hess’</w:t>
      </w:r>
      <w:r w:rsidR="00074A7B">
        <w:rPr>
          <w:rFonts w:ascii="Times New Roman" w:hAnsi="Times New Roman" w:cs="Times New Roman"/>
          <w:sz w:val="24"/>
          <w:szCs w:val="24"/>
        </w:rPr>
        <w:t xml:space="preserve"> </w:t>
      </w:r>
      <w:r>
        <w:rPr>
          <w:rFonts w:ascii="Times New Roman" w:hAnsi="Times New Roman" w:cs="Times New Roman"/>
          <w:sz w:val="24"/>
          <w:szCs w:val="24"/>
        </w:rPr>
        <w:t>MVR allocation</w:t>
      </w:r>
      <w:r w:rsidR="00074A7B">
        <w:rPr>
          <w:rFonts w:ascii="Times New Roman" w:hAnsi="Times New Roman" w:cs="Times New Roman"/>
          <w:sz w:val="24"/>
          <w:szCs w:val="24"/>
        </w:rPr>
        <w:t xml:space="preserve"> methodology</w:t>
      </w:r>
      <w:r w:rsidR="00BC2680">
        <w:rPr>
          <w:rFonts w:ascii="Times New Roman" w:hAnsi="Times New Roman" w:cs="Times New Roman"/>
          <w:sz w:val="24"/>
          <w:szCs w:val="24"/>
        </w:rPr>
        <w:t>, as adopted by the Commission</w:t>
      </w:r>
      <w:r w:rsidR="00074A7B">
        <w:rPr>
          <w:rFonts w:ascii="Times New Roman" w:hAnsi="Times New Roman" w:cs="Times New Roman"/>
          <w:sz w:val="24"/>
          <w:szCs w:val="24"/>
        </w:rPr>
        <w:t xml:space="preserve">:  </w:t>
      </w:r>
      <w:r>
        <w:rPr>
          <w:rFonts w:ascii="Times New Roman" w:hAnsi="Times New Roman" w:cs="Times New Roman"/>
          <w:sz w:val="24"/>
          <w:szCs w:val="24"/>
        </w:rPr>
        <w:t xml:space="preserve">(1) </w:t>
      </w:r>
      <w:r w:rsidR="00484C47">
        <w:rPr>
          <w:rFonts w:ascii="Times New Roman" w:hAnsi="Times New Roman" w:cs="Times New Roman"/>
          <w:sz w:val="24"/>
          <w:szCs w:val="24"/>
        </w:rPr>
        <w:t>s</w:t>
      </w:r>
      <w:r>
        <w:rPr>
          <w:rFonts w:ascii="Times New Roman" w:hAnsi="Times New Roman" w:cs="Times New Roman"/>
          <w:sz w:val="24"/>
          <w:szCs w:val="24"/>
        </w:rPr>
        <w:t xml:space="preserve">tandard </w:t>
      </w:r>
      <w:r w:rsidR="00484C47">
        <w:rPr>
          <w:rFonts w:ascii="Times New Roman" w:hAnsi="Times New Roman" w:cs="Times New Roman"/>
          <w:sz w:val="24"/>
          <w:szCs w:val="24"/>
        </w:rPr>
        <w:t>s</w:t>
      </w:r>
      <w:r>
        <w:rPr>
          <w:rFonts w:ascii="Times New Roman" w:hAnsi="Times New Roman" w:cs="Times New Roman"/>
          <w:sz w:val="24"/>
          <w:szCs w:val="24"/>
        </w:rPr>
        <w:t xml:space="preserve">ervice </w:t>
      </w:r>
      <w:r w:rsidR="00484C47">
        <w:rPr>
          <w:rFonts w:ascii="Times New Roman" w:hAnsi="Times New Roman" w:cs="Times New Roman"/>
          <w:sz w:val="24"/>
          <w:szCs w:val="24"/>
        </w:rPr>
        <w:t>o</w:t>
      </w:r>
      <w:r>
        <w:rPr>
          <w:rFonts w:ascii="Times New Roman" w:hAnsi="Times New Roman" w:cs="Times New Roman"/>
          <w:sz w:val="24"/>
          <w:szCs w:val="24"/>
        </w:rPr>
        <w:t xml:space="preserve">ption (“SSO”) </w:t>
      </w:r>
      <w:r>
        <w:rPr>
          <w:rFonts w:ascii="Times New Roman" w:hAnsi="Times New Roman" w:cs="Times New Roman"/>
          <w:sz w:val="24"/>
          <w:szCs w:val="24"/>
        </w:rPr>
        <w:lastRenderedPageBreak/>
        <w:t xml:space="preserve">auctions should </w:t>
      </w:r>
      <w:r w:rsidR="00BC2680">
        <w:rPr>
          <w:rFonts w:ascii="Times New Roman" w:hAnsi="Times New Roman" w:cs="Times New Roman"/>
          <w:sz w:val="24"/>
          <w:szCs w:val="24"/>
        </w:rPr>
        <w:t xml:space="preserve">not </w:t>
      </w:r>
      <w:r>
        <w:rPr>
          <w:rFonts w:ascii="Times New Roman" w:hAnsi="Times New Roman" w:cs="Times New Roman"/>
          <w:sz w:val="24"/>
          <w:szCs w:val="24"/>
        </w:rPr>
        <w:t>be included in the methodology, (2) the 2012 SCO auction should not be included in the methodology</w:t>
      </w:r>
      <w:r w:rsidR="00074A7B">
        <w:rPr>
          <w:rFonts w:ascii="Times New Roman" w:hAnsi="Times New Roman" w:cs="Times New Roman"/>
          <w:sz w:val="24"/>
          <w:szCs w:val="24"/>
        </w:rPr>
        <w:t>, and (3) the mechanics of the</w:t>
      </w:r>
      <w:r>
        <w:rPr>
          <w:rFonts w:ascii="Times New Roman" w:hAnsi="Times New Roman" w:cs="Times New Roman"/>
          <w:sz w:val="24"/>
          <w:szCs w:val="24"/>
        </w:rPr>
        <w:t xml:space="preserve"> methodology should be clarified, including the re-allocation of an SCO supplier’s customers </w:t>
      </w:r>
      <w:r w:rsidR="008A3506">
        <w:rPr>
          <w:rFonts w:ascii="Times New Roman" w:hAnsi="Times New Roman" w:cs="Times New Roman"/>
          <w:sz w:val="24"/>
          <w:szCs w:val="24"/>
        </w:rPr>
        <w:t>when the SCO s</w:t>
      </w:r>
      <w:r w:rsidR="00BC2680">
        <w:rPr>
          <w:rFonts w:ascii="Times New Roman" w:hAnsi="Times New Roman" w:cs="Times New Roman"/>
          <w:sz w:val="24"/>
          <w:szCs w:val="24"/>
        </w:rPr>
        <w:t xml:space="preserve">upplier chooses not to become an MVR </w:t>
      </w:r>
      <w:r w:rsidR="008A3506">
        <w:rPr>
          <w:rFonts w:ascii="Times New Roman" w:hAnsi="Times New Roman" w:cs="Times New Roman"/>
          <w:sz w:val="24"/>
          <w:szCs w:val="24"/>
        </w:rPr>
        <w:t xml:space="preserve">supplier.  </w:t>
      </w:r>
    </w:p>
    <w:p w:rsidR="00B169BF" w:rsidRPr="008A3506" w:rsidRDefault="008A3506" w:rsidP="00086FE3">
      <w:pPr>
        <w:pStyle w:val="ListParagraph"/>
        <w:numPr>
          <w:ilvl w:val="0"/>
          <w:numId w:val="29"/>
        </w:numPr>
        <w:spacing w:after="0" w:line="240" w:lineRule="auto"/>
        <w:ind w:left="2160" w:right="630" w:hanging="720"/>
        <w:jc w:val="both"/>
        <w:rPr>
          <w:rFonts w:ascii="Times New Roman" w:hAnsi="Times New Roman" w:cs="Times New Roman"/>
          <w:b/>
          <w:i/>
          <w:sz w:val="24"/>
          <w:szCs w:val="24"/>
        </w:rPr>
      </w:pPr>
      <w:r w:rsidRPr="008A3506">
        <w:rPr>
          <w:rFonts w:ascii="Times New Roman" w:hAnsi="Times New Roman" w:cs="Times New Roman"/>
          <w:b/>
          <w:i/>
          <w:sz w:val="24"/>
          <w:szCs w:val="24"/>
        </w:rPr>
        <w:t xml:space="preserve">Dominion’s First Ground for Rehearing is Moot, Because SSO Auctions were Not Included in the Commission’s Allocation Methodology. </w:t>
      </w:r>
    </w:p>
    <w:p w:rsidR="00B8296A" w:rsidRDefault="00BC2680" w:rsidP="008A3506">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its first ground for rehearing, Dominion argues that tranches awarded in SSO auctions should not be included in the</w:t>
      </w:r>
      <w:r w:rsidRPr="00BC2680">
        <w:rPr>
          <w:rFonts w:ascii="Times New Roman" w:hAnsi="Times New Roman" w:cs="Times New Roman"/>
          <w:sz w:val="24"/>
          <w:szCs w:val="24"/>
        </w:rPr>
        <w:t xml:space="preserve"> </w:t>
      </w:r>
      <w:r>
        <w:rPr>
          <w:rFonts w:ascii="Times New Roman" w:hAnsi="Times New Roman" w:cs="Times New Roman"/>
          <w:sz w:val="24"/>
          <w:szCs w:val="24"/>
        </w:rPr>
        <w:t xml:space="preserve">MVR allocation methodology adopted by the Commission.  However, </w:t>
      </w:r>
      <w:r w:rsidR="008A3506">
        <w:rPr>
          <w:rFonts w:ascii="Times New Roman" w:hAnsi="Times New Roman" w:cs="Times New Roman"/>
          <w:sz w:val="24"/>
          <w:szCs w:val="24"/>
        </w:rPr>
        <w:t xml:space="preserve">Dominion acknowledges that </w:t>
      </w:r>
      <w:r>
        <w:rPr>
          <w:rFonts w:ascii="Times New Roman" w:hAnsi="Times New Roman" w:cs="Times New Roman"/>
          <w:sz w:val="24"/>
          <w:szCs w:val="24"/>
        </w:rPr>
        <w:t xml:space="preserve">this </w:t>
      </w:r>
      <w:r w:rsidR="008A3506">
        <w:rPr>
          <w:rFonts w:ascii="Times New Roman" w:hAnsi="Times New Roman" w:cs="Times New Roman"/>
          <w:sz w:val="24"/>
          <w:szCs w:val="24"/>
        </w:rPr>
        <w:t xml:space="preserve">ground for rehearing is </w:t>
      </w:r>
      <w:r w:rsidR="00B8296A">
        <w:rPr>
          <w:rFonts w:ascii="Times New Roman" w:hAnsi="Times New Roman" w:cs="Times New Roman"/>
          <w:sz w:val="24"/>
          <w:szCs w:val="24"/>
        </w:rPr>
        <w:t xml:space="preserve">moot if the Commission did not intend to </w:t>
      </w:r>
      <w:r w:rsidR="006F5AFE">
        <w:rPr>
          <w:rFonts w:ascii="Times New Roman" w:hAnsi="Times New Roman" w:cs="Times New Roman"/>
          <w:sz w:val="24"/>
          <w:szCs w:val="24"/>
        </w:rPr>
        <w:t xml:space="preserve">so </w:t>
      </w:r>
      <w:r w:rsidR="00B8296A">
        <w:rPr>
          <w:rFonts w:ascii="Times New Roman" w:hAnsi="Times New Roman" w:cs="Times New Roman"/>
          <w:sz w:val="24"/>
          <w:szCs w:val="24"/>
        </w:rPr>
        <w:t xml:space="preserve">include </w:t>
      </w:r>
      <w:r>
        <w:rPr>
          <w:rFonts w:ascii="Times New Roman" w:hAnsi="Times New Roman" w:cs="Times New Roman"/>
          <w:sz w:val="24"/>
          <w:szCs w:val="24"/>
        </w:rPr>
        <w:t xml:space="preserve">SSO tranches.  </w:t>
      </w:r>
      <w:r w:rsidR="00B8296A">
        <w:rPr>
          <w:rFonts w:ascii="Times New Roman" w:hAnsi="Times New Roman" w:cs="Times New Roman"/>
          <w:sz w:val="24"/>
          <w:szCs w:val="24"/>
        </w:rPr>
        <w:t>Dominion Application for Rehearing, at 5.  The Order’s language to measure tranche ownership from “the date of this order going forward” shows that SSO tranches were not to be</w:t>
      </w:r>
      <w:r w:rsidR="008218CB">
        <w:rPr>
          <w:rFonts w:ascii="Times New Roman" w:hAnsi="Times New Roman" w:cs="Times New Roman"/>
          <w:sz w:val="24"/>
          <w:szCs w:val="24"/>
        </w:rPr>
        <w:t xml:space="preserve"> included</w:t>
      </w:r>
      <w:r>
        <w:rPr>
          <w:rFonts w:ascii="Times New Roman" w:hAnsi="Times New Roman" w:cs="Times New Roman"/>
          <w:sz w:val="24"/>
          <w:szCs w:val="24"/>
        </w:rPr>
        <w:t>, because the only tranches served as of that date (January 9, 2013)</w:t>
      </w:r>
      <w:r w:rsidR="008218CB">
        <w:rPr>
          <w:rFonts w:ascii="Times New Roman" w:hAnsi="Times New Roman" w:cs="Times New Roman"/>
          <w:sz w:val="24"/>
          <w:szCs w:val="24"/>
        </w:rPr>
        <w:t xml:space="preserve"> and going forward are </w:t>
      </w:r>
      <w:r w:rsidR="00003E55">
        <w:rPr>
          <w:rFonts w:ascii="Times New Roman" w:hAnsi="Times New Roman" w:cs="Times New Roman"/>
          <w:sz w:val="24"/>
          <w:szCs w:val="24"/>
        </w:rPr>
        <w:t xml:space="preserve">from </w:t>
      </w:r>
      <w:r>
        <w:rPr>
          <w:rFonts w:ascii="Times New Roman" w:hAnsi="Times New Roman" w:cs="Times New Roman"/>
          <w:sz w:val="24"/>
          <w:szCs w:val="24"/>
        </w:rPr>
        <w:t xml:space="preserve">SCO auctions.  </w:t>
      </w:r>
      <w:r w:rsidR="00B8296A">
        <w:rPr>
          <w:rFonts w:ascii="Times New Roman" w:hAnsi="Times New Roman" w:cs="Times New Roman"/>
          <w:sz w:val="24"/>
          <w:szCs w:val="24"/>
        </w:rPr>
        <w:t xml:space="preserve">Order, at 36.  </w:t>
      </w:r>
      <w:r>
        <w:rPr>
          <w:rFonts w:ascii="Times New Roman" w:hAnsi="Times New Roman" w:cs="Times New Roman"/>
          <w:sz w:val="24"/>
          <w:szCs w:val="24"/>
        </w:rPr>
        <w:t xml:space="preserve">Accord: </w:t>
      </w:r>
      <w:r w:rsidR="00B8296A">
        <w:rPr>
          <w:rFonts w:ascii="Times New Roman" w:hAnsi="Times New Roman" w:cs="Times New Roman"/>
          <w:sz w:val="24"/>
          <w:szCs w:val="24"/>
        </w:rPr>
        <w:t>Hess Application for Rehearing, at 22</w:t>
      </w:r>
      <w:r w:rsidR="008218CB">
        <w:rPr>
          <w:rFonts w:ascii="Times New Roman" w:hAnsi="Times New Roman" w:cs="Times New Roman"/>
          <w:sz w:val="24"/>
          <w:szCs w:val="24"/>
        </w:rPr>
        <w:t>, fn 11</w:t>
      </w:r>
      <w:r w:rsidR="00003E55">
        <w:rPr>
          <w:rFonts w:ascii="Times New Roman" w:hAnsi="Times New Roman" w:cs="Times New Roman"/>
          <w:sz w:val="24"/>
          <w:szCs w:val="24"/>
        </w:rPr>
        <w:t>.</w:t>
      </w:r>
      <w:r w:rsidR="008218CB">
        <w:rPr>
          <w:rStyle w:val="FootnoteReference"/>
          <w:rFonts w:ascii="Times New Roman" w:hAnsi="Times New Roman" w:cs="Times New Roman"/>
          <w:sz w:val="24"/>
          <w:szCs w:val="24"/>
        </w:rPr>
        <w:footnoteReference w:id="2"/>
      </w:r>
      <w:r w:rsidR="006F5AFE">
        <w:rPr>
          <w:rFonts w:ascii="Times New Roman" w:hAnsi="Times New Roman" w:cs="Times New Roman"/>
          <w:sz w:val="24"/>
          <w:szCs w:val="24"/>
        </w:rPr>
        <w:t xml:space="preserve">  Thus, Dominion’s first ground for rehearing should be rejected as moot.</w:t>
      </w:r>
    </w:p>
    <w:p w:rsidR="00B8296A" w:rsidRPr="00D44CC5" w:rsidRDefault="00D44CC5" w:rsidP="00086FE3">
      <w:pPr>
        <w:pStyle w:val="ListParagraph"/>
        <w:numPr>
          <w:ilvl w:val="0"/>
          <w:numId w:val="29"/>
        </w:numPr>
        <w:spacing w:before="120" w:after="0" w:line="240" w:lineRule="auto"/>
        <w:ind w:left="2160" w:right="634" w:hanging="720"/>
        <w:jc w:val="both"/>
        <w:rPr>
          <w:rFonts w:ascii="Times New Roman" w:hAnsi="Times New Roman" w:cs="Times New Roman"/>
          <w:b/>
          <w:i/>
          <w:sz w:val="24"/>
          <w:szCs w:val="24"/>
        </w:rPr>
      </w:pPr>
      <w:r w:rsidRPr="00D44CC5">
        <w:rPr>
          <w:rFonts w:ascii="Times New Roman" w:hAnsi="Times New Roman" w:cs="Times New Roman"/>
          <w:b/>
          <w:i/>
          <w:sz w:val="24"/>
          <w:szCs w:val="24"/>
        </w:rPr>
        <w:t>The</w:t>
      </w:r>
      <w:r w:rsidR="008218CB">
        <w:rPr>
          <w:rFonts w:ascii="Times New Roman" w:hAnsi="Times New Roman" w:cs="Times New Roman"/>
          <w:b/>
          <w:i/>
          <w:sz w:val="24"/>
          <w:szCs w:val="24"/>
        </w:rPr>
        <w:t xml:space="preserve"> Tranches Awarded in the </w:t>
      </w:r>
      <w:r w:rsidRPr="00D44CC5">
        <w:rPr>
          <w:rFonts w:ascii="Times New Roman" w:hAnsi="Times New Roman" w:cs="Times New Roman"/>
          <w:b/>
          <w:i/>
          <w:sz w:val="24"/>
          <w:szCs w:val="24"/>
        </w:rPr>
        <w:t>2012 SCO Auction Must be Included in the MVR Allocation Methodology</w:t>
      </w:r>
      <w:r w:rsidR="00B8296A" w:rsidRPr="00D44CC5">
        <w:rPr>
          <w:rFonts w:ascii="Times New Roman" w:hAnsi="Times New Roman" w:cs="Times New Roman"/>
          <w:b/>
          <w:i/>
          <w:sz w:val="24"/>
          <w:szCs w:val="24"/>
        </w:rPr>
        <w:t xml:space="preserve">. </w:t>
      </w:r>
    </w:p>
    <w:p w:rsidR="00E33816" w:rsidRDefault="008218CB" w:rsidP="008A3506">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its second ground for rehearing, Dominion argues that </w:t>
      </w:r>
      <w:r w:rsidR="00E33816">
        <w:rPr>
          <w:rFonts w:ascii="Times New Roman" w:hAnsi="Times New Roman" w:cs="Times New Roman"/>
          <w:sz w:val="24"/>
          <w:szCs w:val="24"/>
        </w:rPr>
        <w:t>the purpose of allocating non-shopping customers to SCO suppliers is to incentiv</w:t>
      </w:r>
      <w:r w:rsidR="00003E55">
        <w:rPr>
          <w:rFonts w:ascii="Times New Roman" w:hAnsi="Times New Roman" w:cs="Times New Roman"/>
          <w:sz w:val="24"/>
          <w:szCs w:val="24"/>
        </w:rPr>
        <w:t>ize</w:t>
      </w:r>
      <w:r w:rsidR="00E33816">
        <w:rPr>
          <w:rFonts w:ascii="Times New Roman" w:hAnsi="Times New Roman" w:cs="Times New Roman"/>
          <w:sz w:val="24"/>
          <w:szCs w:val="24"/>
        </w:rPr>
        <w:t xml:space="preserve"> SCO suppliers to </w:t>
      </w:r>
      <w:r w:rsidR="006F5AFE">
        <w:rPr>
          <w:rFonts w:ascii="Times New Roman" w:hAnsi="Times New Roman" w:cs="Times New Roman"/>
          <w:sz w:val="24"/>
          <w:szCs w:val="24"/>
        </w:rPr>
        <w:t xml:space="preserve">continue to </w:t>
      </w:r>
      <w:r w:rsidR="00E33816">
        <w:rPr>
          <w:rFonts w:ascii="Times New Roman" w:hAnsi="Times New Roman" w:cs="Times New Roman"/>
          <w:sz w:val="24"/>
          <w:szCs w:val="24"/>
        </w:rPr>
        <w:lastRenderedPageBreak/>
        <w:t xml:space="preserve">participate in the auction and, thus, bid down the SCO price.  </w:t>
      </w:r>
      <w:r w:rsidR="006F5AFE">
        <w:rPr>
          <w:rFonts w:ascii="Times New Roman" w:hAnsi="Times New Roman" w:cs="Times New Roman"/>
          <w:sz w:val="24"/>
          <w:szCs w:val="24"/>
        </w:rPr>
        <w:t xml:space="preserve">Dominion Application for Rehearing, at 6-7.  </w:t>
      </w:r>
      <w:r w:rsidR="00E33816">
        <w:rPr>
          <w:rFonts w:ascii="Times New Roman" w:hAnsi="Times New Roman" w:cs="Times New Roman"/>
          <w:sz w:val="24"/>
          <w:szCs w:val="24"/>
        </w:rPr>
        <w:t xml:space="preserve">Dominion reasons that, because the 2012 SCO auction was conducted prior to the Order’s issuance, the incentive is lost and the 2012 auction should not be included in the MVR allocation methodology adopted.  </w:t>
      </w:r>
      <w:r w:rsidR="006F5AFE">
        <w:rPr>
          <w:rFonts w:ascii="Times New Roman" w:hAnsi="Times New Roman" w:cs="Times New Roman"/>
          <w:sz w:val="24"/>
          <w:szCs w:val="24"/>
        </w:rPr>
        <w:t>Id.</w:t>
      </w:r>
    </w:p>
    <w:p w:rsidR="0040386F" w:rsidRDefault="00E33816" w:rsidP="0040386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Dominion conveniently ignores that the purpose of allocati</w:t>
      </w:r>
      <w:r w:rsidR="0040386F">
        <w:rPr>
          <w:rFonts w:ascii="Times New Roman" w:hAnsi="Times New Roman" w:cs="Times New Roman"/>
          <w:sz w:val="24"/>
          <w:szCs w:val="24"/>
        </w:rPr>
        <w:t xml:space="preserve">ng </w:t>
      </w:r>
      <w:r>
        <w:rPr>
          <w:rFonts w:ascii="Times New Roman" w:hAnsi="Times New Roman" w:cs="Times New Roman"/>
          <w:sz w:val="24"/>
          <w:szCs w:val="24"/>
        </w:rPr>
        <w:t xml:space="preserve">a portion of non-shopping customers </w:t>
      </w:r>
      <w:r w:rsidR="0040386F">
        <w:rPr>
          <w:rFonts w:ascii="Times New Roman" w:hAnsi="Times New Roman" w:cs="Times New Roman"/>
          <w:sz w:val="24"/>
          <w:szCs w:val="24"/>
        </w:rPr>
        <w:t>to SCO suppliers was two</w:t>
      </w:r>
      <w:r w:rsidR="00003E55">
        <w:rPr>
          <w:rFonts w:ascii="Times New Roman" w:hAnsi="Times New Roman" w:cs="Times New Roman"/>
          <w:sz w:val="24"/>
          <w:szCs w:val="24"/>
        </w:rPr>
        <w:t>fold</w:t>
      </w:r>
      <w:r w:rsidR="0040386F">
        <w:rPr>
          <w:rFonts w:ascii="Times New Roman" w:hAnsi="Times New Roman" w:cs="Times New Roman"/>
          <w:sz w:val="24"/>
          <w:szCs w:val="24"/>
        </w:rPr>
        <w:t xml:space="preserve">:  (1) to incent continued SCO supplier participation in the auctions and (2) to recognize SCO suppliers’ </w:t>
      </w:r>
      <w:r w:rsidR="006F5AFE">
        <w:rPr>
          <w:rFonts w:ascii="Times New Roman" w:hAnsi="Times New Roman" w:cs="Times New Roman"/>
          <w:sz w:val="24"/>
          <w:szCs w:val="24"/>
        </w:rPr>
        <w:t xml:space="preserve">historical </w:t>
      </w:r>
      <w:r w:rsidR="0040386F">
        <w:rPr>
          <w:rFonts w:ascii="Times New Roman" w:hAnsi="Times New Roman" w:cs="Times New Roman"/>
          <w:sz w:val="24"/>
          <w:szCs w:val="24"/>
        </w:rPr>
        <w:t xml:space="preserve">contribution and investment in reaching the 70% exit trigger.  Hess witness Magnani testified:  </w:t>
      </w:r>
    </w:p>
    <w:p w:rsidR="0040386F" w:rsidRDefault="0040386F" w:rsidP="0040386F">
      <w:pPr>
        <w:spacing w:after="0" w:line="240" w:lineRule="auto"/>
        <w:ind w:left="1440" w:right="630"/>
        <w:jc w:val="both"/>
        <w:rPr>
          <w:rFonts w:ascii="Times New Roman" w:hAnsi="Times New Roman" w:cs="Times New Roman"/>
          <w:sz w:val="24"/>
          <w:szCs w:val="24"/>
        </w:rPr>
      </w:pPr>
      <w:r>
        <w:rPr>
          <w:rFonts w:ascii="Times New Roman" w:hAnsi="Times New Roman" w:cs="Times New Roman"/>
          <w:sz w:val="24"/>
          <w:szCs w:val="24"/>
        </w:rPr>
        <w:t xml:space="preserve">Hess’ proposed MVR assignment methodology strikes the appropriate balance between </w:t>
      </w:r>
      <w:r w:rsidRPr="006C111B">
        <w:rPr>
          <w:rFonts w:ascii="Times New Roman" w:hAnsi="Times New Roman" w:cs="Times New Roman"/>
          <w:b/>
          <w:i/>
          <w:sz w:val="24"/>
          <w:szCs w:val="24"/>
        </w:rPr>
        <w:t>properly recognizing each supplier’s contribution and investment in reaching the 70% exit trigger</w:t>
      </w:r>
      <w:r>
        <w:rPr>
          <w:rFonts w:ascii="Times New Roman" w:hAnsi="Times New Roman" w:cs="Times New Roman"/>
          <w:sz w:val="24"/>
          <w:szCs w:val="24"/>
        </w:rPr>
        <w:t>, while continuing to incent all suppliers ([Choice] and SCO) to offer customers competitive products.</w:t>
      </w:r>
      <w:r w:rsidR="00D775F0" w:rsidRPr="00D775F0">
        <w:rPr>
          <w:rFonts w:ascii="Times New Roman" w:hAnsi="Times New Roman" w:cs="Times New Roman"/>
          <w:sz w:val="24"/>
          <w:szCs w:val="24"/>
          <w:vertAlign w:val="superscript"/>
        </w:rPr>
        <w:t>[</w:t>
      </w:r>
      <w:r w:rsidR="00D775F0">
        <w:rPr>
          <w:rStyle w:val="FootnoteReference"/>
          <w:rFonts w:ascii="Times New Roman" w:hAnsi="Times New Roman" w:cs="Times New Roman"/>
          <w:sz w:val="24"/>
          <w:szCs w:val="24"/>
        </w:rPr>
        <w:footnoteReference w:id="3"/>
      </w:r>
      <w:r w:rsidR="00D775F0" w:rsidRPr="00D775F0">
        <w:rPr>
          <w:rFonts w:ascii="Times New Roman" w:hAnsi="Times New Roman" w:cs="Times New Roman"/>
          <w:sz w:val="24"/>
          <w:szCs w:val="24"/>
          <w:vertAlign w:val="superscript"/>
        </w:rPr>
        <w:t>]</w:t>
      </w:r>
      <w:r>
        <w:rPr>
          <w:rFonts w:ascii="Times New Roman" w:hAnsi="Times New Roman" w:cs="Times New Roman"/>
          <w:sz w:val="24"/>
          <w:szCs w:val="24"/>
        </w:rPr>
        <w:t xml:space="preserve"> Incorporating historical tranche ownership is critical because the SCO auction has been the primary tool in transitioning from LDC-procured default service to providing a market-based benchmark price that Choice customer can use as a means of comparison.  (Hess Ex. 1, at 7-8, emphasis supplied.) </w:t>
      </w:r>
    </w:p>
    <w:p w:rsidR="0040386F" w:rsidRDefault="0040386F" w:rsidP="0040386F">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Commission recognized the dual rationale of including historical SCO tranche ownership in the MVR allocation methodology (to recognize past investment and to incent future investment) when it adopted Hess witness Magnani’s proposal:</w:t>
      </w:r>
    </w:p>
    <w:p w:rsidR="0040386F" w:rsidRDefault="0040386F" w:rsidP="0040386F">
      <w:pPr>
        <w:spacing w:after="0" w:line="240" w:lineRule="auto"/>
        <w:ind w:left="1440" w:right="634"/>
        <w:jc w:val="both"/>
        <w:rPr>
          <w:rFonts w:ascii="Times New Roman" w:hAnsi="Times New Roman" w:cs="Times New Roman"/>
          <w:sz w:val="24"/>
          <w:szCs w:val="24"/>
        </w:rPr>
      </w:pPr>
      <w:r>
        <w:rPr>
          <w:rFonts w:ascii="Times New Roman" w:hAnsi="Times New Roman" w:cs="Times New Roman"/>
          <w:sz w:val="24"/>
          <w:szCs w:val="24"/>
        </w:rPr>
        <w:t>We acknowledge that the SSO/</w:t>
      </w:r>
      <w:r w:rsidRPr="006C111B">
        <w:rPr>
          <w:rFonts w:ascii="Times New Roman" w:hAnsi="Times New Roman" w:cs="Times New Roman"/>
          <w:b/>
          <w:i/>
          <w:sz w:val="24"/>
          <w:szCs w:val="24"/>
        </w:rPr>
        <w:t>SCO suppliers have had to make</w:t>
      </w:r>
      <w:r>
        <w:rPr>
          <w:rFonts w:ascii="Times New Roman" w:hAnsi="Times New Roman" w:cs="Times New Roman"/>
          <w:sz w:val="24"/>
          <w:szCs w:val="24"/>
        </w:rPr>
        <w:t xml:space="preserve"> and must continue to make </w:t>
      </w:r>
      <w:r w:rsidRPr="006C111B">
        <w:rPr>
          <w:rFonts w:ascii="Times New Roman" w:hAnsi="Times New Roman" w:cs="Times New Roman"/>
          <w:b/>
          <w:i/>
          <w:sz w:val="24"/>
          <w:szCs w:val="24"/>
        </w:rPr>
        <w:t xml:space="preserve">investments in order to stay competitive in the SCO market. </w:t>
      </w:r>
      <w:r>
        <w:rPr>
          <w:rFonts w:ascii="Times New Roman" w:hAnsi="Times New Roman" w:cs="Times New Roman"/>
          <w:sz w:val="24"/>
          <w:szCs w:val="24"/>
        </w:rPr>
        <w:t xml:space="preserve"> Furthermore, </w:t>
      </w:r>
      <w:r w:rsidRPr="006C111B">
        <w:rPr>
          <w:rFonts w:ascii="Times New Roman" w:hAnsi="Times New Roman" w:cs="Times New Roman"/>
          <w:b/>
          <w:i/>
          <w:sz w:val="24"/>
          <w:szCs w:val="24"/>
        </w:rPr>
        <w:t>SCO suppliers</w:t>
      </w:r>
      <w:r>
        <w:rPr>
          <w:rFonts w:ascii="Times New Roman" w:hAnsi="Times New Roman" w:cs="Times New Roman"/>
          <w:sz w:val="24"/>
          <w:szCs w:val="24"/>
        </w:rPr>
        <w:t xml:space="preserve"> are CRNGS providers; therefore, they have met the criteria to serve customers under Columbia’s SCO program and </w:t>
      </w:r>
      <w:r w:rsidRPr="006C111B">
        <w:rPr>
          <w:rFonts w:ascii="Times New Roman" w:hAnsi="Times New Roman" w:cs="Times New Roman"/>
          <w:b/>
          <w:i/>
          <w:sz w:val="24"/>
          <w:szCs w:val="24"/>
        </w:rPr>
        <w:t>have invested in the SCO market</w:t>
      </w:r>
      <w:r>
        <w:rPr>
          <w:rFonts w:ascii="Times New Roman" w:hAnsi="Times New Roman" w:cs="Times New Roman"/>
          <w:sz w:val="24"/>
          <w:szCs w:val="24"/>
        </w:rPr>
        <w:t xml:space="preserve"> to do so.  (Order, at 36, emphasis supplied.)</w:t>
      </w:r>
    </w:p>
    <w:p w:rsidR="00003E55" w:rsidRDefault="00003E55" w:rsidP="00D21E4C">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upon these finding the Commission concluded:</w:t>
      </w:r>
    </w:p>
    <w:p w:rsidR="00003E55" w:rsidRDefault="00003E55" w:rsidP="00003E55">
      <w:pPr>
        <w:spacing w:after="0" w:line="240" w:lineRule="auto"/>
        <w:ind w:left="1440" w:right="634"/>
        <w:jc w:val="both"/>
        <w:rPr>
          <w:rFonts w:ascii="Times New Roman" w:hAnsi="Times New Roman" w:cs="Times New Roman"/>
          <w:sz w:val="24"/>
          <w:szCs w:val="24"/>
        </w:rPr>
      </w:pPr>
      <w:r>
        <w:rPr>
          <w:rFonts w:ascii="Times New Roman" w:hAnsi="Times New Roman" w:cs="Times New Roman"/>
          <w:sz w:val="24"/>
          <w:szCs w:val="24"/>
        </w:rPr>
        <w:lastRenderedPageBreak/>
        <w:t xml:space="preserve">A supplier’s average </w:t>
      </w:r>
      <w:r w:rsidRPr="00003E55">
        <w:rPr>
          <w:rFonts w:ascii="Times New Roman" w:hAnsi="Times New Roman" w:cs="Times New Roman"/>
          <w:b/>
          <w:i/>
          <w:sz w:val="24"/>
          <w:szCs w:val="24"/>
        </w:rPr>
        <w:t>historical</w:t>
      </w:r>
      <w:r>
        <w:rPr>
          <w:rFonts w:ascii="Times New Roman" w:hAnsi="Times New Roman" w:cs="Times New Roman"/>
          <w:b/>
          <w:i/>
          <w:sz w:val="24"/>
          <w:szCs w:val="24"/>
        </w:rPr>
        <w:t>…</w:t>
      </w:r>
      <w:r w:rsidRPr="00003E55">
        <w:rPr>
          <w:rFonts w:ascii="Times New Roman" w:hAnsi="Times New Roman" w:cs="Times New Roman"/>
          <w:b/>
          <w:i/>
          <w:sz w:val="24"/>
          <w:szCs w:val="24"/>
        </w:rPr>
        <w:t>SCO tranche ownership</w:t>
      </w:r>
      <w:r>
        <w:rPr>
          <w:rFonts w:ascii="Times New Roman" w:hAnsi="Times New Roman" w:cs="Times New Roman"/>
          <w:sz w:val="24"/>
          <w:szCs w:val="24"/>
        </w:rPr>
        <w:t xml:space="preserve"> for nonresidential customers shall be measure</w:t>
      </w:r>
      <w:r w:rsidR="006F5AFE">
        <w:rPr>
          <w:rFonts w:ascii="Times New Roman" w:hAnsi="Times New Roman" w:cs="Times New Roman"/>
          <w:sz w:val="24"/>
          <w:szCs w:val="24"/>
        </w:rPr>
        <w:t>d</w:t>
      </w:r>
      <w:r>
        <w:rPr>
          <w:rFonts w:ascii="Times New Roman" w:hAnsi="Times New Roman" w:cs="Times New Roman"/>
          <w:sz w:val="24"/>
          <w:szCs w:val="24"/>
        </w:rPr>
        <w:t xml:space="preserve"> </w:t>
      </w:r>
      <w:r w:rsidRPr="00003E55">
        <w:rPr>
          <w:rFonts w:ascii="Times New Roman" w:hAnsi="Times New Roman" w:cs="Times New Roman"/>
          <w:b/>
          <w:i/>
          <w:sz w:val="24"/>
          <w:szCs w:val="24"/>
        </w:rPr>
        <w:t>as of the date of this order</w:t>
      </w:r>
      <w:r>
        <w:rPr>
          <w:rFonts w:ascii="Times New Roman" w:hAnsi="Times New Roman" w:cs="Times New Roman"/>
          <w:sz w:val="24"/>
          <w:szCs w:val="24"/>
        </w:rPr>
        <w:t xml:space="preserve"> going forward.  Order, at 36, emphasis supplied.</w:t>
      </w:r>
    </w:p>
    <w:p w:rsidR="00D21E4C" w:rsidRDefault="0040386F" w:rsidP="00D21E4C">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evidence of record and the Commission’s Order are clear that historic</w:t>
      </w:r>
      <w:r w:rsidR="00003E55">
        <w:rPr>
          <w:rFonts w:ascii="Times New Roman" w:hAnsi="Times New Roman" w:cs="Times New Roman"/>
          <w:sz w:val="24"/>
          <w:szCs w:val="24"/>
        </w:rPr>
        <w:t>al</w:t>
      </w:r>
      <w:r>
        <w:rPr>
          <w:rFonts w:ascii="Times New Roman" w:hAnsi="Times New Roman" w:cs="Times New Roman"/>
          <w:sz w:val="24"/>
          <w:szCs w:val="24"/>
        </w:rPr>
        <w:t xml:space="preserve"> SCO tranche ownership is to be included in the MVR allocation methodology.  The Commission’s finding that such </w:t>
      </w:r>
      <w:r w:rsidR="00D775F0">
        <w:rPr>
          <w:rFonts w:ascii="Times New Roman" w:hAnsi="Times New Roman" w:cs="Times New Roman"/>
          <w:sz w:val="24"/>
          <w:szCs w:val="24"/>
        </w:rPr>
        <w:t>historic</w:t>
      </w:r>
      <w:r w:rsidR="00003E55">
        <w:rPr>
          <w:rFonts w:ascii="Times New Roman" w:hAnsi="Times New Roman" w:cs="Times New Roman"/>
          <w:sz w:val="24"/>
          <w:szCs w:val="24"/>
        </w:rPr>
        <w:t>al</w:t>
      </w:r>
      <w:r w:rsidR="00D775F0">
        <w:rPr>
          <w:rFonts w:ascii="Times New Roman" w:hAnsi="Times New Roman" w:cs="Times New Roman"/>
          <w:sz w:val="24"/>
          <w:szCs w:val="24"/>
        </w:rPr>
        <w:t xml:space="preserve"> SCO </w:t>
      </w:r>
      <w:r>
        <w:rPr>
          <w:rFonts w:ascii="Times New Roman" w:hAnsi="Times New Roman" w:cs="Times New Roman"/>
          <w:sz w:val="24"/>
          <w:szCs w:val="24"/>
        </w:rPr>
        <w:t>tranches</w:t>
      </w:r>
      <w:r w:rsidR="00003E55">
        <w:rPr>
          <w:rFonts w:ascii="Times New Roman" w:hAnsi="Times New Roman" w:cs="Times New Roman"/>
          <w:sz w:val="24"/>
          <w:szCs w:val="24"/>
        </w:rPr>
        <w:t xml:space="preserve"> are to</w:t>
      </w:r>
      <w:r>
        <w:rPr>
          <w:rFonts w:ascii="Times New Roman" w:hAnsi="Times New Roman" w:cs="Times New Roman"/>
          <w:sz w:val="24"/>
          <w:szCs w:val="24"/>
        </w:rPr>
        <w:t xml:space="preserve"> </w:t>
      </w:r>
      <w:r w:rsidR="00D775F0">
        <w:rPr>
          <w:rFonts w:ascii="Times New Roman" w:hAnsi="Times New Roman" w:cs="Times New Roman"/>
          <w:sz w:val="24"/>
          <w:szCs w:val="24"/>
        </w:rPr>
        <w:t>be “</w:t>
      </w:r>
      <w:r>
        <w:rPr>
          <w:rFonts w:ascii="Times New Roman" w:hAnsi="Times New Roman" w:cs="Times New Roman"/>
          <w:sz w:val="24"/>
          <w:szCs w:val="24"/>
        </w:rPr>
        <w:t>measured as of the date of this order”</w:t>
      </w:r>
      <w:r w:rsidR="00D775F0">
        <w:rPr>
          <w:rFonts w:ascii="Times New Roman" w:hAnsi="Times New Roman" w:cs="Times New Roman"/>
          <w:sz w:val="24"/>
          <w:szCs w:val="24"/>
        </w:rPr>
        <w:t xml:space="preserve"> plainly shows that the 2012 tranches being served </w:t>
      </w:r>
      <w:r w:rsidR="00003E55">
        <w:rPr>
          <w:rFonts w:ascii="Times New Roman" w:hAnsi="Times New Roman" w:cs="Times New Roman"/>
          <w:sz w:val="24"/>
          <w:szCs w:val="24"/>
        </w:rPr>
        <w:t xml:space="preserve">on the date the Order was issued are to be included in the MVR methodology.  </w:t>
      </w:r>
      <w:r w:rsidR="00D775F0">
        <w:rPr>
          <w:rFonts w:ascii="Times New Roman" w:hAnsi="Times New Roman" w:cs="Times New Roman"/>
          <w:sz w:val="24"/>
          <w:szCs w:val="24"/>
        </w:rPr>
        <w:t xml:space="preserve">  </w:t>
      </w:r>
    </w:p>
    <w:p w:rsidR="006C111B" w:rsidRDefault="00D21E4C" w:rsidP="00003E5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Dominion’s second ground for rehearing must be rejected.  </w:t>
      </w:r>
      <w:r w:rsidR="00472865">
        <w:rPr>
          <w:rFonts w:ascii="Times New Roman" w:hAnsi="Times New Roman" w:cs="Times New Roman"/>
          <w:sz w:val="24"/>
          <w:szCs w:val="24"/>
        </w:rPr>
        <w:t xml:space="preserve">As Hess requested in its own application for rehearing, the Commission should make explicit in its entry on rehearing that tranche ownership “as of the date of the order” includes tranches gained in the 2012 auction. Hess Application for Rehearing, at </w:t>
      </w:r>
      <w:r w:rsidR="00803DCF">
        <w:rPr>
          <w:rFonts w:ascii="Times New Roman" w:hAnsi="Times New Roman" w:cs="Times New Roman"/>
          <w:sz w:val="24"/>
          <w:szCs w:val="24"/>
        </w:rPr>
        <w:t>22.</w:t>
      </w:r>
    </w:p>
    <w:p w:rsidR="00803DCF" w:rsidRPr="00D44CC5" w:rsidRDefault="00803DCF" w:rsidP="00086FE3">
      <w:pPr>
        <w:pStyle w:val="ListParagraph"/>
        <w:numPr>
          <w:ilvl w:val="0"/>
          <w:numId w:val="29"/>
        </w:numPr>
        <w:spacing w:before="120" w:after="0" w:line="240" w:lineRule="auto"/>
        <w:ind w:left="2160" w:right="634" w:hanging="720"/>
        <w:jc w:val="both"/>
        <w:rPr>
          <w:rFonts w:ascii="Times New Roman" w:hAnsi="Times New Roman" w:cs="Times New Roman"/>
          <w:b/>
          <w:i/>
          <w:sz w:val="24"/>
          <w:szCs w:val="24"/>
        </w:rPr>
      </w:pPr>
      <w:r w:rsidRPr="00D44CC5">
        <w:rPr>
          <w:rFonts w:ascii="Times New Roman" w:hAnsi="Times New Roman" w:cs="Times New Roman"/>
          <w:b/>
          <w:i/>
          <w:sz w:val="24"/>
          <w:szCs w:val="24"/>
        </w:rPr>
        <w:t xml:space="preserve">The </w:t>
      </w:r>
      <w:r>
        <w:rPr>
          <w:rFonts w:ascii="Times New Roman" w:hAnsi="Times New Roman" w:cs="Times New Roman"/>
          <w:b/>
          <w:i/>
          <w:sz w:val="24"/>
          <w:szCs w:val="24"/>
        </w:rPr>
        <w:t xml:space="preserve">Mechanics of the MVR Allocation Methodology Should </w:t>
      </w:r>
      <w:r w:rsidR="00D21E4C">
        <w:rPr>
          <w:rFonts w:ascii="Times New Roman" w:hAnsi="Times New Roman" w:cs="Times New Roman"/>
          <w:b/>
          <w:i/>
          <w:sz w:val="24"/>
          <w:szCs w:val="24"/>
        </w:rPr>
        <w:t>B</w:t>
      </w:r>
      <w:r>
        <w:rPr>
          <w:rFonts w:ascii="Times New Roman" w:hAnsi="Times New Roman" w:cs="Times New Roman"/>
          <w:b/>
          <w:i/>
          <w:sz w:val="24"/>
          <w:szCs w:val="24"/>
        </w:rPr>
        <w:t xml:space="preserve">e Clarified and Provide for the Re-Allocation </w:t>
      </w:r>
      <w:r w:rsidRPr="00803DCF">
        <w:rPr>
          <w:rFonts w:ascii="Times New Roman" w:hAnsi="Times New Roman" w:cs="Times New Roman"/>
          <w:b/>
          <w:i/>
          <w:sz w:val="24"/>
          <w:szCs w:val="24"/>
        </w:rPr>
        <w:t xml:space="preserve">of an SCO </w:t>
      </w:r>
      <w:r>
        <w:rPr>
          <w:rFonts w:ascii="Times New Roman" w:hAnsi="Times New Roman" w:cs="Times New Roman"/>
          <w:b/>
          <w:i/>
          <w:sz w:val="24"/>
          <w:szCs w:val="24"/>
        </w:rPr>
        <w:t>S</w:t>
      </w:r>
      <w:r w:rsidRPr="00803DCF">
        <w:rPr>
          <w:rFonts w:ascii="Times New Roman" w:hAnsi="Times New Roman" w:cs="Times New Roman"/>
          <w:b/>
          <w:i/>
          <w:sz w:val="24"/>
          <w:szCs w:val="24"/>
        </w:rPr>
        <w:t xml:space="preserve">upplier’s </w:t>
      </w:r>
      <w:r>
        <w:rPr>
          <w:rFonts w:ascii="Times New Roman" w:hAnsi="Times New Roman" w:cs="Times New Roman"/>
          <w:b/>
          <w:i/>
          <w:sz w:val="24"/>
          <w:szCs w:val="24"/>
        </w:rPr>
        <w:t>C</w:t>
      </w:r>
      <w:r w:rsidRPr="00803DCF">
        <w:rPr>
          <w:rFonts w:ascii="Times New Roman" w:hAnsi="Times New Roman" w:cs="Times New Roman"/>
          <w:b/>
          <w:i/>
          <w:sz w:val="24"/>
          <w:szCs w:val="24"/>
        </w:rPr>
        <w:t xml:space="preserve">ustomers </w:t>
      </w:r>
      <w:r>
        <w:rPr>
          <w:rFonts w:ascii="Times New Roman" w:hAnsi="Times New Roman" w:cs="Times New Roman"/>
          <w:b/>
          <w:i/>
          <w:sz w:val="24"/>
          <w:szCs w:val="24"/>
        </w:rPr>
        <w:t>W</w:t>
      </w:r>
      <w:r w:rsidRPr="00803DCF">
        <w:rPr>
          <w:rFonts w:ascii="Times New Roman" w:hAnsi="Times New Roman" w:cs="Times New Roman"/>
          <w:b/>
          <w:i/>
          <w:sz w:val="24"/>
          <w:szCs w:val="24"/>
        </w:rPr>
        <w:t xml:space="preserve">hen the SCO </w:t>
      </w:r>
      <w:r>
        <w:rPr>
          <w:rFonts w:ascii="Times New Roman" w:hAnsi="Times New Roman" w:cs="Times New Roman"/>
          <w:b/>
          <w:i/>
          <w:sz w:val="24"/>
          <w:szCs w:val="24"/>
        </w:rPr>
        <w:t>S</w:t>
      </w:r>
      <w:r w:rsidRPr="00803DCF">
        <w:rPr>
          <w:rFonts w:ascii="Times New Roman" w:hAnsi="Times New Roman" w:cs="Times New Roman"/>
          <w:b/>
          <w:i/>
          <w:sz w:val="24"/>
          <w:szCs w:val="24"/>
        </w:rPr>
        <w:t xml:space="preserve">upplier </w:t>
      </w:r>
      <w:r>
        <w:rPr>
          <w:rFonts w:ascii="Times New Roman" w:hAnsi="Times New Roman" w:cs="Times New Roman"/>
          <w:b/>
          <w:i/>
          <w:sz w:val="24"/>
          <w:szCs w:val="24"/>
        </w:rPr>
        <w:t>C</w:t>
      </w:r>
      <w:r w:rsidRPr="00803DCF">
        <w:rPr>
          <w:rFonts w:ascii="Times New Roman" w:hAnsi="Times New Roman" w:cs="Times New Roman"/>
          <w:b/>
          <w:i/>
          <w:sz w:val="24"/>
          <w:szCs w:val="24"/>
        </w:rPr>
        <w:t xml:space="preserve">hooses </w:t>
      </w:r>
      <w:r w:rsidR="00D66C31">
        <w:rPr>
          <w:rFonts w:ascii="Times New Roman" w:hAnsi="Times New Roman" w:cs="Times New Roman"/>
          <w:b/>
          <w:i/>
          <w:sz w:val="24"/>
          <w:szCs w:val="24"/>
        </w:rPr>
        <w:t>N</w:t>
      </w:r>
      <w:r w:rsidRPr="00803DCF">
        <w:rPr>
          <w:rFonts w:ascii="Times New Roman" w:hAnsi="Times New Roman" w:cs="Times New Roman"/>
          <w:b/>
          <w:i/>
          <w:sz w:val="24"/>
          <w:szCs w:val="24"/>
        </w:rPr>
        <w:t xml:space="preserve">ot to </w:t>
      </w:r>
      <w:r>
        <w:rPr>
          <w:rFonts w:ascii="Times New Roman" w:hAnsi="Times New Roman" w:cs="Times New Roman"/>
          <w:b/>
          <w:i/>
          <w:sz w:val="24"/>
          <w:szCs w:val="24"/>
        </w:rPr>
        <w:t>B</w:t>
      </w:r>
      <w:r w:rsidRPr="00803DCF">
        <w:rPr>
          <w:rFonts w:ascii="Times New Roman" w:hAnsi="Times New Roman" w:cs="Times New Roman"/>
          <w:b/>
          <w:i/>
          <w:sz w:val="24"/>
          <w:szCs w:val="24"/>
        </w:rPr>
        <w:t>ecome a</w:t>
      </w:r>
      <w:r w:rsidR="00D66C31">
        <w:rPr>
          <w:rFonts w:ascii="Times New Roman" w:hAnsi="Times New Roman" w:cs="Times New Roman"/>
          <w:b/>
          <w:i/>
          <w:sz w:val="24"/>
          <w:szCs w:val="24"/>
        </w:rPr>
        <w:t>n</w:t>
      </w:r>
      <w:r w:rsidRPr="00803DCF">
        <w:rPr>
          <w:rFonts w:ascii="Times New Roman" w:hAnsi="Times New Roman" w:cs="Times New Roman"/>
          <w:b/>
          <w:i/>
          <w:sz w:val="24"/>
          <w:szCs w:val="24"/>
        </w:rPr>
        <w:t xml:space="preserve"> </w:t>
      </w:r>
      <w:r w:rsidR="00D66C31">
        <w:rPr>
          <w:rFonts w:ascii="Times New Roman" w:hAnsi="Times New Roman" w:cs="Times New Roman"/>
          <w:b/>
          <w:i/>
          <w:sz w:val="24"/>
          <w:szCs w:val="24"/>
        </w:rPr>
        <w:t xml:space="preserve">MVR </w:t>
      </w:r>
      <w:r>
        <w:rPr>
          <w:rFonts w:ascii="Times New Roman" w:hAnsi="Times New Roman" w:cs="Times New Roman"/>
          <w:b/>
          <w:i/>
          <w:sz w:val="24"/>
          <w:szCs w:val="24"/>
        </w:rPr>
        <w:t>S</w:t>
      </w:r>
      <w:r w:rsidRPr="00803DCF">
        <w:rPr>
          <w:rFonts w:ascii="Times New Roman" w:hAnsi="Times New Roman" w:cs="Times New Roman"/>
          <w:b/>
          <w:i/>
          <w:sz w:val="24"/>
          <w:szCs w:val="24"/>
        </w:rPr>
        <w:t>upplier</w:t>
      </w:r>
      <w:r>
        <w:rPr>
          <w:rFonts w:ascii="Times New Roman" w:hAnsi="Times New Roman" w:cs="Times New Roman"/>
          <w:b/>
          <w:i/>
          <w:sz w:val="24"/>
          <w:szCs w:val="24"/>
        </w:rPr>
        <w:t>.</w:t>
      </w:r>
    </w:p>
    <w:p w:rsidR="009646BF" w:rsidRDefault="00803DCF" w:rsidP="00086FE3">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its third ground for rehearing, Dominion seeks clarification as to how </w:t>
      </w:r>
      <w:r w:rsidR="009646BF">
        <w:rPr>
          <w:rFonts w:ascii="Times New Roman" w:hAnsi="Times New Roman" w:cs="Times New Roman"/>
          <w:sz w:val="24"/>
          <w:szCs w:val="24"/>
        </w:rPr>
        <w:t>“all of this is supposed to work” (Dominion Application for Rehearing, at 8), including what course to take if an SCO supplier awarded customers in the allocation process chose not to serve as a</w:t>
      </w:r>
      <w:r w:rsidR="00AF6647">
        <w:rPr>
          <w:rFonts w:ascii="Times New Roman" w:hAnsi="Times New Roman" w:cs="Times New Roman"/>
          <w:sz w:val="24"/>
          <w:szCs w:val="24"/>
        </w:rPr>
        <w:t xml:space="preserve">n MVR supplier.  </w:t>
      </w:r>
      <w:r w:rsidR="009646BF">
        <w:rPr>
          <w:rFonts w:ascii="Times New Roman" w:hAnsi="Times New Roman" w:cs="Times New Roman"/>
          <w:sz w:val="24"/>
          <w:szCs w:val="24"/>
        </w:rPr>
        <w:t xml:space="preserve">Hess, too, has asked the Commission to make the process explicit in its entry on rehearing.  </w:t>
      </w:r>
      <w:r w:rsidR="00D21E4C">
        <w:rPr>
          <w:rFonts w:ascii="Times New Roman" w:hAnsi="Times New Roman" w:cs="Times New Roman"/>
          <w:sz w:val="24"/>
          <w:szCs w:val="24"/>
        </w:rPr>
        <w:t xml:space="preserve">Hess Application for Rehearing, at 18-25.  </w:t>
      </w:r>
      <w:r w:rsidR="009646BF">
        <w:rPr>
          <w:rFonts w:ascii="Times New Roman" w:hAnsi="Times New Roman" w:cs="Times New Roman"/>
          <w:sz w:val="24"/>
          <w:szCs w:val="24"/>
        </w:rPr>
        <w:t>Th</w:t>
      </w:r>
      <w:r w:rsidR="000756DD">
        <w:rPr>
          <w:rFonts w:ascii="Times New Roman" w:hAnsi="Times New Roman" w:cs="Times New Roman"/>
          <w:sz w:val="24"/>
          <w:szCs w:val="24"/>
        </w:rPr>
        <w:t>e</w:t>
      </w:r>
      <w:r w:rsidR="009646BF">
        <w:rPr>
          <w:rFonts w:ascii="Times New Roman" w:hAnsi="Times New Roman" w:cs="Times New Roman"/>
          <w:sz w:val="24"/>
          <w:szCs w:val="24"/>
        </w:rPr>
        <w:t xml:space="preserve"> process is simple:</w:t>
      </w:r>
    </w:p>
    <w:p w:rsidR="009646BF" w:rsidRDefault="00773ED7" w:rsidP="00086FE3">
      <w:pPr>
        <w:pStyle w:val="ListParagraph"/>
        <w:numPr>
          <w:ilvl w:val="0"/>
          <w:numId w:val="30"/>
        </w:numPr>
        <w:spacing w:after="0" w:line="240" w:lineRule="auto"/>
        <w:ind w:left="2160" w:right="630" w:hanging="720"/>
        <w:jc w:val="both"/>
        <w:rPr>
          <w:rFonts w:ascii="Times New Roman" w:hAnsi="Times New Roman" w:cs="Times New Roman"/>
          <w:sz w:val="24"/>
          <w:szCs w:val="24"/>
        </w:rPr>
      </w:pPr>
      <w:r>
        <w:rPr>
          <w:rFonts w:ascii="Times New Roman" w:hAnsi="Times New Roman" w:cs="Times New Roman"/>
          <w:sz w:val="24"/>
          <w:szCs w:val="24"/>
        </w:rPr>
        <w:t xml:space="preserve">At the time of non-residential exit, </w:t>
      </w:r>
      <w:r w:rsidR="00432789">
        <w:rPr>
          <w:rFonts w:ascii="Times New Roman" w:hAnsi="Times New Roman" w:cs="Times New Roman"/>
          <w:sz w:val="24"/>
          <w:szCs w:val="24"/>
        </w:rPr>
        <w:t xml:space="preserve">non-residential </w:t>
      </w:r>
      <w:r w:rsidR="009646BF">
        <w:rPr>
          <w:rFonts w:ascii="Times New Roman" w:hAnsi="Times New Roman" w:cs="Times New Roman"/>
          <w:sz w:val="24"/>
          <w:szCs w:val="24"/>
        </w:rPr>
        <w:t xml:space="preserve">customers who have not selected a supplier will be allocated </w:t>
      </w:r>
      <w:r>
        <w:rPr>
          <w:rFonts w:ascii="Times New Roman" w:hAnsi="Times New Roman" w:cs="Times New Roman"/>
          <w:sz w:val="24"/>
          <w:szCs w:val="24"/>
        </w:rPr>
        <w:t xml:space="preserve">to </w:t>
      </w:r>
      <w:proofErr w:type="gramStart"/>
      <w:r>
        <w:rPr>
          <w:rFonts w:ascii="Times New Roman" w:hAnsi="Times New Roman" w:cs="Times New Roman"/>
          <w:sz w:val="24"/>
          <w:szCs w:val="24"/>
        </w:rPr>
        <w:t>approved</w:t>
      </w:r>
      <w:proofErr w:type="gramEnd"/>
      <w:r>
        <w:rPr>
          <w:rFonts w:ascii="Times New Roman" w:hAnsi="Times New Roman" w:cs="Times New Roman"/>
          <w:sz w:val="24"/>
          <w:szCs w:val="24"/>
        </w:rPr>
        <w:t xml:space="preserve"> MVR suppliers.  </w:t>
      </w:r>
      <w:r w:rsidR="00346A46">
        <w:rPr>
          <w:rFonts w:ascii="Times New Roman" w:hAnsi="Times New Roman" w:cs="Times New Roman"/>
          <w:sz w:val="24"/>
          <w:szCs w:val="24"/>
        </w:rPr>
        <w:t xml:space="preserve"> Hess Ex. 1, at 7.</w:t>
      </w:r>
    </w:p>
    <w:p w:rsidR="00773ED7" w:rsidRDefault="00773ED7" w:rsidP="00086FE3">
      <w:pPr>
        <w:pStyle w:val="ListParagraph"/>
        <w:numPr>
          <w:ilvl w:val="0"/>
          <w:numId w:val="30"/>
        </w:numPr>
        <w:spacing w:before="120" w:after="0" w:line="240" w:lineRule="auto"/>
        <w:ind w:left="2160" w:right="634" w:hanging="720"/>
        <w:contextualSpacing w:val="0"/>
        <w:jc w:val="both"/>
        <w:rPr>
          <w:rFonts w:ascii="Times New Roman" w:hAnsi="Times New Roman" w:cs="Times New Roman"/>
          <w:sz w:val="24"/>
          <w:szCs w:val="24"/>
        </w:rPr>
      </w:pPr>
      <w:r w:rsidRPr="00773ED7">
        <w:rPr>
          <w:rFonts w:ascii="Times New Roman" w:hAnsi="Times New Roman" w:cs="Times New Roman"/>
          <w:sz w:val="24"/>
          <w:szCs w:val="24"/>
        </w:rPr>
        <w:t xml:space="preserve">Assuming that, at the time of exit, 70% of choice-eligible </w:t>
      </w:r>
      <w:r w:rsidR="00B10A7E">
        <w:rPr>
          <w:rFonts w:ascii="Times New Roman" w:hAnsi="Times New Roman" w:cs="Times New Roman"/>
          <w:sz w:val="24"/>
          <w:szCs w:val="24"/>
        </w:rPr>
        <w:t xml:space="preserve">non-residential </w:t>
      </w:r>
      <w:r w:rsidRPr="00773ED7">
        <w:rPr>
          <w:rFonts w:ascii="Times New Roman" w:hAnsi="Times New Roman" w:cs="Times New Roman"/>
          <w:sz w:val="24"/>
          <w:szCs w:val="24"/>
        </w:rPr>
        <w:t>customers are enrolled with Choice suppliers, the r</w:t>
      </w:r>
      <w:r w:rsidR="009646BF" w:rsidRPr="00773ED7">
        <w:rPr>
          <w:rFonts w:ascii="Times New Roman" w:hAnsi="Times New Roman" w:cs="Times New Roman"/>
          <w:sz w:val="24"/>
          <w:szCs w:val="24"/>
        </w:rPr>
        <w:t xml:space="preserve">emaining 30% of </w:t>
      </w:r>
      <w:r w:rsidR="00854E89">
        <w:rPr>
          <w:rFonts w:ascii="Times New Roman" w:hAnsi="Times New Roman" w:cs="Times New Roman"/>
          <w:sz w:val="24"/>
          <w:szCs w:val="24"/>
        </w:rPr>
        <w:t>non-shopping</w:t>
      </w:r>
      <w:r w:rsidR="00B10A7E">
        <w:rPr>
          <w:rFonts w:ascii="Times New Roman" w:hAnsi="Times New Roman" w:cs="Times New Roman"/>
          <w:sz w:val="24"/>
          <w:szCs w:val="24"/>
        </w:rPr>
        <w:t>,</w:t>
      </w:r>
      <w:r w:rsidR="00854E89">
        <w:rPr>
          <w:rFonts w:ascii="Times New Roman" w:hAnsi="Times New Roman" w:cs="Times New Roman"/>
          <w:sz w:val="24"/>
          <w:szCs w:val="24"/>
        </w:rPr>
        <w:t xml:space="preserve"> </w:t>
      </w:r>
      <w:r w:rsidR="00B10A7E">
        <w:rPr>
          <w:rFonts w:ascii="Times New Roman" w:hAnsi="Times New Roman" w:cs="Times New Roman"/>
          <w:sz w:val="24"/>
          <w:szCs w:val="24"/>
        </w:rPr>
        <w:t xml:space="preserve">non-residential </w:t>
      </w:r>
      <w:r w:rsidR="009646BF" w:rsidRPr="00773ED7">
        <w:rPr>
          <w:rFonts w:ascii="Times New Roman" w:hAnsi="Times New Roman" w:cs="Times New Roman"/>
          <w:sz w:val="24"/>
          <w:szCs w:val="24"/>
        </w:rPr>
        <w:t>customers will be allocated</w:t>
      </w:r>
      <w:r>
        <w:rPr>
          <w:rFonts w:ascii="Times New Roman" w:hAnsi="Times New Roman" w:cs="Times New Roman"/>
          <w:sz w:val="24"/>
          <w:szCs w:val="24"/>
        </w:rPr>
        <w:t xml:space="preserve"> as follows:  </w:t>
      </w:r>
    </w:p>
    <w:p w:rsidR="00773ED7" w:rsidRDefault="00773ED7" w:rsidP="00086FE3">
      <w:pPr>
        <w:pStyle w:val="ListParagraph"/>
        <w:numPr>
          <w:ilvl w:val="1"/>
          <w:numId w:val="30"/>
        </w:numPr>
        <w:spacing w:before="120" w:after="0" w:line="240" w:lineRule="auto"/>
        <w:ind w:left="2880" w:right="634" w:hanging="7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Of th</w:t>
      </w:r>
      <w:r w:rsidR="00D21E4C">
        <w:rPr>
          <w:rFonts w:ascii="Times New Roman" w:hAnsi="Times New Roman" w:cs="Times New Roman"/>
          <w:sz w:val="24"/>
          <w:szCs w:val="24"/>
        </w:rPr>
        <w:t>is</w:t>
      </w:r>
      <w:r>
        <w:rPr>
          <w:rFonts w:ascii="Times New Roman" w:hAnsi="Times New Roman" w:cs="Times New Roman"/>
          <w:sz w:val="24"/>
          <w:szCs w:val="24"/>
        </w:rPr>
        <w:t xml:space="preserve"> 30% of </w:t>
      </w:r>
      <w:r w:rsidR="00854E89">
        <w:rPr>
          <w:rFonts w:ascii="Times New Roman" w:hAnsi="Times New Roman" w:cs="Times New Roman"/>
          <w:sz w:val="24"/>
          <w:szCs w:val="24"/>
        </w:rPr>
        <w:t xml:space="preserve">non-shopping </w:t>
      </w:r>
      <w:r>
        <w:rPr>
          <w:rFonts w:ascii="Times New Roman" w:hAnsi="Times New Roman" w:cs="Times New Roman"/>
          <w:sz w:val="24"/>
          <w:szCs w:val="24"/>
        </w:rPr>
        <w:t xml:space="preserve">customers, 70% would be allocated to Choice suppliers based on their proportionate share of </w:t>
      </w:r>
      <w:r w:rsidR="00EB248A">
        <w:rPr>
          <w:rFonts w:ascii="Times New Roman" w:hAnsi="Times New Roman" w:cs="Times New Roman"/>
          <w:sz w:val="24"/>
          <w:szCs w:val="24"/>
        </w:rPr>
        <w:t>enrolled</w:t>
      </w:r>
      <w:r w:rsidR="0034187A">
        <w:rPr>
          <w:rFonts w:ascii="Times New Roman" w:hAnsi="Times New Roman" w:cs="Times New Roman"/>
          <w:sz w:val="24"/>
          <w:szCs w:val="24"/>
        </w:rPr>
        <w:t xml:space="preserve"> non-residential,</w:t>
      </w:r>
      <w:r w:rsidR="00EB248A">
        <w:rPr>
          <w:rFonts w:ascii="Times New Roman" w:hAnsi="Times New Roman" w:cs="Times New Roman"/>
          <w:sz w:val="24"/>
          <w:szCs w:val="24"/>
        </w:rPr>
        <w:t xml:space="preserve"> </w:t>
      </w:r>
      <w:r>
        <w:rPr>
          <w:rFonts w:ascii="Times New Roman" w:hAnsi="Times New Roman" w:cs="Times New Roman"/>
          <w:sz w:val="24"/>
          <w:szCs w:val="24"/>
        </w:rPr>
        <w:t>Choice customers at the time of exit.</w:t>
      </w:r>
      <w:r w:rsidR="00346A46">
        <w:rPr>
          <w:rFonts w:ascii="Times New Roman" w:hAnsi="Times New Roman" w:cs="Times New Roman"/>
          <w:sz w:val="24"/>
          <w:szCs w:val="24"/>
        </w:rPr>
        <w:t xml:space="preserve">   Hess Ex. 1, at 7; </w:t>
      </w:r>
      <w:r w:rsidR="00854E89">
        <w:rPr>
          <w:rFonts w:ascii="Times New Roman" w:hAnsi="Times New Roman" w:cs="Times New Roman"/>
          <w:sz w:val="24"/>
          <w:szCs w:val="24"/>
        </w:rPr>
        <w:t xml:space="preserve">at </w:t>
      </w:r>
      <w:r w:rsidR="00346A46">
        <w:rPr>
          <w:rFonts w:ascii="Times New Roman" w:hAnsi="Times New Roman" w:cs="Times New Roman"/>
          <w:sz w:val="24"/>
          <w:szCs w:val="24"/>
        </w:rPr>
        <w:t>Hess Ex. 1, Exhibit OM-2.</w:t>
      </w:r>
    </w:p>
    <w:p w:rsidR="00472865" w:rsidRPr="00346A46" w:rsidRDefault="00773ED7" w:rsidP="00086FE3">
      <w:pPr>
        <w:pStyle w:val="ListParagraph"/>
        <w:numPr>
          <w:ilvl w:val="1"/>
          <w:numId w:val="30"/>
        </w:numPr>
        <w:spacing w:before="120" w:after="0" w:line="240" w:lineRule="auto"/>
        <w:ind w:left="2880" w:right="634" w:hanging="720"/>
        <w:contextualSpacing w:val="0"/>
        <w:jc w:val="both"/>
        <w:rPr>
          <w:rFonts w:ascii="Times New Roman" w:hAnsi="Times New Roman" w:cs="Times New Roman"/>
          <w:sz w:val="24"/>
          <w:szCs w:val="24"/>
        </w:rPr>
      </w:pPr>
      <w:r>
        <w:rPr>
          <w:rFonts w:ascii="Times New Roman" w:hAnsi="Times New Roman" w:cs="Times New Roman"/>
          <w:sz w:val="24"/>
          <w:szCs w:val="24"/>
        </w:rPr>
        <w:t>Of th</w:t>
      </w:r>
      <w:r w:rsidR="00EB248A">
        <w:rPr>
          <w:rFonts w:ascii="Times New Roman" w:hAnsi="Times New Roman" w:cs="Times New Roman"/>
          <w:sz w:val="24"/>
          <w:szCs w:val="24"/>
        </w:rPr>
        <w:t>is</w:t>
      </w:r>
      <w:r w:rsidR="00854E89">
        <w:rPr>
          <w:rFonts w:ascii="Times New Roman" w:hAnsi="Times New Roman" w:cs="Times New Roman"/>
          <w:sz w:val="24"/>
          <w:szCs w:val="24"/>
        </w:rPr>
        <w:t xml:space="preserve"> </w:t>
      </w:r>
      <w:r>
        <w:rPr>
          <w:rFonts w:ascii="Times New Roman" w:hAnsi="Times New Roman" w:cs="Times New Roman"/>
          <w:sz w:val="24"/>
          <w:szCs w:val="24"/>
        </w:rPr>
        <w:t xml:space="preserve">30% of </w:t>
      </w:r>
      <w:r w:rsidR="00854E89">
        <w:rPr>
          <w:rFonts w:ascii="Times New Roman" w:hAnsi="Times New Roman" w:cs="Times New Roman"/>
          <w:sz w:val="24"/>
          <w:szCs w:val="24"/>
        </w:rPr>
        <w:t xml:space="preserve">non-shopping </w:t>
      </w:r>
      <w:r>
        <w:rPr>
          <w:rFonts w:ascii="Times New Roman" w:hAnsi="Times New Roman" w:cs="Times New Roman"/>
          <w:sz w:val="24"/>
          <w:szCs w:val="24"/>
        </w:rPr>
        <w:t>customers, 30% would be allocated to SCO suppliers</w:t>
      </w:r>
      <w:r w:rsidR="009646BF" w:rsidRPr="00773ED7">
        <w:rPr>
          <w:rFonts w:ascii="Times New Roman" w:hAnsi="Times New Roman" w:cs="Times New Roman"/>
          <w:sz w:val="24"/>
          <w:szCs w:val="24"/>
        </w:rPr>
        <w:t xml:space="preserve"> </w:t>
      </w:r>
      <w:r>
        <w:rPr>
          <w:rFonts w:ascii="Times New Roman" w:hAnsi="Times New Roman" w:cs="Times New Roman"/>
          <w:sz w:val="24"/>
          <w:szCs w:val="24"/>
        </w:rPr>
        <w:t xml:space="preserve">based upon their average tranche ownership from the date of the Order (which includes tranche ownership from the 2012 auction) to the time of exit. </w:t>
      </w:r>
      <w:r w:rsidR="00EB248A">
        <w:rPr>
          <w:rFonts w:ascii="Times New Roman" w:hAnsi="Times New Roman" w:cs="Times New Roman"/>
          <w:sz w:val="24"/>
          <w:szCs w:val="24"/>
        </w:rPr>
        <w:t xml:space="preserve"> </w:t>
      </w:r>
      <w:r w:rsidR="00346A46">
        <w:rPr>
          <w:rFonts w:ascii="Times New Roman" w:hAnsi="Times New Roman" w:cs="Times New Roman"/>
          <w:sz w:val="24"/>
          <w:szCs w:val="24"/>
        </w:rPr>
        <w:t xml:space="preserve">Hess Ex. 1, at 7; Hess Ex. 1, </w:t>
      </w:r>
      <w:r w:rsidR="00854E89">
        <w:rPr>
          <w:rFonts w:ascii="Times New Roman" w:hAnsi="Times New Roman" w:cs="Times New Roman"/>
          <w:sz w:val="24"/>
          <w:szCs w:val="24"/>
        </w:rPr>
        <w:t xml:space="preserve">at </w:t>
      </w:r>
      <w:r w:rsidR="00346A46">
        <w:rPr>
          <w:rFonts w:ascii="Times New Roman" w:hAnsi="Times New Roman" w:cs="Times New Roman"/>
          <w:sz w:val="24"/>
          <w:szCs w:val="24"/>
        </w:rPr>
        <w:t>Exhibit OM-2.</w:t>
      </w:r>
    </w:p>
    <w:p w:rsidR="00AF6647" w:rsidRDefault="00346A46" w:rsidP="00086FE3">
      <w:pPr>
        <w:pStyle w:val="ListParagraph"/>
        <w:numPr>
          <w:ilvl w:val="2"/>
          <w:numId w:val="30"/>
        </w:numPr>
        <w:spacing w:before="120" w:after="0" w:line="240" w:lineRule="auto"/>
        <w:ind w:left="3600" w:right="634"/>
        <w:contextualSpacing w:val="0"/>
        <w:jc w:val="both"/>
        <w:rPr>
          <w:rFonts w:ascii="Times New Roman" w:hAnsi="Times New Roman" w:cs="Times New Roman"/>
          <w:sz w:val="24"/>
          <w:szCs w:val="24"/>
        </w:rPr>
      </w:pPr>
      <w:r>
        <w:rPr>
          <w:rFonts w:ascii="Times New Roman" w:hAnsi="Times New Roman" w:cs="Times New Roman"/>
          <w:sz w:val="24"/>
          <w:szCs w:val="24"/>
        </w:rPr>
        <w:t xml:space="preserve">Average tranche ownership would be </w:t>
      </w:r>
      <w:r w:rsidR="00EB248A">
        <w:rPr>
          <w:rFonts w:ascii="Times New Roman" w:hAnsi="Times New Roman" w:cs="Times New Roman"/>
          <w:sz w:val="24"/>
          <w:szCs w:val="24"/>
        </w:rPr>
        <w:t xml:space="preserve">calculated by </w:t>
      </w:r>
      <w:r>
        <w:rPr>
          <w:rFonts w:ascii="Times New Roman" w:hAnsi="Times New Roman" w:cs="Times New Roman"/>
          <w:sz w:val="24"/>
          <w:szCs w:val="24"/>
        </w:rPr>
        <w:t>determin</w:t>
      </w:r>
      <w:r w:rsidR="00EB248A">
        <w:rPr>
          <w:rFonts w:ascii="Times New Roman" w:hAnsi="Times New Roman" w:cs="Times New Roman"/>
          <w:sz w:val="24"/>
          <w:szCs w:val="24"/>
        </w:rPr>
        <w:t xml:space="preserve">ing </w:t>
      </w:r>
      <w:r>
        <w:rPr>
          <w:rFonts w:ascii="Times New Roman" w:hAnsi="Times New Roman" w:cs="Times New Roman"/>
          <w:sz w:val="24"/>
          <w:szCs w:val="24"/>
        </w:rPr>
        <w:t xml:space="preserve">the percentage of </w:t>
      </w:r>
      <w:r w:rsidR="00D8610C">
        <w:rPr>
          <w:rFonts w:ascii="Times New Roman" w:hAnsi="Times New Roman" w:cs="Times New Roman"/>
          <w:sz w:val="24"/>
          <w:szCs w:val="24"/>
        </w:rPr>
        <w:t xml:space="preserve">total </w:t>
      </w:r>
      <w:r>
        <w:rPr>
          <w:rFonts w:ascii="Times New Roman" w:hAnsi="Times New Roman" w:cs="Times New Roman"/>
          <w:sz w:val="24"/>
          <w:szCs w:val="24"/>
        </w:rPr>
        <w:t>tranches an SCO supplier</w:t>
      </w:r>
      <w:r w:rsidR="00EB248A">
        <w:rPr>
          <w:rFonts w:ascii="Times New Roman" w:hAnsi="Times New Roman" w:cs="Times New Roman"/>
          <w:sz w:val="24"/>
          <w:szCs w:val="24"/>
        </w:rPr>
        <w:t xml:space="preserve"> served</w:t>
      </w:r>
      <w:r>
        <w:rPr>
          <w:rFonts w:ascii="Times New Roman" w:hAnsi="Times New Roman" w:cs="Times New Roman"/>
          <w:sz w:val="24"/>
          <w:szCs w:val="24"/>
        </w:rPr>
        <w:t xml:space="preserve"> from the 2012 SCO auction to the time of exit.  </w:t>
      </w:r>
      <w:r w:rsidR="00854E89">
        <w:rPr>
          <w:rFonts w:ascii="Times New Roman" w:hAnsi="Times New Roman" w:cs="Times New Roman"/>
          <w:sz w:val="24"/>
          <w:szCs w:val="24"/>
        </w:rPr>
        <w:t>Hess Ex. 1, at Exhibit OM-2.</w:t>
      </w:r>
      <w:bookmarkStart w:id="0" w:name="_GoBack"/>
      <w:bookmarkEnd w:id="0"/>
    </w:p>
    <w:p w:rsidR="00346A46" w:rsidRDefault="00346A46" w:rsidP="00086FE3">
      <w:pPr>
        <w:pStyle w:val="ListParagraph"/>
        <w:numPr>
          <w:ilvl w:val="2"/>
          <w:numId w:val="30"/>
        </w:numPr>
        <w:spacing w:before="120" w:after="0" w:line="240" w:lineRule="auto"/>
        <w:ind w:left="3600" w:right="634"/>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percentage would be </w:t>
      </w:r>
      <w:r w:rsidR="00854E89">
        <w:rPr>
          <w:rFonts w:ascii="Times New Roman" w:hAnsi="Times New Roman" w:cs="Times New Roman"/>
          <w:sz w:val="24"/>
          <w:szCs w:val="24"/>
        </w:rPr>
        <w:t>applied to the SCO suppliers’ 30% share of the remaining 30% of non-shopping</w:t>
      </w:r>
      <w:r w:rsidR="00432789">
        <w:rPr>
          <w:rFonts w:ascii="Times New Roman" w:hAnsi="Times New Roman" w:cs="Times New Roman"/>
          <w:sz w:val="24"/>
          <w:szCs w:val="24"/>
        </w:rPr>
        <w:t>, non-residential</w:t>
      </w:r>
      <w:r w:rsidR="00854E89">
        <w:rPr>
          <w:rFonts w:ascii="Times New Roman" w:hAnsi="Times New Roman" w:cs="Times New Roman"/>
          <w:sz w:val="24"/>
          <w:szCs w:val="24"/>
        </w:rPr>
        <w:t xml:space="preserve"> customers to obtain the number of customers allocated to each SCO supplier.  Id.   </w:t>
      </w:r>
    </w:p>
    <w:p w:rsidR="00E74178" w:rsidRPr="00E74178" w:rsidRDefault="00E74178" w:rsidP="00E74178">
      <w:pPr>
        <w:pStyle w:val="ListParagraph"/>
        <w:numPr>
          <w:ilvl w:val="1"/>
          <w:numId w:val="30"/>
        </w:numPr>
        <w:spacing w:before="120" w:after="0" w:line="240" w:lineRule="auto"/>
        <w:ind w:left="2880" w:right="634"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An allocation ratio would then be developed for each supplier by combining the Choice allocation in paragraph 2(a) with the SCO allocation in paragraph 2(b), divided by the total number of non-residential customers to be assigned.  </w:t>
      </w:r>
      <w:r w:rsidR="00510286">
        <w:rPr>
          <w:rFonts w:ascii="Times New Roman" w:hAnsi="Times New Roman" w:cs="Times New Roman"/>
          <w:sz w:val="24"/>
          <w:szCs w:val="24"/>
        </w:rPr>
        <w:t xml:space="preserve"> Hess Ex. 1, at 7.</w:t>
      </w:r>
    </w:p>
    <w:p w:rsidR="004E7ECC" w:rsidRDefault="004E7ECC" w:rsidP="00086FE3">
      <w:pPr>
        <w:pStyle w:val="ListParagraph"/>
        <w:numPr>
          <w:ilvl w:val="0"/>
          <w:numId w:val="30"/>
        </w:numPr>
        <w:spacing w:before="120" w:after="0" w:line="240" w:lineRule="auto"/>
        <w:ind w:left="2160" w:right="634"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An SCO supplier entitled to an allocation of customers under the above process could opt to have its affiliate, if duly certificated and licensed as </w:t>
      </w:r>
      <w:r w:rsidR="00D8610C">
        <w:rPr>
          <w:rFonts w:ascii="Times New Roman" w:hAnsi="Times New Roman" w:cs="Times New Roman"/>
          <w:sz w:val="24"/>
          <w:szCs w:val="24"/>
        </w:rPr>
        <w:t>an MVR</w:t>
      </w:r>
      <w:r>
        <w:rPr>
          <w:rFonts w:ascii="Times New Roman" w:hAnsi="Times New Roman" w:cs="Times New Roman"/>
          <w:sz w:val="24"/>
          <w:szCs w:val="24"/>
        </w:rPr>
        <w:t xml:space="preserve"> supplier, provide service to its allocated share of customers.   See Hess Application for Rehearing, at 24-25.  The transfer of customer</w:t>
      </w:r>
      <w:r w:rsidR="00D8610C">
        <w:rPr>
          <w:rFonts w:ascii="Times New Roman" w:hAnsi="Times New Roman" w:cs="Times New Roman"/>
          <w:sz w:val="24"/>
          <w:szCs w:val="24"/>
        </w:rPr>
        <w:t>s</w:t>
      </w:r>
      <w:r>
        <w:rPr>
          <w:rFonts w:ascii="Times New Roman" w:hAnsi="Times New Roman" w:cs="Times New Roman"/>
          <w:sz w:val="24"/>
          <w:szCs w:val="24"/>
        </w:rPr>
        <w:t xml:space="preserve"> to the affiliate would be seamless</w:t>
      </w:r>
      <w:r w:rsidR="00D8610C">
        <w:rPr>
          <w:rFonts w:ascii="Times New Roman" w:hAnsi="Times New Roman" w:cs="Times New Roman"/>
          <w:sz w:val="24"/>
          <w:szCs w:val="24"/>
        </w:rPr>
        <w:t xml:space="preserve"> to customers</w:t>
      </w:r>
      <w:r w:rsidR="00D66C31">
        <w:rPr>
          <w:rFonts w:ascii="Times New Roman" w:hAnsi="Times New Roman" w:cs="Times New Roman"/>
          <w:sz w:val="24"/>
          <w:szCs w:val="24"/>
        </w:rPr>
        <w:t>,</w:t>
      </w:r>
      <w:r w:rsidR="00D8610C">
        <w:rPr>
          <w:rFonts w:ascii="Times New Roman" w:hAnsi="Times New Roman" w:cs="Times New Roman"/>
          <w:sz w:val="24"/>
          <w:szCs w:val="24"/>
        </w:rPr>
        <w:t xml:space="preserve"> who would be notified as a part of the initial a</w:t>
      </w:r>
      <w:r w:rsidR="00D66C31">
        <w:rPr>
          <w:rFonts w:ascii="Times New Roman" w:hAnsi="Times New Roman" w:cs="Times New Roman"/>
          <w:sz w:val="24"/>
          <w:szCs w:val="24"/>
        </w:rPr>
        <w:t>ssignment</w:t>
      </w:r>
      <w:r w:rsidR="00D8610C">
        <w:rPr>
          <w:rFonts w:ascii="Times New Roman" w:hAnsi="Times New Roman" w:cs="Times New Roman"/>
          <w:sz w:val="24"/>
          <w:szCs w:val="24"/>
        </w:rPr>
        <w:t xml:space="preserve"> process that their supplier would be the affiliated entity.</w:t>
      </w:r>
      <w:r w:rsidR="00D62797">
        <w:rPr>
          <w:rStyle w:val="FootnoteReference"/>
          <w:rFonts w:ascii="Times New Roman" w:hAnsi="Times New Roman" w:cs="Times New Roman"/>
          <w:sz w:val="24"/>
          <w:szCs w:val="24"/>
        </w:rPr>
        <w:footnoteReference w:id="4"/>
      </w:r>
      <w:r w:rsidR="00D8610C">
        <w:rPr>
          <w:rFonts w:ascii="Times New Roman" w:hAnsi="Times New Roman" w:cs="Times New Roman"/>
          <w:sz w:val="24"/>
          <w:szCs w:val="24"/>
        </w:rPr>
        <w:t xml:space="preserve"> </w:t>
      </w:r>
    </w:p>
    <w:p w:rsidR="00B10A7E" w:rsidRDefault="005D1A03" w:rsidP="00086FE3">
      <w:pPr>
        <w:pStyle w:val="ListParagraph"/>
        <w:numPr>
          <w:ilvl w:val="0"/>
          <w:numId w:val="30"/>
        </w:numPr>
        <w:spacing w:before="120" w:after="0" w:line="240" w:lineRule="auto"/>
        <w:ind w:left="2160" w:right="634"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If an SCO supplier entitled to an allocation of customers under the above process did not wish to serve as an MVR supplier, </w:t>
      </w:r>
      <w:r w:rsidR="00D8610C">
        <w:rPr>
          <w:rFonts w:ascii="Times New Roman" w:hAnsi="Times New Roman" w:cs="Times New Roman"/>
          <w:sz w:val="24"/>
          <w:szCs w:val="24"/>
        </w:rPr>
        <w:t xml:space="preserve">or to have an affiliated entity serve as an MVR supplier, </w:t>
      </w:r>
      <w:r>
        <w:rPr>
          <w:rFonts w:ascii="Times New Roman" w:hAnsi="Times New Roman" w:cs="Times New Roman"/>
          <w:sz w:val="24"/>
          <w:szCs w:val="24"/>
        </w:rPr>
        <w:t xml:space="preserve">that SCO supplier’s share </w:t>
      </w:r>
      <w:r w:rsidR="00B10A7E">
        <w:rPr>
          <w:rFonts w:ascii="Times New Roman" w:hAnsi="Times New Roman" w:cs="Times New Roman"/>
          <w:sz w:val="24"/>
          <w:szCs w:val="24"/>
        </w:rPr>
        <w:t xml:space="preserve"> </w:t>
      </w:r>
      <w:r>
        <w:rPr>
          <w:rFonts w:ascii="Times New Roman" w:hAnsi="Times New Roman" w:cs="Times New Roman"/>
          <w:sz w:val="24"/>
          <w:szCs w:val="24"/>
        </w:rPr>
        <w:t xml:space="preserve">would </w:t>
      </w:r>
      <w:r w:rsidR="00B10A7E">
        <w:rPr>
          <w:rFonts w:ascii="Times New Roman" w:hAnsi="Times New Roman" w:cs="Times New Roman"/>
          <w:sz w:val="24"/>
          <w:szCs w:val="24"/>
        </w:rPr>
        <w:t xml:space="preserve"> </w:t>
      </w:r>
      <w:r>
        <w:rPr>
          <w:rFonts w:ascii="Times New Roman" w:hAnsi="Times New Roman" w:cs="Times New Roman"/>
          <w:sz w:val="24"/>
          <w:szCs w:val="24"/>
        </w:rPr>
        <w:t>be</w:t>
      </w:r>
      <w:r w:rsidR="00B10A7E">
        <w:rPr>
          <w:rFonts w:ascii="Times New Roman" w:hAnsi="Times New Roman" w:cs="Times New Roman"/>
          <w:sz w:val="24"/>
          <w:szCs w:val="24"/>
        </w:rPr>
        <w:t xml:space="preserve"> </w:t>
      </w:r>
      <w:r>
        <w:rPr>
          <w:rFonts w:ascii="Times New Roman" w:hAnsi="Times New Roman" w:cs="Times New Roman"/>
          <w:sz w:val="24"/>
          <w:szCs w:val="24"/>
        </w:rPr>
        <w:t xml:space="preserve"> reallocated to the other SCO suppliers </w:t>
      </w:r>
    </w:p>
    <w:p w:rsidR="00B10A7E" w:rsidRDefault="00B10A7E">
      <w:pPr>
        <w:rPr>
          <w:rFonts w:ascii="Times New Roman" w:hAnsi="Times New Roman" w:cs="Times New Roman"/>
          <w:sz w:val="24"/>
          <w:szCs w:val="24"/>
        </w:rPr>
      </w:pPr>
      <w:r>
        <w:rPr>
          <w:rFonts w:ascii="Times New Roman" w:hAnsi="Times New Roman" w:cs="Times New Roman"/>
          <w:sz w:val="24"/>
          <w:szCs w:val="24"/>
        </w:rPr>
        <w:br w:type="page"/>
      </w:r>
    </w:p>
    <w:p w:rsidR="005D1A03" w:rsidRPr="00B10A7E" w:rsidRDefault="00EF46F8" w:rsidP="00B10A7E">
      <w:pPr>
        <w:spacing w:before="120" w:after="0" w:line="240" w:lineRule="auto"/>
        <w:ind w:left="2160" w:right="634"/>
        <w:jc w:val="both"/>
        <w:rPr>
          <w:rFonts w:ascii="Times New Roman" w:hAnsi="Times New Roman" w:cs="Times New Roman"/>
          <w:sz w:val="24"/>
          <w:szCs w:val="24"/>
        </w:rPr>
      </w:pPr>
      <w:proofErr w:type="gramStart"/>
      <w:r w:rsidRPr="00B10A7E">
        <w:rPr>
          <w:rFonts w:ascii="Times New Roman" w:hAnsi="Times New Roman" w:cs="Times New Roman"/>
          <w:sz w:val="24"/>
          <w:szCs w:val="24"/>
        </w:rPr>
        <w:lastRenderedPageBreak/>
        <w:t>evenly</w:t>
      </w:r>
      <w:proofErr w:type="gramEnd"/>
      <w:r w:rsidR="005D1A03" w:rsidRPr="00B10A7E">
        <w:rPr>
          <w:rFonts w:ascii="Times New Roman" w:hAnsi="Times New Roman" w:cs="Times New Roman"/>
          <w:sz w:val="24"/>
          <w:szCs w:val="24"/>
        </w:rPr>
        <w:t>.</w:t>
      </w:r>
      <w:r w:rsidR="00D8610C">
        <w:rPr>
          <w:rStyle w:val="FootnoteReference"/>
          <w:rFonts w:ascii="Times New Roman" w:hAnsi="Times New Roman" w:cs="Times New Roman"/>
          <w:sz w:val="24"/>
          <w:szCs w:val="24"/>
        </w:rPr>
        <w:footnoteReference w:id="5"/>
      </w:r>
      <w:r w:rsidR="005D1A03" w:rsidRPr="00B10A7E">
        <w:rPr>
          <w:rFonts w:ascii="Times New Roman" w:hAnsi="Times New Roman" w:cs="Times New Roman"/>
          <w:sz w:val="24"/>
          <w:szCs w:val="24"/>
        </w:rPr>
        <w:t xml:space="preserve">  Hess Application for Rehearing, at 23; Tr. III, at 145-147</w:t>
      </w:r>
      <w:r w:rsidR="00C15226" w:rsidRPr="00B10A7E">
        <w:rPr>
          <w:rFonts w:ascii="Times New Roman" w:hAnsi="Times New Roman" w:cs="Times New Roman"/>
          <w:sz w:val="24"/>
          <w:szCs w:val="24"/>
        </w:rPr>
        <w:t>, 149</w:t>
      </w:r>
      <w:r w:rsidR="00086FE3" w:rsidRPr="00B10A7E">
        <w:rPr>
          <w:rFonts w:ascii="Times New Roman" w:hAnsi="Times New Roman" w:cs="Times New Roman"/>
          <w:sz w:val="24"/>
          <w:szCs w:val="24"/>
        </w:rPr>
        <w:t>-150</w:t>
      </w:r>
      <w:r w:rsidR="005D1A03" w:rsidRPr="00B10A7E">
        <w:rPr>
          <w:rFonts w:ascii="Times New Roman" w:hAnsi="Times New Roman" w:cs="Times New Roman"/>
          <w:sz w:val="24"/>
          <w:szCs w:val="24"/>
        </w:rPr>
        <w:t>.</w:t>
      </w:r>
    </w:p>
    <w:p w:rsidR="00472865" w:rsidRPr="001505F1" w:rsidRDefault="00086FE3" w:rsidP="001505F1">
      <w:pPr>
        <w:pStyle w:val="ListParagraph"/>
        <w:numPr>
          <w:ilvl w:val="0"/>
          <w:numId w:val="28"/>
        </w:numPr>
        <w:spacing w:before="240" w:after="0" w:line="240" w:lineRule="auto"/>
        <w:ind w:left="1440" w:right="630" w:hanging="720"/>
        <w:contextualSpacing w:val="0"/>
        <w:jc w:val="both"/>
        <w:rPr>
          <w:rFonts w:ascii="Times New Roman" w:hAnsi="Times New Roman" w:cs="Times New Roman"/>
          <w:b/>
          <w:sz w:val="24"/>
          <w:szCs w:val="24"/>
        </w:rPr>
      </w:pPr>
      <w:r w:rsidRPr="001505F1">
        <w:rPr>
          <w:rFonts w:ascii="Times New Roman" w:hAnsi="Times New Roman" w:cs="Times New Roman"/>
          <w:b/>
          <w:sz w:val="24"/>
          <w:szCs w:val="24"/>
        </w:rPr>
        <w:t xml:space="preserve">THE ORDER’S MINIMUM </w:t>
      </w:r>
      <w:r w:rsidR="001505F1" w:rsidRPr="001505F1">
        <w:rPr>
          <w:rFonts w:ascii="Times New Roman" w:hAnsi="Times New Roman" w:cs="Times New Roman"/>
          <w:b/>
          <w:sz w:val="24"/>
          <w:szCs w:val="24"/>
        </w:rPr>
        <w:t>MVR ALLOCATIO</w:t>
      </w:r>
      <w:r w:rsidR="001505F1">
        <w:rPr>
          <w:rFonts w:ascii="Times New Roman" w:hAnsi="Times New Roman" w:cs="Times New Roman"/>
          <w:b/>
          <w:sz w:val="24"/>
          <w:szCs w:val="24"/>
        </w:rPr>
        <w:t>N</w:t>
      </w:r>
      <w:r w:rsidR="001505F1" w:rsidRPr="001505F1">
        <w:rPr>
          <w:rFonts w:ascii="Times New Roman" w:hAnsi="Times New Roman" w:cs="Times New Roman"/>
          <w:b/>
          <w:sz w:val="24"/>
          <w:szCs w:val="24"/>
        </w:rPr>
        <w:t xml:space="preserve"> OF ONE PERCENT TO EACH MVR SUPPLIER SHOULD BE REJECTED. </w:t>
      </w:r>
    </w:p>
    <w:p w:rsidR="00C6637C" w:rsidRDefault="00EB41CC" w:rsidP="001505F1">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B248A">
        <w:rPr>
          <w:rFonts w:ascii="Times New Roman" w:hAnsi="Times New Roman" w:cs="Times New Roman"/>
          <w:sz w:val="24"/>
          <w:szCs w:val="24"/>
        </w:rPr>
        <w:t>OGMG/RESA</w:t>
      </w:r>
      <w:r w:rsidR="001505F1">
        <w:rPr>
          <w:rFonts w:ascii="Times New Roman" w:hAnsi="Times New Roman" w:cs="Times New Roman"/>
          <w:sz w:val="24"/>
          <w:szCs w:val="24"/>
        </w:rPr>
        <w:t>/Columbia’s sole ground for rehearing is that the minimum MVR allocation of one percent to each MVR supplier is unreasonable and should be rejected.  Dominion and Hess agree.</w:t>
      </w:r>
      <w:r w:rsidR="00747976">
        <w:rPr>
          <w:rStyle w:val="FootnoteReference"/>
          <w:rFonts w:ascii="Times New Roman" w:hAnsi="Times New Roman" w:cs="Times New Roman"/>
          <w:sz w:val="24"/>
          <w:szCs w:val="24"/>
        </w:rPr>
        <w:footnoteReference w:id="6"/>
      </w:r>
      <w:r w:rsidR="001505F1">
        <w:rPr>
          <w:rFonts w:ascii="Times New Roman" w:hAnsi="Times New Roman" w:cs="Times New Roman"/>
          <w:sz w:val="24"/>
          <w:szCs w:val="24"/>
        </w:rPr>
        <w:t xml:space="preserve">  Dominion Application for Rehearing, at 9; Hess Application for Rehearing, at 16.  </w:t>
      </w:r>
      <w:r w:rsidR="00C6637C">
        <w:rPr>
          <w:rFonts w:ascii="Times New Roman" w:hAnsi="Times New Roman" w:cs="Times New Roman"/>
          <w:sz w:val="24"/>
          <w:szCs w:val="24"/>
        </w:rPr>
        <w:t xml:space="preserve">However, Hess opposes </w:t>
      </w:r>
      <w:r w:rsidR="00EB248A">
        <w:rPr>
          <w:rFonts w:ascii="Times New Roman" w:hAnsi="Times New Roman" w:cs="Times New Roman"/>
          <w:sz w:val="24"/>
          <w:szCs w:val="24"/>
        </w:rPr>
        <w:t>OGMG/RESA</w:t>
      </w:r>
      <w:r w:rsidR="001505F1">
        <w:rPr>
          <w:rFonts w:ascii="Times New Roman" w:hAnsi="Times New Roman" w:cs="Times New Roman"/>
          <w:sz w:val="24"/>
          <w:szCs w:val="24"/>
        </w:rPr>
        <w:t>/Columbia</w:t>
      </w:r>
      <w:r w:rsidR="00C6637C">
        <w:rPr>
          <w:rFonts w:ascii="Times New Roman" w:hAnsi="Times New Roman" w:cs="Times New Roman"/>
          <w:sz w:val="24"/>
          <w:szCs w:val="24"/>
        </w:rPr>
        <w:t>’s proposed modification to the third step of the Commission’s MVR allocation methodology at page 36 of the Order.  The three steps currently provide:</w:t>
      </w:r>
    </w:p>
    <w:p w:rsidR="00C6637C" w:rsidRDefault="00C6637C" w:rsidP="00C6637C">
      <w:pPr>
        <w:autoSpaceDE w:val="0"/>
        <w:autoSpaceDN w:val="0"/>
        <w:adjustRightInd w:val="0"/>
        <w:spacing w:after="0" w:line="240" w:lineRule="auto"/>
        <w:ind w:left="2160" w:right="630" w:hanging="72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The initial allocation will be done on a proportional basis, as compared to the MVR supplier's Choice enrollment at the time of allocation, including a supplier's average historical SSO and SCO tranche ownership for nonresidential customers.</w:t>
      </w:r>
    </w:p>
    <w:p w:rsidR="00C6637C" w:rsidRDefault="00C6637C" w:rsidP="00C6637C">
      <w:pPr>
        <w:autoSpaceDE w:val="0"/>
        <w:autoSpaceDN w:val="0"/>
        <w:adjustRightInd w:val="0"/>
        <w:spacing w:before="120" w:after="0" w:line="240" w:lineRule="auto"/>
        <w:ind w:left="2160" w:right="630" w:hanging="72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A supplier's average historical SSO and SCO tranche ownership for nonresidential customers shall be measured as of the date of this order going forward.</w:t>
      </w:r>
    </w:p>
    <w:p w:rsidR="00C6637C" w:rsidRDefault="00C6637C" w:rsidP="00C6637C">
      <w:pPr>
        <w:autoSpaceDE w:val="0"/>
        <w:autoSpaceDN w:val="0"/>
        <w:adjustRightInd w:val="0"/>
        <w:spacing w:before="120" w:after="0" w:line="240" w:lineRule="auto"/>
        <w:ind w:left="2160" w:right="630" w:hanging="72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For the initial allocation, a minimum of one percent shall be assigned to an MVR supplier with equal to, or less than, one percent Choice enrollment.</w:t>
      </w:r>
    </w:p>
    <w:p w:rsidR="00C6637C" w:rsidRDefault="00C6637C" w:rsidP="001505F1">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OGMG/RESA/Columbia </w:t>
      </w:r>
      <w:r w:rsidR="00530595">
        <w:rPr>
          <w:rFonts w:ascii="Times New Roman" w:hAnsi="Times New Roman" w:cs="Times New Roman"/>
          <w:sz w:val="24"/>
          <w:szCs w:val="24"/>
        </w:rPr>
        <w:t>proposes</w:t>
      </w:r>
      <w:r>
        <w:rPr>
          <w:rFonts w:ascii="Times New Roman" w:hAnsi="Times New Roman" w:cs="Times New Roman"/>
          <w:sz w:val="24"/>
          <w:szCs w:val="24"/>
        </w:rPr>
        <w:t xml:space="preserve"> to modify the third step to provide:</w:t>
      </w:r>
    </w:p>
    <w:p w:rsidR="00C6637C" w:rsidRDefault="00C6637C" w:rsidP="00F27C32">
      <w:pPr>
        <w:spacing w:after="0" w:line="240" w:lineRule="auto"/>
        <w:ind w:left="2160" w:right="63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For the initial allocation, each MVR supplier shall be assigned a number of customers </w:t>
      </w:r>
      <w:r w:rsidRPr="00F27C32">
        <w:rPr>
          <w:rFonts w:ascii="Times New Roman" w:hAnsi="Times New Roman" w:cs="Times New Roman"/>
          <w:b/>
          <w:i/>
          <w:sz w:val="24"/>
          <w:szCs w:val="24"/>
        </w:rPr>
        <w:t>based on the above steps</w:t>
      </w:r>
      <w:r>
        <w:rPr>
          <w:rFonts w:ascii="Times New Roman" w:hAnsi="Times New Roman" w:cs="Times New Roman"/>
          <w:sz w:val="24"/>
          <w:szCs w:val="24"/>
        </w:rPr>
        <w:t xml:space="preserve"> rounded to the nearest whole customer account.  </w:t>
      </w:r>
      <w:r w:rsidRPr="00F27C32">
        <w:rPr>
          <w:rFonts w:ascii="Times New Roman" w:hAnsi="Times New Roman" w:cs="Times New Roman"/>
          <w:b/>
          <w:i/>
          <w:sz w:val="24"/>
          <w:szCs w:val="24"/>
        </w:rPr>
        <w:t xml:space="preserve">[Columbia] shall develop an </w:t>
      </w:r>
      <w:r w:rsidRPr="00F27C32">
        <w:rPr>
          <w:rFonts w:ascii="Times New Roman" w:hAnsi="Times New Roman" w:cs="Times New Roman"/>
          <w:b/>
          <w:i/>
          <w:sz w:val="24"/>
          <w:szCs w:val="24"/>
        </w:rPr>
        <w:lastRenderedPageBreak/>
        <w:t>algorithm designed to carry out the allocation process and present it to the Staff for approval in advance of any assignment.</w:t>
      </w:r>
      <w:r>
        <w:rPr>
          <w:rFonts w:ascii="Times New Roman" w:hAnsi="Times New Roman" w:cs="Times New Roman"/>
          <w:sz w:val="24"/>
          <w:szCs w:val="24"/>
        </w:rPr>
        <w:t xml:space="preserve">  </w:t>
      </w:r>
      <w:r w:rsidR="00F27C32">
        <w:rPr>
          <w:rFonts w:ascii="Times New Roman" w:hAnsi="Times New Roman" w:cs="Times New Roman"/>
          <w:sz w:val="24"/>
          <w:szCs w:val="24"/>
        </w:rPr>
        <w:t>(</w:t>
      </w:r>
      <w:r w:rsidR="00530595">
        <w:rPr>
          <w:rFonts w:ascii="Times New Roman" w:hAnsi="Times New Roman" w:cs="Times New Roman"/>
          <w:sz w:val="24"/>
          <w:szCs w:val="24"/>
        </w:rPr>
        <w:t>OGMG/RESA/Columbia Application for Rehearing, at 6, e</w:t>
      </w:r>
      <w:r w:rsidR="00F27C32">
        <w:rPr>
          <w:rFonts w:ascii="Times New Roman" w:hAnsi="Times New Roman" w:cs="Times New Roman"/>
          <w:sz w:val="24"/>
          <w:szCs w:val="24"/>
        </w:rPr>
        <w:t>mphasis supplied.)</w:t>
      </w:r>
    </w:p>
    <w:p w:rsidR="00530595" w:rsidRDefault="00F27C32" w:rsidP="001505F1">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difficulty with OGMG/RESA/Columbia’s proposal is that the MVR allocation methodology adopted by the Commission (steps 1 and 2) must be clarified, as addressed in Hess’ application for rehearing and this memorandum contra.  Any algorithm developed for the allocation process must strictly adhere to the Commission’s clarifications on rehearing.  To adopt OGMG/RESA/Columbia’s proposed modification to step 3</w:t>
      </w:r>
      <w:r w:rsidR="00530595">
        <w:rPr>
          <w:rFonts w:ascii="Times New Roman" w:hAnsi="Times New Roman" w:cs="Times New Roman"/>
          <w:sz w:val="24"/>
          <w:szCs w:val="24"/>
        </w:rPr>
        <w:t xml:space="preserve"> would defer resolution of the specific allocation mechanics at issue to Columbia’s discretion, subject only to Staff approval.  If Columbia is to develop an algorithm to carry out the allocation process, the algorithm must strictly adhere to the Commission’s pending entry on rehearing in this case and </w:t>
      </w:r>
      <w:r w:rsidR="00747976">
        <w:rPr>
          <w:rFonts w:ascii="Times New Roman" w:hAnsi="Times New Roman" w:cs="Times New Roman"/>
          <w:sz w:val="24"/>
          <w:szCs w:val="24"/>
        </w:rPr>
        <w:t xml:space="preserve">be </w:t>
      </w:r>
      <w:r w:rsidR="00530595">
        <w:rPr>
          <w:rFonts w:ascii="Times New Roman" w:hAnsi="Times New Roman" w:cs="Times New Roman"/>
          <w:sz w:val="24"/>
          <w:szCs w:val="24"/>
        </w:rPr>
        <w:t>filed in this docket for scrutiny and comment by all parties and approval of the Commission.   The Commission should so order.</w:t>
      </w:r>
    </w:p>
    <w:p w:rsidR="00F80AF3" w:rsidRDefault="00F80AF3" w:rsidP="00F80AF3">
      <w:pPr>
        <w:spacing w:before="120" w:after="0" w:line="240" w:lineRule="auto"/>
        <w:rPr>
          <w:rFonts w:ascii="Times New Roman" w:hAnsi="Times New Roman" w:cs="Times New Roman"/>
          <w:b/>
          <w:i/>
          <w:sz w:val="24"/>
          <w:szCs w:val="24"/>
        </w:rPr>
      </w:pPr>
      <w:r w:rsidRPr="00F80AF3">
        <w:rPr>
          <w:rFonts w:ascii="Times New Roman" w:hAnsi="Times New Roman" w:cs="Times New Roman"/>
          <w:b/>
          <w:i/>
          <w:sz w:val="24"/>
          <w:szCs w:val="24"/>
        </w:rPr>
        <w:t>III.</w:t>
      </w:r>
      <w:r w:rsidRPr="00F80AF3">
        <w:rPr>
          <w:rFonts w:ascii="Times New Roman" w:hAnsi="Times New Roman" w:cs="Times New Roman"/>
          <w:b/>
          <w:i/>
          <w:sz w:val="24"/>
          <w:szCs w:val="24"/>
        </w:rPr>
        <w:tab/>
        <w:t>CONCLUSION</w:t>
      </w:r>
    </w:p>
    <w:p w:rsidR="00960428" w:rsidRDefault="00F80AF3" w:rsidP="00D66C31">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Hess respectfully requests the Commission to grant rehearing in this proceeding consistent with Hess’ Application for Rehearing filed February 8, 2013 and this Memorandum Contra. </w:t>
      </w:r>
      <w:r w:rsidR="00960428">
        <w:rPr>
          <w:rFonts w:ascii="Times New Roman" w:hAnsi="Times New Roman" w:cs="Times New Roman"/>
          <w:sz w:val="24"/>
          <w:szCs w:val="24"/>
        </w:rPr>
        <w:t xml:space="preserve"> Specifically, Hess urge</w:t>
      </w:r>
      <w:r w:rsidR="00432789">
        <w:rPr>
          <w:rFonts w:ascii="Times New Roman" w:hAnsi="Times New Roman" w:cs="Times New Roman"/>
          <w:sz w:val="24"/>
          <w:szCs w:val="24"/>
        </w:rPr>
        <w:t>s</w:t>
      </w:r>
      <w:r w:rsidR="00960428">
        <w:rPr>
          <w:rFonts w:ascii="Times New Roman" w:hAnsi="Times New Roman" w:cs="Times New Roman"/>
          <w:sz w:val="24"/>
          <w:szCs w:val="24"/>
        </w:rPr>
        <w:t xml:space="preserve"> the Commission to grant rehearing and:</w:t>
      </w:r>
    </w:p>
    <w:p w:rsidR="00960428" w:rsidRDefault="00960428" w:rsidP="00960428">
      <w:pPr>
        <w:pStyle w:val="ListParagraph"/>
        <w:numPr>
          <w:ilvl w:val="0"/>
          <w:numId w:val="18"/>
        </w:numPr>
        <w:spacing w:after="0" w:line="240" w:lineRule="auto"/>
        <w:ind w:left="1440" w:right="1350" w:hanging="720"/>
        <w:jc w:val="both"/>
        <w:rPr>
          <w:rFonts w:ascii="Times New Roman" w:hAnsi="Times New Roman"/>
          <w:sz w:val="24"/>
          <w:szCs w:val="24"/>
        </w:rPr>
      </w:pPr>
      <w:r w:rsidRPr="00FE57EF">
        <w:rPr>
          <w:rFonts w:ascii="Times New Roman" w:hAnsi="Times New Roman"/>
          <w:sz w:val="24"/>
          <w:szCs w:val="24"/>
        </w:rPr>
        <w:t xml:space="preserve">Reject the $0.06/Mcf SCO Security Deposit; or </w:t>
      </w:r>
      <w:r>
        <w:rPr>
          <w:rFonts w:ascii="Times New Roman" w:hAnsi="Times New Roman"/>
          <w:sz w:val="24"/>
          <w:szCs w:val="24"/>
        </w:rPr>
        <w:t>a</w:t>
      </w:r>
      <w:r w:rsidRPr="00FE57EF">
        <w:rPr>
          <w:rFonts w:ascii="Times New Roman" w:hAnsi="Times New Roman"/>
          <w:sz w:val="24"/>
          <w:szCs w:val="24"/>
        </w:rPr>
        <w:t>lternatively, make the $0.06/Mcf SCO Security Deposit refundable and return to SCO suppliers, with interest, all balances not used for purposes of SCO supplier default during the course of the SCO Program Year.</w:t>
      </w:r>
    </w:p>
    <w:p w:rsidR="00960428" w:rsidRDefault="00960428" w:rsidP="00960428">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sidRPr="002846D2">
        <w:rPr>
          <w:rFonts w:ascii="Times New Roman" w:hAnsi="Times New Roman"/>
          <w:sz w:val="24"/>
          <w:szCs w:val="24"/>
        </w:rPr>
        <w:t xml:space="preserve">Clarify </w:t>
      </w:r>
      <w:r>
        <w:rPr>
          <w:rFonts w:ascii="Times New Roman" w:hAnsi="Times New Roman"/>
          <w:sz w:val="24"/>
          <w:szCs w:val="24"/>
        </w:rPr>
        <w:t>c</w:t>
      </w:r>
      <w:r w:rsidRPr="002846D2">
        <w:rPr>
          <w:rFonts w:ascii="Times New Roman" w:hAnsi="Times New Roman"/>
          <w:sz w:val="24"/>
          <w:szCs w:val="24"/>
        </w:rPr>
        <w:t xml:space="preserve">ertain </w:t>
      </w:r>
      <w:r>
        <w:rPr>
          <w:rFonts w:ascii="Times New Roman" w:hAnsi="Times New Roman"/>
          <w:sz w:val="24"/>
          <w:szCs w:val="24"/>
        </w:rPr>
        <w:t>a</w:t>
      </w:r>
      <w:r w:rsidRPr="002846D2">
        <w:rPr>
          <w:rFonts w:ascii="Times New Roman" w:hAnsi="Times New Roman"/>
          <w:sz w:val="24"/>
          <w:szCs w:val="24"/>
        </w:rPr>
        <w:t xml:space="preserve">spects of </w:t>
      </w:r>
      <w:r>
        <w:rPr>
          <w:rFonts w:ascii="Times New Roman" w:hAnsi="Times New Roman"/>
          <w:sz w:val="24"/>
          <w:szCs w:val="24"/>
        </w:rPr>
        <w:t xml:space="preserve">the Order consistent with Paragraph II.A.3 of this memorandum contra, and Hess’ Application for Rehearing.   </w:t>
      </w:r>
      <w:r w:rsidRPr="002846D2">
        <w:rPr>
          <w:rFonts w:ascii="Times New Roman" w:hAnsi="Times New Roman"/>
          <w:sz w:val="24"/>
          <w:szCs w:val="24"/>
        </w:rPr>
        <w:t xml:space="preserve"> </w:t>
      </w:r>
    </w:p>
    <w:p w:rsidR="00960428" w:rsidRDefault="00960428" w:rsidP="00960428">
      <w:pPr>
        <w:pStyle w:val="ListParagraph"/>
        <w:numPr>
          <w:ilvl w:val="0"/>
          <w:numId w:val="18"/>
        </w:numPr>
        <w:spacing w:before="240" w:after="0" w:line="240" w:lineRule="auto"/>
        <w:ind w:left="1440" w:right="1354" w:hanging="720"/>
        <w:contextualSpacing w:val="0"/>
        <w:jc w:val="both"/>
        <w:rPr>
          <w:rFonts w:ascii="Times New Roman" w:hAnsi="Times New Roman"/>
          <w:sz w:val="24"/>
          <w:szCs w:val="24"/>
        </w:rPr>
      </w:pPr>
      <w:r>
        <w:rPr>
          <w:rFonts w:ascii="Times New Roman" w:hAnsi="Times New Roman"/>
          <w:sz w:val="24"/>
          <w:szCs w:val="24"/>
        </w:rPr>
        <w:t>Reject the minimum assignment of one percent of non-shopping customers to MVR suppliers</w:t>
      </w:r>
      <w:r w:rsidR="006F5AFE">
        <w:rPr>
          <w:rFonts w:ascii="Times New Roman" w:hAnsi="Times New Roman"/>
          <w:sz w:val="24"/>
          <w:szCs w:val="24"/>
        </w:rPr>
        <w:t xml:space="preserve">, and order Columbia to </w:t>
      </w:r>
      <w:r w:rsidR="00C60611">
        <w:rPr>
          <w:rFonts w:ascii="Times New Roman" w:hAnsi="Times New Roman"/>
          <w:sz w:val="24"/>
          <w:szCs w:val="24"/>
        </w:rPr>
        <w:t xml:space="preserve">prepare </w:t>
      </w:r>
      <w:r w:rsidR="00747976">
        <w:rPr>
          <w:rFonts w:ascii="Times New Roman" w:hAnsi="Times New Roman"/>
          <w:sz w:val="24"/>
          <w:szCs w:val="24"/>
        </w:rPr>
        <w:t xml:space="preserve">an </w:t>
      </w:r>
      <w:r w:rsidR="006F5AFE">
        <w:rPr>
          <w:rFonts w:ascii="Times New Roman" w:hAnsi="Times New Roman"/>
          <w:sz w:val="24"/>
          <w:szCs w:val="24"/>
        </w:rPr>
        <w:t xml:space="preserve">algorithm </w:t>
      </w:r>
      <w:r w:rsidR="00747976">
        <w:rPr>
          <w:rFonts w:ascii="Times New Roman" w:hAnsi="Times New Roman"/>
          <w:sz w:val="24"/>
          <w:szCs w:val="24"/>
        </w:rPr>
        <w:t>to be</w:t>
      </w:r>
      <w:r w:rsidR="00C60611">
        <w:rPr>
          <w:rFonts w:ascii="Times New Roman" w:hAnsi="Times New Roman"/>
          <w:sz w:val="24"/>
          <w:szCs w:val="24"/>
        </w:rPr>
        <w:t xml:space="preserve"> used to assign non-residential, non-shopping </w:t>
      </w:r>
      <w:r w:rsidR="00747976">
        <w:rPr>
          <w:rFonts w:ascii="Times New Roman" w:hAnsi="Times New Roman"/>
          <w:sz w:val="24"/>
          <w:szCs w:val="24"/>
        </w:rPr>
        <w:lastRenderedPageBreak/>
        <w:t xml:space="preserve">customers </w:t>
      </w:r>
      <w:r w:rsidR="00C60611">
        <w:rPr>
          <w:rFonts w:ascii="Times New Roman" w:hAnsi="Times New Roman"/>
          <w:sz w:val="24"/>
          <w:szCs w:val="24"/>
        </w:rPr>
        <w:t xml:space="preserve">to MVR suppliers </w:t>
      </w:r>
      <w:r w:rsidR="00747976">
        <w:rPr>
          <w:rFonts w:ascii="Times New Roman" w:hAnsi="Times New Roman"/>
          <w:sz w:val="24"/>
          <w:szCs w:val="24"/>
        </w:rPr>
        <w:t>upon exit.  T</w:t>
      </w:r>
      <w:r w:rsidR="00747976">
        <w:rPr>
          <w:rFonts w:ascii="Times New Roman" w:hAnsi="Times New Roman" w:cs="Times New Roman"/>
          <w:sz w:val="24"/>
          <w:szCs w:val="24"/>
        </w:rPr>
        <w:t>he algorithm must strictly adhere to the Commission’s entry on rehearing in this case and be filed in this docket for scrutiny and comment by all parties and approval of the Commission</w:t>
      </w:r>
    </w:p>
    <w:p w:rsidR="009F051D" w:rsidRPr="009F051D" w:rsidRDefault="009F051D" w:rsidP="006B6DE5">
      <w:pPr>
        <w:widowControl w:val="0"/>
        <w:spacing w:before="240" w:after="0" w:line="240" w:lineRule="auto"/>
        <w:ind w:firstLine="4766"/>
        <w:jc w:val="both"/>
        <w:rPr>
          <w:rFonts w:ascii="Times New Roman" w:hAnsi="Times New Roman" w:cs="Times New Roman"/>
          <w:sz w:val="24"/>
          <w:szCs w:val="24"/>
        </w:rPr>
      </w:pPr>
      <w:r w:rsidRPr="009F051D">
        <w:rPr>
          <w:rFonts w:ascii="Times New Roman" w:hAnsi="Times New Roman" w:cs="Times New Roman"/>
          <w:sz w:val="24"/>
          <w:szCs w:val="24"/>
        </w:rPr>
        <w:t>Respectfully submitted,</w:t>
      </w:r>
    </w:p>
    <w:p w:rsidR="009F051D" w:rsidRPr="009F051D" w:rsidRDefault="009F051D" w:rsidP="009F051D">
      <w:pPr>
        <w:widowControl w:val="0"/>
        <w:spacing w:line="240" w:lineRule="auto"/>
        <w:ind w:firstLine="4770"/>
        <w:jc w:val="both"/>
        <w:rPr>
          <w:rFonts w:ascii="Times New Roman" w:hAnsi="Times New Roman" w:cs="Times New Roman"/>
          <w:sz w:val="24"/>
          <w:szCs w:val="24"/>
        </w:rPr>
      </w:pPr>
    </w:p>
    <w:p w:rsidR="00A96B58" w:rsidRDefault="00A96B58" w:rsidP="006133AD">
      <w:pPr>
        <w:tabs>
          <w:tab w:val="left" w:pos="342"/>
        </w:tabs>
        <w:spacing w:after="0" w:line="240" w:lineRule="auto"/>
        <w:ind w:left="4770" w:right="-360"/>
        <w:rPr>
          <w:rFonts w:ascii="Times New Roman" w:hAnsi="Times New Roman" w:cs="Times New Roman"/>
          <w:sz w:val="24"/>
          <w:szCs w:val="24"/>
        </w:rPr>
      </w:pPr>
      <w:r w:rsidRPr="00A96B58">
        <w:rPr>
          <w:rFonts w:ascii="Times New Roman" w:hAnsi="Times New Roman" w:cs="Times New Roman"/>
          <w:sz w:val="24"/>
          <w:szCs w:val="24"/>
          <w:u w:val="single"/>
        </w:rPr>
        <w:t>/s/ Dane Stinson</w:t>
      </w:r>
      <w:r w:rsidRPr="00A96B58">
        <w:rPr>
          <w:rFonts w:ascii="Times New Roman" w:hAnsi="Times New Roman" w:cs="Times New Roman"/>
          <w:b/>
          <w:sz w:val="24"/>
          <w:szCs w:val="24"/>
          <w:u w:val="single"/>
        </w:rPr>
        <w:t>_______________</w:t>
      </w:r>
    </w:p>
    <w:p w:rsidR="009F051D" w:rsidRPr="009F051D" w:rsidRDefault="009F051D" w:rsidP="006133AD">
      <w:pPr>
        <w:tabs>
          <w:tab w:val="left" w:pos="342"/>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Dane Stinson</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BAILEY CAVALIERI LLC</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10 West Broad Street, Suite 2100</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Columbus, Ohio 43215</w:t>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221-3155 (telephone)</w:t>
      </w:r>
      <w:r w:rsidRPr="009F051D">
        <w:rPr>
          <w:rFonts w:ascii="Times New Roman" w:hAnsi="Times New Roman" w:cs="Times New Roman"/>
          <w:sz w:val="24"/>
          <w:szCs w:val="24"/>
        </w:rPr>
        <w:tab/>
      </w:r>
    </w:p>
    <w:p w:rsidR="009F051D" w:rsidRPr="009F051D" w:rsidRDefault="009F051D" w:rsidP="006133AD">
      <w:pPr>
        <w:tabs>
          <w:tab w:val="right" w:pos="720"/>
          <w:tab w:val="left" w:pos="1440"/>
          <w:tab w:val="left" w:pos="4320"/>
          <w:tab w:val="left" w:pos="5040"/>
          <w:tab w:val="left" w:pos="5760"/>
          <w:tab w:val="left" w:pos="8640"/>
        </w:tabs>
        <w:spacing w:after="0" w:line="240" w:lineRule="auto"/>
        <w:ind w:left="4770" w:right="-360"/>
        <w:rPr>
          <w:rFonts w:ascii="Times New Roman" w:hAnsi="Times New Roman" w:cs="Times New Roman"/>
          <w:sz w:val="24"/>
          <w:szCs w:val="24"/>
        </w:rPr>
      </w:pPr>
      <w:r w:rsidRPr="009F051D">
        <w:rPr>
          <w:rFonts w:ascii="Times New Roman" w:hAnsi="Times New Roman" w:cs="Times New Roman"/>
          <w:sz w:val="24"/>
          <w:szCs w:val="24"/>
        </w:rPr>
        <w:t>(614) 221-0479 (fax)</w:t>
      </w:r>
    </w:p>
    <w:p w:rsidR="009F051D" w:rsidRPr="009F051D" w:rsidRDefault="009F051D" w:rsidP="006133AD">
      <w:pPr>
        <w:pStyle w:val="TxBrp12"/>
        <w:spacing w:line="240" w:lineRule="auto"/>
        <w:ind w:left="4766" w:right="-360" w:firstLine="0"/>
      </w:pPr>
      <w:r w:rsidRPr="009F051D">
        <w:t>Dane.Stinson@BaileyCavalieri.com</w:t>
      </w:r>
    </w:p>
    <w:p w:rsidR="009F051D" w:rsidRPr="009F051D" w:rsidRDefault="009F051D" w:rsidP="009F051D">
      <w:pPr>
        <w:pStyle w:val="BodyText"/>
        <w:spacing w:before="120" w:after="0"/>
        <w:ind w:left="4766" w:right="-360" w:firstLine="0"/>
        <w:rPr>
          <w:szCs w:val="24"/>
        </w:rPr>
      </w:pPr>
      <w:r w:rsidRPr="009F051D">
        <w:rPr>
          <w:szCs w:val="24"/>
        </w:rPr>
        <w:t>Attorney for Hess Corporation</w:t>
      </w:r>
    </w:p>
    <w:p w:rsidR="009F051D" w:rsidRPr="009F051D" w:rsidRDefault="009F051D" w:rsidP="009F051D">
      <w:pPr>
        <w:pStyle w:val="BodyText"/>
        <w:spacing w:before="120" w:after="0"/>
        <w:ind w:right="-360" w:firstLine="0"/>
        <w:jc w:val="center"/>
        <w:rPr>
          <w:b/>
          <w:szCs w:val="24"/>
          <w:u w:val="single"/>
        </w:rPr>
      </w:pPr>
      <w:r w:rsidRPr="009F051D">
        <w:rPr>
          <w:szCs w:val="24"/>
        </w:rPr>
        <w:br w:type="page"/>
      </w:r>
      <w:r w:rsidRPr="009F051D">
        <w:rPr>
          <w:b/>
          <w:szCs w:val="24"/>
          <w:u w:val="single"/>
        </w:rPr>
        <w:lastRenderedPageBreak/>
        <w:t>CERTIFICATE OF SERVICE</w:t>
      </w:r>
    </w:p>
    <w:p w:rsidR="009F051D" w:rsidRPr="009F051D" w:rsidRDefault="009F051D" w:rsidP="009F051D">
      <w:pPr>
        <w:pStyle w:val="BodyText"/>
        <w:spacing w:before="240"/>
        <w:jc w:val="both"/>
        <w:rPr>
          <w:szCs w:val="24"/>
        </w:rPr>
      </w:pPr>
      <w:r w:rsidRPr="009F051D">
        <w:rPr>
          <w:szCs w:val="24"/>
        </w:rPr>
        <w:t>The undersigned hereby certifies that a true and</w:t>
      </w:r>
      <w:r w:rsidR="00F80AF3">
        <w:rPr>
          <w:szCs w:val="24"/>
        </w:rPr>
        <w:t xml:space="preserve"> accurate copy of the foregoing </w:t>
      </w:r>
      <w:r w:rsidR="00A7738F">
        <w:rPr>
          <w:szCs w:val="24"/>
        </w:rPr>
        <w:t xml:space="preserve">Hess Corporation’s </w:t>
      </w:r>
      <w:r w:rsidR="00F80AF3">
        <w:rPr>
          <w:szCs w:val="24"/>
        </w:rPr>
        <w:t xml:space="preserve">Memorandum Contra </w:t>
      </w:r>
      <w:r w:rsidRPr="009F051D">
        <w:rPr>
          <w:szCs w:val="24"/>
        </w:rPr>
        <w:t xml:space="preserve">was served by </w:t>
      </w:r>
      <w:r w:rsidR="00AE44FA">
        <w:rPr>
          <w:szCs w:val="24"/>
        </w:rPr>
        <w:t xml:space="preserve">email </w:t>
      </w:r>
      <w:r w:rsidR="00983F57">
        <w:rPr>
          <w:szCs w:val="24"/>
        </w:rPr>
        <w:t>o</w:t>
      </w:r>
      <w:r w:rsidR="00AE44FA">
        <w:rPr>
          <w:szCs w:val="24"/>
        </w:rPr>
        <w:t>n</w:t>
      </w:r>
      <w:r w:rsidR="00983F57">
        <w:rPr>
          <w:szCs w:val="24"/>
        </w:rPr>
        <w:t xml:space="preserve"> the</w:t>
      </w:r>
      <w:r w:rsidR="00A7738F">
        <w:rPr>
          <w:szCs w:val="24"/>
        </w:rPr>
        <w:t xml:space="preserve"> following</w:t>
      </w:r>
      <w:r w:rsidR="00983F57">
        <w:rPr>
          <w:szCs w:val="24"/>
        </w:rPr>
        <w:t xml:space="preserve"> parties of record</w:t>
      </w:r>
      <w:r w:rsidRPr="009F051D">
        <w:rPr>
          <w:szCs w:val="24"/>
        </w:rPr>
        <w:t xml:space="preserve"> this </w:t>
      </w:r>
      <w:r w:rsidR="00F80AF3">
        <w:rPr>
          <w:szCs w:val="24"/>
        </w:rPr>
        <w:t>1</w:t>
      </w:r>
      <w:r w:rsidR="00B10A7E">
        <w:rPr>
          <w:szCs w:val="24"/>
        </w:rPr>
        <w:t>9</w:t>
      </w:r>
      <w:r w:rsidR="00983F57" w:rsidRPr="00983F57">
        <w:rPr>
          <w:szCs w:val="24"/>
          <w:vertAlign w:val="superscript"/>
        </w:rPr>
        <w:t>th</w:t>
      </w:r>
      <w:r w:rsidR="00983F57">
        <w:rPr>
          <w:szCs w:val="24"/>
        </w:rPr>
        <w:t xml:space="preserve"> </w:t>
      </w:r>
      <w:r w:rsidRPr="009F051D">
        <w:rPr>
          <w:szCs w:val="24"/>
        </w:rPr>
        <w:t xml:space="preserve">day of </w:t>
      </w:r>
      <w:r w:rsidR="00983F57">
        <w:rPr>
          <w:szCs w:val="24"/>
        </w:rPr>
        <w:t>February, 2013</w:t>
      </w:r>
      <w:r w:rsidRPr="009F051D">
        <w:rPr>
          <w:szCs w:val="24"/>
        </w:rPr>
        <w:t xml:space="preserve">.  </w:t>
      </w:r>
    </w:p>
    <w:p w:rsidR="009F051D" w:rsidRPr="009F051D" w:rsidRDefault="009F051D" w:rsidP="009F051D">
      <w:pPr>
        <w:pStyle w:val="BodyText"/>
        <w:rPr>
          <w:szCs w:val="24"/>
        </w:rPr>
      </w:pPr>
    </w:p>
    <w:p w:rsidR="00A7738F" w:rsidRPr="00C2709E" w:rsidRDefault="00A7738F" w:rsidP="00C2709E">
      <w:pPr>
        <w:pStyle w:val="Signature"/>
        <w:ind w:left="4770"/>
        <w:rPr>
          <w:szCs w:val="24"/>
          <w:u w:val="single"/>
        </w:rPr>
      </w:pPr>
      <w:r w:rsidRPr="00C2709E">
        <w:rPr>
          <w:szCs w:val="24"/>
          <w:u w:val="single"/>
        </w:rPr>
        <w:t>/s/ Dane Stinson</w:t>
      </w:r>
      <w:r w:rsidRPr="00C2709E">
        <w:rPr>
          <w:b/>
          <w:szCs w:val="24"/>
          <w:u w:val="single"/>
        </w:rPr>
        <w:t>_______________</w:t>
      </w:r>
    </w:p>
    <w:p w:rsidR="00C2709E" w:rsidRPr="00C2709E" w:rsidRDefault="00C2709E" w:rsidP="00C2709E">
      <w:pPr>
        <w:tabs>
          <w:tab w:val="left" w:pos="45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F051D" w:rsidRPr="00C2709E">
        <w:rPr>
          <w:rFonts w:ascii="Times New Roman" w:hAnsi="Times New Roman" w:cs="Times New Roman"/>
          <w:sz w:val="24"/>
          <w:szCs w:val="24"/>
        </w:rPr>
        <w:t>Dane Stinson</w:t>
      </w:r>
    </w:p>
    <w:p w:rsidR="00C2709E" w:rsidRPr="00C2709E" w:rsidRDefault="00C2709E" w:rsidP="00C2709E">
      <w:pPr>
        <w:pStyle w:val="Signature"/>
        <w:rPr>
          <w:szCs w:val="24"/>
        </w:rPr>
      </w:pPr>
    </w:p>
    <w:p w:rsidR="00C2709E" w:rsidRPr="00C2709E" w:rsidRDefault="00C2709E" w:rsidP="00C2709E">
      <w:pPr>
        <w:pStyle w:val="Signature"/>
        <w:rPr>
          <w:szCs w:val="24"/>
        </w:rPr>
      </w:pPr>
    </w:p>
    <w:tbl>
      <w:tblPr>
        <w:tblW w:w="0" w:type="auto"/>
        <w:tblLook w:val="01E0"/>
      </w:tblPr>
      <w:tblGrid>
        <w:gridCol w:w="4401"/>
        <w:gridCol w:w="4455"/>
      </w:tblGrid>
      <w:tr w:rsidR="00C2709E" w:rsidRPr="00C2709E" w:rsidTr="00AE44FA">
        <w:tc>
          <w:tcPr>
            <w:tcW w:w="4401" w:type="dxa"/>
          </w:tcPr>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 xml:space="preserve">Stephen B. Seiple (Counsel of Record), </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Assistant General Counsel</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Brooke E. Leslie, Counsel</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200 Civic Center Drive</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P. O. Box 117</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Columbus, Ohio 43216-0117</w:t>
            </w:r>
          </w:p>
          <w:p w:rsidR="00C2709E" w:rsidRPr="00C2709E" w:rsidRDefault="00C2709E" w:rsidP="00C2709E">
            <w:pPr>
              <w:keepNext/>
              <w:tabs>
                <w:tab w:val="right" w:pos="6840"/>
              </w:tabs>
              <w:spacing w:after="0" w:line="240" w:lineRule="auto"/>
              <w:rPr>
                <w:rFonts w:ascii="Times New Roman" w:hAnsi="Times New Roman" w:cs="Times New Roman"/>
                <w:sz w:val="24"/>
                <w:szCs w:val="24"/>
              </w:rPr>
            </w:pPr>
            <w:r w:rsidRPr="00C2709E">
              <w:rPr>
                <w:rFonts w:ascii="Times New Roman" w:hAnsi="Times New Roman" w:cs="Times New Roman"/>
                <w:sz w:val="24"/>
                <w:szCs w:val="24"/>
              </w:rPr>
              <w:t>sseiple@nisource.com</w:t>
            </w:r>
          </w:p>
          <w:p w:rsidR="00C2709E" w:rsidRPr="00C2709E" w:rsidRDefault="00C2709E" w:rsidP="00C2709E">
            <w:pPr>
              <w:keepNext/>
              <w:tabs>
                <w:tab w:val="right" w:pos="6840"/>
              </w:tabs>
              <w:spacing w:after="0" w:line="240" w:lineRule="auto"/>
              <w:rPr>
                <w:rFonts w:ascii="Times New Roman" w:hAnsi="Times New Roman" w:cs="Times New Roman"/>
                <w:sz w:val="24"/>
                <w:szCs w:val="24"/>
              </w:rPr>
            </w:pPr>
            <w:r w:rsidRPr="00C2709E">
              <w:rPr>
                <w:rFonts w:ascii="Times New Roman" w:hAnsi="Times New Roman" w:cs="Times New Roman"/>
                <w:sz w:val="24"/>
                <w:szCs w:val="24"/>
              </w:rPr>
              <w:t>bleslie@nisource.com</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Daniel R. Conway</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Eric B. Gallon</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Porter Wright Morris &amp; Arthur LLP</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Huntington Center</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41 South High Street</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Columbus, Ohio  43215</w:t>
            </w:r>
          </w:p>
          <w:p w:rsidR="00C2709E" w:rsidRPr="00C2709E" w:rsidRDefault="00C2709E" w:rsidP="00C2709E">
            <w:pPr>
              <w:keepNext/>
              <w:spacing w:after="0" w:line="240" w:lineRule="auto"/>
              <w:rPr>
                <w:rFonts w:ascii="Times New Roman" w:hAnsi="Times New Roman" w:cs="Times New Roman"/>
                <w:sz w:val="24"/>
                <w:szCs w:val="24"/>
              </w:rPr>
            </w:pPr>
            <w:r w:rsidRPr="00C2709E">
              <w:rPr>
                <w:rFonts w:ascii="Times New Roman" w:hAnsi="Times New Roman" w:cs="Times New Roman"/>
                <w:sz w:val="24"/>
                <w:szCs w:val="24"/>
              </w:rPr>
              <w:t>Email:</w:t>
            </w:r>
            <w:r w:rsidRPr="00C2709E">
              <w:rPr>
                <w:rFonts w:ascii="Times New Roman" w:hAnsi="Times New Roman" w:cs="Times New Roman"/>
                <w:sz w:val="24"/>
                <w:szCs w:val="24"/>
              </w:rPr>
              <w:tab/>
              <w:t>dconway@porterwright.com</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egallon@porterwright.com</w:t>
            </w:r>
          </w:p>
          <w:p w:rsidR="00C2709E" w:rsidRPr="00C2709E" w:rsidRDefault="00C2709E" w:rsidP="00C2709E">
            <w:pPr>
              <w:spacing w:after="0" w:line="240" w:lineRule="auto"/>
              <w:jc w:val="both"/>
              <w:rPr>
                <w:rFonts w:ascii="Times New Roman" w:hAnsi="Times New Roman" w:cs="Times New Roman"/>
                <w:sz w:val="24"/>
                <w:szCs w:val="24"/>
              </w:rPr>
            </w:pPr>
          </w:p>
        </w:tc>
        <w:tc>
          <w:tcPr>
            <w:tcW w:w="4455"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M. Howard Petricoff</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Vorys, Sater, Seymour and Pease LLP</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52 East Gay Street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P.O. Box 1008</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 43216-1008</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mhpetricoff@vorys.com</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Stephen Reilly</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Assistant Attorney General,</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Public Utilities Section</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Ohio Attorney General Mike DeWine</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180 East Broad Street, 6th Floor</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Ohio 43215-3793</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stephen.reilly@puc.state.oh.us</w:t>
            </w:r>
          </w:p>
          <w:p w:rsidR="00C2709E" w:rsidRPr="00C2709E" w:rsidRDefault="00C2709E" w:rsidP="00C2709E">
            <w:pPr>
              <w:spacing w:after="0" w:line="240" w:lineRule="auto"/>
              <w:jc w:val="both"/>
              <w:rPr>
                <w:rFonts w:ascii="Times New Roman" w:hAnsi="Times New Roman" w:cs="Times New Roman"/>
                <w:sz w:val="24"/>
                <w:szCs w:val="24"/>
              </w:rPr>
            </w:pPr>
          </w:p>
        </w:tc>
      </w:tr>
      <w:tr w:rsidR="00C2709E" w:rsidRPr="00C2709E" w:rsidTr="00AE44FA">
        <w:tc>
          <w:tcPr>
            <w:tcW w:w="4401" w:type="dxa"/>
          </w:tcPr>
          <w:p w:rsidR="00C2709E" w:rsidRPr="00C2709E" w:rsidRDefault="00C2709E" w:rsidP="00C2709E">
            <w:pPr>
              <w:spacing w:after="0" w:line="240" w:lineRule="auto"/>
              <w:rPr>
                <w:rFonts w:ascii="Times New Roman" w:hAnsi="Times New Roman" w:cs="Times New Roman"/>
                <w:sz w:val="24"/>
                <w:szCs w:val="24"/>
              </w:rPr>
            </w:pPr>
            <w:r w:rsidRPr="00C2709E">
              <w:rPr>
                <w:rFonts w:ascii="Times New Roman" w:hAnsi="Times New Roman" w:cs="Times New Roman"/>
                <w:sz w:val="24"/>
                <w:szCs w:val="24"/>
              </w:rPr>
              <w:t>Barth E. Royer</w:t>
            </w:r>
            <w:r w:rsidRPr="00C2709E">
              <w:rPr>
                <w:rFonts w:ascii="Times New Roman" w:hAnsi="Times New Roman" w:cs="Times New Roman"/>
                <w:sz w:val="24"/>
                <w:szCs w:val="24"/>
              </w:rPr>
              <w:br/>
              <w:t>Bell &amp; Royer Co., LPA</w:t>
            </w:r>
            <w:r w:rsidRPr="00C2709E">
              <w:rPr>
                <w:rFonts w:ascii="Times New Roman" w:hAnsi="Times New Roman" w:cs="Times New Roman"/>
                <w:sz w:val="24"/>
                <w:szCs w:val="24"/>
              </w:rPr>
              <w:br/>
              <w:t>33 South Grant Avenue</w:t>
            </w:r>
            <w:r w:rsidRPr="00C2709E">
              <w:rPr>
                <w:rFonts w:ascii="Times New Roman" w:hAnsi="Times New Roman" w:cs="Times New Roman"/>
                <w:sz w:val="24"/>
                <w:szCs w:val="24"/>
              </w:rPr>
              <w:br/>
              <w:t>Columbus, Ohio 43215-3927</w:t>
            </w:r>
            <w:r w:rsidRPr="00C2709E">
              <w:rPr>
                <w:rFonts w:ascii="Times New Roman" w:hAnsi="Times New Roman" w:cs="Times New Roman"/>
                <w:sz w:val="24"/>
                <w:szCs w:val="24"/>
              </w:rPr>
              <w:br/>
              <w:t>BarthRoyer@aol.com</w:t>
            </w:r>
          </w:p>
          <w:p w:rsidR="00C2709E" w:rsidRPr="00C2709E" w:rsidRDefault="00C2709E" w:rsidP="00C2709E">
            <w:pPr>
              <w:spacing w:after="0" w:line="240" w:lineRule="auto"/>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pacing w:val="-12"/>
                <w:sz w:val="24"/>
                <w:szCs w:val="24"/>
              </w:rPr>
            </w:pPr>
          </w:p>
        </w:tc>
        <w:tc>
          <w:tcPr>
            <w:tcW w:w="4455"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A. Brian McIntosh</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McIntosh &amp; McIntosh</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1136 Saint Gregory Street, Suite 100</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Cincinnati, Ohio 45202</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brian@mcintoshlaw.com</w:t>
            </w:r>
          </w:p>
          <w:p w:rsidR="00C2709E" w:rsidRPr="00C2709E" w:rsidRDefault="00C2709E" w:rsidP="00C2709E">
            <w:pPr>
              <w:spacing w:after="0" w:line="240" w:lineRule="auto"/>
              <w:jc w:val="both"/>
              <w:rPr>
                <w:rFonts w:ascii="Times New Roman" w:hAnsi="Times New Roman" w:cs="Times New Roman"/>
                <w:b/>
                <w:caps/>
                <w:spacing w:val="-12"/>
                <w:sz w:val="24"/>
                <w:szCs w:val="24"/>
              </w:rPr>
            </w:pPr>
          </w:p>
        </w:tc>
      </w:tr>
    </w:tbl>
    <w:p w:rsidR="00C2709E" w:rsidRPr="00C2709E" w:rsidRDefault="00C2709E" w:rsidP="00C2709E">
      <w:pPr>
        <w:spacing w:after="0" w:line="240" w:lineRule="auto"/>
        <w:rPr>
          <w:rFonts w:ascii="Times New Roman" w:hAnsi="Times New Roman" w:cs="Times New Roman"/>
          <w:sz w:val="24"/>
          <w:szCs w:val="24"/>
        </w:rPr>
      </w:pPr>
      <w:r w:rsidRPr="00C2709E">
        <w:rPr>
          <w:rFonts w:ascii="Times New Roman" w:hAnsi="Times New Roman" w:cs="Times New Roman"/>
          <w:sz w:val="24"/>
          <w:szCs w:val="24"/>
        </w:rPr>
        <w:br w:type="page"/>
      </w:r>
    </w:p>
    <w:tbl>
      <w:tblPr>
        <w:tblW w:w="0" w:type="auto"/>
        <w:tblLook w:val="01E0"/>
      </w:tblPr>
      <w:tblGrid>
        <w:gridCol w:w="4401"/>
        <w:gridCol w:w="4455"/>
      </w:tblGrid>
      <w:tr w:rsidR="00C2709E" w:rsidRPr="00C2709E" w:rsidTr="00AE44FA">
        <w:tc>
          <w:tcPr>
            <w:tcW w:w="4401"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lastRenderedPageBreak/>
              <w:t>Larry S. Sauer</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Joseph P. Serio</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Assistant Consumers’ Counsel</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Office of the Ohio Consumers’ Counsel</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10 West Broad Street, Suite 1800</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Ohio 43215-3485</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sauer@occ.state.oh.us</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serio@occ.state.oh.us</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Glenn S. Krassen</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Bricker &amp; Eckler LLP</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1001 Lakeside Ave. East, Suite 1350</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Cleveland, Ohio 44114</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gkrassen@bricker.com</w:t>
            </w:r>
          </w:p>
          <w:p w:rsidR="00C2709E" w:rsidRPr="00C2709E" w:rsidRDefault="00C2709E" w:rsidP="00C2709E">
            <w:pPr>
              <w:adjustRightInd w:val="0"/>
              <w:spacing w:after="0" w:line="240" w:lineRule="auto"/>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Matthew W. Warnock</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Bricker &amp; Eckler LLP</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100 S. Third Street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Columbus, Ohio 43215</w:t>
            </w:r>
          </w:p>
          <w:p w:rsidR="00C2709E" w:rsidRPr="00C2709E" w:rsidRDefault="00C2709E" w:rsidP="00C2709E">
            <w:pPr>
              <w:spacing w:after="0" w:line="240" w:lineRule="auto"/>
              <w:jc w:val="both"/>
              <w:rPr>
                <w:rFonts w:ascii="Times New Roman" w:hAnsi="Times New Roman" w:cs="Times New Roman"/>
                <w:b/>
                <w:caps/>
                <w:spacing w:val="-12"/>
                <w:sz w:val="24"/>
                <w:szCs w:val="24"/>
              </w:rPr>
            </w:pPr>
            <w:r w:rsidRPr="00C2709E">
              <w:rPr>
                <w:rFonts w:ascii="Times New Roman" w:hAnsi="Times New Roman" w:cs="Times New Roman"/>
                <w:sz w:val="24"/>
                <w:szCs w:val="24"/>
              </w:rPr>
              <w:t>mwarnock@bricker.com</w:t>
            </w:r>
          </w:p>
        </w:tc>
        <w:tc>
          <w:tcPr>
            <w:tcW w:w="4455" w:type="dxa"/>
          </w:tcPr>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Dave Rinebolt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Colleen Mooney</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Ohio Partners for Affordable Energy</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231 West Lima Street</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P.O. Box 1793</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Findlay, OH 45839-1793</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drinebolt@ohiopartners.org</w:t>
            </w:r>
          </w:p>
          <w:p w:rsidR="00C2709E" w:rsidRPr="00C2709E" w:rsidRDefault="00C2709E" w:rsidP="00C2709E">
            <w:pPr>
              <w:spacing w:after="0" w:line="240" w:lineRule="auto"/>
              <w:jc w:val="both"/>
              <w:rPr>
                <w:rFonts w:ascii="Times New Roman" w:hAnsi="Times New Roman" w:cs="Times New Roman"/>
                <w:sz w:val="24"/>
                <w:szCs w:val="24"/>
              </w:rPr>
            </w:pPr>
            <w:r w:rsidRPr="00C2709E">
              <w:rPr>
                <w:rFonts w:ascii="Times New Roman" w:hAnsi="Times New Roman" w:cs="Times New Roman"/>
                <w:sz w:val="24"/>
                <w:szCs w:val="24"/>
              </w:rPr>
              <w:t>cmooney@ohiopartners.org</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Matthew White</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6100 Emerald Parkway</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Dublin, Ohio 43016</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mswhite@igsenergy.com</w:t>
            </w: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spacing w:after="0" w:line="240" w:lineRule="auto"/>
              <w:jc w:val="both"/>
              <w:rPr>
                <w:rFonts w:ascii="Times New Roman" w:hAnsi="Times New Roman" w:cs="Times New Roman"/>
                <w:sz w:val="24"/>
                <w:szCs w:val="24"/>
              </w:rPr>
            </w:pP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 Anthony Long</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Honda of America Mfg., Inc.</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24000 Honda Parkway</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Marysville, Ohio 43040</w:t>
            </w:r>
          </w:p>
          <w:p w:rsidR="00C2709E" w:rsidRPr="00C2709E" w:rsidRDefault="00C2709E" w:rsidP="00C2709E">
            <w:pPr>
              <w:pStyle w:val="Signature"/>
              <w:ind w:left="0"/>
              <w:rPr>
                <w:szCs w:val="24"/>
              </w:rPr>
            </w:pPr>
            <w:r w:rsidRPr="00C2709E">
              <w:rPr>
                <w:szCs w:val="24"/>
              </w:rPr>
              <w:t>Tony_long@ham.honda.com</w:t>
            </w:r>
          </w:p>
          <w:p w:rsidR="00C2709E" w:rsidRPr="00C2709E" w:rsidRDefault="00C2709E" w:rsidP="00C2709E">
            <w:pPr>
              <w:spacing w:after="0" w:line="240" w:lineRule="auto"/>
              <w:jc w:val="both"/>
              <w:rPr>
                <w:rFonts w:ascii="Times New Roman" w:hAnsi="Times New Roman" w:cs="Times New Roman"/>
                <w:sz w:val="24"/>
                <w:szCs w:val="24"/>
              </w:rPr>
            </w:pPr>
          </w:p>
        </w:tc>
      </w:tr>
      <w:tr w:rsidR="00C2709E" w:rsidRPr="00C2709E" w:rsidTr="00AE44FA">
        <w:tc>
          <w:tcPr>
            <w:tcW w:w="4401" w:type="dxa"/>
          </w:tcPr>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John L. Einstein, IV</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790 Windmiller Drive</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Pickerington, OH 43147</w:t>
            </w:r>
          </w:p>
          <w:p w:rsidR="00C2709E" w:rsidRPr="00C2709E" w:rsidRDefault="009D5D8F" w:rsidP="00C2709E">
            <w:pPr>
              <w:adjustRightInd w:val="0"/>
              <w:spacing w:after="0" w:line="240" w:lineRule="auto"/>
              <w:rPr>
                <w:rFonts w:ascii="Times New Roman" w:hAnsi="Times New Roman" w:cs="Times New Roman"/>
                <w:sz w:val="24"/>
                <w:szCs w:val="24"/>
              </w:rPr>
            </w:pPr>
            <w:hyperlink r:id="rId12" w:history="1">
              <w:r w:rsidR="00C2709E" w:rsidRPr="00C2709E">
                <w:rPr>
                  <w:rStyle w:val="Hyperlink"/>
                  <w:rFonts w:ascii="Times New Roman" w:hAnsi="Times New Roman" w:cs="Times New Roman"/>
                  <w:sz w:val="24"/>
                  <w:szCs w:val="24"/>
                </w:rPr>
                <w:t>jeinstein@volunteerenergy.com</w:t>
              </w:r>
            </w:hyperlink>
          </w:p>
          <w:p w:rsidR="00C2709E" w:rsidRPr="00C2709E" w:rsidRDefault="00C2709E" w:rsidP="00C2709E">
            <w:pPr>
              <w:spacing w:after="0" w:line="240" w:lineRule="auto"/>
              <w:jc w:val="both"/>
              <w:rPr>
                <w:rFonts w:ascii="Times New Roman" w:hAnsi="Times New Roman" w:cs="Times New Roman"/>
                <w:sz w:val="24"/>
                <w:szCs w:val="24"/>
              </w:rPr>
            </w:pPr>
          </w:p>
        </w:tc>
        <w:tc>
          <w:tcPr>
            <w:tcW w:w="4455" w:type="dxa"/>
          </w:tcPr>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Joseph M. Clark</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6641 North High Street, Suite 200</w:t>
            </w:r>
          </w:p>
          <w:p w:rsidR="00C2709E" w:rsidRPr="00C2709E" w:rsidRDefault="00C2709E" w:rsidP="00C2709E">
            <w:pPr>
              <w:adjustRightInd w:val="0"/>
              <w:spacing w:after="0" w:line="240" w:lineRule="auto"/>
              <w:rPr>
                <w:rFonts w:ascii="Times New Roman" w:hAnsi="Times New Roman" w:cs="Times New Roman"/>
                <w:sz w:val="24"/>
                <w:szCs w:val="24"/>
              </w:rPr>
            </w:pPr>
            <w:r w:rsidRPr="00C2709E">
              <w:rPr>
                <w:rFonts w:ascii="Times New Roman" w:hAnsi="Times New Roman" w:cs="Times New Roman"/>
                <w:sz w:val="24"/>
                <w:szCs w:val="24"/>
              </w:rPr>
              <w:t>Worthington, OH 43085</w:t>
            </w:r>
          </w:p>
          <w:p w:rsidR="00C2709E" w:rsidRPr="00C2709E" w:rsidRDefault="009D5D8F" w:rsidP="00C2709E">
            <w:pPr>
              <w:adjustRightInd w:val="0"/>
              <w:spacing w:after="0" w:line="240" w:lineRule="auto"/>
              <w:rPr>
                <w:rFonts w:ascii="Times New Roman" w:hAnsi="Times New Roman" w:cs="Times New Roman"/>
                <w:sz w:val="24"/>
                <w:szCs w:val="24"/>
              </w:rPr>
            </w:pPr>
            <w:hyperlink r:id="rId13" w:history="1">
              <w:r w:rsidR="00C2709E" w:rsidRPr="00C2709E">
                <w:rPr>
                  <w:rStyle w:val="Hyperlink"/>
                  <w:rFonts w:ascii="Times New Roman" w:hAnsi="Times New Roman" w:cs="Times New Roman"/>
                  <w:sz w:val="24"/>
                  <w:szCs w:val="24"/>
                </w:rPr>
                <w:t>Joseph.clark@directenergy.com</w:t>
              </w:r>
            </w:hyperlink>
          </w:p>
          <w:p w:rsidR="00C2709E" w:rsidRPr="00C2709E" w:rsidRDefault="00C2709E" w:rsidP="00C2709E">
            <w:pPr>
              <w:spacing w:after="0" w:line="240" w:lineRule="auto"/>
              <w:jc w:val="both"/>
              <w:rPr>
                <w:rFonts w:ascii="Times New Roman" w:hAnsi="Times New Roman" w:cs="Times New Roman"/>
                <w:sz w:val="24"/>
                <w:szCs w:val="24"/>
              </w:rPr>
            </w:pPr>
          </w:p>
        </w:tc>
      </w:tr>
    </w:tbl>
    <w:p w:rsidR="009F051D" w:rsidRPr="009F051D" w:rsidRDefault="009F051D" w:rsidP="009F051D">
      <w:pPr>
        <w:pStyle w:val="Signature"/>
        <w:ind w:left="4770"/>
        <w:rPr>
          <w:szCs w:val="24"/>
        </w:rPr>
      </w:pPr>
    </w:p>
    <w:p w:rsidR="009F051D" w:rsidRPr="00D22F51" w:rsidRDefault="009F051D" w:rsidP="009F051D">
      <w:pPr>
        <w:rPr>
          <w:sz w:val="24"/>
          <w:szCs w:val="24"/>
        </w:rPr>
      </w:pPr>
    </w:p>
    <w:p w:rsidR="009F051D" w:rsidRPr="004A2008" w:rsidRDefault="009F051D" w:rsidP="00F94F41">
      <w:pPr>
        <w:spacing w:after="0" w:line="480" w:lineRule="auto"/>
        <w:jc w:val="both"/>
        <w:rPr>
          <w:rFonts w:ascii="Times New Roman" w:hAnsi="Times New Roman" w:cs="Times New Roman"/>
          <w:sz w:val="24"/>
          <w:szCs w:val="24"/>
        </w:rPr>
      </w:pPr>
    </w:p>
    <w:sectPr w:rsidR="009F051D" w:rsidRPr="004A2008" w:rsidSect="00B10A7E">
      <w:footerReference w:type="first" r:id="rId14"/>
      <w:pgSz w:w="12240" w:h="15840"/>
      <w:pgMar w:top="1440" w:right="162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57" w:rsidRDefault="00ED5E57" w:rsidP="00797B06">
      <w:pPr>
        <w:spacing w:after="0" w:line="240" w:lineRule="auto"/>
      </w:pPr>
      <w:r>
        <w:separator/>
      </w:r>
    </w:p>
  </w:endnote>
  <w:endnote w:type="continuationSeparator" w:id="0">
    <w:p w:rsidR="00ED5E57" w:rsidRDefault="00ED5E57" w:rsidP="0079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C32" w:rsidRDefault="009D5D8F" w:rsidP="00B10A7E">
    <w:pPr>
      <w:pStyle w:val="Footer"/>
      <w:framePr w:wrap="around" w:vAnchor="text" w:hAnchor="margin" w:xAlign="center" w:y="1"/>
      <w:rPr>
        <w:rStyle w:val="PageNumber"/>
      </w:rPr>
    </w:pPr>
    <w:r>
      <w:rPr>
        <w:rStyle w:val="PageNumber"/>
      </w:rPr>
      <w:fldChar w:fldCharType="begin"/>
    </w:r>
    <w:r w:rsidR="00F27C32">
      <w:rPr>
        <w:rStyle w:val="PageNumber"/>
      </w:rPr>
      <w:instrText xml:space="preserve">PAGE  </w:instrText>
    </w:r>
    <w:r>
      <w:rPr>
        <w:rStyle w:val="PageNumber"/>
      </w:rPr>
      <w:fldChar w:fldCharType="end"/>
    </w:r>
  </w:p>
  <w:p w:rsidR="00F27C32" w:rsidRDefault="00F27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7E" w:rsidRDefault="009D5D8F" w:rsidP="00D94679">
    <w:pPr>
      <w:pStyle w:val="Footer"/>
      <w:framePr w:wrap="around" w:vAnchor="text" w:hAnchor="margin" w:xAlign="center" w:y="1"/>
      <w:rPr>
        <w:rStyle w:val="PageNumber"/>
      </w:rPr>
    </w:pPr>
    <w:r>
      <w:rPr>
        <w:rStyle w:val="PageNumber"/>
      </w:rPr>
      <w:fldChar w:fldCharType="begin"/>
    </w:r>
    <w:r w:rsidR="00B10A7E">
      <w:rPr>
        <w:rStyle w:val="PageNumber"/>
      </w:rPr>
      <w:instrText xml:space="preserve">PAGE  </w:instrText>
    </w:r>
    <w:r>
      <w:rPr>
        <w:rStyle w:val="PageNumber"/>
      </w:rPr>
      <w:fldChar w:fldCharType="separate"/>
    </w:r>
    <w:r w:rsidR="007D34C6">
      <w:rPr>
        <w:rStyle w:val="PageNumber"/>
        <w:noProof/>
      </w:rPr>
      <w:t>11</w:t>
    </w:r>
    <w:r>
      <w:rPr>
        <w:rStyle w:val="PageNumber"/>
      </w:rPr>
      <w:fldChar w:fldCharType="end"/>
    </w:r>
  </w:p>
  <w:p w:rsidR="00B10A7E" w:rsidRDefault="00B10A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7E" w:rsidRDefault="00B10A7E" w:rsidP="009A35CB">
    <w:pPr>
      <w:pStyle w:val="Footer"/>
      <w:rPr>
        <w:rFonts w:ascii="Times New Roman" w:hAnsi="Times New Roman" w:cs="Times New Roman"/>
        <w:sz w:val="16"/>
      </w:rPr>
    </w:pPr>
    <w:r>
      <w:rPr>
        <w:rFonts w:ascii="Times New Roman" w:hAnsi="Times New Roman" w:cs="Times New Roman"/>
        <w:sz w:val="16"/>
      </w:rPr>
      <w:t>#739590v1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7E" w:rsidRDefault="00B10A7E" w:rsidP="00B10A7E">
    <w:pPr>
      <w:pStyle w:val="Footer"/>
      <w:tabs>
        <w:tab w:val="clear" w:pos="4680"/>
        <w:tab w:val="clear" w:pos="9360"/>
        <w:tab w:val="center" w:pos="4635"/>
      </w:tabs>
      <w:rPr>
        <w:rFonts w:ascii="Times New Roman" w:hAnsi="Times New Roman" w:cs="Times New Roman"/>
        <w:sz w:val="16"/>
      </w:rPr>
    </w:pPr>
    <w:r>
      <w:rPr>
        <w:rFonts w:ascii="Times New Roman" w:hAnsi="Times New Roman" w:cs="Times New Roman"/>
        <w:sz w:val="16"/>
      </w:rPr>
      <w:t>#739590v1</w:t>
    </w:r>
  </w:p>
  <w:p w:rsidR="00F27C32" w:rsidRPr="00DD6C00" w:rsidRDefault="00F27C32">
    <w:pPr>
      <w:pStyle w:val="Footer"/>
      <w:rPr>
        <w:rFonts w:ascii="Times New Roman" w:hAnsi="Times New Roman" w:cs="Times New Roman"/>
        <w:sz w:val="16"/>
      </w:rPr>
    </w:pPr>
    <w:r w:rsidRPr="00E145D6">
      <w:rPr>
        <w:rFonts w:ascii="Times New Roman" w:hAnsi="Times New Roman" w:cs="Times New Roman"/>
        <w:sz w:val="24"/>
        <w:szCs w:val="24"/>
      </w:rPr>
      <w:tab/>
    </w:r>
    <w:r w:rsidR="009D5D8F" w:rsidRPr="00E145D6">
      <w:rPr>
        <w:rFonts w:ascii="Times New Roman" w:hAnsi="Times New Roman" w:cs="Times New Roman"/>
        <w:sz w:val="24"/>
        <w:szCs w:val="24"/>
      </w:rPr>
      <w:fldChar w:fldCharType="begin"/>
    </w:r>
    <w:r w:rsidRPr="00E145D6">
      <w:rPr>
        <w:rFonts w:ascii="Times New Roman" w:hAnsi="Times New Roman" w:cs="Times New Roman"/>
        <w:sz w:val="24"/>
        <w:szCs w:val="24"/>
      </w:rPr>
      <w:instrText xml:space="preserve"> PAGE   \* MERGEFORMAT </w:instrText>
    </w:r>
    <w:r w:rsidR="009D5D8F" w:rsidRPr="00E145D6">
      <w:rPr>
        <w:rFonts w:ascii="Times New Roman" w:hAnsi="Times New Roman" w:cs="Times New Roman"/>
        <w:sz w:val="24"/>
        <w:szCs w:val="24"/>
      </w:rPr>
      <w:fldChar w:fldCharType="separate"/>
    </w:r>
    <w:r w:rsidR="007D34C6">
      <w:rPr>
        <w:rFonts w:ascii="Times New Roman" w:hAnsi="Times New Roman" w:cs="Times New Roman"/>
        <w:noProof/>
        <w:sz w:val="24"/>
        <w:szCs w:val="24"/>
      </w:rPr>
      <w:t>1</w:t>
    </w:r>
    <w:r w:rsidR="009D5D8F" w:rsidRPr="00E145D6">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57" w:rsidRDefault="00ED5E57" w:rsidP="00797B06">
      <w:pPr>
        <w:spacing w:after="0" w:line="240" w:lineRule="auto"/>
      </w:pPr>
      <w:r>
        <w:separator/>
      </w:r>
    </w:p>
  </w:footnote>
  <w:footnote w:type="continuationSeparator" w:id="0">
    <w:p w:rsidR="00ED5E57" w:rsidRDefault="00ED5E57" w:rsidP="00797B06">
      <w:pPr>
        <w:spacing w:after="0" w:line="240" w:lineRule="auto"/>
      </w:pPr>
      <w:r>
        <w:continuationSeparator/>
      </w:r>
    </w:p>
  </w:footnote>
  <w:footnote w:id="1">
    <w:p w:rsidR="00F27C32" w:rsidRPr="0014572B" w:rsidRDefault="00F27C32" w:rsidP="0014572B">
      <w:pPr>
        <w:pStyle w:val="FootnoteText"/>
        <w:ind w:firstLine="720"/>
        <w:jc w:val="both"/>
        <w:rPr>
          <w:rFonts w:ascii="Times New Roman" w:hAnsi="Times New Roman" w:cs="Times New Roman"/>
        </w:rPr>
      </w:pPr>
      <w:r w:rsidRPr="0014572B">
        <w:rPr>
          <w:rStyle w:val="FootnoteReference"/>
          <w:rFonts w:ascii="Times New Roman" w:hAnsi="Times New Roman" w:cs="Times New Roman"/>
        </w:rPr>
        <w:footnoteRef/>
      </w:r>
      <w:r w:rsidRPr="0014572B">
        <w:rPr>
          <w:rFonts w:ascii="Times New Roman" w:hAnsi="Times New Roman" w:cs="Times New Roman"/>
        </w:rPr>
        <w:t xml:space="preserve"> The Ohio Partners for Affordable Energy (“OPAE”) also filed an application for rehearing </w:t>
      </w:r>
      <w:r>
        <w:rPr>
          <w:rFonts w:ascii="Times New Roman" w:hAnsi="Times New Roman" w:cs="Times New Roman"/>
        </w:rPr>
        <w:t xml:space="preserve">alleging that approval of the joint motion and stipulation filed in this proceeding is unlawful in various respects and, thus, Columbia Gas of Ohio (“Columbia”) should not be authorized to exit the merchant function for non-residential customers.  Hess supports the non-residential exit.  Hess Ex. 1, at 6-7.  Hess did </w:t>
      </w:r>
      <w:r w:rsidRPr="0026122B">
        <w:rPr>
          <w:rFonts w:ascii="Times New Roman" w:hAnsi="Times New Roman" w:cs="Times New Roman"/>
          <w:b/>
        </w:rPr>
        <w:t>NOT</w:t>
      </w:r>
      <w:r>
        <w:rPr>
          <w:rFonts w:ascii="Times New Roman" w:hAnsi="Times New Roman" w:cs="Times New Roman"/>
          <w:b/>
        </w:rPr>
        <w:t xml:space="preserve"> </w:t>
      </w:r>
      <w:r w:rsidRPr="0026122B">
        <w:rPr>
          <w:rFonts w:ascii="Times New Roman" w:hAnsi="Times New Roman" w:cs="Times New Roman"/>
        </w:rPr>
        <w:t>support</w:t>
      </w:r>
      <w:r>
        <w:rPr>
          <w:rFonts w:ascii="Times New Roman" w:hAnsi="Times New Roman" w:cs="Times New Roman"/>
        </w:rPr>
        <w:t xml:space="preserve">, and continues not to support, the framework for the residential exit, e.g., the Commission’s approval of a 70% Choice enrollment threshold which, when met, would permit Columbia to file an application for residential exit.  The framework unreasonably infers that 70% is a reasonable level at which to terminate low-cost SCO service.  Hess continues to believe a residential exit should not occur until Choice enrollment is much, much higher.  Hess Post Hearing Brief, at 4-10.  However, considering the Commission’s finding that the threshold is “by no means an indication” that 70% Choice enrollment warrants the residential exit (Order, at 31), and the Commission’s promise of due process protections if a residential exit application is filed (Id.), Hess has chosen not to seek rehearing on this portion of the Order, but reserves its right to vigorously contest any future residential exit application.         </w:t>
      </w:r>
      <w:r w:rsidRPr="0014572B">
        <w:rPr>
          <w:rFonts w:ascii="Times New Roman" w:hAnsi="Times New Roman" w:cs="Times New Roman"/>
        </w:rPr>
        <w:t xml:space="preserve"> </w:t>
      </w:r>
    </w:p>
  </w:footnote>
  <w:footnote w:id="2">
    <w:p w:rsidR="00F27C32" w:rsidRPr="008218CB" w:rsidRDefault="00F27C32" w:rsidP="008218CB">
      <w:pPr>
        <w:pStyle w:val="FootnoteText"/>
        <w:ind w:firstLine="720"/>
        <w:rPr>
          <w:rFonts w:ascii="Times New Roman" w:hAnsi="Times New Roman" w:cs="Times New Roman"/>
        </w:rPr>
      </w:pPr>
      <w:r w:rsidRPr="008218CB">
        <w:rPr>
          <w:rStyle w:val="FootnoteReference"/>
          <w:rFonts w:ascii="Times New Roman" w:hAnsi="Times New Roman" w:cs="Times New Roman"/>
        </w:rPr>
        <w:footnoteRef/>
      </w:r>
      <w:r w:rsidRPr="008218CB">
        <w:rPr>
          <w:rFonts w:ascii="Times New Roman" w:hAnsi="Times New Roman" w:cs="Times New Roman"/>
        </w:rPr>
        <w:t xml:space="preserve"> In its application for rehearing, Hess sought the following clarification:</w:t>
      </w:r>
    </w:p>
    <w:p w:rsidR="00F27C32" w:rsidRDefault="00F27C32" w:rsidP="008218CB">
      <w:pPr>
        <w:pStyle w:val="FootnoteText"/>
        <w:spacing w:before="120"/>
        <w:ind w:left="1440" w:right="630"/>
        <w:jc w:val="both"/>
      </w:pPr>
      <w:r>
        <w:rPr>
          <w:rFonts w:ascii="Times New Roman" w:hAnsi="Times New Roman" w:cs="Times New Roman"/>
        </w:rPr>
        <w:t xml:space="preserve">Although the order seeks to measure tranche ownership “as of the date of the order going forward,” it continues to cite historical “SSO” tranche ownership.  Effective with the 2012-2013 Program Year, Columbia transitioned from an SSO auction to SCO auction, whereby SCO suppliers are awarded tranches to serve Choice-eligible customers who have not selected a Choice supplier and non-Choice-eligible customers (e.g., Default Sales Service (“DDS”) customers).  See Case No. 08-1344-GA-EXM (Opinion and Order, September 7, 2011).  The Commission should clarify that the tranche ownership measured beginning January 9, 2013 (the date of the Order) will be such SCO tranche ownership.  </w:t>
      </w:r>
    </w:p>
  </w:footnote>
  <w:footnote w:id="3">
    <w:p w:rsidR="00F27C32" w:rsidRPr="00D775F0" w:rsidRDefault="00F27C32" w:rsidP="00D775F0">
      <w:pPr>
        <w:pStyle w:val="FootnoteText"/>
        <w:ind w:firstLine="720"/>
        <w:jc w:val="both"/>
        <w:rPr>
          <w:rFonts w:ascii="Times New Roman" w:hAnsi="Times New Roman" w:cs="Times New Roman"/>
        </w:rPr>
      </w:pPr>
      <w:r w:rsidRPr="00D775F0">
        <w:rPr>
          <w:rStyle w:val="FootnoteReference"/>
          <w:rFonts w:ascii="Times New Roman" w:hAnsi="Times New Roman" w:cs="Times New Roman"/>
        </w:rPr>
        <w:footnoteRef/>
      </w:r>
      <w:r w:rsidRPr="00D775F0">
        <w:rPr>
          <w:rFonts w:ascii="Times New Roman" w:hAnsi="Times New Roman" w:cs="Times New Roman"/>
        </w:rPr>
        <w:t xml:space="preserve"> </w:t>
      </w:r>
      <w:r>
        <w:rPr>
          <w:rFonts w:ascii="Times New Roman" w:hAnsi="Times New Roman" w:cs="Times New Roman"/>
        </w:rPr>
        <w:t xml:space="preserve">Notably, Hess witness Magnani also reasoned that non-shopping customers should be assigned to </w:t>
      </w:r>
      <w:r w:rsidRPr="00D66C31">
        <w:rPr>
          <w:rFonts w:ascii="Times New Roman" w:hAnsi="Times New Roman" w:cs="Times New Roman"/>
          <w:b/>
          <w:i/>
        </w:rPr>
        <w:t>Choice</w:t>
      </w:r>
      <w:r>
        <w:rPr>
          <w:rFonts w:ascii="Times New Roman" w:hAnsi="Times New Roman" w:cs="Times New Roman"/>
        </w:rPr>
        <w:t xml:space="preserve"> suppliers to incent their continued participation in the Choice program.  If Dominion’s rationale were adopted, it would lead to the unreasonable result that a Choice supplier’s customers enrolled prior to the issuance of the Commission’s Order would be excluded in determining that Choice supplier’s MVR allocation ratio.   </w:t>
      </w:r>
    </w:p>
  </w:footnote>
  <w:footnote w:id="4">
    <w:p w:rsidR="00F27C32" w:rsidRPr="00D62797" w:rsidRDefault="00F27C32" w:rsidP="00C15226">
      <w:pPr>
        <w:pStyle w:val="FootnoteText"/>
        <w:ind w:firstLine="720"/>
        <w:jc w:val="both"/>
        <w:rPr>
          <w:rFonts w:ascii="Times New Roman" w:hAnsi="Times New Roman" w:cs="Times New Roman"/>
        </w:rPr>
      </w:pPr>
      <w:r w:rsidRPr="00D62797">
        <w:rPr>
          <w:rStyle w:val="FootnoteReference"/>
          <w:rFonts w:ascii="Times New Roman" w:hAnsi="Times New Roman" w:cs="Times New Roman"/>
        </w:rPr>
        <w:footnoteRef/>
      </w:r>
      <w:r w:rsidRPr="00D62797">
        <w:rPr>
          <w:rFonts w:ascii="Times New Roman" w:hAnsi="Times New Roman" w:cs="Times New Roman"/>
        </w:rPr>
        <w:t xml:space="preserve"> </w:t>
      </w:r>
      <w:r>
        <w:rPr>
          <w:rFonts w:ascii="Times New Roman" w:hAnsi="Times New Roman" w:cs="Times New Roman"/>
        </w:rPr>
        <w:t xml:space="preserve">In its rehearing application at 9, Dominion objects only to the ability of SCO suppliers to assign customers to other suppliers for compensation (even though Choice suppliers are free to do so under the Commission’s rules).  Despite the constitutional ramifications of Dominion’s proposal, Hess requests only </w:t>
      </w:r>
      <w:r w:rsidRPr="00086FE3">
        <w:rPr>
          <w:rFonts w:ascii="Times New Roman" w:hAnsi="Times New Roman" w:cs="Times New Roman"/>
        </w:rPr>
        <w:t xml:space="preserve">that its affiliated MVR supplier </w:t>
      </w:r>
      <w:r>
        <w:rPr>
          <w:rFonts w:ascii="Times New Roman" w:hAnsi="Times New Roman" w:cs="Times New Roman"/>
        </w:rPr>
        <w:t xml:space="preserve">be permitted to </w:t>
      </w:r>
      <w:r w:rsidRPr="00086FE3">
        <w:rPr>
          <w:rFonts w:ascii="Times New Roman" w:hAnsi="Times New Roman" w:cs="Times New Roman"/>
        </w:rPr>
        <w:t>serve its allocated share of SCO customers.</w:t>
      </w:r>
      <w:r>
        <w:rPr>
          <w:rFonts w:ascii="Times New Roman" w:hAnsi="Times New Roman" w:cs="Times New Roman"/>
        </w:rPr>
        <w:t xml:space="preserve"> </w:t>
      </w:r>
      <w:r w:rsidRPr="00086FE3">
        <w:rPr>
          <w:rFonts w:ascii="Times New Roman" w:hAnsi="Times New Roman" w:cs="Times New Roman"/>
        </w:rPr>
        <w:t xml:space="preserve"> Hess Application for Rehearing, at 24-25.</w:t>
      </w:r>
    </w:p>
  </w:footnote>
  <w:footnote w:id="5">
    <w:p w:rsidR="00F27C32" w:rsidRPr="00D8610C" w:rsidRDefault="00F27C32" w:rsidP="00D62797">
      <w:pPr>
        <w:pStyle w:val="FootnoteText"/>
        <w:spacing w:before="120"/>
        <w:ind w:firstLine="720"/>
        <w:jc w:val="both"/>
        <w:rPr>
          <w:rFonts w:ascii="Times New Roman" w:hAnsi="Times New Roman" w:cs="Times New Roman"/>
        </w:rPr>
      </w:pPr>
      <w:r w:rsidRPr="00D8610C">
        <w:rPr>
          <w:rStyle w:val="FootnoteReference"/>
          <w:rFonts w:ascii="Times New Roman" w:hAnsi="Times New Roman" w:cs="Times New Roman"/>
        </w:rPr>
        <w:footnoteRef/>
      </w:r>
      <w:r w:rsidRPr="00D8610C">
        <w:rPr>
          <w:rFonts w:ascii="Times New Roman" w:hAnsi="Times New Roman" w:cs="Times New Roman"/>
        </w:rPr>
        <w:t xml:space="preserve"> </w:t>
      </w:r>
      <w:r>
        <w:rPr>
          <w:rFonts w:ascii="Times New Roman" w:hAnsi="Times New Roman" w:cs="Times New Roman"/>
        </w:rPr>
        <w:t xml:space="preserve">In its rehearing application at 8, Dominion does not ask the Commission to reject this re-allocation process, but merely to “batten down” how the re-allocation process works.  Nevertheless, Dominion appears to find fault with the fact that this “measure would increase the number of customers that would otherwise be allocated to [SCO suppliers] to the detriment of [Choice] suppliers that have actively competed for customers but did not participate in or did not win tranches in prior auction.”  Hess notes that the re-allocation process is consistent with Hess witness Magnani’s testimony and the Commission’s finding that recognition must be given to SCO suppliers’ historical support of the SCO program.  Choice suppliers who did not participate in the SCO program should not be included in the re-allocation process.   </w:t>
      </w:r>
    </w:p>
  </w:footnote>
  <w:footnote w:id="6">
    <w:p w:rsidR="00747976" w:rsidRPr="00747976" w:rsidRDefault="00747976" w:rsidP="00747976">
      <w:pPr>
        <w:pStyle w:val="FootnoteText"/>
        <w:spacing w:before="120"/>
        <w:ind w:firstLine="720"/>
        <w:jc w:val="both"/>
        <w:rPr>
          <w:rFonts w:ascii="Times New Roman" w:hAnsi="Times New Roman" w:cs="Times New Roman"/>
        </w:rPr>
      </w:pPr>
      <w:r w:rsidRPr="00747976">
        <w:rPr>
          <w:rStyle w:val="FootnoteReference"/>
          <w:rFonts w:ascii="Times New Roman" w:hAnsi="Times New Roman" w:cs="Times New Roman"/>
        </w:rPr>
        <w:footnoteRef/>
      </w:r>
      <w:r>
        <w:rPr>
          <w:rFonts w:ascii="Times New Roman" w:hAnsi="Times New Roman" w:cs="Times New Roman"/>
        </w:rPr>
        <w:t xml:space="preserve"> In its application for rehearing at 16, Hess proposed that customers be allocated to suppliers who had obtained a 0.5 percent market share, in part to simplify the allocation process for Columbia.  Considering Columbia’s position on rehearing to eliminate the one percent minimum allocation in its entirety, Hess will withdraw its proposal as it relates to the 0.5 percent threshold.</w:t>
      </w:r>
      <w:r w:rsidRPr="00747976">
        <w:rPr>
          <w:rFonts w:ascii="Times New Roman" w:hAnsi="Times New Roman" w:cs="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7E" w:rsidRPr="00C77DCF" w:rsidRDefault="00F27C32" w:rsidP="00B10A7E">
    <w:pPr>
      <w:pStyle w:val="Header"/>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rsidR="00F27C32" w:rsidRPr="00C77DCF" w:rsidRDefault="00F27C32" w:rsidP="00A674F9">
    <w:pPr>
      <w:pStyle w:val="Header"/>
      <w:rPr>
        <w:rFonts w:ascii="Times New Roman" w:hAnsi="Times New Roman" w:cs="Times New Roman"/>
        <w:b/>
        <w:i/>
        <w:sz w:val="24"/>
        <w:szCs w:val="24"/>
      </w:rPr>
    </w:pPr>
    <w:r w:rsidRPr="00C77DCF">
      <w:rPr>
        <w:rFonts w:ascii="Times New Roman" w:hAnsi="Times New Roman" w:cs="Times New Roman"/>
        <w:b/>
        <w:i/>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C97"/>
    <w:multiLevelType w:val="hybridMultilevel"/>
    <w:tmpl w:val="332A482E"/>
    <w:lvl w:ilvl="0" w:tplc="1AD4A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30EEE"/>
    <w:multiLevelType w:val="hybridMultilevel"/>
    <w:tmpl w:val="BB2AEE26"/>
    <w:lvl w:ilvl="0" w:tplc="30E09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323EC8"/>
    <w:multiLevelType w:val="hybridMultilevel"/>
    <w:tmpl w:val="0090EFF8"/>
    <w:lvl w:ilvl="0" w:tplc="247873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0C52A0"/>
    <w:multiLevelType w:val="hybridMultilevel"/>
    <w:tmpl w:val="7170409A"/>
    <w:lvl w:ilvl="0" w:tplc="9DDECE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EB3EFB"/>
    <w:multiLevelType w:val="hybridMultilevel"/>
    <w:tmpl w:val="1ACED62C"/>
    <w:lvl w:ilvl="0" w:tplc="84C27D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1E6D2C"/>
    <w:multiLevelType w:val="hybridMultilevel"/>
    <w:tmpl w:val="E5F46A6E"/>
    <w:lvl w:ilvl="0" w:tplc="CFBE3930">
      <w:start w:val="1"/>
      <w:numFmt w:val="decimal"/>
      <w:lvlText w:val="%1."/>
      <w:lvlJc w:val="left"/>
      <w:pPr>
        <w:ind w:left="1800" w:hanging="360"/>
      </w:pPr>
      <w:rPr>
        <w:rFonts w:hint="default"/>
        <w:b/>
      </w:rPr>
    </w:lvl>
    <w:lvl w:ilvl="1" w:tplc="9BE2CFDA">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4962FB"/>
    <w:multiLevelType w:val="hybridMultilevel"/>
    <w:tmpl w:val="EA1A7828"/>
    <w:lvl w:ilvl="0" w:tplc="B5A0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0D71DD"/>
    <w:multiLevelType w:val="hybridMultilevel"/>
    <w:tmpl w:val="CEFAE2D4"/>
    <w:lvl w:ilvl="0" w:tplc="6D9A4BB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EC435F"/>
    <w:multiLevelType w:val="hybridMultilevel"/>
    <w:tmpl w:val="4C84E806"/>
    <w:lvl w:ilvl="0" w:tplc="B3BEF2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0742D3"/>
    <w:multiLevelType w:val="hybridMultilevel"/>
    <w:tmpl w:val="6988F958"/>
    <w:lvl w:ilvl="0" w:tplc="677A1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BB6035"/>
    <w:multiLevelType w:val="hybridMultilevel"/>
    <w:tmpl w:val="CC50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3648B"/>
    <w:multiLevelType w:val="hybridMultilevel"/>
    <w:tmpl w:val="7B584464"/>
    <w:lvl w:ilvl="0" w:tplc="B69AD5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7BF49BA"/>
    <w:multiLevelType w:val="hybridMultilevel"/>
    <w:tmpl w:val="1B74A292"/>
    <w:lvl w:ilvl="0" w:tplc="7B642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B70C05"/>
    <w:multiLevelType w:val="hybridMultilevel"/>
    <w:tmpl w:val="700CE694"/>
    <w:lvl w:ilvl="0" w:tplc="69CC17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116377"/>
    <w:multiLevelType w:val="hybridMultilevel"/>
    <w:tmpl w:val="0EBA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95FE7"/>
    <w:multiLevelType w:val="hybridMultilevel"/>
    <w:tmpl w:val="2992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52B12"/>
    <w:multiLevelType w:val="hybridMultilevel"/>
    <w:tmpl w:val="92483F3C"/>
    <w:lvl w:ilvl="0" w:tplc="2F7C1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7123E3"/>
    <w:multiLevelType w:val="hybridMultilevel"/>
    <w:tmpl w:val="A9268D4C"/>
    <w:lvl w:ilvl="0" w:tplc="92D225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BC0A232">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1B1241"/>
    <w:multiLevelType w:val="hybridMultilevel"/>
    <w:tmpl w:val="F37C9678"/>
    <w:lvl w:ilvl="0" w:tplc="BC42B2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E134D92"/>
    <w:multiLevelType w:val="hybridMultilevel"/>
    <w:tmpl w:val="144855A4"/>
    <w:lvl w:ilvl="0" w:tplc="5B646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EA323B"/>
    <w:multiLevelType w:val="hybridMultilevel"/>
    <w:tmpl w:val="4FC21D82"/>
    <w:lvl w:ilvl="0" w:tplc="619AD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2E23617"/>
    <w:multiLevelType w:val="hybridMultilevel"/>
    <w:tmpl w:val="3BF48B5A"/>
    <w:lvl w:ilvl="0" w:tplc="80D263BE">
      <w:start w:val="1"/>
      <w:numFmt w:val="upperRoman"/>
      <w:lvlText w:val="%1."/>
      <w:lvlJc w:val="left"/>
      <w:pPr>
        <w:ind w:left="1080" w:hanging="720"/>
      </w:pPr>
      <w:rPr>
        <w:rFonts w:hint="default"/>
        <w:b w:val="0"/>
      </w:rPr>
    </w:lvl>
    <w:lvl w:ilvl="1" w:tplc="E3C6D27E">
      <w:start w:val="1"/>
      <w:numFmt w:val="lowerLetter"/>
      <w:lvlText w:val="%2."/>
      <w:lvlJc w:val="left"/>
      <w:pPr>
        <w:ind w:left="1440" w:hanging="360"/>
      </w:pPr>
      <w:rPr>
        <w:b w:val="0"/>
      </w:rPr>
    </w:lvl>
    <w:lvl w:ilvl="2" w:tplc="01C0868E">
      <w:start w:val="1"/>
      <w:numFmt w:val="lowerRoman"/>
      <w:lvlText w:val="%3."/>
      <w:lvlJc w:val="right"/>
      <w:pPr>
        <w:ind w:left="2160" w:hanging="180"/>
      </w:pPr>
      <w:rPr>
        <w:b w:val="0"/>
      </w:rPr>
    </w:lvl>
    <w:lvl w:ilvl="3" w:tplc="6194F3D0">
      <w:start w:val="1"/>
      <w:numFmt w:val="decimal"/>
      <w:lvlText w:val="%4."/>
      <w:lvlJc w:val="left"/>
      <w:pPr>
        <w:ind w:left="279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F5720"/>
    <w:multiLevelType w:val="hybridMultilevel"/>
    <w:tmpl w:val="ACC80C9C"/>
    <w:lvl w:ilvl="0" w:tplc="6B6A2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252365"/>
    <w:multiLevelType w:val="hybridMultilevel"/>
    <w:tmpl w:val="96085F16"/>
    <w:lvl w:ilvl="0" w:tplc="4C34C3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46692"/>
    <w:multiLevelType w:val="hybridMultilevel"/>
    <w:tmpl w:val="363C0632"/>
    <w:lvl w:ilvl="0" w:tplc="1D6E8F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F44AD8"/>
    <w:multiLevelType w:val="hybridMultilevel"/>
    <w:tmpl w:val="E5F46A6E"/>
    <w:lvl w:ilvl="0" w:tplc="CFBE3930">
      <w:start w:val="1"/>
      <w:numFmt w:val="decimal"/>
      <w:lvlText w:val="%1."/>
      <w:lvlJc w:val="left"/>
      <w:pPr>
        <w:ind w:left="1800" w:hanging="360"/>
      </w:pPr>
      <w:rPr>
        <w:rFonts w:hint="default"/>
        <w:b/>
      </w:rPr>
    </w:lvl>
    <w:lvl w:ilvl="1" w:tplc="9BE2CFDA">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5342092"/>
    <w:multiLevelType w:val="hybridMultilevel"/>
    <w:tmpl w:val="322081A2"/>
    <w:lvl w:ilvl="0" w:tplc="D0640124">
      <w:start w:val="1"/>
      <w:numFmt w:val="upperLetter"/>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7BC26BC"/>
    <w:multiLevelType w:val="hybridMultilevel"/>
    <w:tmpl w:val="D4A2EFA4"/>
    <w:lvl w:ilvl="0" w:tplc="74985572">
      <w:start w:val="1"/>
      <w:numFmt w:val="upperRoman"/>
      <w:lvlText w:val="%1."/>
      <w:lvlJc w:val="left"/>
      <w:pPr>
        <w:ind w:left="1080" w:hanging="720"/>
      </w:pPr>
      <w:rPr>
        <w:rFonts w:hint="default"/>
      </w:rPr>
    </w:lvl>
    <w:lvl w:ilvl="1" w:tplc="2046705E">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079C5"/>
    <w:multiLevelType w:val="hybridMultilevel"/>
    <w:tmpl w:val="FF620EC2"/>
    <w:lvl w:ilvl="0" w:tplc="282C9916">
      <w:start w:val="1"/>
      <w:numFmt w:val="upperLetter"/>
      <w:lvlText w:val="%1."/>
      <w:lvlJc w:val="left"/>
      <w:pPr>
        <w:ind w:left="1080" w:hanging="360"/>
      </w:pPr>
      <w:rPr>
        <w:rFonts w:hint="default"/>
        <w:b/>
      </w:rPr>
    </w:lvl>
    <w:lvl w:ilvl="1" w:tplc="ACAE2EF8">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525681"/>
    <w:multiLevelType w:val="hybridMultilevel"/>
    <w:tmpl w:val="1B74A292"/>
    <w:lvl w:ilvl="0" w:tplc="7B642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6"/>
  </w:num>
  <w:num w:numId="3">
    <w:abstractNumId w:val="13"/>
  </w:num>
  <w:num w:numId="4">
    <w:abstractNumId w:val="12"/>
  </w:num>
  <w:num w:numId="5">
    <w:abstractNumId w:val="1"/>
  </w:num>
  <w:num w:numId="6">
    <w:abstractNumId w:val="29"/>
  </w:num>
  <w:num w:numId="7">
    <w:abstractNumId w:val="0"/>
  </w:num>
  <w:num w:numId="8">
    <w:abstractNumId w:val="8"/>
  </w:num>
  <w:num w:numId="9">
    <w:abstractNumId w:val="27"/>
  </w:num>
  <w:num w:numId="10">
    <w:abstractNumId w:val="18"/>
  </w:num>
  <w:num w:numId="11">
    <w:abstractNumId w:val="28"/>
  </w:num>
  <w:num w:numId="12">
    <w:abstractNumId w:val="5"/>
  </w:num>
  <w:num w:numId="13">
    <w:abstractNumId w:val="25"/>
  </w:num>
  <w:num w:numId="14">
    <w:abstractNumId w:val="16"/>
  </w:num>
  <w:num w:numId="15">
    <w:abstractNumId w:val="23"/>
  </w:num>
  <w:num w:numId="16">
    <w:abstractNumId w:val="20"/>
  </w:num>
  <w:num w:numId="17">
    <w:abstractNumId w:val="24"/>
  </w:num>
  <w:num w:numId="18">
    <w:abstractNumId w:val="14"/>
  </w:num>
  <w:num w:numId="19">
    <w:abstractNumId w:val="10"/>
  </w:num>
  <w:num w:numId="20">
    <w:abstractNumId w:val="15"/>
  </w:num>
  <w:num w:numId="21">
    <w:abstractNumId w:val="4"/>
  </w:num>
  <w:num w:numId="22">
    <w:abstractNumId w:val="7"/>
  </w:num>
  <w:num w:numId="23">
    <w:abstractNumId w:val="11"/>
  </w:num>
  <w:num w:numId="24">
    <w:abstractNumId w:val="26"/>
  </w:num>
  <w:num w:numId="25">
    <w:abstractNumId w:val="3"/>
  </w:num>
  <w:num w:numId="26">
    <w:abstractNumId w:val="2"/>
  </w:num>
  <w:num w:numId="27">
    <w:abstractNumId w:val="9"/>
  </w:num>
  <w:num w:numId="28">
    <w:abstractNumId w:val="22"/>
  </w:num>
  <w:num w:numId="29">
    <w:abstractNumId w:val="1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4A2008"/>
    <w:rsid w:val="00003E55"/>
    <w:rsid w:val="00010F33"/>
    <w:rsid w:val="00022F56"/>
    <w:rsid w:val="00023FDC"/>
    <w:rsid w:val="0003046E"/>
    <w:rsid w:val="0003376E"/>
    <w:rsid w:val="0003418A"/>
    <w:rsid w:val="000445FE"/>
    <w:rsid w:val="000446EE"/>
    <w:rsid w:val="000520D4"/>
    <w:rsid w:val="00052EED"/>
    <w:rsid w:val="00062693"/>
    <w:rsid w:val="00066673"/>
    <w:rsid w:val="00067A21"/>
    <w:rsid w:val="00074A7B"/>
    <w:rsid w:val="000756DD"/>
    <w:rsid w:val="000772B6"/>
    <w:rsid w:val="00086FE3"/>
    <w:rsid w:val="00090952"/>
    <w:rsid w:val="00090B89"/>
    <w:rsid w:val="00091210"/>
    <w:rsid w:val="00091CFF"/>
    <w:rsid w:val="00093826"/>
    <w:rsid w:val="000B21AC"/>
    <w:rsid w:val="000B50C6"/>
    <w:rsid w:val="000C382C"/>
    <w:rsid w:val="000D256D"/>
    <w:rsid w:val="000D29AC"/>
    <w:rsid w:val="000E061E"/>
    <w:rsid w:val="000E0A4C"/>
    <w:rsid w:val="000E0CFA"/>
    <w:rsid w:val="000E2CB1"/>
    <w:rsid w:val="000F3CB8"/>
    <w:rsid w:val="001001FB"/>
    <w:rsid w:val="00100851"/>
    <w:rsid w:val="00100897"/>
    <w:rsid w:val="001023BA"/>
    <w:rsid w:val="001045EE"/>
    <w:rsid w:val="001069E3"/>
    <w:rsid w:val="00106FEA"/>
    <w:rsid w:val="0011233F"/>
    <w:rsid w:val="00130449"/>
    <w:rsid w:val="001400FF"/>
    <w:rsid w:val="0014132B"/>
    <w:rsid w:val="0014572B"/>
    <w:rsid w:val="001505F1"/>
    <w:rsid w:val="00157D7C"/>
    <w:rsid w:val="00172852"/>
    <w:rsid w:val="00173185"/>
    <w:rsid w:val="001768C6"/>
    <w:rsid w:val="00177038"/>
    <w:rsid w:val="00187012"/>
    <w:rsid w:val="001903F2"/>
    <w:rsid w:val="00193CC5"/>
    <w:rsid w:val="001955A8"/>
    <w:rsid w:val="00196872"/>
    <w:rsid w:val="001A2023"/>
    <w:rsid w:val="001A42DD"/>
    <w:rsid w:val="001A7562"/>
    <w:rsid w:val="001B0EF3"/>
    <w:rsid w:val="001B513C"/>
    <w:rsid w:val="001B5299"/>
    <w:rsid w:val="001D18C9"/>
    <w:rsid w:val="001D4CB6"/>
    <w:rsid w:val="001D5B5D"/>
    <w:rsid w:val="001E750C"/>
    <w:rsid w:val="001E77D0"/>
    <w:rsid w:val="001F2545"/>
    <w:rsid w:val="001F4B9A"/>
    <w:rsid w:val="00200766"/>
    <w:rsid w:val="00207C44"/>
    <w:rsid w:val="002127EE"/>
    <w:rsid w:val="0021780D"/>
    <w:rsid w:val="00217D74"/>
    <w:rsid w:val="00221789"/>
    <w:rsid w:val="002236D7"/>
    <w:rsid w:val="002236DA"/>
    <w:rsid w:val="00223A0A"/>
    <w:rsid w:val="00230708"/>
    <w:rsid w:val="00235B1A"/>
    <w:rsid w:val="002506DD"/>
    <w:rsid w:val="00253FA2"/>
    <w:rsid w:val="00254CF8"/>
    <w:rsid w:val="0026122B"/>
    <w:rsid w:val="0026229D"/>
    <w:rsid w:val="0026481E"/>
    <w:rsid w:val="0026615A"/>
    <w:rsid w:val="00266BB3"/>
    <w:rsid w:val="00280C45"/>
    <w:rsid w:val="002818A4"/>
    <w:rsid w:val="00283508"/>
    <w:rsid w:val="002846D2"/>
    <w:rsid w:val="002A7A8A"/>
    <w:rsid w:val="002B1E2C"/>
    <w:rsid w:val="002B6809"/>
    <w:rsid w:val="002B7C96"/>
    <w:rsid w:val="002C0E76"/>
    <w:rsid w:val="002C3348"/>
    <w:rsid w:val="002C35BA"/>
    <w:rsid w:val="002D3BE3"/>
    <w:rsid w:val="002E788D"/>
    <w:rsid w:val="002F09EE"/>
    <w:rsid w:val="00301C66"/>
    <w:rsid w:val="00302C4A"/>
    <w:rsid w:val="00305769"/>
    <w:rsid w:val="00310D1C"/>
    <w:rsid w:val="00323CE0"/>
    <w:rsid w:val="003261B4"/>
    <w:rsid w:val="0032726A"/>
    <w:rsid w:val="003348DF"/>
    <w:rsid w:val="00334CF4"/>
    <w:rsid w:val="00336E3E"/>
    <w:rsid w:val="00337296"/>
    <w:rsid w:val="0034187A"/>
    <w:rsid w:val="00346A46"/>
    <w:rsid w:val="0035313B"/>
    <w:rsid w:val="00356092"/>
    <w:rsid w:val="00363057"/>
    <w:rsid w:val="00366077"/>
    <w:rsid w:val="00367BDD"/>
    <w:rsid w:val="00370820"/>
    <w:rsid w:val="00371E53"/>
    <w:rsid w:val="0037321C"/>
    <w:rsid w:val="003737FD"/>
    <w:rsid w:val="00376182"/>
    <w:rsid w:val="00377529"/>
    <w:rsid w:val="00394928"/>
    <w:rsid w:val="003966AD"/>
    <w:rsid w:val="003A1D02"/>
    <w:rsid w:val="003A649E"/>
    <w:rsid w:val="003B1E99"/>
    <w:rsid w:val="003D1FF7"/>
    <w:rsid w:val="003E1574"/>
    <w:rsid w:val="0040386F"/>
    <w:rsid w:val="004054B6"/>
    <w:rsid w:val="0041288C"/>
    <w:rsid w:val="00413FB5"/>
    <w:rsid w:val="00415DE9"/>
    <w:rsid w:val="00423766"/>
    <w:rsid w:val="004257DF"/>
    <w:rsid w:val="004279F1"/>
    <w:rsid w:val="00432789"/>
    <w:rsid w:val="00435F66"/>
    <w:rsid w:val="004409C5"/>
    <w:rsid w:val="00445CF9"/>
    <w:rsid w:val="00450132"/>
    <w:rsid w:val="004537D9"/>
    <w:rsid w:val="0045653F"/>
    <w:rsid w:val="00461BA8"/>
    <w:rsid w:val="00465F48"/>
    <w:rsid w:val="00472865"/>
    <w:rsid w:val="00475B67"/>
    <w:rsid w:val="00484536"/>
    <w:rsid w:val="00484C47"/>
    <w:rsid w:val="0049335D"/>
    <w:rsid w:val="004A2008"/>
    <w:rsid w:val="004B7D72"/>
    <w:rsid w:val="004C72E0"/>
    <w:rsid w:val="004D2577"/>
    <w:rsid w:val="004E1D22"/>
    <w:rsid w:val="004E4894"/>
    <w:rsid w:val="004E7ECC"/>
    <w:rsid w:val="004F1D38"/>
    <w:rsid w:val="004F36E5"/>
    <w:rsid w:val="004F385B"/>
    <w:rsid w:val="004F4DD5"/>
    <w:rsid w:val="00503DAC"/>
    <w:rsid w:val="00510286"/>
    <w:rsid w:val="00516B04"/>
    <w:rsid w:val="00530595"/>
    <w:rsid w:val="00531BFB"/>
    <w:rsid w:val="005322A4"/>
    <w:rsid w:val="0053501E"/>
    <w:rsid w:val="00542923"/>
    <w:rsid w:val="00542F86"/>
    <w:rsid w:val="00545CCB"/>
    <w:rsid w:val="00546063"/>
    <w:rsid w:val="00555FDD"/>
    <w:rsid w:val="0055779D"/>
    <w:rsid w:val="00567C12"/>
    <w:rsid w:val="00570276"/>
    <w:rsid w:val="00571CBF"/>
    <w:rsid w:val="00573E55"/>
    <w:rsid w:val="0058484A"/>
    <w:rsid w:val="00590DB9"/>
    <w:rsid w:val="00594131"/>
    <w:rsid w:val="005A3167"/>
    <w:rsid w:val="005A3F4B"/>
    <w:rsid w:val="005A51DC"/>
    <w:rsid w:val="005B0662"/>
    <w:rsid w:val="005C5702"/>
    <w:rsid w:val="005D1A03"/>
    <w:rsid w:val="005D4F3E"/>
    <w:rsid w:val="005E70F9"/>
    <w:rsid w:val="005F1696"/>
    <w:rsid w:val="0060092B"/>
    <w:rsid w:val="00611D91"/>
    <w:rsid w:val="006133AD"/>
    <w:rsid w:val="00614CB8"/>
    <w:rsid w:val="00616BB2"/>
    <w:rsid w:val="00617D64"/>
    <w:rsid w:val="00620664"/>
    <w:rsid w:val="00630F48"/>
    <w:rsid w:val="0063214F"/>
    <w:rsid w:val="006334B5"/>
    <w:rsid w:val="00636ABE"/>
    <w:rsid w:val="00643A3D"/>
    <w:rsid w:val="00653AC5"/>
    <w:rsid w:val="00655705"/>
    <w:rsid w:val="00655771"/>
    <w:rsid w:val="00656511"/>
    <w:rsid w:val="00673572"/>
    <w:rsid w:val="00677F30"/>
    <w:rsid w:val="0068607B"/>
    <w:rsid w:val="00690717"/>
    <w:rsid w:val="00691249"/>
    <w:rsid w:val="006943C7"/>
    <w:rsid w:val="006A53AA"/>
    <w:rsid w:val="006B6DE5"/>
    <w:rsid w:val="006C111B"/>
    <w:rsid w:val="006C6AA6"/>
    <w:rsid w:val="006D0D2D"/>
    <w:rsid w:val="006D3CE2"/>
    <w:rsid w:val="006E133B"/>
    <w:rsid w:val="006E1892"/>
    <w:rsid w:val="006E20EE"/>
    <w:rsid w:val="006E2B39"/>
    <w:rsid w:val="006F0BA3"/>
    <w:rsid w:val="006F1FE2"/>
    <w:rsid w:val="006F292F"/>
    <w:rsid w:val="006F5AFE"/>
    <w:rsid w:val="00707B54"/>
    <w:rsid w:val="00711A9D"/>
    <w:rsid w:val="00713D63"/>
    <w:rsid w:val="00722998"/>
    <w:rsid w:val="00726CCB"/>
    <w:rsid w:val="00730C94"/>
    <w:rsid w:val="0073336C"/>
    <w:rsid w:val="007343E7"/>
    <w:rsid w:val="00740249"/>
    <w:rsid w:val="0074034E"/>
    <w:rsid w:val="007427DB"/>
    <w:rsid w:val="00747976"/>
    <w:rsid w:val="007507B5"/>
    <w:rsid w:val="00753107"/>
    <w:rsid w:val="00757B58"/>
    <w:rsid w:val="00766AFD"/>
    <w:rsid w:val="00771B9F"/>
    <w:rsid w:val="00772A73"/>
    <w:rsid w:val="00773ED7"/>
    <w:rsid w:val="007764E6"/>
    <w:rsid w:val="00785650"/>
    <w:rsid w:val="00787DD1"/>
    <w:rsid w:val="0079207D"/>
    <w:rsid w:val="00795574"/>
    <w:rsid w:val="00797B06"/>
    <w:rsid w:val="007A4783"/>
    <w:rsid w:val="007B4D85"/>
    <w:rsid w:val="007B69C5"/>
    <w:rsid w:val="007C728D"/>
    <w:rsid w:val="007D0B63"/>
    <w:rsid w:val="007D34C6"/>
    <w:rsid w:val="007E2154"/>
    <w:rsid w:val="007E226B"/>
    <w:rsid w:val="007E2D9A"/>
    <w:rsid w:val="007E32F0"/>
    <w:rsid w:val="007F4F08"/>
    <w:rsid w:val="00803DCF"/>
    <w:rsid w:val="00807BB7"/>
    <w:rsid w:val="00810C7A"/>
    <w:rsid w:val="00816E84"/>
    <w:rsid w:val="008218CB"/>
    <w:rsid w:val="008251A3"/>
    <w:rsid w:val="00833EFE"/>
    <w:rsid w:val="00840C51"/>
    <w:rsid w:val="008435D9"/>
    <w:rsid w:val="00854E1C"/>
    <w:rsid w:val="00854E89"/>
    <w:rsid w:val="008645AF"/>
    <w:rsid w:val="00865E66"/>
    <w:rsid w:val="00870014"/>
    <w:rsid w:val="0087315F"/>
    <w:rsid w:val="00874D53"/>
    <w:rsid w:val="008817DD"/>
    <w:rsid w:val="00883F2F"/>
    <w:rsid w:val="008871BB"/>
    <w:rsid w:val="008A3506"/>
    <w:rsid w:val="008A6C91"/>
    <w:rsid w:val="008B2159"/>
    <w:rsid w:val="008B280C"/>
    <w:rsid w:val="008B38F9"/>
    <w:rsid w:val="008C03D3"/>
    <w:rsid w:val="008C6A43"/>
    <w:rsid w:val="008C6D33"/>
    <w:rsid w:val="008D3652"/>
    <w:rsid w:val="008D7DDA"/>
    <w:rsid w:val="008E02EF"/>
    <w:rsid w:val="008F72A9"/>
    <w:rsid w:val="00906E68"/>
    <w:rsid w:val="00913197"/>
    <w:rsid w:val="009164F2"/>
    <w:rsid w:val="0092129D"/>
    <w:rsid w:val="00932851"/>
    <w:rsid w:val="00945006"/>
    <w:rsid w:val="009455BA"/>
    <w:rsid w:val="0094706A"/>
    <w:rsid w:val="00947565"/>
    <w:rsid w:val="0095480C"/>
    <w:rsid w:val="00954A19"/>
    <w:rsid w:val="00960428"/>
    <w:rsid w:val="009646BF"/>
    <w:rsid w:val="00964AB3"/>
    <w:rsid w:val="00967B35"/>
    <w:rsid w:val="00975A85"/>
    <w:rsid w:val="009769E5"/>
    <w:rsid w:val="00982689"/>
    <w:rsid w:val="00983F57"/>
    <w:rsid w:val="00985FE2"/>
    <w:rsid w:val="009877B5"/>
    <w:rsid w:val="009878EC"/>
    <w:rsid w:val="00987A55"/>
    <w:rsid w:val="009905EF"/>
    <w:rsid w:val="00995348"/>
    <w:rsid w:val="009970C1"/>
    <w:rsid w:val="0099744D"/>
    <w:rsid w:val="009A35CB"/>
    <w:rsid w:val="009A417F"/>
    <w:rsid w:val="009A42C9"/>
    <w:rsid w:val="009A4363"/>
    <w:rsid w:val="009B18F6"/>
    <w:rsid w:val="009B5C21"/>
    <w:rsid w:val="009B6DC4"/>
    <w:rsid w:val="009D5D8F"/>
    <w:rsid w:val="009E3AA6"/>
    <w:rsid w:val="009E5518"/>
    <w:rsid w:val="009F051D"/>
    <w:rsid w:val="009F6D0C"/>
    <w:rsid w:val="00A06705"/>
    <w:rsid w:val="00A10D33"/>
    <w:rsid w:val="00A13611"/>
    <w:rsid w:val="00A13FE0"/>
    <w:rsid w:val="00A23C27"/>
    <w:rsid w:val="00A253A9"/>
    <w:rsid w:val="00A325AD"/>
    <w:rsid w:val="00A417B3"/>
    <w:rsid w:val="00A5613E"/>
    <w:rsid w:val="00A6128B"/>
    <w:rsid w:val="00A615A2"/>
    <w:rsid w:val="00A62136"/>
    <w:rsid w:val="00A63436"/>
    <w:rsid w:val="00A64B90"/>
    <w:rsid w:val="00A6646E"/>
    <w:rsid w:val="00A674F9"/>
    <w:rsid w:val="00A73107"/>
    <w:rsid w:val="00A7738F"/>
    <w:rsid w:val="00A848C4"/>
    <w:rsid w:val="00A934C5"/>
    <w:rsid w:val="00A96B58"/>
    <w:rsid w:val="00AA7BA9"/>
    <w:rsid w:val="00AB2E19"/>
    <w:rsid w:val="00AB4AC2"/>
    <w:rsid w:val="00AB4D52"/>
    <w:rsid w:val="00AC3725"/>
    <w:rsid w:val="00AD038B"/>
    <w:rsid w:val="00AD2C62"/>
    <w:rsid w:val="00AE44FA"/>
    <w:rsid w:val="00AF0F98"/>
    <w:rsid w:val="00AF3737"/>
    <w:rsid w:val="00AF5D8B"/>
    <w:rsid w:val="00AF64A9"/>
    <w:rsid w:val="00AF6647"/>
    <w:rsid w:val="00AF6A37"/>
    <w:rsid w:val="00B017BE"/>
    <w:rsid w:val="00B02163"/>
    <w:rsid w:val="00B10A7E"/>
    <w:rsid w:val="00B11FA0"/>
    <w:rsid w:val="00B169BF"/>
    <w:rsid w:val="00B218DD"/>
    <w:rsid w:val="00B24778"/>
    <w:rsid w:val="00B5293B"/>
    <w:rsid w:val="00B77FD5"/>
    <w:rsid w:val="00B81A6F"/>
    <w:rsid w:val="00B8296A"/>
    <w:rsid w:val="00B82C80"/>
    <w:rsid w:val="00B83EF3"/>
    <w:rsid w:val="00B85FC6"/>
    <w:rsid w:val="00B90073"/>
    <w:rsid w:val="00B92687"/>
    <w:rsid w:val="00B970B4"/>
    <w:rsid w:val="00BB1FE7"/>
    <w:rsid w:val="00BB3B08"/>
    <w:rsid w:val="00BC2680"/>
    <w:rsid w:val="00BC59B4"/>
    <w:rsid w:val="00BD4E17"/>
    <w:rsid w:val="00BE0EF3"/>
    <w:rsid w:val="00BE31AC"/>
    <w:rsid w:val="00BF339E"/>
    <w:rsid w:val="00BF3B4C"/>
    <w:rsid w:val="00BF6C47"/>
    <w:rsid w:val="00C02C56"/>
    <w:rsid w:val="00C15226"/>
    <w:rsid w:val="00C24E63"/>
    <w:rsid w:val="00C2580A"/>
    <w:rsid w:val="00C27004"/>
    <w:rsid w:val="00C2709E"/>
    <w:rsid w:val="00C306C5"/>
    <w:rsid w:val="00C332D7"/>
    <w:rsid w:val="00C40AAD"/>
    <w:rsid w:val="00C43ED0"/>
    <w:rsid w:val="00C47446"/>
    <w:rsid w:val="00C475D8"/>
    <w:rsid w:val="00C47C37"/>
    <w:rsid w:val="00C5252F"/>
    <w:rsid w:val="00C5795D"/>
    <w:rsid w:val="00C57FD2"/>
    <w:rsid w:val="00C60611"/>
    <w:rsid w:val="00C63DB7"/>
    <w:rsid w:val="00C63E6D"/>
    <w:rsid w:val="00C6637C"/>
    <w:rsid w:val="00C77DCF"/>
    <w:rsid w:val="00C835B8"/>
    <w:rsid w:val="00C86C27"/>
    <w:rsid w:val="00C86FC9"/>
    <w:rsid w:val="00C8725B"/>
    <w:rsid w:val="00CB256E"/>
    <w:rsid w:val="00CB345D"/>
    <w:rsid w:val="00CB3CCD"/>
    <w:rsid w:val="00CB72B6"/>
    <w:rsid w:val="00CC110E"/>
    <w:rsid w:val="00CC2577"/>
    <w:rsid w:val="00CC267F"/>
    <w:rsid w:val="00CC38BF"/>
    <w:rsid w:val="00CC542A"/>
    <w:rsid w:val="00CD1739"/>
    <w:rsid w:val="00CE1028"/>
    <w:rsid w:val="00CE1DAC"/>
    <w:rsid w:val="00CF225C"/>
    <w:rsid w:val="00CF5EA1"/>
    <w:rsid w:val="00D01C2B"/>
    <w:rsid w:val="00D04D6E"/>
    <w:rsid w:val="00D05477"/>
    <w:rsid w:val="00D1172E"/>
    <w:rsid w:val="00D11A9D"/>
    <w:rsid w:val="00D14ED7"/>
    <w:rsid w:val="00D21E4C"/>
    <w:rsid w:val="00D230A0"/>
    <w:rsid w:val="00D270EA"/>
    <w:rsid w:val="00D30800"/>
    <w:rsid w:val="00D37579"/>
    <w:rsid w:val="00D408EE"/>
    <w:rsid w:val="00D4336C"/>
    <w:rsid w:val="00D44CC5"/>
    <w:rsid w:val="00D47432"/>
    <w:rsid w:val="00D572BF"/>
    <w:rsid w:val="00D62797"/>
    <w:rsid w:val="00D65442"/>
    <w:rsid w:val="00D66C31"/>
    <w:rsid w:val="00D775F0"/>
    <w:rsid w:val="00D85EC8"/>
    <w:rsid w:val="00D8610C"/>
    <w:rsid w:val="00D91518"/>
    <w:rsid w:val="00D922D1"/>
    <w:rsid w:val="00D9335C"/>
    <w:rsid w:val="00D93BAE"/>
    <w:rsid w:val="00D9535C"/>
    <w:rsid w:val="00DA086C"/>
    <w:rsid w:val="00DA1614"/>
    <w:rsid w:val="00DA4F22"/>
    <w:rsid w:val="00DA685B"/>
    <w:rsid w:val="00DB70B8"/>
    <w:rsid w:val="00DC15EC"/>
    <w:rsid w:val="00DC4F70"/>
    <w:rsid w:val="00DC77F2"/>
    <w:rsid w:val="00DD496E"/>
    <w:rsid w:val="00DD65A3"/>
    <w:rsid w:val="00DD6C00"/>
    <w:rsid w:val="00DD77A2"/>
    <w:rsid w:val="00DE390C"/>
    <w:rsid w:val="00DE5BCF"/>
    <w:rsid w:val="00DE666B"/>
    <w:rsid w:val="00DF110B"/>
    <w:rsid w:val="00DF2E20"/>
    <w:rsid w:val="00DF590B"/>
    <w:rsid w:val="00E10B58"/>
    <w:rsid w:val="00E145D6"/>
    <w:rsid w:val="00E17509"/>
    <w:rsid w:val="00E20CA9"/>
    <w:rsid w:val="00E331B8"/>
    <w:rsid w:val="00E33816"/>
    <w:rsid w:val="00E36622"/>
    <w:rsid w:val="00E3711D"/>
    <w:rsid w:val="00E408AC"/>
    <w:rsid w:val="00E41FAB"/>
    <w:rsid w:val="00E45205"/>
    <w:rsid w:val="00E47CFF"/>
    <w:rsid w:val="00E72142"/>
    <w:rsid w:val="00E74178"/>
    <w:rsid w:val="00E756B4"/>
    <w:rsid w:val="00E75992"/>
    <w:rsid w:val="00E81FC2"/>
    <w:rsid w:val="00E844DA"/>
    <w:rsid w:val="00E84C0D"/>
    <w:rsid w:val="00E86ADE"/>
    <w:rsid w:val="00E914B8"/>
    <w:rsid w:val="00E93EEF"/>
    <w:rsid w:val="00E966EB"/>
    <w:rsid w:val="00E96F52"/>
    <w:rsid w:val="00E97DBF"/>
    <w:rsid w:val="00EA05C8"/>
    <w:rsid w:val="00EA11F5"/>
    <w:rsid w:val="00EA4F72"/>
    <w:rsid w:val="00EB248A"/>
    <w:rsid w:val="00EB41CC"/>
    <w:rsid w:val="00EB57B0"/>
    <w:rsid w:val="00EB6139"/>
    <w:rsid w:val="00EB6F5C"/>
    <w:rsid w:val="00EC0C15"/>
    <w:rsid w:val="00EC1072"/>
    <w:rsid w:val="00EC1CDC"/>
    <w:rsid w:val="00ED0CDE"/>
    <w:rsid w:val="00ED4DAA"/>
    <w:rsid w:val="00ED5E57"/>
    <w:rsid w:val="00ED6102"/>
    <w:rsid w:val="00EE2717"/>
    <w:rsid w:val="00EF0D7B"/>
    <w:rsid w:val="00EF2608"/>
    <w:rsid w:val="00EF46F8"/>
    <w:rsid w:val="00EF4D89"/>
    <w:rsid w:val="00EF6B71"/>
    <w:rsid w:val="00F00254"/>
    <w:rsid w:val="00F16ADA"/>
    <w:rsid w:val="00F2368C"/>
    <w:rsid w:val="00F23FB1"/>
    <w:rsid w:val="00F27C32"/>
    <w:rsid w:val="00F36B98"/>
    <w:rsid w:val="00F43E48"/>
    <w:rsid w:val="00F51162"/>
    <w:rsid w:val="00F64509"/>
    <w:rsid w:val="00F651B3"/>
    <w:rsid w:val="00F664CB"/>
    <w:rsid w:val="00F80AF3"/>
    <w:rsid w:val="00F81CC6"/>
    <w:rsid w:val="00F81D6F"/>
    <w:rsid w:val="00F82B87"/>
    <w:rsid w:val="00F82E5D"/>
    <w:rsid w:val="00F84C86"/>
    <w:rsid w:val="00F90897"/>
    <w:rsid w:val="00F94F41"/>
    <w:rsid w:val="00FA4234"/>
    <w:rsid w:val="00FA659C"/>
    <w:rsid w:val="00FB0E5B"/>
    <w:rsid w:val="00FC546E"/>
    <w:rsid w:val="00FD1A1C"/>
    <w:rsid w:val="00FD7497"/>
    <w:rsid w:val="00FE57EF"/>
    <w:rsid w:val="00FE7646"/>
    <w:rsid w:val="00FF34CE"/>
    <w:rsid w:val="00FF5BD0"/>
    <w:rsid w:val="00FF6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37"/>
  </w:style>
  <w:style w:type="paragraph" w:styleId="Heading1">
    <w:name w:val="heading 1"/>
    <w:basedOn w:val="Normal"/>
    <w:next w:val="Normal"/>
    <w:link w:val="Heading1Char"/>
    <w:uiPriority w:val="9"/>
    <w:qFormat/>
    <w:rsid w:val="00E14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08"/>
    <w:pPr>
      <w:ind w:left="720"/>
      <w:contextualSpacing/>
    </w:pPr>
  </w:style>
  <w:style w:type="paragraph" w:styleId="Header">
    <w:name w:val="header"/>
    <w:basedOn w:val="Normal"/>
    <w:link w:val="HeaderChar"/>
    <w:uiPriority w:val="99"/>
    <w:unhideWhenUsed/>
    <w:rsid w:val="00797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B06"/>
  </w:style>
  <w:style w:type="paragraph" w:styleId="Footer">
    <w:name w:val="footer"/>
    <w:basedOn w:val="Normal"/>
    <w:link w:val="FooterChar"/>
    <w:uiPriority w:val="99"/>
    <w:unhideWhenUsed/>
    <w:rsid w:val="0079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B06"/>
  </w:style>
  <w:style w:type="paragraph" w:styleId="EndnoteText">
    <w:name w:val="endnote text"/>
    <w:basedOn w:val="Normal"/>
    <w:link w:val="EndnoteTextChar"/>
    <w:uiPriority w:val="99"/>
    <w:semiHidden/>
    <w:unhideWhenUsed/>
    <w:rsid w:val="002A7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A8A"/>
    <w:rPr>
      <w:sz w:val="20"/>
      <w:szCs w:val="20"/>
    </w:rPr>
  </w:style>
  <w:style w:type="character" w:styleId="EndnoteReference">
    <w:name w:val="endnote reference"/>
    <w:basedOn w:val="DefaultParagraphFont"/>
    <w:uiPriority w:val="99"/>
    <w:semiHidden/>
    <w:unhideWhenUsed/>
    <w:rsid w:val="002A7A8A"/>
    <w:rPr>
      <w:vertAlign w:val="superscript"/>
    </w:rPr>
  </w:style>
  <w:style w:type="paragraph" w:styleId="FootnoteText">
    <w:name w:val="footnote text"/>
    <w:basedOn w:val="Normal"/>
    <w:link w:val="FootnoteTextChar"/>
    <w:uiPriority w:val="99"/>
    <w:unhideWhenUsed/>
    <w:rsid w:val="00D270EA"/>
    <w:pPr>
      <w:spacing w:after="0" w:line="240" w:lineRule="auto"/>
    </w:pPr>
    <w:rPr>
      <w:sz w:val="20"/>
      <w:szCs w:val="20"/>
    </w:rPr>
  </w:style>
  <w:style w:type="character" w:customStyle="1" w:styleId="FootnoteTextChar">
    <w:name w:val="Footnote Text Char"/>
    <w:basedOn w:val="DefaultParagraphFont"/>
    <w:link w:val="FootnoteText"/>
    <w:uiPriority w:val="99"/>
    <w:rsid w:val="00D270EA"/>
    <w:rPr>
      <w:sz w:val="20"/>
      <w:szCs w:val="20"/>
    </w:rPr>
  </w:style>
  <w:style w:type="character" w:styleId="FootnoteReference">
    <w:name w:val="footnote reference"/>
    <w:basedOn w:val="DefaultParagraphFont"/>
    <w:uiPriority w:val="99"/>
    <w:semiHidden/>
    <w:unhideWhenUsed/>
    <w:rsid w:val="00D270EA"/>
    <w:rPr>
      <w:vertAlign w:val="superscript"/>
    </w:rPr>
  </w:style>
  <w:style w:type="character" w:styleId="PageNumber">
    <w:name w:val="page number"/>
    <w:basedOn w:val="DefaultParagraphFont"/>
    <w:uiPriority w:val="99"/>
    <w:semiHidden/>
    <w:unhideWhenUsed/>
    <w:rsid w:val="007F4F08"/>
  </w:style>
  <w:style w:type="character" w:styleId="Hyperlink">
    <w:name w:val="Hyperlink"/>
    <w:basedOn w:val="DefaultParagraphFont"/>
    <w:uiPriority w:val="99"/>
    <w:semiHidden/>
    <w:unhideWhenUsed/>
    <w:rsid w:val="00865E66"/>
    <w:rPr>
      <w:color w:val="00008B"/>
      <w:u w:val="single"/>
    </w:rPr>
  </w:style>
  <w:style w:type="character" w:customStyle="1" w:styleId="term1">
    <w:name w:val="term1"/>
    <w:basedOn w:val="DefaultParagraphFont"/>
    <w:rsid w:val="00E756B4"/>
    <w:rPr>
      <w:b/>
      <w:bCs/>
    </w:rPr>
  </w:style>
  <w:style w:type="paragraph" w:styleId="BodyText">
    <w:name w:val="Body Text"/>
    <w:aliases w:val="bt"/>
    <w:basedOn w:val="Normal"/>
    <w:link w:val="BodyTextChar"/>
    <w:rsid w:val="009F051D"/>
    <w:pPr>
      <w:spacing w:after="240" w:line="240" w:lineRule="auto"/>
      <w:ind w:firstLine="720"/>
    </w:pPr>
    <w:rPr>
      <w:rFonts w:ascii="Times New Roman" w:eastAsia="Times New Roman" w:hAnsi="Times New Roman" w:cs="Times New Roman"/>
      <w:kern w:val="24"/>
      <w:sz w:val="24"/>
      <w:szCs w:val="20"/>
    </w:rPr>
  </w:style>
  <w:style w:type="character" w:customStyle="1" w:styleId="BodyTextChar">
    <w:name w:val="Body Text Char"/>
    <w:aliases w:val="bt Char"/>
    <w:basedOn w:val="DefaultParagraphFont"/>
    <w:link w:val="BodyText"/>
    <w:rsid w:val="009F051D"/>
    <w:rPr>
      <w:rFonts w:ascii="Times New Roman" w:eastAsia="Times New Roman" w:hAnsi="Times New Roman" w:cs="Times New Roman"/>
      <w:kern w:val="24"/>
      <w:sz w:val="24"/>
      <w:szCs w:val="20"/>
    </w:rPr>
  </w:style>
  <w:style w:type="paragraph" w:styleId="Signature">
    <w:name w:val="Signature"/>
    <w:basedOn w:val="Normal"/>
    <w:link w:val="SignatureChar"/>
    <w:rsid w:val="009F051D"/>
    <w:pPr>
      <w:spacing w:after="0" w:line="240" w:lineRule="auto"/>
      <w:ind w:left="4320"/>
    </w:pPr>
    <w:rPr>
      <w:rFonts w:ascii="Times New Roman" w:eastAsia="Times New Roman" w:hAnsi="Times New Roman" w:cs="Times New Roman"/>
      <w:kern w:val="24"/>
      <w:sz w:val="24"/>
      <w:szCs w:val="20"/>
    </w:rPr>
  </w:style>
  <w:style w:type="character" w:customStyle="1" w:styleId="SignatureChar">
    <w:name w:val="Signature Char"/>
    <w:basedOn w:val="DefaultParagraphFont"/>
    <w:link w:val="Signature"/>
    <w:rsid w:val="009F051D"/>
    <w:rPr>
      <w:rFonts w:ascii="Times New Roman" w:eastAsia="Times New Roman" w:hAnsi="Times New Roman" w:cs="Times New Roman"/>
      <w:kern w:val="24"/>
      <w:sz w:val="24"/>
      <w:szCs w:val="20"/>
    </w:rPr>
  </w:style>
  <w:style w:type="paragraph" w:customStyle="1" w:styleId="TxBrp12">
    <w:name w:val="TxBr_p12"/>
    <w:basedOn w:val="Normal"/>
    <w:rsid w:val="009F051D"/>
    <w:pPr>
      <w:widowControl w:val="0"/>
      <w:tabs>
        <w:tab w:val="left" w:pos="674"/>
      </w:tabs>
      <w:autoSpaceDE w:val="0"/>
      <w:autoSpaceDN w:val="0"/>
      <w:adjustRightInd w:val="0"/>
      <w:spacing w:after="0" w:line="515" w:lineRule="atLeast"/>
      <w:ind w:firstLine="675"/>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0A4C"/>
    <w:rPr>
      <w:sz w:val="16"/>
      <w:szCs w:val="16"/>
    </w:rPr>
  </w:style>
  <w:style w:type="paragraph" w:styleId="CommentText">
    <w:name w:val="annotation text"/>
    <w:basedOn w:val="Normal"/>
    <w:link w:val="CommentTextChar"/>
    <w:uiPriority w:val="99"/>
    <w:semiHidden/>
    <w:unhideWhenUsed/>
    <w:rsid w:val="000E0A4C"/>
    <w:pPr>
      <w:spacing w:line="240" w:lineRule="auto"/>
    </w:pPr>
    <w:rPr>
      <w:sz w:val="20"/>
      <w:szCs w:val="20"/>
    </w:rPr>
  </w:style>
  <w:style w:type="character" w:customStyle="1" w:styleId="CommentTextChar">
    <w:name w:val="Comment Text Char"/>
    <w:basedOn w:val="DefaultParagraphFont"/>
    <w:link w:val="CommentText"/>
    <w:uiPriority w:val="99"/>
    <w:semiHidden/>
    <w:rsid w:val="000E0A4C"/>
    <w:rPr>
      <w:sz w:val="20"/>
      <w:szCs w:val="20"/>
    </w:rPr>
  </w:style>
  <w:style w:type="paragraph" w:styleId="CommentSubject">
    <w:name w:val="annotation subject"/>
    <w:basedOn w:val="CommentText"/>
    <w:next w:val="CommentText"/>
    <w:link w:val="CommentSubjectChar"/>
    <w:uiPriority w:val="99"/>
    <w:semiHidden/>
    <w:unhideWhenUsed/>
    <w:rsid w:val="000E0A4C"/>
    <w:rPr>
      <w:b/>
      <w:bCs/>
    </w:rPr>
  </w:style>
  <w:style w:type="character" w:customStyle="1" w:styleId="CommentSubjectChar">
    <w:name w:val="Comment Subject Char"/>
    <w:basedOn w:val="CommentTextChar"/>
    <w:link w:val="CommentSubject"/>
    <w:uiPriority w:val="99"/>
    <w:semiHidden/>
    <w:rsid w:val="000E0A4C"/>
    <w:rPr>
      <w:b/>
      <w:bCs/>
      <w:sz w:val="20"/>
      <w:szCs w:val="20"/>
    </w:rPr>
  </w:style>
  <w:style w:type="paragraph" w:styleId="BalloonText">
    <w:name w:val="Balloon Text"/>
    <w:basedOn w:val="Normal"/>
    <w:link w:val="BalloonTextChar"/>
    <w:uiPriority w:val="99"/>
    <w:semiHidden/>
    <w:unhideWhenUsed/>
    <w:rsid w:val="000E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A4C"/>
    <w:rPr>
      <w:rFonts w:ascii="Tahoma" w:hAnsi="Tahoma" w:cs="Tahoma"/>
      <w:sz w:val="16"/>
      <w:szCs w:val="16"/>
    </w:rPr>
  </w:style>
  <w:style w:type="table" w:styleId="TableGrid">
    <w:name w:val="Table Grid"/>
    <w:basedOn w:val="TableNormal"/>
    <w:rsid w:val="005322A4"/>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45D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08"/>
    <w:pPr>
      <w:ind w:left="720"/>
      <w:contextualSpacing/>
    </w:pPr>
  </w:style>
  <w:style w:type="paragraph" w:styleId="Header">
    <w:name w:val="header"/>
    <w:basedOn w:val="Normal"/>
    <w:link w:val="HeaderChar"/>
    <w:uiPriority w:val="99"/>
    <w:unhideWhenUsed/>
    <w:rsid w:val="00797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B06"/>
  </w:style>
  <w:style w:type="paragraph" w:styleId="Footer">
    <w:name w:val="footer"/>
    <w:basedOn w:val="Normal"/>
    <w:link w:val="FooterChar"/>
    <w:uiPriority w:val="99"/>
    <w:unhideWhenUsed/>
    <w:rsid w:val="0079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B06"/>
  </w:style>
  <w:style w:type="paragraph" w:styleId="EndnoteText">
    <w:name w:val="endnote text"/>
    <w:basedOn w:val="Normal"/>
    <w:link w:val="EndnoteTextChar"/>
    <w:uiPriority w:val="99"/>
    <w:semiHidden/>
    <w:unhideWhenUsed/>
    <w:rsid w:val="002A7A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A8A"/>
    <w:rPr>
      <w:sz w:val="20"/>
      <w:szCs w:val="20"/>
    </w:rPr>
  </w:style>
  <w:style w:type="character" w:styleId="EndnoteReference">
    <w:name w:val="endnote reference"/>
    <w:basedOn w:val="DefaultParagraphFont"/>
    <w:uiPriority w:val="99"/>
    <w:semiHidden/>
    <w:unhideWhenUsed/>
    <w:rsid w:val="002A7A8A"/>
    <w:rPr>
      <w:vertAlign w:val="superscript"/>
    </w:rPr>
  </w:style>
  <w:style w:type="paragraph" w:styleId="FootnoteText">
    <w:name w:val="footnote text"/>
    <w:basedOn w:val="Normal"/>
    <w:link w:val="FootnoteTextChar"/>
    <w:uiPriority w:val="99"/>
    <w:unhideWhenUsed/>
    <w:rsid w:val="00D270EA"/>
    <w:pPr>
      <w:spacing w:after="0" w:line="240" w:lineRule="auto"/>
    </w:pPr>
    <w:rPr>
      <w:sz w:val="20"/>
      <w:szCs w:val="20"/>
    </w:rPr>
  </w:style>
  <w:style w:type="character" w:customStyle="1" w:styleId="FootnoteTextChar">
    <w:name w:val="Footnote Text Char"/>
    <w:basedOn w:val="DefaultParagraphFont"/>
    <w:link w:val="FootnoteText"/>
    <w:uiPriority w:val="99"/>
    <w:rsid w:val="00D270EA"/>
    <w:rPr>
      <w:sz w:val="20"/>
      <w:szCs w:val="20"/>
    </w:rPr>
  </w:style>
  <w:style w:type="character" w:styleId="FootnoteReference">
    <w:name w:val="footnote reference"/>
    <w:basedOn w:val="DefaultParagraphFont"/>
    <w:uiPriority w:val="99"/>
    <w:semiHidden/>
    <w:unhideWhenUsed/>
    <w:rsid w:val="00D270EA"/>
    <w:rPr>
      <w:vertAlign w:val="superscript"/>
    </w:rPr>
  </w:style>
  <w:style w:type="character" w:styleId="PageNumber">
    <w:name w:val="page number"/>
    <w:basedOn w:val="DefaultParagraphFont"/>
    <w:uiPriority w:val="99"/>
    <w:semiHidden/>
    <w:unhideWhenUsed/>
    <w:rsid w:val="007F4F08"/>
  </w:style>
  <w:style w:type="character" w:styleId="Hyperlink">
    <w:name w:val="Hyperlink"/>
    <w:basedOn w:val="DefaultParagraphFont"/>
    <w:uiPriority w:val="99"/>
    <w:semiHidden/>
    <w:unhideWhenUsed/>
    <w:rsid w:val="00865E66"/>
    <w:rPr>
      <w:color w:val="00008B"/>
      <w:u w:val="single"/>
    </w:rPr>
  </w:style>
  <w:style w:type="character" w:customStyle="1" w:styleId="term1">
    <w:name w:val="term1"/>
    <w:basedOn w:val="DefaultParagraphFont"/>
    <w:rsid w:val="00E756B4"/>
    <w:rPr>
      <w:b/>
      <w:bCs/>
    </w:rPr>
  </w:style>
  <w:style w:type="paragraph" w:styleId="BodyText">
    <w:name w:val="Body Text"/>
    <w:aliases w:val="bt"/>
    <w:basedOn w:val="Normal"/>
    <w:link w:val="BodyTextChar"/>
    <w:rsid w:val="009F051D"/>
    <w:pPr>
      <w:spacing w:after="240" w:line="240" w:lineRule="auto"/>
      <w:ind w:firstLine="720"/>
    </w:pPr>
    <w:rPr>
      <w:rFonts w:ascii="Times New Roman" w:eastAsia="Times New Roman" w:hAnsi="Times New Roman" w:cs="Times New Roman"/>
      <w:kern w:val="24"/>
      <w:sz w:val="24"/>
      <w:szCs w:val="20"/>
    </w:rPr>
  </w:style>
  <w:style w:type="character" w:customStyle="1" w:styleId="BodyTextChar">
    <w:name w:val="Body Text Char"/>
    <w:aliases w:val="bt Char"/>
    <w:basedOn w:val="DefaultParagraphFont"/>
    <w:link w:val="BodyText"/>
    <w:rsid w:val="009F051D"/>
    <w:rPr>
      <w:rFonts w:ascii="Times New Roman" w:eastAsia="Times New Roman" w:hAnsi="Times New Roman" w:cs="Times New Roman"/>
      <w:kern w:val="24"/>
      <w:sz w:val="24"/>
      <w:szCs w:val="20"/>
    </w:rPr>
  </w:style>
  <w:style w:type="paragraph" w:styleId="Signature">
    <w:name w:val="Signature"/>
    <w:basedOn w:val="Normal"/>
    <w:link w:val="SignatureChar"/>
    <w:rsid w:val="009F051D"/>
    <w:pPr>
      <w:spacing w:after="0" w:line="240" w:lineRule="auto"/>
      <w:ind w:left="4320"/>
    </w:pPr>
    <w:rPr>
      <w:rFonts w:ascii="Times New Roman" w:eastAsia="Times New Roman" w:hAnsi="Times New Roman" w:cs="Times New Roman"/>
      <w:kern w:val="24"/>
      <w:sz w:val="24"/>
      <w:szCs w:val="20"/>
    </w:rPr>
  </w:style>
  <w:style w:type="character" w:customStyle="1" w:styleId="SignatureChar">
    <w:name w:val="Signature Char"/>
    <w:basedOn w:val="DefaultParagraphFont"/>
    <w:link w:val="Signature"/>
    <w:rsid w:val="009F051D"/>
    <w:rPr>
      <w:rFonts w:ascii="Times New Roman" w:eastAsia="Times New Roman" w:hAnsi="Times New Roman" w:cs="Times New Roman"/>
      <w:kern w:val="24"/>
      <w:sz w:val="24"/>
      <w:szCs w:val="20"/>
    </w:rPr>
  </w:style>
  <w:style w:type="paragraph" w:customStyle="1" w:styleId="TxBrp12">
    <w:name w:val="TxBr_p12"/>
    <w:basedOn w:val="Normal"/>
    <w:rsid w:val="009F051D"/>
    <w:pPr>
      <w:widowControl w:val="0"/>
      <w:tabs>
        <w:tab w:val="left" w:pos="674"/>
      </w:tabs>
      <w:autoSpaceDE w:val="0"/>
      <w:autoSpaceDN w:val="0"/>
      <w:adjustRightInd w:val="0"/>
      <w:spacing w:after="0" w:line="515" w:lineRule="atLeast"/>
      <w:ind w:firstLine="675"/>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41079">
      <w:bodyDiv w:val="1"/>
      <w:marLeft w:val="0"/>
      <w:marRight w:val="0"/>
      <w:marTop w:val="0"/>
      <w:marBottom w:val="0"/>
      <w:divBdr>
        <w:top w:val="none" w:sz="0" w:space="0" w:color="auto"/>
        <w:left w:val="none" w:sz="0" w:space="0" w:color="auto"/>
        <w:bottom w:val="none" w:sz="0" w:space="0" w:color="auto"/>
        <w:right w:val="none" w:sz="0" w:space="0" w:color="auto"/>
      </w:divBdr>
      <w:divsChild>
        <w:div w:id="2437213">
          <w:marLeft w:val="0"/>
          <w:marRight w:val="-5040"/>
          <w:marTop w:val="0"/>
          <w:marBottom w:val="0"/>
          <w:divBdr>
            <w:top w:val="none" w:sz="0" w:space="0" w:color="auto"/>
            <w:left w:val="none" w:sz="0" w:space="0" w:color="auto"/>
            <w:bottom w:val="none" w:sz="0" w:space="0" w:color="auto"/>
            <w:right w:val="none" w:sz="0" w:space="0" w:color="auto"/>
          </w:divBdr>
          <w:divsChild>
            <w:div w:id="1446458538">
              <w:marLeft w:val="0"/>
              <w:marRight w:val="5040"/>
              <w:marTop w:val="0"/>
              <w:marBottom w:val="0"/>
              <w:divBdr>
                <w:top w:val="none" w:sz="0" w:space="0" w:color="auto"/>
                <w:left w:val="none" w:sz="0" w:space="0" w:color="auto"/>
                <w:bottom w:val="none" w:sz="0" w:space="0" w:color="auto"/>
                <w:right w:val="none" w:sz="0" w:space="0" w:color="auto"/>
              </w:divBdr>
              <w:divsChild>
                <w:div w:id="12800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1004">
      <w:bodyDiv w:val="1"/>
      <w:marLeft w:val="0"/>
      <w:marRight w:val="0"/>
      <w:marTop w:val="0"/>
      <w:marBottom w:val="0"/>
      <w:divBdr>
        <w:top w:val="none" w:sz="0" w:space="0" w:color="auto"/>
        <w:left w:val="none" w:sz="0" w:space="0" w:color="auto"/>
        <w:bottom w:val="none" w:sz="0" w:space="0" w:color="auto"/>
        <w:right w:val="none" w:sz="0" w:space="0" w:color="auto"/>
      </w:divBdr>
      <w:divsChild>
        <w:div w:id="61997153">
          <w:marLeft w:val="0"/>
          <w:marRight w:val="-5040"/>
          <w:marTop w:val="0"/>
          <w:marBottom w:val="0"/>
          <w:divBdr>
            <w:top w:val="none" w:sz="0" w:space="0" w:color="auto"/>
            <w:left w:val="none" w:sz="0" w:space="0" w:color="auto"/>
            <w:bottom w:val="none" w:sz="0" w:space="0" w:color="auto"/>
            <w:right w:val="none" w:sz="0" w:space="0" w:color="auto"/>
          </w:divBdr>
          <w:divsChild>
            <w:div w:id="265815527">
              <w:marLeft w:val="0"/>
              <w:marRight w:val="5040"/>
              <w:marTop w:val="0"/>
              <w:marBottom w:val="0"/>
              <w:divBdr>
                <w:top w:val="none" w:sz="0" w:space="0" w:color="auto"/>
                <w:left w:val="none" w:sz="0" w:space="0" w:color="auto"/>
                <w:bottom w:val="none" w:sz="0" w:space="0" w:color="auto"/>
                <w:right w:val="none" w:sz="0" w:space="0" w:color="auto"/>
              </w:divBdr>
              <w:divsChild>
                <w:div w:id="26346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5977">
      <w:bodyDiv w:val="1"/>
      <w:marLeft w:val="0"/>
      <w:marRight w:val="0"/>
      <w:marTop w:val="0"/>
      <w:marBottom w:val="0"/>
      <w:divBdr>
        <w:top w:val="none" w:sz="0" w:space="0" w:color="auto"/>
        <w:left w:val="none" w:sz="0" w:space="0" w:color="auto"/>
        <w:bottom w:val="none" w:sz="0" w:space="0" w:color="auto"/>
        <w:right w:val="none" w:sz="0" w:space="0" w:color="auto"/>
      </w:divBdr>
      <w:divsChild>
        <w:div w:id="24599021">
          <w:marLeft w:val="0"/>
          <w:marRight w:val="-5040"/>
          <w:marTop w:val="0"/>
          <w:marBottom w:val="0"/>
          <w:divBdr>
            <w:top w:val="none" w:sz="0" w:space="0" w:color="auto"/>
            <w:left w:val="none" w:sz="0" w:space="0" w:color="auto"/>
            <w:bottom w:val="none" w:sz="0" w:space="0" w:color="auto"/>
            <w:right w:val="none" w:sz="0" w:space="0" w:color="auto"/>
          </w:divBdr>
          <w:divsChild>
            <w:div w:id="737947061">
              <w:marLeft w:val="0"/>
              <w:marRight w:val="5040"/>
              <w:marTop w:val="0"/>
              <w:marBottom w:val="0"/>
              <w:divBdr>
                <w:top w:val="none" w:sz="0" w:space="0" w:color="auto"/>
                <w:left w:val="none" w:sz="0" w:space="0" w:color="auto"/>
                <w:bottom w:val="none" w:sz="0" w:space="0" w:color="auto"/>
                <w:right w:val="none" w:sz="0" w:space="0" w:color="auto"/>
              </w:divBdr>
              <w:divsChild>
                <w:div w:id="16748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6978">
      <w:bodyDiv w:val="1"/>
      <w:marLeft w:val="0"/>
      <w:marRight w:val="0"/>
      <w:marTop w:val="0"/>
      <w:marBottom w:val="0"/>
      <w:divBdr>
        <w:top w:val="none" w:sz="0" w:space="0" w:color="auto"/>
        <w:left w:val="none" w:sz="0" w:space="0" w:color="auto"/>
        <w:bottom w:val="none" w:sz="0" w:space="0" w:color="auto"/>
        <w:right w:val="none" w:sz="0" w:space="0" w:color="auto"/>
      </w:divBdr>
      <w:divsChild>
        <w:div w:id="2139102818">
          <w:marLeft w:val="0"/>
          <w:marRight w:val="-5040"/>
          <w:marTop w:val="0"/>
          <w:marBottom w:val="0"/>
          <w:divBdr>
            <w:top w:val="none" w:sz="0" w:space="0" w:color="auto"/>
            <w:left w:val="none" w:sz="0" w:space="0" w:color="auto"/>
            <w:bottom w:val="none" w:sz="0" w:space="0" w:color="auto"/>
            <w:right w:val="none" w:sz="0" w:space="0" w:color="auto"/>
          </w:divBdr>
          <w:divsChild>
            <w:div w:id="1646156619">
              <w:marLeft w:val="0"/>
              <w:marRight w:val="5040"/>
              <w:marTop w:val="0"/>
              <w:marBottom w:val="0"/>
              <w:divBdr>
                <w:top w:val="none" w:sz="0" w:space="0" w:color="auto"/>
                <w:left w:val="none" w:sz="0" w:space="0" w:color="auto"/>
                <w:bottom w:val="none" w:sz="0" w:space="0" w:color="auto"/>
                <w:right w:val="none" w:sz="0" w:space="0" w:color="auto"/>
              </w:divBdr>
              <w:divsChild>
                <w:div w:id="11329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8637">
      <w:bodyDiv w:val="1"/>
      <w:marLeft w:val="0"/>
      <w:marRight w:val="0"/>
      <w:marTop w:val="0"/>
      <w:marBottom w:val="0"/>
      <w:divBdr>
        <w:top w:val="none" w:sz="0" w:space="0" w:color="auto"/>
        <w:left w:val="none" w:sz="0" w:space="0" w:color="auto"/>
        <w:bottom w:val="none" w:sz="0" w:space="0" w:color="auto"/>
        <w:right w:val="none" w:sz="0" w:space="0" w:color="auto"/>
      </w:divBdr>
      <w:divsChild>
        <w:div w:id="1771463134">
          <w:marLeft w:val="0"/>
          <w:marRight w:val="-5040"/>
          <w:marTop w:val="0"/>
          <w:marBottom w:val="0"/>
          <w:divBdr>
            <w:top w:val="none" w:sz="0" w:space="0" w:color="auto"/>
            <w:left w:val="none" w:sz="0" w:space="0" w:color="auto"/>
            <w:bottom w:val="none" w:sz="0" w:space="0" w:color="auto"/>
            <w:right w:val="none" w:sz="0" w:space="0" w:color="auto"/>
          </w:divBdr>
          <w:divsChild>
            <w:div w:id="185758147">
              <w:marLeft w:val="0"/>
              <w:marRight w:val="5040"/>
              <w:marTop w:val="0"/>
              <w:marBottom w:val="0"/>
              <w:divBdr>
                <w:top w:val="none" w:sz="0" w:space="0" w:color="auto"/>
                <w:left w:val="none" w:sz="0" w:space="0" w:color="auto"/>
                <w:bottom w:val="none" w:sz="0" w:space="0" w:color="auto"/>
                <w:right w:val="none" w:sz="0" w:space="0" w:color="auto"/>
              </w:divBdr>
              <w:divsChild>
                <w:div w:id="1822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0634">
      <w:bodyDiv w:val="1"/>
      <w:marLeft w:val="0"/>
      <w:marRight w:val="0"/>
      <w:marTop w:val="0"/>
      <w:marBottom w:val="0"/>
      <w:divBdr>
        <w:top w:val="none" w:sz="0" w:space="0" w:color="auto"/>
        <w:left w:val="none" w:sz="0" w:space="0" w:color="auto"/>
        <w:bottom w:val="none" w:sz="0" w:space="0" w:color="auto"/>
        <w:right w:val="none" w:sz="0" w:space="0" w:color="auto"/>
      </w:divBdr>
      <w:divsChild>
        <w:div w:id="369719650">
          <w:marLeft w:val="0"/>
          <w:marRight w:val="-5040"/>
          <w:marTop w:val="0"/>
          <w:marBottom w:val="0"/>
          <w:divBdr>
            <w:top w:val="none" w:sz="0" w:space="0" w:color="auto"/>
            <w:left w:val="none" w:sz="0" w:space="0" w:color="auto"/>
            <w:bottom w:val="none" w:sz="0" w:space="0" w:color="auto"/>
            <w:right w:val="none" w:sz="0" w:space="0" w:color="auto"/>
          </w:divBdr>
          <w:divsChild>
            <w:div w:id="444350335">
              <w:marLeft w:val="0"/>
              <w:marRight w:val="5040"/>
              <w:marTop w:val="0"/>
              <w:marBottom w:val="0"/>
              <w:divBdr>
                <w:top w:val="none" w:sz="0" w:space="0" w:color="auto"/>
                <w:left w:val="none" w:sz="0" w:space="0" w:color="auto"/>
                <w:bottom w:val="none" w:sz="0" w:space="0" w:color="auto"/>
                <w:right w:val="none" w:sz="0" w:space="0" w:color="auto"/>
              </w:divBdr>
              <w:divsChild>
                <w:div w:id="20505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4762">
      <w:bodyDiv w:val="1"/>
      <w:marLeft w:val="0"/>
      <w:marRight w:val="0"/>
      <w:marTop w:val="0"/>
      <w:marBottom w:val="0"/>
      <w:divBdr>
        <w:top w:val="none" w:sz="0" w:space="0" w:color="auto"/>
        <w:left w:val="none" w:sz="0" w:space="0" w:color="auto"/>
        <w:bottom w:val="none" w:sz="0" w:space="0" w:color="auto"/>
        <w:right w:val="none" w:sz="0" w:space="0" w:color="auto"/>
      </w:divBdr>
      <w:divsChild>
        <w:div w:id="1049961204">
          <w:marLeft w:val="0"/>
          <w:marRight w:val="-5040"/>
          <w:marTop w:val="0"/>
          <w:marBottom w:val="0"/>
          <w:divBdr>
            <w:top w:val="none" w:sz="0" w:space="0" w:color="auto"/>
            <w:left w:val="none" w:sz="0" w:space="0" w:color="auto"/>
            <w:bottom w:val="none" w:sz="0" w:space="0" w:color="auto"/>
            <w:right w:val="none" w:sz="0" w:space="0" w:color="auto"/>
          </w:divBdr>
          <w:divsChild>
            <w:div w:id="419840616">
              <w:marLeft w:val="0"/>
              <w:marRight w:val="5040"/>
              <w:marTop w:val="0"/>
              <w:marBottom w:val="0"/>
              <w:divBdr>
                <w:top w:val="none" w:sz="0" w:space="0" w:color="auto"/>
                <w:left w:val="none" w:sz="0" w:space="0" w:color="auto"/>
                <w:bottom w:val="none" w:sz="0" w:space="0" w:color="auto"/>
                <w:right w:val="none" w:sz="0" w:space="0" w:color="auto"/>
              </w:divBdr>
              <w:divsChild>
                <w:div w:id="4379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7340">
      <w:bodyDiv w:val="1"/>
      <w:marLeft w:val="0"/>
      <w:marRight w:val="0"/>
      <w:marTop w:val="0"/>
      <w:marBottom w:val="0"/>
      <w:divBdr>
        <w:top w:val="none" w:sz="0" w:space="0" w:color="auto"/>
        <w:left w:val="none" w:sz="0" w:space="0" w:color="auto"/>
        <w:bottom w:val="none" w:sz="0" w:space="0" w:color="auto"/>
        <w:right w:val="none" w:sz="0" w:space="0" w:color="auto"/>
      </w:divBdr>
      <w:divsChild>
        <w:div w:id="207186424">
          <w:marLeft w:val="0"/>
          <w:marRight w:val="-5040"/>
          <w:marTop w:val="0"/>
          <w:marBottom w:val="0"/>
          <w:divBdr>
            <w:top w:val="none" w:sz="0" w:space="0" w:color="auto"/>
            <w:left w:val="none" w:sz="0" w:space="0" w:color="auto"/>
            <w:bottom w:val="none" w:sz="0" w:space="0" w:color="auto"/>
            <w:right w:val="none" w:sz="0" w:space="0" w:color="auto"/>
          </w:divBdr>
          <w:divsChild>
            <w:div w:id="1835025920">
              <w:marLeft w:val="0"/>
              <w:marRight w:val="5040"/>
              <w:marTop w:val="0"/>
              <w:marBottom w:val="0"/>
              <w:divBdr>
                <w:top w:val="none" w:sz="0" w:space="0" w:color="auto"/>
                <w:left w:val="none" w:sz="0" w:space="0" w:color="auto"/>
                <w:bottom w:val="none" w:sz="0" w:space="0" w:color="auto"/>
                <w:right w:val="none" w:sz="0" w:space="0" w:color="auto"/>
              </w:divBdr>
              <w:divsChild>
                <w:div w:id="6835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2784">
      <w:bodyDiv w:val="1"/>
      <w:marLeft w:val="0"/>
      <w:marRight w:val="0"/>
      <w:marTop w:val="0"/>
      <w:marBottom w:val="0"/>
      <w:divBdr>
        <w:top w:val="none" w:sz="0" w:space="0" w:color="auto"/>
        <w:left w:val="none" w:sz="0" w:space="0" w:color="auto"/>
        <w:bottom w:val="none" w:sz="0" w:space="0" w:color="auto"/>
        <w:right w:val="none" w:sz="0" w:space="0" w:color="auto"/>
      </w:divBdr>
      <w:divsChild>
        <w:div w:id="1150440187">
          <w:marLeft w:val="0"/>
          <w:marRight w:val="-5040"/>
          <w:marTop w:val="0"/>
          <w:marBottom w:val="0"/>
          <w:divBdr>
            <w:top w:val="none" w:sz="0" w:space="0" w:color="auto"/>
            <w:left w:val="none" w:sz="0" w:space="0" w:color="auto"/>
            <w:bottom w:val="none" w:sz="0" w:space="0" w:color="auto"/>
            <w:right w:val="none" w:sz="0" w:space="0" w:color="auto"/>
          </w:divBdr>
          <w:divsChild>
            <w:div w:id="584729416">
              <w:marLeft w:val="0"/>
              <w:marRight w:val="5040"/>
              <w:marTop w:val="0"/>
              <w:marBottom w:val="0"/>
              <w:divBdr>
                <w:top w:val="none" w:sz="0" w:space="0" w:color="auto"/>
                <w:left w:val="none" w:sz="0" w:space="0" w:color="auto"/>
                <w:bottom w:val="none" w:sz="0" w:space="0" w:color="auto"/>
                <w:right w:val="none" w:sz="0" w:space="0" w:color="auto"/>
              </w:divBdr>
              <w:divsChild>
                <w:div w:id="16062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oseph.clark@directener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instein@volunteerenergy.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887AEB-2A64-4B39-94AA-F504E306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2013-02-19T20:08:00Z</dcterms:created>
  <dcterms:modified xsi:type="dcterms:W3CDTF">2013-02-19T20:08:00Z</dcterms:modified>
</cp:coreProperties>
</file>