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C46656" w:rsidRPr="00386D56" w:rsidP="00386D56">
      <w:pPr>
        <w:jc w:val="center"/>
        <w:rPr>
          <w:b/>
          <w:bCs/>
          <w:sz w:val="24"/>
          <w:szCs w:val="24"/>
        </w:rPr>
      </w:pPr>
      <w:bookmarkStart w:id="0" w:name="_GoBack"/>
      <w:bookmarkEnd w:id="0"/>
      <w:r w:rsidRPr="00386D56">
        <w:rPr>
          <w:b/>
          <w:bCs/>
          <w:sz w:val="24"/>
          <w:szCs w:val="24"/>
        </w:rPr>
        <w:t>BEFORE</w:t>
      </w:r>
    </w:p>
    <w:p w:rsidR="00C46656">
      <w:pPr>
        <w:ind w:left="1438" w:right="1439"/>
        <w:jc w:val="center"/>
        <w:rPr>
          <w:b/>
          <w:sz w:val="24"/>
        </w:rPr>
      </w:pPr>
      <w:r>
        <w:rPr>
          <w:b/>
          <w:sz w:val="24"/>
        </w:rPr>
        <w:t>THE PUBLIC UTILITIES COMMISSION OF OHIO</w:t>
      </w:r>
    </w:p>
    <w:p w:rsidR="00C46656">
      <w:pPr>
        <w:pStyle w:val="BodyText"/>
        <w:spacing w:before="2"/>
        <w:rPr>
          <w:b/>
          <w:sz w:val="16"/>
        </w:rPr>
      </w:pPr>
    </w:p>
    <w:p w:rsidR="00C46656">
      <w:pPr>
        <w:rPr>
          <w:sz w:val="16"/>
        </w:rPr>
        <w:sectPr w:rsidSect="00570801">
          <w:type w:val="continuous"/>
          <w:pgSz w:w="12240" w:h="15840"/>
          <w:pgMar w:top="1440" w:right="1800" w:bottom="1440" w:left="1800" w:header="720" w:footer="720" w:gutter="0"/>
          <w:cols w:space="720"/>
          <w:docGrid w:linePitch="299"/>
        </w:sectPr>
      </w:pPr>
    </w:p>
    <w:p w:rsidR="00C46656">
      <w:pPr>
        <w:rPr>
          <w:sz w:val="24"/>
        </w:rPr>
        <w:sectPr>
          <w:type w:val="continuous"/>
          <w:pgSz w:w="12240" w:h="15840"/>
          <w:pgMar w:top="1380" w:right="1640" w:bottom="280" w:left="1640" w:header="720" w:footer="720" w:gutter="0"/>
          <w:cols w:num="2" w:space="720" w:equalWidth="0">
            <w:col w:w="5381" w:space="40"/>
            <w:col w:w="3539"/>
          </w:cols>
        </w:sectPr>
      </w:pPr>
    </w:p>
    <w:tbl>
      <w:tblPr>
        <w:tblW w:w="9785" w:type="dxa"/>
        <w:tblLook w:val="01E0"/>
      </w:tblPr>
      <w:tblGrid>
        <w:gridCol w:w="5025"/>
        <w:gridCol w:w="360"/>
        <w:gridCol w:w="4400"/>
      </w:tblGrid>
      <w:tr w:rsidTr="00F55A28">
        <w:tblPrEx>
          <w:tblW w:w="9785" w:type="dxa"/>
          <w:tblLook w:val="01E0"/>
        </w:tblPrEx>
        <w:trPr>
          <w:trHeight w:val="1962"/>
        </w:trPr>
        <w:tc>
          <w:tcPr>
            <w:tcW w:w="5025" w:type="dxa"/>
            <w:shd w:val="clear" w:color="auto" w:fill="auto"/>
          </w:tcPr>
          <w:p w:rsidR="00D632BB" w:rsidRPr="00D632BB" w:rsidP="00F55A28">
            <w:pPr>
              <w:adjustRightInd w:val="0"/>
              <w:rPr>
                <w:rFonts w:eastAsiaTheme="minorEastAsia"/>
                <w:sz w:val="24"/>
                <w:szCs w:val="24"/>
              </w:rPr>
            </w:pPr>
            <w:r w:rsidRPr="00D632BB">
              <w:rPr>
                <w:rFonts w:eastAsiaTheme="minorEastAsia"/>
                <w:sz w:val="24"/>
                <w:szCs w:val="24"/>
              </w:rPr>
              <w:t>In the Matter of the Application of the Dayton Power and Light Company for Approval of its Electric Security Plan.</w:t>
            </w:r>
          </w:p>
          <w:p w:rsidR="00D632BB" w:rsidRPr="00D632BB" w:rsidP="00F55A28">
            <w:pPr>
              <w:adjustRightInd w:val="0"/>
              <w:rPr>
                <w:rFonts w:eastAsiaTheme="minorEastAsia"/>
                <w:sz w:val="24"/>
                <w:szCs w:val="24"/>
              </w:rPr>
            </w:pPr>
          </w:p>
          <w:p w:rsidR="00D632BB" w:rsidRPr="00D632BB" w:rsidP="00F55A28">
            <w:pPr>
              <w:adjustRightInd w:val="0"/>
              <w:rPr>
                <w:rFonts w:eastAsiaTheme="minorEastAsia"/>
                <w:sz w:val="24"/>
                <w:szCs w:val="24"/>
              </w:rPr>
            </w:pPr>
            <w:r w:rsidRPr="00D632BB">
              <w:rPr>
                <w:rFonts w:eastAsiaTheme="minorEastAsia"/>
                <w:sz w:val="24"/>
                <w:szCs w:val="24"/>
              </w:rPr>
              <w:t>In the Matter of the Application of the Dayton Power and Light Company for Approval of Revised Tariffs.</w:t>
            </w:r>
          </w:p>
          <w:p w:rsidR="00D632BB" w:rsidRPr="00D632BB" w:rsidP="00F55A28">
            <w:pPr>
              <w:adjustRightInd w:val="0"/>
              <w:rPr>
                <w:rFonts w:eastAsiaTheme="minorEastAsia"/>
                <w:sz w:val="24"/>
                <w:szCs w:val="24"/>
              </w:rPr>
            </w:pPr>
          </w:p>
          <w:p w:rsidR="00D632BB" w:rsidRPr="00D632BB" w:rsidP="00F55A28">
            <w:pPr>
              <w:adjustRightInd w:val="0"/>
              <w:rPr>
                <w:rFonts w:eastAsiaTheme="minorEastAsia"/>
                <w:sz w:val="24"/>
                <w:szCs w:val="24"/>
              </w:rPr>
            </w:pPr>
            <w:r w:rsidRPr="00D632BB">
              <w:rPr>
                <w:rFonts w:eastAsiaTheme="minorEastAsia"/>
                <w:sz w:val="24"/>
                <w:szCs w:val="24"/>
              </w:rPr>
              <w:t>In the Matter of the Application of the Dayton Power and Light Company for Approval of Certain Accounting Authority Pursuant to Ohio Rev. Code § 4905.13.</w:t>
            </w:r>
          </w:p>
        </w:tc>
        <w:tc>
          <w:tcPr>
            <w:tcW w:w="360" w:type="dxa"/>
            <w:shd w:val="clear" w:color="auto" w:fill="auto"/>
          </w:tcPr>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tc>
        <w:tc>
          <w:tcPr>
            <w:tcW w:w="4400" w:type="dxa"/>
            <w:shd w:val="clear" w:color="auto" w:fill="auto"/>
          </w:tcPr>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D632BB">
              <w:rPr>
                <w:rFonts w:eastAsia="Courier New"/>
                <w:sz w:val="24"/>
                <w:szCs w:val="24"/>
              </w:rPr>
              <w:t>Case No. 16-0395-EL-SSO</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D632BB">
              <w:rPr>
                <w:rFonts w:eastAsia="Courier New"/>
                <w:sz w:val="24"/>
                <w:szCs w:val="24"/>
              </w:rPr>
              <w:t>Case No. 16-0396-EL-ATA</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D632BB">
              <w:rPr>
                <w:rFonts w:eastAsia="Courier New"/>
                <w:sz w:val="24"/>
                <w:szCs w:val="24"/>
              </w:rPr>
              <w:t>Case No. 16-0397-EL-AAM</w:t>
            </w:r>
          </w:p>
        </w:tc>
      </w:tr>
    </w:tbl>
    <w:p w:rsidR="00C46656">
      <w:pPr>
        <w:pStyle w:val="BodyText"/>
        <w:spacing w:before="5" w:after="1"/>
        <w:rPr>
          <w:b/>
          <w:sz w:val="25"/>
        </w:rPr>
      </w:pPr>
    </w:p>
    <w:p w:rsidR="00C46656">
      <w:pPr>
        <w:pStyle w:val="BodyText"/>
        <w:spacing w:line="30" w:lineRule="exact"/>
        <w:ind w:left="115"/>
        <w:rPr>
          <w:sz w:val="3"/>
        </w:rPr>
      </w:pPr>
      <w:r>
        <w:rPr>
          <w:noProof/>
          <w:sz w:val="3"/>
        </w:rPr>
        <mc:AlternateContent>
          <mc:Choice Requires="wpg">
            <w:drawing>
              <wp:inline distT="0" distB="0" distL="0" distR="0">
                <wp:extent cx="5543550" cy="19050"/>
                <wp:effectExtent l="0" t="6985" r="0" b="2540"/>
                <wp:docPr id="20" name="Group 17"/>
                <wp:cNvGraphicFramePr/>
                <a:graphic xmlns:a="http://schemas.openxmlformats.org/drawingml/2006/main">
                  <a:graphicData uri="http://schemas.microsoft.com/office/word/2010/wordprocessingGroup">
                    <wpg:wgp xmlns:wpg="http://schemas.microsoft.com/office/word/2010/wordprocessingGroup">
                      <wpg:cNvGrpSpPr/>
                      <wpg:grpSpPr>
                        <a:xfrm>
                          <a:off x="0" y="0"/>
                          <a:ext cx="5543550" cy="19050"/>
                          <a:chOff x="0" y="0"/>
                          <a:chExt cx="8730" cy="30"/>
                        </a:xfrm>
                      </wpg:grpSpPr>
                      <wps:wsp xmlns:wps="http://schemas.microsoft.com/office/word/2010/wordprocessingShape">
                        <wps:cNvPr id="21" name="Line 18"/>
                        <wps:cNvCnPr>
                          <a:cxnSpLocks noChangeShapeType="1"/>
                        </wps:cNvCnPr>
                        <wps:spPr bwMode="auto">
                          <a:xfrm>
                            <a:off x="15" y="15"/>
                            <a:ext cx="87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7" o:spid="_x0000_i1025" style="width:436.5pt;height:1.5pt;mso-position-horizontal-relative:char;mso-position-vertical-relative:line" coordsize="8730,30">
                <v:line id="Line 18" o:spid="_x0000_s1026" style="mso-wrap-style:square;position:absolute;visibility:visible" from="15,15" to="8715,15" o:connectortype="straight" strokeweight="1.5pt"/>
                <w10:wrap type="none"/>
                <w10:anchorlock/>
              </v:group>
            </w:pict>
          </mc:Fallback>
        </mc:AlternateContent>
      </w:r>
    </w:p>
    <w:p w:rsidR="00C46656">
      <w:pPr>
        <w:pStyle w:val="BodyText"/>
        <w:spacing w:before="3"/>
        <w:rPr>
          <w:b/>
          <w:sz w:val="16"/>
        </w:rPr>
      </w:pPr>
    </w:p>
    <w:p w:rsidR="00D632BB" w:rsidP="00D632BB">
      <w:pPr>
        <w:spacing w:before="90"/>
        <w:jc w:val="center"/>
        <w:rPr>
          <w:b/>
          <w:sz w:val="24"/>
        </w:rPr>
      </w:pPr>
      <w:r>
        <w:rPr>
          <w:b/>
          <w:sz w:val="24"/>
        </w:rPr>
        <w:t>THIRD APPLICATION FOR REHEARING</w:t>
      </w:r>
    </w:p>
    <w:p w:rsidR="00D632BB" w:rsidP="00D632BB">
      <w:pPr>
        <w:spacing w:before="90"/>
        <w:jc w:val="center"/>
        <w:rPr>
          <w:b/>
          <w:sz w:val="24"/>
        </w:rPr>
      </w:pPr>
      <w:r>
        <w:rPr>
          <w:b/>
          <w:sz w:val="24"/>
        </w:rPr>
        <w:t>BY</w:t>
      </w:r>
    </w:p>
    <w:p w:rsidR="00D632BB" w:rsidP="00D632BB">
      <w:pPr>
        <w:pStyle w:val="BodyText"/>
        <w:spacing w:before="3"/>
        <w:jc w:val="center"/>
        <w:rPr>
          <w:noProof/>
        </w:rPr>
      </w:pPr>
      <w:r>
        <w:rPr>
          <w:b/>
        </w:rPr>
        <w:t>THE OFFICE OF THE OHIO CONSUMERS’ COUNSEL</w:t>
      </w:r>
      <w:r>
        <w:rPr>
          <w:noProof/>
        </w:rPr>
        <w:t xml:space="preserve"> </w:t>
      </w:r>
    </w:p>
    <w:p w:rsidR="00C46656" w:rsidP="00D632BB">
      <w:pPr>
        <w:pStyle w:val="BodyText"/>
        <w:spacing w:before="3"/>
        <w:jc w:val="center"/>
        <w:rPr>
          <w:b/>
          <w:sz w:val="22"/>
        </w:rPr>
      </w:pPr>
      <w:r>
        <w:rPr>
          <w:noProof/>
        </w:rPr>
        <mc:AlternateContent>
          <mc:Choice Requires="wps">
            <w:drawing>
              <wp:anchor distT="0" distB="0" distL="0" distR="0" simplePos="0" relativeHeight="251658240" behindDoc="0" locked="0" layoutInCell="1" allowOverlap="1">
                <wp:simplePos x="0" y="0"/>
                <wp:positionH relativeFrom="page">
                  <wp:posOffset>1123950</wp:posOffset>
                </wp:positionH>
                <wp:positionV relativeFrom="paragraph">
                  <wp:posOffset>196850</wp:posOffset>
                </wp:positionV>
                <wp:extent cx="5524500" cy="0"/>
                <wp:effectExtent l="9525" t="13970" r="9525" b="14605"/>
                <wp:wrapTopAndBottom/>
                <wp:docPr id="19" name="Line 1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245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7" style="mso-height-percent:0;mso-height-relative:page;mso-position-horizontal-relative:page;mso-width-percent:0;mso-width-relative:page;mso-wrap-distance-bottom:0;mso-wrap-distance-left:0;mso-wrap-distance-right:0;mso-wrap-distance-top:0;mso-wrap-style:square;position:absolute;visibility:visible;z-index:251659264" from="88.5pt,15.5pt" to="523.5pt,15.5pt" strokeweight="1.5pt">
                <w10:wrap type="topAndBottom"/>
              </v:line>
            </w:pict>
          </mc:Fallback>
        </mc:AlternateContent>
      </w:r>
    </w:p>
    <w:p w:rsidR="00C46656">
      <w:pPr>
        <w:pStyle w:val="BodyText"/>
        <w:rPr>
          <w:b/>
          <w:sz w:val="20"/>
        </w:rPr>
      </w:pPr>
    </w:p>
    <w:p w:rsidR="00C46656">
      <w:pPr>
        <w:pStyle w:val="BodyText"/>
        <w:rPr>
          <w:b/>
          <w:sz w:val="20"/>
        </w:rPr>
      </w:pPr>
    </w:p>
    <w:p w:rsidR="00C46656">
      <w:pPr>
        <w:pStyle w:val="BodyText"/>
        <w:rPr>
          <w:b/>
          <w:sz w:val="20"/>
        </w:rPr>
      </w:pPr>
    </w:p>
    <w:p w:rsidR="00C46656">
      <w:pPr>
        <w:pStyle w:val="BodyText"/>
        <w:rPr>
          <w:b/>
          <w:sz w:val="20"/>
        </w:rPr>
      </w:pPr>
    </w:p>
    <w:p w:rsidR="00C46656">
      <w:pPr>
        <w:pStyle w:val="BodyText"/>
        <w:rPr>
          <w:b/>
          <w:sz w:val="20"/>
        </w:rPr>
      </w:pPr>
    </w:p>
    <w:p w:rsidR="00C46656">
      <w:pPr>
        <w:pStyle w:val="BodyText"/>
        <w:rPr>
          <w:b/>
          <w:sz w:val="20"/>
        </w:rPr>
      </w:pPr>
    </w:p>
    <w:p w:rsidR="00C46656">
      <w:pPr>
        <w:pStyle w:val="BodyText"/>
        <w:spacing w:before="9"/>
        <w:rPr>
          <w:b/>
          <w:sz w:val="17"/>
        </w:rPr>
      </w:pPr>
    </w:p>
    <w:p w:rsidR="00242EA9" w:rsidRPr="00D632BB" w:rsidP="004376B0">
      <w:pPr>
        <w:pStyle w:val="BodyText"/>
        <w:ind w:left="4478" w:hanging="158"/>
      </w:pPr>
      <w:r w:rsidRPr="00D632BB">
        <w:t xml:space="preserve">Bruce Weston (0016973) </w:t>
      </w:r>
    </w:p>
    <w:p w:rsidR="00C46656" w:rsidRPr="00D632BB" w:rsidP="004376B0">
      <w:pPr>
        <w:pStyle w:val="BodyText"/>
        <w:ind w:left="4478" w:hanging="158"/>
      </w:pPr>
      <w:r w:rsidRPr="00D632BB">
        <w:t>Ohio Consumers’ Counsel</w:t>
      </w:r>
    </w:p>
    <w:p w:rsidR="00C46656" w:rsidRPr="00D632BB" w:rsidP="004376B0">
      <w:pPr>
        <w:pStyle w:val="BodyText"/>
        <w:spacing w:before="11"/>
        <w:ind w:hanging="158"/>
      </w:pPr>
    </w:p>
    <w:p w:rsidR="00D3552F" w:rsidRPr="00D632BB" w:rsidP="004376B0">
      <w:pPr>
        <w:pStyle w:val="BodyText"/>
        <w:ind w:left="4480" w:hanging="158"/>
      </w:pPr>
      <w:r w:rsidRPr="00D632BB">
        <w:t xml:space="preserve">William J. Michael (0070921) </w:t>
      </w:r>
    </w:p>
    <w:p w:rsidR="00C46656" w:rsidRPr="00D632BB" w:rsidP="004376B0">
      <w:pPr>
        <w:pStyle w:val="BodyText"/>
        <w:ind w:left="4480" w:hanging="158"/>
      </w:pPr>
      <w:r w:rsidRPr="00D632BB">
        <w:t>Counsel of Record</w:t>
      </w:r>
    </w:p>
    <w:p w:rsidR="00D3552F" w:rsidRPr="00D632BB" w:rsidP="004376B0">
      <w:pPr>
        <w:pStyle w:val="BodyText"/>
        <w:ind w:left="4480" w:hanging="158"/>
      </w:pPr>
      <w:r w:rsidRPr="00D632BB">
        <w:t>Assistant Consumers’ Counsel</w:t>
      </w:r>
    </w:p>
    <w:p w:rsidR="00C46656" w:rsidRPr="00D632BB" w:rsidP="004376B0">
      <w:pPr>
        <w:pStyle w:val="BodyText"/>
        <w:ind w:hanging="158"/>
      </w:pPr>
    </w:p>
    <w:p w:rsidR="00C46656" w:rsidRPr="00D632BB" w:rsidP="00386D56">
      <w:pPr>
        <w:ind w:left="3600" w:firstLine="720"/>
        <w:rPr>
          <w:b/>
          <w:bCs/>
          <w:sz w:val="24"/>
          <w:szCs w:val="24"/>
        </w:rPr>
      </w:pPr>
      <w:r w:rsidRPr="00D632BB">
        <w:rPr>
          <w:b/>
          <w:bCs/>
          <w:sz w:val="24"/>
          <w:szCs w:val="24"/>
        </w:rPr>
        <w:t>Office of the Ohio Consumers’ Counsel</w:t>
      </w:r>
    </w:p>
    <w:p w:rsidR="00C46656" w:rsidRPr="00D632BB" w:rsidP="004376B0">
      <w:pPr>
        <w:pStyle w:val="BodyText"/>
        <w:ind w:left="4320"/>
      </w:pPr>
      <w:r w:rsidRPr="00D632BB">
        <w:t xml:space="preserve">65 E. </w:t>
      </w:r>
      <w:r>
        <w:t>State Street, 7</w:t>
      </w:r>
      <w:r w:rsidRPr="00D632BB">
        <w:rPr>
          <w:vertAlign w:val="superscript"/>
        </w:rPr>
        <w:t>th</w:t>
      </w:r>
      <w:r>
        <w:t xml:space="preserve"> Floor</w:t>
      </w:r>
    </w:p>
    <w:p w:rsidR="00C46656" w:rsidRPr="00D632BB" w:rsidP="004376B0">
      <w:pPr>
        <w:pStyle w:val="BodyText"/>
        <w:ind w:left="4480" w:hanging="158"/>
      </w:pPr>
      <w:r w:rsidRPr="00D632BB">
        <w:t>Columbus, Ohio 43215-4213</w:t>
      </w:r>
    </w:p>
    <w:p w:rsidR="00C46656" w:rsidRPr="00D632BB" w:rsidP="004376B0">
      <w:pPr>
        <w:pStyle w:val="BodyText"/>
        <w:ind w:left="4480" w:hanging="158"/>
      </w:pPr>
      <w:r w:rsidRPr="00D632BB">
        <w:t>Telephone [Michael]: 614-466-1291</w:t>
      </w:r>
    </w:p>
    <w:p w:rsidR="00C46656" w:rsidRPr="00D632BB" w:rsidP="004376B0">
      <w:pPr>
        <w:pStyle w:val="BodyText"/>
        <w:ind w:left="4480" w:hanging="158"/>
      </w:pPr>
      <w:r w:rsidRPr="00D632BB">
        <w:t xml:space="preserve">William.michael@occ.ohio.gov </w:t>
      </w:r>
    </w:p>
    <w:p w:rsidR="00CB7004" w:rsidRPr="00D632BB" w:rsidP="004376B0">
      <w:pPr>
        <w:spacing w:line="275" w:lineRule="exact"/>
        <w:ind w:left="160" w:hanging="158"/>
        <w:rPr>
          <w:b/>
          <w:sz w:val="24"/>
          <w:szCs w:val="24"/>
        </w:rPr>
      </w:pPr>
      <w:r w:rsidRPr="00D632BB">
        <w:rPr>
          <w:b/>
          <w:sz w:val="24"/>
          <w:szCs w:val="24"/>
        </w:rPr>
        <w:tab/>
      </w:r>
      <w:r w:rsidRPr="00D632BB">
        <w:rPr>
          <w:b/>
          <w:sz w:val="24"/>
          <w:szCs w:val="24"/>
        </w:rPr>
        <w:tab/>
      </w:r>
      <w:r w:rsidRPr="00D632BB">
        <w:rPr>
          <w:b/>
          <w:sz w:val="24"/>
          <w:szCs w:val="24"/>
        </w:rPr>
        <w:tab/>
      </w:r>
      <w:r w:rsidRPr="00D632BB">
        <w:rPr>
          <w:b/>
          <w:sz w:val="24"/>
          <w:szCs w:val="24"/>
        </w:rPr>
        <w:tab/>
      </w:r>
      <w:r w:rsidRPr="00D632BB">
        <w:rPr>
          <w:b/>
          <w:sz w:val="24"/>
          <w:szCs w:val="24"/>
        </w:rPr>
        <w:tab/>
      </w:r>
      <w:r w:rsidRPr="00D632BB">
        <w:rPr>
          <w:b/>
          <w:sz w:val="24"/>
          <w:szCs w:val="24"/>
        </w:rPr>
        <w:tab/>
      </w:r>
      <w:r w:rsidRPr="00D632BB">
        <w:rPr>
          <w:b/>
          <w:sz w:val="24"/>
          <w:szCs w:val="24"/>
        </w:rPr>
        <w:tab/>
      </w:r>
      <w:r w:rsidRPr="00D632BB">
        <w:rPr>
          <w:sz w:val="24"/>
          <w:szCs w:val="24"/>
        </w:rPr>
        <w:t>(will accept service via</w:t>
      </w:r>
      <w:r w:rsidRPr="00D632BB">
        <w:rPr>
          <w:spacing w:val="-14"/>
          <w:sz w:val="24"/>
          <w:szCs w:val="24"/>
        </w:rPr>
        <w:t xml:space="preserve"> </w:t>
      </w:r>
      <w:r w:rsidRPr="00D632BB">
        <w:rPr>
          <w:sz w:val="24"/>
          <w:szCs w:val="24"/>
        </w:rPr>
        <w:t>email)</w:t>
      </w:r>
    </w:p>
    <w:p w:rsidR="00F343A8" w:rsidRPr="00D632BB" w:rsidP="00CB7004">
      <w:pPr>
        <w:tabs>
          <w:tab w:val="left" w:pos="4479"/>
        </w:tabs>
        <w:spacing w:line="275" w:lineRule="exact"/>
        <w:ind w:left="160"/>
        <w:rPr>
          <w:bCs/>
          <w:sz w:val="24"/>
          <w:szCs w:val="24"/>
        </w:rPr>
      </w:pPr>
    </w:p>
    <w:p w:rsidR="00D632BB" w:rsidRPr="00D632BB" w:rsidP="00CB7004">
      <w:pPr>
        <w:tabs>
          <w:tab w:val="left" w:pos="4479"/>
        </w:tabs>
        <w:spacing w:line="275" w:lineRule="exact"/>
        <w:ind w:left="160"/>
        <w:rPr>
          <w:bCs/>
          <w:sz w:val="24"/>
          <w:szCs w:val="24"/>
        </w:rPr>
      </w:pPr>
    </w:p>
    <w:p w:rsidR="00D632BB" w:rsidRPr="00D632BB" w:rsidP="00CB7004">
      <w:pPr>
        <w:tabs>
          <w:tab w:val="left" w:pos="4479"/>
        </w:tabs>
        <w:spacing w:line="275" w:lineRule="exact"/>
        <w:ind w:left="160"/>
        <w:rPr>
          <w:bCs/>
          <w:sz w:val="24"/>
          <w:szCs w:val="24"/>
        </w:rPr>
      </w:pPr>
    </w:p>
    <w:p w:rsidR="00C46656" w:rsidRPr="00CB7004" w:rsidP="00CB7004">
      <w:pPr>
        <w:tabs>
          <w:tab w:val="left" w:pos="4479"/>
        </w:tabs>
        <w:spacing w:line="275" w:lineRule="exact"/>
        <w:ind w:left="160"/>
        <w:rPr>
          <w:b/>
          <w:sz w:val="24"/>
        </w:rPr>
      </w:pPr>
      <w:r w:rsidRPr="00D632BB">
        <w:rPr>
          <w:bCs/>
          <w:sz w:val="24"/>
          <w:szCs w:val="24"/>
        </w:rPr>
        <w:t>October</w:t>
      </w:r>
      <w:r w:rsidRPr="00D632BB">
        <w:rPr>
          <w:bCs/>
          <w:spacing w:val="-1"/>
          <w:sz w:val="24"/>
          <w:szCs w:val="24"/>
        </w:rPr>
        <w:t xml:space="preserve"> </w:t>
      </w:r>
      <w:r w:rsidRPr="00D632BB">
        <w:rPr>
          <w:bCs/>
          <w:sz w:val="24"/>
          <w:szCs w:val="24"/>
        </w:rPr>
        <w:t>19,</w:t>
      </w:r>
      <w:r w:rsidRPr="00D632BB">
        <w:rPr>
          <w:bCs/>
          <w:spacing w:val="-1"/>
          <w:sz w:val="24"/>
          <w:szCs w:val="24"/>
        </w:rPr>
        <w:t xml:space="preserve"> </w:t>
      </w:r>
      <w:r w:rsidRPr="00D632BB">
        <w:rPr>
          <w:bCs/>
          <w:sz w:val="24"/>
          <w:szCs w:val="24"/>
        </w:rPr>
        <w:t>2018</w:t>
      </w:r>
      <w:r>
        <w:rPr>
          <w:b/>
          <w:sz w:val="24"/>
        </w:rPr>
        <w:tab/>
      </w:r>
    </w:p>
    <w:p w:rsidR="00C46656">
      <w:pPr>
        <w:spacing w:line="275" w:lineRule="exact"/>
        <w:rPr>
          <w:sz w:val="24"/>
        </w:rPr>
        <w:sectPr w:rsidSect="00D3552F">
          <w:type w:val="continuous"/>
          <w:pgSz w:w="12240" w:h="15840"/>
          <w:pgMar w:top="1440" w:right="1800" w:bottom="1440" w:left="1800" w:header="720" w:footer="720" w:gutter="0"/>
          <w:cols w:space="720"/>
          <w:docGrid w:linePitch="299"/>
        </w:sectPr>
      </w:pPr>
    </w:p>
    <w:p w:rsidR="00C46656" w:rsidRPr="00386D56" w:rsidP="00386D56">
      <w:pPr>
        <w:jc w:val="center"/>
        <w:rPr>
          <w:b/>
          <w:bCs/>
        </w:rPr>
      </w:pPr>
      <w:r w:rsidRPr="00386D56">
        <w:rPr>
          <w:b/>
          <w:bCs/>
        </w:rPr>
        <w:t>BEFORE</w:t>
      </w:r>
    </w:p>
    <w:p w:rsidR="00C46656">
      <w:pPr>
        <w:ind w:left="1438" w:right="1439"/>
        <w:jc w:val="center"/>
        <w:rPr>
          <w:b/>
          <w:sz w:val="24"/>
        </w:rPr>
      </w:pPr>
      <w:r>
        <w:rPr>
          <w:b/>
          <w:sz w:val="24"/>
        </w:rPr>
        <w:t>THE PUBLIC UTILITIES COMMISSION OF OHIO</w:t>
      </w:r>
    </w:p>
    <w:p w:rsidR="00C46656">
      <w:pPr>
        <w:pStyle w:val="BodyText"/>
        <w:spacing w:before="2"/>
        <w:rPr>
          <w:b/>
          <w:sz w:val="16"/>
        </w:rPr>
      </w:pPr>
    </w:p>
    <w:p w:rsidR="00C46656">
      <w:pPr>
        <w:rPr>
          <w:sz w:val="16"/>
        </w:rPr>
        <w:sectPr>
          <w:pgSz w:w="12240" w:h="15840"/>
          <w:pgMar w:top="1380" w:right="1640" w:bottom="280" w:left="1640" w:header="720" w:footer="720" w:gutter="0"/>
          <w:cols w:space="720"/>
        </w:sectPr>
      </w:pPr>
    </w:p>
    <w:p w:rsidR="00C46656" w:rsidRPr="00242EA9" w:rsidP="00242EA9">
      <w:pPr>
        <w:rPr>
          <w:b/>
          <w:sz w:val="24"/>
          <w:szCs w:val="24"/>
        </w:rPr>
      </w:pPr>
    </w:p>
    <w:p w:rsidR="00C46656" w:rsidRPr="00242EA9" w:rsidP="00242EA9">
      <w:pPr>
        <w:rPr>
          <w:sz w:val="24"/>
          <w:szCs w:val="24"/>
        </w:rPr>
        <w:sectPr>
          <w:type w:val="continuous"/>
          <w:pgSz w:w="12240" w:h="15840"/>
          <w:pgMar w:top="1380" w:right="1640" w:bottom="280" w:left="1640" w:header="720" w:footer="720" w:gutter="0"/>
          <w:cols w:num="2" w:space="720" w:equalWidth="0">
            <w:col w:w="5381" w:space="40"/>
            <w:col w:w="3539"/>
          </w:cols>
        </w:sectPr>
      </w:pPr>
    </w:p>
    <w:tbl>
      <w:tblPr>
        <w:tblW w:w="9785" w:type="dxa"/>
        <w:tblLook w:val="01E0"/>
      </w:tblPr>
      <w:tblGrid>
        <w:gridCol w:w="5025"/>
        <w:gridCol w:w="360"/>
        <w:gridCol w:w="4400"/>
      </w:tblGrid>
      <w:tr w:rsidTr="00F55A28">
        <w:tblPrEx>
          <w:tblW w:w="9785" w:type="dxa"/>
          <w:tblLook w:val="01E0"/>
        </w:tblPrEx>
        <w:trPr>
          <w:trHeight w:val="1962"/>
        </w:trPr>
        <w:tc>
          <w:tcPr>
            <w:tcW w:w="5025" w:type="dxa"/>
            <w:shd w:val="clear" w:color="auto" w:fill="auto"/>
          </w:tcPr>
          <w:p w:rsidR="00D632BB" w:rsidRPr="00D632BB" w:rsidP="00F55A28">
            <w:pPr>
              <w:adjustRightInd w:val="0"/>
              <w:rPr>
                <w:rFonts w:eastAsiaTheme="minorEastAsia"/>
                <w:sz w:val="24"/>
                <w:szCs w:val="24"/>
              </w:rPr>
            </w:pPr>
            <w:r w:rsidRPr="00D632BB">
              <w:rPr>
                <w:rFonts w:eastAsiaTheme="minorEastAsia"/>
                <w:sz w:val="24"/>
                <w:szCs w:val="24"/>
              </w:rPr>
              <w:t>In the Matter of the Application of the Dayton Power and Light Company for Approval of its Electric Security Plan.</w:t>
            </w:r>
          </w:p>
          <w:p w:rsidR="00D632BB" w:rsidRPr="00D632BB" w:rsidP="00F55A28">
            <w:pPr>
              <w:adjustRightInd w:val="0"/>
              <w:rPr>
                <w:rFonts w:eastAsiaTheme="minorEastAsia"/>
                <w:sz w:val="24"/>
                <w:szCs w:val="24"/>
              </w:rPr>
            </w:pPr>
          </w:p>
          <w:p w:rsidR="00D632BB" w:rsidRPr="00D632BB" w:rsidP="00F55A28">
            <w:pPr>
              <w:adjustRightInd w:val="0"/>
              <w:rPr>
                <w:rFonts w:eastAsiaTheme="minorEastAsia"/>
                <w:sz w:val="24"/>
                <w:szCs w:val="24"/>
              </w:rPr>
            </w:pPr>
            <w:r w:rsidRPr="00D632BB">
              <w:rPr>
                <w:rFonts w:eastAsiaTheme="minorEastAsia"/>
                <w:sz w:val="24"/>
                <w:szCs w:val="24"/>
              </w:rPr>
              <w:t>In the Matter of the Application of the Dayton Power and Light Company for Approval of Revised Tariffs.</w:t>
            </w:r>
          </w:p>
          <w:p w:rsidR="00D632BB" w:rsidRPr="00D632BB" w:rsidP="00F55A28">
            <w:pPr>
              <w:adjustRightInd w:val="0"/>
              <w:rPr>
                <w:rFonts w:eastAsiaTheme="minorEastAsia"/>
                <w:sz w:val="24"/>
                <w:szCs w:val="24"/>
              </w:rPr>
            </w:pPr>
          </w:p>
          <w:p w:rsidR="00D632BB" w:rsidRPr="00D632BB" w:rsidP="00F55A28">
            <w:pPr>
              <w:adjustRightInd w:val="0"/>
              <w:rPr>
                <w:rFonts w:eastAsiaTheme="minorEastAsia"/>
                <w:sz w:val="24"/>
                <w:szCs w:val="24"/>
              </w:rPr>
            </w:pPr>
            <w:r w:rsidRPr="00D632BB">
              <w:rPr>
                <w:rFonts w:eastAsiaTheme="minorEastAsia"/>
                <w:sz w:val="24"/>
                <w:szCs w:val="24"/>
              </w:rPr>
              <w:t>In the Matter of the Application of the Dayton Power and Light Company for Approval of Certain Accounting Authority Pursuant to Ohio Rev. Code § 4905.13.</w:t>
            </w:r>
          </w:p>
        </w:tc>
        <w:tc>
          <w:tcPr>
            <w:tcW w:w="360" w:type="dxa"/>
            <w:shd w:val="clear" w:color="auto" w:fill="auto"/>
          </w:tcPr>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tc>
        <w:tc>
          <w:tcPr>
            <w:tcW w:w="4400" w:type="dxa"/>
            <w:shd w:val="clear" w:color="auto" w:fill="auto"/>
          </w:tcPr>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D632BB">
              <w:rPr>
                <w:rFonts w:eastAsia="Courier New"/>
                <w:sz w:val="24"/>
                <w:szCs w:val="24"/>
              </w:rPr>
              <w:t>Case No. 16-0395-EL-SSO</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D632BB">
              <w:rPr>
                <w:rFonts w:eastAsia="Courier New"/>
                <w:sz w:val="24"/>
                <w:szCs w:val="24"/>
              </w:rPr>
              <w:t>Case No. 16-0396-EL-ATA</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D632BB">
              <w:rPr>
                <w:rFonts w:eastAsia="Courier New"/>
                <w:sz w:val="24"/>
                <w:szCs w:val="24"/>
              </w:rPr>
              <w:t>Case No. 16-0397-EL-AAM</w:t>
            </w:r>
          </w:p>
        </w:tc>
      </w:tr>
    </w:tbl>
    <w:p w:rsidR="00D632BB" w:rsidRPr="00242EA9" w:rsidP="00242EA9">
      <w:pPr>
        <w:rPr>
          <w:b/>
          <w:sz w:val="24"/>
          <w:szCs w:val="24"/>
        </w:rPr>
      </w:pPr>
    </w:p>
    <w:p w:rsidR="00C46656">
      <w:pPr>
        <w:pStyle w:val="BodyText"/>
        <w:spacing w:line="30" w:lineRule="exact"/>
        <w:ind w:left="115"/>
        <w:rPr>
          <w:sz w:val="3"/>
        </w:rPr>
      </w:pPr>
      <w:r>
        <w:rPr>
          <w:noProof/>
          <w:sz w:val="3"/>
        </w:rPr>
        <mc:AlternateContent>
          <mc:Choice Requires="wpg">
            <w:drawing>
              <wp:inline distT="0" distB="0" distL="0" distR="0">
                <wp:extent cx="5543550" cy="19050"/>
                <wp:effectExtent l="0" t="6985" r="0" b="2540"/>
                <wp:docPr id="17" name="Group 14"/>
                <wp:cNvGraphicFramePr/>
                <a:graphic xmlns:a="http://schemas.openxmlformats.org/drawingml/2006/main">
                  <a:graphicData uri="http://schemas.microsoft.com/office/word/2010/wordprocessingGroup">
                    <wpg:wgp xmlns:wpg="http://schemas.microsoft.com/office/word/2010/wordprocessingGroup">
                      <wpg:cNvGrpSpPr/>
                      <wpg:grpSpPr>
                        <a:xfrm>
                          <a:off x="0" y="0"/>
                          <a:ext cx="5543550" cy="19050"/>
                          <a:chOff x="0" y="0"/>
                          <a:chExt cx="8730" cy="30"/>
                        </a:xfrm>
                      </wpg:grpSpPr>
                      <wps:wsp xmlns:wps="http://schemas.microsoft.com/office/word/2010/wordprocessingShape">
                        <wps:cNvPr id="18" name="Line 15"/>
                        <wps:cNvCnPr>
                          <a:cxnSpLocks noChangeShapeType="1"/>
                        </wps:cNvCnPr>
                        <wps:spPr bwMode="auto">
                          <a:xfrm>
                            <a:off x="15" y="15"/>
                            <a:ext cx="87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4" o:spid="_x0000_i1028" style="width:436.5pt;height:1.5pt;mso-position-horizontal-relative:char;mso-position-vertical-relative:line" coordsize="8730,30">
                <v:line id="Line 15" o:spid="_x0000_s1029" style="mso-wrap-style:square;position:absolute;visibility:visible" from="15,15" to="8715,15" o:connectortype="straight" strokeweight="1.5pt"/>
                <w10:wrap type="none"/>
                <w10:anchorlock/>
              </v:group>
            </w:pict>
          </mc:Fallback>
        </mc:AlternateContent>
      </w:r>
    </w:p>
    <w:p w:rsidR="00C46656">
      <w:pPr>
        <w:pStyle w:val="BodyText"/>
        <w:spacing w:before="3"/>
        <w:rPr>
          <w:b/>
          <w:sz w:val="16"/>
        </w:rPr>
      </w:pPr>
    </w:p>
    <w:p w:rsidR="00242EA9" w:rsidP="00242EA9">
      <w:pPr>
        <w:spacing w:before="90"/>
        <w:jc w:val="center"/>
        <w:rPr>
          <w:b/>
          <w:sz w:val="24"/>
        </w:rPr>
      </w:pPr>
      <w:r>
        <w:rPr>
          <w:b/>
          <w:sz w:val="24"/>
        </w:rPr>
        <w:t xml:space="preserve">THIRD APPLICATION FOR REHEARING </w:t>
      </w:r>
    </w:p>
    <w:p w:rsidR="00C46656" w:rsidP="00242EA9">
      <w:pPr>
        <w:spacing w:before="90"/>
        <w:jc w:val="center"/>
        <w:rPr>
          <w:b/>
          <w:sz w:val="24"/>
        </w:rPr>
      </w:pPr>
      <w:r>
        <w:rPr>
          <w:b/>
          <w:sz w:val="24"/>
        </w:rPr>
        <w:t>BY</w:t>
      </w:r>
    </w:p>
    <w:p w:rsidR="00C46656" w:rsidP="00242EA9">
      <w:pPr>
        <w:jc w:val="center"/>
        <w:rPr>
          <w:b/>
          <w:sz w:val="24"/>
        </w:rPr>
      </w:pPr>
      <w:r>
        <w:rPr>
          <w:b/>
          <w:sz w:val="24"/>
        </w:rPr>
        <w:t>THE OFFICE OF THE OHIO CONSUMERS’ COUNSEL</w:t>
      </w:r>
    </w:p>
    <w:p w:rsidR="00C46656">
      <w:pPr>
        <w:pStyle w:val="BodyText"/>
        <w:spacing w:before="3"/>
        <w:rPr>
          <w:b/>
          <w:sz w:val="22"/>
        </w:rPr>
      </w:pPr>
      <w:r>
        <w:rPr>
          <w:noProof/>
        </w:rPr>
        <mc:AlternateContent>
          <mc:Choice Requires="wps">
            <w:drawing>
              <wp:anchor distT="0" distB="0" distL="0" distR="0" simplePos="0" relativeHeight="251660288" behindDoc="0" locked="0" layoutInCell="1" allowOverlap="1">
                <wp:simplePos x="0" y="0"/>
                <wp:positionH relativeFrom="page">
                  <wp:posOffset>1123950</wp:posOffset>
                </wp:positionH>
                <wp:positionV relativeFrom="paragraph">
                  <wp:posOffset>196850</wp:posOffset>
                </wp:positionV>
                <wp:extent cx="5524500" cy="0"/>
                <wp:effectExtent l="9525" t="13970" r="9525" b="14605"/>
                <wp:wrapTopAndBottom/>
                <wp:docPr id="16" name="Line 1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245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30" style="mso-height-percent:0;mso-height-relative:page;mso-position-horizontal-relative:page;mso-width-percent:0;mso-width-relative:page;mso-wrap-distance-bottom:0;mso-wrap-distance-left:0;mso-wrap-distance-right:0;mso-wrap-distance-top:0;mso-wrap-style:square;position:absolute;visibility:visible;z-index:251661312" from="88.5pt,15.5pt" to="523.5pt,15.5pt" strokeweight="1.5pt">
                <w10:wrap type="topAndBottom"/>
              </v:line>
            </w:pict>
          </mc:Fallback>
        </mc:AlternateContent>
      </w:r>
    </w:p>
    <w:p w:rsidR="00C46656">
      <w:pPr>
        <w:pStyle w:val="BodyText"/>
        <w:spacing w:before="9"/>
        <w:rPr>
          <w:b/>
          <w:sz w:val="13"/>
        </w:rPr>
      </w:pPr>
    </w:p>
    <w:p w:rsidR="00C46656" w:rsidRPr="00D632BB" w:rsidP="00B97A12">
      <w:pPr>
        <w:spacing w:line="480" w:lineRule="auto"/>
        <w:ind w:firstLine="720"/>
        <w:rPr>
          <w:sz w:val="24"/>
          <w:szCs w:val="24"/>
        </w:rPr>
      </w:pPr>
      <w:r w:rsidRPr="00D632BB">
        <w:rPr>
          <w:sz w:val="24"/>
          <w:szCs w:val="24"/>
        </w:rPr>
        <w:t>The Office of the Ohio Consumers’ Counsel (“OCC”) files this Third Application for Rehearing to protect consumers from paying their utility hundreds of millions of dollars for charges such as a Distribution Modernization Rider (“DMR”) that doesn't require any money to be spent on distribution and instead requires customers to subsidize coal-fired power plants.</w:t>
      </w:r>
      <w:r>
        <w:rPr>
          <w:rStyle w:val="FootnoteReference"/>
          <w:sz w:val="24"/>
          <w:szCs w:val="24"/>
        </w:rPr>
        <w:footnoteReference w:id="2"/>
      </w:r>
      <w:r w:rsidRPr="00D632BB">
        <w:rPr>
          <w:sz w:val="24"/>
          <w:szCs w:val="24"/>
        </w:rPr>
        <w:t xml:space="preserve">  In its Third Entry on Rehearing of September 19, 2018 (“Third Entry”), the Public Utilities Commission of Ohio (“PUCO”) made unlawful and unreasonable decisions that will enable Dayton Power &amp; Light Company (“DP&amp;L”) to continue unlawful and unreasonable customer charges, including the so-called Distribution Modernization Rider.</w:t>
      </w:r>
    </w:p>
    <w:p w:rsidR="00C46656">
      <w:pPr>
        <w:rPr>
          <w:sz w:val="20"/>
        </w:rPr>
        <w:sectPr w:rsidSect="00D3552F">
          <w:type w:val="continuous"/>
          <w:pgSz w:w="12240" w:h="15840"/>
          <w:pgMar w:top="1440" w:right="1800" w:bottom="1440" w:left="1800" w:header="720" w:footer="720" w:gutter="0"/>
          <w:cols w:space="720"/>
          <w:docGrid w:linePitch="299"/>
        </w:sectPr>
      </w:pPr>
    </w:p>
    <w:p w:rsidR="00C46656" w:rsidP="00BF3007">
      <w:pPr>
        <w:pStyle w:val="BodyText"/>
        <w:spacing w:before="60" w:line="480" w:lineRule="auto"/>
        <w:ind w:left="120" w:right="995" w:firstLine="600"/>
      </w:pPr>
      <w:r>
        <w:t>The Third Entry harms customers and is unreasonable and unlawful in the following respects:</w:t>
      </w:r>
    </w:p>
    <w:p w:rsidR="00D70B0C" w:rsidRPr="00D632BB" w:rsidP="00D70B0C">
      <w:pPr>
        <w:rPr>
          <w:b/>
          <w:sz w:val="24"/>
          <w:szCs w:val="24"/>
        </w:rPr>
      </w:pPr>
      <w:r w:rsidRPr="00D632BB">
        <w:rPr>
          <w:b/>
          <w:sz w:val="24"/>
          <w:szCs w:val="24"/>
        </w:rPr>
        <w:t xml:space="preserve">Assignment of Error 1:  The PUCO’s Third Entry on Rehearing is unreasonable and unlawful because, when comparing the utility’s electric security plan to a market rate offer (R.C. 4928.143(C)(1)), it improperly relied on R.C. 4905.31.  That statute does not create independent authority for an electric utility to unilaterally (upon PUCO approval) charge consumers for advanced metering in an electric security plan. </w:t>
      </w:r>
    </w:p>
    <w:p w:rsidR="00BF3007" w:rsidRPr="00D632BB" w:rsidP="004376B0">
      <w:pPr>
        <w:rPr>
          <w:b/>
          <w:bCs/>
          <w:sz w:val="28"/>
          <w:szCs w:val="28"/>
        </w:rPr>
      </w:pPr>
      <w:r w:rsidRPr="00D632BB">
        <w:rPr>
          <w:b/>
          <w:bCs/>
          <w:sz w:val="28"/>
          <w:szCs w:val="28"/>
        </w:rPr>
        <w:t xml:space="preserve"> </w:t>
      </w:r>
    </w:p>
    <w:p w:rsidR="00D70B0C" w:rsidRPr="00D632BB" w:rsidP="00D632BB">
      <w:pPr>
        <w:rPr>
          <w:b/>
          <w:sz w:val="24"/>
          <w:szCs w:val="24"/>
        </w:rPr>
      </w:pPr>
      <w:r w:rsidRPr="00D632BB">
        <w:rPr>
          <w:b/>
          <w:bCs/>
          <w:sz w:val="28"/>
          <w:szCs w:val="28"/>
        </w:rPr>
        <w:t xml:space="preserve"> </w:t>
      </w:r>
      <w:r w:rsidRPr="00D632BB">
        <w:rPr>
          <w:b/>
          <w:sz w:val="24"/>
          <w:szCs w:val="24"/>
        </w:rPr>
        <w:t xml:space="preserve">Assignment of Error 2:  The PUCO’s Third Entry on Rehearing is unreasonable and unlawful because its misinterpretation of R.C. 4905.31 led to a misapplication of the ESP v. MRO test.  </w:t>
      </w:r>
    </w:p>
    <w:p w:rsidR="00C46656" w:rsidP="00D632BB">
      <w:pPr>
        <w:rPr>
          <w:b/>
          <w:bCs/>
          <w:sz w:val="24"/>
          <w:szCs w:val="24"/>
        </w:rPr>
      </w:pPr>
      <w:r w:rsidRPr="004376B0">
        <w:rPr>
          <w:b/>
          <w:bCs/>
          <w:sz w:val="24"/>
          <w:szCs w:val="24"/>
        </w:rPr>
        <w:t xml:space="preserve">   </w:t>
      </w:r>
    </w:p>
    <w:p w:rsidR="00D70B0C" w:rsidRPr="00D70B0C" w:rsidP="00D70B0C">
      <w:pPr>
        <w:spacing w:line="480" w:lineRule="auto"/>
        <w:rPr>
          <w:bCs/>
          <w:sz w:val="24"/>
          <w:szCs w:val="24"/>
        </w:rPr>
      </w:pPr>
      <w:r>
        <w:rPr>
          <w:b/>
          <w:bCs/>
          <w:sz w:val="24"/>
          <w:szCs w:val="24"/>
        </w:rPr>
        <w:tab/>
      </w:r>
      <w:r w:rsidRPr="00D70B0C">
        <w:rPr>
          <w:bCs/>
          <w:sz w:val="24"/>
          <w:szCs w:val="24"/>
        </w:rPr>
        <w:t xml:space="preserve">The reasons in support of this application for rehearing are set forth in the accompanying memorandum in support.  The PUCO should grant rehearing and abrogate its </w:t>
      </w:r>
      <w:r>
        <w:rPr>
          <w:bCs/>
          <w:sz w:val="24"/>
          <w:szCs w:val="24"/>
        </w:rPr>
        <w:t xml:space="preserve">Third </w:t>
      </w:r>
      <w:r w:rsidRPr="00D70B0C">
        <w:rPr>
          <w:bCs/>
          <w:sz w:val="24"/>
          <w:szCs w:val="24"/>
        </w:rPr>
        <w:t>Entry as requested by OCC.</w:t>
      </w:r>
    </w:p>
    <w:p w:rsidR="00C46656">
      <w:pPr>
        <w:pStyle w:val="BodyText"/>
        <w:rPr>
          <w:sz w:val="11"/>
        </w:rPr>
      </w:pPr>
    </w:p>
    <w:p w:rsidR="008F7BD2" w:rsidP="004376B0">
      <w:pPr>
        <w:pStyle w:val="BodyText"/>
        <w:ind w:left="4320"/>
      </w:pPr>
    </w:p>
    <w:p w:rsidR="008F7BD2" w:rsidP="004376B0">
      <w:pPr>
        <w:pStyle w:val="BodyText"/>
        <w:ind w:left="4320"/>
      </w:pPr>
    </w:p>
    <w:p w:rsidR="008F7BD2" w:rsidP="004376B0">
      <w:pPr>
        <w:pStyle w:val="BodyText"/>
        <w:ind w:left="4320"/>
      </w:pPr>
    </w:p>
    <w:p w:rsidR="008F7BD2" w:rsidP="004376B0">
      <w:pPr>
        <w:pStyle w:val="BodyText"/>
        <w:ind w:left="4320"/>
      </w:pPr>
    </w:p>
    <w:p w:rsidR="00242EA9" w:rsidP="004376B0">
      <w:pPr>
        <w:pStyle w:val="BodyText"/>
        <w:ind w:left="4320"/>
      </w:pPr>
      <w:r>
        <w:t xml:space="preserve">Bruce Weston (0016973) </w:t>
      </w:r>
    </w:p>
    <w:p w:rsidR="00C46656" w:rsidP="004376B0">
      <w:pPr>
        <w:pStyle w:val="BodyText"/>
        <w:ind w:left="4320"/>
      </w:pPr>
      <w:r>
        <w:t>Ohio Consumers’ Counsel</w:t>
      </w:r>
    </w:p>
    <w:p w:rsidR="00C46656">
      <w:pPr>
        <w:pStyle w:val="BodyText"/>
        <w:rPr>
          <w:sz w:val="22"/>
        </w:rPr>
      </w:pPr>
    </w:p>
    <w:p w:rsidR="00D3552F" w:rsidP="004376B0">
      <w:pPr>
        <w:ind w:left="4400" w:hanging="80"/>
        <w:rPr>
          <w:i/>
          <w:sz w:val="24"/>
        </w:rPr>
      </w:pPr>
      <w:r>
        <w:rPr>
          <w:i/>
          <w:sz w:val="24"/>
          <w:u w:val="single"/>
        </w:rPr>
        <w:t>/s/ William</w:t>
      </w:r>
      <w:r>
        <w:rPr>
          <w:i/>
          <w:spacing w:val="-1"/>
          <w:sz w:val="24"/>
          <w:u w:val="single"/>
        </w:rPr>
        <w:t xml:space="preserve"> </w:t>
      </w:r>
      <w:r>
        <w:rPr>
          <w:i/>
          <w:sz w:val="24"/>
          <w:u w:val="single"/>
        </w:rPr>
        <w:t>J.</w:t>
      </w:r>
      <w:r>
        <w:rPr>
          <w:i/>
          <w:spacing w:val="-1"/>
          <w:sz w:val="24"/>
          <w:u w:val="single"/>
        </w:rPr>
        <w:t xml:space="preserve"> </w:t>
      </w:r>
      <w:r>
        <w:rPr>
          <w:i/>
          <w:sz w:val="24"/>
          <w:u w:val="single"/>
        </w:rPr>
        <w:t>Michael</w:t>
      </w:r>
      <w:r>
        <w:rPr>
          <w:i/>
          <w:sz w:val="24"/>
          <w:u w:val="single"/>
        </w:rPr>
        <w:tab/>
      </w:r>
    </w:p>
    <w:p w:rsidR="00D3552F" w:rsidP="004376B0">
      <w:pPr>
        <w:ind w:left="4400" w:hanging="80"/>
        <w:rPr>
          <w:sz w:val="24"/>
        </w:rPr>
      </w:pPr>
      <w:r>
        <w:rPr>
          <w:sz w:val="24"/>
        </w:rPr>
        <w:t>William J.</w:t>
      </w:r>
      <w:r>
        <w:rPr>
          <w:spacing w:val="-5"/>
          <w:sz w:val="24"/>
        </w:rPr>
        <w:t xml:space="preserve"> </w:t>
      </w:r>
      <w:r>
        <w:rPr>
          <w:sz w:val="24"/>
        </w:rPr>
        <w:t>Michael</w:t>
      </w:r>
      <w:r>
        <w:rPr>
          <w:spacing w:val="-2"/>
          <w:sz w:val="24"/>
        </w:rPr>
        <w:t xml:space="preserve"> </w:t>
      </w:r>
      <w:r>
        <w:rPr>
          <w:sz w:val="24"/>
        </w:rPr>
        <w:t xml:space="preserve">(0070921) </w:t>
      </w:r>
    </w:p>
    <w:p w:rsidR="00C46656" w:rsidP="004376B0">
      <w:pPr>
        <w:ind w:left="4400" w:hanging="80"/>
        <w:rPr>
          <w:sz w:val="24"/>
        </w:rPr>
      </w:pPr>
      <w:r>
        <w:rPr>
          <w:sz w:val="24"/>
        </w:rPr>
        <w:t>Counsel of Record</w:t>
      </w:r>
    </w:p>
    <w:p w:rsidR="00D3552F" w:rsidRPr="00D3552F" w:rsidP="004376B0">
      <w:pPr>
        <w:ind w:left="4400" w:right="-20" w:hanging="80"/>
        <w:rPr>
          <w:iCs/>
          <w:sz w:val="24"/>
        </w:rPr>
      </w:pPr>
      <w:r>
        <w:rPr>
          <w:iCs/>
          <w:sz w:val="24"/>
        </w:rPr>
        <w:t>Assistant Consumers’ Counsel</w:t>
      </w:r>
    </w:p>
    <w:p w:rsidR="00C46656" w:rsidP="00D3552F">
      <w:pPr>
        <w:pStyle w:val="BodyText"/>
      </w:pPr>
    </w:p>
    <w:p w:rsidR="00CB7004" w:rsidRPr="00386D56" w:rsidP="00386D56">
      <w:pPr>
        <w:ind w:left="3600" w:firstLine="720"/>
        <w:rPr>
          <w:b/>
          <w:bCs/>
        </w:rPr>
      </w:pPr>
      <w:r w:rsidRPr="00386D56">
        <w:rPr>
          <w:b/>
          <w:bCs/>
        </w:rPr>
        <w:t>Office of the Ohio Consumers’ Counsel</w:t>
      </w:r>
    </w:p>
    <w:p w:rsidR="00CB7004" w:rsidP="004376B0">
      <w:pPr>
        <w:pStyle w:val="BodyText"/>
        <w:ind w:left="4478" w:hanging="158"/>
      </w:pPr>
      <w:r>
        <w:t xml:space="preserve">65 E. </w:t>
      </w:r>
      <w:r w:rsidR="008F0C0F">
        <w:t>State Street, 7</w:t>
      </w:r>
      <w:r w:rsidRPr="008F0C0F" w:rsidR="008F0C0F">
        <w:rPr>
          <w:vertAlign w:val="superscript"/>
        </w:rPr>
        <w:t>th</w:t>
      </w:r>
      <w:r w:rsidR="008F0C0F">
        <w:t xml:space="preserve"> Floor</w:t>
      </w:r>
    </w:p>
    <w:p w:rsidR="00CB7004" w:rsidP="004376B0">
      <w:pPr>
        <w:pStyle w:val="BodyText"/>
        <w:ind w:left="4480" w:hanging="158"/>
      </w:pPr>
      <w:r>
        <w:t>Columbus, Ohio 43215-4213</w:t>
      </w:r>
    </w:p>
    <w:p w:rsidR="00CB7004" w:rsidP="004376B0">
      <w:pPr>
        <w:pStyle w:val="BodyText"/>
        <w:ind w:left="4480" w:hanging="158"/>
      </w:pPr>
      <w:r>
        <w:t>Telephone [Michael]: 614-466-1291</w:t>
      </w:r>
    </w:p>
    <w:p w:rsidR="00CB7004" w:rsidRPr="00331B94" w:rsidP="004376B0">
      <w:pPr>
        <w:pStyle w:val="BodyText"/>
        <w:ind w:left="4480" w:hanging="158"/>
      </w:pPr>
      <w:r w:rsidRPr="00331B94">
        <w:t xml:space="preserve">william.michael@occ.ohio.gov </w:t>
      </w:r>
    </w:p>
    <w:p w:rsidR="00CB7004" w:rsidP="004376B0">
      <w:pPr>
        <w:spacing w:line="275" w:lineRule="exact"/>
        <w:ind w:left="160" w:hanging="158"/>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sz w:val="24"/>
        </w:rPr>
        <w:t>(will accept service via</w:t>
      </w:r>
      <w:r>
        <w:rPr>
          <w:spacing w:val="-14"/>
          <w:sz w:val="24"/>
        </w:rPr>
        <w:t xml:space="preserve"> </w:t>
      </w:r>
      <w:r>
        <w:rPr>
          <w:sz w:val="24"/>
        </w:rPr>
        <w:t>email)</w:t>
      </w:r>
    </w:p>
    <w:p w:rsidR="00570801" w:rsidP="00386D56">
      <w:pPr>
        <w:pStyle w:val="NoSpacing"/>
        <w:jc w:val="center"/>
        <w:rPr>
          <w:b/>
          <w:bCs/>
          <w:sz w:val="24"/>
          <w:szCs w:val="24"/>
        </w:rPr>
        <w:sectPr w:rsidSect="00570801">
          <w:footerReference w:type="default" r:id="rId5"/>
          <w:pgSz w:w="12240" w:h="15840"/>
          <w:pgMar w:top="1440" w:right="1800" w:bottom="1440" w:left="1800" w:header="0" w:footer="1061" w:gutter="0"/>
          <w:pgNumType w:start="2"/>
          <w:cols w:space="720"/>
          <w:docGrid w:linePitch="299"/>
        </w:sectPr>
      </w:pPr>
    </w:p>
    <w:p w:rsidR="00C46656" w:rsidP="00386D56">
      <w:pPr>
        <w:pStyle w:val="NoSpacing"/>
        <w:jc w:val="center"/>
      </w:pPr>
      <w:r w:rsidRPr="008F7BD2">
        <w:rPr>
          <w:b/>
          <w:bCs/>
          <w:sz w:val="24"/>
          <w:szCs w:val="24"/>
        </w:rPr>
        <w:t>BEFORE</w:t>
      </w:r>
    </w:p>
    <w:p w:rsidR="00C46656">
      <w:pPr>
        <w:ind w:left="1438" w:right="1439"/>
        <w:jc w:val="center"/>
        <w:rPr>
          <w:b/>
          <w:sz w:val="24"/>
        </w:rPr>
      </w:pPr>
      <w:r>
        <w:rPr>
          <w:b/>
          <w:sz w:val="24"/>
        </w:rPr>
        <w:t>THE PUBLIC UTILITIES COMMISSION OF OHIO</w:t>
      </w:r>
    </w:p>
    <w:p w:rsidR="00C46656" w:rsidRPr="00242EA9" w:rsidP="00242EA9">
      <w:pPr>
        <w:rPr>
          <w:sz w:val="24"/>
          <w:szCs w:val="24"/>
        </w:rPr>
      </w:pPr>
    </w:p>
    <w:tbl>
      <w:tblPr>
        <w:tblW w:w="9785" w:type="dxa"/>
        <w:tblLook w:val="01E0"/>
      </w:tblPr>
      <w:tblGrid>
        <w:gridCol w:w="5025"/>
        <w:gridCol w:w="360"/>
        <w:gridCol w:w="4400"/>
      </w:tblGrid>
      <w:tr w:rsidTr="00F55A28">
        <w:tblPrEx>
          <w:tblW w:w="9785" w:type="dxa"/>
          <w:tblLook w:val="01E0"/>
        </w:tblPrEx>
        <w:trPr>
          <w:trHeight w:val="1962"/>
        </w:trPr>
        <w:tc>
          <w:tcPr>
            <w:tcW w:w="5025" w:type="dxa"/>
            <w:shd w:val="clear" w:color="auto" w:fill="auto"/>
          </w:tcPr>
          <w:p w:rsidR="00D632BB" w:rsidRPr="00D632BB" w:rsidP="00F55A28">
            <w:pPr>
              <w:adjustRightInd w:val="0"/>
              <w:rPr>
                <w:rFonts w:eastAsiaTheme="minorEastAsia"/>
                <w:sz w:val="24"/>
                <w:szCs w:val="24"/>
              </w:rPr>
            </w:pPr>
            <w:r w:rsidRPr="00D632BB">
              <w:rPr>
                <w:rFonts w:eastAsiaTheme="minorEastAsia"/>
                <w:sz w:val="24"/>
                <w:szCs w:val="24"/>
              </w:rPr>
              <w:t>In the Matter of the Application of the Dayton Power and Light Company for Approval of its Electric Security Plan.</w:t>
            </w:r>
          </w:p>
          <w:p w:rsidR="00D632BB" w:rsidRPr="00D632BB" w:rsidP="00F55A28">
            <w:pPr>
              <w:adjustRightInd w:val="0"/>
              <w:rPr>
                <w:rFonts w:eastAsiaTheme="minorEastAsia"/>
                <w:sz w:val="24"/>
                <w:szCs w:val="24"/>
              </w:rPr>
            </w:pPr>
          </w:p>
          <w:p w:rsidR="00D632BB" w:rsidRPr="00D632BB" w:rsidP="00F55A28">
            <w:pPr>
              <w:adjustRightInd w:val="0"/>
              <w:rPr>
                <w:rFonts w:eastAsiaTheme="minorEastAsia"/>
                <w:sz w:val="24"/>
                <w:szCs w:val="24"/>
              </w:rPr>
            </w:pPr>
            <w:r w:rsidRPr="00D632BB">
              <w:rPr>
                <w:rFonts w:eastAsiaTheme="minorEastAsia"/>
                <w:sz w:val="24"/>
                <w:szCs w:val="24"/>
              </w:rPr>
              <w:t>In the Matter of the Application of the Dayton Power and Light Company for Approval of Revised Tariffs.</w:t>
            </w:r>
          </w:p>
          <w:p w:rsidR="00D632BB" w:rsidRPr="00D632BB" w:rsidP="00F55A28">
            <w:pPr>
              <w:adjustRightInd w:val="0"/>
              <w:rPr>
                <w:rFonts w:eastAsiaTheme="minorEastAsia"/>
                <w:sz w:val="24"/>
                <w:szCs w:val="24"/>
              </w:rPr>
            </w:pPr>
          </w:p>
          <w:p w:rsidR="00D632BB" w:rsidRPr="00D632BB" w:rsidP="00F55A28">
            <w:pPr>
              <w:adjustRightInd w:val="0"/>
              <w:rPr>
                <w:rFonts w:eastAsiaTheme="minorEastAsia"/>
                <w:sz w:val="24"/>
                <w:szCs w:val="24"/>
              </w:rPr>
            </w:pPr>
            <w:r w:rsidRPr="00D632BB">
              <w:rPr>
                <w:rFonts w:eastAsiaTheme="minorEastAsia"/>
                <w:sz w:val="24"/>
                <w:szCs w:val="24"/>
              </w:rPr>
              <w:t>In the Matter of the Application of the Dayton Power and Light Company for Approval of Certain Accounting Authority Pursuant to Ohio Rev. Code § 4905.13.</w:t>
            </w:r>
          </w:p>
        </w:tc>
        <w:tc>
          <w:tcPr>
            <w:tcW w:w="360" w:type="dxa"/>
            <w:shd w:val="clear" w:color="auto" w:fill="auto"/>
          </w:tcPr>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b/>
                <w:sz w:val="24"/>
                <w:szCs w:val="24"/>
              </w:rPr>
            </w:pPr>
            <w:r w:rsidRPr="00D632BB">
              <w:rPr>
                <w:rFonts w:eastAsia="Courier New"/>
                <w:b/>
                <w:sz w:val="24"/>
                <w:szCs w:val="24"/>
              </w:rPr>
              <w:t>)</w:t>
            </w:r>
          </w:p>
        </w:tc>
        <w:tc>
          <w:tcPr>
            <w:tcW w:w="4400" w:type="dxa"/>
            <w:shd w:val="clear" w:color="auto" w:fill="auto"/>
          </w:tcPr>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D632BB">
              <w:rPr>
                <w:rFonts w:eastAsia="Courier New"/>
                <w:sz w:val="24"/>
                <w:szCs w:val="24"/>
              </w:rPr>
              <w:t>Case No. 16-0395-EL-SSO</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D632BB">
              <w:rPr>
                <w:rFonts w:eastAsia="Courier New"/>
                <w:sz w:val="24"/>
                <w:szCs w:val="24"/>
              </w:rPr>
              <w:t>Case No. 16-0396-EL-ATA</w:t>
            </w: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p w:rsidR="00D632BB" w:rsidRPr="00D632BB" w:rsidP="00F55A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r w:rsidRPr="00D632BB">
              <w:rPr>
                <w:rFonts w:eastAsia="Courier New"/>
                <w:sz w:val="24"/>
                <w:szCs w:val="24"/>
              </w:rPr>
              <w:t>Case No. 16-0397-EL-AAM</w:t>
            </w:r>
          </w:p>
        </w:tc>
      </w:tr>
    </w:tbl>
    <w:p w:rsidR="00C46656">
      <w:pPr>
        <w:pStyle w:val="BodyText"/>
        <w:spacing w:before="5" w:after="1"/>
        <w:rPr>
          <w:b/>
          <w:sz w:val="25"/>
        </w:rPr>
      </w:pPr>
    </w:p>
    <w:p w:rsidR="00C46656">
      <w:pPr>
        <w:pStyle w:val="BodyText"/>
        <w:spacing w:line="30" w:lineRule="exact"/>
        <w:ind w:left="115"/>
        <w:rPr>
          <w:sz w:val="3"/>
        </w:rPr>
      </w:pPr>
      <w:r>
        <w:rPr>
          <w:noProof/>
          <w:sz w:val="3"/>
        </w:rPr>
        <mc:AlternateContent>
          <mc:Choice Requires="wpg">
            <w:drawing>
              <wp:inline distT="0" distB="0" distL="0" distR="0">
                <wp:extent cx="5543550" cy="19050"/>
                <wp:effectExtent l="0" t="6985" r="0" b="2540"/>
                <wp:docPr id="13" name="Group 10"/>
                <wp:cNvGraphicFramePr/>
                <a:graphic xmlns:a="http://schemas.openxmlformats.org/drawingml/2006/main">
                  <a:graphicData uri="http://schemas.microsoft.com/office/word/2010/wordprocessingGroup">
                    <wpg:wgp xmlns:wpg="http://schemas.microsoft.com/office/word/2010/wordprocessingGroup">
                      <wpg:cNvGrpSpPr/>
                      <wpg:grpSpPr>
                        <a:xfrm>
                          <a:off x="0" y="0"/>
                          <a:ext cx="5543550" cy="19050"/>
                          <a:chOff x="0" y="0"/>
                          <a:chExt cx="8730" cy="30"/>
                        </a:xfrm>
                      </wpg:grpSpPr>
                      <wps:wsp xmlns:wps="http://schemas.microsoft.com/office/word/2010/wordprocessingShape">
                        <wps:cNvPr id="14" name="Line 11"/>
                        <wps:cNvCnPr>
                          <a:cxnSpLocks noChangeShapeType="1"/>
                        </wps:cNvCnPr>
                        <wps:spPr bwMode="auto">
                          <a:xfrm>
                            <a:off x="15" y="15"/>
                            <a:ext cx="87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wpg:wgp>
                  </a:graphicData>
                </a:graphic>
              </wp:inline>
            </w:drawing>
          </mc:Choice>
          <mc:Fallback>
            <w:pict>
              <v:group id="Group 10" o:spid="_x0000_i1031" style="width:436.5pt;height:1.5pt;mso-position-horizontal-relative:char;mso-position-vertical-relative:line" coordsize="8730,30">
                <v:line id="Line 11" o:spid="_x0000_s1032" style="mso-wrap-style:square;position:absolute;visibility:visible" from="15,15" to="8715,15" o:connectortype="straight" strokeweight="1.5pt"/>
                <w10:wrap type="none"/>
                <w10:anchorlock/>
              </v:group>
            </w:pict>
          </mc:Fallback>
        </mc:AlternateContent>
      </w:r>
    </w:p>
    <w:p w:rsidR="00C46656">
      <w:pPr>
        <w:pStyle w:val="BodyText"/>
        <w:spacing w:before="3"/>
        <w:rPr>
          <w:b/>
          <w:sz w:val="16"/>
        </w:rPr>
      </w:pPr>
    </w:p>
    <w:p w:rsidR="00C46656">
      <w:pPr>
        <w:spacing w:before="90"/>
        <w:ind w:left="2780"/>
        <w:rPr>
          <w:b/>
          <w:sz w:val="24"/>
        </w:rPr>
      </w:pPr>
      <w:r>
        <w:rPr>
          <w:b/>
          <w:sz w:val="24"/>
        </w:rPr>
        <w:t>MEMORANDUM IN SUPPORT</w:t>
      </w:r>
    </w:p>
    <w:p w:rsidR="00C46656">
      <w:pPr>
        <w:pStyle w:val="BodyText"/>
        <w:spacing w:before="2"/>
        <w:rPr>
          <w:b/>
          <w:sz w:val="22"/>
        </w:rPr>
      </w:pPr>
      <w:r>
        <w:rPr>
          <w:noProof/>
        </w:rPr>
        <mc:AlternateContent>
          <mc:Choice Requires="wps">
            <w:drawing>
              <wp:anchor distT="0" distB="0" distL="0" distR="0" simplePos="0" relativeHeight="251662336" behindDoc="0" locked="0" layoutInCell="1" allowOverlap="1">
                <wp:simplePos x="0" y="0"/>
                <wp:positionH relativeFrom="page">
                  <wp:posOffset>1123950</wp:posOffset>
                </wp:positionH>
                <wp:positionV relativeFrom="paragraph">
                  <wp:posOffset>196215</wp:posOffset>
                </wp:positionV>
                <wp:extent cx="5524500" cy="0"/>
                <wp:effectExtent l="9525" t="15240" r="9525" b="13335"/>
                <wp:wrapTopAndBottom/>
                <wp:docPr id="12"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5245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33" style="mso-height-percent:0;mso-height-relative:page;mso-position-horizontal-relative:page;mso-width-percent:0;mso-width-relative:page;mso-wrap-distance-bottom:0;mso-wrap-distance-left:0;mso-wrap-distance-right:0;mso-wrap-distance-top:0;mso-wrap-style:square;position:absolute;visibility:visible;z-index:251663360" from="88.5pt,15.45pt" to="523.5pt,15.45pt" strokeweight="1.5pt">
                <w10:wrap type="topAndBottom"/>
              </v:line>
            </w:pict>
          </mc:Fallback>
        </mc:AlternateContent>
      </w:r>
    </w:p>
    <w:p w:rsidR="00C46656">
      <w:pPr>
        <w:pStyle w:val="BodyText"/>
        <w:spacing w:before="9"/>
        <w:rPr>
          <w:b/>
          <w:sz w:val="13"/>
        </w:rPr>
      </w:pPr>
    </w:p>
    <w:p w:rsidR="00C46656" w:rsidRPr="00E562F9" w:rsidP="00E562F9">
      <w:pPr>
        <w:rPr>
          <w:b/>
          <w:bCs/>
          <w:sz w:val="24"/>
          <w:szCs w:val="24"/>
        </w:rPr>
      </w:pPr>
      <w:r w:rsidRPr="00E562F9">
        <w:rPr>
          <w:b/>
          <w:bCs/>
          <w:sz w:val="24"/>
          <w:szCs w:val="24"/>
        </w:rPr>
        <w:t>I.</w:t>
      </w:r>
      <w:r w:rsidRPr="00E562F9">
        <w:rPr>
          <w:b/>
          <w:bCs/>
          <w:sz w:val="24"/>
          <w:szCs w:val="24"/>
        </w:rPr>
        <w:tab/>
        <w:t>INTRODUCTION</w:t>
      </w:r>
    </w:p>
    <w:p w:rsidR="00E562F9" w:rsidRPr="00D632BB" w:rsidP="00E562F9"/>
    <w:p w:rsidR="00C46656" w:rsidRPr="002A7D55" w:rsidP="002A7D55">
      <w:pPr>
        <w:spacing w:line="480" w:lineRule="auto"/>
        <w:ind w:firstLine="720"/>
        <w:rPr>
          <w:b/>
          <w:sz w:val="24"/>
          <w:szCs w:val="24"/>
        </w:rPr>
      </w:pPr>
      <w:r w:rsidRPr="008F7BD2">
        <w:rPr>
          <w:sz w:val="24"/>
          <w:szCs w:val="24"/>
        </w:rPr>
        <w:t xml:space="preserve">In the Third Entry, the PUCO (unreasonably and unlawfully) denied OCC’s assignments of error.  But in doing so, it made </w:t>
      </w:r>
      <w:r>
        <w:rPr>
          <w:sz w:val="24"/>
          <w:szCs w:val="24"/>
        </w:rPr>
        <w:t xml:space="preserve">new findings that constitute </w:t>
      </w:r>
      <w:r w:rsidRPr="008F7BD2">
        <w:rPr>
          <w:sz w:val="24"/>
          <w:szCs w:val="24"/>
        </w:rPr>
        <w:t xml:space="preserve">additional errors.  </w:t>
      </w:r>
      <w:r>
        <w:rPr>
          <w:sz w:val="24"/>
          <w:szCs w:val="24"/>
        </w:rPr>
        <w:t>To protect consumers, t</w:t>
      </w:r>
      <w:r w:rsidRPr="008F7BD2">
        <w:rPr>
          <w:sz w:val="24"/>
          <w:szCs w:val="24"/>
        </w:rPr>
        <w:t xml:space="preserve">he errors in the Third Entry need corrected. </w:t>
      </w:r>
      <w:r>
        <w:rPr>
          <w:sz w:val="24"/>
          <w:szCs w:val="24"/>
        </w:rPr>
        <w:t>T</w:t>
      </w:r>
      <w:r w:rsidRPr="008F7BD2">
        <w:rPr>
          <w:sz w:val="24"/>
          <w:szCs w:val="24"/>
        </w:rPr>
        <w:t>he PUCO in its ESP</w:t>
      </w:r>
      <w:r>
        <w:rPr>
          <w:sz w:val="24"/>
          <w:szCs w:val="24"/>
        </w:rPr>
        <w:t xml:space="preserve"> v. MRO</w:t>
      </w:r>
      <w:r w:rsidRPr="008F7BD2">
        <w:rPr>
          <w:sz w:val="24"/>
          <w:szCs w:val="24"/>
        </w:rPr>
        <w:t xml:space="preserve"> analysis under R.C. 4928.143(C)(1) improperly interpreted R.C. 4905.31. </w:t>
      </w:r>
      <w:r w:rsidRPr="008F7BD2">
        <w:rPr>
          <w:position w:val="9"/>
          <w:sz w:val="18"/>
          <w:szCs w:val="24"/>
        </w:rPr>
        <w:t xml:space="preserve"> </w:t>
      </w:r>
      <w:r w:rsidRPr="008F7BD2">
        <w:rPr>
          <w:sz w:val="24"/>
          <w:szCs w:val="24"/>
        </w:rPr>
        <w:t>The statute does not create independent authority for an electric utility to unilaterally (upon PUCO approval) charge consumers for advanced metering.</w:t>
      </w:r>
      <w:r w:rsidRPr="008F7BD2">
        <w:rPr>
          <w:b/>
          <w:sz w:val="24"/>
          <w:szCs w:val="24"/>
        </w:rPr>
        <w:t xml:space="preserve">  </w:t>
      </w:r>
      <w:r w:rsidRPr="008F7BD2">
        <w:rPr>
          <w:sz w:val="24"/>
          <w:szCs w:val="24"/>
        </w:rPr>
        <w:t>And as a result of the PUCO’s error in misinterpreting R.C. 4905.31, and its reliance on that misinterpretation, the PUCO’s finding that DP&amp;L’s electric security plan passed the ESP</w:t>
      </w:r>
      <w:r>
        <w:rPr>
          <w:sz w:val="24"/>
          <w:szCs w:val="24"/>
        </w:rPr>
        <w:t xml:space="preserve"> v. MRO</w:t>
      </w:r>
      <w:r w:rsidRPr="008F7BD2">
        <w:rPr>
          <w:sz w:val="24"/>
          <w:szCs w:val="24"/>
        </w:rPr>
        <w:t xml:space="preserve"> test because “under a hypothetical MRO, DP&amp;L could recover the costs of deploying advanced metering infrastructure pursuant to R.C. 4905.31” is wrong.</w:t>
      </w:r>
      <w:r w:rsidRPr="008F7BD2">
        <w:rPr>
          <w:b/>
          <w:sz w:val="24"/>
          <w:szCs w:val="24"/>
        </w:rPr>
        <w:t xml:space="preserve">    </w:t>
      </w:r>
    </w:p>
    <w:p w:rsidR="00570801">
      <w:pPr>
        <w:pStyle w:val="BodyText"/>
        <w:spacing w:before="10" w:line="480" w:lineRule="auto"/>
        <w:ind w:left="120" w:right="156" w:firstLine="720"/>
        <w:sectPr w:rsidSect="00570801">
          <w:footerReference w:type="default" r:id="rId6"/>
          <w:pgSz w:w="12240" w:h="15840"/>
          <w:pgMar w:top="1440" w:right="1800" w:bottom="1440" w:left="1800" w:header="0" w:footer="1061" w:gutter="0"/>
          <w:pgNumType w:start="2"/>
          <w:cols w:space="720"/>
          <w:docGrid w:linePitch="299"/>
        </w:sectPr>
      </w:pPr>
      <w:r>
        <w:t xml:space="preserve">The PUCO has an opportunity to stand between the public interest and DP&amp;L charging consumers hundreds of millions of dollars to subsidize, via government regulation, old, inefficient, coal-fired power plants that cannot compete in a market </w:t>
      </w:r>
    </w:p>
    <w:p w:rsidR="00C46656" w:rsidP="00570801">
      <w:pPr>
        <w:pStyle w:val="BodyText"/>
        <w:spacing w:before="10" w:line="480" w:lineRule="auto"/>
        <w:ind w:right="156"/>
      </w:pPr>
      <w:r>
        <w:t>deregulated by the Ohio General Assembly over 16 years ago. It should ensure that its Third Entry is reasonable and lawful. Unfortunately for consumers, it is not. To protect consumers and the public interest, it should reconsider its Third Entry as described herein. Upon reconsideration of any one of the issues raised by OCC herein, the PUCO should find that the settlement should be rejected.</w:t>
      </w:r>
    </w:p>
    <w:p w:rsidR="00C46656">
      <w:pPr>
        <w:pStyle w:val="BodyText"/>
        <w:spacing w:before="10"/>
      </w:pPr>
    </w:p>
    <w:p w:rsidR="00C46656" w:rsidRPr="00E562F9" w:rsidP="00E562F9">
      <w:pPr>
        <w:rPr>
          <w:b/>
          <w:bCs/>
          <w:sz w:val="24"/>
          <w:szCs w:val="24"/>
        </w:rPr>
      </w:pPr>
      <w:r w:rsidRPr="00E562F9">
        <w:rPr>
          <w:b/>
          <w:bCs/>
          <w:sz w:val="24"/>
          <w:szCs w:val="24"/>
        </w:rPr>
        <w:t>II.</w:t>
      </w:r>
      <w:r w:rsidRPr="00E562F9">
        <w:rPr>
          <w:b/>
          <w:bCs/>
          <w:sz w:val="24"/>
          <w:szCs w:val="24"/>
        </w:rPr>
        <w:tab/>
        <w:t>STANDARD OF</w:t>
      </w:r>
      <w:r w:rsidRPr="00E562F9">
        <w:rPr>
          <w:b/>
          <w:bCs/>
          <w:spacing w:val="-15"/>
          <w:sz w:val="24"/>
          <w:szCs w:val="24"/>
        </w:rPr>
        <w:t xml:space="preserve"> </w:t>
      </w:r>
      <w:r w:rsidRPr="00E562F9">
        <w:rPr>
          <w:b/>
          <w:bCs/>
          <w:sz w:val="24"/>
          <w:szCs w:val="24"/>
        </w:rPr>
        <w:t>REVIEW</w:t>
      </w:r>
    </w:p>
    <w:p w:rsidR="00E562F9" w:rsidRPr="00E562F9" w:rsidP="00E562F9"/>
    <w:p w:rsidR="00C46656">
      <w:pPr>
        <w:pStyle w:val="BodyText"/>
        <w:spacing w:line="480" w:lineRule="auto"/>
        <w:ind w:left="119" w:right="156" w:firstLine="720"/>
      </w:pPr>
      <w:r>
        <w:t>Applications for rehearing are governed by R.C. 4903.10. The statute allows that, within 30 days after issuance of a PUCO order, “any party who has entered an appearance in person or by counsel in the proceeding may apply for rehearing in respect to any matters determined in the proceeding.” OCC entered an appearance and filed testimony regarding DP&amp;L’s Application and the Settlement. It participated in the evidentiary hearing on the settlement.</w:t>
      </w:r>
    </w:p>
    <w:p w:rsidR="00C46656">
      <w:pPr>
        <w:pStyle w:val="BodyText"/>
        <w:spacing w:before="9" w:line="480" w:lineRule="auto"/>
        <w:ind w:left="119" w:right="402" w:firstLine="720"/>
      </w:pPr>
      <w:r>
        <w:t>R.C. 4903.10 requires that an application for rehearing must be “in writing and shall set forth specifically the ground or grounds on which the applicant considers the</w:t>
      </w:r>
    </w:p>
    <w:p w:rsidR="00C46656">
      <w:pPr>
        <w:pStyle w:val="BodyText"/>
        <w:spacing w:before="60" w:line="480" w:lineRule="auto"/>
        <w:ind w:left="120" w:right="142"/>
      </w:pPr>
      <w:r>
        <w:t>order to be unreasonable or unlawful.” Additionally, Ohio Adm. Code 4901-1-35(A) states: “An application for rehearing must be accompanied by a memorandum in support, which shall be filed no later than the application for rehearing.”</w:t>
      </w:r>
    </w:p>
    <w:p w:rsidR="00C46656">
      <w:pPr>
        <w:pStyle w:val="BodyText"/>
        <w:spacing w:before="10" w:line="480" w:lineRule="auto"/>
        <w:ind w:left="120" w:right="98" w:firstLine="720"/>
      </w:pPr>
      <w:r>
        <w:t>In considering an application for rehearing, R.C. 4903.10 provides that “the commission may grant and hold such rehearing on the matter specified in such application, if in its judgment sufficient reason therefor is made to appear.” The statute also provides: “[i]f, after such rehearing, the commission is of the opinion that the original order or any part thereof is in any respect unjust or unwarranted, or should be changed, the commission may abrogate or modify the same; otherwise such order shall be affirmed.”</w:t>
      </w:r>
    </w:p>
    <w:p w:rsidR="00C46656">
      <w:pPr>
        <w:pStyle w:val="BodyText"/>
        <w:spacing w:before="10" w:line="480" w:lineRule="auto"/>
        <w:ind w:left="120" w:right="135" w:firstLine="720"/>
        <w:jc w:val="both"/>
      </w:pPr>
      <w:r>
        <w:t>The statutory standard for abrogating some portions of the Third Entry and modifying other portions are met here. The PUCO should grant and hold rehearing on the matters specified in this Third Application for Rehearing, and subsequently abrogate or modify its Opinion and Order.</w:t>
      </w:r>
    </w:p>
    <w:p w:rsidR="00C46656">
      <w:pPr>
        <w:pStyle w:val="BodyText"/>
        <w:spacing w:before="9"/>
      </w:pPr>
    </w:p>
    <w:p w:rsidR="00C46656" w:rsidP="00E562F9">
      <w:pPr>
        <w:rPr>
          <w:b/>
          <w:bCs/>
          <w:sz w:val="24"/>
          <w:szCs w:val="24"/>
        </w:rPr>
      </w:pPr>
      <w:r>
        <w:rPr>
          <w:b/>
          <w:bCs/>
          <w:sz w:val="24"/>
          <w:szCs w:val="24"/>
        </w:rPr>
        <w:t>III.</w:t>
      </w:r>
      <w:r>
        <w:rPr>
          <w:b/>
          <w:bCs/>
          <w:sz w:val="24"/>
          <w:szCs w:val="24"/>
        </w:rPr>
        <w:tab/>
      </w:r>
      <w:r w:rsidRPr="00E562F9">
        <w:rPr>
          <w:b/>
          <w:bCs/>
          <w:sz w:val="24"/>
          <w:szCs w:val="24"/>
        </w:rPr>
        <w:t>RECOMMENDATIONS</w:t>
      </w:r>
    </w:p>
    <w:p w:rsidR="00E562F9" w:rsidRPr="00E562F9" w:rsidP="00E562F9">
      <w:pPr>
        <w:rPr>
          <w:b/>
          <w:bCs/>
          <w:sz w:val="24"/>
          <w:szCs w:val="24"/>
        </w:rPr>
      </w:pPr>
    </w:p>
    <w:p w:rsidR="00BC0705" w:rsidP="00BC0705">
      <w:pPr>
        <w:rPr>
          <w:b/>
        </w:rPr>
      </w:pPr>
      <w:r>
        <w:rPr>
          <w:b/>
        </w:rPr>
        <w:t xml:space="preserve">Assignment of Error 1:  The PUCO’s Third Entry on Rehearing is unreasonable and unlawful because, when comparing the utility’s electric security plan to a market rate offer (R.C. 4928.143(C)(1)), it improperly relied on R.C. 4905.31.  That statute does not create independent authority for an electric utility to unilaterally (upon PUCO approval) charge consumers for advanced metering in an electric security plan. </w:t>
      </w:r>
    </w:p>
    <w:p w:rsidR="00C46656">
      <w:pPr>
        <w:pStyle w:val="BodyText"/>
        <w:spacing w:before="8"/>
        <w:rPr>
          <w:b/>
          <w:sz w:val="20"/>
        </w:rPr>
      </w:pPr>
    </w:p>
    <w:p w:rsidR="008E7A35" w:rsidP="008E7A35">
      <w:pPr>
        <w:pStyle w:val="BodyText"/>
        <w:spacing w:line="480" w:lineRule="auto"/>
        <w:ind w:firstLine="720"/>
      </w:pPr>
      <w:r>
        <w:t>OCC explained that the PUCO’s evaluation of DP&amp;L’s proposed electric security plan under the ESP v. MRO test in R.C. 4928.143(C)(1) was unreasonable and unlawful.</w:t>
      </w:r>
      <w:r>
        <w:rPr>
          <w:rStyle w:val="FootnoteReference"/>
        </w:rPr>
        <w:footnoteReference w:id="3"/>
      </w:r>
      <w:r>
        <w:t xml:space="preserve">  Because DP&amp;L failed to present evidence regarding the cost of several proposed riders, including the Smart Grid Rider, the PUCO could not possibly have considered “pricing and all other terms and conditions” of the plan as required by the statute.</w:t>
      </w:r>
      <w:r>
        <w:rPr>
          <w:rStyle w:val="FootnoteReference"/>
        </w:rPr>
        <w:footnoteReference w:id="4"/>
      </w:r>
      <w:r>
        <w:t xml:space="preserve"> </w:t>
      </w:r>
    </w:p>
    <w:p w:rsidR="008E7A35" w:rsidP="008E7A35">
      <w:pPr>
        <w:pStyle w:val="BodyText"/>
        <w:spacing w:line="480" w:lineRule="auto"/>
        <w:ind w:firstLine="720"/>
      </w:pPr>
      <w:r>
        <w:t>As it relates to the Smart Grid Rider and its import under the ESP v. MRO test, the PUCO asserted that “R.C. 4905.31 specifically authorizes an electric light company to file a mechanism to recover the costs incurred in conjunction with any acquisition and deployment of advanced metering.”</w:t>
      </w:r>
      <w:r>
        <w:rPr>
          <w:rStyle w:val="FootnoteReference"/>
        </w:rPr>
        <w:footnoteReference w:id="5"/>
      </w:r>
      <w:r>
        <w:t xml:space="preserve">  It thus concluded that “under a hypothetical MRO, DP&amp;L could recover the costs of deploying advanced metering infrastructure pursuant to R.C. 4905.31, . . . for purposes of the ESP versus MRO test; it [the costs of advanced metering] is a wash.”</w:t>
      </w:r>
      <w:r>
        <w:rPr>
          <w:rStyle w:val="FootnoteReference"/>
        </w:rPr>
        <w:footnoteReference w:id="6"/>
      </w:r>
      <w:r>
        <w:t xml:space="preserve">  </w:t>
      </w:r>
    </w:p>
    <w:p w:rsidR="0014361A" w:rsidP="00E562F9">
      <w:pPr>
        <w:spacing w:line="480" w:lineRule="auto"/>
        <w:ind w:firstLine="720"/>
      </w:pPr>
      <w:r w:rsidRPr="008E1EEB">
        <w:rPr>
          <w:sz w:val="24"/>
          <w:szCs w:val="24"/>
        </w:rPr>
        <w:t xml:space="preserve">But R.C. 4905.31 does not create independent authority for an electric utility to unilaterally (upon PUCO approval) charge consumers for advanced metering.  It permits certain “reasonable arrangements” </w:t>
      </w:r>
      <w:r w:rsidRPr="004C4315">
        <w:rPr>
          <w:i/>
          <w:sz w:val="24"/>
          <w:szCs w:val="24"/>
        </w:rPr>
        <w:t>between</w:t>
      </w:r>
      <w:r w:rsidRPr="008E1EEB">
        <w:rPr>
          <w:sz w:val="24"/>
          <w:szCs w:val="24"/>
        </w:rPr>
        <w:t xml:space="preserve"> parties.  In relevant part, it provides that a public utility may enter into a “</w:t>
      </w:r>
      <w:r w:rsidRPr="008E1EEB">
        <w:rPr>
          <w:i/>
          <w:sz w:val="24"/>
          <w:szCs w:val="24"/>
        </w:rPr>
        <w:t>reasonable arrangement with</w:t>
      </w:r>
      <w:r w:rsidRPr="008E1EEB">
        <w:rPr>
          <w:sz w:val="24"/>
          <w:szCs w:val="24"/>
        </w:rPr>
        <w:t xml:space="preserve"> another public utility or with </w:t>
      </w:r>
      <w:r w:rsidRPr="008E1EEB">
        <w:rPr>
          <w:i/>
          <w:sz w:val="24"/>
          <w:szCs w:val="24"/>
        </w:rPr>
        <w:t>one or more of its customers, consumers, or employees</w:t>
      </w:r>
      <w:r w:rsidRPr="008E1EEB">
        <w:rPr>
          <w:sz w:val="24"/>
          <w:szCs w:val="24"/>
        </w:rPr>
        <w:t xml:space="preserve"> providing for . . . [a]ny other financial device that may be practicable or advantageous to the </w:t>
      </w:r>
      <w:r w:rsidRPr="008E1EEB">
        <w:rPr>
          <w:i/>
          <w:sz w:val="24"/>
          <w:szCs w:val="24"/>
        </w:rPr>
        <w:t>parties</w:t>
      </w:r>
      <w:r w:rsidRPr="008E1EEB">
        <w:rPr>
          <w:sz w:val="24"/>
          <w:szCs w:val="24"/>
        </w:rPr>
        <w:t xml:space="preserve"> interested . . . [which] may include . . . any acquisition and deployment of advanced metering, . . . .”</w:t>
      </w:r>
      <w:r>
        <w:rPr>
          <w:rStyle w:val="FootnoteReference"/>
          <w:sz w:val="24"/>
          <w:szCs w:val="24"/>
        </w:rPr>
        <w:footnoteReference w:id="7"/>
      </w:r>
      <w:r w:rsidRPr="008E1EEB">
        <w:rPr>
          <w:sz w:val="24"/>
          <w:szCs w:val="24"/>
        </w:rPr>
        <w:t xml:space="preserve">  Contrary to the PUCO’s Third Entry, a utility could not, by itself, charge customers for advanced metering on the authority of R.C. 4905.31. There must be two </w:t>
      </w:r>
      <w:r>
        <w:rPr>
          <w:sz w:val="24"/>
          <w:szCs w:val="24"/>
        </w:rPr>
        <w:t>parties to a unique arrangement</w:t>
      </w:r>
      <w:r w:rsidRPr="008E1EEB">
        <w:rPr>
          <w:sz w:val="24"/>
          <w:szCs w:val="24"/>
        </w:rPr>
        <w:t xml:space="preserve"> under the statute.</w:t>
      </w:r>
      <w:r>
        <w:rPr>
          <w:sz w:val="24"/>
          <w:szCs w:val="24"/>
        </w:rPr>
        <w:t xml:space="preserve">  </w:t>
      </w:r>
      <w:r>
        <w:t xml:space="preserve">The PUCO’s misinterpretation of R.C. 4905.31 sets a dangerous precedent that harms consumers by allowing electric utilities to rely on the statute as an independent source of authority </w:t>
      </w:r>
      <w:r w:rsidRPr="008E1EEB">
        <w:t xml:space="preserve">to unilaterally (upon PUCO approval) charge consumers for advanced metering.  </w:t>
      </w:r>
    </w:p>
    <w:p w:rsidR="00C46656" w:rsidRPr="008E1EEB" w:rsidP="008E7A35">
      <w:pPr>
        <w:pStyle w:val="BodyText"/>
        <w:spacing w:line="480" w:lineRule="auto"/>
        <w:ind w:firstLine="720"/>
      </w:pPr>
      <w:r w:rsidRPr="008E1EEB">
        <w:t xml:space="preserve">The PUCO should grant rehearing on Assignment of Error No. </w:t>
      </w:r>
      <w:r>
        <w:t>1</w:t>
      </w:r>
      <w:r w:rsidRPr="008E1EEB">
        <w:t>.</w:t>
      </w:r>
    </w:p>
    <w:p w:rsidR="008E1EEB" w:rsidRPr="00527397" w:rsidP="008E1EEB">
      <w:pPr>
        <w:rPr>
          <w:b/>
        </w:rPr>
      </w:pPr>
      <w:r>
        <w:rPr>
          <w:b/>
        </w:rPr>
        <w:t xml:space="preserve">Assignment of Error 2:  The PUCO’s Third Entry on Rehearing is unreasonable and unlawful because its misinterpretation of R.C. 4905.31 led to a misapplication of the ESP v. MRO test.  </w:t>
      </w:r>
    </w:p>
    <w:p w:rsidR="00C46656" w:rsidP="0089223B">
      <w:pPr>
        <w:pStyle w:val="BodyText"/>
        <w:spacing w:before="224" w:line="477" w:lineRule="auto"/>
        <w:ind w:right="329"/>
      </w:pPr>
      <w:r>
        <w:tab/>
        <w:t>As just explained, the PUCO’s decision that DP&amp;L’s proposed electric security plan passed the ESP v. MRO test in R.C. 4928.143(C)(1) was based, in part, on a misinterpretation of R.C. 4905.31.  Accordingly, the PUCO’s MRO v. ESP analysis was, inherently, unreasonable and unlawful.</w:t>
      </w:r>
    </w:p>
    <w:p w:rsidR="00C46656">
      <w:pPr>
        <w:pStyle w:val="BodyText"/>
        <w:spacing w:before="12"/>
        <w:ind w:left="900"/>
      </w:pPr>
      <w:r>
        <w:t>The PUCO should grant rehearing on Assignment of Error No. 2.</w:t>
      </w:r>
    </w:p>
    <w:p w:rsidR="00C46656">
      <w:pPr>
        <w:pStyle w:val="BodyText"/>
        <w:rPr>
          <w:sz w:val="20"/>
        </w:rPr>
      </w:pPr>
    </w:p>
    <w:p w:rsidR="00C46656">
      <w:pPr>
        <w:pStyle w:val="BodyText"/>
        <w:rPr>
          <w:sz w:val="20"/>
        </w:rPr>
      </w:pPr>
    </w:p>
    <w:p w:rsidR="00C46656" w:rsidP="00E562F9">
      <w:pPr>
        <w:rPr>
          <w:b/>
          <w:bCs/>
          <w:sz w:val="24"/>
          <w:szCs w:val="24"/>
        </w:rPr>
      </w:pPr>
      <w:r>
        <w:rPr>
          <w:b/>
          <w:bCs/>
          <w:sz w:val="24"/>
          <w:szCs w:val="24"/>
        </w:rPr>
        <w:t>IV.</w:t>
      </w:r>
      <w:r>
        <w:rPr>
          <w:b/>
          <w:bCs/>
          <w:sz w:val="24"/>
          <w:szCs w:val="24"/>
        </w:rPr>
        <w:tab/>
      </w:r>
      <w:r w:rsidRPr="00E562F9">
        <w:rPr>
          <w:b/>
          <w:bCs/>
          <w:sz w:val="24"/>
          <w:szCs w:val="24"/>
        </w:rPr>
        <w:t>CONCLUSION</w:t>
      </w:r>
    </w:p>
    <w:p w:rsidR="00E562F9" w:rsidRPr="00E562F9" w:rsidP="00E562F9">
      <w:pPr>
        <w:rPr>
          <w:b/>
          <w:bCs/>
          <w:sz w:val="24"/>
          <w:szCs w:val="24"/>
        </w:rPr>
      </w:pPr>
    </w:p>
    <w:p w:rsidR="00C46656" w:rsidP="00E562F9">
      <w:pPr>
        <w:pStyle w:val="BodyText"/>
        <w:spacing w:line="480" w:lineRule="auto"/>
        <w:ind w:left="100" w:firstLine="720"/>
      </w:pPr>
      <w:r>
        <w:t>The PUCO should grant rehearing on OCC’s above claims of error and modify or abrogate its Opinion and Order because it will harm customers. Granting rehearing as requested by OCC is necessary to ensure that DP&amp;L customers are not subject to unreasonable and unjust charges. Without rehearing, Ohio consumers will pay electric security plan rates that are excessive and relate to a whole host of unreasonable and unlawful charges.  The unreasonable and unlawful charges include, but are not limited to, a government ordered subsidy of deregulated, old, inefficient, coal-fired power plants by captive monopoly customers that under the law should be competing in a competitive market.</w:t>
      </w:r>
    </w:p>
    <w:p w:rsidR="00E562F9" w:rsidP="00E562F9">
      <w:pPr>
        <w:pStyle w:val="BodyText"/>
        <w:spacing w:line="480" w:lineRule="auto"/>
        <w:ind w:left="100" w:firstLine="720"/>
      </w:pPr>
    </w:p>
    <w:p w:rsidR="008F7BD2" w:rsidP="008F7BD2">
      <w:pPr>
        <w:pStyle w:val="BodyText"/>
        <w:spacing w:before="9"/>
        <w:ind w:left="4320" w:right="1006"/>
      </w:pPr>
      <w:r>
        <w:t xml:space="preserve">Bruce Weston (0016973) </w:t>
      </w:r>
    </w:p>
    <w:p w:rsidR="00C46656" w:rsidP="008F7BD2">
      <w:pPr>
        <w:pStyle w:val="BodyText"/>
        <w:spacing w:before="9"/>
        <w:ind w:left="4320" w:right="1006"/>
      </w:pPr>
      <w:r>
        <w:t>Ohio Consumers’ Counsel</w:t>
      </w:r>
    </w:p>
    <w:p w:rsidR="00C46656" w:rsidP="008F7BD2">
      <w:pPr>
        <w:pStyle w:val="BodyText"/>
        <w:ind w:left="4320"/>
        <w:rPr>
          <w:sz w:val="26"/>
        </w:rPr>
      </w:pPr>
    </w:p>
    <w:p w:rsidR="00C46656" w:rsidP="008F7BD2">
      <w:pPr>
        <w:pStyle w:val="BodyText"/>
        <w:spacing w:before="11"/>
        <w:ind w:left="4320"/>
        <w:rPr>
          <w:sz w:val="21"/>
        </w:rPr>
      </w:pPr>
    </w:p>
    <w:p w:rsidR="00331B94" w:rsidP="008F7BD2">
      <w:pPr>
        <w:tabs>
          <w:tab w:val="left" w:pos="7379"/>
        </w:tabs>
        <w:ind w:left="4320" w:right="1437"/>
        <w:jc w:val="both"/>
        <w:rPr>
          <w:i/>
          <w:sz w:val="24"/>
          <w:u w:val="single"/>
        </w:rPr>
      </w:pPr>
      <w:r>
        <w:rPr>
          <w:i/>
          <w:sz w:val="24"/>
          <w:u w:val="single"/>
        </w:rPr>
        <w:t>/s/ William</w:t>
      </w:r>
      <w:r>
        <w:rPr>
          <w:i/>
          <w:spacing w:val="-1"/>
          <w:sz w:val="24"/>
          <w:u w:val="single"/>
        </w:rPr>
        <w:t xml:space="preserve"> </w:t>
      </w:r>
      <w:r>
        <w:rPr>
          <w:i/>
          <w:sz w:val="24"/>
          <w:u w:val="single"/>
        </w:rPr>
        <w:t>J.</w:t>
      </w:r>
      <w:r>
        <w:rPr>
          <w:i/>
          <w:spacing w:val="-1"/>
          <w:sz w:val="24"/>
          <w:u w:val="single"/>
        </w:rPr>
        <w:t xml:space="preserve"> </w:t>
      </w:r>
      <w:r>
        <w:rPr>
          <w:i/>
          <w:sz w:val="24"/>
          <w:u w:val="single"/>
        </w:rPr>
        <w:t>Michael</w:t>
      </w:r>
      <w:r>
        <w:rPr>
          <w:i/>
          <w:sz w:val="24"/>
          <w:u w:val="single"/>
        </w:rPr>
        <w:tab/>
      </w:r>
    </w:p>
    <w:p w:rsidR="00C46656" w:rsidP="00331B94">
      <w:pPr>
        <w:ind w:left="4320" w:right="720"/>
        <w:rPr>
          <w:sz w:val="24"/>
        </w:rPr>
      </w:pPr>
      <w:r>
        <w:rPr>
          <w:sz w:val="24"/>
        </w:rPr>
        <w:t>William J.</w:t>
      </w:r>
      <w:r>
        <w:rPr>
          <w:spacing w:val="-5"/>
          <w:sz w:val="24"/>
        </w:rPr>
        <w:t xml:space="preserve"> </w:t>
      </w:r>
      <w:r>
        <w:rPr>
          <w:sz w:val="24"/>
        </w:rPr>
        <w:t>Michael</w:t>
      </w:r>
      <w:r>
        <w:rPr>
          <w:spacing w:val="-2"/>
          <w:sz w:val="24"/>
        </w:rPr>
        <w:t xml:space="preserve"> </w:t>
      </w:r>
      <w:r>
        <w:rPr>
          <w:sz w:val="24"/>
        </w:rPr>
        <w:t>(0070921) Counsel of Record</w:t>
      </w:r>
    </w:p>
    <w:p w:rsidR="003F1297" w:rsidP="00331B94">
      <w:pPr>
        <w:ind w:left="4320" w:right="720"/>
        <w:rPr>
          <w:sz w:val="24"/>
        </w:rPr>
      </w:pPr>
      <w:r>
        <w:rPr>
          <w:sz w:val="24"/>
        </w:rPr>
        <w:t>Assistant Consumers’ Counsel</w:t>
      </w:r>
    </w:p>
    <w:p w:rsidR="00C46656">
      <w:pPr>
        <w:pStyle w:val="BodyText"/>
      </w:pPr>
    </w:p>
    <w:p w:rsidR="00386D56" w:rsidRPr="00386D56" w:rsidP="00386D56">
      <w:pPr>
        <w:ind w:left="3600" w:firstLine="720"/>
        <w:rPr>
          <w:b/>
          <w:bCs/>
        </w:rPr>
      </w:pPr>
      <w:r w:rsidRPr="00386D56">
        <w:rPr>
          <w:b/>
          <w:bCs/>
        </w:rPr>
        <w:t>Office of the Ohio Consumers’ Counsel</w:t>
      </w:r>
    </w:p>
    <w:p w:rsidR="00386D56" w:rsidP="00386D56">
      <w:pPr>
        <w:pStyle w:val="BodyText"/>
        <w:ind w:left="4320"/>
      </w:pPr>
      <w:r>
        <w:t>65 E. State Street, 7</w:t>
      </w:r>
      <w:r w:rsidRPr="00E562F9">
        <w:rPr>
          <w:vertAlign w:val="superscript"/>
        </w:rPr>
        <w:t>th</w:t>
      </w:r>
      <w:r>
        <w:t xml:space="preserve"> Floor</w:t>
      </w:r>
    </w:p>
    <w:p w:rsidR="00386D56" w:rsidP="00386D56">
      <w:pPr>
        <w:pStyle w:val="BodyText"/>
        <w:ind w:left="4480" w:hanging="158"/>
      </w:pPr>
      <w:r>
        <w:t>Columbus, Ohio 43215-4213</w:t>
      </w:r>
    </w:p>
    <w:p w:rsidR="00386D56" w:rsidP="00386D56">
      <w:pPr>
        <w:pStyle w:val="BodyText"/>
        <w:ind w:left="4480" w:hanging="158"/>
      </w:pPr>
      <w:r>
        <w:t>Telephone [Michael]: 614-466-1291</w:t>
      </w:r>
    </w:p>
    <w:p w:rsidR="00386D56" w:rsidRPr="00331B94" w:rsidP="00386D56">
      <w:pPr>
        <w:pStyle w:val="BodyText"/>
        <w:ind w:left="4480" w:hanging="158"/>
      </w:pPr>
      <w:r w:rsidRPr="00331B94">
        <w:t xml:space="preserve">william.michael@occ.ohio.gov </w:t>
      </w:r>
    </w:p>
    <w:p w:rsidR="00386D56" w:rsidP="00386D56">
      <w:pPr>
        <w:spacing w:line="275" w:lineRule="exact"/>
        <w:ind w:left="160" w:hanging="158"/>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sz w:val="24"/>
        </w:rPr>
        <w:t>(will accept service via</w:t>
      </w:r>
      <w:r>
        <w:rPr>
          <w:spacing w:val="-14"/>
          <w:sz w:val="24"/>
        </w:rPr>
        <w:t xml:space="preserve"> </w:t>
      </w:r>
      <w:r>
        <w:rPr>
          <w:sz w:val="24"/>
        </w:rPr>
        <w:t>email)</w:t>
      </w:r>
    </w:p>
    <w:p w:rsidR="00570801"/>
    <w:p w:rsidR="00570801" w:rsidRPr="00570801" w:rsidP="00570801"/>
    <w:p w:rsidR="00570801" w:rsidRPr="00570801" w:rsidP="00570801"/>
    <w:p w:rsidR="00570801" w:rsidRPr="00570801" w:rsidP="00570801"/>
    <w:p w:rsidR="00570801" w:rsidP="00570801"/>
    <w:p w:rsidR="00570801" w:rsidP="00570801">
      <w:pPr>
        <w:tabs>
          <w:tab w:val="left" w:pos="2486"/>
        </w:tabs>
      </w:pPr>
      <w:r>
        <w:tab/>
      </w:r>
    </w:p>
    <w:p w:rsidR="00C46656" w:rsidRPr="00570801" w:rsidP="00570801">
      <w:pPr>
        <w:tabs>
          <w:tab w:val="left" w:pos="2486"/>
        </w:tabs>
        <w:sectPr w:rsidSect="00570801">
          <w:footerReference w:type="default" r:id="rId7"/>
          <w:pgSz w:w="12240" w:h="15840"/>
          <w:pgMar w:top="1440" w:right="1800" w:bottom="1440" w:left="1800" w:header="0" w:footer="1061" w:gutter="0"/>
          <w:pgNumType w:start="2"/>
          <w:cols w:space="720"/>
          <w:docGrid w:linePitch="299"/>
        </w:sectPr>
      </w:pPr>
      <w:r>
        <w:tab/>
      </w:r>
    </w:p>
    <w:p w:rsidR="00C46656" w:rsidRPr="008F7BD2" w:rsidP="00386D56">
      <w:pPr>
        <w:jc w:val="center"/>
        <w:rPr>
          <w:b/>
          <w:bCs/>
          <w:sz w:val="24"/>
          <w:szCs w:val="24"/>
        </w:rPr>
      </w:pPr>
      <w:r w:rsidRPr="008F7BD2">
        <w:rPr>
          <w:b/>
          <w:bCs/>
          <w:sz w:val="24"/>
          <w:szCs w:val="24"/>
        </w:rPr>
        <w:t>CERTIFICATE OF SERVICE</w:t>
      </w:r>
    </w:p>
    <w:p w:rsidR="00C46656">
      <w:pPr>
        <w:pStyle w:val="BodyText"/>
        <w:spacing w:before="10"/>
        <w:rPr>
          <w:b/>
          <w:sz w:val="20"/>
        </w:rPr>
      </w:pPr>
    </w:p>
    <w:p w:rsidR="00C46656" w:rsidP="005A401A">
      <w:pPr>
        <w:pStyle w:val="BodyText"/>
        <w:spacing w:before="1" w:line="465" w:lineRule="auto"/>
        <w:ind w:right="82" w:firstLine="720"/>
      </w:pPr>
      <w:r>
        <w:t>I hereby certify that a copy of the foregoing Third Application for Rehearing was served on the persons stated below via electronic transmission, this 19</w:t>
      </w:r>
      <w:r w:rsidRPr="00386D56">
        <w:rPr>
          <w:vertAlign w:val="superscript"/>
        </w:rPr>
        <w:t>th</w:t>
      </w:r>
      <w:r>
        <w:t xml:space="preserve"> day of October 2018.</w:t>
      </w:r>
    </w:p>
    <w:p w:rsidR="00C46656">
      <w:pPr>
        <w:tabs>
          <w:tab w:val="left" w:pos="8099"/>
        </w:tabs>
        <w:spacing w:before="8"/>
        <w:ind w:left="5140"/>
        <w:rPr>
          <w:i/>
          <w:sz w:val="24"/>
        </w:rPr>
      </w:pPr>
      <w:r>
        <w:rPr>
          <w:sz w:val="24"/>
          <w:u w:val="single"/>
        </w:rPr>
        <w:t xml:space="preserve">/s/ </w:t>
      </w:r>
      <w:r>
        <w:rPr>
          <w:i/>
          <w:sz w:val="24"/>
          <w:u w:val="single"/>
        </w:rPr>
        <w:t>William J.</w:t>
      </w:r>
      <w:r>
        <w:rPr>
          <w:i/>
          <w:spacing w:val="-12"/>
          <w:sz w:val="24"/>
          <w:u w:val="single"/>
        </w:rPr>
        <w:t xml:space="preserve"> </w:t>
      </w:r>
      <w:r>
        <w:rPr>
          <w:i/>
          <w:sz w:val="24"/>
          <w:u w:val="single"/>
        </w:rPr>
        <w:t>Michael</w:t>
      </w:r>
      <w:r>
        <w:rPr>
          <w:i/>
          <w:sz w:val="24"/>
          <w:u w:val="single"/>
        </w:rPr>
        <w:tab/>
      </w:r>
    </w:p>
    <w:p w:rsidR="00C46656">
      <w:pPr>
        <w:pStyle w:val="BodyText"/>
        <w:ind w:left="5140"/>
      </w:pPr>
      <w:r>
        <w:t>William J. Michael</w:t>
      </w:r>
    </w:p>
    <w:p w:rsidR="00C46656">
      <w:pPr>
        <w:pStyle w:val="BodyText"/>
        <w:ind w:left="5140"/>
      </w:pPr>
      <w:r>
        <w:t>Assistant Consumers’ Counsel</w:t>
      </w:r>
    </w:p>
    <w:p w:rsidR="00C46656">
      <w:pPr>
        <w:pStyle w:val="BodyText"/>
        <w:rPr>
          <w:sz w:val="26"/>
        </w:rPr>
      </w:pPr>
    </w:p>
    <w:p w:rsidR="00C46656" w:rsidP="00386D56">
      <w:pPr>
        <w:jc w:val="center"/>
        <w:rPr>
          <w:b/>
          <w:bCs/>
          <w:u w:val="single"/>
        </w:rPr>
      </w:pPr>
      <w:r w:rsidRPr="00386D56">
        <w:rPr>
          <w:b/>
          <w:bCs/>
          <w:u w:val="single"/>
        </w:rPr>
        <w:t>SERVICE LIST</w:t>
      </w:r>
    </w:p>
    <w:p w:rsidR="008F7BD2" w:rsidP="00386D56">
      <w:pPr>
        <w:jc w:val="center"/>
        <w:rPr>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2"/>
        <w:gridCol w:w="4208"/>
      </w:tblGrid>
      <w:tr w:rsidTr="003004B5">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20" w:type="dxa"/>
          </w:tcPr>
          <w:p w:rsidR="008F7BD2" w:rsidRPr="00570801" w:rsidP="003004B5">
            <w:pPr>
              <w:adjustRightInd w:val="0"/>
              <w:rPr>
                <w:rFonts w:eastAsiaTheme="minorHAnsi"/>
              </w:rPr>
            </w:pPr>
            <w:r w:rsidRPr="00570801">
              <w:rPr>
                <w:rFonts w:eastAsiaTheme="minorHAnsi"/>
              </w:rPr>
              <w:t xml:space="preserve">william.wright@ohioattorneygeneral.gov </w:t>
            </w:r>
          </w:p>
          <w:p w:rsidR="008F7BD2" w:rsidRPr="00570801" w:rsidP="003004B5">
            <w:pPr>
              <w:adjustRightInd w:val="0"/>
              <w:rPr>
                <w:rFonts w:eastAsiaTheme="minorHAnsi"/>
              </w:rPr>
            </w:pPr>
            <w:r w:rsidRPr="00570801">
              <w:rPr>
                <w:rFonts w:eastAsiaTheme="minorHAnsi"/>
              </w:rPr>
              <w:t xml:space="preserve">Thomas.mcnamee@ohioattorneygeneral.gov </w:t>
            </w:r>
          </w:p>
          <w:p w:rsidR="008F7BD2" w:rsidRPr="00570801" w:rsidP="003004B5">
            <w:pPr>
              <w:adjustRightInd w:val="0"/>
              <w:rPr>
                <w:rFonts w:eastAsiaTheme="minorHAnsi"/>
              </w:rPr>
            </w:pPr>
            <w:r w:rsidRPr="00570801">
              <w:rPr>
                <w:rFonts w:eastAsiaTheme="minorHAnsi"/>
              </w:rPr>
              <w:t xml:space="preserve">dboehm@bkllawfirm.com </w:t>
            </w:r>
          </w:p>
          <w:p w:rsidR="008F7BD2" w:rsidRPr="00570801" w:rsidP="003004B5">
            <w:pPr>
              <w:adjustRightInd w:val="0"/>
              <w:rPr>
                <w:rFonts w:eastAsiaTheme="minorHAnsi"/>
              </w:rPr>
            </w:pPr>
            <w:r w:rsidRPr="00570801">
              <w:rPr>
                <w:rFonts w:eastAsiaTheme="minorHAnsi"/>
              </w:rPr>
              <w:t xml:space="preserve">mkurtz@bkllawfirm.com </w:t>
            </w:r>
          </w:p>
          <w:p w:rsidR="008F7BD2" w:rsidRPr="00570801" w:rsidP="003004B5">
            <w:pPr>
              <w:adjustRightInd w:val="0"/>
              <w:rPr>
                <w:rFonts w:eastAsiaTheme="minorHAnsi"/>
              </w:rPr>
            </w:pPr>
            <w:r w:rsidRPr="00570801">
              <w:rPr>
                <w:rFonts w:eastAsiaTheme="minorHAnsi"/>
              </w:rPr>
              <w:t xml:space="preserve">jkylercohn@bkllawfirm.com </w:t>
            </w:r>
          </w:p>
          <w:p w:rsidR="008F7BD2" w:rsidRPr="00570801" w:rsidP="003004B5">
            <w:pPr>
              <w:adjustRightInd w:val="0"/>
              <w:rPr>
                <w:rFonts w:eastAsiaTheme="minorHAnsi"/>
              </w:rPr>
            </w:pPr>
            <w:r w:rsidRPr="00570801">
              <w:rPr>
                <w:rFonts w:eastAsiaTheme="minorHAnsi"/>
              </w:rPr>
              <w:t xml:space="preserve">kboehm@bkllawfirm.com </w:t>
            </w:r>
          </w:p>
          <w:p w:rsidR="008F7BD2" w:rsidRPr="00570801" w:rsidP="003004B5">
            <w:pPr>
              <w:adjustRightInd w:val="0"/>
              <w:rPr>
                <w:rFonts w:eastAsiaTheme="minorHAnsi"/>
              </w:rPr>
            </w:pPr>
            <w:r w:rsidRPr="00570801">
              <w:rPr>
                <w:rFonts w:eastAsiaTheme="minorHAnsi"/>
              </w:rPr>
              <w:t xml:space="preserve">fdarr@mwncmh.com </w:t>
            </w:r>
          </w:p>
          <w:p w:rsidR="008F7BD2" w:rsidRPr="00570801" w:rsidP="003004B5">
            <w:pPr>
              <w:adjustRightInd w:val="0"/>
              <w:rPr>
                <w:rFonts w:eastAsiaTheme="minorHAnsi"/>
              </w:rPr>
            </w:pPr>
            <w:r w:rsidRPr="00570801">
              <w:rPr>
                <w:rFonts w:eastAsiaTheme="minorHAnsi"/>
              </w:rPr>
              <w:t xml:space="preserve">mpritchard@mwncmh.com </w:t>
            </w:r>
          </w:p>
          <w:p w:rsidR="008F7BD2" w:rsidRPr="00570801" w:rsidP="003004B5">
            <w:pPr>
              <w:adjustRightInd w:val="0"/>
              <w:rPr>
                <w:rFonts w:eastAsiaTheme="minorHAnsi"/>
              </w:rPr>
            </w:pPr>
            <w:r w:rsidRPr="00570801">
              <w:rPr>
                <w:rFonts w:eastAsiaTheme="minorHAnsi"/>
              </w:rPr>
              <w:t xml:space="preserve">mjsettineri@vorys.com </w:t>
            </w:r>
          </w:p>
          <w:p w:rsidR="008F7BD2" w:rsidRPr="00570801" w:rsidP="003004B5">
            <w:pPr>
              <w:adjustRightInd w:val="0"/>
              <w:rPr>
                <w:rFonts w:eastAsiaTheme="minorHAnsi"/>
              </w:rPr>
            </w:pPr>
            <w:r w:rsidRPr="00570801">
              <w:rPr>
                <w:rFonts w:eastAsiaTheme="minorHAnsi"/>
              </w:rPr>
              <w:t xml:space="preserve">glpetrucci@vorys.com </w:t>
            </w:r>
          </w:p>
          <w:p w:rsidR="008F7BD2" w:rsidRPr="00570801" w:rsidP="003004B5">
            <w:pPr>
              <w:adjustRightInd w:val="0"/>
              <w:rPr>
                <w:rFonts w:eastAsiaTheme="minorHAnsi"/>
              </w:rPr>
            </w:pPr>
            <w:r w:rsidRPr="00570801">
              <w:rPr>
                <w:rFonts w:eastAsiaTheme="minorHAnsi"/>
              </w:rPr>
              <w:t xml:space="preserve">ibatikov@vorys.com </w:t>
            </w:r>
          </w:p>
          <w:p w:rsidR="008F7BD2" w:rsidRPr="00570801" w:rsidP="003004B5">
            <w:pPr>
              <w:adjustRightInd w:val="0"/>
              <w:rPr>
                <w:rFonts w:eastAsiaTheme="minorHAnsi"/>
              </w:rPr>
            </w:pPr>
            <w:r w:rsidRPr="00570801">
              <w:rPr>
                <w:rFonts w:eastAsiaTheme="minorHAnsi"/>
              </w:rPr>
              <w:t xml:space="preserve">wasieck@vorys.com </w:t>
            </w:r>
          </w:p>
          <w:p w:rsidR="008F7BD2" w:rsidRPr="00570801" w:rsidP="003004B5">
            <w:pPr>
              <w:adjustRightInd w:val="0"/>
              <w:rPr>
                <w:rFonts w:eastAsiaTheme="minorHAnsi"/>
              </w:rPr>
            </w:pPr>
            <w:r w:rsidRPr="00570801">
              <w:rPr>
                <w:rFonts w:eastAsiaTheme="minorHAnsi"/>
              </w:rPr>
              <w:t xml:space="preserve">mleppla@theoec.org </w:t>
            </w:r>
          </w:p>
          <w:p w:rsidR="008F7BD2" w:rsidRPr="00570801" w:rsidP="003004B5">
            <w:pPr>
              <w:adjustRightInd w:val="0"/>
              <w:rPr>
                <w:rFonts w:eastAsiaTheme="minorHAnsi"/>
              </w:rPr>
            </w:pPr>
            <w:r w:rsidRPr="00570801">
              <w:rPr>
                <w:rFonts w:eastAsiaTheme="minorHAnsi"/>
              </w:rPr>
              <w:t xml:space="preserve">cmooney@ohiopartners.org </w:t>
            </w:r>
          </w:p>
          <w:p w:rsidR="008F7BD2" w:rsidRPr="00570801" w:rsidP="003004B5">
            <w:pPr>
              <w:adjustRightInd w:val="0"/>
              <w:rPr>
                <w:rFonts w:eastAsiaTheme="minorHAnsi"/>
              </w:rPr>
            </w:pPr>
            <w:r w:rsidRPr="00570801">
              <w:rPr>
                <w:rFonts w:eastAsiaTheme="minorHAnsi"/>
              </w:rPr>
              <w:t xml:space="preserve">joliker@igsenergy.com </w:t>
            </w:r>
          </w:p>
          <w:p w:rsidR="008F7BD2" w:rsidRPr="00570801" w:rsidP="003004B5">
            <w:pPr>
              <w:adjustRightInd w:val="0"/>
              <w:rPr>
                <w:rFonts w:eastAsiaTheme="minorHAnsi"/>
              </w:rPr>
            </w:pPr>
            <w:r w:rsidRPr="00570801">
              <w:rPr>
                <w:rFonts w:eastAsiaTheme="minorHAnsi"/>
              </w:rPr>
              <w:t xml:space="preserve">mswhite@igsenergy.com </w:t>
            </w:r>
          </w:p>
          <w:p w:rsidR="008F7BD2" w:rsidRPr="00570801" w:rsidP="003004B5">
            <w:pPr>
              <w:adjustRightInd w:val="0"/>
              <w:rPr>
                <w:rFonts w:eastAsiaTheme="minorHAnsi"/>
              </w:rPr>
            </w:pPr>
            <w:r w:rsidRPr="00570801">
              <w:rPr>
                <w:rFonts w:eastAsiaTheme="minorHAnsi"/>
              </w:rPr>
              <w:t xml:space="preserve">ebetterton@igsenergy.com </w:t>
            </w:r>
          </w:p>
          <w:p w:rsidR="008F7BD2" w:rsidRPr="00570801" w:rsidP="003004B5">
            <w:pPr>
              <w:adjustRightInd w:val="0"/>
              <w:rPr>
                <w:rFonts w:eastAsiaTheme="minorHAnsi"/>
              </w:rPr>
            </w:pPr>
            <w:r w:rsidRPr="00570801">
              <w:rPr>
                <w:rFonts w:eastAsiaTheme="minorHAnsi"/>
              </w:rPr>
              <w:t xml:space="preserve">Slesser@calfee.com </w:t>
            </w:r>
          </w:p>
          <w:p w:rsidR="008F7BD2" w:rsidRPr="00570801" w:rsidP="003004B5">
            <w:pPr>
              <w:adjustRightInd w:val="0"/>
              <w:rPr>
                <w:rFonts w:eastAsiaTheme="minorHAnsi"/>
              </w:rPr>
            </w:pPr>
            <w:r w:rsidRPr="00570801">
              <w:rPr>
                <w:rFonts w:eastAsiaTheme="minorHAnsi"/>
              </w:rPr>
              <w:t xml:space="preserve">jlang@calfee.com </w:t>
            </w:r>
          </w:p>
          <w:p w:rsidR="008F7BD2" w:rsidRPr="00570801" w:rsidP="003004B5">
            <w:pPr>
              <w:adjustRightInd w:val="0"/>
              <w:rPr>
                <w:rFonts w:eastAsiaTheme="minorHAnsi"/>
              </w:rPr>
            </w:pPr>
            <w:r w:rsidRPr="00570801">
              <w:rPr>
                <w:rFonts w:eastAsiaTheme="minorHAnsi"/>
              </w:rPr>
              <w:t>talexander@calfee.com</w:t>
            </w:r>
          </w:p>
          <w:p w:rsidR="008F7BD2" w:rsidRPr="00570801" w:rsidP="003004B5">
            <w:pPr>
              <w:adjustRightInd w:val="0"/>
              <w:rPr>
                <w:rFonts w:eastAsiaTheme="minorHAnsi"/>
              </w:rPr>
            </w:pPr>
            <w:r w:rsidRPr="00570801">
              <w:rPr>
                <w:rFonts w:eastAsiaTheme="minorHAnsi"/>
              </w:rPr>
              <w:t xml:space="preserve">mkeaney@calfee.com </w:t>
            </w:r>
          </w:p>
          <w:p w:rsidR="008F7BD2" w:rsidRPr="00570801" w:rsidP="003004B5">
            <w:pPr>
              <w:adjustRightInd w:val="0"/>
              <w:rPr>
                <w:rFonts w:eastAsiaTheme="minorHAnsi"/>
              </w:rPr>
            </w:pPr>
            <w:r w:rsidRPr="00570801">
              <w:rPr>
                <w:rFonts w:eastAsiaTheme="minorHAnsi"/>
              </w:rPr>
              <w:t xml:space="preserve">slesser@calfee.com </w:t>
            </w:r>
          </w:p>
          <w:p w:rsidR="008F7BD2" w:rsidRPr="00570801" w:rsidP="003004B5">
            <w:pPr>
              <w:adjustRightInd w:val="0"/>
              <w:rPr>
                <w:rFonts w:eastAsiaTheme="minorHAnsi"/>
              </w:rPr>
            </w:pPr>
            <w:r w:rsidRPr="00570801">
              <w:rPr>
                <w:rFonts w:eastAsiaTheme="minorHAnsi"/>
              </w:rPr>
              <w:t xml:space="preserve">jlang@calfee.com </w:t>
            </w:r>
          </w:p>
          <w:p w:rsidR="008F7BD2" w:rsidRPr="00570801" w:rsidP="003004B5">
            <w:pPr>
              <w:adjustRightInd w:val="0"/>
              <w:rPr>
                <w:rFonts w:eastAsiaTheme="minorHAnsi"/>
              </w:rPr>
            </w:pPr>
            <w:r w:rsidRPr="00570801">
              <w:rPr>
                <w:rFonts w:eastAsiaTheme="minorHAnsi"/>
              </w:rPr>
              <w:t>elizabeth.watts@duke-energy.com</w:t>
            </w:r>
          </w:p>
          <w:p w:rsidR="008F7BD2" w:rsidRPr="00570801" w:rsidP="003004B5">
            <w:pPr>
              <w:adjustRightInd w:val="0"/>
              <w:rPr>
                <w:rFonts w:eastAsiaTheme="minorHAnsi"/>
              </w:rPr>
            </w:pPr>
            <w:r w:rsidRPr="00570801">
              <w:rPr>
                <w:rFonts w:eastAsiaTheme="minorHAnsi"/>
              </w:rPr>
              <w:t xml:space="preserve">jeanne.kingery@duke-energy.com </w:t>
            </w:r>
          </w:p>
          <w:p w:rsidR="008F7BD2" w:rsidRPr="00570801" w:rsidP="003004B5">
            <w:pPr>
              <w:adjustRightInd w:val="0"/>
              <w:rPr>
                <w:rFonts w:eastAsiaTheme="minorHAnsi"/>
              </w:rPr>
            </w:pPr>
            <w:r w:rsidRPr="00570801">
              <w:rPr>
                <w:rFonts w:eastAsiaTheme="minorHAnsi"/>
              </w:rPr>
              <w:t xml:space="preserve">gthomas@gtpowergroup.com </w:t>
            </w:r>
          </w:p>
          <w:p w:rsidR="008F7BD2" w:rsidRPr="00570801" w:rsidP="003004B5">
            <w:pPr>
              <w:adjustRightInd w:val="0"/>
              <w:rPr>
                <w:rFonts w:eastAsiaTheme="minorHAnsi"/>
              </w:rPr>
            </w:pPr>
            <w:r w:rsidRPr="00570801">
              <w:rPr>
                <w:rFonts w:eastAsiaTheme="minorHAnsi"/>
              </w:rPr>
              <w:t xml:space="preserve">stheodore@epsa.org </w:t>
            </w:r>
          </w:p>
          <w:p w:rsidR="008F7BD2" w:rsidRPr="00570801" w:rsidP="003004B5">
            <w:pPr>
              <w:adjustRightInd w:val="0"/>
              <w:rPr>
                <w:rFonts w:eastAsiaTheme="minorHAnsi"/>
              </w:rPr>
            </w:pPr>
            <w:r w:rsidRPr="00570801">
              <w:rPr>
                <w:rFonts w:eastAsiaTheme="minorHAnsi"/>
              </w:rPr>
              <w:t xml:space="preserve">laurac@chappelleconsulting.net </w:t>
            </w:r>
          </w:p>
          <w:p w:rsidR="008F7BD2" w:rsidRPr="00570801" w:rsidP="003004B5">
            <w:pPr>
              <w:adjustRightInd w:val="0"/>
              <w:rPr>
                <w:rFonts w:eastAsiaTheme="minorHAnsi"/>
              </w:rPr>
            </w:pPr>
            <w:r w:rsidRPr="00570801">
              <w:rPr>
                <w:rFonts w:eastAsiaTheme="minorHAnsi"/>
              </w:rPr>
              <w:t xml:space="preserve">jdoll@djflawfirm.com </w:t>
            </w:r>
          </w:p>
          <w:p w:rsidR="008F7BD2" w:rsidRPr="00570801" w:rsidP="003004B5">
            <w:pPr>
              <w:adjustRightInd w:val="0"/>
              <w:rPr>
                <w:rFonts w:eastAsiaTheme="minorHAnsi"/>
              </w:rPr>
            </w:pPr>
          </w:p>
          <w:p w:rsidR="008F7BD2" w:rsidRPr="00570801" w:rsidP="003004B5">
            <w:pPr>
              <w:adjustRightInd w:val="0"/>
              <w:rPr>
                <w:rFonts w:eastAsiaTheme="minorHAnsi"/>
              </w:rPr>
            </w:pPr>
            <w:r w:rsidRPr="00570801">
              <w:rPr>
                <w:rFonts w:eastAsiaTheme="minorHAnsi"/>
              </w:rPr>
              <w:t>Attorney Examiners:</w:t>
            </w:r>
          </w:p>
          <w:p w:rsidR="008F7BD2" w:rsidRPr="00570801" w:rsidP="003004B5">
            <w:pPr>
              <w:adjustRightInd w:val="0"/>
              <w:rPr>
                <w:rFonts w:eastAsiaTheme="minorHAnsi"/>
              </w:rPr>
            </w:pPr>
            <w:r w:rsidRPr="00570801">
              <w:rPr>
                <w:rFonts w:eastAsiaTheme="minorHAnsi"/>
              </w:rPr>
              <w:t xml:space="preserve">gregory.price@puc.state.oh.us </w:t>
            </w:r>
          </w:p>
          <w:p w:rsidR="008F7BD2" w:rsidRPr="00570801" w:rsidP="003004B5">
            <w:pPr>
              <w:adjustRightInd w:val="0"/>
            </w:pPr>
            <w:r w:rsidRPr="00570801">
              <w:rPr>
                <w:rFonts w:eastAsiaTheme="minorHAnsi"/>
              </w:rPr>
              <w:t xml:space="preserve">patricia.schabo@puc.state.oh.us    </w:t>
            </w:r>
          </w:p>
        </w:tc>
        <w:tc>
          <w:tcPr>
            <w:tcW w:w="4640" w:type="dxa"/>
          </w:tcPr>
          <w:p w:rsidR="008F7BD2" w:rsidRPr="00570801" w:rsidP="003004B5">
            <w:pPr>
              <w:adjustRightInd w:val="0"/>
              <w:rPr>
                <w:rFonts w:eastAsiaTheme="minorHAnsi"/>
              </w:rPr>
            </w:pPr>
            <w:r w:rsidRPr="00570801">
              <w:rPr>
                <w:rFonts w:eastAsiaTheme="minorHAnsi"/>
              </w:rPr>
              <w:t xml:space="preserve">michael.schuler@aes.com </w:t>
            </w:r>
          </w:p>
          <w:p w:rsidR="008F7BD2" w:rsidRPr="00570801" w:rsidP="003004B5">
            <w:pPr>
              <w:adjustRightInd w:val="0"/>
              <w:rPr>
                <w:rFonts w:eastAsiaTheme="minorHAnsi"/>
              </w:rPr>
            </w:pPr>
            <w:r w:rsidRPr="00570801">
              <w:rPr>
                <w:rFonts w:eastAsiaTheme="minorHAnsi"/>
              </w:rPr>
              <w:t xml:space="preserve">djireland@ficlaw.com </w:t>
            </w:r>
          </w:p>
          <w:p w:rsidR="008F7BD2" w:rsidRPr="00570801" w:rsidP="003004B5">
            <w:pPr>
              <w:adjustRightInd w:val="0"/>
              <w:rPr>
                <w:rFonts w:eastAsiaTheme="minorHAnsi"/>
              </w:rPr>
            </w:pPr>
            <w:r w:rsidRPr="00570801">
              <w:rPr>
                <w:rFonts w:eastAsiaTheme="minorHAnsi"/>
              </w:rPr>
              <w:t xml:space="preserve">jsharkey@ficlaw.com </w:t>
            </w:r>
          </w:p>
          <w:p w:rsidR="008F7BD2" w:rsidRPr="00570801" w:rsidP="003004B5">
            <w:pPr>
              <w:adjustRightInd w:val="0"/>
              <w:rPr>
                <w:rFonts w:eastAsiaTheme="minorHAnsi"/>
              </w:rPr>
            </w:pPr>
            <w:r w:rsidRPr="00570801">
              <w:rPr>
                <w:rFonts w:eastAsiaTheme="minorHAnsi"/>
              </w:rPr>
              <w:t xml:space="preserve">mfleisher@elpc.org </w:t>
            </w:r>
          </w:p>
          <w:p w:rsidR="008F7BD2" w:rsidRPr="00570801" w:rsidP="003004B5">
            <w:pPr>
              <w:adjustRightInd w:val="0"/>
              <w:rPr>
                <w:rFonts w:eastAsiaTheme="minorHAnsi"/>
              </w:rPr>
            </w:pPr>
            <w:r w:rsidRPr="00570801">
              <w:rPr>
                <w:rFonts w:eastAsiaTheme="minorHAnsi"/>
              </w:rPr>
              <w:t xml:space="preserve">kfield@elpc.org </w:t>
            </w:r>
          </w:p>
          <w:p w:rsidR="008F7BD2" w:rsidRPr="00570801" w:rsidP="003004B5">
            <w:pPr>
              <w:adjustRightInd w:val="0"/>
              <w:rPr>
                <w:rFonts w:eastAsiaTheme="minorHAnsi"/>
              </w:rPr>
            </w:pPr>
            <w:r w:rsidRPr="00570801">
              <w:rPr>
                <w:rFonts w:eastAsiaTheme="minorHAnsi"/>
              </w:rPr>
              <w:t xml:space="preserve">jeffrey.mayes@monitoringanalytics.com </w:t>
            </w:r>
          </w:p>
          <w:p w:rsidR="008F7BD2" w:rsidRPr="00570801" w:rsidP="003004B5">
            <w:pPr>
              <w:adjustRightInd w:val="0"/>
              <w:rPr>
                <w:rFonts w:eastAsiaTheme="minorHAnsi"/>
              </w:rPr>
            </w:pPr>
            <w:r w:rsidRPr="00570801">
              <w:rPr>
                <w:rFonts w:eastAsiaTheme="minorHAnsi"/>
              </w:rPr>
              <w:t xml:space="preserve">evelyn.robinson@pjm.com </w:t>
            </w:r>
          </w:p>
          <w:p w:rsidR="008F7BD2" w:rsidRPr="00570801" w:rsidP="003004B5">
            <w:pPr>
              <w:adjustRightInd w:val="0"/>
              <w:rPr>
                <w:rFonts w:eastAsiaTheme="minorHAnsi"/>
              </w:rPr>
            </w:pPr>
            <w:r w:rsidRPr="00570801">
              <w:rPr>
                <w:rFonts w:eastAsiaTheme="minorHAnsi"/>
              </w:rPr>
              <w:t xml:space="preserve">schmidt@sppgrp.com </w:t>
            </w:r>
          </w:p>
          <w:p w:rsidR="008F7BD2" w:rsidRPr="00570801" w:rsidP="003004B5">
            <w:pPr>
              <w:adjustRightInd w:val="0"/>
              <w:rPr>
                <w:rFonts w:eastAsiaTheme="minorHAnsi"/>
              </w:rPr>
            </w:pPr>
            <w:r w:rsidRPr="00570801">
              <w:rPr>
                <w:rFonts w:eastAsiaTheme="minorHAnsi"/>
              </w:rPr>
              <w:t xml:space="preserve">rsahli@columbus.rr.com </w:t>
            </w:r>
          </w:p>
          <w:p w:rsidR="008F7BD2" w:rsidRPr="00570801" w:rsidP="003004B5">
            <w:pPr>
              <w:adjustRightInd w:val="0"/>
              <w:rPr>
                <w:rFonts w:eastAsiaTheme="minorHAnsi"/>
              </w:rPr>
            </w:pPr>
            <w:r w:rsidRPr="00570801">
              <w:rPr>
                <w:rFonts w:eastAsiaTheme="minorHAnsi"/>
              </w:rPr>
              <w:t xml:space="preserve">tony.mendoza@sierraclub.org </w:t>
            </w:r>
          </w:p>
          <w:p w:rsidR="008F7BD2" w:rsidRPr="00570801" w:rsidP="003004B5">
            <w:pPr>
              <w:adjustRightInd w:val="0"/>
              <w:rPr>
                <w:rFonts w:eastAsiaTheme="minorHAnsi"/>
              </w:rPr>
            </w:pPr>
            <w:r w:rsidRPr="00570801">
              <w:rPr>
                <w:rFonts w:eastAsiaTheme="minorHAnsi"/>
              </w:rPr>
              <w:t xml:space="preserve">kristin.henry@sierraclub.org </w:t>
            </w:r>
          </w:p>
          <w:p w:rsidR="008F7BD2" w:rsidRPr="00570801" w:rsidP="003004B5">
            <w:pPr>
              <w:adjustRightInd w:val="0"/>
              <w:rPr>
                <w:rFonts w:eastAsiaTheme="minorHAnsi"/>
              </w:rPr>
            </w:pPr>
            <w:r w:rsidRPr="00570801">
              <w:rPr>
                <w:rFonts w:eastAsiaTheme="minorHAnsi"/>
              </w:rPr>
              <w:t xml:space="preserve">mdortch@kravitzllc.com </w:t>
            </w:r>
          </w:p>
          <w:p w:rsidR="008F7BD2" w:rsidRPr="00570801" w:rsidP="003004B5">
            <w:pPr>
              <w:adjustRightInd w:val="0"/>
              <w:rPr>
                <w:rFonts w:eastAsiaTheme="minorHAnsi"/>
              </w:rPr>
            </w:pPr>
            <w:r w:rsidRPr="00570801">
              <w:rPr>
                <w:rFonts w:eastAsiaTheme="minorHAnsi"/>
              </w:rPr>
              <w:t xml:space="preserve">rparsons@kravitzllc.com </w:t>
            </w:r>
          </w:p>
          <w:p w:rsidR="008F7BD2" w:rsidRPr="00570801" w:rsidP="003004B5">
            <w:pPr>
              <w:adjustRightInd w:val="0"/>
              <w:rPr>
                <w:rFonts w:eastAsiaTheme="minorHAnsi"/>
              </w:rPr>
            </w:pPr>
            <w:r w:rsidRPr="00570801">
              <w:rPr>
                <w:rFonts w:eastAsiaTheme="minorHAnsi"/>
              </w:rPr>
              <w:t xml:space="preserve">Bojko@carpenterlipps.com </w:t>
            </w:r>
          </w:p>
          <w:p w:rsidR="008F7BD2" w:rsidRPr="00570801" w:rsidP="003004B5">
            <w:pPr>
              <w:adjustRightInd w:val="0"/>
              <w:rPr>
                <w:rFonts w:eastAsiaTheme="minorHAnsi"/>
              </w:rPr>
            </w:pPr>
            <w:r w:rsidRPr="00570801">
              <w:rPr>
                <w:rFonts w:eastAsiaTheme="minorHAnsi"/>
              </w:rPr>
              <w:t xml:space="preserve">perko@carpenterlipps.com </w:t>
            </w:r>
          </w:p>
          <w:p w:rsidR="008F7BD2" w:rsidRPr="00570801" w:rsidP="003004B5">
            <w:pPr>
              <w:adjustRightInd w:val="0"/>
              <w:rPr>
                <w:rFonts w:eastAsiaTheme="minorHAnsi"/>
              </w:rPr>
            </w:pPr>
            <w:r w:rsidRPr="00570801">
              <w:rPr>
                <w:rFonts w:eastAsiaTheme="minorHAnsi"/>
              </w:rPr>
              <w:t>Ghiloni@carpenterlipps.com</w:t>
            </w:r>
          </w:p>
          <w:p w:rsidR="008F7BD2" w:rsidRPr="00570801" w:rsidP="003004B5">
            <w:pPr>
              <w:adjustRightInd w:val="0"/>
              <w:rPr>
                <w:rFonts w:eastAsiaTheme="minorHAnsi"/>
              </w:rPr>
            </w:pPr>
            <w:r w:rsidRPr="00570801">
              <w:rPr>
                <w:rFonts w:eastAsiaTheme="minorHAnsi"/>
              </w:rPr>
              <w:t xml:space="preserve">paul@carpenterlipps.com </w:t>
            </w:r>
          </w:p>
          <w:p w:rsidR="008F7BD2" w:rsidRPr="00570801" w:rsidP="003004B5">
            <w:pPr>
              <w:adjustRightInd w:val="0"/>
              <w:rPr>
                <w:rFonts w:eastAsiaTheme="minorHAnsi"/>
              </w:rPr>
            </w:pPr>
            <w:r w:rsidRPr="00570801">
              <w:rPr>
                <w:rFonts w:eastAsiaTheme="minorHAnsi"/>
              </w:rPr>
              <w:t xml:space="preserve">sechler@carpenterlipps.com </w:t>
            </w:r>
          </w:p>
          <w:p w:rsidR="008F7BD2" w:rsidRPr="00570801" w:rsidP="003004B5">
            <w:pPr>
              <w:adjustRightInd w:val="0"/>
              <w:rPr>
                <w:rFonts w:eastAsiaTheme="minorHAnsi"/>
              </w:rPr>
            </w:pPr>
            <w:r w:rsidRPr="00570801">
              <w:rPr>
                <w:rFonts w:eastAsiaTheme="minorHAnsi"/>
              </w:rPr>
              <w:t xml:space="preserve">mwarnock@bricker.com </w:t>
            </w:r>
          </w:p>
          <w:p w:rsidR="008F7BD2" w:rsidRPr="00570801" w:rsidP="003004B5">
            <w:pPr>
              <w:adjustRightInd w:val="0"/>
              <w:rPr>
                <w:rFonts w:eastAsiaTheme="minorHAnsi"/>
              </w:rPr>
            </w:pPr>
            <w:r w:rsidRPr="00570801">
              <w:t xml:space="preserve">dparram@bricker.com </w:t>
            </w:r>
          </w:p>
          <w:p w:rsidR="008F7BD2" w:rsidRPr="00570801" w:rsidP="003004B5">
            <w:pPr>
              <w:adjustRightInd w:val="0"/>
              <w:rPr>
                <w:rFonts w:eastAsiaTheme="minorHAnsi"/>
              </w:rPr>
            </w:pPr>
            <w:r w:rsidRPr="00570801">
              <w:rPr>
                <w:rFonts w:eastAsiaTheme="minorHAnsi"/>
              </w:rPr>
              <w:t xml:space="preserve">dborchers@bricker.com </w:t>
            </w:r>
          </w:p>
          <w:p w:rsidR="008F7BD2" w:rsidRPr="00570801" w:rsidP="003004B5">
            <w:pPr>
              <w:adjustRightInd w:val="0"/>
              <w:rPr>
                <w:rFonts w:eastAsiaTheme="minorHAnsi"/>
              </w:rPr>
            </w:pPr>
            <w:r w:rsidRPr="00570801">
              <w:rPr>
                <w:rFonts w:eastAsiaTheme="minorHAnsi"/>
              </w:rPr>
              <w:t xml:space="preserve">lhawrot@spilmanlaw.com </w:t>
            </w:r>
          </w:p>
          <w:p w:rsidR="008F7BD2" w:rsidRPr="00570801" w:rsidP="003004B5">
            <w:pPr>
              <w:adjustRightInd w:val="0"/>
              <w:rPr>
                <w:rFonts w:eastAsiaTheme="minorHAnsi"/>
              </w:rPr>
            </w:pPr>
            <w:r w:rsidRPr="00570801">
              <w:rPr>
                <w:rFonts w:eastAsiaTheme="minorHAnsi"/>
              </w:rPr>
              <w:t xml:space="preserve">dwilliamson@spilmanlaw.com </w:t>
            </w:r>
          </w:p>
          <w:p w:rsidR="008F7BD2" w:rsidRPr="00570801" w:rsidP="003004B5">
            <w:pPr>
              <w:adjustRightInd w:val="0"/>
              <w:rPr>
                <w:rFonts w:eastAsiaTheme="minorHAnsi"/>
              </w:rPr>
            </w:pPr>
            <w:r w:rsidRPr="00570801">
              <w:rPr>
                <w:rFonts w:eastAsiaTheme="minorHAnsi"/>
              </w:rPr>
              <w:t xml:space="preserve">charris@spilmanlaw.com </w:t>
            </w:r>
          </w:p>
          <w:p w:rsidR="008F7BD2" w:rsidRPr="00570801" w:rsidP="003004B5">
            <w:pPr>
              <w:adjustRightInd w:val="0"/>
              <w:rPr>
                <w:rFonts w:eastAsiaTheme="minorHAnsi"/>
              </w:rPr>
            </w:pPr>
            <w:r w:rsidRPr="00570801">
              <w:rPr>
                <w:rFonts w:eastAsiaTheme="minorHAnsi"/>
              </w:rPr>
              <w:t xml:space="preserve">ejacobs@ablelaw.org   </w:t>
            </w:r>
          </w:p>
          <w:p w:rsidR="008F7BD2" w:rsidRPr="00570801" w:rsidP="003004B5">
            <w:pPr>
              <w:adjustRightInd w:val="0"/>
              <w:rPr>
                <w:rFonts w:eastAsiaTheme="minorHAnsi"/>
              </w:rPr>
            </w:pPr>
            <w:r w:rsidRPr="00570801">
              <w:rPr>
                <w:rFonts w:eastAsiaTheme="minorHAnsi"/>
              </w:rPr>
              <w:t xml:space="preserve">rseiler@dickinsonwright.com </w:t>
            </w:r>
          </w:p>
          <w:p w:rsidR="008F7BD2" w:rsidRPr="00570801" w:rsidP="003004B5">
            <w:pPr>
              <w:adjustRightInd w:val="0"/>
              <w:rPr>
                <w:rFonts w:eastAsiaTheme="minorHAnsi"/>
              </w:rPr>
            </w:pPr>
            <w:r w:rsidRPr="00570801">
              <w:rPr>
                <w:rFonts w:eastAsiaTheme="minorHAnsi"/>
              </w:rPr>
              <w:t xml:space="preserve">cpirik@dickinsonwright.com </w:t>
            </w:r>
          </w:p>
          <w:p w:rsidR="008F7BD2" w:rsidRPr="00570801" w:rsidP="003004B5">
            <w:pPr>
              <w:adjustRightInd w:val="0"/>
              <w:rPr>
                <w:rStyle w:val="Hyperlink"/>
                <w:rFonts w:eastAsiaTheme="minorHAnsi"/>
                <w:color w:val="auto"/>
                <w:u w:val="none"/>
              </w:rPr>
            </w:pPr>
            <w:r w:rsidRPr="00570801">
              <w:rPr>
                <w:rFonts w:eastAsiaTheme="minorHAnsi"/>
              </w:rPr>
              <w:t>wvorys@dickinsonwright.com</w:t>
            </w:r>
          </w:p>
          <w:p w:rsidR="008F7BD2" w:rsidRPr="00570801" w:rsidP="003004B5">
            <w:pPr>
              <w:adjustRightInd w:val="0"/>
              <w:rPr>
                <w:rFonts w:eastAsiaTheme="minorHAnsi"/>
              </w:rPr>
            </w:pPr>
            <w:r w:rsidRPr="00570801">
              <w:rPr>
                <w:rFonts w:eastAsiaTheme="minorHAnsi"/>
              </w:rPr>
              <w:t xml:space="preserve">todonnell@dickinsonwright.com </w:t>
            </w:r>
          </w:p>
          <w:p w:rsidR="008F7BD2" w:rsidRPr="00570801" w:rsidP="003004B5">
            <w:pPr>
              <w:adjustRightInd w:val="0"/>
              <w:rPr>
                <w:rFonts w:eastAsiaTheme="minorHAnsi"/>
              </w:rPr>
            </w:pPr>
          </w:p>
        </w:tc>
      </w:tr>
    </w:tbl>
    <w:p w:rsidR="008F7BD2" w:rsidRPr="00386D56" w:rsidP="00386D56">
      <w:pPr>
        <w:jc w:val="center"/>
        <w:rPr>
          <w:b/>
          <w:bCs/>
          <w:u w:val="single"/>
        </w:rPr>
      </w:pPr>
    </w:p>
    <w:p w:rsidR="00C46656">
      <w:pPr>
        <w:pStyle w:val="BodyText"/>
        <w:spacing w:before="1"/>
        <w:rPr>
          <w:b/>
          <w:sz w:val="13"/>
        </w:rPr>
      </w:pPr>
    </w:p>
    <w:p w:rsidR="00C46656" w:rsidP="00CA6026">
      <w:pPr>
        <w:pStyle w:val="BodyText"/>
        <w:rPr>
          <w:sz w:val="20"/>
        </w:rPr>
      </w:pPr>
    </w:p>
    <w:sectPr w:rsidSect="003F1297">
      <w:footerReference w:type="default" r:id="rId8"/>
      <w:pgSz w:w="12240" w:h="15840"/>
      <w:pgMar w:top="1440" w:right="1800" w:bottom="1440" w:left="180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34977779"/>
      <w:docPartObj>
        <w:docPartGallery w:val="Page Numbers (Bottom of Page)"/>
        <w:docPartUnique/>
      </w:docPartObj>
    </w:sdtPr>
    <w:sdtEndPr>
      <w:rPr>
        <w:noProof/>
      </w:rPr>
    </w:sdtEndPr>
    <w:sdtContent>
      <w:p w:rsidR="005708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3640D">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0801">
    <w:pPr>
      <w:pStyle w:val="Footer"/>
      <w:jc w:val="center"/>
    </w:pPr>
  </w:p>
  <w:p w:rsidR="00570801">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33998784"/>
      <w:docPartObj>
        <w:docPartGallery w:val="Page Numbers (Bottom of Page)"/>
        <w:docPartUnique/>
      </w:docPartObj>
    </w:sdtPr>
    <w:sdtEndPr>
      <w:rPr>
        <w:noProof/>
      </w:rPr>
    </w:sdtEndPr>
    <w:sdtContent>
      <w:p w:rsidR="00570801">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570801">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640D">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2E18">
      <w:r>
        <w:separator/>
      </w:r>
    </w:p>
  </w:footnote>
  <w:footnote w:type="continuationSeparator" w:id="1">
    <w:p w:rsidR="00E72E18">
      <w:r>
        <w:continuationSeparator/>
      </w:r>
    </w:p>
  </w:footnote>
  <w:footnote w:id="2">
    <w:p w:rsidR="007A098A" w:rsidP="00D632BB">
      <w:pPr>
        <w:pStyle w:val="FootnoteText"/>
        <w:spacing w:after="120"/>
      </w:pPr>
      <w:r>
        <w:rPr>
          <w:rStyle w:val="FootnoteReference"/>
        </w:rPr>
        <w:footnoteRef/>
      </w:r>
      <w:r>
        <w:t xml:space="preserve"> See R.C. 4903.10 and O.A.C. 4901-1-35.</w:t>
      </w:r>
    </w:p>
  </w:footnote>
  <w:footnote w:id="3">
    <w:p w:rsidR="00D00BF5" w:rsidRPr="00DF7141" w:rsidP="00570801">
      <w:pPr>
        <w:pStyle w:val="FootnoteText"/>
        <w:tabs>
          <w:tab w:val="center" w:pos="4320"/>
        </w:tabs>
        <w:spacing w:after="120"/>
      </w:pPr>
      <w:r>
        <w:rPr>
          <w:rStyle w:val="FootnoteReference"/>
        </w:rPr>
        <w:footnoteRef/>
      </w:r>
      <w:r>
        <w:t xml:space="preserve"> </w:t>
      </w:r>
      <w:r>
        <w:rPr>
          <w:i/>
        </w:rPr>
        <w:t xml:space="preserve">See, e.g., </w:t>
      </w:r>
      <w:r>
        <w:t>OCC’s Initial Brief at 56-69.</w:t>
      </w:r>
      <w:r>
        <w:tab/>
      </w:r>
    </w:p>
  </w:footnote>
  <w:footnote w:id="4">
    <w:p w:rsidR="008E7A35" w:rsidRPr="008E7A35" w:rsidP="00D632BB">
      <w:pPr>
        <w:pStyle w:val="FootnoteText"/>
        <w:spacing w:after="120"/>
      </w:pPr>
      <w:r>
        <w:rPr>
          <w:rStyle w:val="FootnoteReference"/>
        </w:rPr>
        <w:footnoteRef/>
      </w:r>
      <w:r>
        <w:t xml:space="preserve"> </w:t>
      </w:r>
      <w:r>
        <w:rPr>
          <w:i/>
        </w:rPr>
        <w:t xml:space="preserve">See, e.g., </w:t>
      </w:r>
      <w:r>
        <w:t>Third Entry at 35.</w:t>
      </w:r>
    </w:p>
  </w:footnote>
  <w:footnote w:id="5">
    <w:p w:rsidR="008E7A35" w:rsidP="00D632BB">
      <w:pPr>
        <w:pStyle w:val="FootnoteText"/>
        <w:spacing w:after="120"/>
      </w:pPr>
      <w:r>
        <w:rPr>
          <w:rStyle w:val="FootnoteReference"/>
        </w:rPr>
        <w:footnoteRef/>
      </w:r>
      <w:r>
        <w:t xml:space="preserve"> </w:t>
      </w:r>
      <w:r>
        <w:rPr>
          <w:i/>
        </w:rPr>
        <w:t>Id.</w:t>
      </w:r>
      <w:r>
        <w:t xml:space="preserve"> at 37.</w:t>
      </w:r>
    </w:p>
  </w:footnote>
  <w:footnote w:id="6">
    <w:p w:rsidR="00BC0705" w:rsidP="00D632BB">
      <w:pPr>
        <w:pStyle w:val="FootnoteText"/>
        <w:spacing w:after="120"/>
      </w:pPr>
      <w:r>
        <w:rPr>
          <w:rStyle w:val="FootnoteReference"/>
        </w:rPr>
        <w:footnoteRef/>
      </w:r>
      <w:r>
        <w:t xml:space="preserve"> </w:t>
      </w:r>
      <w:r>
        <w:rPr>
          <w:i/>
        </w:rPr>
        <w:t>Id.</w:t>
      </w:r>
      <w:r>
        <w:t xml:space="preserve"> at 37.</w:t>
      </w:r>
    </w:p>
  </w:footnote>
  <w:footnote w:id="7">
    <w:p w:rsidR="008E1EEB" w:rsidRPr="008E1EEB" w:rsidP="00D632BB">
      <w:pPr>
        <w:pStyle w:val="FootnoteText"/>
        <w:spacing w:after="120"/>
      </w:pPr>
      <w:r>
        <w:rPr>
          <w:rStyle w:val="FootnoteReference"/>
        </w:rPr>
        <w:footnoteRef/>
      </w:r>
      <w:r>
        <w:t xml:space="preserve"> </w:t>
      </w:r>
      <w:r>
        <w:rPr>
          <w:i/>
        </w:rPr>
        <w:t xml:space="preserve">See </w:t>
      </w:r>
      <w:r>
        <w:t>R.C. 4905.31 (italics added).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EB3032"/>
    <w:multiLevelType w:val="hybridMultilevel"/>
    <w:tmpl w:val="5EBA8B38"/>
    <w:lvl w:ilvl="0">
      <w:start w:val="1"/>
      <w:numFmt w:val="upperRoman"/>
      <w:lvlText w:val="%1."/>
      <w:lvlJc w:val="left"/>
      <w:pPr>
        <w:ind w:left="820" w:hanging="720"/>
      </w:pPr>
      <w:rPr>
        <w:rFonts w:ascii="Times New Roman" w:eastAsia="Times New Roman" w:hAnsi="Times New Roman" w:cs="Times New Roman" w:hint="default"/>
        <w:b/>
        <w:bCs/>
        <w:w w:val="99"/>
        <w:sz w:val="24"/>
        <w:szCs w:val="24"/>
      </w:rPr>
    </w:lvl>
    <w:lvl w:ilvl="1">
      <w:start w:val="0"/>
      <w:numFmt w:val="bullet"/>
      <w:lvlText w:val="•"/>
      <w:lvlJc w:val="left"/>
      <w:pPr>
        <w:ind w:left="1624" w:hanging="720"/>
      </w:pPr>
      <w:rPr>
        <w:rFonts w:hint="default"/>
      </w:rPr>
    </w:lvl>
    <w:lvl w:ilvl="2">
      <w:start w:val="0"/>
      <w:numFmt w:val="bullet"/>
      <w:lvlText w:val="•"/>
      <w:lvlJc w:val="left"/>
      <w:pPr>
        <w:ind w:left="2428" w:hanging="720"/>
      </w:pPr>
      <w:rPr>
        <w:rFonts w:hint="default"/>
      </w:rPr>
    </w:lvl>
    <w:lvl w:ilvl="3">
      <w:start w:val="0"/>
      <w:numFmt w:val="bullet"/>
      <w:lvlText w:val="•"/>
      <w:lvlJc w:val="left"/>
      <w:pPr>
        <w:ind w:left="3232" w:hanging="720"/>
      </w:pPr>
      <w:rPr>
        <w:rFonts w:hint="default"/>
      </w:rPr>
    </w:lvl>
    <w:lvl w:ilvl="4">
      <w:start w:val="0"/>
      <w:numFmt w:val="bullet"/>
      <w:lvlText w:val="•"/>
      <w:lvlJc w:val="left"/>
      <w:pPr>
        <w:ind w:left="4036" w:hanging="720"/>
      </w:pPr>
      <w:rPr>
        <w:rFonts w:hint="default"/>
      </w:rPr>
    </w:lvl>
    <w:lvl w:ilvl="5">
      <w:start w:val="0"/>
      <w:numFmt w:val="bullet"/>
      <w:lvlText w:val="•"/>
      <w:lvlJc w:val="left"/>
      <w:pPr>
        <w:ind w:left="4840" w:hanging="720"/>
      </w:pPr>
      <w:rPr>
        <w:rFonts w:hint="default"/>
      </w:rPr>
    </w:lvl>
    <w:lvl w:ilvl="6">
      <w:start w:val="0"/>
      <w:numFmt w:val="bullet"/>
      <w:lvlText w:val="•"/>
      <w:lvlJc w:val="left"/>
      <w:pPr>
        <w:ind w:left="5644" w:hanging="720"/>
      </w:pPr>
      <w:rPr>
        <w:rFonts w:hint="default"/>
      </w:rPr>
    </w:lvl>
    <w:lvl w:ilvl="7">
      <w:start w:val="0"/>
      <w:numFmt w:val="bullet"/>
      <w:lvlText w:val="•"/>
      <w:lvlJc w:val="left"/>
      <w:pPr>
        <w:ind w:left="6448" w:hanging="720"/>
      </w:pPr>
      <w:rPr>
        <w:rFonts w:hint="default"/>
      </w:rPr>
    </w:lvl>
    <w:lvl w:ilvl="8">
      <w:start w:val="0"/>
      <w:numFmt w:val="bullet"/>
      <w:lvlText w:val="•"/>
      <w:lvlJc w:val="left"/>
      <w:pPr>
        <w:ind w:left="7252" w:hanging="720"/>
      </w:pPr>
      <w:rPr>
        <w:rFonts w:hint="default"/>
      </w:rPr>
    </w:lvl>
  </w:abstractNum>
  <w:abstractNum w:abstractNumId="1">
    <w:nsid w:val="16E1687F"/>
    <w:multiLevelType w:val="hybridMultilevel"/>
    <w:tmpl w:val="E6A04DC4"/>
    <w:lvl w:ilvl="0">
      <w:start w:val="1"/>
      <w:numFmt w:val="upperRoman"/>
      <w:pStyle w:val="Heading2"/>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C975ACF"/>
    <w:multiLevelType w:val="hybridMultilevel"/>
    <w:tmpl w:val="2AB0EB8C"/>
    <w:lvl w:ilvl="0">
      <w:start w:val="1"/>
      <w:numFmt w:val="upperRoman"/>
      <w:lvlText w:val="%1."/>
      <w:lvlJc w:val="left"/>
      <w:pPr>
        <w:ind w:left="879" w:hanging="720"/>
        <w:jc w:val="right"/>
      </w:pPr>
      <w:rPr>
        <w:rFonts w:ascii="Times New Roman" w:eastAsia="Times New Roman" w:hAnsi="Times New Roman" w:cs="Times New Roman" w:hint="default"/>
        <w:b/>
        <w:bCs/>
        <w:w w:val="99"/>
        <w:sz w:val="24"/>
        <w:szCs w:val="24"/>
      </w:rPr>
    </w:lvl>
    <w:lvl w:ilvl="1">
      <w:start w:val="0"/>
      <w:numFmt w:val="bullet"/>
      <w:lvlText w:val="•"/>
      <w:lvlJc w:val="left"/>
      <w:pPr>
        <w:ind w:left="880" w:hanging="720"/>
      </w:pPr>
      <w:rPr>
        <w:rFonts w:hint="default"/>
      </w:rPr>
    </w:lvl>
    <w:lvl w:ilvl="2">
      <w:start w:val="0"/>
      <w:numFmt w:val="bullet"/>
      <w:lvlText w:val="•"/>
      <w:lvlJc w:val="left"/>
      <w:pPr>
        <w:ind w:left="1762" w:hanging="720"/>
      </w:pPr>
      <w:rPr>
        <w:rFonts w:hint="default"/>
      </w:rPr>
    </w:lvl>
    <w:lvl w:ilvl="3">
      <w:start w:val="0"/>
      <w:numFmt w:val="bullet"/>
      <w:lvlText w:val="•"/>
      <w:lvlJc w:val="left"/>
      <w:pPr>
        <w:ind w:left="2644" w:hanging="720"/>
      </w:pPr>
      <w:rPr>
        <w:rFonts w:hint="default"/>
      </w:rPr>
    </w:lvl>
    <w:lvl w:ilvl="4">
      <w:start w:val="0"/>
      <w:numFmt w:val="bullet"/>
      <w:lvlText w:val="•"/>
      <w:lvlJc w:val="left"/>
      <w:pPr>
        <w:ind w:left="3526" w:hanging="720"/>
      </w:pPr>
      <w:rPr>
        <w:rFonts w:hint="default"/>
      </w:rPr>
    </w:lvl>
    <w:lvl w:ilvl="5">
      <w:start w:val="0"/>
      <w:numFmt w:val="bullet"/>
      <w:lvlText w:val="•"/>
      <w:lvlJc w:val="left"/>
      <w:pPr>
        <w:ind w:left="4408" w:hanging="720"/>
      </w:pPr>
      <w:rPr>
        <w:rFonts w:hint="default"/>
      </w:rPr>
    </w:lvl>
    <w:lvl w:ilvl="6">
      <w:start w:val="0"/>
      <w:numFmt w:val="bullet"/>
      <w:lvlText w:val="•"/>
      <w:lvlJc w:val="left"/>
      <w:pPr>
        <w:ind w:left="5291" w:hanging="720"/>
      </w:pPr>
      <w:rPr>
        <w:rFonts w:hint="default"/>
      </w:rPr>
    </w:lvl>
    <w:lvl w:ilvl="7">
      <w:start w:val="0"/>
      <w:numFmt w:val="bullet"/>
      <w:lvlText w:val="•"/>
      <w:lvlJc w:val="left"/>
      <w:pPr>
        <w:ind w:left="6173" w:hanging="720"/>
      </w:pPr>
      <w:rPr>
        <w:rFonts w:hint="default"/>
      </w:rPr>
    </w:lvl>
    <w:lvl w:ilvl="8">
      <w:start w:val="0"/>
      <w:numFmt w:val="bullet"/>
      <w:lvlText w:val="•"/>
      <w:lvlJc w:val="left"/>
      <w:pPr>
        <w:ind w:left="7055" w:hanging="720"/>
      </w:pPr>
      <w:rPr>
        <w:rFonts w:hint="default"/>
      </w:rPr>
    </w:lvl>
  </w:abstractNum>
  <w:abstractNum w:abstractNumId="3">
    <w:nsid w:val="464505B4"/>
    <w:multiLevelType w:val="hybridMultilevel"/>
    <w:tmpl w:val="F732E5CA"/>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B40088C"/>
    <w:multiLevelType w:val="hybridMultilevel"/>
    <w:tmpl w:val="C3EE391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
    <w:lvlOverride w:ilvl="0">
      <w:startOverride w:val="1"/>
    </w:lvlOverride>
  </w:num>
  <w:num w:numId="5">
    <w:abstractNumId w:val="3"/>
  </w:num>
  <w:num w:numId="6">
    <w:abstractNumId w:val="3"/>
    <w:lvlOverride w:ilvl="0">
      <w:startOverride w:val="1"/>
    </w:lvlOverride>
  </w:num>
  <w:num w:numId="7">
    <w:abstractNumId w:val="3"/>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drawingGridHorizontalSpacing w:val="110"/>
  <w:displayHorizontalDrawingGridEvery w:val="2"/>
  <w:characterSpacingControl w:val="doNotCompress"/>
  <w:footnotePr>
    <w:footnote w:id="0"/>
    <w:footnote w:id="1"/>
  </w:foot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6870"/>
    <w:rPr>
      <w:rFonts w:ascii="Times New Roman" w:eastAsia="Times New Roman" w:hAnsi="Times New Roman" w:cs="Times New Roman"/>
    </w:rPr>
  </w:style>
  <w:style w:type="paragraph" w:styleId="Heading1">
    <w:name w:val="heading 1"/>
    <w:basedOn w:val="Normal"/>
    <w:autoRedefine/>
    <w:uiPriority w:val="1"/>
    <w:qFormat/>
    <w:rsid w:val="00E562F9"/>
    <w:pPr>
      <w:numPr>
        <w:numId w:val="5"/>
      </w:numPr>
      <w:spacing w:after="240"/>
      <w:ind w:left="0" w:firstLine="0"/>
      <w:outlineLvl w:val="0"/>
    </w:pPr>
    <w:rPr>
      <w:rFonts w:ascii="Times New Roman Bold" w:hAnsi="Times New Roman Bold"/>
      <w:b/>
      <w:bCs/>
      <w:caps/>
      <w:sz w:val="24"/>
      <w:szCs w:val="24"/>
    </w:rPr>
  </w:style>
  <w:style w:type="paragraph" w:styleId="Heading2">
    <w:name w:val="heading 2"/>
    <w:basedOn w:val="Normal"/>
    <w:next w:val="Normal"/>
    <w:link w:val="Heading2Char"/>
    <w:autoRedefine/>
    <w:uiPriority w:val="9"/>
    <w:unhideWhenUsed/>
    <w:qFormat/>
    <w:rsid w:val="00256870"/>
    <w:pPr>
      <w:keepNext/>
      <w:keepLines/>
      <w:numPr>
        <w:numId w:val="3"/>
      </w:numPr>
      <w:tabs>
        <w:tab w:val="decimal" w:leader="dot" w:pos="8640"/>
      </w:tabs>
      <w:spacing w:after="240"/>
      <w:ind w:left="720" w:right="720"/>
      <w:outlineLvl w:val="1"/>
    </w:pPr>
    <w:rPr>
      <w:b/>
      <w:bCs/>
      <w:sz w:val="24"/>
      <w:szCs w:val="24"/>
    </w:rPr>
  </w:style>
  <w:style w:type="paragraph" w:styleId="Heading3">
    <w:name w:val="heading 3"/>
    <w:basedOn w:val="Normal"/>
    <w:next w:val="Normal"/>
    <w:link w:val="Heading3Char"/>
    <w:autoRedefine/>
    <w:uiPriority w:val="9"/>
    <w:unhideWhenUsed/>
    <w:qFormat/>
    <w:rsid w:val="001D3636"/>
    <w:pPr>
      <w:keepNext/>
      <w:keepLines/>
      <w:tabs>
        <w:tab w:val="decimal" w:leader="dot" w:pos="8640"/>
      </w:tabs>
      <w:spacing w:after="240"/>
      <w:ind w:left="720" w:right="720" w:hanging="720"/>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9"/>
      <w:ind w:left="820" w:hanging="720"/>
    </w:pPr>
    <w:rPr>
      <w:b/>
      <w:bCs/>
      <w:sz w:val="24"/>
      <w:szCs w:val="24"/>
    </w:rPr>
  </w:style>
  <w:style w:type="paragraph" w:styleId="TOC2">
    <w:name w:val="toc 2"/>
    <w:basedOn w:val="Normal"/>
    <w:uiPriority w:val="1"/>
    <w:qFormat/>
    <w:pPr>
      <w:spacing w:before="239"/>
      <w:ind w:left="819"/>
    </w:pPr>
    <w:rPr>
      <w:b/>
      <w:bCs/>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39"/>
      <w:ind w:left="820"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803BC"/>
    <w:rPr>
      <w:sz w:val="16"/>
      <w:szCs w:val="16"/>
    </w:rPr>
  </w:style>
  <w:style w:type="paragraph" w:styleId="CommentText">
    <w:name w:val="annotation text"/>
    <w:basedOn w:val="Normal"/>
    <w:link w:val="CommentTextChar"/>
    <w:semiHidden/>
    <w:unhideWhenUsed/>
    <w:rsid w:val="006803BC"/>
    <w:rPr>
      <w:sz w:val="20"/>
      <w:szCs w:val="20"/>
    </w:rPr>
  </w:style>
  <w:style w:type="character" w:customStyle="1" w:styleId="CommentTextChar">
    <w:name w:val="Comment Text Char"/>
    <w:basedOn w:val="DefaultParagraphFont"/>
    <w:link w:val="CommentText"/>
    <w:semiHidden/>
    <w:rsid w:val="006803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03BC"/>
    <w:rPr>
      <w:b/>
      <w:bCs/>
    </w:rPr>
  </w:style>
  <w:style w:type="character" w:customStyle="1" w:styleId="CommentSubjectChar">
    <w:name w:val="Comment Subject Char"/>
    <w:basedOn w:val="CommentTextChar"/>
    <w:link w:val="CommentSubject"/>
    <w:uiPriority w:val="99"/>
    <w:semiHidden/>
    <w:rsid w:val="006803B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803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3BC"/>
    <w:rPr>
      <w:rFonts w:ascii="Segoe UI" w:eastAsia="Times New Roman" w:hAnsi="Segoe UI" w:cs="Segoe UI"/>
      <w:sz w:val="18"/>
      <w:szCs w:val="18"/>
    </w:rPr>
  </w:style>
  <w:style w:type="paragraph" w:styleId="Header">
    <w:name w:val="header"/>
    <w:basedOn w:val="Normal"/>
    <w:link w:val="HeaderChar"/>
    <w:uiPriority w:val="99"/>
    <w:unhideWhenUsed/>
    <w:rsid w:val="00BF3007"/>
    <w:pPr>
      <w:tabs>
        <w:tab w:val="center" w:pos="4680"/>
        <w:tab w:val="right" w:pos="9360"/>
      </w:tabs>
    </w:pPr>
  </w:style>
  <w:style w:type="character" w:customStyle="1" w:styleId="HeaderChar">
    <w:name w:val="Header Char"/>
    <w:basedOn w:val="DefaultParagraphFont"/>
    <w:link w:val="Header"/>
    <w:uiPriority w:val="99"/>
    <w:rsid w:val="00BF3007"/>
    <w:rPr>
      <w:rFonts w:ascii="Times New Roman" w:eastAsia="Times New Roman" w:hAnsi="Times New Roman" w:cs="Times New Roman"/>
    </w:rPr>
  </w:style>
  <w:style w:type="paragraph" w:styleId="Footer">
    <w:name w:val="footer"/>
    <w:basedOn w:val="Normal"/>
    <w:link w:val="FooterChar"/>
    <w:uiPriority w:val="99"/>
    <w:unhideWhenUsed/>
    <w:rsid w:val="00BF3007"/>
    <w:pPr>
      <w:tabs>
        <w:tab w:val="center" w:pos="4680"/>
        <w:tab w:val="right" w:pos="9360"/>
      </w:tabs>
    </w:pPr>
  </w:style>
  <w:style w:type="character" w:customStyle="1" w:styleId="FooterChar">
    <w:name w:val="Footer Char"/>
    <w:basedOn w:val="DefaultParagraphFont"/>
    <w:link w:val="Footer"/>
    <w:uiPriority w:val="99"/>
    <w:rsid w:val="00BF3007"/>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0525D4"/>
    <w:rPr>
      <w:sz w:val="20"/>
      <w:szCs w:val="20"/>
    </w:rPr>
  </w:style>
  <w:style w:type="character" w:customStyle="1" w:styleId="FootnoteTextChar">
    <w:name w:val="Footnote Text Char"/>
    <w:basedOn w:val="DefaultParagraphFont"/>
    <w:link w:val="FootnoteText"/>
    <w:uiPriority w:val="99"/>
    <w:semiHidden/>
    <w:rsid w:val="000525D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525D4"/>
    <w:rPr>
      <w:vertAlign w:val="superscript"/>
    </w:rPr>
  </w:style>
  <w:style w:type="character" w:customStyle="1" w:styleId="Heading2Char">
    <w:name w:val="Heading 2 Char"/>
    <w:basedOn w:val="DefaultParagraphFont"/>
    <w:link w:val="Heading2"/>
    <w:uiPriority w:val="9"/>
    <w:rsid w:val="0025687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1D3636"/>
    <w:rPr>
      <w:rFonts w:ascii="Times New Roman" w:eastAsia="Times New Roman" w:hAnsi="Times New Roman" w:cs="Times New Roman"/>
      <w:b/>
      <w:sz w:val="24"/>
      <w:szCs w:val="24"/>
    </w:rPr>
  </w:style>
  <w:style w:type="paragraph" w:styleId="NoSpacing">
    <w:name w:val="No Spacing"/>
    <w:uiPriority w:val="1"/>
    <w:qFormat/>
    <w:rsid w:val="00386D56"/>
    <w:rPr>
      <w:rFonts w:ascii="Times New Roman" w:eastAsia="Times New Roman" w:hAnsi="Times New Roman" w:cs="Times New Roman"/>
    </w:rPr>
  </w:style>
  <w:style w:type="table" w:styleId="TableGrid">
    <w:name w:val="Table Grid"/>
    <w:basedOn w:val="TableNormal"/>
    <w:rsid w:val="00386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D56"/>
    <w:rPr>
      <w:color w:val="0000FF" w:themeColor="hyperlink"/>
      <w:u w:val="single"/>
    </w:rPr>
  </w:style>
  <w:style w:type="character" w:customStyle="1" w:styleId="UnresolvedMention1">
    <w:name w:val="Unresolved Mention1"/>
    <w:basedOn w:val="DefaultParagraphFont"/>
    <w:uiPriority w:val="99"/>
    <w:semiHidden/>
    <w:unhideWhenUsed/>
    <w:rsid w:val="005A401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footer" Target="footer4.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1969</Words>
  <Characters>11227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2018-10-19T20:42:45Z</dcterms:created>
  <dcterms:modified xsi:type="dcterms:W3CDTF">2018-10-19T20:42:45Z</dcterms:modified>
</cp:coreProperties>
</file>