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0A" w:rsidRPr="00213661" w:rsidRDefault="003D130A" w:rsidP="003D130A">
      <w:pPr>
        <w:pStyle w:val="HTMLPreformatted"/>
        <w:jc w:val="center"/>
        <w:rPr>
          <w:rFonts w:ascii="Times New Roman" w:hAnsi="Times New Roman" w:cs="Times New Roman"/>
          <w:b/>
          <w:bCs/>
          <w:sz w:val="24"/>
          <w:szCs w:val="24"/>
        </w:rPr>
      </w:pPr>
      <w:bookmarkStart w:id="0" w:name="_GoBack"/>
      <w:bookmarkEnd w:id="0"/>
      <w:r w:rsidRPr="00213661">
        <w:rPr>
          <w:rFonts w:ascii="Times New Roman" w:hAnsi="Times New Roman" w:cs="Times New Roman"/>
          <w:b/>
          <w:bCs/>
          <w:sz w:val="24"/>
          <w:szCs w:val="24"/>
        </w:rPr>
        <w:t>BEFORE</w:t>
      </w:r>
    </w:p>
    <w:p w:rsidR="003D130A" w:rsidRPr="00213661" w:rsidRDefault="003D130A" w:rsidP="003D130A">
      <w:pPr>
        <w:pStyle w:val="HTMLPreformatted"/>
        <w:jc w:val="center"/>
        <w:rPr>
          <w:rFonts w:ascii="Times New Roman" w:hAnsi="Times New Roman" w:cs="Times New Roman"/>
          <w:sz w:val="24"/>
          <w:szCs w:val="24"/>
        </w:rPr>
      </w:pPr>
      <w:r w:rsidRPr="00213661">
        <w:rPr>
          <w:rFonts w:ascii="Times New Roman" w:hAnsi="Times New Roman" w:cs="Times New Roman"/>
          <w:b/>
          <w:bCs/>
          <w:sz w:val="24"/>
          <w:szCs w:val="24"/>
        </w:rPr>
        <w:t>THE PUBLIC UTILITIES COMMISSION OF OHIO</w:t>
      </w:r>
    </w:p>
    <w:p w:rsidR="003D130A" w:rsidRPr="00213661" w:rsidRDefault="003D130A" w:rsidP="003D130A">
      <w:pPr>
        <w:pStyle w:val="HTMLPreformatted"/>
        <w:rPr>
          <w:rFonts w:ascii="Times New Roman" w:hAnsi="Times New Roman" w:cs="Times New Roman"/>
          <w:sz w:val="24"/>
          <w:szCs w:val="24"/>
        </w:rPr>
      </w:pPr>
    </w:p>
    <w:tbl>
      <w:tblPr>
        <w:tblW w:w="9458" w:type="dxa"/>
        <w:tblLook w:val="01E0" w:firstRow="1" w:lastRow="1" w:firstColumn="1" w:lastColumn="1" w:noHBand="0" w:noVBand="0"/>
      </w:tblPr>
      <w:tblGrid>
        <w:gridCol w:w="4698"/>
        <w:gridCol w:w="360"/>
        <w:gridCol w:w="4400"/>
      </w:tblGrid>
      <w:tr w:rsidR="003D130A" w:rsidRPr="00213661" w:rsidTr="003D130A">
        <w:trPr>
          <w:trHeight w:val="807"/>
        </w:trPr>
        <w:tc>
          <w:tcPr>
            <w:tcW w:w="4698" w:type="dxa"/>
            <w:hideMark/>
          </w:tcPr>
          <w:p w:rsidR="003D130A" w:rsidRPr="00213661" w:rsidRDefault="003D130A">
            <w:pPr>
              <w:pStyle w:val="HTMLPreformatted"/>
              <w:spacing w:line="276" w:lineRule="auto"/>
              <w:rPr>
                <w:rFonts w:ascii="Times New Roman" w:hAnsi="Times New Roman" w:cs="Times New Roman"/>
                <w:sz w:val="24"/>
                <w:szCs w:val="24"/>
              </w:rPr>
            </w:pPr>
            <w:r w:rsidRPr="00213661">
              <w:rPr>
                <w:rFonts w:ascii="Times New Roman" w:hAnsi="Times New Roman" w:cs="Times New Roman"/>
                <w:sz w:val="24"/>
                <w:szCs w:val="24"/>
              </w:rPr>
              <w:t>In the Matter of the Application of The East Ohio Gas Company d/b/a Dominion East Ohio for a Waiver of Certain Rules in Chapters 4901:1-13 and 4901:1-18, Ohio Administrative Code.</w:t>
            </w:r>
          </w:p>
        </w:tc>
        <w:tc>
          <w:tcPr>
            <w:tcW w:w="360" w:type="dxa"/>
            <w:hideMark/>
          </w:tcPr>
          <w:p w:rsidR="003D130A" w:rsidRPr="00213661" w:rsidRDefault="003D130A">
            <w:pPr>
              <w:pStyle w:val="HTMLPreformatted"/>
              <w:spacing w:line="276" w:lineRule="auto"/>
              <w:rPr>
                <w:rFonts w:ascii="Times New Roman" w:hAnsi="Times New Roman" w:cs="Times New Roman"/>
                <w:sz w:val="24"/>
                <w:szCs w:val="24"/>
              </w:rPr>
            </w:pPr>
            <w:r w:rsidRPr="00213661">
              <w:rPr>
                <w:rFonts w:ascii="Times New Roman" w:hAnsi="Times New Roman" w:cs="Times New Roman"/>
                <w:sz w:val="24"/>
                <w:szCs w:val="24"/>
              </w:rPr>
              <w:t>)</w:t>
            </w:r>
          </w:p>
          <w:p w:rsidR="003D130A" w:rsidRPr="00213661" w:rsidRDefault="003D130A">
            <w:pPr>
              <w:pStyle w:val="HTMLPreformatted"/>
              <w:spacing w:line="276" w:lineRule="auto"/>
              <w:rPr>
                <w:rFonts w:ascii="Times New Roman" w:hAnsi="Times New Roman" w:cs="Times New Roman"/>
                <w:sz w:val="24"/>
                <w:szCs w:val="24"/>
              </w:rPr>
            </w:pPr>
            <w:r w:rsidRPr="00213661">
              <w:rPr>
                <w:rFonts w:ascii="Times New Roman" w:hAnsi="Times New Roman" w:cs="Times New Roman"/>
                <w:sz w:val="24"/>
                <w:szCs w:val="24"/>
              </w:rPr>
              <w:t>)</w:t>
            </w:r>
          </w:p>
          <w:p w:rsidR="003D130A" w:rsidRPr="00213661" w:rsidRDefault="003D130A">
            <w:pPr>
              <w:pStyle w:val="HTMLPreformatted"/>
              <w:spacing w:line="276" w:lineRule="auto"/>
              <w:rPr>
                <w:rFonts w:ascii="Times New Roman" w:hAnsi="Times New Roman" w:cs="Times New Roman"/>
                <w:sz w:val="24"/>
                <w:szCs w:val="24"/>
              </w:rPr>
            </w:pPr>
            <w:r w:rsidRPr="00213661">
              <w:rPr>
                <w:rFonts w:ascii="Times New Roman" w:hAnsi="Times New Roman" w:cs="Times New Roman"/>
                <w:sz w:val="24"/>
                <w:szCs w:val="24"/>
              </w:rPr>
              <w:t>)</w:t>
            </w:r>
          </w:p>
          <w:p w:rsidR="003D130A" w:rsidRPr="00213661" w:rsidRDefault="003D130A">
            <w:pPr>
              <w:pStyle w:val="HTMLPreformatted"/>
              <w:spacing w:line="276" w:lineRule="auto"/>
              <w:rPr>
                <w:rFonts w:ascii="Times New Roman" w:hAnsi="Times New Roman" w:cs="Times New Roman"/>
                <w:sz w:val="24"/>
                <w:szCs w:val="24"/>
              </w:rPr>
            </w:pPr>
            <w:r w:rsidRPr="00213661">
              <w:rPr>
                <w:rFonts w:ascii="Times New Roman" w:hAnsi="Times New Roman" w:cs="Times New Roman"/>
                <w:sz w:val="24"/>
                <w:szCs w:val="24"/>
              </w:rPr>
              <w:t>)</w:t>
            </w:r>
          </w:p>
          <w:p w:rsidR="003D130A" w:rsidRPr="00213661" w:rsidRDefault="003D130A">
            <w:pPr>
              <w:pStyle w:val="HTMLPreformatted"/>
              <w:spacing w:line="276" w:lineRule="auto"/>
              <w:rPr>
                <w:rFonts w:ascii="Times New Roman" w:hAnsi="Times New Roman" w:cs="Times New Roman"/>
                <w:sz w:val="24"/>
                <w:szCs w:val="24"/>
              </w:rPr>
            </w:pPr>
            <w:r w:rsidRPr="00213661">
              <w:rPr>
                <w:rFonts w:ascii="Times New Roman" w:hAnsi="Times New Roman" w:cs="Times New Roman"/>
                <w:sz w:val="24"/>
                <w:szCs w:val="24"/>
              </w:rPr>
              <w:t>)</w:t>
            </w:r>
          </w:p>
          <w:p w:rsidR="005205C2" w:rsidRPr="00213661" w:rsidRDefault="005205C2">
            <w:pPr>
              <w:pStyle w:val="HTMLPreformatted"/>
              <w:spacing w:line="276" w:lineRule="auto"/>
              <w:rPr>
                <w:rFonts w:ascii="Times New Roman" w:hAnsi="Times New Roman" w:cs="Times New Roman"/>
                <w:sz w:val="24"/>
                <w:szCs w:val="24"/>
              </w:rPr>
            </w:pPr>
          </w:p>
        </w:tc>
        <w:tc>
          <w:tcPr>
            <w:tcW w:w="4400" w:type="dxa"/>
          </w:tcPr>
          <w:p w:rsidR="003D130A" w:rsidRPr="00213661" w:rsidRDefault="003D130A">
            <w:pPr>
              <w:pStyle w:val="HTMLPreformatted"/>
              <w:spacing w:line="276" w:lineRule="auto"/>
              <w:rPr>
                <w:rFonts w:ascii="Times New Roman" w:hAnsi="Times New Roman" w:cs="Times New Roman"/>
                <w:sz w:val="24"/>
                <w:szCs w:val="24"/>
              </w:rPr>
            </w:pPr>
          </w:p>
          <w:p w:rsidR="003D130A" w:rsidRPr="00213661" w:rsidRDefault="003D130A">
            <w:pPr>
              <w:spacing w:line="276" w:lineRule="auto"/>
              <w:rPr>
                <w:szCs w:val="24"/>
              </w:rPr>
            </w:pPr>
            <w:r w:rsidRPr="00213661">
              <w:rPr>
                <w:szCs w:val="24"/>
              </w:rPr>
              <w:t>Case No. 14-2203-GA-WVR</w:t>
            </w:r>
          </w:p>
          <w:p w:rsidR="003D130A" w:rsidRPr="00213661" w:rsidRDefault="003D130A">
            <w:pPr>
              <w:pStyle w:val="HTMLPreformatted"/>
              <w:spacing w:line="276" w:lineRule="auto"/>
              <w:rPr>
                <w:rFonts w:ascii="Times New Roman" w:hAnsi="Times New Roman" w:cs="Times New Roman"/>
                <w:sz w:val="24"/>
                <w:szCs w:val="24"/>
              </w:rPr>
            </w:pPr>
          </w:p>
        </w:tc>
      </w:tr>
    </w:tbl>
    <w:p w:rsidR="003D130A" w:rsidRPr="00213661" w:rsidRDefault="003D130A" w:rsidP="003D130A">
      <w:pPr>
        <w:pStyle w:val="HTMLPreformatted"/>
        <w:spacing w:before="120"/>
        <w:rPr>
          <w:rFonts w:ascii="Times New Roman" w:hAnsi="Times New Roman" w:cs="Times New Roman"/>
          <w:sz w:val="24"/>
          <w:szCs w:val="24"/>
        </w:rPr>
      </w:pPr>
      <w:r w:rsidRPr="00213661">
        <w:rPr>
          <w:rFonts w:ascii="Times New Roman" w:hAnsi="Times New Roman" w:cs="Times New Roman"/>
          <w:sz w:val="24"/>
          <w:szCs w:val="24"/>
        </w:rPr>
        <w:tab/>
      </w:r>
    </w:p>
    <w:p w:rsidR="003D130A" w:rsidRPr="00213661" w:rsidRDefault="003D130A" w:rsidP="003D130A">
      <w:pPr>
        <w:pStyle w:val="HTMLPreformatted"/>
        <w:pBdr>
          <w:top w:val="single" w:sz="12" w:space="1" w:color="auto"/>
        </w:pBdr>
        <w:rPr>
          <w:rFonts w:ascii="Times New Roman" w:hAnsi="Times New Roman" w:cs="Times New Roman"/>
          <w:sz w:val="24"/>
          <w:szCs w:val="24"/>
        </w:rPr>
      </w:pPr>
    </w:p>
    <w:p w:rsidR="003D130A" w:rsidRPr="00213661" w:rsidRDefault="003D130A" w:rsidP="003D130A">
      <w:pPr>
        <w:jc w:val="center"/>
        <w:rPr>
          <w:b/>
          <w:bCs/>
          <w:szCs w:val="24"/>
        </w:rPr>
      </w:pPr>
      <w:r w:rsidRPr="00213661">
        <w:rPr>
          <w:b/>
          <w:bCs/>
          <w:szCs w:val="24"/>
        </w:rPr>
        <w:t>REPLY TO</w:t>
      </w:r>
      <w:r w:rsidR="005205C2" w:rsidRPr="00213661">
        <w:rPr>
          <w:b/>
          <w:bCs/>
          <w:szCs w:val="24"/>
        </w:rPr>
        <w:t xml:space="preserve"> </w:t>
      </w:r>
      <w:r w:rsidRPr="00213661">
        <w:rPr>
          <w:b/>
          <w:bCs/>
          <w:szCs w:val="24"/>
        </w:rPr>
        <w:t>EAST OHIO GAS COMPANY D/B/A DOMINION EAST OHIO’S</w:t>
      </w:r>
      <w:r w:rsidR="005205C2" w:rsidRPr="00213661">
        <w:rPr>
          <w:b/>
          <w:bCs/>
          <w:szCs w:val="24"/>
        </w:rPr>
        <w:t xml:space="preserve"> </w:t>
      </w:r>
      <w:r w:rsidRPr="00213661">
        <w:rPr>
          <w:b/>
          <w:bCs/>
          <w:szCs w:val="24"/>
        </w:rPr>
        <w:t xml:space="preserve">MEMORANDUM CONTRA THE OFFICE OF THE OHIO CONSUMERS’ COUNSEL’S MOTION TO INTERVENE </w:t>
      </w:r>
    </w:p>
    <w:p w:rsidR="003D130A" w:rsidRPr="00213661" w:rsidRDefault="003D130A" w:rsidP="003D130A">
      <w:pPr>
        <w:jc w:val="center"/>
        <w:rPr>
          <w:b/>
          <w:bCs/>
          <w:szCs w:val="24"/>
        </w:rPr>
      </w:pPr>
      <w:r w:rsidRPr="00213661">
        <w:rPr>
          <w:b/>
          <w:bCs/>
          <w:szCs w:val="24"/>
        </w:rPr>
        <w:t>BY</w:t>
      </w:r>
    </w:p>
    <w:p w:rsidR="003D130A" w:rsidRPr="00213661" w:rsidRDefault="003D130A" w:rsidP="003D130A">
      <w:pPr>
        <w:jc w:val="center"/>
        <w:rPr>
          <w:b/>
          <w:bCs/>
          <w:szCs w:val="24"/>
        </w:rPr>
      </w:pPr>
      <w:r w:rsidRPr="00213661">
        <w:rPr>
          <w:b/>
          <w:bCs/>
          <w:szCs w:val="24"/>
        </w:rPr>
        <w:t>THE OFFICE OF THE OHIO CONSUMERS’ COUNSEL</w:t>
      </w:r>
    </w:p>
    <w:p w:rsidR="00710483" w:rsidRPr="00213661" w:rsidRDefault="00710483" w:rsidP="003D130A">
      <w:pPr>
        <w:pBdr>
          <w:bottom w:val="single" w:sz="12" w:space="1" w:color="auto"/>
        </w:pBdr>
        <w:tabs>
          <w:tab w:val="left" w:pos="4320"/>
        </w:tabs>
        <w:rPr>
          <w:szCs w:val="24"/>
        </w:rPr>
      </w:pPr>
    </w:p>
    <w:p w:rsidR="000F643E" w:rsidRDefault="000F643E" w:rsidP="00710483">
      <w:pPr>
        <w:spacing w:line="480" w:lineRule="auto"/>
        <w:rPr>
          <w:szCs w:val="24"/>
        </w:rPr>
      </w:pPr>
      <w:r w:rsidRPr="00213661">
        <w:rPr>
          <w:szCs w:val="24"/>
        </w:rPr>
        <w:tab/>
      </w:r>
    </w:p>
    <w:p w:rsidR="00EE3E84" w:rsidRPr="00213661" w:rsidRDefault="00EE3E84" w:rsidP="00EE3E84">
      <w:pPr>
        <w:pStyle w:val="Heading1"/>
      </w:pPr>
      <w:r>
        <w:t>INTRODUCTION</w:t>
      </w:r>
    </w:p>
    <w:p w:rsidR="006E121C" w:rsidRPr="00213661" w:rsidRDefault="000F643E" w:rsidP="006E121C">
      <w:pPr>
        <w:spacing w:line="480" w:lineRule="auto"/>
        <w:ind w:firstLine="720"/>
        <w:rPr>
          <w:szCs w:val="24"/>
        </w:rPr>
      </w:pPr>
      <w:r w:rsidRPr="00213661">
        <w:rPr>
          <w:szCs w:val="24"/>
        </w:rPr>
        <w:t xml:space="preserve">In this </w:t>
      </w:r>
      <w:r w:rsidR="00CA1AE9" w:rsidRPr="00213661">
        <w:rPr>
          <w:szCs w:val="24"/>
        </w:rPr>
        <w:t>plead</w:t>
      </w:r>
      <w:r w:rsidRPr="00213661">
        <w:rPr>
          <w:szCs w:val="24"/>
        </w:rPr>
        <w:t xml:space="preserve">ing, </w:t>
      </w:r>
      <w:r w:rsidR="00A71EE8">
        <w:rPr>
          <w:szCs w:val="24"/>
        </w:rPr>
        <w:t>t</w:t>
      </w:r>
      <w:r w:rsidRPr="00213661">
        <w:rPr>
          <w:szCs w:val="24"/>
        </w:rPr>
        <w:t xml:space="preserve">he Ohio Consumers’ Counsel (“OCC”) responds to </w:t>
      </w:r>
      <w:r w:rsidR="00A71EE8">
        <w:rPr>
          <w:szCs w:val="24"/>
        </w:rPr>
        <w:t>t</w:t>
      </w:r>
      <w:r w:rsidRPr="00213661">
        <w:rPr>
          <w:szCs w:val="24"/>
        </w:rPr>
        <w:t xml:space="preserve">he East Ohio Gas Company d/b/a Dominion East Ohio’s (“Utility” or “DEO”) request that OCC </w:t>
      </w:r>
      <w:r w:rsidR="006E121C">
        <w:rPr>
          <w:szCs w:val="24"/>
        </w:rPr>
        <w:t xml:space="preserve">not be heard </w:t>
      </w:r>
      <w:r w:rsidRPr="00213661">
        <w:rPr>
          <w:szCs w:val="24"/>
        </w:rPr>
        <w:t>in this case that affects DEO’</w:t>
      </w:r>
      <w:r w:rsidR="00BE2522" w:rsidRPr="00213661">
        <w:rPr>
          <w:szCs w:val="24"/>
        </w:rPr>
        <w:t>s 1.1 million residential custom</w:t>
      </w:r>
      <w:r w:rsidRPr="00213661">
        <w:rPr>
          <w:szCs w:val="24"/>
        </w:rPr>
        <w:t>ers.</w:t>
      </w:r>
      <w:r w:rsidR="006E121C">
        <w:rPr>
          <w:szCs w:val="24"/>
        </w:rPr>
        <w:t xml:space="preserve"> </w:t>
      </w:r>
      <w:r w:rsidR="00667688">
        <w:rPr>
          <w:szCs w:val="24"/>
        </w:rPr>
        <w:t xml:space="preserve">Specifically, DEO </w:t>
      </w:r>
      <w:r w:rsidR="00667688" w:rsidRPr="00213661">
        <w:rPr>
          <w:szCs w:val="24"/>
        </w:rPr>
        <w:t>in its February 19, 2015 pleading</w:t>
      </w:r>
      <w:r w:rsidR="00F37DC5">
        <w:rPr>
          <w:szCs w:val="24"/>
        </w:rPr>
        <w:t>,</w:t>
      </w:r>
      <w:r w:rsidR="00667688" w:rsidRPr="00213661">
        <w:rPr>
          <w:szCs w:val="24"/>
        </w:rPr>
        <w:t xml:space="preserve"> requests that the Commission deny OCC’s motion to intervene, disregard its comments, and approve DEO’s application.</w:t>
      </w:r>
      <w:r w:rsidR="00667688" w:rsidRPr="00213661">
        <w:rPr>
          <w:rStyle w:val="FootnoteReference"/>
          <w:szCs w:val="24"/>
        </w:rPr>
        <w:footnoteReference w:id="1"/>
      </w:r>
      <w:r w:rsidR="00667688" w:rsidRPr="00213661">
        <w:rPr>
          <w:szCs w:val="24"/>
        </w:rPr>
        <w:t xml:space="preserve"> </w:t>
      </w:r>
      <w:r w:rsidR="006E121C" w:rsidRPr="00213661">
        <w:rPr>
          <w:szCs w:val="24"/>
        </w:rPr>
        <w:t>OCC, as the representative of the residential customer of DEO, meets the statutory standards for intervention</w:t>
      </w:r>
      <w:r w:rsidR="00667688">
        <w:rPr>
          <w:szCs w:val="24"/>
        </w:rPr>
        <w:t>. The PUCO</w:t>
      </w:r>
      <w:r w:rsidR="00F37DC5">
        <w:rPr>
          <w:szCs w:val="24"/>
        </w:rPr>
        <w:t xml:space="preserve"> </w:t>
      </w:r>
      <w:r w:rsidR="00667688">
        <w:rPr>
          <w:szCs w:val="24"/>
        </w:rPr>
        <w:t xml:space="preserve">should grant OCC’s </w:t>
      </w:r>
      <w:r w:rsidR="006E121C" w:rsidRPr="00213661">
        <w:rPr>
          <w:szCs w:val="24"/>
        </w:rPr>
        <w:t>intervention and deny DEO’s waiver requests.</w:t>
      </w:r>
    </w:p>
    <w:p w:rsidR="00EE3E84" w:rsidRDefault="00EE3E84" w:rsidP="00213661">
      <w:pPr>
        <w:spacing w:line="480" w:lineRule="auto"/>
        <w:ind w:firstLine="720"/>
        <w:rPr>
          <w:szCs w:val="24"/>
        </w:rPr>
        <w:sectPr w:rsidR="00EE3E84" w:rsidSect="005205C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8D37C4" w:rsidRDefault="00EE3E84" w:rsidP="00EE3E84">
      <w:pPr>
        <w:pStyle w:val="Heading2"/>
      </w:pPr>
      <w:r>
        <w:lastRenderedPageBreak/>
        <w:t>A.</w:t>
      </w:r>
      <w:r>
        <w:tab/>
      </w:r>
      <w:r w:rsidR="008D37C4">
        <w:t>OCC meets the intervention standards</w:t>
      </w:r>
      <w:r>
        <w:t>.</w:t>
      </w:r>
    </w:p>
    <w:p w:rsidR="00667688" w:rsidRPr="00F37DC5" w:rsidRDefault="003A59C7" w:rsidP="00F37DC5">
      <w:pPr>
        <w:spacing w:line="480" w:lineRule="auto"/>
        <w:ind w:firstLine="720"/>
        <w:rPr>
          <w:szCs w:val="24"/>
        </w:rPr>
      </w:pPr>
      <w:r w:rsidRPr="008D37C4">
        <w:rPr>
          <w:szCs w:val="24"/>
        </w:rPr>
        <w:t>The Supreme Court of Ohio has confirmed that the OCC has a right to inte</w:t>
      </w:r>
      <w:r w:rsidR="009505C2" w:rsidRPr="008D37C4">
        <w:rPr>
          <w:szCs w:val="24"/>
        </w:rPr>
        <w:t>r</w:t>
      </w:r>
      <w:r w:rsidRPr="008D37C4">
        <w:rPr>
          <w:szCs w:val="24"/>
        </w:rPr>
        <w:t>vene in PUCO proceedings to represent interests that are not represented by any other party to the proceedin</w:t>
      </w:r>
      <w:r w:rsidR="009505C2" w:rsidRPr="00F37DC5">
        <w:rPr>
          <w:szCs w:val="24"/>
        </w:rPr>
        <w:t xml:space="preserve">g and </w:t>
      </w:r>
      <w:r w:rsidR="00401E96" w:rsidRPr="00F37DC5">
        <w:rPr>
          <w:szCs w:val="24"/>
        </w:rPr>
        <w:t>when</w:t>
      </w:r>
      <w:r w:rsidRPr="00F37DC5">
        <w:rPr>
          <w:szCs w:val="24"/>
        </w:rPr>
        <w:t xml:space="preserve"> intervention will </w:t>
      </w:r>
      <w:r w:rsidR="00401E96" w:rsidRPr="00F37DC5">
        <w:rPr>
          <w:szCs w:val="24"/>
        </w:rPr>
        <w:t xml:space="preserve">not </w:t>
      </w:r>
      <w:r w:rsidRPr="00F37DC5">
        <w:rPr>
          <w:szCs w:val="24"/>
        </w:rPr>
        <w:t>de</w:t>
      </w:r>
      <w:r w:rsidR="002D3154" w:rsidRPr="00F37DC5">
        <w:rPr>
          <w:szCs w:val="24"/>
        </w:rPr>
        <w:t>la</w:t>
      </w:r>
      <w:r w:rsidRPr="00F37DC5">
        <w:rPr>
          <w:szCs w:val="24"/>
        </w:rPr>
        <w:t xml:space="preserve">y the proceedings or cause prejudice to any party. Moreover, </w:t>
      </w:r>
      <w:r w:rsidR="00406285" w:rsidRPr="00F37DC5">
        <w:rPr>
          <w:szCs w:val="24"/>
        </w:rPr>
        <w:t xml:space="preserve">R.C. 4903.221 provides that any person who may be adversely affected by a PUCO proceeding is entitled to seek intervention in that proceeding. </w:t>
      </w:r>
    </w:p>
    <w:p w:rsidR="005F5F0E" w:rsidRDefault="00F90ADB" w:rsidP="00F37DC5">
      <w:pPr>
        <w:spacing w:line="480" w:lineRule="auto"/>
        <w:ind w:firstLine="720"/>
        <w:rPr>
          <w:szCs w:val="24"/>
        </w:rPr>
      </w:pPr>
      <w:r>
        <w:rPr>
          <w:szCs w:val="24"/>
        </w:rPr>
        <w:t>T</w:t>
      </w:r>
      <w:r w:rsidR="007F2E94" w:rsidRPr="00213661">
        <w:rPr>
          <w:szCs w:val="24"/>
        </w:rPr>
        <w:t xml:space="preserve">he plain meaning of the statute – “may be adversely affected” </w:t>
      </w:r>
      <w:r w:rsidR="002770AB" w:rsidRPr="00213661">
        <w:rPr>
          <w:szCs w:val="24"/>
        </w:rPr>
        <w:t>allow</w:t>
      </w:r>
      <w:r w:rsidR="00A40F73" w:rsidRPr="00213661">
        <w:rPr>
          <w:szCs w:val="24"/>
        </w:rPr>
        <w:t>s</w:t>
      </w:r>
      <w:r w:rsidR="007F2E94" w:rsidRPr="00213661">
        <w:rPr>
          <w:szCs w:val="24"/>
        </w:rPr>
        <w:t xml:space="preserve"> OCC intervention </w:t>
      </w:r>
      <w:r w:rsidR="002770AB" w:rsidRPr="00213661">
        <w:rPr>
          <w:szCs w:val="24"/>
        </w:rPr>
        <w:t>because the MGSS and Credit</w:t>
      </w:r>
      <w:r w:rsidR="007F2E94" w:rsidRPr="00213661">
        <w:rPr>
          <w:szCs w:val="24"/>
        </w:rPr>
        <w:t xml:space="preserve"> and Disconnect rules deal specifically with the provision of gas service to residential customers; therefore, the interest of residential customer</w:t>
      </w:r>
      <w:r w:rsidR="002770AB" w:rsidRPr="00213661">
        <w:rPr>
          <w:szCs w:val="24"/>
        </w:rPr>
        <w:t>s clearly may be adversely affected.</w:t>
      </w:r>
    </w:p>
    <w:p w:rsidR="005F5F0E" w:rsidRPr="00213661" w:rsidRDefault="005F5F0E" w:rsidP="005F5F0E">
      <w:pPr>
        <w:suppressAutoHyphens/>
        <w:spacing w:line="480" w:lineRule="auto"/>
        <w:ind w:firstLine="720"/>
        <w:rPr>
          <w:szCs w:val="24"/>
        </w:rPr>
      </w:pPr>
      <w:r>
        <w:rPr>
          <w:szCs w:val="24"/>
        </w:rPr>
        <w:t xml:space="preserve">DEO though focuses </w:t>
      </w:r>
      <w:r w:rsidR="007363A4">
        <w:rPr>
          <w:szCs w:val="24"/>
        </w:rPr>
        <w:t xml:space="preserve">on </w:t>
      </w:r>
      <w:r>
        <w:rPr>
          <w:szCs w:val="24"/>
        </w:rPr>
        <w:t>on</w:t>
      </w:r>
      <w:r w:rsidR="00F37DC5">
        <w:rPr>
          <w:szCs w:val="24"/>
        </w:rPr>
        <w:t>l</w:t>
      </w:r>
      <w:r w:rsidR="00A668FD" w:rsidRPr="00213661">
        <w:rPr>
          <w:szCs w:val="24"/>
        </w:rPr>
        <w:t>y</w:t>
      </w:r>
      <w:r w:rsidR="002770AB" w:rsidRPr="00213661">
        <w:rPr>
          <w:szCs w:val="24"/>
        </w:rPr>
        <w:t xml:space="preserve"> two of the four criteria </w:t>
      </w:r>
      <w:r>
        <w:rPr>
          <w:szCs w:val="24"/>
        </w:rPr>
        <w:t>under R.C. 4902.221(B) and argues that OCC does not satisfy the criter</w:t>
      </w:r>
      <w:r w:rsidR="00865454">
        <w:rPr>
          <w:szCs w:val="24"/>
        </w:rPr>
        <w:t>i</w:t>
      </w:r>
      <w:r>
        <w:rPr>
          <w:szCs w:val="24"/>
        </w:rPr>
        <w:t xml:space="preserve">a, and therefore should be denied intervention.  </w:t>
      </w:r>
      <w:r w:rsidRPr="00213661">
        <w:rPr>
          <w:szCs w:val="24"/>
        </w:rPr>
        <w:t xml:space="preserve">DEO’s claims that the “OCC’s inability to craft comments that even </w:t>
      </w:r>
      <w:r w:rsidRPr="00213661">
        <w:rPr>
          <w:i/>
          <w:szCs w:val="24"/>
        </w:rPr>
        <w:t>relate</w:t>
      </w:r>
      <w:r w:rsidRPr="00213661">
        <w:rPr>
          <w:szCs w:val="24"/>
        </w:rPr>
        <w:t xml:space="preserve"> to the issues raised in DEO’s application also shows that OCC’s interventions will ‘unduly prolong or delay the proceeding.’”</w:t>
      </w:r>
      <w:r w:rsidRPr="00213661">
        <w:rPr>
          <w:rStyle w:val="FootnoteReference"/>
          <w:szCs w:val="24"/>
        </w:rPr>
        <w:footnoteReference w:id="2"/>
      </w:r>
      <w:r w:rsidRPr="00213661">
        <w:rPr>
          <w:szCs w:val="24"/>
        </w:rPr>
        <w:t xml:space="preserve"> Beyond this statement, DEO provides no evidence of how OCC’s intervention will prolong this case. </w:t>
      </w:r>
      <w:r w:rsidR="00E45BB3">
        <w:rPr>
          <w:szCs w:val="24"/>
        </w:rPr>
        <w:t>But OCC’s</w:t>
      </w:r>
      <w:r w:rsidRPr="00213661">
        <w:rPr>
          <w:szCs w:val="24"/>
        </w:rPr>
        <w:t xml:space="preserve"> intervention will not prolong this case</w:t>
      </w:r>
      <w:r w:rsidR="00E45BB3">
        <w:rPr>
          <w:szCs w:val="24"/>
        </w:rPr>
        <w:t>. The</w:t>
      </w:r>
      <w:r w:rsidRPr="00213661">
        <w:rPr>
          <w:szCs w:val="24"/>
        </w:rPr>
        <w:t xml:space="preserve"> fact that OCC filed Initial Comments with its Motion to Intervene, show OCC’s commitment to the efficient resolution of this case.</w:t>
      </w:r>
    </w:p>
    <w:p w:rsidR="005F5F0E" w:rsidRPr="00213661" w:rsidRDefault="005F5F0E" w:rsidP="005F5F0E">
      <w:pPr>
        <w:tabs>
          <w:tab w:val="left" w:pos="720"/>
          <w:tab w:val="center" w:pos="4320"/>
          <w:tab w:val="right" w:pos="8640"/>
        </w:tabs>
        <w:suppressAutoHyphens/>
        <w:spacing w:line="480" w:lineRule="auto"/>
        <w:ind w:firstLine="720"/>
        <w:rPr>
          <w:szCs w:val="24"/>
        </w:rPr>
      </w:pPr>
      <w:r w:rsidRPr="00213661">
        <w:rPr>
          <w:szCs w:val="24"/>
        </w:rPr>
        <w:t xml:space="preserve">DEO </w:t>
      </w:r>
      <w:r w:rsidR="00E45BB3">
        <w:rPr>
          <w:szCs w:val="24"/>
        </w:rPr>
        <w:t xml:space="preserve">also </w:t>
      </w:r>
      <w:r w:rsidRPr="00213661">
        <w:rPr>
          <w:szCs w:val="24"/>
        </w:rPr>
        <w:t xml:space="preserve">asserts that “OCC’s lack of response to the issues raised by DEO, its resort to inexplicable and improper characterizations of DEO’s filing as an ‘attack’ on the </w:t>
      </w:r>
      <w:r w:rsidRPr="00213661">
        <w:rPr>
          <w:szCs w:val="24"/>
        </w:rPr>
        <w:lastRenderedPageBreak/>
        <w:t xml:space="preserve">rules, shows that OCC will </w:t>
      </w:r>
      <w:r w:rsidRPr="00213661">
        <w:rPr>
          <w:i/>
          <w:szCs w:val="24"/>
        </w:rPr>
        <w:t>not</w:t>
      </w:r>
      <w:r w:rsidRPr="00213661">
        <w:rPr>
          <w:szCs w:val="24"/>
        </w:rPr>
        <w:t xml:space="preserve"> ‘significantly contribute to the full development and equitable resolution of the factual issues,</w:t>
      </w:r>
      <w:r w:rsidR="006A46B4">
        <w:rPr>
          <w:szCs w:val="24"/>
        </w:rPr>
        <w:t>’</w:t>
      </w:r>
      <w:r w:rsidRPr="00213661">
        <w:rPr>
          <w:szCs w:val="24"/>
        </w:rPr>
        <w:t>”</w:t>
      </w:r>
      <w:r w:rsidRPr="00213661">
        <w:rPr>
          <w:rStyle w:val="FootnoteReference"/>
          <w:szCs w:val="24"/>
        </w:rPr>
        <w:footnoteReference w:id="3"/>
      </w:r>
      <w:r w:rsidRPr="00213661">
        <w:rPr>
          <w:szCs w:val="24"/>
        </w:rPr>
        <w:t xml:space="preserve"> </w:t>
      </w:r>
      <w:r>
        <w:rPr>
          <w:szCs w:val="24"/>
        </w:rPr>
        <w:t>But</w:t>
      </w:r>
      <w:r w:rsidRPr="00213661">
        <w:rPr>
          <w:szCs w:val="24"/>
        </w:rPr>
        <w:t xml:space="preserve"> OCC did respond to the issues raised in DEO’s waiver application</w:t>
      </w:r>
      <w:r>
        <w:rPr>
          <w:szCs w:val="24"/>
        </w:rPr>
        <w:t xml:space="preserve">. Those issues include the </w:t>
      </w:r>
      <w:r w:rsidRPr="00213661">
        <w:rPr>
          <w:szCs w:val="24"/>
        </w:rPr>
        <w:t>Minimum Gas Service Standards</w:t>
      </w:r>
      <w:r>
        <w:rPr>
          <w:szCs w:val="24"/>
        </w:rPr>
        <w:t>.  A</w:t>
      </w:r>
      <w:r w:rsidRPr="00213661">
        <w:rPr>
          <w:szCs w:val="24"/>
        </w:rPr>
        <w:t>ccording to the Ohio Administrative Code, the purpose of the rules is to “promote reliable service to consumers and the public, and to provide minimum standards for uniform and reasonable practices</w:t>
      </w:r>
      <w:r w:rsidR="00E4654C">
        <w:rPr>
          <w:szCs w:val="24"/>
        </w:rPr>
        <w:t>.</w:t>
      </w:r>
      <w:r w:rsidRPr="00213661">
        <w:rPr>
          <w:szCs w:val="24"/>
        </w:rPr>
        <w:t>”</w:t>
      </w:r>
      <w:r w:rsidR="00E4654C">
        <w:rPr>
          <w:rStyle w:val="FootnoteReference"/>
          <w:szCs w:val="24"/>
        </w:rPr>
        <w:footnoteReference w:id="4"/>
      </w:r>
      <w:r w:rsidRPr="00213661">
        <w:rPr>
          <w:szCs w:val="24"/>
        </w:rPr>
        <w:t xml:space="preserve"> </w:t>
      </w:r>
      <w:r>
        <w:rPr>
          <w:szCs w:val="24"/>
        </w:rPr>
        <w:t>T</w:t>
      </w:r>
      <w:r w:rsidRPr="00213661">
        <w:rPr>
          <w:szCs w:val="24"/>
        </w:rPr>
        <w:t xml:space="preserve">hese rules apply to both </w:t>
      </w:r>
      <w:r w:rsidRPr="00213661">
        <w:rPr>
          <w:i/>
          <w:szCs w:val="24"/>
        </w:rPr>
        <w:t>residential</w:t>
      </w:r>
      <w:r w:rsidRPr="00213661">
        <w:rPr>
          <w:szCs w:val="24"/>
        </w:rPr>
        <w:t xml:space="preserve"> and nonresidential gas or natural gas service.”</w:t>
      </w:r>
      <w:r w:rsidRPr="00213661">
        <w:rPr>
          <w:rStyle w:val="FootnoteReference"/>
          <w:szCs w:val="24"/>
        </w:rPr>
        <w:footnoteReference w:id="5"/>
      </w:r>
      <w:r w:rsidRPr="00213661">
        <w:rPr>
          <w:szCs w:val="24"/>
        </w:rPr>
        <w:t xml:space="preserve"> Furthermore, the Credit and Disconnect rules “apply to all electric, gas, and natural gas utility companies that provide service to </w:t>
      </w:r>
      <w:r w:rsidRPr="00213661">
        <w:rPr>
          <w:i/>
          <w:szCs w:val="24"/>
        </w:rPr>
        <w:t>residential</w:t>
      </w:r>
      <w:r w:rsidRPr="00213661">
        <w:rPr>
          <w:szCs w:val="24"/>
        </w:rPr>
        <w:t xml:space="preserve"> customers.”</w:t>
      </w:r>
      <w:r w:rsidRPr="00213661">
        <w:rPr>
          <w:rStyle w:val="FootnoteReference"/>
          <w:szCs w:val="24"/>
        </w:rPr>
        <w:footnoteReference w:id="6"/>
      </w:r>
      <w:r w:rsidRPr="00213661">
        <w:rPr>
          <w:szCs w:val="24"/>
        </w:rPr>
        <w:t xml:space="preserve"> As the residential representative of Ohio’s utility residential customers, and the representative of those that will be affected by these rules, OCC’s intervention is very important to the development and resolution of the provision of gas service to residential customers. </w:t>
      </w:r>
    </w:p>
    <w:p w:rsidR="0067771B" w:rsidRDefault="00EE3E84" w:rsidP="00EE3E84">
      <w:pPr>
        <w:pStyle w:val="Heading2"/>
      </w:pPr>
      <w:r>
        <w:t>B.</w:t>
      </w:r>
      <w:r>
        <w:tab/>
      </w:r>
      <w:r w:rsidR="0067771B">
        <w:t>DEO has not demonstrated good cause to waive compliance with the rules</w:t>
      </w:r>
      <w:r>
        <w:t>.</w:t>
      </w:r>
    </w:p>
    <w:p w:rsidR="000E0D44" w:rsidRPr="0067771B" w:rsidRDefault="0067771B" w:rsidP="00F37DC5">
      <w:pPr>
        <w:tabs>
          <w:tab w:val="left" w:pos="720"/>
          <w:tab w:val="center" w:pos="4320"/>
          <w:tab w:val="right" w:pos="8640"/>
        </w:tabs>
        <w:suppressAutoHyphens/>
        <w:spacing w:line="480" w:lineRule="auto"/>
        <w:rPr>
          <w:szCs w:val="24"/>
        </w:rPr>
      </w:pPr>
      <w:r>
        <w:rPr>
          <w:szCs w:val="24"/>
        </w:rPr>
        <w:tab/>
      </w:r>
      <w:r w:rsidR="009C1D29" w:rsidRPr="0067771B">
        <w:rPr>
          <w:szCs w:val="24"/>
        </w:rPr>
        <w:t>DEO’</w:t>
      </w:r>
      <w:r w:rsidR="00FF0BD6" w:rsidRPr="0067771B">
        <w:rPr>
          <w:szCs w:val="24"/>
        </w:rPr>
        <w:t>s</w:t>
      </w:r>
      <w:r w:rsidR="009C1D29" w:rsidRPr="0067771B">
        <w:rPr>
          <w:szCs w:val="24"/>
        </w:rPr>
        <w:t xml:space="preserve"> </w:t>
      </w:r>
      <w:r w:rsidR="00945A08" w:rsidRPr="0067771B">
        <w:rPr>
          <w:szCs w:val="24"/>
        </w:rPr>
        <w:t>legal basis</w:t>
      </w:r>
      <w:r w:rsidR="00773C44" w:rsidRPr="0067771B">
        <w:rPr>
          <w:szCs w:val="24"/>
        </w:rPr>
        <w:t xml:space="preserve"> for good cause</w:t>
      </w:r>
      <w:r w:rsidR="009C1D29" w:rsidRPr="0067771B">
        <w:rPr>
          <w:szCs w:val="24"/>
        </w:rPr>
        <w:t xml:space="preserve"> is “to determine the programming necessary to implement these rule changes, DEO must first determine whether and to what extent those rules apply to existing business practices.”</w:t>
      </w:r>
      <w:r w:rsidR="009C1D29" w:rsidRPr="00213661">
        <w:rPr>
          <w:rStyle w:val="FootnoteReference"/>
          <w:szCs w:val="24"/>
        </w:rPr>
        <w:footnoteReference w:id="7"/>
      </w:r>
      <w:r w:rsidR="005733FA" w:rsidRPr="0067771B">
        <w:rPr>
          <w:szCs w:val="24"/>
        </w:rPr>
        <w:t xml:space="preserve"> </w:t>
      </w:r>
      <w:r w:rsidR="009C1D29" w:rsidRPr="0067771B">
        <w:rPr>
          <w:szCs w:val="24"/>
        </w:rPr>
        <w:t xml:space="preserve">And further good </w:t>
      </w:r>
      <w:r w:rsidR="00945A08" w:rsidRPr="0067771B">
        <w:rPr>
          <w:szCs w:val="24"/>
        </w:rPr>
        <w:t>cause</w:t>
      </w:r>
      <w:r w:rsidR="009C1D29" w:rsidRPr="0067771B">
        <w:rPr>
          <w:szCs w:val="24"/>
        </w:rPr>
        <w:t>, as stated by DEO</w:t>
      </w:r>
      <w:r w:rsidR="00F37DC5">
        <w:rPr>
          <w:szCs w:val="24"/>
        </w:rPr>
        <w:t>,</w:t>
      </w:r>
      <w:r w:rsidR="009C1D29" w:rsidRPr="0067771B">
        <w:rPr>
          <w:szCs w:val="24"/>
        </w:rPr>
        <w:t xml:space="preserve"> is that the company “proposes to work with Commission Staff to ensure it understand</w:t>
      </w:r>
      <w:r w:rsidR="00A71EE8">
        <w:rPr>
          <w:szCs w:val="24"/>
        </w:rPr>
        <w:t>s</w:t>
      </w:r>
      <w:r w:rsidR="009C1D29" w:rsidRPr="0067771B">
        <w:rPr>
          <w:szCs w:val="24"/>
        </w:rPr>
        <w:t xml:space="preserve"> the intent of the revisions.”</w:t>
      </w:r>
      <w:r w:rsidR="009C1D29" w:rsidRPr="00213661">
        <w:rPr>
          <w:rStyle w:val="FootnoteReference"/>
          <w:szCs w:val="24"/>
        </w:rPr>
        <w:footnoteReference w:id="8"/>
      </w:r>
      <w:r w:rsidR="00BC1168" w:rsidRPr="0067771B">
        <w:rPr>
          <w:szCs w:val="24"/>
        </w:rPr>
        <w:t xml:space="preserve"> </w:t>
      </w:r>
      <w:r>
        <w:rPr>
          <w:szCs w:val="24"/>
        </w:rPr>
        <w:t>But DEO h</w:t>
      </w:r>
      <w:r w:rsidR="005733FA" w:rsidRPr="0067771B">
        <w:rPr>
          <w:szCs w:val="24"/>
        </w:rPr>
        <w:t>as not demonstrated good cau</w:t>
      </w:r>
      <w:r w:rsidR="00247B00" w:rsidRPr="0067771B">
        <w:rPr>
          <w:szCs w:val="24"/>
        </w:rPr>
        <w:t>s</w:t>
      </w:r>
      <w:r w:rsidR="005733FA" w:rsidRPr="0067771B">
        <w:rPr>
          <w:szCs w:val="24"/>
        </w:rPr>
        <w:t xml:space="preserve">e why this rule should </w:t>
      </w:r>
      <w:r w:rsidR="006328BD" w:rsidRPr="0067771B">
        <w:rPr>
          <w:szCs w:val="24"/>
        </w:rPr>
        <w:t xml:space="preserve">be waived. DEO’s </w:t>
      </w:r>
      <w:r w:rsidR="00F82D9E" w:rsidRPr="0067771B">
        <w:rPr>
          <w:szCs w:val="24"/>
        </w:rPr>
        <w:t>good cause</w:t>
      </w:r>
      <w:r w:rsidR="006328BD" w:rsidRPr="0067771B">
        <w:rPr>
          <w:szCs w:val="24"/>
        </w:rPr>
        <w:t xml:space="preserve"> is that </w:t>
      </w:r>
      <w:r>
        <w:rPr>
          <w:szCs w:val="24"/>
        </w:rPr>
        <w:t>it</w:t>
      </w:r>
      <w:r w:rsidR="006328BD" w:rsidRPr="0067771B">
        <w:rPr>
          <w:szCs w:val="24"/>
        </w:rPr>
        <w:t xml:space="preserve"> must understand what rules apply </w:t>
      </w:r>
      <w:r w:rsidR="006328BD" w:rsidRPr="0067771B">
        <w:rPr>
          <w:szCs w:val="24"/>
        </w:rPr>
        <w:lastRenderedPageBreak/>
        <w:t>to the existing processes</w:t>
      </w:r>
      <w:r w:rsidR="00F82D9E" w:rsidRPr="0067771B">
        <w:rPr>
          <w:szCs w:val="24"/>
        </w:rPr>
        <w:t xml:space="preserve"> and</w:t>
      </w:r>
      <w:r w:rsidR="00BC1168" w:rsidRPr="0067771B">
        <w:rPr>
          <w:szCs w:val="24"/>
        </w:rPr>
        <w:t xml:space="preserve"> that</w:t>
      </w:r>
      <w:r w:rsidR="00F82D9E" w:rsidRPr="0067771B">
        <w:rPr>
          <w:szCs w:val="24"/>
        </w:rPr>
        <w:t xml:space="preserve"> </w:t>
      </w:r>
      <w:r>
        <w:rPr>
          <w:szCs w:val="24"/>
        </w:rPr>
        <w:t>it</w:t>
      </w:r>
      <w:r w:rsidR="00F82D9E" w:rsidRPr="0067771B">
        <w:rPr>
          <w:szCs w:val="24"/>
        </w:rPr>
        <w:t xml:space="preserve"> proposes to work with</w:t>
      </w:r>
      <w:r w:rsidR="00247B00" w:rsidRPr="0067771B">
        <w:rPr>
          <w:szCs w:val="24"/>
        </w:rPr>
        <w:t xml:space="preserve"> </w:t>
      </w:r>
      <w:r w:rsidR="00F82D9E" w:rsidRPr="0067771B">
        <w:rPr>
          <w:szCs w:val="24"/>
        </w:rPr>
        <w:t>PUCO Staff to ensure that it understands the intent of the revisions</w:t>
      </w:r>
      <w:r w:rsidR="006328BD" w:rsidRPr="0067771B">
        <w:rPr>
          <w:szCs w:val="24"/>
        </w:rPr>
        <w:t>.</w:t>
      </w:r>
      <w:r w:rsidR="006328BD" w:rsidRPr="00213661">
        <w:rPr>
          <w:rStyle w:val="FootnoteReference"/>
          <w:szCs w:val="24"/>
        </w:rPr>
        <w:footnoteReference w:id="9"/>
      </w:r>
      <w:r w:rsidR="00F82D9E" w:rsidRPr="0067771B">
        <w:rPr>
          <w:szCs w:val="24"/>
        </w:rPr>
        <w:t xml:space="preserve"> </w:t>
      </w:r>
      <w:r w:rsidR="00347D0A" w:rsidRPr="0067771B">
        <w:rPr>
          <w:szCs w:val="24"/>
        </w:rPr>
        <w:t xml:space="preserve">This is not good cause that should allow the </w:t>
      </w:r>
      <w:r w:rsidR="00867586">
        <w:rPr>
          <w:szCs w:val="24"/>
        </w:rPr>
        <w:t>Utility</w:t>
      </w:r>
      <w:r w:rsidR="00347D0A" w:rsidRPr="0067771B">
        <w:rPr>
          <w:szCs w:val="24"/>
        </w:rPr>
        <w:t xml:space="preserve"> to wait until November 30</w:t>
      </w:r>
      <w:r w:rsidR="00867586">
        <w:rPr>
          <w:szCs w:val="24"/>
        </w:rPr>
        <w:t>,</w:t>
      </w:r>
      <w:r w:rsidR="00347D0A" w:rsidRPr="0067771B">
        <w:rPr>
          <w:szCs w:val="24"/>
        </w:rPr>
        <w:t xml:space="preserve"> 2016 </w:t>
      </w:r>
      <w:r w:rsidR="00867586">
        <w:rPr>
          <w:szCs w:val="24"/>
        </w:rPr>
        <w:t xml:space="preserve">before it must </w:t>
      </w:r>
      <w:r w:rsidR="00347D0A" w:rsidRPr="0067771B">
        <w:rPr>
          <w:szCs w:val="24"/>
        </w:rPr>
        <w:t xml:space="preserve">comply with the MGSS. </w:t>
      </w:r>
      <w:r w:rsidR="00E45BB3">
        <w:rPr>
          <w:szCs w:val="24"/>
        </w:rPr>
        <w:t xml:space="preserve">The dilatory actions of the </w:t>
      </w:r>
      <w:r w:rsidR="00867586">
        <w:rPr>
          <w:szCs w:val="24"/>
        </w:rPr>
        <w:t>U</w:t>
      </w:r>
      <w:r w:rsidR="00E45BB3">
        <w:rPr>
          <w:szCs w:val="24"/>
        </w:rPr>
        <w:t xml:space="preserve">tility in not pursuing this issue with the Staff should not be used as a reason to delay compliance with the rules that protect customers.  </w:t>
      </w:r>
    </w:p>
    <w:p w:rsidR="002C2004" w:rsidRDefault="00E4654C" w:rsidP="00EE3E84">
      <w:pPr>
        <w:pStyle w:val="Heading2"/>
      </w:pPr>
      <w:r>
        <w:t>C.</w:t>
      </w:r>
      <w:r>
        <w:tab/>
        <w:t>The reporting r</w:t>
      </w:r>
      <w:r w:rsidR="002C2004">
        <w:t>equirements of Oh</w:t>
      </w:r>
      <w:r>
        <w:t>io Adm. Code 4901-13-05(E) are c</w:t>
      </w:r>
      <w:r w:rsidR="002C2004">
        <w:t>lear</w:t>
      </w:r>
      <w:r w:rsidR="00EE3E84">
        <w:t>.</w:t>
      </w:r>
    </w:p>
    <w:p w:rsidR="008A2938" w:rsidRPr="00213661" w:rsidRDefault="008A2938" w:rsidP="00C8075B">
      <w:pPr>
        <w:suppressAutoHyphens/>
        <w:spacing w:line="480" w:lineRule="auto"/>
        <w:ind w:firstLine="720"/>
        <w:rPr>
          <w:szCs w:val="24"/>
        </w:rPr>
      </w:pPr>
      <w:r w:rsidRPr="00213661">
        <w:rPr>
          <w:szCs w:val="24"/>
        </w:rPr>
        <w:t xml:space="preserve">DEO </w:t>
      </w:r>
      <w:r w:rsidR="002B331A" w:rsidRPr="00213661">
        <w:rPr>
          <w:szCs w:val="24"/>
        </w:rPr>
        <w:t>respond</w:t>
      </w:r>
      <w:r w:rsidR="005B5B05" w:rsidRPr="00213661">
        <w:rPr>
          <w:szCs w:val="24"/>
        </w:rPr>
        <w:t>ed</w:t>
      </w:r>
      <w:r w:rsidR="002B331A" w:rsidRPr="00213661">
        <w:rPr>
          <w:szCs w:val="24"/>
        </w:rPr>
        <w:t xml:space="preserve"> to one waiver rule challenge</w:t>
      </w:r>
      <w:r w:rsidR="005B5B05" w:rsidRPr="00213661">
        <w:rPr>
          <w:szCs w:val="24"/>
        </w:rPr>
        <w:t xml:space="preserve"> of </w:t>
      </w:r>
      <w:r w:rsidR="00316D6A" w:rsidRPr="00213661">
        <w:rPr>
          <w:szCs w:val="24"/>
        </w:rPr>
        <w:t>the three</w:t>
      </w:r>
      <w:r w:rsidR="002B331A" w:rsidRPr="00213661">
        <w:rPr>
          <w:szCs w:val="24"/>
        </w:rPr>
        <w:t xml:space="preserve"> that OCC raised in its comments. DEO maintains that the following rule change makes it unclear how to report when a customer does not cancel but no-shows an appointment.</w:t>
      </w:r>
      <w:r w:rsidRPr="00213661">
        <w:rPr>
          <w:szCs w:val="24"/>
        </w:rPr>
        <w:t xml:space="preserve"> Following is the</w:t>
      </w:r>
      <w:r w:rsidR="009C74DD" w:rsidRPr="00213661">
        <w:rPr>
          <w:szCs w:val="24"/>
        </w:rPr>
        <w:t xml:space="preserve"> change that was made to </w:t>
      </w:r>
      <w:r w:rsidR="002B331A" w:rsidRPr="00213661">
        <w:rPr>
          <w:szCs w:val="24"/>
        </w:rPr>
        <w:t>R</w:t>
      </w:r>
      <w:r w:rsidR="009C74DD" w:rsidRPr="00213661">
        <w:rPr>
          <w:szCs w:val="24"/>
        </w:rPr>
        <w:t>u</w:t>
      </w:r>
      <w:r w:rsidRPr="00213661">
        <w:rPr>
          <w:szCs w:val="24"/>
        </w:rPr>
        <w:t>l</w:t>
      </w:r>
      <w:r w:rsidR="009C74DD" w:rsidRPr="00213661">
        <w:rPr>
          <w:szCs w:val="24"/>
        </w:rPr>
        <w:t>e</w:t>
      </w:r>
      <w:r w:rsidR="002B331A" w:rsidRPr="00213661">
        <w:rPr>
          <w:szCs w:val="24"/>
        </w:rPr>
        <w:t xml:space="preserve"> 4901:1-13-05(E)</w:t>
      </w:r>
      <w:r w:rsidRPr="00213661">
        <w:rPr>
          <w:szCs w:val="24"/>
        </w:rPr>
        <w:t>:</w:t>
      </w:r>
    </w:p>
    <w:p w:rsidR="008A2938" w:rsidRPr="00213661" w:rsidRDefault="008A2938" w:rsidP="00C8075B">
      <w:pPr>
        <w:suppressAutoHyphens/>
        <w:spacing w:line="480" w:lineRule="auto"/>
        <w:ind w:firstLine="720"/>
        <w:rPr>
          <w:szCs w:val="24"/>
        </w:rPr>
      </w:pPr>
      <w:r w:rsidRPr="00213661">
        <w:rPr>
          <w:szCs w:val="24"/>
        </w:rPr>
        <w:t>(E)</w:t>
      </w:r>
      <w:r w:rsidR="009C74DD" w:rsidRPr="00213661">
        <w:rPr>
          <w:szCs w:val="24"/>
        </w:rPr>
        <w:tab/>
        <w:t>Rep</w:t>
      </w:r>
      <w:r w:rsidRPr="00213661">
        <w:rPr>
          <w:szCs w:val="24"/>
        </w:rPr>
        <w:t>o</w:t>
      </w:r>
      <w:r w:rsidR="009C74DD" w:rsidRPr="00213661">
        <w:rPr>
          <w:szCs w:val="24"/>
        </w:rPr>
        <w:t>r</w:t>
      </w:r>
      <w:r w:rsidRPr="00213661">
        <w:rPr>
          <w:szCs w:val="24"/>
        </w:rPr>
        <w:t>ting requirements.</w:t>
      </w:r>
    </w:p>
    <w:p w:rsidR="009C74DD" w:rsidRPr="00213661" w:rsidRDefault="008A2938" w:rsidP="009C74DD">
      <w:pPr>
        <w:suppressAutoHyphens/>
        <w:ind w:left="2160" w:right="720" w:hanging="720"/>
        <w:rPr>
          <w:szCs w:val="24"/>
        </w:rPr>
      </w:pPr>
      <w:r w:rsidRPr="00213661">
        <w:rPr>
          <w:szCs w:val="24"/>
        </w:rPr>
        <w:t>(1)</w:t>
      </w:r>
      <w:r w:rsidRPr="00213661">
        <w:rPr>
          <w:szCs w:val="24"/>
        </w:rPr>
        <w:tab/>
      </w:r>
      <w:r w:rsidR="009C74DD" w:rsidRPr="00213661">
        <w:rPr>
          <w:szCs w:val="24"/>
        </w:rPr>
        <w:t xml:space="preserve">When a gas or natural gas company does not meet the </w:t>
      </w:r>
      <w:r w:rsidR="009C74DD" w:rsidRPr="00213661">
        <w:rPr>
          <w:strike/>
          <w:szCs w:val="24"/>
        </w:rPr>
        <w:t>average monthly</w:t>
      </w:r>
      <w:r w:rsidR="009C74DD" w:rsidRPr="00213661">
        <w:rPr>
          <w:szCs w:val="24"/>
        </w:rPr>
        <w:t xml:space="preserve"> minimum service level set forth in paragraph (A), (B), (C), or (D) of this rule, in </w:t>
      </w:r>
      <w:r w:rsidR="009C74DD" w:rsidRPr="00213661">
        <w:rPr>
          <w:strike/>
          <w:szCs w:val="24"/>
        </w:rPr>
        <w:t>any calendar year</w:t>
      </w:r>
      <w:r w:rsidR="009C74DD" w:rsidRPr="00213661">
        <w:rPr>
          <w:szCs w:val="24"/>
        </w:rPr>
        <w:t xml:space="preserve"> </w:t>
      </w:r>
      <w:r w:rsidR="009C74DD" w:rsidRPr="00213661">
        <w:rPr>
          <w:szCs w:val="24"/>
          <w:u w:val="single"/>
        </w:rPr>
        <w:t>for any two consecutive months</w:t>
      </w:r>
      <w:r w:rsidR="009C74DD" w:rsidRPr="00213661">
        <w:rPr>
          <w:szCs w:val="24"/>
        </w:rPr>
        <w:t>, the gas or natural gas company shall notify the director of the commission’s service monitoring and enforcement department or the director’s designee in writing within sixty thirty days after such failure. The notification shall include any factors that contributed to such failure, as well as any remedial action taken or planned to be taken or rationale for not taking any remedial action. Any failure to report the lack of compliance with the minimum service levels set forth in paragraph (A), (B), (C), or (D) of this rule constitutes a violation of this rule.</w:t>
      </w:r>
    </w:p>
    <w:p w:rsidR="009C74DD" w:rsidRPr="00213661" w:rsidRDefault="009C74DD" w:rsidP="009C74DD">
      <w:pPr>
        <w:suppressAutoHyphens/>
        <w:ind w:left="2160" w:right="720" w:hanging="720"/>
        <w:rPr>
          <w:szCs w:val="24"/>
        </w:rPr>
      </w:pPr>
    </w:p>
    <w:p w:rsidR="009C74DD" w:rsidRPr="00213661" w:rsidRDefault="009C74DD" w:rsidP="009C74DD">
      <w:pPr>
        <w:suppressAutoHyphens/>
        <w:ind w:left="2160" w:right="720" w:hanging="720"/>
        <w:rPr>
          <w:szCs w:val="24"/>
        </w:rPr>
      </w:pPr>
      <w:r w:rsidRPr="00213661">
        <w:rPr>
          <w:szCs w:val="24"/>
        </w:rPr>
        <w:t>(2)</w:t>
      </w:r>
      <w:r w:rsidRPr="00213661">
        <w:rPr>
          <w:szCs w:val="24"/>
        </w:rPr>
        <w:tab/>
        <w:t>...</w:t>
      </w:r>
    </w:p>
    <w:p w:rsidR="009C74DD" w:rsidRPr="00213661" w:rsidRDefault="009C74DD" w:rsidP="009C74DD">
      <w:pPr>
        <w:suppressAutoHyphens/>
        <w:ind w:left="2160" w:right="720" w:hanging="720"/>
        <w:rPr>
          <w:szCs w:val="24"/>
        </w:rPr>
      </w:pPr>
      <w:r w:rsidRPr="00213661">
        <w:rPr>
          <w:szCs w:val="24"/>
        </w:rPr>
        <w:t>(3)</w:t>
      </w:r>
      <w:r w:rsidRPr="00213661">
        <w:rPr>
          <w:szCs w:val="24"/>
        </w:rPr>
        <w:tab/>
        <w:t xml:space="preserve"> </w:t>
      </w:r>
      <w:r w:rsidRPr="00213661">
        <w:rPr>
          <w:szCs w:val="24"/>
          <w:u w:val="single"/>
        </w:rPr>
        <w:t>By March thirty-first of each year, each gas or natural gas company shall submit an annual report to the director of the commission’s service monitoring and enforcement department, setting forth the company’s actual monthly customer service performance data during the previous calendar year as compared with each of the minimum service levels set forth in paragraphs (A), (B), (C), or (D) of this rule</w:t>
      </w:r>
      <w:r w:rsidRPr="00213661">
        <w:rPr>
          <w:szCs w:val="24"/>
        </w:rPr>
        <w:t>.</w:t>
      </w:r>
      <w:r w:rsidRPr="00213661">
        <w:rPr>
          <w:rStyle w:val="FootnoteReference"/>
          <w:szCs w:val="24"/>
        </w:rPr>
        <w:footnoteReference w:id="10"/>
      </w:r>
    </w:p>
    <w:p w:rsidR="008A2938" w:rsidRPr="00213661" w:rsidRDefault="008A2938" w:rsidP="00C8075B">
      <w:pPr>
        <w:suppressAutoHyphens/>
        <w:spacing w:line="480" w:lineRule="auto"/>
        <w:ind w:firstLine="720"/>
        <w:rPr>
          <w:szCs w:val="24"/>
        </w:rPr>
      </w:pPr>
      <w:r w:rsidRPr="00213661">
        <w:rPr>
          <w:szCs w:val="24"/>
        </w:rPr>
        <w:t xml:space="preserve"> </w:t>
      </w:r>
    </w:p>
    <w:p w:rsidR="009C74DD" w:rsidRPr="00213661" w:rsidRDefault="009C74DD" w:rsidP="00052F20">
      <w:pPr>
        <w:suppressAutoHyphens/>
        <w:spacing w:line="480" w:lineRule="auto"/>
        <w:rPr>
          <w:szCs w:val="24"/>
        </w:rPr>
      </w:pPr>
      <w:r w:rsidRPr="00213661">
        <w:rPr>
          <w:szCs w:val="24"/>
        </w:rPr>
        <w:t xml:space="preserve">DEO states that </w:t>
      </w:r>
      <w:r w:rsidR="002B331A" w:rsidRPr="00213661">
        <w:rPr>
          <w:szCs w:val="24"/>
        </w:rPr>
        <w:t>“</w:t>
      </w:r>
      <w:r w:rsidRPr="00213661">
        <w:rPr>
          <w:szCs w:val="24"/>
        </w:rPr>
        <w:t xml:space="preserve">the rule is a reporting rule, with no direct effect on customers. The rule does not address when or how customers receive service. And it is unclear why OCC would even want DEO to start </w:t>
      </w:r>
      <w:r w:rsidRPr="00213661">
        <w:rPr>
          <w:i/>
          <w:szCs w:val="24"/>
        </w:rPr>
        <w:t>reporting</w:t>
      </w:r>
      <w:r w:rsidRPr="00213661">
        <w:rPr>
          <w:szCs w:val="24"/>
        </w:rPr>
        <w:t xml:space="preserve"> under the new rules when the applicability of the rules is unresolved and DEO likely </w:t>
      </w:r>
      <w:r w:rsidRPr="00213661">
        <w:rPr>
          <w:i/>
          <w:szCs w:val="24"/>
        </w:rPr>
        <w:t>cannot</w:t>
      </w:r>
      <w:r w:rsidRPr="00213661">
        <w:rPr>
          <w:szCs w:val="24"/>
        </w:rPr>
        <w:t xml:space="preserve"> provide needed data.”</w:t>
      </w:r>
      <w:r w:rsidR="00D72F93" w:rsidRPr="00213661">
        <w:rPr>
          <w:rStyle w:val="FootnoteReference"/>
          <w:szCs w:val="24"/>
        </w:rPr>
        <w:footnoteReference w:id="11"/>
      </w:r>
      <w:r w:rsidR="00D72F93" w:rsidRPr="00213661">
        <w:rPr>
          <w:szCs w:val="24"/>
        </w:rPr>
        <w:t xml:space="preserve"> </w:t>
      </w:r>
      <w:r w:rsidR="00052F20" w:rsidRPr="00213661">
        <w:rPr>
          <w:szCs w:val="24"/>
        </w:rPr>
        <w:t xml:space="preserve">The purpose of reporting when a minimum service </w:t>
      </w:r>
      <w:r w:rsidR="005B5B05" w:rsidRPr="00213661">
        <w:rPr>
          <w:szCs w:val="24"/>
        </w:rPr>
        <w:t>standard</w:t>
      </w:r>
      <w:r w:rsidR="00052F20" w:rsidRPr="00213661">
        <w:rPr>
          <w:szCs w:val="24"/>
        </w:rPr>
        <w:t xml:space="preserve"> is missed for two consecutive months is to show the need for improvement in the area that was missed</w:t>
      </w:r>
      <w:r w:rsidR="00347D0A">
        <w:rPr>
          <w:szCs w:val="24"/>
        </w:rPr>
        <w:t>.</w:t>
      </w:r>
      <w:r w:rsidR="00052F20" w:rsidRPr="00213661">
        <w:rPr>
          <w:szCs w:val="24"/>
        </w:rPr>
        <w:t xml:space="preserve"> If a </w:t>
      </w:r>
      <w:r w:rsidR="005B5B05" w:rsidRPr="00213661">
        <w:rPr>
          <w:szCs w:val="24"/>
        </w:rPr>
        <w:t>gas utility misses the minimum</w:t>
      </w:r>
      <w:r w:rsidR="00347D0A">
        <w:rPr>
          <w:szCs w:val="24"/>
        </w:rPr>
        <w:t xml:space="preserve"> consumer protection</w:t>
      </w:r>
      <w:r w:rsidR="005B5B05" w:rsidRPr="00213661">
        <w:rPr>
          <w:szCs w:val="24"/>
        </w:rPr>
        <w:t xml:space="preserve"> standard in </w:t>
      </w:r>
      <w:r w:rsidR="00347D0A">
        <w:rPr>
          <w:szCs w:val="24"/>
        </w:rPr>
        <w:t>an</w:t>
      </w:r>
      <w:r w:rsidR="005B5B05" w:rsidRPr="00213661">
        <w:rPr>
          <w:szCs w:val="24"/>
        </w:rPr>
        <w:t xml:space="preserve"> area for one month, there is no need to report; however, when the same standard is missed the following month, consumers are missing the benefit of the minimum standard. The goal of reporting is for improvement</w:t>
      </w:r>
      <w:r w:rsidR="00316D6A" w:rsidRPr="00213661">
        <w:rPr>
          <w:szCs w:val="24"/>
        </w:rPr>
        <w:t xml:space="preserve"> in the provision of gas servic</w:t>
      </w:r>
      <w:r w:rsidR="005B5B05" w:rsidRPr="00213661">
        <w:rPr>
          <w:szCs w:val="24"/>
        </w:rPr>
        <w:t xml:space="preserve">e to consumers. </w:t>
      </w:r>
    </w:p>
    <w:p w:rsidR="005B5B05" w:rsidRPr="00213661" w:rsidRDefault="005B5B05" w:rsidP="00052F20">
      <w:pPr>
        <w:suppressAutoHyphens/>
        <w:spacing w:line="480" w:lineRule="auto"/>
        <w:rPr>
          <w:szCs w:val="24"/>
        </w:rPr>
      </w:pPr>
      <w:r w:rsidRPr="00213661">
        <w:rPr>
          <w:szCs w:val="24"/>
        </w:rPr>
        <w:tab/>
        <w:t>And to address DEO’s contention that the applicability of the rules is unresolved,</w:t>
      </w:r>
      <w:r w:rsidR="00316D6A" w:rsidRPr="00213661">
        <w:rPr>
          <w:szCs w:val="24"/>
        </w:rPr>
        <w:t xml:space="preserve"> t</w:t>
      </w:r>
      <w:r w:rsidRPr="00213661">
        <w:rPr>
          <w:szCs w:val="24"/>
        </w:rPr>
        <w:t xml:space="preserve">he rules appear to be very clear about how the reporting rules work. </w:t>
      </w:r>
      <w:r w:rsidR="00316D6A" w:rsidRPr="00213661">
        <w:rPr>
          <w:szCs w:val="24"/>
        </w:rPr>
        <w:t xml:space="preserve">If the appointment is cancelled by the company, is a no-show by the customer, or cancelled by the customer, and the company did not make the rescheduled appointment according to the rule – for two months is a row, then this failure must be reported. The PUCO made no distinction between these reasons and DEO did not raise this </w:t>
      </w:r>
      <w:r w:rsidR="00347D0A">
        <w:rPr>
          <w:szCs w:val="24"/>
        </w:rPr>
        <w:t>question</w:t>
      </w:r>
      <w:r w:rsidR="00316D6A" w:rsidRPr="00213661">
        <w:rPr>
          <w:szCs w:val="24"/>
        </w:rPr>
        <w:t xml:space="preserve"> in the earlier proceedings. </w:t>
      </w:r>
      <w:r w:rsidRPr="00213661">
        <w:rPr>
          <w:szCs w:val="24"/>
        </w:rPr>
        <w:t xml:space="preserve">DEO did not file for clarification of this rule in </w:t>
      </w:r>
      <w:r w:rsidR="00BB2833" w:rsidRPr="00213661">
        <w:rPr>
          <w:szCs w:val="24"/>
        </w:rPr>
        <w:t>th</w:t>
      </w:r>
      <w:r w:rsidRPr="00213661">
        <w:rPr>
          <w:szCs w:val="24"/>
        </w:rPr>
        <w:t xml:space="preserve">e MGSS docket or seek rehearing on this specific issue. </w:t>
      </w:r>
      <w:r w:rsidR="00BB2833" w:rsidRPr="00213661">
        <w:rPr>
          <w:szCs w:val="24"/>
        </w:rPr>
        <w:t>The PUCO must deny DEO’s waiver request of Ohio Adm. Code 4901:1-13-05(E) because DEO f</w:t>
      </w:r>
      <w:r w:rsidR="00347D0A">
        <w:rPr>
          <w:szCs w:val="24"/>
        </w:rPr>
        <w:t>a</w:t>
      </w:r>
      <w:r w:rsidR="00BB2833" w:rsidRPr="00213661">
        <w:rPr>
          <w:szCs w:val="24"/>
        </w:rPr>
        <w:t>iled to show good cause to waive the rule.</w:t>
      </w:r>
    </w:p>
    <w:p w:rsidR="005205C2" w:rsidRPr="00213661" w:rsidRDefault="005205C2" w:rsidP="005205C2">
      <w:pPr>
        <w:suppressAutoHyphens/>
        <w:rPr>
          <w:szCs w:val="24"/>
        </w:rPr>
      </w:pPr>
    </w:p>
    <w:p w:rsidR="00BB2833" w:rsidRPr="00213661" w:rsidRDefault="00BB2833" w:rsidP="00EE3E84">
      <w:pPr>
        <w:pStyle w:val="Heading1"/>
      </w:pPr>
      <w:r w:rsidRPr="00213661">
        <w:t>Conclusion</w:t>
      </w:r>
    </w:p>
    <w:p w:rsidR="00BB2833" w:rsidRPr="00213661" w:rsidRDefault="00867586" w:rsidP="00BB2833">
      <w:pPr>
        <w:suppressAutoHyphens/>
        <w:spacing w:line="480" w:lineRule="auto"/>
        <w:ind w:firstLine="720"/>
        <w:rPr>
          <w:szCs w:val="24"/>
        </w:rPr>
      </w:pPr>
      <w:r>
        <w:rPr>
          <w:szCs w:val="24"/>
        </w:rPr>
        <w:t xml:space="preserve">OCC’s intervention should be granted.  With respect to the Utility’s waiver requests, </w:t>
      </w:r>
      <w:r w:rsidR="00BB2833" w:rsidRPr="00213661">
        <w:rPr>
          <w:szCs w:val="24"/>
        </w:rPr>
        <w:t xml:space="preserve">OCC opposes DEO’s waiver requests of Ohio Adm. Code 4901:1-13-05(E), 4901:1-18-15(G), and 4901:1-13-05(A)(1), (A)(4), (C)(4) and (C)(5). The PUCO enacted the Credit and Disconnect rules in 1980 and the MGSS in 2006. Over the years and in this proceeding, the PUCO considered comments from the gas industry, gas marketers, and a wide variety of customers. With this in mind, the PUCO intended that DEO’s 1.1 million customers would benefit from the improved consumer protections in the newly enacted rule revisions. DEO fails to show good cause to waive the rules, as required by Ohio’s Administrative Code, </w:t>
      </w:r>
      <w:r w:rsidR="002C2004">
        <w:rPr>
          <w:szCs w:val="24"/>
        </w:rPr>
        <w:t xml:space="preserve">and </w:t>
      </w:r>
      <w:r w:rsidR="00BB2833" w:rsidRPr="00213661">
        <w:rPr>
          <w:szCs w:val="24"/>
        </w:rPr>
        <w:t xml:space="preserve">the PUCO should reject DEO’s requests for waiver.  Customers are entitled to the benefits of the revised rules. </w:t>
      </w:r>
      <w:r w:rsidR="00E45BB3">
        <w:rPr>
          <w:szCs w:val="24"/>
        </w:rPr>
        <w:t>T</w:t>
      </w:r>
      <w:r w:rsidR="00BB2833" w:rsidRPr="00213661">
        <w:rPr>
          <w:szCs w:val="24"/>
        </w:rPr>
        <w:t xml:space="preserve">he PUCO </w:t>
      </w:r>
      <w:r w:rsidR="00E45BB3">
        <w:rPr>
          <w:szCs w:val="24"/>
        </w:rPr>
        <w:t xml:space="preserve">should </w:t>
      </w:r>
      <w:r w:rsidR="00BB2833" w:rsidRPr="00213661">
        <w:rPr>
          <w:szCs w:val="24"/>
        </w:rPr>
        <w:t>deny DEO’s requests.</w:t>
      </w:r>
    </w:p>
    <w:p w:rsidR="00213661" w:rsidRPr="00213661" w:rsidRDefault="00213661" w:rsidP="00213661">
      <w:pPr>
        <w:widowControl w:val="0"/>
        <w:spacing w:line="480" w:lineRule="auto"/>
        <w:ind w:left="4320"/>
        <w:rPr>
          <w:szCs w:val="24"/>
        </w:rPr>
      </w:pPr>
      <w:r w:rsidRPr="00213661">
        <w:rPr>
          <w:szCs w:val="24"/>
        </w:rPr>
        <w:t>Respectfully submitted,</w:t>
      </w:r>
    </w:p>
    <w:p w:rsidR="00213661" w:rsidRPr="00213661" w:rsidRDefault="00213661" w:rsidP="00213661">
      <w:pPr>
        <w:tabs>
          <w:tab w:val="left" w:pos="4320"/>
          <w:tab w:val="right" w:pos="8640"/>
        </w:tabs>
        <w:ind w:left="4320"/>
        <w:rPr>
          <w:szCs w:val="24"/>
        </w:rPr>
      </w:pPr>
      <w:r w:rsidRPr="00213661">
        <w:rPr>
          <w:szCs w:val="24"/>
        </w:rPr>
        <w:t>BRUCE J. WESTON</w:t>
      </w:r>
    </w:p>
    <w:p w:rsidR="00213661" w:rsidRPr="00213661" w:rsidRDefault="00213661" w:rsidP="00213661">
      <w:pPr>
        <w:tabs>
          <w:tab w:val="left" w:pos="4320"/>
        </w:tabs>
        <w:spacing w:after="120"/>
        <w:ind w:left="4320"/>
        <w:rPr>
          <w:szCs w:val="24"/>
        </w:rPr>
      </w:pPr>
      <w:r w:rsidRPr="00213661">
        <w:rPr>
          <w:szCs w:val="24"/>
        </w:rPr>
        <w:t>OHIO CONSUMERS’ COUNSEL</w:t>
      </w:r>
    </w:p>
    <w:p w:rsidR="00213661" w:rsidRPr="00213661" w:rsidRDefault="00213661" w:rsidP="00213661">
      <w:pPr>
        <w:autoSpaceDE w:val="0"/>
        <w:autoSpaceDN w:val="0"/>
        <w:adjustRightInd w:val="0"/>
        <w:ind w:left="4320"/>
        <w:rPr>
          <w:i/>
          <w:szCs w:val="24"/>
        </w:rPr>
      </w:pPr>
      <w:r w:rsidRPr="00213661">
        <w:rPr>
          <w:i/>
          <w:szCs w:val="24"/>
          <w:u w:val="single"/>
        </w:rPr>
        <w:t>/s/ Jodi Bair                           </w:t>
      </w:r>
    </w:p>
    <w:p w:rsidR="00213661" w:rsidRPr="00213661" w:rsidRDefault="00213661" w:rsidP="00213661">
      <w:pPr>
        <w:tabs>
          <w:tab w:val="left" w:pos="4320"/>
        </w:tabs>
        <w:ind w:left="4320"/>
        <w:rPr>
          <w:szCs w:val="24"/>
        </w:rPr>
      </w:pPr>
      <w:r w:rsidRPr="00213661">
        <w:rPr>
          <w:szCs w:val="24"/>
        </w:rPr>
        <w:t>Jodi Bair, Counsel of Record</w:t>
      </w:r>
    </w:p>
    <w:p w:rsidR="00213661" w:rsidRPr="00213661" w:rsidRDefault="00213661" w:rsidP="00213661">
      <w:pPr>
        <w:tabs>
          <w:tab w:val="left" w:pos="4320"/>
        </w:tabs>
        <w:ind w:left="4320"/>
        <w:rPr>
          <w:szCs w:val="24"/>
        </w:rPr>
      </w:pPr>
      <w:r w:rsidRPr="00213661">
        <w:rPr>
          <w:szCs w:val="24"/>
        </w:rPr>
        <w:t>(Reg. No. 0062921)</w:t>
      </w:r>
    </w:p>
    <w:p w:rsidR="00213661" w:rsidRPr="00213661" w:rsidRDefault="00213661" w:rsidP="00213661">
      <w:pPr>
        <w:tabs>
          <w:tab w:val="left" w:pos="4320"/>
        </w:tabs>
        <w:ind w:left="4320"/>
        <w:rPr>
          <w:szCs w:val="24"/>
        </w:rPr>
      </w:pPr>
      <w:r w:rsidRPr="00213661">
        <w:rPr>
          <w:szCs w:val="24"/>
        </w:rPr>
        <w:t xml:space="preserve">Assistant Consumers’ Counsel </w:t>
      </w:r>
    </w:p>
    <w:p w:rsidR="00213661" w:rsidRPr="00213661" w:rsidRDefault="00213661" w:rsidP="00213661">
      <w:pPr>
        <w:tabs>
          <w:tab w:val="left" w:pos="4320"/>
        </w:tabs>
        <w:ind w:left="4320"/>
        <w:rPr>
          <w:szCs w:val="24"/>
        </w:rPr>
      </w:pPr>
    </w:p>
    <w:p w:rsidR="00213661" w:rsidRPr="00213661" w:rsidRDefault="00213661" w:rsidP="00213661">
      <w:pPr>
        <w:ind w:left="4320"/>
        <w:rPr>
          <w:b/>
          <w:szCs w:val="24"/>
        </w:rPr>
      </w:pPr>
      <w:r w:rsidRPr="00213661">
        <w:rPr>
          <w:b/>
          <w:szCs w:val="24"/>
        </w:rPr>
        <w:t>Office of the Ohio Consumers’ Counsel</w:t>
      </w:r>
    </w:p>
    <w:p w:rsidR="00213661" w:rsidRPr="00213661" w:rsidRDefault="00213661" w:rsidP="00213661">
      <w:pPr>
        <w:ind w:left="4320"/>
        <w:rPr>
          <w:b/>
          <w:szCs w:val="24"/>
        </w:rPr>
      </w:pPr>
      <w:r w:rsidRPr="00213661">
        <w:rPr>
          <w:szCs w:val="24"/>
        </w:rPr>
        <w:t>10 West Broad Street, Suite 1800</w:t>
      </w:r>
    </w:p>
    <w:p w:rsidR="00213661" w:rsidRPr="00213661" w:rsidRDefault="00213661" w:rsidP="00213661">
      <w:pPr>
        <w:ind w:left="4320"/>
        <w:rPr>
          <w:b/>
          <w:szCs w:val="24"/>
        </w:rPr>
      </w:pPr>
      <w:r w:rsidRPr="00213661">
        <w:rPr>
          <w:szCs w:val="24"/>
        </w:rPr>
        <w:t>Columbus, Ohio 43215-3485</w:t>
      </w:r>
    </w:p>
    <w:p w:rsidR="00213661" w:rsidRPr="00213661" w:rsidRDefault="00213661" w:rsidP="00213661">
      <w:pPr>
        <w:autoSpaceDE w:val="0"/>
        <w:autoSpaceDN w:val="0"/>
        <w:adjustRightInd w:val="0"/>
        <w:ind w:left="4320"/>
        <w:rPr>
          <w:szCs w:val="24"/>
        </w:rPr>
      </w:pPr>
      <w:r w:rsidRPr="00213661">
        <w:rPr>
          <w:szCs w:val="24"/>
        </w:rPr>
        <w:t>Telephone:  (614) 466-9559 (Bair Direct)</w:t>
      </w:r>
    </w:p>
    <w:p w:rsidR="00213661" w:rsidRPr="00213661" w:rsidRDefault="004D2F56" w:rsidP="00213661">
      <w:pPr>
        <w:ind w:left="4320"/>
        <w:rPr>
          <w:szCs w:val="24"/>
        </w:rPr>
      </w:pPr>
      <w:hyperlink r:id="rId14" w:history="1">
        <w:r w:rsidR="00213661" w:rsidRPr="00213661">
          <w:rPr>
            <w:color w:val="0000FF"/>
            <w:szCs w:val="24"/>
            <w:u w:val="single"/>
          </w:rPr>
          <w:t>jodi.bair@occ.ohio.gov</w:t>
        </w:r>
      </w:hyperlink>
    </w:p>
    <w:p w:rsidR="00213661" w:rsidRPr="00213661" w:rsidRDefault="00213661" w:rsidP="00213661">
      <w:pPr>
        <w:ind w:left="4320"/>
        <w:rPr>
          <w:szCs w:val="24"/>
        </w:rPr>
      </w:pPr>
      <w:r w:rsidRPr="00213661">
        <w:rPr>
          <w:szCs w:val="24"/>
        </w:rPr>
        <w:t>(will accept service via email)</w:t>
      </w:r>
    </w:p>
    <w:p w:rsidR="00213661" w:rsidRPr="00213661" w:rsidRDefault="00213661" w:rsidP="00213661">
      <w:pPr>
        <w:jc w:val="center"/>
        <w:rPr>
          <w:b/>
          <w:bCs/>
          <w:szCs w:val="24"/>
          <w:u w:val="single"/>
        </w:rPr>
      </w:pPr>
      <w:r w:rsidRPr="00213661">
        <w:rPr>
          <w:szCs w:val="24"/>
        </w:rPr>
        <w:br w:type="page"/>
      </w:r>
      <w:r w:rsidRPr="00213661">
        <w:rPr>
          <w:b/>
          <w:bCs/>
          <w:szCs w:val="24"/>
          <w:u w:val="single"/>
        </w:rPr>
        <w:t>CERTIFICATE OF SERVICE</w:t>
      </w:r>
    </w:p>
    <w:p w:rsidR="00213661" w:rsidRPr="00213661" w:rsidRDefault="00213661" w:rsidP="00213661">
      <w:pPr>
        <w:spacing w:line="480" w:lineRule="atLeast"/>
        <w:rPr>
          <w:szCs w:val="24"/>
        </w:rPr>
      </w:pPr>
      <w:r w:rsidRPr="00213661">
        <w:rPr>
          <w:szCs w:val="24"/>
        </w:rPr>
        <w:tab/>
        <w:t xml:space="preserve">I hereby certify that a copy of this Reply was served on the person stated below via electronic transmission, this </w:t>
      </w:r>
      <w:r w:rsidR="004E689D">
        <w:rPr>
          <w:szCs w:val="24"/>
        </w:rPr>
        <w:t>26th</w:t>
      </w:r>
      <w:r w:rsidR="004E689D" w:rsidRPr="00213661">
        <w:rPr>
          <w:szCs w:val="24"/>
        </w:rPr>
        <w:t xml:space="preserve"> </w:t>
      </w:r>
      <w:r w:rsidRPr="00213661">
        <w:rPr>
          <w:szCs w:val="24"/>
        </w:rPr>
        <w:t>day of February 2015.</w:t>
      </w:r>
    </w:p>
    <w:p w:rsidR="00213661" w:rsidRPr="00213661" w:rsidRDefault="00213661" w:rsidP="00213661">
      <w:pPr>
        <w:spacing w:line="480" w:lineRule="atLeast"/>
        <w:rPr>
          <w:szCs w:val="24"/>
        </w:rPr>
      </w:pPr>
    </w:p>
    <w:p w:rsidR="00213661" w:rsidRPr="00213661" w:rsidRDefault="00213661" w:rsidP="00213661">
      <w:pPr>
        <w:autoSpaceDE w:val="0"/>
        <w:autoSpaceDN w:val="0"/>
        <w:adjustRightInd w:val="0"/>
        <w:ind w:left="4320"/>
        <w:rPr>
          <w:i/>
          <w:szCs w:val="24"/>
        </w:rPr>
      </w:pPr>
      <w:r w:rsidRPr="00213661">
        <w:rPr>
          <w:i/>
          <w:szCs w:val="24"/>
          <w:u w:val="single"/>
        </w:rPr>
        <w:t>/s/ Jodi Bair                           </w:t>
      </w:r>
    </w:p>
    <w:p w:rsidR="00213661" w:rsidRPr="00213661" w:rsidRDefault="00213661" w:rsidP="00213661">
      <w:pPr>
        <w:tabs>
          <w:tab w:val="left" w:pos="4320"/>
        </w:tabs>
        <w:rPr>
          <w:szCs w:val="24"/>
        </w:rPr>
      </w:pPr>
      <w:r w:rsidRPr="00213661">
        <w:rPr>
          <w:szCs w:val="24"/>
        </w:rPr>
        <w:tab/>
        <w:t>Jodi Bair</w:t>
      </w:r>
    </w:p>
    <w:p w:rsidR="00213661" w:rsidRPr="00213661" w:rsidRDefault="00213661" w:rsidP="00213661">
      <w:pPr>
        <w:tabs>
          <w:tab w:val="left" w:pos="4320"/>
        </w:tabs>
        <w:rPr>
          <w:szCs w:val="24"/>
        </w:rPr>
      </w:pPr>
      <w:r w:rsidRPr="00213661">
        <w:rPr>
          <w:szCs w:val="24"/>
        </w:rPr>
        <w:tab/>
        <w:t>Assistant Consumers’ Counsel</w:t>
      </w:r>
    </w:p>
    <w:p w:rsidR="00213661" w:rsidRPr="00213661" w:rsidRDefault="00213661" w:rsidP="00213661">
      <w:pPr>
        <w:rPr>
          <w:szCs w:val="24"/>
        </w:rPr>
      </w:pPr>
    </w:p>
    <w:p w:rsidR="00213661" w:rsidRPr="00213661" w:rsidRDefault="00213661" w:rsidP="00213661">
      <w:pPr>
        <w:rPr>
          <w:szCs w:val="24"/>
        </w:rPr>
      </w:pPr>
    </w:p>
    <w:p w:rsidR="00213661" w:rsidRPr="00213661" w:rsidRDefault="00213661" w:rsidP="00213661">
      <w:pPr>
        <w:jc w:val="center"/>
        <w:rPr>
          <w:b/>
          <w:szCs w:val="24"/>
          <w:u w:val="single"/>
        </w:rPr>
      </w:pPr>
      <w:r w:rsidRPr="00213661">
        <w:rPr>
          <w:b/>
          <w:szCs w:val="24"/>
          <w:u w:val="single"/>
        </w:rPr>
        <w:t>SERVICE LIST</w:t>
      </w:r>
    </w:p>
    <w:p w:rsidR="00213661" w:rsidRPr="00213661" w:rsidRDefault="00213661" w:rsidP="00213661">
      <w:pPr>
        <w:jc w:val="center"/>
        <w:rPr>
          <w:b/>
          <w:szCs w:val="24"/>
          <w:u w:val="single"/>
        </w:rPr>
      </w:pPr>
    </w:p>
    <w:p w:rsidR="00213661" w:rsidRPr="00213661" w:rsidRDefault="00213661" w:rsidP="00213661">
      <w:pPr>
        <w:jc w:val="center"/>
        <w:rPr>
          <w:b/>
          <w:szCs w:val="24"/>
          <w:u w:val="single"/>
        </w:rPr>
      </w:pPr>
    </w:p>
    <w:tbl>
      <w:tblPr>
        <w:tblW w:w="0" w:type="auto"/>
        <w:tblLook w:val="04A0" w:firstRow="1" w:lastRow="0" w:firstColumn="1" w:lastColumn="0" w:noHBand="0" w:noVBand="1"/>
      </w:tblPr>
      <w:tblGrid>
        <w:gridCol w:w="4428"/>
        <w:gridCol w:w="4428"/>
      </w:tblGrid>
      <w:tr w:rsidR="00213661" w:rsidRPr="00213661" w:rsidTr="00BD0EEC">
        <w:tc>
          <w:tcPr>
            <w:tcW w:w="4428" w:type="dxa"/>
          </w:tcPr>
          <w:p w:rsidR="00213661" w:rsidRPr="00213661" w:rsidRDefault="00213661" w:rsidP="00213661">
            <w:pPr>
              <w:rPr>
                <w:szCs w:val="24"/>
              </w:rPr>
            </w:pPr>
            <w:r w:rsidRPr="00213661">
              <w:rPr>
                <w:szCs w:val="24"/>
              </w:rPr>
              <w:t>William Wright</w:t>
            </w:r>
          </w:p>
          <w:p w:rsidR="00213661" w:rsidRPr="00213661" w:rsidRDefault="00213661" w:rsidP="00213661">
            <w:pPr>
              <w:rPr>
                <w:szCs w:val="24"/>
              </w:rPr>
            </w:pPr>
            <w:r w:rsidRPr="00213661">
              <w:rPr>
                <w:szCs w:val="24"/>
              </w:rPr>
              <w:t xml:space="preserve">Attorney General’s Office </w:t>
            </w:r>
          </w:p>
          <w:p w:rsidR="00213661" w:rsidRPr="00213661" w:rsidRDefault="00213661" w:rsidP="00213661">
            <w:pPr>
              <w:rPr>
                <w:szCs w:val="24"/>
              </w:rPr>
            </w:pPr>
            <w:r w:rsidRPr="00213661">
              <w:rPr>
                <w:szCs w:val="24"/>
              </w:rPr>
              <w:t>Public Utilities Commission of Ohio</w:t>
            </w:r>
          </w:p>
          <w:p w:rsidR="00213661" w:rsidRPr="00213661" w:rsidRDefault="00213661" w:rsidP="00213661">
            <w:pPr>
              <w:rPr>
                <w:szCs w:val="24"/>
              </w:rPr>
            </w:pPr>
            <w:r w:rsidRPr="00213661">
              <w:rPr>
                <w:szCs w:val="24"/>
              </w:rPr>
              <w:t>180 E. Broad St., 6</w:t>
            </w:r>
            <w:r w:rsidRPr="00213661">
              <w:rPr>
                <w:szCs w:val="24"/>
                <w:vertAlign w:val="superscript"/>
              </w:rPr>
              <w:t>th</w:t>
            </w:r>
            <w:r w:rsidRPr="00213661">
              <w:rPr>
                <w:szCs w:val="24"/>
              </w:rPr>
              <w:t xml:space="preserve"> Fl.</w:t>
            </w:r>
          </w:p>
          <w:p w:rsidR="00213661" w:rsidRPr="00213661" w:rsidRDefault="00213661" w:rsidP="00213661">
            <w:pPr>
              <w:rPr>
                <w:szCs w:val="24"/>
              </w:rPr>
            </w:pPr>
            <w:r w:rsidRPr="00213661">
              <w:rPr>
                <w:szCs w:val="24"/>
              </w:rPr>
              <w:t>Columbus, OH 43215</w:t>
            </w:r>
          </w:p>
          <w:p w:rsidR="00213661" w:rsidRDefault="004D2F56" w:rsidP="00213661">
            <w:pPr>
              <w:rPr>
                <w:color w:val="0000FF"/>
                <w:szCs w:val="24"/>
                <w:u w:val="single"/>
              </w:rPr>
            </w:pPr>
            <w:hyperlink r:id="rId15" w:history="1">
              <w:r w:rsidR="00213661" w:rsidRPr="00213661">
                <w:rPr>
                  <w:color w:val="0000FF"/>
                  <w:szCs w:val="24"/>
                  <w:u w:val="single"/>
                </w:rPr>
                <w:t>William.wright@puc.state.oh.us</w:t>
              </w:r>
            </w:hyperlink>
          </w:p>
          <w:p w:rsidR="00EE3E84" w:rsidRDefault="00EE3E84" w:rsidP="00213661">
            <w:pPr>
              <w:rPr>
                <w:color w:val="0000FF"/>
                <w:szCs w:val="24"/>
                <w:u w:val="single"/>
              </w:rPr>
            </w:pPr>
          </w:p>
          <w:p w:rsidR="00EE3E84" w:rsidRDefault="00EE3E84" w:rsidP="00213661">
            <w:pPr>
              <w:rPr>
                <w:color w:val="0000FF"/>
                <w:szCs w:val="24"/>
                <w:u w:val="single"/>
              </w:rPr>
            </w:pPr>
          </w:p>
          <w:p w:rsidR="00EE3E84" w:rsidRDefault="00EE3E84" w:rsidP="00213661">
            <w:pPr>
              <w:rPr>
                <w:color w:val="0000FF"/>
                <w:szCs w:val="24"/>
                <w:u w:val="single"/>
              </w:rPr>
            </w:pPr>
          </w:p>
          <w:p w:rsidR="00213661" w:rsidRPr="00213661" w:rsidRDefault="00213661" w:rsidP="00EE3E84">
            <w:pPr>
              <w:rPr>
                <w:szCs w:val="24"/>
              </w:rPr>
            </w:pPr>
          </w:p>
        </w:tc>
        <w:tc>
          <w:tcPr>
            <w:tcW w:w="4428" w:type="dxa"/>
          </w:tcPr>
          <w:p w:rsidR="00213661" w:rsidRDefault="00213661" w:rsidP="00213661">
            <w:pPr>
              <w:autoSpaceDE w:val="0"/>
              <w:autoSpaceDN w:val="0"/>
              <w:adjustRightInd w:val="0"/>
              <w:rPr>
                <w:bCs/>
                <w:szCs w:val="24"/>
              </w:rPr>
            </w:pPr>
            <w:r w:rsidRPr="00213661">
              <w:rPr>
                <w:bCs/>
                <w:szCs w:val="24"/>
              </w:rPr>
              <w:t>Andrew J. Campbell</w:t>
            </w:r>
          </w:p>
          <w:p w:rsidR="00EE3E84" w:rsidRPr="00213661" w:rsidRDefault="00EE3E84" w:rsidP="00213661">
            <w:pPr>
              <w:autoSpaceDE w:val="0"/>
              <w:autoSpaceDN w:val="0"/>
              <w:adjustRightInd w:val="0"/>
              <w:rPr>
                <w:bCs/>
                <w:szCs w:val="24"/>
              </w:rPr>
            </w:pPr>
            <w:r>
              <w:rPr>
                <w:bCs/>
                <w:szCs w:val="24"/>
              </w:rPr>
              <w:t>Mark A. Whitt</w:t>
            </w:r>
          </w:p>
          <w:p w:rsidR="00213661" w:rsidRPr="00213661" w:rsidRDefault="00213661" w:rsidP="00213661">
            <w:pPr>
              <w:autoSpaceDE w:val="0"/>
              <w:autoSpaceDN w:val="0"/>
              <w:adjustRightInd w:val="0"/>
              <w:rPr>
                <w:bCs/>
                <w:szCs w:val="24"/>
              </w:rPr>
            </w:pPr>
            <w:r w:rsidRPr="00213661">
              <w:rPr>
                <w:bCs/>
                <w:szCs w:val="24"/>
              </w:rPr>
              <w:t>Whitt Sturtevant L.L.P.</w:t>
            </w:r>
          </w:p>
          <w:p w:rsidR="00213661" w:rsidRPr="00213661" w:rsidRDefault="00213661" w:rsidP="00213661">
            <w:pPr>
              <w:autoSpaceDE w:val="0"/>
              <w:autoSpaceDN w:val="0"/>
              <w:adjustRightInd w:val="0"/>
              <w:rPr>
                <w:bCs/>
                <w:szCs w:val="24"/>
              </w:rPr>
            </w:pPr>
            <w:r w:rsidRPr="00213661">
              <w:rPr>
                <w:bCs/>
                <w:szCs w:val="24"/>
              </w:rPr>
              <w:t>88 East Broad Street, suite 1590</w:t>
            </w:r>
          </w:p>
          <w:p w:rsidR="00213661" w:rsidRPr="00213661" w:rsidRDefault="00213661" w:rsidP="00213661">
            <w:pPr>
              <w:autoSpaceDE w:val="0"/>
              <w:autoSpaceDN w:val="0"/>
              <w:adjustRightInd w:val="0"/>
              <w:rPr>
                <w:bCs/>
                <w:szCs w:val="24"/>
              </w:rPr>
            </w:pPr>
            <w:r w:rsidRPr="00213661">
              <w:rPr>
                <w:bCs/>
                <w:szCs w:val="24"/>
              </w:rPr>
              <w:t>Columbus, OH  43215</w:t>
            </w:r>
          </w:p>
          <w:p w:rsidR="00213661" w:rsidRDefault="004D2F56" w:rsidP="00213661">
            <w:pPr>
              <w:autoSpaceDE w:val="0"/>
              <w:autoSpaceDN w:val="0"/>
              <w:adjustRightInd w:val="0"/>
              <w:rPr>
                <w:bCs/>
                <w:color w:val="0000FF"/>
                <w:szCs w:val="24"/>
                <w:u w:val="single"/>
              </w:rPr>
            </w:pPr>
            <w:hyperlink r:id="rId16" w:history="1">
              <w:r w:rsidR="00213661" w:rsidRPr="00213661">
                <w:rPr>
                  <w:bCs/>
                  <w:color w:val="0000FF"/>
                  <w:szCs w:val="24"/>
                  <w:u w:val="single"/>
                </w:rPr>
                <w:t>Campbell@whitt-sturtevant.com</w:t>
              </w:r>
            </w:hyperlink>
          </w:p>
          <w:p w:rsidR="00EE3E84" w:rsidRDefault="004D2F56" w:rsidP="00213661">
            <w:pPr>
              <w:autoSpaceDE w:val="0"/>
              <w:autoSpaceDN w:val="0"/>
              <w:adjustRightInd w:val="0"/>
              <w:rPr>
                <w:bCs/>
                <w:color w:val="0000FF"/>
                <w:szCs w:val="24"/>
                <w:u w:val="single"/>
              </w:rPr>
            </w:pPr>
            <w:hyperlink r:id="rId17" w:history="1">
              <w:r w:rsidR="00EE3E84" w:rsidRPr="00613529">
                <w:rPr>
                  <w:rStyle w:val="Hyperlink"/>
                  <w:bCs/>
                  <w:szCs w:val="24"/>
                </w:rPr>
                <w:t>whit@whitt-sturtevant.com</w:t>
              </w:r>
            </w:hyperlink>
          </w:p>
          <w:p w:rsidR="00213661" w:rsidRPr="00213661" w:rsidRDefault="00213661" w:rsidP="00213661">
            <w:pPr>
              <w:autoSpaceDE w:val="0"/>
              <w:autoSpaceDN w:val="0"/>
              <w:adjustRightInd w:val="0"/>
              <w:rPr>
                <w:bCs/>
                <w:szCs w:val="24"/>
              </w:rPr>
            </w:pPr>
          </w:p>
          <w:p w:rsidR="00213661" w:rsidRPr="00213661" w:rsidRDefault="00213661" w:rsidP="00213661">
            <w:pPr>
              <w:autoSpaceDE w:val="0"/>
              <w:autoSpaceDN w:val="0"/>
              <w:adjustRightInd w:val="0"/>
              <w:rPr>
                <w:bCs/>
                <w:szCs w:val="24"/>
              </w:rPr>
            </w:pPr>
            <w:r w:rsidRPr="00213661">
              <w:rPr>
                <w:bCs/>
                <w:szCs w:val="24"/>
              </w:rPr>
              <w:t>Attorneys for East Ohio Gas</w:t>
            </w:r>
          </w:p>
          <w:p w:rsidR="00213661" w:rsidRPr="00213661" w:rsidRDefault="00213661" w:rsidP="00213661">
            <w:pPr>
              <w:autoSpaceDE w:val="0"/>
              <w:autoSpaceDN w:val="0"/>
              <w:adjustRightInd w:val="0"/>
              <w:rPr>
                <w:bCs/>
                <w:szCs w:val="24"/>
              </w:rPr>
            </w:pPr>
            <w:r w:rsidRPr="00213661">
              <w:rPr>
                <w:bCs/>
                <w:szCs w:val="24"/>
              </w:rPr>
              <w:t>Company d/b/a Dominion East</w:t>
            </w:r>
          </w:p>
          <w:p w:rsidR="00213661" w:rsidRPr="00213661" w:rsidRDefault="00213661" w:rsidP="00213661">
            <w:pPr>
              <w:autoSpaceDE w:val="0"/>
              <w:autoSpaceDN w:val="0"/>
              <w:adjustRightInd w:val="0"/>
              <w:rPr>
                <w:bCs/>
                <w:szCs w:val="24"/>
              </w:rPr>
            </w:pPr>
            <w:r w:rsidRPr="00213661">
              <w:rPr>
                <w:bCs/>
                <w:szCs w:val="24"/>
              </w:rPr>
              <w:t>Ohio</w:t>
            </w:r>
          </w:p>
          <w:p w:rsidR="00213661" w:rsidRPr="00213661" w:rsidRDefault="00213661" w:rsidP="00213661">
            <w:pPr>
              <w:jc w:val="center"/>
              <w:rPr>
                <w:b/>
                <w:szCs w:val="24"/>
                <w:u w:val="single"/>
              </w:rPr>
            </w:pPr>
          </w:p>
        </w:tc>
      </w:tr>
    </w:tbl>
    <w:p w:rsidR="00213661" w:rsidRPr="00213661" w:rsidRDefault="00213661" w:rsidP="00213661">
      <w:pPr>
        <w:jc w:val="center"/>
        <w:rPr>
          <w:b/>
          <w:szCs w:val="24"/>
          <w:u w:val="single"/>
        </w:rPr>
      </w:pPr>
    </w:p>
    <w:p w:rsidR="00213661" w:rsidRPr="00213661" w:rsidRDefault="00213661" w:rsidP="00213661">
      <w:pPr>
        <w:jc w:val="both"/>
        <w:rPr>
          <w:bCs/>
          <w:szCs w:val="24"/>
        </w:rPr>
      </w:pPr>
      <w:r w:rsidRPr="00213661">
        <w:rPr>
          <w:bCs/>
          <w:szCs w:val="24"/>
        </w:rPr>
        <w:t>Attorney Examiner:</w:t>
      </w:r>
    </w:p>
    <w:p w:rsidR="00213661" w:rsidRPr="00213661" w:rsidRDefault="00213661" w:rsidP="00213661">
      <w:pPr>
        <w:jc w:val="both"/>
        <w:rPr>
          <w:bCs/>
          <w:szCs w:val="24"/>
        </w:rPr>
      </w:pPr>
    </w:p>
    <w:p w:rsidR="00213661" w:rsidRPr="00213661" w:rsidRDefault="004D2F56" w:rsidP="00213661">
      <w:pPr>
        <w:jc w:val="both"/>
        <w:rPr>
          <w:bCs/>
          <w:szCs w:val="24"/>
        </w:rPr>
      </w:pPr>
      <w:hyperlink r:id="rId18" w:history="1">
        <w:r w:rsidR="00213661" w:rsidRPr="00213661">
          <w:rPr>
            <w:bCs/>
            <w:color w:val="0000FF"/>
            <w:szCs w:val="24"/>
            <w:u w:val="single"/>
          </w:rPr>
          <w:t>James.lynn@puc.state.oh.us</w:t>
        </w:r>
      </w:hyperlink>
    </w:p>
    <w:p w:rsidR="00213661" w:rsidRPr="00213661" w:rsidRDefault="00213661" w:rsidP="00213661">
      <w:pPr>
        <w:jc w:val="both"/>
        <w:rPr>
          <w:bCs/>
          <w:szCs w:val="24"/>
        </w:rPr>
      </w:pPr>
    </w:p>
    <w:p w:rsidR="00213661" w:rsidRPr="00213661" w:rsidRDefault="00213661" w:rsidP="00213661">
      <w:pPr>
        <w:jc w:val="both"/>
        <w:rPr>
          <w:b/>
          <w:bCs/>
          <w:szCs w:val="24"/>
        </w:rPr>
      </w:pPr>
    </w:p>
    <w:p w:rsidR="00213661" w:rsidRPr="00213661" w:rsidRDefault="00213661" w:rsidP="00213661">
      <w:pPr>
        <w:rPr>
          <w:szCs w:val="24"/>
        </w:rPr>
      </w:pPr>
    </w:p>
    <w:p w:rsidR="00BB2833" w:rsidRPr="00213661" w:rsidRDefault="00BB2833" w:rsidP="00BB2833">
      <w:pPr>
        <w:suppressAutoHyphens/>
        <w:spacing w:line="480" w:lineRule="auto"/>
        <w:rPr>
          <w:szCs w:val="24"/>
        </w:rPr>
      </w:pPr>
    </w:p>
    <w:sectPr w:rsidR="00BB2833" w:rsidRPr="00213661" w:rsidSect="005205C2">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DB" w:rsidRDefault="00671CDB" w:rsidP="003D130A">
      <w:r>
        <w:separator/>
      </w:r>
    </w:p>
  </w:endnote>
  <w:endnote w:type="continuationSeparator" w:id="0">
    <w:p w:rsidR="00671CDB" w:rsidRDefault="00671CDB" w:rsidP="003D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5" w:rsidRDefault="00DC5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84" w:rsidRDefault="00EE3E84">
    <w:pPr>
      <w:pStyle w:val="Footer"/>
      <w:jc w:val="center"/>
    </w:pPr>
  </w:p>
  <w:p w:rsidR="005205C2" w:rsidRDefault="00520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5" w:rsidRDefault="00DC54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22893"/>
      <w:docPartObj>
        <w:docPartGallery w:val="Page Numbers (Bottom of Page)"/>
        <w:docPartUnique/>
      </w:docPartObj>
    </w:sdtPr>
    <w:sdtEndPr>
      <w:rPr>
        <w:noProof/>
      </w:rPr>
    </w:sdtEndPr>
    <w:sdtContent>
      <w:p w:rsidR="00EE3E84" w:rsidRDefault="00EE3E84">
        <w:pPr>
          <w:pStyle w:val="Footer"/>
          <w:jc w:val="center"/>
        </w:pPr>
        <w:r>
          <w:fldChar w:fldCharType="begin"/>
        </w:r>
        <w:r>
          <w:instrText xml:space="preserve"> PAGE   \* MERGEFORMAT </w:instrText>
        </w:r>
        <w:r>
          <w:fldChar w:fldCharType="separate"/>
        </w:r>
        <w:r w:rsidR="004D2F56">
          <w:rPr>
            <w:noProof/>
          </w:rPr>
          <w:t>2</w:t>
        </w:r>
        <w:r>
          <w:rPr>
            <w:noProof/>
          </w:rPr>
          <w:fldChar w:fldCharType="end"/>
        </w:r>
      </w:p>
    </w:sdtContent>
  </w:sdt>
  <w:p w:rsidR="00EE3E84" w:rsidRDefault="00EE3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DB" w:rsidRDefault="00671CDB" w:rsidP="003D130A">
      <w:r>
        <w:separator/>
      </w:r>
    </w:p>
  </w:footnote>
  <w:footnote w:type="continuationSeparator" w:id="0">
    <w:p w:rsidR="00671CDB" w:rsidRDefault="00671CDB" w:rsidP="003D130A">
      <w:r>
        <w:continuationSeparator/>
      </w:r>
    </w:p>
  </w:footnote>
  <w:footnote w:id="1">
    <w:p w:rsidR="00667688" w:rsidRDefault="00667688" w:rsidP="00667688">
      <w:pPr>
        <w:pStyle w:val="FootnoteText"/>
        <w:spacing w:before="0" w:after="120"/>
      </w:pPr>
      <w:r>
        <w:rPr>
          <w:rStyle w:val="FootnoteReference"/>
        </w:rPr>
        <w:footnoteRef/>
      </w:r>
      <w:r>
        <w:t xml:space="preserve"> DEO Memo Contra at 4.</w:t>
      </w:r>
    </w:p>
  </w:footnote>
  <w:footnote w:id="2">
    <w:p w:rsidR="00E45BB3" w:rsidRPr="00651EBB" w:rsidRDefault="005F5F0E" w:rsidP="00EE3E84">
      <w:pPr>
        <w:tabs>
          <w:tab w:val="center" w:pos="4320"/>
          <w:tab w:val="right" w:pos="8640"/>
        </w:tabs>
        <w:suppressAutoHyphens/>
        <w:rPr>
          <w:sz w:val="20"/>
        </w:rPr>
      </w:pPr>
      <w:r>
        <w:rPr>
          <w:rStyle w:val="FootnoteReference"/>
        </w:rPr>
        <w:footnoteRef/>
      </w:r>
      <w:r>
        <w:t xml:space="preserve"> </w:t>
      </w:r>
      <w:r w:rsidRPr="00651EBB">
        <w:rPr>
          <w:sz w:val="20"/>
        </w:rPr>
        <w:t xml:space="preserve">DEO Memo Contra at 3 (emphasis added by DEO). </w:t>
      </w:r>
      <w:r w:rsidR="00E45BB3" w:rsidRPr="00651EBB">
        <w:rPr>
          <w:sz w:val="20"/>
        </w:rPr>
        <w:t>DEO claims that “OCC simply rehashes the comments, replies, and ordering language that led up to the final rules.”</w:t>
      </w:r>
      <w:r w:rsidR="004E689D" w:rsidRPr="00651EBB">
        <w:rPr>
          <w:sz w:val="20"/>
        </w:rPr>
        <w:t xml:space="preserve"> </w:t>
      </w:r>
      <w:r w:rsidR="00E45BB3" w:rsidRPr="00651EBB">
        <w:rPr>
          <w:sz w:val="20"/>
        </w:rPr>
        <w:t>But it is important to understand how the PUCO ruled on the questions that are again at issue in this waiver case. Relying upon precedent is a basic legal tenant that is followed in all legal systems to create a body of law that is consistent. DEO’s position that there is no need to “rehash” issues pertaining to the recent rules is not supportable, especially when its filing pertains to those very rules</w:t>
      </w:r>
      <w:r w:rsidR="00F37DC5" w:rsidRPr="00651EBB">
        <w:rPr>
          <w:sz w:val="20"/>
        </w:rPr>
        <w:t xml:space="preserve"> that DEO seeks to waive.</w:t>
      </w:r>
    </w:p>
    <w:p w:rsidR="005F5F0E" w:rsidRPr="00651EBB" w:rsidRDefault="005F5F0E" w:rsidP="005F5F0E">
      <w:pPr>
        <w:pStyle w:val="FootnoteText"/>
        <w:spacing w:before="0" w:after="120"/>
      </w:pPr>
    </w:p>
  </w:footnote>
  <w:footnote w:id="3">
    <w:p w:rsidR="005F5F0E" w:rsidRDefault="005F5F0E" w:rsidP="008F4ED6">
      <w:pPr>
        <w:pStyle w:val="FootnoteText"/>
        <w:spacing w:before="0" w:after="120"/>
      </w:pPr>
      <w:r>
        <w:rPr>
          <w:rStyle w:val="FootnoteReference"/>
        </w:rPr>
        <w:footnoteRef/>
      </w:r>
      <w:r>
        <w:t xml:space="preserve"> DEO Memo Contra at 3 (emphasis added by DEO).</w:t>
      </w:r>
    </w:p>
  </w:footnote>
  <w:footnote w:id="4">
    <w:p w:rsidR="00E4654C" w:rsidRDefault="00E4654C" w:rsidP="008F4ED6">
      <w:pPr>
        <w:pStyle w:val="FootnoteText"/>
        <w:spacing w:before="0" w:after="120"/>
      </w:pPr>
      <w:r>
        <w:rPr>
          <w:rStyle w:val="FootnoteReference"/>
        </w:rPr>
        <w:footnoteRef/>
      </w:r>
      <w:r>
        <w:t xml:space="preserve"> Ohio Adm. Code 4901:1-13-02(A)(2).</w:t>
      </w:r>
    </w:p>
  </w:footnote>
  <w:footnote w:id="5">
    <w:p w:rsidR="005F5F0E" w:rsidRDefault="005F5F0E" w:rsidP="008F4ED6">
      <w:pPr>
        <w:pStyle w:val="FootnoteText"/>
        <w:spacing w:before="0" w:after="120"/>
      </w:pPr>
      <w:r>
        <w:rPr>
          <w:rStyle w:val="FootnoteReference"/>
        </w:rPr>
        <w:footnoteRef/>
      </w:r>
      <w:r>
        <w:t xml:space="preserve"> Ohio Adm. Code 4901:1-13-02(A)(2) and (3) (emphasis added).</w:t>
      </w:r>
    </w:p>
  </w:footnote>
  <w:footnote w:id="6">
    <w:p w:rsidR="005F5F0E" w:rsidRDefault="005F5F0E" w:rsidP="008F4ED6">
      <w:pPr>
        <w:pStyle w:val="FootnoteText"/>
        <w:spacing w:before="0" w:after="120"/>
      </w:pPr>
      <w:r>
        <w:rPr>
          <w:rStyle w:val="FootnoteReference"/>
        </w:rPr>
        <w:footnoteRef/>
      </w:r>
      <w:r>
        <w:t xml:space="preserve"> Ohio Adm. Code 4901:1-18-02(A) (emphasis added).</w:t>
      </w:r>
    </w:p>
  </w:footnote>
  <w:footnote w:id="7">
    <w:p w:rsidR="009C1D29" w:rsidRDefault="009C1D29" w:rsidP="008F4ED6">
      <w:pPr>
        <w:pStyle w:val="FootnoteText"/>
        <w:spacing w:before="0" w:after="120"/>
      </w:pPr>
      <w:r>
        <w:rPr>
          <w:rStyle w:val="FootnoteReference"/>
        </w:rPr>
        <w:footnoteRef/>
      </w:r>
      <w:r>
        <w:t xml:space="preserve"> DEO Application at 7. </w:t>
      </w:r>
    </w:p>
  </w:footnote>
  <w:footnote w:id="8">
    <w:p w:rsidR="009C1D29" w:rsidRDefault="009C1D29" w:rsidP="005E4EEE">
      <w:pPr>
        <w:pStyle w:val="FootnoteText"/>
        <w:spacing w:before="0" w:after="120"/>
      </w:pPr>
      <w:r>
        <w:rPr>
          <w:rStyle w:val="FootnoteReference"/>
        </w:rPr>
        <w:footnoteRef/>
      </w:r>
      <w:r>
        <w:t xml:space="preserve"> DEO Application at 7.</w:t>
      </w:r>
    </w:p>
  </w:footnote>
  <w:footnote w:id="9">
    <w:p w:rsidR="006328BD" w:rsidRDefault="006328BD" w:rsidP="005E4EEE">
      <w:pPr>
        <w:pStyle w:val="FootnoteText"/>
        <w:spacing w:before="0" w:after="120"/>
      </w:pPr>
      <w:r>
        <w:rPr>
          <w:rStyle w:val="FootnoteReference"/>
        </w:rPr>
        <w:footnoteRef/>
      </w:r>
      <w:r>
        <w:t xml:space="preserve"> DEO Application at 7</w:t>
      </w:r>
      <w:r w:rsidR="005205C2">
        <w:t>.</w:t>
      </w:r>
    </w:p>
  </w:footnote>
  <w:footnote w:id="10">
    <w:p w:rsidR="009C74DD" w:rsidRDefault="009C74DD" w:rsidP="005E4EEE">
      <w:pPr>
        <w:pStyle w:val="FootnoteText"/>
        <w:spacing w:before="0" w:after="120"/>
      </w:pPr>
      <w:r>
        <w:rPr>
          <w:rStyle w:val="FootnoteReference"/>
        </w:rPr>
        <w:footnoteRef/>
      </w:r>
      <w:r>
        <w:t xml:space="preserve"> MGSS, Order at Att. A at 15 (July 30, 2014).</w:t>
      </w:r>
    </w:p>
  </w:footnote>
  <w:footnote w:id="11">
    <w:p w:rsidR="00D72F93" w:rsidRDefault="00D72F93" w:rsidP="005E4EEE">
      <w:pPr>
        <w:pStyle w:val="FootnoteText"/>
        <w:spacing w:before="0" w:after="120"/>
      </w:pPr>
      <w:r>
        <w:rPr>
          <w:rStyle w:val="FootnoteReference"/>
        </w:rPr>
        <w:footnoteRef/>
      </w:r>
      <w:r>
        <w:t xml:space="preserve"> DEO Memo Contra at 4. (emphasis added by DEO)</w:t>
      </w:r>
      <w:r w:rsidR="005205C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5" w:rsidRDefault="00DC5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5" w:rsidRDefault="00DC5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5" w:rsidRDefault="00DC54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84" w:rsidRDefault="00EE3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BF091C6"/>
    <w:lvl w:ilvl="0">
      <w:start w:val="1"/>
      <w:numFmt w:val="decimal"/>
      <w:lvlText w:val="%1."/>
      <w:lvlJc w:val="left"/>
      <w:pPr>
        <w:tabs>
          <w:tab w:val="num" w:pos="1080"/>
        </w:tabs>
        <w:ind w:left="1080" w:hanging="360"/>
      </w:pPr>
    </w:lvl>
  </w:abstractNum>
  <w:abstractNum w:abstractNumId="1">
    <w:nsid w:val="FFFFFF7F"/>
    <w:multiLevelType w:val="singleLevel"/>
    <w:tmpl w:val="0080870A"/>
    <w:lvl w:ilvl="0">
      <w:start w:val="1"/>
      <w:numFmt w:val="decimal"/>
      <w:lvlText w:val="%1."/>
      <w:lvlJc w:val="left"/>
      <w:pPr>
        <w:tabs>
          <w:tab w:val="num" w:pos="720"/>
        </w:tabs>
        <w:ind w:left="720" w:hanging="360"/>
      </w:pPr>
    </w:lvl>
  </w:abstractNum>
  <w:abstractNum w:abstractNumId="2">
    <w:nsid w:val="FFFFFF80"/>
    <w:multiLevelType w:val="singleLevel"/>
    <w:tmpl w:val="5C242982"/>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C9B24AD2"/>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0A084538"/>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DDAAD8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15C0D006"/>
    <w:lvl w:ilvl="0">
      <w:start w:val="1"/>
      <w:numFmt w:val="decimal"/>
      <w:lvlText w:val="%1."/>
      <w:lvlJc w:val="left"/>
      <w:pPr>
        <w:tabs>
          <w:tab w:val="num" w:pos="360"/>
        </w:tabs>
        <w:ind w:left="360" w:hanging="360"/>
      </w:pPr>
    </w:lvl>
  </w:abstractNum>
  <w:abstractNum w:abstractNumId="7">
    <w:nsid w:val="FFFFFF89"/>
    <w:multiLevelType w:val="singleLevel"/>
    <w:tmpl w:val="A3EAE5C4"/>
    <w:lvl w:ilvl="0">
      <w:start w:val="1"/>
      <w:numFmt w:val="bullet"/>
      <w:lvlText w:val=""/>
      <w:lvlJc w:val="left"/>
      <w:pPr>
        <w:tabs>
          <w:tab w:val="num" w:pos="360"/>
        </w:tabs>
        <w:ind w:left="360" w:hanging="360"/>
      </w:pPr>
      <w:rPr>
        <w:rFonts w:ascii="Symbol" w:hAnsi="Symbol" w:hint="default"/>
      </w:rPr>
    </w:lvl>
  </w:abstractNum>
  <w:abstractNum w:abstractNumId="8">
    <w:nsid w:val="35EB42B5"/>
    <w:multiLevelType w:val="hybridMultilevel"/>
    <w:tmpl w:val="C4CA20FC"/>
    <w:lvl w:ilvl="0" w:tplc="B1C8B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C426D4"/>
    <w:multiLevelType w:val="hybridMultilevel"/>
    <w:tmpl w:val="86A4B504"/>
    <w:lvl w:ilvl="0" w:tplc="CC324B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D3427A"/>
    <w:multiLevelType w:val="hybridMultilevel"/>
    <w:tmpl w:val="26969756"/>
    <w:lvl w:ilvl="0" w:tplc="DF10FBC4">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047B9"/>
    <w:multiLevelType w:val="hybridMultilevel"/>
    <w:tmpl w:val="1392052C"/>
    <w:lvl w:ilvl="0" w:tplc="E9088EC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C1902"/>
    <w:multiLevelType w:val="hybridMultilevel"/>
    <w:tmpl w:val="46F24798"/>
    <w:lvl w:ilvl="0" w:tplc="088ADEE2">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0A"/>
    <w:rsid w:val="00052F20"/>
    <w:rsid w:val="000B3D68"/>
    <w:rsid w:val="000C190E"/>
    <w:rsid w:val="000E0D44"/>
    <w:rsid w:val="000F643E"/>
    <w:rsid w:val="00130AE5"/>
    <w:rsid w:val="00142B94"/>
    <w:rsid w:val="001A5227"/>
    <w:rsid w:val="00213661"/>
    <w:rsid w:val="002442C8"/>
    <w:rsid w:val="00247B00"/>
    <w:rsid w:val="002770AB"/>
    <w:rsid w:val="002A1710"/>
    <w:rsid w:val="002B2ACF"/>
    <w:rsid w:val="002B331A"/>
    <w:rsid w:val="002C2004"/>
    <w:rsid w:val="002D3154"/>
    <w:rsid w:val="002E54AC"/>
    <w:rsid w:val="00301EF1"/>
    <w:rsid w:val="00304B7F"/>
    <w:rsid w:val="00316D6A"/>
    <w:rsid w:val="003253D2"/>
    <w:rsid w:val="00347D0A"/>
    <w:rsid w:val="003A59C7"/>
    <w:rsid w:val="003D130A"/>
    <w:rsid w:val="004008CA"/>
    <w:rsid w:val="00401E96"/>
    <w:rsid w:val="00406285"/>
    <w:rsid w:val="004126E6"/>
    <w:rsid w:val="00460F72"/>
    <w:rsid w:val="004D2381"/>
    <w:rsid w:val="004D2F56"/>
    <w:rsid w:val="004E58C5"/>
    <w:rsid w:val="004E689D"/>
    <w:rsid w:val="005205C2"/>
    <w:rsid w:val="00544725"/>
    <w:rsid w:val="005701AB"/>
    <w:rsid w:val="005733FA"/>
    <w:rsid w:val="005B5B05"/>
    <w:rsid w:val="005E4EEE"/>
    <w:rsid w:val="005F5F0E"/>
    <w:rsid w:val="006328BD"/>
    <w:rsid w:val="00651EBB"/>
    <w:rsid w:val="00667688"/>
    <w:rsid w:val="00671CDB"/>
    <w:rsid w:val="0067771B"/>
    <w:rsid w:val="006A46B4"/>
    <w:rsid w:val="006E121C"/>
    <w:rsid w:val="00710483"/>
    <w:rsid w:val="007110D3"/>
    <w:rsid w:val="007363A4"/>
    <w:rsid w:val="00761AB2"/>
    <w:rsid w:val="00764EB3"/>
    <w:rsid w:val="00773C44"/>
    <w:rsid w:val="00795035"/>
    <w:rsid w:val="007E63BF"/>
    <w:rsid w:val="007F2E94"/>
    <w:rsid w:val="00865454"/>
    <w:rsid w:val="00867586"/>
    <w:rsid w:val="008A2938"/>
    <w:rsid w:val="008D37C4"/>
    <w:rsid w:val="008D5A82"/>
    <w:rsid w:val="008E0F88"/>
    <w:rsid w:val="008F2FC5"/>
    <w:rsid w:val="008F4ED6"/>
    <w:rsid w:val="009049A8"/>
    <w:rsid w:val="0091353E"/>
    <w:rsid w:val="009249BD"/>
    <w:rsid w:val="009400AA"/>
    <w:rsid w:val="00945A08"/>
    <w:rsid w:val="009505C2"/>
    <w:rsid w:val="009C1D29"/>
    <w:rsid w:val="009C74DD"/>
    <w:rsid w:val="00A00F6B"/>
    <w:rsid w:val="00A132CF"/>
    <w:rsid w:val="00A40F73"/>
    <w:rsid w:val="00A668FD"/>
    <w:rsid w:val="00A71EE8"/>
    <w:rsid w:val="00A96950"/>
    <w:rsid w:val="00AC6269"/>
    <w:rsid w:val="00AD5FBF"/>
    <w:rsid w:val="00AD70E5"/>
    <w:rsid w:val="00B02D87"/>
    <w:rsid w:val="00B92AF6"/>
    <w:rsid w:val="00BB2833"/>
    <w:rsid w:val="00BC1168"/>
    <w:rsid w:val="00BD568F"/>
    <w:rsid w:val="00BE2522"/>
    <w:rsid w:val="00C05F2E"/>
    <w:rsid w:val="00C16DE8"/>
    <w:rsid w:val="00C8075B"/>
    <w:rsid w:val="00C874E8"/>
    <w:rsid w:val="00CA1AE9"/>
    <w:rsid w:val="00D526DC"/>
    <w:rsid w:val="00D63C53"/>
    <w:rsid w:val="00D72F93"/>
    <w:rsid w:val="00DC5415"/>
    <w:rsid w:val="00DF3DFF"/>
    <w:rsid w:val="00E00B34"/>
    <w:rsid w:val="00E45BB3"/>
    <w:rsid w:val="00E4654C"/>
    <w:rsid w:val="00E72D35"/>
    <w:rsid w:val="00ED6FC6"/>
    <w:rsid w:val="00EE3E84"/>
    <w:rsid w:val="00F0363F"/>
    <w:rsid w:val="00F23976"/>
    <w:rsid w:val="00F3406B"/>
    <w:rsid w:val="00F37DC5"/>
    <w:rsid w:val="00F82D9E"/>
    <w:rsid w:val="00F90ADB"/>
    <w:rsid w:val="00F91D1E"/>
    <w:rsid w:val="00F94DB2"/>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EE3E84"/>
    <w:pPr>
      <w:keepNext/>
      <w:keepLines/>
      <w:numPr>
        <w:numId w:val="13"/>
      </w:numPr>
      <w:spacing w:after="240"/>
      <w:ind w:left="720"/>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EE3E84"/>
    <w:pPr>
      <w:keepNext/>
      <w:keepLines/>
      <w:spacing w:after="240"/>
      <w:ind w:left="1440" w:right="720" w:hanging="720"/>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3D1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3D130A"/>
    <w:rPr>
      <w:rFonts w:ascii="Courier New" w:eastAsia="Courier New" w:hAnsi="Courier New" w:cs="Courier New"/>
      <w:sz w:val="20"/>
      <w:szCs w:val="20"/>
    </w:rPr>
  </w:style>
  <w:style w:type="paragraph" w:styleId="FootnoteText">
    <w:name w:val="footnote text"/>
    <w:basedOn w:val="Normal"/>
    <w:link w:val="FootnoteTextChar"/>
    <w:semiHidden/>
    <w:unhideWhenUsed/>
    <w:rsid w:val="003D130A"/>
    <w:pPr>
      <w:spacing w:before="120"/>
    </w:pPr>
    <w:rPr>
      <w:sz w:val="20"/>
    </w:rPr>
  </w:style>
  <w:style w:type="character" w:customStyle="1" w:styleId="FootnoteTextChar">
    <w:name w:val="Footnote Text Char"/>
    <w:basedOn w:val="DefaultParagraphFont"/>
    <w:link w:val="FootnoteText"/>
    <w:semiHidden/>
    <w:rsid w:val="003D130A"/>
    <w:rPr>
      <w:rFonts w:ascii="Times New Roman" w:eastAsia="Times New Roman" w:hAnsi="Times New Roman" w:cs="Times New Roman"/>
      <w:sz w:val="20"/>
      <w:szCs w:val="20"/>
    </w:rPr>
  </w:style>
  <w:style w:type="character" w:styleId="FootnoteReference">
    <w:name w:val="footnote reference"/>
    <w:semiHidden/>
    <w:unhideWhenUsed/>
    <w:rsid w:val="003D130A"/>
    <w:rPr>
      <w:vertAlign w:val="superscript"/>
    </w:rPr>
  </w:style>
  <w:style w:type="paragraph" w:styleId="ListParagraph">
    <w:name w:val="List Paragraph"/>
    <w:basedOn w:val="Normal"/>
    <w:uiPriority w:val="34"/>
    <w:qFormat/>
    <w:rsid w:val="003D130A"/>
    <w:pPr>
      <w:ind w:left="720"/>
      <w:contextualSpacing/>
    </w:pPr>
  </w:style>
  <w:style w:type="paragraph" w:styleId="BalloonText">
    <w:name w:val="Balloon Text"/>
    <w:basedOn w:val="Normal"/>
    <w:link w:val="BalloonTextChar"/>
    <w:uiPriority w:val="99"/>
    <w:semiHidden/>
    <w:unhideWhenUsed/>
    <w:rsid w:val="007F2E94"/>
    <w:rPr>
      <w:rFonts w:ascii="Tahoma" w:hAnsi="Tahoma" w:cs="Tahoma"/>
      <w:sz w:val="16"/>
      <w:szCs w:val="16"/>
    </w:rPr>
  </w:style>
  <w:style w:type="character" w:customStyle="1" w:styleId="BalloonTextChar">
    <w:name w:val="Balloon Text Char"/>
    <w:basedOn w:val="DefaultParagraphFont"/>
    <w:link w:val="BalloonText"/>
    <w:uiPriority w:val="99"/>
    <w:semiHidden/>
    <w:rsid w:val="007F2E94"/>
    <w:rPr>
      <w:rFonts w:ascii="Tahoma" w:eastAsia="Times New Roman" w:hAnsi="Tahoma" w:cs="Tahoma"/>
      <w:sz w:val="16"/>
      <w:szCs w:val="16"/>
    </w:rPr>
  </w:style>
  <w:style w:type="character" w:customStyle="1" w:styleId="Heading1Char">
    <w:name w:val="Heading 1 Char"/>
    <w:basedOn w:val="DefaultParagraphFont"/>
    <w:link w:val="Heading1"/>
    <w:uiPriority w:val="9"/>
    <w:rsid w:val="00EE3E8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EE3E84"/>
    <w:rPr>
      <w:rFonts w:ascii="Times New Roman Bold" w:eastAsiaTheme="majorEastAsia" w:hAnsi="Times New Roman Bold" w:cstheme="majorBidi"/>
      <w:b/>
      <w:bCs/>
      <w:sz w:val="24"/>
      <w:szCs w:val="26"/>
    </w:rPr>
  </w:style>
  <w:style w:type="paragraph" w:styleId="Header">
    <w:name w:val="header"/>
    <w:basedOn w:val="Normal"/>
    <w:link w:val="HeaderChar"/>
    <w:uiPriority w:val="99"/>
    <w:unhideWhenUsed/>
    <w:rsid w:val="005205C2"/>
    <w:pPr>
      <w:tabs>
        <w:tab w:val="center" w:pos="4680"/>
        <w:tab w:val="right" w:pos="9360"/>
      </w:tabs>
    </w:pPr>
  </w:style>
  <w:style w:type="character" w:customStyle="1" w:styleId="HeaderChar">
    <w:name w:val="Header Char"/>
    <w:basedOn w:val="DefaultParagraphFont"/>
    <w:link w:val="Header"/>
    <w:uiPriority w:val="99"/>
    <w:rsid w:val="005205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05C2"/>
    <w:pPr>
      <w:tabs>
        <w:tab w:val="center" w:pos="4680"/>
        <w:tab w:val="right" w:pos="9360"/>
      </w:tabs>
    </w:pPr>
  </w:style>
  <w:style w:type="character" w:customStyle="1" w:styleId="FooterChar">
    <w:name w:val="Footer Char"/>
    <w:basedOn w:val="DefaultParagraphFont"/>
    <w:link w:val="Footer"/>
    <w:uiPriority w:val="99"/>
    <w:rsid w:val="005205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7771B"/>
    <w:rPr>
      <w:sz w:val="16"/>
      <w:szCs w:val="16"/>
    </w:rPr>
  </w:style>
  <w:style w:type="paragraph" w:styleId="CommentText">
    <w:name w:val="annotation text"/>
    <w:basedOn w:val="Normal"/>
    <w:link w:val="CommentTextChar"/>
    <w:uiPriority w:val="99"/>
    <w:semiHidden/>
    <w:unhideWhenUsed/>
    <w:rsid w:val="0067771B"/>
    <w:rPr>
      <w:sz w:val="20"/>
    </w:rPr>
  </w:style>
  <w:style w:type="character" w:customStyle="1" w:styleId="CommentTextChar">
    <w:name w:val="Comment Text Char"/>
    <w:basedOn w:val="DefaultParagraphFont"/>
    <w:link w:val="CommentText"/>
    <w:uiPriority w:val="99"/>
    <w:semiHidden/>
    <w:rsid w:val="006777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771B"/>
    <w:rPr>
      <w:b/>
      <w:bCs/>
    </w:rPr>
  </w:style>
  <w:style w:type="character" w:customStyle="1" w:styleId="CommentSubjectChar">
    <w:name w:val="Comment Subject Char"/>
    <w:basedOn w:val="CommentTextChar"/>
    <w:link w:val="CommentSubject"/>
    <w:uiPriority w:val="99"/>
    <w:semiHidden/>
    <w:rsid w:val="0067771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E3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EE3E84"/>
    <w:pPr>
      <w:keepNext/>
      <w:keepLines/>
      <w:numPr>
        <w:numId w:val="13"/>
      </w:numPr>
      <w:spacing w:after="240"/>
      <w:ind w:left="720"/>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EE3E84"/>
    <w:pPr>
      <w:keepNext/>
      <w:keepLines/>
      <w:spacing w:after="240"/>
      <w:ind w:left="1440" w:right="720" w:hanging="720"/>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3D1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3D130A"/>
    <w:rPr>
      <w:rFonts w:ascii="Courier New" w:eastAsia="Courier New" w:hAnsi="Courier New" w:cs="Courier New"/>
      <w:sz w:val="20"/>
      <w:szCs w:val="20"/>
    </w:rPr>
  </w:style>
  <w:style w:type="paragraph" w:styleId="FootnoteText">
    <w:name w:val="footnote text"/>
    <w:basedOn w:val="Normal"/>
    <w:link w:val="FootnoteTextChar"/>
    <w:semiHidden/>
    <w:unhideWhenUsed/>
    <w:rsid w:val="003D130A"/>
    <w:pPr>
      <w:spacing w:before="120"/>
    </w:pPr>
    <w:rPr>
      <w:sz w:val="20"/>
    </w:rPr>
  </w:style>
  <w:style w:type="character" w:customStyle="1" w:styleId="FootnoteTextChar">
    <w:name w:val="Footnote Text Char"/>
    <w:basedOn w:val="DefaultParagraphFont"/>
    <w:link w:val="FootnoteText"/>
    <w:semiHidden/>
    <w:rsid w:val="003D130A"/>
    <w:rPr>
      <w:rFonts w:ascii="Times New Roman" w:eastAsia="Times New Roman" w:hAnsi="Times New Roman" w:cs="Times New Roman"/>
      <w:sz w:val="20"/>
      <w:szCs w:val="20"/>
    </w:rPr>
  </w:style>
  <w:style w:type="character" w:styleId="FootnoteReference">
    <w:name w:val="footnote reference"/>
    <w:semiHidden/>
    <w:unhideWhenUsed/>
    <w:rsid w:val="003D130A"/>
    <w:rPr>
      <w:vertAlign w:val="superscript"/>
    </w:rPr>
  </w:style>
  <w:style w:type="paragraph" w:styleId="ListParagraph">
    <w:name w:val="List Paragraph"/>
    <w:basedOn w:val="Normal"/>
    <w:uiPriority w:val="34"/>
    <w:qFormat/>
    <w:rsid w:val="003D130A"/>
    <w:pPr>
      <w:ind w:left="720"/>
      <w:contextualSpacing/>
    </w:pPr>
  </w:style>
  <w:style w:type="paragraph" w:styleId="BalloonText">
    <w:name w:val="Balloon Text"/>
    <w:basedOn w:val="Normal"/>
    <w:link w:val="BalloonTextChar"/>
    <w:uiPriority w:val="99"/>
    <w:semiHidden/>
    <w:unhideWhenUsed/>
    <w:rsid w:val="007F2E94"/>
    <w:rPr>
      <w:rFonts w:ascii="Tahoma" w:hAnsi="Tahoma" w:cs="Tahoma"/>
      <w:sz w:val="16"/>
      <w:szCs w:val="16"/>
    </w:rPr>
  </w:style>
  <w:style w:type="character" w:customStyle="1" w:styleId="BalloonTextChar">
    <w:name w:val="Balloon Text Char"/>
    <w:basedOn w:val="DefaultParagraphFont"/>
    <w:link w:val="BalloonText"/>
    <w:uiPriority w:val="99"/>
    <w:semiHidden/>
    <w:rsid w:val="007F2E94"/>
    <w:rPr>
      <w:rFonts w:ascii="Tahoma" w:eastAsia="Times New Roman" w:hAnsi="Tahoma" w:cs="Tahoma"/>
      <w:sz w:val="16"/>
      <w:szCs w:val="16"/>
    </w:rPr>
  </w:style>
  <w:style w:type="character" w:customStyle="1" w:styleId="Heading1Char">
    <w:name w:val="Heading 1 Char"/>
    <w:basedOn w:val="DefaultParagraphFont"/>
    <w:link w:val="Heading1"/>
    <w:uiPriority w:val="9"/>
    <w:rsid w:val="00EE3E8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EE3E84"/>
    <w:rPr>
      <w:rFonts w:ascii="Times New Roman Bold" w:eastAsiaTheme="majorEastAsia" w:hAnsi="Times New Roman Bold" w:cstheme="majorBidi"/>
      <w:b/>
      <w:bCs/>
      <w:sz w:val="24"/>
      <w:szCs w:val="26"/>
    </w:rPr>
  </w:style>
  <w:style w:type="paragraph" w:styleId="Header">
    <w:name w:val="header"/>
    <w:basedOn w:val="Normal"/>
    <w:link w:val="HeaderChar"/>
    <w:uiPriority w:val="99"/>
    <w:unhideWhenUsed/>
    <w:rsid w:val="005205C2"/>
    <w:pPr>
      <w:tabs>
        <w:tab w:val="center" w:pos="4680"/>
        <w:tab w:val="right" w:pos="9360"/>
      </w:tabs>
    </w:pPr>
  </w:style>
  <w:style w:type="character" w:customStyle="1" w:styleId="HeaderChar">
    <w:name w:val="Header Char"/>
    <w:basedOn w:val="DefaultParagraphFont"/>
    <w:link w:val="Header"/>
    <w:uiPriority w:val="99"/>
    <w:rsid w:val="005205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05C2"/>
    <w:pPr>
      <w:tabs>
        <w:tab w:val="center" w:pos="4680"/>
        <w:tab w:val="right" w:pos="9360"/>
      </w:tabs>
    </w:pPr>
  </w:style>
  <w:style w:type="character" w:customStyle="1" w:styleId="FooterChar">
    <w:name w:val="Footer Char"/>
    <w:basedOn w:val="DefaultParagraphFont"/>
    <w:link w:val="Footer"/>
    <w:uiPriority w:val="99"/>
    <w:rsid w:val="005205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7771B"/>
    <w:rPr>
      <w:sz w:val="16"/>
      <w:szCs w:val="16"/>
    </w:rPr>
  </w:style>
  <w:style w:type="paragraph" w:styleId="CommentText">
    <w:name w:val="annotation text"/>
    <w:basedOn w:val="Normal"/>
    <w:link w:val="CommentTextChar"/>
    <w:uiPriority w:val="99"/>
    <w:semiHidden/>
    <w:unhideWhenUsed/>
    <w:rsid w:val="0067771B"/>
    <w:rPr>
      <w:sz w:val="20"/>
    </w:rPr>
  </w:style>
  <w:style w:type="character" w:customStyle="1" w:styleId="CommentTextChar">
    <w:name w:val="Comment Text Char"/>
    <w:basedOn w:val="DefaultParagraphFont"/>
    <w:link w:val="CommentText"/>
    <w:uiPriority w:val="99"/>
    <w:semiHidden/>
    <w:rsid w:val="006777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771B"/>
    <w:rPr>
      <w:b/>
      <w:bCs/>
    </w:rPr>
  </w:style>
  <w:style w:type="character" w:customStyle="1" w:styleId="CommentSubjectChar">
    <w:name w:val="Comment Subject Char"/>
    <w:basedOn w:val="CommentTextChar"/>
    <w:link w:val="CommentSubject"/>
    <w:uiPriority w:val="99"/>
    <w:semiHidden/>
    <w:rsid w:val="0067771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E3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ames.lynn@puc.state.oh.u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whit@whitt-sturtevant.com" TargetMode="External"/><Relationship Id="rId2" Type="http://schemas.openxmlformats.org/officeDocument/2006/relationships/styles" Target="styles.xml"/><Relationship Id="rId16" Type="http://schemas.openxmlformats.org/officeDocument/2006/relationships/hyperlink" Target="mailto:Campbell@whitt-sturtevant.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illiam.wright@puc.state.oh.u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di.bair@occ.ohi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8085</Characters>
  <Application>Microsoft Office Word</Application>
  <DocSecurity>0</DocSecurity>
  <Lines>201</Lines>
  <Paragraphs>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2015-02-25T18:26:00Z</cp:lastPrinted>
  <dcterms:created xsi:type="dcterms:W3CDTF">2015-02-26T17:19:00Z</dcterms:created>
  <dcterms:modified xsi:type="dcterms:W3CDTF">2015-02-26T17:19:00Z</dcterms:modified>
  <cp:category> </cp:category>
  <cp:contentStatus> </cp:contentStatus>
</cp:coreProperties>
</file>