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5365F6">
        <w:rPr>
          <w:rFonts w:ascii="Times New Roman" w:eastAsia="Calibri" w:hAnsi="Times New Roman" w:cs="Times New Roman"/>
          <w:b/>
          <w:bCs/>
          <w:sz w:val="24"/>
          <w:szCs w:val="24"/>
        </w:rPr>
        <w:t>BEFORE</w:t>
      </w:r>
    </w:p>
    <w:p w:rsidR="00276B64"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945974"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3A3923">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945974" w:rsidRPr="00945974" w:rsidP="003A3923">
            <w:pPr>
              <w:autoSpaceDE w:val="0"/>
              <w:autoSpaceDN w:val="0"/>
              <w:adjustRightInd w:val="0"/>
              <w:rPr>
                <w:rStyle w:val="DefaultParagraphFont"/>
                <w:rFonts w:ascii="Times New Roman" w:hAnsi="Times New Roman" w:eastAsiaTheme="minorHAnsi" w:cs="Times New Roman"/>
                <w:sz w:val="22"/>
                <w:szCs w:val="22"/>
                <w:lang w:val="en-US" w:eastAsia="en-US" w:bidi="ar-SA"/>
              </w:rPr>
            </w:pPr>
            <w:r w:rsidRPr="00945974">
              <w:rPr>
                <w:rFonts w:ascii="Times New Roman" w:hAnsi="Times New Roman" w:eastAsiaTheme="minorHAnsi" w:cs="Times New Roman"/>
                <w:sz w:val="24"/>
                <w:szCs w:val="22"/>
                <w:lang w:val="en-US" w:eastAsia="en-US" w:bidi="ar-SA"/>
              </w:rPr>
              <w:t>In the Matter of the Determination of the Existence of Significantly Excessive Earnings for 2017 Under the Electric Security Plans of Ohio Edison Company, The Cleveland Electric Illuminating Company, and The Toledo Edison Company.</w:t>
            </w:r>
          </w:p>
        </w:tc>
        <w:tc>
          <w:tcPr>
            <w:tcW w:w="360" w:type="dxa"/>
            <w:shd w:val="clear" w:color="auto" w:fill="auto"/>
          </w:tcPr>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Case No. 18-857-EL-UNC</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276B64" w:rsidRPr="005365F6" w:rsidP="00276B64">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76B6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INITIAL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410A86" w:rsidP="00276B64">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p>
    <w:p w:rsidR="00945974" w:rsidP="00945974">
      <w:pPr>
        <w:ind w:left="4320"/>
        <w:rPr>
          <w:rFonts w:ascii="Times New Roman" w:eastAsia="Times New Roman" w:hAnsi="Times New Roman" w:cs="Times New Roman"/>
          <w:sz w:val="24"/>
          <w:szCs w:val="20"/>
        </w:rPr>
      </w:pPr>
    </w:p>
    <w:p w:rsidR="00945974" w:rsidP="00945974">
      <w:pPr>
        <w:ind w:left="4320"/>
        <w:rPr>
          <w:rFonts w:ascii="Times New Roman" w:eastAsia="Times New Roman" w:hAnsi="Times New Roman" w:cs="Times New Roman"/>
          <w:sz w:val="24"/>
          <w:szCs w:val="20"/>
        </w:rPr>
      </w:pPr>
    </w:p>
    <w:p w:rsidR="00945974" w:rsidP="00945974">
      <w:pPr>
        <w:ind w:left="4320"/>
        <w:rPr>
          <w:rFonts w:ascii="Times New Roman" w:eastAsia="Times New Roman" w:hAnsi="Times New Roman" w:cs="Times New Roman"/>
          <w:sz w:val="24"/>
          <w:szCs w:val="20"/>
        </w:rPr>
      </w:pPr>
    </w:p>
    <w:p w:rsidR="009C517A" w:rsidP="00945974">
      <w:pPr>
        <w:spacing w:after="0" w:line="240" w:lineRule="auto"/>
        <w:ind w:left="4320"/>
        <w:rPr>
          <w:rFonts w:ascii="Times New Roman" w:eastAsia="Times New Roman" w:hAnsi="Times New Roman" w:cs="Times New Roman"/>
          <w:sz w:val="24"/>
          <w:szCs w:val="20"/>
        </w:rPr>
      </w:pPr>
    </w:p>
    <w:p w:rsidR="009C517A" w:rsidP="00945974">
      <w:pPr>
        <w:spacing w:after="0" w:line="240" w:lineRule="auto"/>
        <w:ind w:left="4320"/>
        <w:rPr>
          <w:rFonts w:ascii="Times New Roman" w:eastAsia="Times New Roman" w:hAnsi="Times New Roman" w:cs="Times New Roman"/>
          <w:sz w:val="24"/>
          <w:szCs w:val="20"/>
        </w:rPr>
      </w:pPr>
    </w:p>
    <w:p w:rsidR="009C517A" w:rsidP="00945974">
      <w:pPr>
        <w:spacing w:after="0" w:line="240" w:lineRule="auto"/>
        <w:ind w:left="4320"/>
        <w:rPr>
          <w:rFonts w:ascii="Times New Roman" w:eastAsia="Times New Roman" w:hAnsi="Times New Roman" w:cs="Times New Roman"/>
          <w:sz w:val="24"/>
          <w:szCs w:val="20"/>
        </w:rPr>
      </w:pPr>
    </w:p>
    <w:p w:rsidR="00945974" w:rsidRPr="00945974" w:rsidP="00945974">
      <w:pPr>
        <w:spacing w:after="0" w:line="240" w:lineRule="auto"/>
        <w:ind w:left="4320"/>
        <w:rPr>
          <w:rFonts w:ascii="Times New Roman" w:eastAsia="Times New Roman" w:hAnsi="Times New Roman" w:cs="Times New Roman"/>
          <w:sz w:val="24"/>
          <w:szCs w:val="20"/>
        </w:rPr>
      </w:pPr>
      <w:r w:rsidRPr="00945974">
        <w:rPr>
          <w:rFonts w:ascii="Times New Roman" w:eastAsia="Times New Roman" w:hAnsi="Times New Roman" w:cs="Times New Roman"/>
          <w:sz w:val="24"/>
          <w:szCs w:val="20"/>
        </w:rPr>
        <w:t>Bruce Weston (0016973)</w:t>
      </w:r>
    </w:p>
    <w:p w:rsidR="00945974" w:rsidRPr="00945974" w:rsidP="00945974">
      <w:pPr>
        <w:tabs>
          <w:tab w:val="left" w:pos="4320"/>
        </w:tabs>
        <w:spacing w:after="0" w:line="240" w:lineRule="auto"/>
        <w:ind w:left="4320"/>
        <w:rPr>
          <w:rFonts w:ascii="Times New Roman" w:eastAsia="Times New Roman" w:hAnsi="Times New Roman" w:cs="Times New Roman"/>
          <w:sz w:val="24"/>
          <w:szCs w:val="24"/>
        </w:rPr>
      </w:pPr>
      <w:r w:rsidRPr="00945974">
        <w:rPr>
          <w:rFonts w:ascii="Times New Roman" w:eastAsia="Times New Roman" w:hAnsi="Times New Roman" w:cs="Times New Roman"/>
          <w:sz w:val="24"/>
          <w:szCs w:val="24"/>
        </w:rPr>
        <w:t>Ohio Consumers' Counsel</w:t>
      </w:r>
    </w:p>
    <w:p w:rsidR="00945974" w:rsidRPr="00945974" w:rsidP="00945974">
      <w:pPr>
        <w:tabs>
          <w:tab w:val="left" w:pos="4320"/>
        </w:tabs>
        <w:spacing w:after="0" w:line="240" w:lineRule="auto"/>
        <w:ind w:left="4320"/>
        <w:rPr>
          <w:rFonts w:ascii="Times New Roman" w:eastAsia="Times New Roman" w:hAnsi="Times New Roman" w:cs="Times New Roman"/>
          <w:sz w:val="24"/>
          <w:szCs w:val="24"/>
        </w:rPr>
      </w:pPr>
    </w:p>
    <w:p w:rsidR="00945974" w:rsidRPr="00945974" w:rsidP="00945974">
      <w:pPr>
        <w:tabs>
          <w:tab w:val="left" w:pos="4320"/>
        </w:tabs>
        <w:spacing w:after="0" w:line="240" w:lineRule="auto"/>
        <w:ind w:left="4320"/>
        <w:rPr>
          <w:rFonts w:ascii="Times New Roman" w:eastAsia="Times New Roman" w:hAnsi="Times New Roman" w:cs="Times New Roman"/>
          <w:sz w:val="24"/>
          <w:szCs w:val="24"/>
        </w:rPr>
      </w:pPr>
      <w:r w:rsidRPr="00945974">
        <w:rPr>
          <w:rFonts w:ascii="Times New Roman" w:eastAsia="Times New Roman" w:hAnsi="Times New Roman" w:cs="Times New Roman"/>
          <w:sz w:val="24"/>
          <w:szCs w:val="24"/>
        </w:rPr>
        <w:t>William Michael (0070921)</w:t>
      </w:r>
    </w:p>
    <w:p w:rsidR="00945974" w:rsidRPr="00945974" w:rsidP="00945974">
      <w:pPr>
        <w:tabs>
          <w:tab w:val="left" w:pos="4320"/>
        </w:tabs>
        <w:spacing w:after="0" w:line="240" w:lineRule="auto"/>
        <w:ind w:left="4320"/>
        <w:rPr>
          <w:rFonts w:ascii="Times New Roman" w:eastAsia="Times New Roman" w:hAnsi="Times New Roman" w:cs="Times New Roman"/>
          <w:sz w:val="24"/>
          <w:szCs w:val="24"/>
        </w:rPr>
      </w:pPr>
      <w:r w:rsidRPr="00945974">
        <w:rPr>
          <w:rFonts w:ascii="Times New Roman" w:eastAsia="Times New Roman" w:hAnsi="Times New Roman" w:cs="Times New Roman"/>
          <w:sz w:val="24"/>
          <w:szCs w:val="24"/>
        </w:rPr>
        <w:t>Counsel of Record</w:t>
      </w:r>
    </w:p>
    <w:p w:rsidR="00945974" w:rsidP="00945974">
      <w:pPr>
        <w:tabs>
          <w:tab w:val="left" w:pos="4320"/>
        </w:tabs>
        <w:spacing w:after="0" w:line="240" w:lineRule="auto"/>
        <w:ind w:left="4320"/>
        <w:rPr>
          <w:rFonts w:ascii="Times New Roman" w:eastAsia="Times New Roman" w:hAnsi="Times New Roman" w:cs="Times New Roman"/>
          <w:sz w:val="24"/>
          <w:szCs w:val="24"/>
        </w:rPr>
      </w:pPr>
      <w:r w:rsidRPr="00945974">
        <w:rPr>
          <w:rFonts w:ascii="Times New Roman" w:eastAsia="Times New Roman" w:hAnsi="Times New Roman" w:cs="Times New Roman"/>
          <w:sz w:val="24"/>
          <w:szCs w:val="24"/>
        </w:rPr>
        <w:t>Assistant Consumers' Counsel</w:t>
      </w:r>
    </w:p>
    <w:p w:rsidR="00385332" w:rsidRPr="00945974" w:rsidP="00945974">
      <w:pPr>
        <w:tabs>
          <w:tab w:val="left" w:pos="4320"/>
        </w:tabs>
        <w:spacing w:after="0" w:line="240" w:lineRule="auto"/>
        <w:ind w:left="4320"/>
        <w:rPr>
          <w:rFonts w:ascii="Times New Roman" w:eastAsia="Times New Roman" w:hAnsi="Times New Roman" w:cs="Times New Roman"/>
          <w:sz w:val="24"/>
          <w:szCs w:val="24"/>
        </w:rPr>
      </w:pPr>
    </w:p>
    <w:p w:rsidR="00945974" w:rsidRPr="00385332" w:rsidP="00385332">
      <w:pPr>
        <w:spacing w:after="0" w:line="240" w:lineRule="auto"/>
        <w:ind w:left="4320"/>
        <w:rPr>
          <w:rFonts w:ascii="Times New Roman" w:hAnsi="Times New Roman" w:cs="Times New Roman"/>
          <w:b/>
          <w:sz w:val="24"/>
          <w:szCs w:val="24"/>
        </w:rPr>
      </w:pPr>
      <w:r w:rsidRPr="00385332">
        <w:rPr>
          <w:rFonts w:ascii="Times New Roman" w:hAnsi="Times New Roman" w:cs="Times New Roman"/>
          <w:b/>
          <w:sz w:val="24"/>
          <w:szCs w:val="24"/>
        </w:rPr>
        <w:t>Office of the Ohio Consumers’ Counsel</w:t>
      </w:r>
    </w:p>
    <w:p w:rsidR="00945974" w:rsidRPr="00385332" w:rsidP="00385332">
      <w:pPr>
        <w:spacing w:after="0" w:line="240" w:lineRule="auto"/>
        <w:ind w:left="4320"/>
        <w:rPr>
          <w:rFonts w:ascii="Times New Roman" w:hAnsi="Times New Roman" w:cs="Times New Roman"/>
          <w:sz w:val="24"/>
          <w:szCs w:val="24"/>
        </w:rPr>
      </w:pPr>
      <w:r w:rsidRPr="00385332">
        <w:rPr>
          <w:rFonts w:ascii="Times New Roman" w:hAnsi="Times New Roman" w:cs="Times New Roman"/>
          <w:sz w:val="24"/>
          <w:szCs w:val="24"/>
        </w:rPr>
        <w:t>65 East State Street, 7th Floor</w:t>
      </w:r>
    </w:p>
    <w:p w:rsidR="00945974" w:rsidRPr="00385332" w:rsidP="00385332">
      <w:pPr>
        <w:spacing w:after="0" w:line="240" w:lineRule="auto"/>
        <w:ind w:left="4320"/>
        <w:rPr>
          <w:rFonts w:ascii="Times New Roman" w:hAnsi="Times New Roman" w:cs="Times New Roman"/>
          <w:sz w:val="24"/>
          <w:szCs w:val="24"/>
        </w:rPr>
      </w:pPr>
      <w:r w:rsidRPr="00385332">
        <w:rPr>
          <w:rFonts w:ascii="Times New Roman" w:hAnsi="Times New Roman" w:cs="Times New Roman"/>
          <w:sz w:val="24"/>
          <w:szCs w:val="24"/>
        </w:rPr>
        <w:t>Columbus, Ohio 43215</w:t>
      </w:r>
    </w:p>
    <w:p w:rsidR="00945974" w:rsidRPr="00945974" w:rsidP="00945974">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945974">
        <w:rPr>
          <w:rFonts w:ascii="Times New Roman" w:eastAsia="Times New Roman" w:hAnsi="Times New Roman" w:cs="Times New Roman"/>
          <w:sz w:val="24"/>
          <w:szCs w:val="24"/>
        </w:rPr>
        <w:t>Telephone [Michael]: (614) 466-1291</w:t>
      </w:r>
    </w:p>
    <w:p w:rsidR="00945974" w:rsidP="00945974">
      <w:pPr>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0"/>
        </w:rPr>
        <w:t>January 8, 2019</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fldChar w:fldCharType="begin"/>
      </w:r>
      <w:r>
        <w:instrText xml:space="preserve"> HYPERLINK "mailto:william.michael@occ.ohio.gov" </w:instrText>
      </w:r>
      <w:r>
        <w:fldChar w:fldCharType="separate"/>
      </w:r>
      <w:r w:rsidRPr="00945974">
        <w:rPr>
          <w:rStyle w:val="Hyperlink"/>
          <w:rFonts w:ascii="Times New Roman" w:eastAsia="Times New Roman" w:hAnsi="Times New Roman" w:cs="Times New Roman"/>
          <w:sz w:val="24"/>
          <w:szCs w:val="24"/>
        </w:rPr>
        <w:t>william.michael@occ.ohio.gov</w:t>
      </w:r>
      <w:r>
        <w:fldChar w:fldCharType="end"/>
      </w:r>
    </w:p>
    <w:p w:rsidR="00760FB1" w:rsidP="00945974">
      <w:pPr>
        <w:spacing w:after="0" w:line="240" w:lineRule="auto"/>
        <w:rPr>
          <w:rFonts w:ascii="Times New Roman" w:eastAsia="Times New Roman" w:hAnsi="Times New Roman" w:cs="Times New Roman"/>
          <w:color w:val="0000FF"/>
          <w:sz w:val="24"/>
          <w:szCs w:val="24"/>
          <w:u w:val="single"/>
        </w:rPr>
        <w:sectPr w:rsidSect="00276B6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b/>
          <w:sz w:val="24"/>
          <w:szCs w:val="24"/>
        </w:rPr>
        <w:t>TABLE OF CONTENTS</w:t>
      </w:r>
    </w:p>
    <w:p w:rsidR="00276B64" w:rsidRPr="005365F6" w:rsidP="00276B64">
      <w:pPr>
        <w:spacing w:after="0" w:line="240" w:lineRule="auto"/>
        <w:jc w:val="center"/>
        <w:rPr>
          <w:rFonts w:ascii="Times New Roman" w:eastAsia="Times New Roman" w:hAnsi="Times New Roman" w:cs="Times New Roman"/>
          <w:sz w:val="24"/>
          <w:szCs w:val="24"/>
        </w:rPr>
      </w:pPr>
    </w:p>
    <w:p w:rsidR="00276B64" w:rsidRPr="005365F6" w:rsidP="00276B64">
      <w:pPr>
        <w:spacing w:after="0" w:line="240" w:lineRule="auto"/>
        <w:jc w:val="center"/>
        <w:rPr>
          <w:rFonts w:ascii="Times New Roman" w:eastAsia="Times New Roman" w:hAnsi="Times New Roman" w:cs="Times New Roman"/>
          <w:b/>
          <w:sz w:val="24"/>
          <w:szCs w:val="24"/>
        </w:rPr>
      </w:pP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sz w:val="24"/>
          <w:szCs w:val="24"/>
        </w:rPr>
        <w:tab/>
      </w:r>
      <w:r w:rsidRPr="005365F6">
        <w:rPr>
          <w:rFonts w:ascii="Times New Roman" w:eastAsia="Times New Roman" w:hAnsi="Times New Roman" w:cs="Times New Roman"/>
          <w:b/>
          <w:sz w:val="24"/>
          <w:szCs w:val="24"/>
        </w:rPr>
        <w:t>PAGE</w:t>
      </w:r>
    </w:p>
    <w:p w:rsidR="00276B64" w:rsidRPr="005365F6" w:rsidP="00276B64">
      <w:pPr>
        <w:spacing w:after="0" w:line="240" w:lineRule="auto"/>
        <w:jc w:val="center"/>
        <w:rPr>
          <w:rFonts w:ascii="Times New Roman" w:eastAsia="Times New Roman" w:hAnsi="Times New Roman" w:cs="Times New Roman"/>
          <w:b/>
          <w:sz w:val="24"/>
          <w:szCs w:val="24"/>
        </w:rPr>
      </w:pPr>
    </w:p>
    <w:p w:rsidR="00760FB1">
      <w:pPr>
        <w:pStyle w:val="TOC1"/>
        <w:tabs>
          <w:tab w:val="right" w:leader="dot" w:pos="8630"/>
        </w:tabs>
        <w:rPr>
          <w:rFonts w:asciiTheme="minorHAnsi" w:eastAsiaTheme="minorEastAsia" w:hAnsiTheme="minorHAnsi"/>
          <w:noProof/>
          <w:sz w:val="22"/>
        </w:rPr>
      </w:pPr>
      <w:r w:rsidRPr="005365F6">
        <w:rPr>
          <w:rFonts w:eastAsia="Calibri" w:cs="Times New Roman"/>
          <w:b/>
          <w:bCs/>
          <w:szCs w:val="24"/>
        </w:rPr>
        <w:fldChar w:fldCharType="begin"/>
      </w:r>
      <w:r w:rsidRPr="005365F6">
        <w:rPr>
          <w:rFonts w:eastAsia="Calibri" w:cs="Times New Roman"/>
          <w:b/>
          <w:bCs/>
          <w:szCs w:val="24"/>
        </w:rPr>
        <w:instrText xml:space="preserve"> TOC \o "1-3" \h \z \u </w:instrText>
      </w:r>
      <w:r w:rsidRPr="005365F6">
        <w:rPr>
          <w:rFonts w:eastAsia="Calibri" w:cs="Times New Roman"/>
          <w:b/>
          <w:bCs/>
          <w:szCs w:val="24"/>
        </w:rPr>
        <w:fldChar w:fldCharType="separate"/>
      </w:r>
      <w:r>
        <w:fldChar w:fldCharType="begin"/>
      </w:r>
      <w:r>
        <w:instrText xml:space="preserve"> HYPERLINK \l "_Toc534639762" </w:instrText>
      </w:r>
      <w:r>
        <w:fldChar w:fldCharType="separate"/>
      </w:r>
      <w:r w:rsidRPr="00BF65B7">
        <w:rPr>
          <w:rStyle w:val="Hyperlink"/>
          <w:noProof/>
        </w:rPr>
        <w:t>I.</w:t>
      </w:r>
      <w:r>
        <w:rPr>
          <w:rFonts w:asciiTheme="minorHAnsi" w:eastAsiaTheme="minorEastAsia" w:hAnsiTheme="minorHAnsi"/>
          <w:noProof/>
          <w:sz w:val="22"/>
        </w:rPr>
        <w:tab/>
      </w:r>
      <w:r w:rsidRPr="00BF65B7">
        <w:rPr>
          <w:rStyle w:val="Hyperlink"/>
          <w:noProof/>
        </w:rPr>
        <w:t>INTRODUCTION</w:t>
      </w:r>
      <w:r>
        <w:rPr>
          <w:noProof/>
          <w:webHidden/>
        </w:rPr>
        <w:tab/>
      </w:r>
      <w:r>
        <w:rPr>
          <w:noProof/>
          <w:webHidden/>
        </w:rPr>
        <w:fldChar w:fldCharType="begin"/>
      </w:r>
      <w:r>
        <w:rPr>
          <w:noProof/>
          <w:webHidden/>
        </w:rPr>
        <w:instrText xml:space="preserve"> PAGEREF _Toc534639762 \h </w:instrText>
      </w:r>
      <w:r>
        <w:rPr>
          <w:noProof/>
          <w:webHidden/>
        </w:rPr>
        <w:fldChar w:fldCharType="separate"/>
      </w:r>
      <w:r>
        <w:rPr>
          <w:noProof/>
          <w:webHidden/>
        </w:rPr>
        <w:t>1</w:t>
      </w:r>
      <w:r>
        <w:rPr>
          <w:noProof/>
          <w:webHidden/>
        </w:rPr>
        <w:fldChar w:fldCharType="end"/>
      </w:r>
      <w:r>
        <w:fldChar w:fldCharType="end"/>
      </w:r>
    </w:p>
    <w:p w:rsidR="00760FB1">
      <w:pPr>
        <w:pStyle w:val="TOC1"/>
        <w:tabs>
          <w:tab w:val="right" w:leader="dot" w:pos="8630"/>
        </w:tabs>
        <w:rPr>
          <w:rFonts w:asciiTheme="minorHAnsi" w:eastAsiaTheme="minorEastAsia" w:hAnsiTheme="minorHAnsi"/>
          <w:noProof/>
          <w:sz w:val="22"/>
        </w:rPr>
      </w:pPr>
      <w:r>
        <w:fldChar w:fldCharType="begin"/>
      </w:r>
      <w:r>
        <w:instrText xml:space="preserve"> HYPERLINK \l "_Toc534639763" </w:instrText>
      </w:r>
      <w:r>
        <w:fldChar w:fldCharType="separate"/>
      </w:r>
      <w:r w:rsidRPr="00BF65B7">
        <w:rPr>
          <w:rStyle w:val="Hyperlink"/>
          <w:noProof/>
        </w:rPr>
        <w:t>II.</w:t>
      </w:r>
      <w:r>
        <w:rPr>
          <w:rFonts w:asciiTheme="minorHAnsi" w:eastAsiaTheme="minorEastAsia" w:hAnsiTheme="minorHAnsi"/>
          <w:noProof/>
          <w:sz w:val="22"/>
        </w:rPr>
        <w:tab/>
      </w:r>
      <w:r w:rsidRPr="00BF65B7">
        <w:rPr>
          <w:rStyle w:val="Hyperlink"/>
          <w:noProof/>
        </w:rPr>
        <w:t>BURDEN OF PROOF AND STANDARD OF REVIEW</w:t>
      </w:r>
      <w:r>
        <w:rPr>
          <w:noProof/>
          <w:webHidden/>
        </w:rPr>
        <w:tab/>
      </w:r>
      <w:r>
        <w:rPr>
          <w:noProof/>
          <w:webHidden/>
        </w:rPr>
        <w:fldChar w:fldCharType="begin"/>
      </w:r>
      <w:r>
        <w:rPr>
          <w:noProof/>
          <w:webHidden/>
        </w:rPr>
        <w:instrText xml:space="preserve"> PAGEREF _Toc534639763 \h </w:instrText>
      </w:r>
      <w:r>
        <w:rPr>
          <w:noProof/>
          <w:webHidden/>
        </w:rPr>
        <w:fldChar w:fldCharType="separate"/>
      </w:r>
      <w:r>
        <w:rPr>
          <w:noProof/>
          <w:webHidden/>
        </w:rPr>
        <w:t>3</w:t>
      </w:r>
      <w:r>
        <w:rPr>
          <w:noProof/>
          <w:webHidden/>
        </w:rPr>
        <w:fldChar w:fldCharType="end"/>
      </w:r>
      <w:r>
        <w:fldChar w:fldCharType="end"/>
      </w:r>
    </w:p>
    <w:p w:rsidR="00760FB1">
      <w:pPr>
        <w:pStyle w:val="TOC1"/>
        <w:tabs>
          <w:tab w:val="right" w:leader="dot" w:pos="8630"/>
        </w:tabs>
        <w:rPr>
          <w:rFonts w:asciiTheme="minorHAnsi" w:eastAsiaTheme="minorEastAsia" w:hAnsiTheme="minorHAnsi"/>
          <w:noProof/>
          <w:sz w:val="22"/>
        </w:rPr>
      </w:pPr>
      <w:r>
        <w:fldChar w:fldCharType="begin"/>
      </w:r>
      <w:r>
        <w:instrText xml:space="preserve"> HYPERLINK \l "_Toc534639764" </w:instrText>
      </w:r>
      <w:r>
        <w:fldChar w:fldCharType="separate"/>
      </w:r>
      <w:r w:rsidRPr="00BF65B7">
        <w:rPr>
          <w:rStyle w:val="Hyperlink"/>
          <w:noProof/>
        </w:rPr>
        <w:t>III.</w:t>
      </w:r>
      <w:r>
        <w:rPr>
          <w:rFonts w:asciiTheme="minorHAnsi" w:eastAsiaTheme="minorEastAsia" w:hAnsiTheme="minorHAnsi"/>
          <w:noProof/>
          <w:sz w:val="22"/>
        </w:rPr>
        <w:tab/>
      </w:r>
      <w:r w:rsidRPr="00BF65B7">
        <w:rPr>
          <w:rStyle w:val="Hyperlink"/>
          <w:noProof/>
        </w:rPr>
        <w:t>OVERVIEW OF THE SIGNIFICANTLY EXCESSIVE EARNINGS TEST</w:t>
      </w:r>
      <w:r>
        <w:rPr>
          <w:noProof/>
          <w:webHidden/>
        </w:rPr>
        <w:tab/>
      </w:r>
      <w:r>
        <w:rPr>
          <w:noProof/>
          <w:webHidden/>
        </w:rPr>
        <w:fldChar w:fldCharType="begin"/>
      </w:r>
      <w:r>
        <w:rPr>
          <w:noProof/>
          <w:webHidden/>
        </w:rPr>
        <w:instrText xml:space="preserve"> PAGEREF _Toc534639764 \h </w:instrText>
      </w:r>
      <w:r>
        <w:rPr>
          <w:noProof/>
          <w:webHidden/>
        </w:rPr>
        <w:fldChar w:fldCharType="separate"/>
      </w:r>
      <w:r>
        <w:rPr>
          <w:noProof/>
          <w:webHidden/>
        </w:rPr>
        <w:t>4</w:t>
      </w:r>
      <w:r>
        <w:rPr>
          <w:noProof/>
          <w:webHidden/>
        </w:rPr>
        <w:fldChar w:fldCharType="end"/>
      </w:r>
      <w:r>
        <w:fldChar w:fldCharType="end"/>
      </w:r>
    </w:p>
    <w:p w:rsidR="00760FB1">
      <w:pPr>
        <w:pStyle w:val="TOC1"/>
        <w:tabs>
          <w:tab w:val="right" w:leader="dot" w:pos="8630"/>
        </w:tabs>
        <w:rPr>
          <w:rFonts w:asciiTheme="minorHAnsi" w:eastAsiaTheme="minorEastAsia" w:hAnsiTheme="minorHAnsi"/>
          <w:noProof/>
          <w:sz w:val="22"/>
        </w:rPr>
      </w:pPr>
      <w:r>
        <w:fldChar w:fldCharType="begin"/>
      </w:r>
      <w:r>
        <w:instrText xml:space="preserve"> HYPERLINK \l "_Toc534639765" </w:instrText>
      </w:r>
      <w:r>
        <w:fldChar w:fldCharType="separate"/>
      </w:r>
      <w:r w:rsidRPr="00BF65B7">
        <w:rPr>
          <w:rStyle w:val="Hyperlink"/>
          <w:noProof/>
        </w:rPr>
        <w:t>IV.</w:t>
      </w:r>
      <w:r>
        <w:rPr>
          <w:rFonts w:asciiTheme="minorHAnsi" w:eastAsiaTheme="minorEastAsia" w:hAnsiTheme="minorHAnsi"/>
          <w:noProof/>
          <w:sz w:val="22"/>
        </w:rPr>
        <w:tab/>
      </w:r>
      <w:r w:rsidRPr="00BF65B7">
        <w:rPr>
          <w:rStyle w:val="Hyperlink"/>
          <w:noProof/>
        </w:rPr>
        <w:t>RECOMMENDATIONS</w:t>
      </w:r>
      <w:r>
        <w:rPr>
          <w:noProof/>
          <w:webHidden/>
        </w:rPr>
        <w:tab/>
      </w:r>
      <w:r>
        <w:rPr>
          <w:noProof/>
          <w:webHidden/>
        </w:rPr>
        <w:fldChar w:fldCharType="begin"/>
      </w:r>
      <w:r>
        <w:rPr>
          <w:noProof/>
          <w:webHidden/>
        </w:rPr>
        <w:instrText xml:space="preserve"> PAGEREF _Toc534639765 \h </w:instrText>
      </w:r>
      <w:r>
        <w:rPr>
          <w:noProof/>
          <w:webHidden/>
        </w:rPr>
        <w:fldChar w:fldCharType="separate"/>
      </w:r>
      <w:r>
        <w:rPr>
          <w:noProof/>
          <w:webHidden/>
        </w:rPr>
        <w:t>5</w:t>
      </w:r>
      <w:r>
        <w:rPr>
          <w:noProof/>
          <w:webHidden/>
        </w:rPr>
        <w:fldChar w:fldCharType="end"/>
      </w:r>
      <w:r>
        <w:fldChar w:fldCharType="end"/>
      </w:r>
    </w:p>
    <w:p w:rsidR="00760FB1">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"_Toc534639766" </w:instrText>
      </w:r>
      <w:r>
        <w:fldChar w:fldCharType="separate"/>
      </w:r>
      <w:r w:rsidRPr="00BF65B7">
        <w:rPr>
          <w:rStyle w:val="Hyperlink"/>
          <w:noProof/>
        </w:rPr>
        <w:t>A.</w:t>
      </w:r>
      <w:r>
        <w:rPr>
          <w:rFonts w:asciiTheme="minorHAnsi" w:eastAsiaTheme="minorEastAsia" w:hAnsiTheme="minorHAnsi"/>
          <w:noProof/>
          <w:sz w:val="22"/>
        </w:rPr>
        <w:tab/>
      </w:r>
      <w:r w:rsidRPr="00BF65B7">
        <w:rPr>
          <w:rStyle w:val="Hyperlink"/>
          <w:noProof/>
        </w:rPr>
        <w:t>The PUCO should protect consumers by rejecting the proposed Settlement because it is not the product of serious bargaining.</w:t>
      </w:r>
      <w:r>
        <w:rPr>
          <w:noProof/>
          <w:webHidden/>
        </w:rPr>
        <w:tab/>
      </w:r>
      <w:r>
        <w:rPr>
          <w:noProof/>
          <w:webHidden/>
        </w:rPr>
        <w:fldChar w:fldCharType="begin"/>
      </w:r>
      <w:r>
        <w:rPr>
          <w:noProof/>
          <w:webHidden/>
        </w:rPr>
        <w:instrText xml:space="preserve"> PAGEREF _Toc534639766 \h </w:instrText>
      </w:r>
      <w:r>
        <w:rPr>
          <w:noProof/>
          <w:webHidden/>
        </w:rPr>
        <w:fldChar w:fldCharType="separate"/>
      </w:r>
      <w:r>
        <w:rPr>
          <w:noProof/>
          <w:webHidden/>
        </w:rPr>
        <w:t>5</w:t>
      </w:r>
      <w:r>
        <w:rPr>
          <w:noProof/>
          <w:webHidden/>
        </w:rPr>
        <w:fldChar w:fldCharType="end"/>
      </w:r>
      <w:r>
        <w:fldChar w:fldCharType="end"/>
      </w:r>
    </w:p>
    <w:p w:rsidR="00760FB1">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"_Toc534639767" </w:instrText>
      </w:r>
      <w:r>
        <w:fldChar w:fldCharType="separate"/>
      </w:r>
      <w:r w:rsidRPr="00BF65B7">
        <w:rPr>
          <w:rStyle w:val="Hyperlink"/>
          <w:noProof/>
        </w:rPr>
        <w:t>B.</w:t>
      </w:r>
      <w:r>
        <w:rPr>
          <w:rFonts w:asciiTheme="minorHAnsi" w:eastAsiaTheme="minorEastAsia" w:hAnsiTheme="minorHAnsi"/>
          <w:noProof/>
          <w:sz w:val="22"/>
        </w:rPr>
        <w:tab/>
      </w:r>
      <w:r w:rsidRPr="00BF65B7">
        <w:rPr>
          <w:rStyle w:val="Hyperlink"/>
          <w:noProof/>
        </w:rPr>
        <w:t>The PUCO should protect consumers by rejecting the proposed Settlement because it harms consumers and the public interest by allowing Ohio Edison to keep $42 million in significantly excessive profits.</w:t>
      </w:r>
      <w:r>
        <w:rPr>
          <w:noProof/>
          <w:webHidden/>
        </w:rPr>
        <w:tab/>
      </w:r>
      <w:r>
        <w:rPr>
          <w:noProof/>
          <w:webHidden/>
        </w:rPr>
        <w:fldChar w:fldCharType="begin"/>
      </w:r>
      <w:r>
        <w:rPr>
          <w:noProof/>
          <w:webHidden/>
        </w:rPr>
        <w:instrText xml:space="preserve"> PAGEREF _Toc534639767 \h </w:instrText>
      </w:r>
      <w:r>
        <w:rPr>
          <w:noProof/>
          <w:webHidden/>
        </w:rPr>
        <w:fldChar w:fldCharType="separate"/>
      </w:r>
      <w:r>
        <w:rPr>
          <w:noProof/>
          <w:webHidden/>
        </w:rPr>
        <w:t>7</w:t>
      </w:r>
      <w:r>
        <w:rPr>
          <w:noProof/>
          <w:webHidden/>
        </w:rPr>
        <w:fldChar w:fldCharType="end"/>
      </w:r>
      <w:r>
        <w:fldChar w:fldCharType="end"/>
      </w:r>
    </w:p>
    <w:p w:rsidR="00760FB1">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"_Toc534639768" </w:instrText>
      </w:r>
      <w:r>
        <w:fldChar w:fldCharType="separate"/>
      </w:r>
      <w:r w:rsidRPr="00BF65B7">
        <w:rPr>
          <w:rStyle w:val="Hyperlink"/>
          <w:noProof/>
        </w:rPr>
        <w:t>C.</w:t>
      </w:r>
      <w:r>
        <w:rPr>
          <w:rFonts w:asciiTheme="minorHAnsi" w:eastAsiaTheme="minorEastAsia" w:hAnsiTheme="minorHAnsi"/>
          <w:noProof/>
          <w:sz w:val="22"/>
        </w:rPr>
        <w:tab/>
      </w:r>
      <w:r w:rsidRPr="00BF65B7">
        <w:rPr>
          <w:rStyle w:val="Hyperlink"/>
          <w:noProof/>
        </w:rPr>
        <w:t>The PUCO should protect consumers by rejecting the proposed Settlement because it violates Ohio law and important regulatory principles.</w:t>
      </w:r>
      <w:r>
        <w:rPr>
          <w:noProof/>
          <w:webHidden/>
        </w:rPr>
        <w:tab/>
      </w:r>
      <w:r>
        <w:rPr>
          <w:noProof/>
          <w:webHidden/>
        </w:rPr>
        <w:fldChar w:fldCharType="begin"/>
      </w:r>
      <w:r>
        <w:rPr>
          <w:noProof/>
          <w:webHidden/>
        </w:rPr>
        <w:instrText xml:space="preserve"> PAGEREF _Toc534639768 \h </w:instrText>
      </w:r>
      <w:r>
        <w:rPr>
          <w:noProof/>
          <w:webHidden/>
        </w:rPr>
        <w:fldChar w:fldCharType="separate"/>
      </w:r>
      <w:r>
        <w:rPr>
          <w:noProof/>
          <w:webHidden/>
        </w:rPr>
        <w:t>9</w:t>
      </w:r>
      <w:r>
        <w:rPr>
          <w:noProof/>
          <w:webHidden/>
        </w:rPr>
        <w:fldChar w:fldCharType="end"/>
      </w:r>
      <w:r>
        <w:fldChar w:fldCharType="end"/>
      </w:r>
    </w:p>
    <w:p w:rsidR="00760FB1">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"_Toc534639769" </w:instrText>
      </w:r>
      <w:r>
        <w:fldChar w:fldCharType="separate"/>
      </w:r>
      <w:r w:rsidRPr="00BF65B7">
        <w:rPr>
          <w:rStyle w:val="Hyperlink"/>
          <w:noProof/>
        </w:rPr>
        <w:t>1.</w:t>
      </w:r>
      <w:r>
        <w:rPr>
          <w:rFonts w:asciiTheme="minorHAnsi" w:eastAsiaTheme="minorEastAsia" w:hAnsiTheme="minorHAnsi"/>
          <w:noProof/>
          <w:sz w:val="22"/>
        </w:rPr>
        <w:tab/>
      </w:r>
      <w:r w:rsidRPr="00BF65B7">
        <w:rPr>
          <w:rStyle w:val="Hyperlink"/>
          <w:noProof/>
        </w:rPr>
        <w:t>The Settlement would result in unjust and unreasonable rates and violates state policy.</w:t>
      </w:r>
      <w:r>
        <w:rPr>
          <w:noProof/>
          <w:webHidden/>
        </w:rPr>
        <w:tab/>
      </w:r>
      <w:r>
        <w:rPr>
          <w:noProof/>
          <w:webHidden/>
        </w:rPr>
        <w:fldChar w:fldCharType="begin"/>
      </w:r>
      <w:r>
        <w:rPr>
          <w:noProof/>
          <w:webHidden/>
        </w:rPr>
        <w:instrText xml:space="preserve"> PAGEREF _Toc534639769 \h </w:instrText>
      </w:r>
      <w:r>
        <w:rPr>
          <w:noProof/>
          <w:webHidden/>
        </w:rPr>
        <w:fldChar w:fldCharType="separate"/>
      </w:r>
      <w:r>
        <w:rPr>
          <w:noProof/>
          <w:webHidden/>
        </w:rPr>
        <w:t>9</w:t>
      </w:r>
      <w:r>
        <w:rPr>
          <w:noProof/>
          <w:webHidden/>
        </w:rPr>
        <w:fldChar w:fldCharType="end"/>
      </w:r>
      <w:r>
        <w:fldChar w:fldCharType="end"/>
      </w:r>
    </w:p>
    <w:p w:rsidR="00760FB1">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"_Toc534639770" </w:instrText>
      </w:r>
      <w:r>
        <w:fldChar w:fldCharType="separate"/>
      </w:r>
      <w:r w:rsidRPr="00BF65B7">
        <w:rPr>
          <w:rStyle w:val="Hyperlink"/>
          <w:noProof/>
        </w:rPr>
        <w:t>2.</w:t>
      </w:r>
      <w:r>
        <w:rPr>
          <w:rFonts w:asciiTheme="minorHAnsi" w:eastAsiaTheme="minorEastAsia" w:hAnsiTheme="minorHAnsi"/>
          <w:noProof/>
          <w:sz w:val="22"/>
        </w:rPr>
        <w:tab/>
      </w:r>
      <w:r w:rsidRPr="00BF65B7">
        <w:rPr>
          <w:rStyle w:val="Hyperlink"/>
          <w:noProof/>
        </w:rPr>
        <w:t>Distribution Modernization Rider revenues should not be excluded from SEET.</w:t>
      </w:r>
      <w:r>
        <w:rPr>
          <w:noProof/>
          <w:webHidden/>
        </w:rPr>
        <w:tab/>
      </w:r>
      <w:r>
        <w:rPr>
          <w:noProof/>
          <w:webHidden/>
        </w:rPr>
        <w:fldChar w:fldCharType="begin"/>
      </w:r>
      <w:r>
        <w:rPr>
          <w:noProof/>
          <w:webHidden/>
        </w:rPr>
        <w:instrText xml:space="preserve"> PAGEREF _Toc534639770 \h </w:instrText>
      </w:r>
      <w:r>
        <w:rPr>
          <w:noProof/>
          <w:webHidden/>
        </w:rPr>
        <w:fldChar w:fldCharType="separate"/>
      </w:r>
      <w:r>
        <w:rPr>
          <w:noProof/>
          <w:webHidden/>
        </w:rPr>
        <w:t>10</w:t>
      </w:r>
      <w:r>
        <w:rPr>
          <w:noProof/>
          <w:webHidden/>
        </w:rPr>
        <w:fldChar w:fldCharType="end"/>
      </w:r>
      <w:r>
        <w:fldChar w:fldCharType="end"/>
      </w:r>
    </w:p>
    <w:p w:rsidR="00760FB1">
      <w:pPr>
        <w:pStyle w:val="TOC3"/>
        <w:tabs>
          <w:tab w:val="left" w:pos="2160"/>
          <w:tab w:val="right" w:leader="dot" w:pos="8630"/>
        </w:tabs>
        <w:rPr>
          <w:rFonts w:asciiTheme="minorHAnsi" w:eastAsiaTheme="minorEastAsia" w:hAnsiTheme="minorHAnsi"/>
          <w:noProof/>
          <w:sz w:val="22"/>
        </w:rPr>
      </w:pPr>
      <w:r>
        <w:fldChar w:fldCharType="begin"/>
      </w:r>
      <w:r>
        <w:instrText xml:space="preserve"> HYPERLINK \l "_Toc534639771" </w:instrText>
      </w:r>
      <w:r>
        <w:fldChar w:fldCharType="separate"/>
      </w:r>
      <w:r w:rsidRPr="00BF65B7">
        <w:rPr>
          <w:rStyle w:val="Hyperlink"/>
          <w:noProof/>
        </w:rPr>
        <w:t>3.</w:t>
      </w:r>
      <w:r>
        <w:rPr>
          <w:rFonts w:asciiTheme="minorHAnsi" w:eastAsiaTheme="minorEastAsia" w:hAnsiTheme="minorHAnsi"/>
          <w:noProof/>
          <w:sz w:val="22"/>
        </w:rPr>
        <w:tab/>
      </w:r>
      <w:r w:rsidRPr="00BF65B7">
        <w:rPr>
          <w:rStyle w:val="Hyperlink"/>
          <w:noProof/>
        </w:rPr>
        <w:t>The Settlement harms Ohio consumers and its economy.</w:t>
      </w:r>
      <w:r>
        <w:rPr>
          <w:noProof/>
          <w:webHidden/>
        </w:rPr>
        <w:tab/>
      </w:r>
      <w:r>
        <w:rPr>
          <w:noProof/>
          <w:webHidden/>
        </w:rPr>
        <w:fldChar w:fldCharType="begin"/>
      </w:r>
      <w:r>
        <w:rPr>
          <w:noProof/>
          <w:webHidden/>
        </w:rPr>
        <w:instrText xml:space="preserve"> PAGEREF _Toc534639771 \h </w:instrText>
      </w:r>
      <w:r>
        <w:rPr>
          <w:noProof/>
          <w:webHidden/>
        </w:rPr>
        <w:fldChar w:fldCharType="separate"/>
      </w:r>
      <w:r>
        <w:rPr>
          <w:noProof/>
          <w:webHidden/>
        </w:rPr>
        <w:t>13</w:t>
      </w:r>
      <w:r>
        <w:rPr>
          <w:noProof/>
          <w:webHidden/>
        </w:rPr>
        <w:fldChar w:fldCharType="end"/>
      </w:r>
      <w:r>
        <w:fldChar w:fldCharType="end"/>
      </w:r>
    </w:p>
    <w:p w:rsidR="00760FB1">
      <w:pPr>
        <w:pStyle w:val="TOC2"/>
        <w:tabs>
          <w:tab w:val="left" w:pos="1440"/>
          <w:tab w:val="right" w:leader="dot" w:pos="8630"/>
        </w:tabs>
        <w:rPr>
          <w:rFonts w:asciiTheme="minorHAnsi" w:eastAsiaTheme="minorEastAsia" w:hAnsiTheme="minorHAnsi"/>
          <w:noProof/>
          <w:sz w:val="22"/>
        </w:rPr>
      </w:pPr>
      <w:r>
        <w:fldChar w:fldCharType="begin"/>
      </w:r>
      <w:r>
        <w:instrText xml:space="preserve"> HYPERLINK \l "_Toc534639772" </w:instrText>
      </w:r>
      <w:r>
        <w:fldChar w:fldCharType="separate"/>
      </w:r>
      <w:r w:rsidRPr="00BF65B7">
        <w:rPr>
          <w:rStyle w:val="Hyperlink"/>
          <w:noProof/>
        </w:rPr>
        <w:t>D.</w:t>
      </w:r>
      <w:r>
        <w:rPr>
          <w:rFonts w:asciiTheme="minorHAnsi" w:eastAsiaTheme="minorEastAsia" w:hAnsiTheme="minorHAnsi"/>
          <w:noProof/>
          <w:sz w:val="22"/>
        </w:rPr>
        <w:tab/>
      </w:r>
      <w:r w:rsidRPr="00BF65B7">
        <w:rPr>
          <w:rStyle w:val="Hyperlink"/>
          <w:noProof/>
        </w:rPr>
        <w:t>OCC’s proposed SEET threshold should be used and Ohio Edison should be ordered to refund to consumers its significantly excessive earnings.</w:t>
      </w:r>
      <w:r>
        <w:rPr>
          <w:noProof/>
          <w:webHidden/>
        </w:rPr>
        <w:tab/>
      </w:r>
      <w:r>
        <w:rPr>
          <w:noProof/>
          <w:webHidden/>
        </w:rPr>
        <w:fldChar w:fldCharType="begin"/>
      </w:r>
      <w:r>
        <w:rPr>
          <w:noProof/>
          <w:webHidden/>
        </w:rPr>
        <w:instrText xml:space="preserve"> PAGEREF _Toc534639772 \h </w:instrText>
      </w:r>
      <w:r>
        <w:rPr>
          <w:noProof/>
          <w:webHidden/>
        </w:rPr>
        <w:fldChar w:fldCharType="separate"/>
      </w:r>
      <w:r>
        <w:rPr>
          <w:noProof/>
          <w:webHidden/>
        </w:rPr>
        <w:t>13</w:t>
      </w:r>
      <w:r>
        <w:rPr>
          <w:noProof/>
          <w:webHidden/>
        </w:rPr>
        <w:fldChar w:fldCharType="end"/>
      </w:r>
      <w:r>
        <w:fldChar w:fldCharType="end"/>
      </w:r>
    </w:p>
    <w:p w:rsidR="00760FB1">
      <w:pPr>
        <w:pStyle w:val="TOC1"/>
        <w:tabs>
          <w:tab w:val="right" w:leader="dot" w:pos="8630"/>
        </w:tabs>
        <w:rPr>
          <w:rFonts w:asciiTheme="minorHAnsi" w:eastAsiaTheme="minorEastAsia" w:hAnsiTheme="minorHAnsi"/>
          <w:noProof/>
          <w:sz w:val="22"/>
        </w:rPr>
      </w:pPr>
      <w:r>
        <w:fldChar w:fldCharType="begin"/>
      </w:r>
      <w:r>
        <w:instrText xml:space="preserve"> HYPERLINK \l "_Toc534639773" </w:instrText>
      </w:r>
      <w:r>
        <w:fldChar w:fldCharType="separate"/>
      </w:r>
      <w:r w:rsidRPr="00BF65B7">
        <w:rPr>
          <w:rStyle w:val="Hyperlink"/>
          <w:noProof/>
        </w:rPr>
        <w:t>V.</w:t>
      </w:r>
      <w:r>
        <w:rPr>
          <w:rFonts w:asciiTheme="minorHAnsi" w:eastAsiaTheme="minorEastAsia" w:hAnsiTheme="minorHAnsi"/>
          <w:noProof/>
          <w:sz w:val="22"/>
        </w:rPr>
        <w:tab/>
      </w:r>
      <w:r w:rsidRPr="00BF65B7">
        <w:rPr>
          <w:rStyle w:val="Hyperlink"/>
          <w:noProof/>
        </w:rPr>
        <w:t>CONCLUSION</w:t>
      </w:r>
      <w:r>
        <w:rPr>
          <w:noProof/>
          <w:webHidden/>
        </w:rPr>
        <w:tab/>
      </w:r>
      <w:r>
        <w:rPr>
          <w:noProof/>
          <w:webHidden/>
        </w:rPr>
        <w:fldChar w:fldCharType="begin"/>
      </w:r>
      <w:r>
        <w:rPr>
          <w:noProof/>
          <w:webHidden/>
        </w:rPr>
        <w:instrText xml:space="preserve"> PAGEREF _Toc534639773 \h </w:instrText>
      </w:r>
      <w:r>
        <w:rPr>
          <w:noProof/>
          <w:webHidden/>
        </w:rPr>
        <w:fldChar w:fldCharType="separate"/>
      </w:r>
      <w:r>
        <w:rPr>
          <w:noProof/>
          <w:webHidden/>
        </w:rPr>
        <w:t>15</w:t>
      </w:r>
      <w:r>
        <w:rPr>
          <w:noProof/>
          <w:webHidden/>
        </w:rPr>
        <w:fldChar w:fldCharType="end"/>
      </w:r>
      <w:r>
        <w:fldChar w:fldCharType="end"/>
      </w: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fldChar w:fldCharType="end"/>
      </w:r>
    </w:p>
    <w:p w:rsidR="00760FB1">
      <w:pPr>
        <w:rPr>
          <w:rFonts w:ascii="Times New Roman" w:eastAsia="Calibri" w:hAnsi="Times New Roman" w:cs="Times New Roman"/>
          <w:b/>
          <w:bCs/>
          <w:sz w:val="24"/>
          <w:szCs w:val="24"/>
        </w:rPr>
        <w:sectPr w:rsidSect="00276B64">
          <w:footerReference w:type="default" r:id="rId11"/>
          <w:pgSz w:w="12240" w:h="15840"/>
          <w:pgMar w:top="1440" w:right="1800" w:bottom="1440" w:left="1800" w:header="720" w:footer="720" w:gutter="0"/>
          <w:pgNumType w:fmt="lowerRoman" w:start="1"/>
          <w:cols w:space="720"/>
          <w:docGrid w:linePitch="360"/>
        </w:sectPr>
      </w:pPr>
    </w:p>
    <w:p w:rsidR="00276B64" w:rsidRPr="005365F6"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BEFORE</w:t>
      </w:r>
    </w:p>
    <w:p w:rsidR="00276B64"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PUBLIC UTILITIES COMMISSION OF OHIO</w:t>
      </w:r>
    </w:p>
    <w:p w:rsidR="00945974" w:rsidP="0027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3A3923">
        <w:tblPrEx>
          <w:tblW w:w="9092" w:type="dxa"/>
          <w:tblInd w:w="0" w:type="dxa"/>
          <w:tblCellMar>
            <w:top w:w="0" w:type="dxa"/>
            <w:left w:w="108" w:type="dxa"/>
            <w:bottom w:w="0" w:type="dxa"/>
            <w:right w:w="108" w:type="dxa"/>
          </w:tblCellMar>
          <w:tblLook w:val="01E0"/>
        </w:tblPrEx>
        <w:trPr>
          <w:trHeight w:val="342"/>
        </w:trPr>
        <w:tc>
          <w:tcPr>
            <w:tcW w:w="4332" w:type="dxa"/>
            <w:shd w:val="clear" w:color="auto" w:fill="auto"/>
          </w:tcPr>
          <w:p w:rsidR="00945974" w:rsidRPr="00945974" w:rsidP="003A3923">
            <w:pPr>
              <w:autoSpaceDE w:val="0"/>
              <w:autoSpaceDN w:val="0"/>
              <w:adjustRightInd w:val="0"/>
              <w:rPr>
                <w:rStyle w:val="DefaultParagraphFont"/>
                <w:rFonts w:ascii="Times New Roman" w:hAnsi="Times New Roman" w:eastAsiaTheme="minorHAnsi" w:cs="Times New Roman"/>
                <w:sz w:val="22"/>
                <w:szCs w:val="22"/>
                <w:lang w:val="en-US" w:eastAsia="en-US" w:bidi="ar-SA"/>
              </w:rPr>
            </w:pPr>
            <w:r w:rsidRPr="00945974">
              <w:rPr>
                <w:rFonts w:ascii="Times New Roman" w:hAnsi="Times New Roman" w:eastAsiaTheme="minorHAnsi" w:cs="Times New Roman"/>
                <w:sz w:val="24"/>
                <w:szCs w:val="22"/>
                <w:lang w:val="en-US" w:eastAsia="en-US" w:bidi="ar-SA"/>
              </w:rPr>
              <w:t>In the Matter of the Determination of the Existence of Significantly Excessive Earnings for 2017 Under the Electric Security Plans of Ohio Edison Company, The Cleveland Electric Illuminating Company, and The Toledo Edison Company.</w:t>
            </w:r>
          </w:p>
        </w:tc>
        <w:tc>
          <w:tcPr>
            <w:tcW w:w="360" w:type="dxa"/>
            <w:shd w:val="clear" w:color="auto" w:fill="auto"/>
          </w:tcPr>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945974">
              <w:rPr>
                <w:rFonts w:ascii="Times New Roman" w:eastAsia="Courier New" w:hAnsi="Times New Roman" w:cs="Times New Roman"/>
                <w:sz w:val="24"/>
                <w:szCs w:val="20"/>
                <w:lang w:val="en-US" w:eastAsia="en-US" w:bidi="ar-SA"/>
              </w:rPr>
              <w:t>Case No. 18-857-EL-UNC</w:t>
            </w:r>
          </w:p>
          <w:p w:rsidR="00945974" w:rsidRPr="00945974" w:rsidP="003A392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tc>
      </w:tr>
    </w:tbl>
    <w:p w:rsidR="00276B64" w:rsidP="00276B64">
      <w:pPr>
        <w:pBdr>
          <w:bottom w:val="single" w:sz="12" w:space="1" w:color="auto"/>
        </w:pBdr>
        <w:autoSpaceDE w:val="0"/>
        <w:autoSpaceDN w:val="0"/>
        <w:adjustRightInd w:val="0"/>
        <w:spacing w:after="0" w:line="240" w:lineRule="auto"/>
        <w:rPr>
          <w:rFonts w:ascii="Times New Roman" w:eastAsia="Calibri" w:hAnsi="Times New Roman" w:cs="Times New Roman"/>
          <w:sz w:val="20"/>
          <w:szCs w:val="24"/>
        </w:rPr>
      </w:pPr>
    </w:p>
    <w:p w:rsidR="00945974" w:rsidRPr="005365F6" w:rsidP="00276B64">
      <w:pPr>
        <w:autoSpaceDE w:val="0"/>
        <w:autoSpaceDN w:val="0"/>
        <w:adjustRightInd w:val="0"/>
        <w:spacing w:after="0" w:line="240" w:lineRule="auto"/>
        <w:rPr>
          <w:rFonts w:ascii="Times New Roman" w:eastAsia="Calibri" w:hAnsi="Times New Roman" w:cs="Times New Roman"/>
          <w:sz w:val="20"/>
          <w:szCs w:val="24"/>
        </w:rPr>
      </w:pP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INITIAL BRIEF</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BY</w:t>
      </w:r>
    </w:p>
    <w:p w:rsidR="00276B64" w:rsidRPr="005365F6" w:rsidP="00276B64">
      <w:pPr>
        <w:autoSpaceDE w:val="0"/>
        <w:autoSpaceDN w:val="0"/>
        <w:adjustRightInd w:val="0"/>
        <w:spacing w:after="0" w:line="240" w:lineRule="auto"/>
        <w:jc w:val="center"/>
        <w:rPr>
          <w:rFonts w:ascii="Times New Roman" w:eastAsia="Calibri" w:hAnsi="Times New Roman" w:cs="Times New Roman"/>
          <w:b/>
          <w:bCs/>
          <w:sz w:val="24"/>
          <w:szCs w:val="24"/>
        </w:rPr>
      </w:pPr>
      <w:r w:rsidRPr="005365F6">
        <w:rPr>
          <w:rFonts w:ascii="Times New Roman" w:eastAsia="Calibri" w:hAnsi="Times New Roman" w:cs="Times New Roman"/>
          <w:b/>
          <w:bCs/>
          <w:sz w:val="24"/>
          <w:szCs w:val="24"/>
        </w:rPr>
        <w:t>THE OFFICE OF THE OHIO CONSUMERS’ COUNSEL</w:t>
      </w:r>
    </w:p>
    <w:p w:rsidR="00276B64" w:rsidRPr="005365F6" w:rsidP="00276B64">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76B64" w:rsidRPr="005365F6" w:rsidP="00276B64">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76B64" w:rsidRPr="005365F6" w:rsidP="00760FB1">
      <w:pPr>
        <w:pStyle w:val="Heading1"/>
      </w:pPr>
      <w:bookmarkStart w:id="1" w:name="_Toc534639762"/>
      <w:r w:rsidRPr="005365F6">
        <w:t>INTRODUCTION</w:t>
      </w:r>
      <w:bookmarkEnd w:id="1"/>
      <w:r w:rsidRPr="005365F6">
        <w:t xml:space="preserve"> </w:t>
      </w:r>
    </w:p>
    <w:p w:rsidR="00760FB1" w:rsidP="002F4753">
      <w:pPr>
        <w:spacing w:after="0" w:line="480" w:lineRule="auto"/>
        <w:ind w:firstLine="720"/>
        <w:rPr>
          <w:rFonts w:ascii="Times New Roman" w:hAnsi="Times New Roman" w:cs="Times New Roman"/>
          <w:sz w:val="24"/>
          <w:szCs w:val="24"/>
        </w:rPr>
        <w:sectPr w:rsidSect="00760FB1">
          <w:headerReference w:type="default" r:id="rId12"/>
          <w:footerReference w:type="default" r:id="rId13"/>
          <w:pgSz w:w="12240" w:h="15840"/>
          <w:pgMar w:top="1440" w:right="1800" w:bottom="1440" w:left="1800" w:header="720" w:footer="720" w:gutter="0"/>
          <w:pgNumType w:start="1"/>
          <w:cols w:space="720"/>
          <w:docGrid w:linePitch="360"/>
        </w:sectPr>
      </w:pPr>
      <w:r>
        <w:rPr>
          <w:rFonts w:ascii="Times New Roman" w:hAnsi="Times New Roman" w:cs="Times New Roman"/>
          <w:sz w:val="24"/>
          <w:szCs w:val="24"/>
        </w:rPr>
        <w:t xml:space="preserve">This case is another example of how the ratemaking in Ohio’s 2008 electricity law (S.B. 221) favors utilities and disfavors consumers. One of the awful provisions of the law allows utilities to charge consumers for excessive profits, where the law merely bars utilities from charging consumers for “significantly” excessive profits.  But in this case Ohio Edison consumers will be denied even this mere protection. The PUCO Staff and Ohio Edison have agreed by settlement to not count for the profit calculation more than a hundred million dollars in utility charges to consumers. The result is that Ohio Edison magically does not have “significantly” excessive profits for refunding to consumers, when charges for its so-called (and inaptly named) distribution modernization rider are excluded from the calculation of its profits. This, of course, is the same  </w:t>
      </w:r>
    </w:p>
    <w:p w:rsidR="002F4753" w:rsidP="00C641D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distribution modernization rider that the PUCO decided need not be spent by Ohio Edison on actual distribution modernization. </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2F4753" w:rsidP="009C51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Edison Company (“Ohio Edison”) had significantly excessive profits of over $42 million in 2017.</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Under Ohio law (R.C. 4928.143(F)) Ohio Edison should return that money to customers. But in this case, Ohio Edison and the Staff of the Public Utilities Commission of Ohio (the “PUCO Staff”) signed a Settlement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that does not return a single penny of the significantly excessive profits to customers. That is unlawful and unreasonable. </w:t>
      </w:r>
    </w:p>
    <w:p w:rsidR="001D3A89" w:rsidP="00BF3E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the Settlement because it fails the PUCO’s three-part test for evaluating settlements. It was not the product of serious bargaining because the only signatory parties are Ohio Edison and the PUCO Staff, and they did not resolve any issues in dispute between them. It does not benefit (but it harms) customers and the public interest because it denies Ohio Edison’s customers the $42 million refund they deserve. And it violates regulatory principles and practices by causing customers to pay unjust and unreasonable rates.</w:t>
      </w:r>
    </w:p>
    <w:p w:rsidR="00276B64" w:rsidP="00CD5A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adopt the Office of the Ohio Consumers’ Counsel’s (“OCC”) recommendation for a $42 million refund to customers. This is the just and reasonable result for Ohioans.</w:t>
      </w:r>
    </w:p>
    <w:p w:rsidR="00410A86" w:rsidRPr="005365F6" w:rsidP="00410A86">
      <w:pPr>
        <w:spacing w:after="0" w:line="240" w:lineRule="auto"/>
        <w:ind w:firstLine="720"/>
        <w:rPr>
          <w:rFonts w:ascii="Times New Roman" w:hAnsi="Times New Roman" w:cs="Times New Roman"/>
          <w:sz w:val="24"/>
          <w:szCs w:val="24"/>
        </w:rPr>
      </w:pPr>
    </w:p>
    <w:p w:rsidR="00D4163B" w:rsidRPr="005365F6" w:rsidP="00D4163B">
      <w:pPr>
        <w:pStyle w:val="Heading1"/>
      </w:pPr>
      <w:bookmarkStart w:id="2" w:name="_Toc534639763"/>
      <w:r>
        <w:t xml:space="preserve">BURDEN OF PROOF AND </w:t>
      </w:r>
      <w:r w:rsidRPr="005365F6">
        <w:t>STANDARD OF REVIEW</w:t>
      </w:r>
      <w:bookmarkEnd w:id="2"/>
    </w:p>
    <w:p w:rsidR="0080203A" w:rsidRPr="0080203A"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EC71A7">
        <w:rPr>
          <w:rFonts w:ascii="Times New Roman" w:hAnsi="Times New Roman" w:cs="Times New Roman"/>
          <w:sz w:val="24"/>
          <w:szCs w:val="24"/>
        </w:rPr>
        <w:t>he applicant bears the burden of proof</w:t>
      </w:r>
      <w:r>
        <w:rPr>
          <w:rFonts w:ascii="Times New Roman" w:hAnsi="Times New Roman" w:cs="Times New Roman"/>
          <w:sz w:val="24"/>
          <w:szCs w:val="24"/>
        </w:rPr>
        <w:t xml:space="preserve"> in PUCO proceedings</w:t>
      </w:r>
      <w:r w:rsidRPr="00EC71A7">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EC71A7">
        <w:rPr>
          <w:rFonts w:ascii="Times New Roman" w:hAnsi="Times New Roman" w:cs="Times New Roman"/>
          <w:sz w:val="24"/>
          <w:szCs w:val="24"/>
        </w:rPr>
        <w:t xml:space="preserve"> </w:t>
      </w:r>
      <w:r>
        <w:rPr>
          <w:rFonts w:ascii="Times New Roman" w:hAnsi="Times New Roman" w:cs="Times New Roman"/>
          <w:sz w:val="24"/>
          <w:szCs w:val="24"/>
        </w:rPr>
        <w:t>When there is a</w:t>
      </w:r>
      <w:r w:rsidRPr="00EC71A7">
        <w:rPr>
          <w:rFonts w:ascii="Times New Roman" w:hAnsi="Times New Roman" w:cs="Times New Roman"/>
          <w:sz w:val="24"/>
          <w:szCs w:val="24"/>
        </w:rPr>
        <w:t xml:space="preserve"> </w:t>
      </w:r>
      <w:r>
        <w:rPr>
          <w:rFonts w:ascii="Times New Roman" w:hAnsi="Times New Roman" w:cs="Times New Roman"/>
          <w:sz w:val="24"/>
          <w:szCs w:val="24"/>
        </w:rPr>
        <w:t>settlement</w:t>
      </w:r>
      <w:r w:rsidRPr="00EC71A7">
        <w:rPr>
          <w:rFonts w:ascii="Times New Roman" w:hAnsi="Times New Roman" w:cs="Times New Roman"/>
          <w:sz w:val="24"/>
          <w:szCs w:val="24"/>
        </w:rPr>
        <w:t>, the signatory parties "bear the burden to support the stipulation" and must "demonstrate that the stipulation is reasonable and satisfies the Commission's three-part test."</w:t>
      </w:r>
      <w:r>
        <w:rPr>
          <w:rStyle w:val="FootnoteReference"/>
          <w:rFonts w:ascii="Times New Roman" w:hAnsi="Times New Roman" w:cs="Times New Roman"/>
          <w:sz w:val="24"/>
          <w:szCs w:val="24"/>
        </w:rPr>
        <w:footnoteReference w:id="6"/>
      </w:r>
      <w:r w:rsidRPr="00EC71A7">
        <w:rPr>
          <w:rFonts w:ascii="Times New Roman" w:hAnsi="Times New Roman" w:cs="Times New Roman"/>
          <w:sz w:val="24"/>
          <w:szCs w:val="24"/>
        </w:rPr>
        <w:t xml:space="preserve"> And </w:t>
      </w:r>
      <w:r>
        <w:rPr>
          <w:rFonts w:ascii="Times New Roman" w:hAnsi="Times New Roman" w:cs="Times New Roman"/>
          <w:sz w:val="24"/>
          <w:szCs w:val="24"/>
        </w:rPr>
        <w:t xml:space="preserve">in cases involving the significantly excessive earnings test </w:t>
      </w:r>
      <w:r w:rsidRPr="00EC71A7">
        <w:rPr>
          <w:rFonts w:ascii="Times New Roman" w:hAnsi="Times New Roman" w:cs="Times New Roman"/>
          <w:sz w:val="24"/>
          <w:szCs w:val="24"/>
        </w:rPr>
        <w:t>“[t]he burden of proof for demonstrating that significantly excessive earnings did not occur shall be on the electric distribution utility.”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Because this burden of proof is required by law, Ohio Edison must satisfy it regardless of whether there is a settlement.</w:t>
      </w:r>
    </w:p>
    <w:p w:rsidR="00D4163B" w:rsidRPr="005365F6"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PUCO proceedings,</w:t>
      </w:r>
      <w:r w:rsidRPr="005365F6">
        <w:rPr>
          <w:rFonts w:ascii="Times New Roman" w:hAnsi="Times New Roman" w:cs="Times New Roman"/>
          <w:sz w:val="24"/>
          <w:szCs w:val="24"/>
        </w:rPr>
        <w:t xml:space="preserve"> a settlement is merely a recommendation that is not legally binding on the PUCO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5365F6">
        <w:rPr>
          <w:rFonts w:ascii="Times New Roman" w:hAnsi="Times New Roman" w:cs="Times New Roman"/>
          <w:sz w:val="24"/>
          <w:szCs w:val="24"/>
        </w:rPr>
        <w:t xml:space="preserve"> </w:t>
      </w:r>
      <w:r w:rsidRPr="00EC71A7">
        <w:rPr>
          <w:rFonts w:ascii="Times New Roman" w:hAnsi="Times New Roman" w:cs="Times New Roman"/>
          <w:sz w:val="24"/>
          <w:szCs w:val="24"/>
        </w:rPr>
        <w:t xml:space="preserve">and the PUCO has the discretion to give each settlement the weight that the PUCO believes it deserves. </w:t>
      </w:r>
      <w:r w:rsidRPr="0080203A">
        <w:rPr>
          <w:rFonts w:ascii="Times New Roman" w:hAnsi="Times New Roman" w:cs="Times New Roman"/>
          <w:sz w:val="24"/>
          <w:szCs w:val="24"/>
        </w:rPr>
        <w:t>The PUCO</w:t>
      </w:r>
      <w:r w:rsidRPr="005365F6">
        <w:rPr>
          <w:rFonts w:ascii="Times New Roman" w:hAnsi="Times New Roman" w:cs="Times New Roman"/>
          <w:sz w:val="24"/>
          <w:szCs w:val="24"/>
        </w:rPr>
        <w:t xml:space="preserve"> “may take the stipulation into consideration</w:t>
      </w:r>
      <w:r>
        <w:rPr>
          <w:rFonts w:ascii="Times New Roman" w:hAnsi="Times New Roman" w:cs="Times New Roman"/>
          <w:sz w:val="24"/>
          <w:szCs w:val="24"/>
        </w:rPr>
        <w:t xml:space="preserve">, </w:t>
      </w:r>
      <w:r w:rsidRPr="005365F6">
        <w:rPr>
          <w:rFonts w:ascii="Times New Roman" w:hAnsi="Times New Roman" w:cs="Times New Roman"/>
          <w:sz w:val="24"/>
          <w:szCs w:val="24"/>
        </w:rPr>
        <w:t>but must determine what is just and reasonable from the evidence presented at the hearing.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D4163B" w:rsidRPr="005365F6"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evaluating settlements, the ultimate issue for the PUCO’s consideration is whether the agreement is “reasonable and should be adopted.” In answering this question, the PUCO has adopted the following three-part test:</w:t>
      </w:r>
      <w:r>
        <w:rPr>
          <w:rStyle w:val="FootnoteReference"/>
          <w:rFonts w:ascii="Times New Roman" w:hAnsi="Times New Roman" w:cs="Times New Roman"/>
          <w:sz w:val="24"/>
          <w:szCs w:val="24"/>
        </w:rPr>
        <w:footnoteReference w:id="10"/>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Is the settlement a product of serious bargaining among</w:t>
      </w:r>
      <w:r>
        <w:rPr>
          <w:rFonts w:ascii="Times New Roman" w:hAnsi="Times New Roman" w:cs="Times New Roman"/>
          <w:sz w:val="24"/>
          <w:szCs w:val="24"/>
        </w:rPr>
        <w:t xml:space="preserve"> capable, knowledgeable parties</w:t>
      </w:r>
      <w:r w:rsidRPr="005365F6">
        <w:rPr>
          <w:rFonts w:ascii="Times New Roman" w:hAnsi="Times New Roman" w:cs="Times New Roman"/>
          <w:sz w:val="24"/>
          <w:szCs w:val="24"/>
        </w:rPr>
        <w:t>?</w:t>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Does the settlement, as a package, benefit customers and the public interest?</w:t>
      </w:r>
    </w:p>
    <w:p w:rsidR="00D4163B" w:rsidRPr="005365F6" w:rsidP="002D25F7">
      <w:pPr>
        <w:pStyle w:val="ListParagraph"/>
        <w:numPr>
          <w:ilvl w:val="0"/>
          <w:numId w:val="6"/>
        </w:numPr>
        <w:spacing w:after="0" w:line="480" w:lineRule="auto"/>
        <w:ind w:left="1440" w:right="720" w:hanging="720"/>
        <w:rPr>
          <w:rFonts w:ascii="Times New Roman" w:hAnsi="Times New Roman" w:cs="Times New Roman"/>
          <w:sz w:val="24"/>
          <w:szCs w:val="24"/>
        </w:rPr>
      </w:pPr>
      <w:r w:rsidRPr="005365F6">
        <w:rPr>
          <w:rFonts w:ascii="Times New Roman" w:hAnsi="Times New Roman" w:cs="Times New Roman"/>
          <w:sz w:val="24"/>
          <w:szCs w:val="24"/>
        </w:rPr>
        <w:t>Does the settlement violate any important regulatory principles or practice?</w:t>
      </w:r>
    </w:p>
    <w:p w:rsidR="00D4163B" w:rsidP="00D4163B">
      <w:pPr>
        <w:spacing w:after="0" w:line="480" w:lineRule="auto"/>
        <w:ind w:firstLine="720"/>
        <w:rPr>
          <w:rFonts w:ascii="Times New Roman" w:hAnsi="Times New Roman" w:cs="Times New Roman"/>
          <w:sz w:val="24"/>
          <w:szCs w:val="24"/>
        </w:rPr>
      </w:pPr>
      <w:r w:rsidRPr="005365F6">
        <w:rPr>
          <w:rFonts w:ascii="Times New Roman" w:hAnsi="Times New Roman" w:cs="Times New Roman"/>
          <w:sz w:val="24"/>
          <w:szCs w:val="24"/>
        </w:rPr>
        <w:t xml:space="preserve">As OCC demonstrates, the </w:t>
      </w:r>
      <w:r>
        <w:rPr>
          <w:rFonts w:ascii="Times New Roman" w:hAnsi="Times New Roman" w:cs="Times New Roman"/>
          <w:sz w:val="24"/>
          <w:szCs w:val="24"/>
        </w:rPr>
        <w:t xml:space="preserve">proposed </w:t>
      </w:r>
      <w:r w:rsidRPr="005365F6">
        <w:rPr>
          <w:rFonts w:ascii="Times New Roman" w:hAnsi="Times New Roman" w:cs="Times New Roman"/>
          <w:sz w:val="24"/>
          <w:szCs w:val="24"/>
        </w:rPr>
        <w:t>Settlement</w:t>
      </w:r>
      <w:r>
        <w:rPr>
          <w:rFonts w:ascii="Times New Roman" w:hAnsi="Times New Roman" w:cs="Times New Roman"/>
          <w:sz w:val="24"/>
          <w:szCs w:val="24"/>
        </w:rPr>
        <w:t xml:space="preserve"> in this case</w:t>
      </w:r>
      <w:r w:rsidRPr="005365F6">
        <w:rPr>
          <w:rFonts w:ascii="Times New Roman" w:hAnsi="Times New Roman" w:cs="Times New Roman"/>
          <w:sz w:val="24"/>
          <w:szCs w:val="24"/>
        </w:rPr>
        <w:t xml:space="preserve"> does not meet this standard.</w:t>
      </w:r>
    </w:p>
    <w:p w:rsidR="002D25F7" w:rsidRPr="005365F6" w:rsidP="002D25F7">
      <w:pPr>
        <w:spacing w:after="0" w:line="240" w:lineRule="auto"/>
        <w:ind w:firstLine="720"/>
        <w:rPr>
          <w:rFonts w:ascii="Times New Roman" w:hAnsi="Times New Roman" w:cs="Times New Roman"/>
          <w:sz w:val="24"/>
          <w:szCs w:val="24"/>
        </w:rPr>
      </w:pPr>
    </w:p>
    <w:p w:rsidR="00642B90" w:rsidRPr="00EC71A7" w:rsidP="004A20EB">
      <w:pPr>
        <w:pStyle w:val="Heading1"/>
      </w:pPr>
      <w:bookmarkStart w:id="3" w:name="_Toc534639764"/>
      <w:r>
        <w:t>OVERVIEW OF THE SIGNIFICANTLY EXCESSIVE EARNINGS TEST</w:t>
      </w:r>
      <w:bookmarkEnd w:id="3"/>
    </w:p>
    <w:p w:rsidR="00532782"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2008 energy law (S.B. 221), codified in part in R.C. 4928.143, allows electric distribution utilities in Ohio to charge customers under an electric security plan. These ESPs have proven very profitable for Ohio’s electric utilities, in large part because they allow the utilities to engage in previously-prohibited single-issue ratemaking.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But the law is also designed to limit the amount of profit that the utility can charge consumers under its ESP.</w:t>
      </w:r>
    </w:p>
    <w:p w:rsidR="00870F7F" w:rsidRPr="00EC71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R.C. 4928.143(F) requires the PUCO to compare a utility’s earnings under an ESP (measured by return on common equity) to the earnings of comparable companies during the same period.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If the utility’s profits are “significantly in excess” of those comparable companies’ profits, then the utility must refund the excess amounts to consumers.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If the PUCO orders such a refund, the utility then has the option to terminate its ESP and immediately file a Market Rate Offer.</w:t>
      </w:r>
      <w:r>
        <w:rPr>
          <w:rStyle w:val="FootnoteReference"/>
          <w:rFonts w:ascii="Times New Roman" w:hAnsi="Times New Roman" w:cs="Times New Roman"/>
          <w:sz w:val="24"/>
          <w:szCs w:val="24"/>
        </w:rPr>
        <w:footnoteReference w:id="14"/>
      </w:r>
    </w:p>
    <w:p w:rsidR="00310B74" w:rsidP="00D41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Edison had significantly excessive profits of more than $42 million in 2017.</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The law requires Ohio Edison to return that amount to customers.</w:t>
      </w:r>
    </w:p>
    <w:p w:rsidR="002D25F7" w:rsidP="002D25F7">
      <w:pPr>
        <w:spacing w:after="0" w:line="240" w:lineRule="auto"/>
        <w:ind w:firstLine="720"/>
        <w:rPr>
          <w:rFonts w:ascii="Times New Roman" w:hAnsi="Times New Roman" w:cs="Times New Roman"/>
          <w:sz w:val="24"/>
          <w:szCs w:val="24"/>
        </w:rPr>
      </w:pPr>
    </w:p>
    <w:p w:rsidR="007C6BDC" w:rsidRPr="005365F6" w:rsidP="004A20EB">
      <w:pPr>
        <w:pStyle w:val="Heading1"/>
      </w:pPr>
      <w:bookmarkStart w:id="4" w:name="_Toc534639765"/>
      <w:r>
        <w:t>RECOMMENDATIONS</w:t>
      </w:r>
      <w:bookmarkEnd w:id="4"/>
    </w:p>
    <w:p w:rsidR="00276B64" w:rsidRPr="005365F6" w:rsidP="003D62A4">
      <w:pPr>
        <w:pStyle w:val="Heading2"/>
      </w:pPr>
      <w:bookmarkStart w:id="5" w:name="_Toc534639766"/>
      <w:r w:rsidRPr="005365F6">
        <w:t>T</w:t>
      </w:r>
      <w:r>
        <w:t>he PUCO should protect consumers by rejecting t</w:t>
      </w:r>
      <w:r w:rsidRPr="005365F6">
        <w:t xml:space="preserve">he </w:t>
      </w:r>
      <w:r>
        <w:t xml:space="preserve">proposed </w:t>
      </w:r>
      <w:r w:rsidRPr="005365F6">
        <w:t xml:space="preserve">Settlement </w:t>
      </w:r>
      <w:r>
        <w:t xml:space="preserve">because it </w:t>
      </w:r>
      <w:r w:rsidRPr="005365F6">
        <w:t xml:space="preserve">is not the </w:t>
      </w:r>
      <w:r>
        <w:t>product</w:t>
      </w:r>
      <w:r w:rsidRPr="005365F6">
        <w:t xml:space="preserve"> of serious bargaining.</w:t>
      </w:r>
      <w:bookmarkEnd w:id="5"/>
      <w:r w:rsidRPr="005365F6">
        <w:t xml:space="preserve"> </w:t>
      </w:r>
    </w:p>
    <w:p w:rsidR="0051644F"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Settlement is not the product of serious bargaining because no bargaining occurred in this case. Black’s Law Dictionary defines a “settlement” as “an agreement ending a dispute or lawsuit.”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It likewise defines a “stipulation” as a “voluntary agreement between opposing parties concerning some relevant point; [especially] an agreement relating to a proceeding, made by attorneys representing adverse parties to a proceeding.”</w:t>
      </w:r>
      <w:r>
        <w:rPr>
          <w:rStyle w:val="FootnoteReference"/>
          <w:rFonts w:ascii="Times New Roman" w:hAnsi="Times New Roman" w:cs="Times New Roman"/>
          <w:sz w:val="24"/>
          <w:szCs w:val="24"/>
        </w:rPr>
        <w:footnoteReference w:id="17"/>
      </w:r>
    </w:p>
    <w:p w:rsidR="00A94C92"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each of these definitions, the key point is that for a settlement or stipulation to exist, there must be a </w:t>
      </w:r>
      <w:r w:rsidRPr="00CA220D">
        <w:rPr>
          <w:rFonts w:ascii="Times New Roman" w:hAnsi="Times New Roman" w:cs="Times New Roman"/>
          <w:i/>
          <w:sz w:val="24"/>
          <w:szCs w:val="24"/>
        </w:rPr>
        <w:t>dispute</w:t>
      </w:r>
      <w:r>
        <w:rPr>
          <w:rFonts w:ascii="Times New Roman" w:hAnsi="Times New Roman" w:cs="Times New Roman"/>
          <w:sz w:val="24"/>
          <w:szCs w:val="24"/>
        </w:rPr>
        <w:t xml:space="preserve"> between the parties to the settlement. When parties that are wholly aligned agree on something, they don’t “settle” anything when they simply acknowledge their alignment. Consider a class action lawsuit where multiple plaintiffs are suing a defendant and seeking $100 million in damages. Surely, the judge overseeing the case would give no weight to a proposed settlement signed by only the plaintiffs stating: “the signatory parties agree that defendant owes the plaintiffs $100 million.”</w:t>
      </w:r>
    </w:p>
    <w:p w:rsidR="00A94C92"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that is what is happening here. The PUCO Staff and Ohio Edison have never been adverse parties in this case. Before their proposed Settlement, Ohio Edison filed the direct testimony of Jason Petrik and Joanne Savage.  Such testimony “supported” the conclusion that Ohio Edison owed no refund to customers.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Before the proposed Settlement, the PUCO Staff filed the direct testimony of Joseph Buckley.  Like Ohio Edison’s witnesses, Mr. Buckley concluded that Ohio Edison owed no refund to customers.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Settlement merely restates the parties’ concurring positions.</w:t>
      </w:r>
    </w:p>
    <w:p w:rsidR="00172FB4" w:rsidP="00D7041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Settlement does not even purport to resolve the one issue that the PUCO Staff and Ohio Edison disagree on – the 2017 SEET threshold. The proposed Settlement does not adopt any SEET threshold.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Because the signatory parties do not agree on the 2017 SEET ROE threshold, there is no settlement of that issue. The proposed Settlement is just a summary of the previously-filed testimony of Ohio Edison and the PUCO Staff.</w:t>
      </w:r>
    </w:p>
    <w:p w:rsidR="00735FB5" w:rsidP="00276B6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Staff and Ohio Edison did not seriously bargain for anything. This is evident from the face of the Settlement, which does nothing more than acknowledge that the PUCO Staff and Ohio Edison have never been adverse parties in this case.</w:t>
      </w:r>
    </w:p>
    <w:p w:rsidR="00276B64" w:rsidRPr="005365F6">
      <w:pPr>
        <w:pStyle w:val="Heading2"/>
      </w:pPr>
      <w:bookmarkStart w:id="6" w:name="_Toc482612436"/>
      <w:bookmarkStart w:id="7" w:name="_Toc534639767"/>
      <w:r w:rsidRPr="005365F6">
        <w:t xml:space="preserve">The </w:t>
      </w:r>
      <w:r>
        <w:t xml:space="preserve">PUCO should protect consumers by rejecting the proposed </w:t>
      </w:r>
      <w:r w:rsidRPr="005365F6">
        <w:t xml:space="preserve">Settlement </w:t>
      </w:r>
      <w:r>
        <w:t>because it harms consumers</w:t>
      </w:r>
      <w:r w:rsidRPr="005365F6">
        <w:t xml:space="preserve"> and the public in</w:t>
      </w:r>
      <w:r>
        <w:t>terest by allowing Ohio Edison to keep</w:t>
      </w:r>
      <w:r w:rsidRPr="005365F6">
        <w:t xml:space="preserve"> </w:t>
      </w:r>
      <w:r>
        <w:t>$42 million in significantly excessive profits</w:t>
      </w:r>
      <w:r w:rsidRPr="005365F6">
        <w:t>.</w:t>
      </w:r>
      <w:bookmarkEnd w:id="6"/>
      <w:bookmarkEnd w:id="7"/>
    </w:p>
    <w:p w:rsidR="003816B4"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properly applied in this case, the significantly excessive earnings test requires Ohio Edison to provide a $42 million refund to customers. The Settlement, however, proposes no refund to customers. Customers do not benefit from a settlement that allows Ohio Edison to charge its customers for significantly excessive profits.</w:t>
      </w:r>
    </w:p>
    <w:p w:rsidR="003816B4" w:rsidP="009059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Rather than adopt the Settlement’s proposal to allow Ohio Edison to keep significantly excessive profits, the PUCO should adopt OCC witness Duann’s proper application of the significantly excessive earnings test, which results in overearnings being returned to customers. Dr. Duann explained that the signatory parties misapplied the significantly excessive earnings test.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Therefore, the signatory parties’ conclusion that Ohio Edison’s 2017 profits were not significantly excessive is wrong.</w:t>
      </w:r>
    </w:p>
    <w:p w:rsidR="00C10DB0" w:rsidRPr="00C10DB0" w:rsidP="00C10DB0">
      <w:pPr>
        <w:autoSpaceDE w:val="0"/>
        <w:autoSpaceDN w:val="0"/>
        <w:adjustRightInd w:val="0"/>
        <w:spacing w:after="0" w:line="480" w:lineRule="auto"/>
        <w:ind w:firstLine="720"/>
        <w:rPr>
          <w:rFonts w:ascii="Times New Roman" w:hAnsi="Times New Roman" w:cs="Times New Roman"/>
          <w:bCs/>
          <w:sz w:val="24"/>
          <w:szCs w:val="24"/>
        </w:rPr>
      </w:pPr>
      <w:r w:rsidRPr="00C10DB0">
        <w:rPr>
          <w:rFonts w:ascii="Times New Roman" w:hAnsi="Times New Roman" w:cs="Times New Roman"/>
          <w:bCs/>
          <w:sz w:val="24"/>
          <w:szCs w:val="24"/>
        </w:rPr>
        <w:t>The customers of Ohio Edison are harmed under the proposed Settlement.  As discussed</w:t>
      </w:r>
      <w:r>
        <w:rPr>
          <w:rFonts w:ascii="Times New Roman" w:hAnsi="Times New Roman" w:cs="Times New Roman"/>
          <w:bCs/>
          <w:sz w:val="24"/>
          <w:szCs w:val="24"/>
        </w:rPr>
        <w:t xml:space="preserve"> </w:t>
      </w:r>
      <w:r w:rsidRPr="00C10DB0">
        <w:rPr>
          <w:rFonts w:ascii="Times New Roman" w:hAnsi="Times New Roman" w:cs="Times New Roman"/>
          <w:bCs/>
          <w:sz w:val="24"/>
          <w:szCs w:val="24"/>
        </w:rPr>
        <w:t xml:space="preserve">in </w:t>
      </w:r>
      <w:r>
        <w:rPr>
          <w:rFonts w:ascii="Times New Roman" w:hAnsi="Times New Roman" w:cs="Times New Roman"/>
          <w:bCs/>
          <w:sz w:val="24"/>
          <w:szCs w:val="24"/>
        </w:rPr>
        <w:t>Dr. Duann’s testimony</w:t>
      </w:r>
      <w:r w:rsidRPr="00C10DB0">
        <w:rPr>
          <w:rFonts w:ascii="Times New Roman" w:hAnsi="Times New Roman" w:cs="Times New Roman"/>
          <w:bCs/>
          <w:sz w:val="24"/>
          <w:szCs w:val="24"/>
        </w:rPr>
        <w:t xml:space="preserve">, Ohio Edison had significantly excessive </w:t>
      </w:r>
      <w:r>
        <w:rPr>
          <w:rFonts w:ascii="Times New Roman" w:hAnsi="Times New Roman" w:cs="Times New Roman"/>
          <w:bCs/>
          <w:sz w:val="24"/>
          <w:szCs w:val="24"/>
        </w:rPr>
        <w:t>profits</w:t>
      </w:r>
      <w:r w:rsidRPr="00C10DB0">
        <w:rPr>
          <w:rFonts w:ascii="Times New Roman" w:hAnsi="Times New Roman" w:cs="Times New Roman"/>
          <w:bCs/>
          <w:sz w:val="24"/>
          <w:szCs w:val="24"/>
        </w:rPr>
        <w:t xml:space="preserve"> in 2017 and $42,064,470 should be returned to customers through either a refund or a credit on their monthly electricity bills.</w:t>
      </w:r>
      <w:r>
        <w:rPr>
          <w:rStyle w:val="FootnoteReference"/>
          <w:rFonts w:ascii="Times New Roman" w:hAnsi="Times New Roman" w:cs="Times New Roman"/>
          <w:sz w:val="24"/>
          <w:szCs w:val="24"/>
        </w:rPr>
        <w:footnoteReference w:id="22"/>
      </w:r>
      <w:r w:rsidRPr="00C10DB0">
        <w:rPr>
          <w:rFonts w:ascii="Times New Roman" w:hAnsi="Times New Roman" w:cs="Times New Roman"/>
          <w:bCs/>
          <w:sz w:val="24"/>
          <w:szCs w:val="24"/>
        </w:rPr>
        <w:t xml:space="preserve">  If the proposed Settlement is adopted, Ohio Edison’s customers will </w:t>
      </w:r>
      <w:r>
        <w:rPr>
          <w:rFonts w:ascii="Times New Roman" w:hAnsi="Times New Roman" w:cs="Times New Roman"/>
          <w:bCs/>
          <w:sz w:val="24"/>
          <w:szCs w:val="24"/>
        </w:rPr>
        <w:t xml:space="preserve">be harmed because they will </w:t>
      </w:r>
      <w:r w:rsidRPr="00C10DB0">
        <w:rPr>
          <w:rFonts w:ascii="Times New Roman" w:hAnsi="Times New Roman" w:cs="Times New Roman"/>
          <w:bCs/>
          <w:sz w:val="24"/>
          <w:szCs w:val="24"/>
        </w:rPr>
        <w:t>not receive a SEET refund or a credit</w:t>
      </w:r>
      <w:r>
        <w:rPr>
          <w:rFonts w:ascii="Times New Roman" w:hAnsi="Times New Roman" w:cs="Times New Roman"/>
          <w:bCs/>
          <w:sz w:val="24"/>
          <w:szCs w:val="24"/>
        </w:rPr>
        <w:t>.</w:t>
      </w:r>
      <w:r w:rsidRPr="00C10DB0">
        <w:rPr>
          <w:rFonts w:ascii="Times New Roman" w:hAnsi="Times New Roman" w:cs="Times New Roman"/>
          <w:bCs/>
          <w:sz w:val="24"/>
          <w:szCs w:val="24"/>
        </w:rPr>
        <w:t xml:space="preserve">  </w:t>
      </w:r>
    </w:p>
    <w:p w:rsidR="00C84005" w:rsidP="00C10DB0">
      <w:pPr>
        <w:spacing w:after="0" w:line="480" w:lineRule="auto"/>
        <w:ind w:firstLine="720"/>
        <w:rPr>
          <w:rFonts w:ascii="Times New Roman" w:hAnsi="Times New Roman" w:cs="Times New Roman"/>
          <w:bCs/>
          <w:sz w:val="24"/>
          <w:szCs w:val="24"/>
        </w:rPr>
      </w:pPr>
      <w:r w:rsidRPr="00C10DB0">
        <w:rPr>
          <w:rFonts w:ascii="Times New Roman" w:hAnsi="Times New Roman" w:cs="Times New Roman"/>
          <w:bCs/>
          <w:sz w:val="24"/>
          <w:szCs w:val="24"/>
        </w:rPr>
        <w:t>There is no benefit to customers included in the proposed Settlement that would counterbalance or compensate customers for giving up the $42 million SEET refund to which they are entitled.</w:t>
      </w:r>
      <w:r>
        <w:rPr>
          <w:rStyle w:val="FootnoteReference"/>
          <w:rFonts w:ascii="Times New Roman" w:hAnsi="Times New Roman" w:cs="Times New Roman"/>
          <w:bCs/>
          <w:sz w:val="24"/>
          <w:szCs w:val="24"/>
        </w:rPr>
        <w:footnoteReference w:id="23"/>
      </w:r>
      <w:r w:rsidRPr="00C10DB0">
        <w:rPr>
          <w:rFonts w:ascii="Times New Roman" w:hAnsi="Times New Roman" w:cs="Times New Roman"/>
          <w:bCs/>
          <w:sz w:val="24"/>
          <w:szCs w:val="24"/>
        </w:rPr>
        <w:t xml:space="preserve">  Ohio Edison’s own witness cannot identify or quantify any customer benefits from the proposed Settlement in her Supplemental Testimony.</w:t>
      </w:r>
      <w:r>
        <w:rPr>
          <w:rStyle w:val="FootnoteReference"/>
          <w:rFonts w:ascii="Times New Roman" w:hAnsi="Times New Roman" w:cs="Times New Roman"/>
          <w:bCs/>
          <w:sz w:val="24"/>
          <w:szCs w:val="24"/>
        </w:rPr>
        <w:footnoteReference w:id="24"/>
      </w:r>
      <w:r w:rsidRPr="00C10DB0">
        <w:rPr>
          <w:rFonts w:ascii="Times New Roman" w:hAnsi="Times New Roman" w:cs="Times New Roman"/>
          <w:bCs/>
          <w:sz w:val="24"/>
          <w:szCs w:val="24"/>
        </w:rPr>
        <w:t xml:space="preserve">  At best, she provided a generic and unsubstantiated statement that the proposed Settlement would benefit customers and the public interest “as it contributes to a timely and reasonable resolution to this case.”</w:t>
      </w:r>
      <w:r>
        <w:rPr>
          <w:rStyle w:val="FootnoteReference"/>
          <w:rFonts w:ascii="Times New Roman" w:hAnsi="Times New Roman" w:cs="Times New Roman"/>
          <w:sz w:val="24"/>
          <w:szCs w:val="24"/>
        </w:rPr>
        <w:footnoteReference w:id="25"/>
      </w:r>
      <w:r w:rsidRPr="00C10DB0">
        <w:rPr>
          <w:rFonts w:ascii="Times New Roman" w:hAnsi="Times New Roman" w:cs="Times New Roman"/>
          <w:bCs/>
          <w:sz w:val="24"/>
          <w:szCs w:val="24"/>
        </w:rPr>
        <w:t xml:space="preserve"> As discussed earlier, the filing of the proposed Settlement does not present any new or useful facts or arguments.  The proposed Settlement is just a rehash of the previously-filed testimony of Ohio Edison and the PUCO Staff.</w:t>
      </w:r>
      <w:r>
        <w:rPr>
          <w:rStyle w:val="FootnoteReference"/>
          <w:rFonts w:ascii="Times New Roman" w:hAnsi="Times New Roman" w:cs="Times New Roman"/>
          <w:bCs/>
          <w:sz w:val="24"/>
          <w:szCs w:val="24"/>
        </w:rPr>
        <w:footnoteReference w:id="26"/>
      </w:r>
      <w:r w:rsidRPr="00C10DB0">
        <w:rPr>
          <w:rFonts w:ascii="Times New Roman" w:hAnsi="Times New Roman" w:cs="Times New Roman"/>
          <w:bCs/>
          <w:sz w:val="24"/>
          <w:szCs w:val="24"/>
        </w:rPr>
        <w:t xml:space="preserve">  The proposed Settlement will have no effect on the timeliness or the efficiency of the adjudication of this case.</w:t>
      </w:r>
      <w:r>
        <w:rPr>
          <w:rStyle w:val="FootnoteReference"/>
          <w:rFonts w:ascii="Times New Roman" w:hAnsi="Times New Roman" w:cs="Times New Roman"/>
          <w:bCs/>
          <w:sz w:val="24"/>
          <w:szCs w:val="24"/>
        </w:rPr>
        <w:footnoteReference w:id="27"/>
      </w:r>
      <w:r w:rsidRPr="00C10DB0">
        <w:rPr>
          <w:rFonts w:ascii="Times New Roman" w:hAnsi="Times New Roman" w:cs="Times New Roman"/>
          <w:bCs/>
          <w:sz w:val="24"/>
          <w:szCs w:val="24"/>
        </w:rPr>
        <w:t xml:space="preserve">  As a result, the Settlement does not benefit customers.  The so-called timely resolution of this case only benefits </w:t>
      </w:r>
      <w:r>
        <w:rPr>
          <w:rFonts w:ascii="Times New Roman" w:hAnsi="Times New Roman" w:cs="Times New Roman"/>
          <w:bCs/>
          <w:sz w:val="24"/>
          <w:szCs w:val="24"/>
        </w:rPr>
        <w:t>Ohio Edison and its shareholders</w:t>
      </w:r>
      <w:r w:rsidRPr="00C10DB0">
        <w:rPr>
          <w:rFonts w:ascii="Times New Roman" w:hAnsi="Times New Roman" w:cs="Times New Roman"/>
          <w:bCs/>
          <w:sz w:val="24"/>
          <w:szCs w:val="24"/>
        </w:rPr>
        <w:t xml:space="preserve">.  </w:t>
      </w:r>
    </w:p>
    <w:p w:rsidR="00C10DB0" w:rsidRPr="00C10DB0" w:rsidP="00C84005">
      <w:pPr>
        <w:spacing w:after="0" w:line="480" w:lineRule="auto"/>
        <w:ind w:firstLine="720"/>
        <w:rPr>
          <w:rFonts w:ascii="Times New Roman" w:hAnsi="Times New Roman" w:cs="Times New Roman"/>
          <w:sz w:val="24"/>
          <w:szCs w:val="24"/>
        </w:rPr>
      </w:pPr>
      <w:r w:rsidRPr="00C10DB0">
        <w:rPr>
          <w:rFonts w:ascii="Times New Roman" w:hAnsi="Times New Roman" w:cs="Times New Roman"/>
          <w:bCs/>
          <w:sz w:val="24"/>
          <w:szCs w:val="24"/>
        </w:rPr>
        <w:t xml:space="preserve">Customers would </w:t>
      </w:r>
      <w:r>
        <w:rPr>
          <w:rFonts w:ascii="Times New Roman" w:hAnsi="Times New Roman" w:cs="Times New Roman"/>
          <w:bCs/>
          <w:sz w:val="24"/>
          <w:szCs w:val="24"/>
        </w:rPr>
        <w:t>benefit from</w:t>
      </w:r>
      <w:r w:rsidRPr="00C10DB0">
        <w:rPr>
          <w:rFonts w:ascii="Times New Roman" w:hAnsi="Times New Roman" w:cs="Times New Roman"/>
          <w:bCs/>
          <w:sz w:val="24"/>
          <w:szCs w:val="24"/>
        </w:rPr>
        <w:t xml:space="preserve"> a timely resolution where they receive $42 million in refunds from Ohio Edison’s significantly excessive </w:t>
      </w:r>
      <w:r>
        <w:rPr>
          <w:rFonts w:ascii="Times New Roman" w:hAnsi="Times New Roman" w:cs="Times New Roman"/>
          <w:bCs/>
          <w:sz w:val="24"/>
          <w:szCs w:val="24"/>
        </w:rPr>
        <w:t>profits</w:t>
      </w:r>
      <w:r w:rsidRPr="00C10DB0">
        <w:rPr>
          <w:rFonts w:ascii="Times New Roman" w:hAnsi="Times New Roman" w:cs="Times New Roman"/>
          <w:bCs/>
          <w:sz w:val="24"/>
          <w:szCs w:val="24"/>
        </w:rPr>
        <w:t xml:space="preserve"> in 2017.</w:t>
      </w:r>
      <w:r>
        <w:rPr>
          <w:rStyle w:val="FootnoteReference"/>
          <w:rFonts w:ascii="Times New Roman" w:hAnsi="Times New Roman" w:cs="Times New Roman"/>
          <w:bCs/>
          <w:sz w:val="24"/>
          <w:szCs w:val="24"/>
        </w:rPr>
        <w:footnoteReference w:id="28"/>
      </w:r>
      <w:r w:rsidRPr="00C10DB0">
        <w:rPr>
          <w:rFonts w:ascii="Times New Roman" w:hAnsi="Times New Roman" w:cs="Times New Roman"/>
          <w:bCs/>
          <w:sz w:val="24"/>
          <w:szCs w:val="24"/>
        </w:rPr>
        <w:t xml:space="preserve">  Further, the proposed Settlement being a product of “negotiation” mainly by Ohio Edison and the PUCO Staff, if adopted, would likely discourage participation and negotiation by all parties with diverse interests in resolving difficult issues in many future cases before the PUCO.</w:t>
      </w:r>
      <w:r>
        <w:rPr>
          <w:rStyle w:val="FootnoteReference"/>
          <w:rFonts w:ascii="Times New Roman" w:hAnsi="Times New Roman" w:cs="Times New Roman"/>
          <w:bCs/>
          <w:sz w:val="24"/>
          <w:szCs w:val="24"/>
        </w:rPr>
        <w:footnoteReference w:id="29"/>
      </w:r>
      <w:r w:rsidRPr="00C10DB0">
        <w:rPr>
          <w:rFonts w:ascii="Times New Roman" w:hAnsi="Times New Roman" w:cs="Times New Roman"/>
          <w:bCs/>
          <w:sz w:val="24"/>
          <w:szCs w:val="24"/>
        </w:rPr>
        <w:t xml:space="preserve">  Allowing this to happen will not achieve the PUCO’s goal of promoting regulatory efficiency.</w:t>
      </w:r>
      <w:r>
        <w:rPr>
          <w:rStyle w:val="FootnoteReference"/>
          <w:rFonts w:ascii="Times New Roman" w:hAnsi="Times New Roman" w:cs="Times New Roman"/>
          <w:bCs/>
          <w:sz w:val="24"/>
          <w:szCs w:val="24"/>
        </w:rPr>
        <w:footnoteReference w:id="30"/>
      </w:r>
    </w:p>
    <w:p w:rsidR="00276B64">
      <w:pPr>
        <w:pStyle w:val="Heading2"/>
      </w:pPr>
      <w:bookmarkStart w:id="8" w:name="_Toc482612437"/>
      <w:bookmarkStart w:id="9" w:name="_Toc534639768"/>
      <w:r w:rsidRPr="005365F6">
        <w:t xml:space="preserve">The </w:t>
      </w:r>
      <w:r>
        <w:t xml:space="preserve">PUCO should protect consumers by rejecting the proposed </w:t>
      </w:r>
      <w:r w:rsidRPr="005365F6">
        <w:t xml:space="preserve">Settlement </w:t>
      </w:r>
      <w:r>
        <w:t xml:space="preserve">because it </w:t>
      </w:r>
      <w:r w:rsidRPr="005365F6">
        <w:t xml:space="preserve">violates Ohio </w:t>
      </w:r>
      <w:r>
        <w:t>law and important regulatory principles</w:t>
      </w:r>
      <w:r w:rsidRPr="005365F6">
        <w:t>.</w:t>
      </w:r>
      <w:bookmarkEnd w:id="8"/>
      <w:bookmarkEnd w:id="9"/>
    </w:p>
    <w:p w:rsidR="00300900" w:rsidP="00A75AF6">
      <w:pPr>
        <w:pStyle w:val="Heading3"/>
      </w:pPr>
      <w:bookmarkStart w:id="10" w:name="_Toc534639769"/>
      <w:r>
        <w:t>The Settlement would result in unjust and unreasonable rates and violates state policy.</w:t>
      </w:r>
      <w:bookmarkEnd w:id="10"/>
    </w:p>
    <w:p w:rsidR="006F5DB3" w:rsidP="000C39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law requires utilities to charge just and reasonable rates.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 violation of the law, t</w:t>
      </w:r>
      <w:r w:rsidRPr="005365F6">
        <w:rPr>
          <w:rFonts w:ascii="Times New Roman" w:hAnsi="Times New Roman" w:cs="Times New Roman"/>
          <w:sz w:val="24"/>
          <w:szCs w:val="24"/>
        </w:rPr>
        <w:t xml:space="preserve">he </w:t>
      </w:r>
      <w:r>
        <w:rPr>
          <w:rFonts w:ascii="Times New Roman" w:hAnsi="Times New Roman" w:cs="Times New Roman"/>
          <w:sz w:val="24"/>
          <w:szCs w:val="24"/>
        </w:rPr>
        <w:t xml:space="preserve">proposed </w:t>
      </w:r>
      <w:r w:rsidRPr="005365F6">
        <w:rPr>
          <w:rFonts w:ascii="Times New Roman" w:hAnsi="Times New Roman" w:cs="Times New Roman"/>
          <w:sz w:val="24"/>
          <w:szCs w:val="24"/>
        </w:rPr>
        <w:t xml:space="preserve">Settlement </w:t>
      </w:r>
      <w:r>
        <w:rPr>
          <w:rFonts w:ascii="Times New Roman" w:hAnsi="Times New Roman" w:cs="Times New Roman"/>
          <w:sz w:val="24"/>
          <w:szCs w:val="24"/>
        </w:rPr>
        <w:t>would allow Ohio Edison to overcharge consumers and keep its significantly excessive profits for the year 2017. The General Assembly adopted the SEET as a necessary check to safeguard that, for the benefit of customers, Ohio’s electric utilities do not earn significantly excessive profits through their electric security plan. Ohio Edison had the option to offer market-based rates or an ESP subject to the SEET, and chose to be subject to the SEET.  As the Supreme Court of Ohio has noted, Ohio Edison “not only had notice of R.C. 4928.143(F), but chose to be subject to it. . . . Presumably, the potential reward outweighed the risk.”</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Indeed, to Ohio Edison the rewards of the ESP were great, because Ohio Edison’s profits significantly exceeded those of other companies facing comparable business and financial risk. </w:t>
      </w:r>
    </w:p>
    <w:p w:rsidR="00276B64" w:rsidP="000C39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R.C. 4928.02 identifies the policies of the state of Ohio regarding electric services. It is the policy of the state of Ohio to maintain the availability to consumers of adequate, reliable, safe, efficient, nondiscriminatory, and reasonably priced retail electric service; to protect at-risk populations; and to facilitate the state’s effectiveness in the global economy.</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proposed Settlement violates each of these state policies. The proposed Settlement would allow Ohio Edison to sidestep refunding its customers over $42 million, which is the amount that Ohio Edison overcharged them. This is not providing reasonably priced retail electric service, protecting at-risk populations, or facilitating the state’s effectiveness in the global economy.</w:t>
      </w:r>
    </w:p>
    <w:p w:rsidR="00300900" w:rsidP="00A75AF6">
      <w:pPr>
        <w:pStyle w:val="Heading3"/>
      </w:pPr>
      <w:bookmarkStart w:id="11" w:name="_Toc534639770"/>
      <w:r>
        <w:t>Distribution Modernization Rider revenues should not be excluded from SEET.</w:t>
      </w:r>
      <w:bookmarkEnd w:id="11"/>
    </w:p>
    <w:p w:rsidR="00D91234" w:rsidRPr="00300900" w:rsidP="00D91234">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Under the Settlement, revenue from the</w:t>
      </w:r>
      <w:r w:rsidRPr="00C84005">
        <w:rPr>
          <w:rFonts w:ascii="Times New Roman" w:hAnsi="Times New Roman" w:cs="Times New Roman"/>
          <w:bCs/>
          <w:sz w:val="24"/>
          <w:szCs w:val="24"/>
        </w:rPr>
        <w:t xml:space="preserve"> Distribution Modernization Rider (“Rider DMR”) </w:t>
      </w:r>
      <w:r>
        <w:rPr>
          <w:rFonts w:ascii="Times New Roman" w:hAnsi="Times New Roman" w:cs="Times New Roman"/>
          <w:bCs/>
          <w:sz w:val="24"/>
          <w:szCs w:val="24"/>
        </w:rPr>
        <w:t>is excluded from SEET.</w:t>
      </w:r>
      <w:r>
        <w:rPr>
          <w:rStyle w:val="FootnoteReference"/>
          <w:rFonts w:ascii="Times New Roman" w:hAnsi="Times New Roman" w:cs="Times New Roman"/>
          <w:bCs/>
          <w:sz w:val="24"/>
          <w:szCs w:val="24"/>
        </w:rPr>
        <w:footnoteReference w:id="34"/>
      </w:r>
      <w:r>
        <w:rPr>
          <w:rFonts w:ascii="Times New Roman" w:hAnsi="Times New Roman" w:cs="Times New Roman"/>
          <w:bCs/>
          <w:sz w:val="24"/>
          <w:szCs w:val="24"/>
        </w:rPr>
        <w:t xml:space="preserve">  That is wrong.  Rider DMR </w:t>
      </w:r>
      <w:r w:rsidRPr="00C84005">
        <w:rPr>
          <w:rFonts w:ascii="Times New Roman" w:hAnsi="Times New Roman" w:cs="Times New Roman"/>
          <w:bCs/>
          <w:sz w:val="24"/>
          <w:szCs w:val="24"/>
        </w:rPr>
        <w:t>was approved as part of Ohio</w:t>
      </w:r>
      <w:r>
        <w:rPr>
          <w:rFonts w:ascii="Times New Roman" w:hAnsi="Times New Roman" w:cs="Times New Roman"/>
          <w:bCs/>
          <w:sz w:val="24"/>
          <w:szCs w:val="24"/>
        </w:rPr>
        <w:t xml:space="preserve"> </w:t>
      </w:r>
      <w:r w:rsidRPr="00C84005">
        <w:rPr>
          <w:rFonts w:ascii="Times New Roman" w:hAnsi="Times New Roman" w:cs="Times New Roman"/>
          <w:bCs/>
          <w:sz w:val="24"/>
          <w:szCs w:val="24"/>
        </w:rPr>
        <w:t>Edison’s most recent ESP.</w:t>
      </w:r>
      <w:r>
        <w:rPr>
          <w:rStyle w:val="FootnoteReference"/>
          <w:rFonts w:ascii="Times New Roman" w:hAnsi="Times New Roman" w:cs="Times New Roman"/>
          <w:bCs/>
          <w:sz w:val="24"/>
          <w:szCs w:val="24"/>
        </w:rPr>
        <w:footnoteReference w:id="35"/>
      </w:r>
      <w:r w:rsidRPr="00C84005">
        <w:rPr>
          <w:rFonts w:ascii="Times New Roman" w:hAnsi="Times New Roman" w:cs="Times New Roman"/>
          <w:bCs/>
          <w:sz w:val="24"/>
          <w:szCs w:val="24"/>
        </w:rPr>
        <w:t xml:space="preserve"> </w:t>
      </w:r>
      <w:r>
        <w:rPr>
          <w:rFonts w:ascii="Times New Roman" w:hAnsi="Times New Roman" w:cs="Times New Roman"/>
          <w:bCs/>
          <w:sz w:val="24"/>
          <w:szCs w:val="24"/>
        </w:rPr>
        <w:t>Under the Rider, Ohio Edison does not have to spend even one penny on distribution service.</w:t>
      </w:r>
      <w:r>
        <w:rPr>
          <w:rStyle w:val="FootnoteReference"/>
          <w:rFonts w:ascii="Times New Roman" w:hAnsi="Times New Roman" w:cs="Times New Roman"/>
          <w:bCs/>
          <w:sz w:val="24"/>
          <w:szCs w:val="24"/>
        </w:rPr>
        <w:footnoteReference w:id="36"/>
      </w:r>
      <w:r>
        <w:rPr>
          <w:rFonts w:ascii="Times New Roman" w:hAnsi="Times New Roman" w:cs="Times New Roman"/>
          <w:bCs/>
          <w:sz w:val="24"/>
          <w:szCs w:val="24"/>
        </w:rPr>
        <w:t xml:space="preserve">  </w:t>
      </w:r>
      <w:r w:rsidRPr="00D91234">
        <w:rPr>
          <w:rFonts w:ascii="Times New Roman" w:hAnsi="Times New Roman" w:cs="Times New Roman"/>
          <w:bCs/>
          <w:sz w:val="24"/>
          <w:szCs w:val="24"/>
        </w:rPr>
        <w:t>Instead the Rider DMR revenues provide credit support for</w:t>
      </w:r>
      <w:r>
        <w:rPr>
          <w:rFonts w:ascii="Times New Roman" w:hAnsi="Times New Roman" w:cs="Times New Roman"/>
          <w:bCs/>
          <w:sz w:val="24"/>
          <w:szCs w:val="24"/>
        </w:rPr>
        <w:t xml:space="preserve"> </w:t>
      </w:r>
      <w:r w:rsidRPr="00D91234">
        <w:rPr>
          <w:rFonts w:ascii="Times New Roman" w:hAnsi="Times New Roman" w:cs="Times New Roman"/>
          <w:bCs/>
          <w:sz w:val="24"/>
          <w:szCs w:val="24"/>
        </w:rPr>
        <w:t>FirstEnergy Corp.</w:t>
      </w:r>
      <w:r>
        <w:rPr>
          <w:rStyle w:val="FootnoteReference"/>
          <w:rFonts w:ascii="Times New Roman" w:hAnsi="Times New Roman" w:cs="Times New Roman"/>
          <w:bCs/>
          <w:sz w:val="24"/>
          <w:szCs w:val="24"/>
        </w:rPr>
        <w:footnoteReference w:id="37"/>
      </w:r>
      <w:r w:rsidRPr="00D91234">
        <w:rPr>
          <w:rFonts w:ascii="Times New Roman" w:hAnsi="Times New Roman" w:cs="Times New Roman"/>
          <w:bCs/>
          <w:sz w:val="24"/>
          <w:szCs w:val="24"/>
        </w:rPr>
        <w:t xml:space="preserve">  OCC and others have appealed the PUCO</w:t>
      </w:r>
      <w:r>
        <w:rPr>
          <w:rFonts w:ascii="Times New Roman" w:hAnsi="Times New Roman" w:cs="Times New Roman"/>
          <w:bCs/>
          <w:sz w:val="24"/>
          <w:szCs w:val="24"/>
        </w:rPr>
        <w:t>’</w:t>
      </w:r>
      <w:r w:rsidRPr="00D91234">
        <w:rPr>
          <w:rFonts w:ascii="Times New Roman" w:hAnsi="Times New Roman" w:cs="Times New Roman"/>
          <w:bCs/>
          <w:sz w:val="24"/>
          <w:szCs w:val="24"/>
        </w:rPr>
        <w:t>s approval of this charge</w:t>
      </w:r>
      <w:r>
        <w:rPr>
          <w:rFonts w:ascii="Times New Roman" w:hAnsi="Times New Roman" w:cs="Times New Roman"/>
          <w:bCs/>
          <w:sz w:val="24"/>
          <w:szCs w:val="24"/>
        </w:rPr>
        <w:t xml:space="preserve"> </w:t>
      </w:r>
      <w:r w:rsidRPr="00D91234">
        <w:rPr>
          <w:rFonts w:ascii="Times New Roman" w:hAnsi="Times New Roman" w:cs="Times New Roman"/>
          <w:bCs/>
          <w:sz w:val="24"/>
          <w:szCs w:val="24"/>
        </w:rPr>
        <w:t>to the Supreme Court</w:t>
      </w:r>
      <w:r>
        <w:rPr>
          <w:rFonts w:ascii="Times New Roman" w:hAnsi="Times New Roman" w:cs="Times New Roman"/>
          <w:bCs/>
          <w:sz w:val="24"/>
          <w:szCs w:val="24"/>
        </w:rPr>
        <w:t xml:space="preserve"> of Ohio</w:t>
      </w:r>
      <w:r w:rsidRPr="00D9123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38"/>
      </w:r>
      <w:r w:rsidRPr="00D91234">
        <w:rPr>
          <w:rFonts w:ascii="Times New Roman" w:hAnsi="Times New Roman" w:cs="Times New Roman"/>
          <w:bCs/>
          <w:sz w:val="24"/>
          <w:szCs w:val="24"/>
        </w:rPr>
        <w:t xml:space="preserve">  Rider DMR revenue was collected by Ohio Edison</w:t>
      </w:r>
      <w:r>
        <w:rPr>
          <w:rFonts w:ascii="Times New Roman" w:hAnsi="Times New Roman" w:cs="Times New Roman"/>
          <w:bCs/>
          <w:sz w:val="24"/>
          <w:szCs w:val="24"/>
        </w:rPr>
        <w:t xml:space="preserve"> </w:t>
      </w:r>
      <w:r w:rsidRPr="00D91234">
        <w:rPr>
          <w:rFonts w:ascii="Times New Roman" w:hAnsi="Times New Roman" w:cs="Times New Roman"/>
          <w:bCs/>
          <w:sz w:val="24"/>
          <w:szCs w:val="24"/>
        </w:rPr>
        <w:t>from its customers in 2017 and has been authorized for at least two more years after</w:t>
      </w:r>
      <w:r>
        <w:rPr>
          <w:rFonts w:ascii="Times New Roman" w:hAnsi="Times New Roman" w:cs="Times New Roman"/>
          <w:bCs/>
          <w:sz w:val="24"/>
          <w:szCs w:val="24"/>
        </w:rPr>
        <w:t xml:space="preserve"> </w:t>
      </w:r>
      <w:r w:rsidRPr="00D91234">
        <w:rPr>
          <w:rFonts w:ascii="Times New Roman" w:hAnsi="Times New Roman" w:cs="Times New Roman"/>
          <w:bCs/>
          <w:sz w:val="24"/>
          <w:szCs w:val="24"/>
        </w:rPr>
        <w:t>2017, with the potential for Ohio Edison to collect more in years four and five (2020 and</w:t>
      </w:r>
      <w:r>
        <w:rPr>
          <w:rFonts w:ascii="Times New Roman" w:hAnsi="Times New Roman" w:cs="Times New Roman"/>
          <w:bCs/>
          <w:sz w:val="24"/>
          <w:szCs w:val="24"/>
        </w:rPr>
        <w:t xml:space="preserve"> </w:t>
      </w:r>
      <w:r w:rsidRPr="00D91234">
        <w:rPr>
          <w:rFonts w:ascii="Times New Roman" w:hAnsi="Times New Roman" w:cs="Times New Roman"/>
          <w:bCs/>
          <w:sz w:val="24"/>
          <w:szCs w:val="24"/>
        </w:rPr>
        <w:t>2021).</w:t>
      </w:r>
      <w:r>
        <w:rPr>
          <w:rStyle w:val="FootnoteReference"/>
          <w:rFonts w:ascii="Times New Roman" w:hAnsi="Times New Roman" w:cs="Times New Roman"/>
          <w:bCs/>
          <w:sz w:val="24"/>
          <w:szCs w:val="24"/>
        </w:rPr>
        <w:footnoteReference w:id="39"/>
      </w:r>
      <w:r>
        <w:rPr>
          <w:bCs/>
        </w:rPr>
        <w:t xml:space="preserve">  </w:t>
      </w:r>
      <w:r>
        <w:rPr>
          <w:rFonts w:ascii="Times New Roman" w:hAnsi="Times New Roman" w:cs="Times New Roman"/>
          <w:bCs/>
          <w:sz w:val="24"/>
          <w:szCs w:val="24"/>
        </w:rPr>
        <w:t>In 2017, Ohio Edison collected more than $58 million net of tax through Rider DMR.</w:t>
      </w:r>
      <w:r>
        <w:rPr>
          <w:rStyle w:val="FootnoteReference"/>
          <w:rFonts w:ascii="Times New Roman" w:hAnsi="Times New Roman" w:cs="Times New Roman"/>
          <w:bCs/>
          <w:sz w:val="24"/>
          <w:szCs w:val="24"/>
        </w:rPr>
        <w:footnoteReference w:id="40"/>
      </w:r>
    </w:p>
    <w:p w:rsidR="00D91234" w:rsidRPr="00D91234" w:rsidP="00D91234">
      <w:pPr>
        <w:autoSpaceDE w:val="0"/>
        <w:autoSpaceDN w:val="0"/>
        <w:adjustRightInd w:val="0"/>
        <w:spacing w:after="0" w:line="480" w:lineRule="auto"/>
        <w:ind w:firstLine="720"/>
        <w:rPr>
          <w:rFonts w:ascii="Times New Roman" w:hAnsi="Times New Roman" w:cs="Times New Roman"/>
          <w:bCs/>
          <w:sz w:val="24"/>
          <w:szCs w:val="24"/>
        </w:rPr>
      </w:pPr>
      <w:r w:rsidRPr="00D91234">
        <w:rPr>
          <w:rFonts w:ascii="Times New Roman" w:hAnsi="Times New Roman" w:cs="Times New Roman"/>
          <w:bCs/>
          <w:sz w:val="24"/>
          <w:szCs w:val="24"/>
        </w:rPr>
        <w:t>Rider DMR revenue was recorded and recognized as net income by Ohio</w:t>
      </w:r>
      <w:r>
        <w:rPr>
          <w:rFonts w:ascii="Times New Roman" w:hAnsi="Times New Roman" w:cs="Times New Roman"/>
          <w:bCs/>
          <w:sz w:val="24"/>
          <w:szCs w:val="24"/>
        </w:rPr>
        <w:t xml:space="preserve"> </w:t>
      </w:r>
      <w:r w:rsidRPr="00D91234">
        <w:rPr>
          <w:rFonts w:ascii="Times New Roman" w:hAnsi="Times New Roman" w:cs="Times New Roman"/>
          <w:bCs/>
          <w:sz w:val="24"/>
          <w:szCs w:val="24"/>
        </w:rPr>
        <w:t>Edison in its 2017 financial statements.</w:t>
      </w:r>
      <w:r>
        <w:rPr>
          <w:rStyle w:val="FootnoteReference"/>
          <w:rFonts w:ascii="Times New Roman" w:hAnsi="Times New Roman" w:cs="Times New Roman"/>
          <w:bCs/>
          <w:sz w:val="24"/>
          <w:szCs w:val="24"/>
        </w:rPr>
        <w:footnoteReference w:id="41"/>
      </w:r>
      <w:r w:rsidRPr="00D91234">
        <w:rPr>
          <w:rFonts w:ascii="Times New Roman" w:hAnsi="Times New Roman" w:cs="Times New Roman"/>
          <w:bCs/>
          <w:sz w:val="24"/>
          <w:szCs w:val="24"/>
        </w:rPr>
        <w:t xml:space="preserve">  The collection of Rider DMR revenue was not a</w:t>
      </w:r>
      <w:r>
        <w:rPr>
          <w:rFonts w:ascii="Times New Roman" w:hAnsi="Times New Roman" w:cs="Times New Roman"/>
          <w:bCs/>
          <w:sz w:val="24"/>
          <w:szCs w:val="24"/>
        </w:rPr>
        <w:t xml:space="preserve"> </w:t>
      </w:r>
      <w:r w:rsidRPr="00D91234">
        <w:rPr>
          <w:rFonts w:ascii="Times New Roman" w:hAnsi="Times New Roman" w:cs="Times New Roman"/>
          <w:bCs/>
          <w:sz w:val="24"/>
          <w:szCs w:val="24"/>
        </w:rPr>
        <w:t>one-time or extraordinary event in 2017</w:t>
      </w:r>
      <w:r>
        <w:rPr>
          <w:rFonts w:ascii="Times New Roman" w:hAnsi="Times New Roman" w:cs="Times New Roman"/>
          <w:bCs/>
          <w:sz w:val="24"/>
          <w:szCs w:val="24"/>
        </w:rPr>
        <w:t>, that if true, would have been a justification for exclusion of those revenues from the SEET test</w:t>
      </w:r>
      <w:r w:rsidRPr="00D9123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2"/>
      </w:r>
      <w:r w:rsidRPr="00D91234">
        <w:rPr>
          <w:rFonts w:ascii="Times New Roman" w:hAnsi="Times New Roman" w:cs="Times New Roman"/>
          <w:bCs/>
          <w:sz w:val="24"/>
          <w:szCs w:val="24"/>
        </w:rPr>
        <w:t xml:space="preserve">  It is real cash collected by Ohio Edison</w:t>
      </w:r>
      <w:r>
        <w:rPr>
          <w:rFonts w:ascii="Times New Roman" w:hAnsi="Times New Roman" w:cs="Times New Roman"/>
          <w:bCs/>
          <w:sz w:val="24"/>
          <w:szCs w:val="24"/>
        </w:rPr>
        <w:t xml:space="preserve"> </w:t>
      </w:r>
      <w:r w:rsidRPr="00D91234">
        <w:rPr>
          <w:rFonts w:ascii="Times New Roman" w:hAnsi="Times New Roman" w:cs="Times New Roman"/>
          <w:bCs/>
          <w:sz w:val="24"/>
          <w:szCs w:val="24"/>
        </w:rPr>
        <w:t>resulting directly from its electric security plan approved by the PUCO in Case No. 14</w:t>
      </w:r>
      <w:r>
        <w:rPr>
          <w:rFonts w:ascii="Times New Roman" w:hAnsi="Times New Roman" w:cs="Times New Roman"/>
          <w:bCs/>
          <w:sz w:val="24"/>
          <w:szCs w:val="24"/>
        </w:rPr>
        <w:t>-</w:t>
      </w:r>
      <w:r w:rsidRPr="00D91234">
        <w:rPr>
          <w:rFonts w:ascii="Times New Roman" w:hAnsi="Times New Roman" w:cs="Times New Roman"/>
          <w:bCs/>
          <w:sz w:val="24"/>
          <w:szCs w:val="24"/>
        </w:rPr>
        <w:t>1297-EL-SSO.</w:t>
      </w:r>
      <w:r>
        <w:rPr>
          <w:rStyle w:val="FootnoteReference"/>
          <w:rFonts w:ascii="Times New Roman" w:hAnsi="Times New Roman" w:cs="Times New Roman"/>
          <w:bCs/>
          <w:sz w:val="24"/>
          <w:szCs w:val="24"/>
        </w:rPr>
        <w:footnoteReference w:id="43"/>
      </w:r>
      <w:r w:rsidRPr="00D91234">
        <w:rPr>
          <w:rFonts w:ascii="Times New Roman" w:hAnsi="Times New Roman" w:cs="Times New Roman"/>
          <w:bCs/>
          <w:sz w:val="24"/>
          <w:szCs w:val="24"/>
        </w:rPr>
        <w:t xml:space="preserve">   </w:t>
      </w:r>
      <w:r>
        <w:rPr>
          <w:rFonts w:ascii="Times New Roman" w:hAnsi="Times New Roman" w:cs="Times New Roman"/>
          <w:bCs/>
          <w:sz w:val="24"/>
          <w:szCs w:val="24"/>
        </w:rPr>
        <w:t>There is no</w:t>
      </w:r>
      <w:r w:rsidRPr="00D91234">
        <w:rPr>
          <w:rFonts w:ascii="Times New Roman" w:hAnsi="Times New Roman" w:cs="Times New Roman"/>
          <w:bCs/>
          <w:sz w:val="24"/>
          <w:szCs w:val="24"/>
        </w:rPr>
        <w:t xml:space="preserve"> valid reason not to </w:t>
      </w:r>
      <w:r>
        <w:rPr>
          <w:rFonts w:ascii="Times New Roman" w:hAnsi="Times New Roman" w:cs="Times New Roman"/>
          <w:bCs/>
          <w:sz w:val="24"/>
          <w:szCs w:val="24"/>
        </w:rPr>
        <w:t>include</w:t>
      </w:r>
      <w:r w:rsidRPr="00D91234">
        <w:rPr>
          <w:rFonts w:ascii="Times New Roman" w:hAnsi="Times New Roman" w:cs="Times New Roman"/>
          <w:bCs/>
          <w:sz w:val="24"/>
          <w:szCs w:val="24"/>
        </w:rPr>
        <w:t xml:space="preserve"> th</w:t>
      </w:r>
      <w:r>
        <w:rPr>
          <w:rFonts w:ascii="Times New Roman" w:hAnsi="Times New Roman" w:cs="Times New Roman"/>
          <w:bCs/>
          <w:sz w:val="24"/>
          <w:szCs w:val="24"/>
        </w:rPr>
        <w:t>e</w:t>
      </w:r>
      <w:r w:rsidRPr="00D91234">
        <w:rPr>
          <w:rFonts w:ascii="Times New Roman" w:hAnsi="Times New Roman" w:cs="Times New Roman"/>
          <w:bCs/>
          <w:sz w:val="24"/>
          <w:szCs w:val="24"/>
        </w:rPr>
        <w:t xml:space="preserve"> Rider DMR</w:t>
      </w:r>
      <w:r>
        <w:rPr>
          <w:rFonts w:ascii="Times New Roman" w:hAnsi="Times New Roman" w:cs="Times New Roman"/>
          <w:bCs/>
          <w:sz w:val="24"/>
          <w:szCs w:val="24"/>
        </w:rPr>
        <w:t xml:space="preserve"> </w:t>
      </w:r>
      <w:r w:rsidRPr="00D91234">
        <w:rPr>
          <w:rFonts w:ascii="Times New Roman" w:hAnsi="Times New Roman" w:cs="Times New Roman"/>
          <w:bCs/>
          <w:sz w:val="24"/>
          <w:szCs w:val="24"/>
        </w:rPr>
        <w:t>revenue of $58.5 million as part of Ohio Edison’s 2017 net income for purposes of</w:t>
      </w:r>
      <w:r>
        <w:rPr>
          <w:rFonts w:ascii="Times New Roman" w:hAnsi="Times New Roman" w:cs="Times New Roman"/>
          <w:bCs/>
          <w:sz w:val="24"/>
          <w:szCs w:val="24"/>
        </w:rPr>
        <w:t xml:space="preserve"> </w:t>
      </w:r>
      <w:r w:rsidRPr="00D91234">
        <w:rPr>
          <w:rFonts w:ascii="Times New Roman" w:hAnsi="Times New Roman" w:cs="Times New Roman"/>
          <w:bCs/>
          <w:sz w:val="24"/>
          <w:szCs w:val="24"/>
        </w:rPr>
        <w:t xml:space="preserve">reviewing </w:t>
      </w:r>
      <w:r>
        <w:rPr>
          <w:rFonts w:ascii="Times New Roman" w:hAnsi="Times New Roman" w:cs="Times New Roman"/>
          <w:bCs/>
          <w:sz w:val="24"/>
          <w:szCs w:val="24"/>
        </w:rPr>
        <w:t>its</w:t>
      </w:r>
      <w:r w:rsidRPr="00D91234">
        <w:rPr>
          <w:rFonts w:ascii="Times New Roman" w:hAnsi="Times New Roman" w:cs="Times New Roman"/>
          <w:bCs/>
          <w:sz w:val="24"/>
          <w:szCs w:val="24"/>
        </w:rPr>
        <w:t xml:space="preserve"> profits</w:t>
      </w:r>
      <w:r>
        <w:rPr>
          <w:rFonts w:ascii="Times New Roman" w:hAnsi="Times New Roman" w:cs="Times New Roman"/>
          <w:bCs/>
          <w:sz w:val="24"/>
          <w:szCs w:val="24"/>
        </w:rPr>
        <w:t xml:space="preserve"> under the SEET review</w:t>
      </w:r>
      <w:r w:rsidRPr="00D91234">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4"/>
      </w:r>
      <w:r w:rsidRPr="00D91234">
        <w:rPr>
          <w:rFonts w:ascii="Times New Roman" w:hAnsi="Times New Roman" w:cs="Times New Roman"/>
          <w:bCs/>
          <w:sz w:val="24"/>
          <w:szCs w:val="24"/>
        </w:rPr>
        <w:t xml:space="preserve"> </w:t>
      </w:r>
    </w:p>
    <w:p w:rsidR="00300900" w:rsidP="009608C6">
      <w:pPr>
        <w:tabs>
          <w:tab w:val="num" w:pos="720"/>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D91234">
        <w:rPr>
          <w:rFonts w:ascii="Times New Roman" w:hAnsi="Times New Roman" w:cs="Times New Roman"/>
          <w:bCs/>
          <w:sz w:val="24"/>
          <w:szCs w:val="24"/>
        </w:rPr>
        <w:t xml:space="preserve">If Rider DMR </w:t>
      </w:r>
      <w:r>
        <w:rPr>
          <w:rFonts w:ascii="Times New Roman" w:hAnsi="Times New Roman" w:cs="Times New Roman"/>
          <w:bCs/>
          <w:sz w:val="24"/>
          <w:szCs w:val="24"/>
        </w:rPr>
        <w:t>r</w:t>
      </w:r>
      <w:r w:rsidRPr="00D91234">
        <w:rPr>
          <w:rFonts w:ascii="Times New Roman" w:hAnsi="Times New Roman" w:cs="Times New Roman"/>
          <w:bCs/>
          <w:sz w:val="24"/>
          <w:szCs w:val="24"/>
        </w:rPr>
        <w:t>evenues are excluded, then Ohio Edison’s 2017 SEET-adjusted net income would be unreasonably and artificially reduced from approximately $184.8 million to $126.3 million.</w:t>
      </w:r>
      <w:r>
        <w:rPr>
          <w:rStyle w:val="FootnoteReference"/>
          <w:rFonts w:ascii="Times New Roman" w:hAnsi="Times New Roman" w:cs="Times New Roman"/>
          <w:bCs/>
          <w:sz w:val="24"/>
          <w:szCs w:val="24"/>
        </w:rPr>
        <w:footnoteReference w:id="45"/>
      </w:r>
      <w:r w:rsidRPr="00D91234">
        <w:rPr>
          <w:rFonts w:ascii="Times New Roman" w:hAnsi="Times New Roman" w:cs="Times New Roman"/>
          <w:bCs/>
          <w:sz w:val="24"/>
          <w:szCs w:val="24"/>
        </w:rPr>
        <w:t xml:space="preserve"> The resulting 2017 SEET ROE would also be unreasonably reduced from 17.39% to 11.80%.</w:t>
      </w:r>
      <w:r>
        <w:rPr>
          <w:rStyle w:val="FootnoteReference"/>
          <w:rFonts w:ascii="Times New Roman" w:hAnsi="Times New Roman" w:cs="Times New Roman"/>
          <w:bCs/>
          <w:sz w:val="24"/>
          <w:szCs w:val="24"/>
        </w:rPr>
        <w:footnoteReference w:id="46"/>
      </w:r>
      <w:r w:rsidRPr="00D91234">
        <w:rPr>
          <w:rFonts w:ascii="Times New Roman" w:hAnsi="Times New Roman" w:cs="Times New Roman"/>
          <w:bCs/>
          <w:sz w:val="24"/>
          <w:szCs w:val="24"/>
        </w:rPr>
        <w:t xml:space="preserve">  This would mean that any potential refund to customers would be gone.</w:t>
      </w:r>
      <w:r>
        <w:rPr>
          <w:rStyle w:val="FootnoteReference"/>
          <w:rFonts w:ascii="Times New Roman" w:hAnsi="Times New Roman" w:cs="Times New Roman"/>
          <w:bCs/>
          <w:sz w:val="24"/>
          <w:szCs w:val="24"/>
        </w:rPr>
        <w:footnoteReference w:id="47"/>
      </w:r>
      <w:r w:rsidRPr="00D91234">
        <w:rPr>
          <w:rFonts w:ascii="Times New Roman" w:hAnsi="Times New Roman" w:cs="Times New Roman"/>
          <w:bCs/>
          <w:sz w:val="24"/>
          <w:szCs w:val="24"/>
        </w:rPr>
        <w:t xml:space="preserve"> </w:t>
      </w:r>
    </w:p>
    <w:p w:rsidR="00BB403C" w:rsidP="009608C6">
      <w:pPr>
        <w:tabs>
          <w:tab w:val="num" w:pos="720"/>
        </w:tabs>
        <w:spacing w:after="0" w:line="480" w:lineRule="auto"/>
        <w:rPr>
          <w:rFonts w:ascii="Times New Roman" w:hAnsi="Times New Roman" w:cs="Times New Roman"/>
          <w:bCs/>
          <w:sz w:val="24"/>
          <w:szCs w:val="24"/>
        </w:rPr>
      </w:pPr>
      <w:r w:rsidRPr="00BB403C">
        <w:rPr>
          <w:rFonts w:ascii="Times New Roman" w:hAnsi="Times New Roman" w:cs="Times New Roman"/>
          <w:bCs/>
          <w:sz w:val="24"/>
          <w:szCs w:val="24"/>
        </w:rPr>
        <w:t xml:space="preserve">       </w:t>
      </w:r>
      <w:r>
        <w:rPr>
          <w:rFonts w:ascii="Times New Roman" w:hAnsi="Times New Roman" w:cs="Times New Roman"/>
          <w:bCs/>
          <w:sz w:val="24"/>
          <w:szCs w:val="24"/>
        </w:rPr>
        <w:t>The</w:t>
      </w:r>
      <w:r w:rsidRPr="00BB403C">
        <w:rPr>
          <w:rFonts w:ascii="Times New Roman" w:hAnsi="Times New Roman" w:cs="Times New Roman"/>
          <w:bCs/>
          <w:sz w:val="24"/>
          <w:szCs w:val="24"/>
        </w:rPr>
        <w:t xml:space="preserve"> </w:t>
      </w:r>
      <w:r>
        <w:rPr>
          <w:rFonts w:ascii="Times New Roman" w:hAnsi="Times New Roman" w:cs="Times New Roman"/>
          <w:bCs/>
          <w:sz w:val="24"/>
          <w:szCs w:val="24"/>
        </w:rPr>
        <w:t>profits</w:t>
      </w:r>
      <w:r w:rsidRPr="00BB403C">
        <w:rPr>
          <w:rFonts w:ascii="Times New Roman" w:hAnsi="Times New Roman" w:cs="Times New Roman"/>
          <w:bCs/>
          <w:sz w:val="24"/>
          <w:szCs w:val="24"/>
        </w:rPr>
        <w:t xml:space="preserve"> resulting from Rider DMR should be included in earnings for </w:t>
      </w:r>
    </w:p>
    <w:p w:rsidR="00BB403C" w:rsidP="00300900">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SEET</w:t>
      </w:r>
      <w:r>
        <w:rPr>
          <w:rFonts w:ascii="Times New Roman" w:hAnsi="Times New Roman" w:cs="Times New Roman"/>
          <w:bCs/>
          <w:sz w:val="24"/>
          <w:szCs w:val="24"/>
        </w:rPr>
        <w:t xml:space="preserve"> </w:t>
      </w:r>
      <w:r w:rsidRPr="00BB403C">
        <w:rPr>
          <w:rFonts w:ascii="Times New Roman" w:hAnsi="Times New Roman" w:cs="Times New Roman"/>
          <w:bCs/>
          <w:sz w:val="24"/>
          <w:szCs w:val="24"/>
        </w:rPr>
        <w:t>purposes as a matter of fairness and reasonableness for consumers.</w:t>
      </w:r>
      <w:r>
        <w:rPr>
          <w:rStyle w:val="FootnoteReference"/>
          <w:rFonts w:ascii="Times New Roman" w:hAnsi="Times New Roman" w:cs="Times New Roman"/>
          <w:bCs/>
          <w:sz w:val="24"/>
          <w:szCs w:val="24"/>
        </w:rPr>
        <w:footnoteReference w:id="48"/>
      </w:r>
      <w:r w:rsidRPr="00BB403C">
        <w:rPr>
          <w:rFonts w:ascii="Times New Roman" w:hAnsi="Times New Roman" w:cs="Times New Roman"/>
          <w:bCs/>
          <w:sz w:val="24"/>
          <w:szCs w:val="24"/>
        </w:rPr>
        <w:t xml:space="preserve">  This</w:t>
      </w:r>
    </w:p>
    <w:p w:rsidR="00BB403C" w:rsidP="00BB403C">
      <w:pPr>
        <w:tabs>
          <w:tab w:val="num" w:pos="720"/>
        </w:tabs>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r</w:t>
      </w:r>
      <w:r w:rsidRPr="00BB403C">
        <w:rPr>
          <w:rFonts w:ascii="Times New Roman" w:hAnsi="Times New Roman" w:cs="Times New Roman"/>
          <w:bCs/>
          <w:sz w:val="24"/>
          <w:szCs w:val="24"/>
        </w:rPr>
        <w:t>equirement</w:t>
      </w:r>
      <w:r>
        <w:rPr>
          <w:rFonts w:ascii="Times New Roman" w:hAnsi="Times New Roman" w:cs="Times New Roman"/>
          <w:bCs/>
          <w:sz w:val="24"/>
          <w:szCs w:val="24"/>
        </w:rPr>
        <w:t xml:space="preserve"> </w:t>
      </w:r>
      <w:r w:rsidRPr="00BB403C">
        <w:rPr>
          <w:rFonts w:ascii="Times New Roman" w:hAnsi="Times New Roman" w:cs="Times New Roman"/>
          <w:bCs/>
          <w:sz w:val="24"/>
          <w:szCs w:val="24"/>
        </w:rPr>
        <w:t>regarding SEET under Ohio law cannot be disregarded through a</w:t>
      </w:r>
    </w:p>
    <w:p w:rsidR="00B60EBF" w:rsidP="00BB403C">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settlement.</w:t>
      </w:r>
      <w:r>
        <w:rPr>
          <w:rStyle w:val="FootnoteReference"/>
          <w:rFonts w:ascii="Times New Roman" w:hAnsi="Times New Roman" w:cs="Times New Roman"/>
          <w:bCs/>
          <w:sz w:val="24"/>
          <w:szCs w:val="24"/>
        </w:rPr>
        <w:footnoteReference w:id="49"/>
      </w:r>
      <w:r w:rsidRPr="00BB403C">
        <w:rPr>
          <w:rFonts w:ascii="Times New Roman" w:hAnsi="Times New Roman" w:cs="Times New Roman"/>
          <w:bCs/>
          <w:sz w:val="24"/>
          <w:szCs w:val="24"/>
        </w:rPr>
        <w:t xml:space="preserve">  It is an</w:t>
      </w:r>
      <w:r>
        <w:rPr>
          <w:rFonts w:ascii="Times New Roman" w:hAnsi="Times New Roman" w:cs="Times New Roman"/>
          <w:bCs/>
          <w:sz w:val="24"/>
          <w:szCs w:val="24"/>
        </w:rPr>
        <w:t xml:space="preserve"> </w:t>
      </w:r>
      <w:r w:rsidRPr="00BB403C">
        <w:rPr>
          <w:rFonts w:ascii="Times New Roman" w:hAnsi="Times New Roman" w:cs="Times New Roman"/>
          <w:bCs/>
          <w:sz w:val="24"/>
          <w:szCs w:val="24"/>
        </w:rPr>
        <w:t>important consumer protection.</w:t>
      </w:r>
      <w:r>
        <w:rPr>
          <w:rStyle w:val="FootnoteReference"/>
          <w:rFonts w:ascii="Times New Roman" w:hAnsi="Times New Roman" w:cs="Times New Roman"/>
          <w:bCs/>
          <w:sz w:val="24"/>
          <w:szCs w:val="24"/>
        </w:rPr>
        <w:footnoteReference w:id="50"/>
      </w:r>
      <w:r w:rsidRPr="00BB403C">
        <w:rPr>
          <w:rFonts w:ascii="Times New Roman" w:hAnsi="Times New Roman" w:cs="Times New Roman"/>
          <w:bCs/>
          <w:sz w:val="24"/>
          <w:szCs w:val="24"/>
        </w:rPr>
        <w:t xml:space="preserve">  It is meant to </w:t>
      </w:r>
      <w:r>
        <w:rPr>
          <w:rFonts w:ascii="Times New Roman" w:hAnsi="Times New Roman" w:cs="Times New Roman"/>
          <w:bCs/>
          <w:sz w:val="24"/>
          <w:szCs w:val="24"/>
        </w:rPr>
        <w:t>protect</w:t>
      </w:r>
      <w:r w:rsidRPr="00BB403C">
        <w:rPr>
          <w:rFonts w:ascii="Times New Roman" w:hAnsi="Times New Roman" w:cs="Times New Roman"/>
          <w:bCs/>
          <w:sz w:val="24"/>
          <w:szCs w:val="24"/>
        </w:rPr>
        <w:t xml:space="preserve"> the</w:t>
      </w:r>
    </w:p>
    <w:p w:rsidR="00B60EBF" w:rsidP="00BB403C">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public</w:t>
      </w:r>
      <w:r>
        <w:rPr>
          <w:rFonts w:ascii="Times New Roman" w:hAnsi="Times New Roman" w:cs="Times New Roman"/>
          <w:bCs/>
          <w:sz w:val="24"/>
          <w:szCs w:val="24"/>
        </w:rPr>
        <w:t xml:space="preserve"> from </w:t>
      </w:r>
      <w:r w:rsidRPr="00BB403C">
        <w:rPr>
          <w:rFonts w:ascii="Times New Roman" w:hAnsi="Times New Roman" w:cs="Times New Roman"/>
          <w:bCs/>
          <w:sz w:val="24"/>
          <w:szCs w:val="24"/>
        </w:rPr>
        <w:t xml:space="preserve">setting electricity rates </w:t>
      </w:r>
      <w:r>
        <w:rPr>
          <w:rFonts w:ascii="Times New Roman" w:hAnsi="Times New Roman" w:cs="Times New Roman"/>
          <w:bCs/>
          <w:sz w:val="24"/>
          <w:szCs w:val="24"/>
        </w:rPr>
        <w:t xml:space="preserve">approved in an ESP case </w:t>
      </w:r>
      <w:r w:rsidRPr="00BB403C">
        <w:rPr>
          <w:rFonts w:ascii="Times New Roman" w:hAnsi="Times New Roman" w:cs="Times New Roman"/>
          <w:bCs/>
          <w:sz w:val="24"/>
          <w:szCs w:val="24"/>
        </w:rPr>
        <w:t>that are</w:t>
      </w:r>
    </w:p>
    <w:p w:rsidR="00B60EBF" w:rsidP="00BB403C">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too high.</w:t>
      </w:r>
      <w:r>
        <w:rPr>
          <w:rStyle w:val="FootnoteReference"/>
          <w:rFonts w:ascii="Times New Roman" w:hAnsi="Times New Roman" w:cs="Times New Roman"/>
          <w:bCs/>
          <w:sz w:val="24"/>
          <w:szCs w:val="24"/>
        </w:rPr>
        <w:footnoteReference w:id="51"/>
      </w:r>
      <w:r w:rsidRPr="00BB403C">
        <w:rPr>
          <w:rFonts w:ascii="Times New Roman" w:hAnsi="Times New Roman" w:cs="Times New Roman"/>
          <w:bCs/>
          <w:sz w:val="24"/>
          <w:szCs w:val="24"/>
        </w:rPr>
        <w:t xml:space="preserve">  </w:t>
      </w:r>
      <w:r>
        <w:rPr>
          <w:rFonts w:ascii="Times New Roman" w:hAnsi="Times New Roman" w:cs="Times New Roman"/>
          <w:bCs/>
          <w:sz w:val="24"/>
          <w:szCs w:val="24"/>
        </w:rPr>
        <w:t>A</w:t>
      </w:r>
      <w:r w:rsidRPr="00BB403C">
        <w:rPr>
          <w:rFonts w:ascii="Times New Roman" w:hAnsi="Times New Roman" w:cs="Times New Roman"/>
          <w:bCs/>
          <w:sz w:val="24"/>
          <w:szCs w:val="24"/>
        </w:rPr>
        <w:t xml:space="preserve"> ruling</w:t>
      </w:r>
      <w:r>
        <w:rPr>
          <w:rFonts w:ascii="Times New Roman" w:hAnsi="Times New Roman" w:cs="Times New Roman"/>
          <w:bCs/>
          <w:sz w:val="24"/>
          <w:szCs w:val="24"/>
        </w:rPr>
        <w:t xml:space="preserve"> approving the Settlement would </w:t>
      </w:r>
      <w:r w:rsidRPr="00BB403C">
        <w:rPr>
          <w:rFonts w:ascii="Times New Roman" w:hAnsi="Times New Roman" w:cs="Times New Roman"/>
          <w:bCs/>
          <w:sz w:val="24"/>
          <w:szCs w:val="24"/>
        </w:rPr>
        <w:t>thwart</w:t>
      </w:r>
      <w:r>
        <w:rPr>
          <w:rFonts w:ascii="Times New Roman" w:hAnsi="Times New Roman" w:cs="Times New Roman"/>
          <w:bCs/>
          <w:sz w:val="24"/>
          <w:szCs w:val="24"/>
        </w:rPr>
        <w:t xml:space="preserve"> </w:t>
      </w:r>
      <w:r w:rsidRPr="00BB403C">
        <w:rPr>
          <w:rFonts w:ascii="Times New Roman" w:hAnsi="Times New Roman" w:cs="Times New Roman"/>
          <w:bCs/>
          <w:sz w:val="24"/>
          <w:szCs w:val="24"/>
        </w:rPr>
        <w:t xml:space="preserve">a complete review of </w:t>
      </w:r>
      <w:r>
        <w:rPr>
          <w:rFonts w:ascii="Times New Roman" w:hAnsi="Times New Roman" w:cs="Times New Roman"/>
          <w:bCs/>
          <w:sz w:val="24"/>
          <w:szCs w:val="24"/>
        </w:rPr>
        <w:t>Ohio</w:t>
      </w:r>
    </w:p>
    <w:p w:rsidR="00B60EBF" w:rsidP="00B60EBF">
      <w:pPr>
        <w:tabs>
          <w:tab w:val="num" w:pos="720"/>
        </w:tabs>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Edison’s</w:t>
      </w:r>
      <w:r w:rsidRPr="00BB403C">
        <w:rPr>
          <w:rFonts w:ascii="Times New Roman" w:hAnsi="Times New Roman" w:cs="Times New Roman"/>
          <w:bCs/>
          <w:sz w:val="24"/>
          <w:szCs w:val="24"/>
        </w:rPr>
        <w:t xml:space="preserve"> earnings under an ESP.</w:t>
      </w:r>
      <w:r>
        <w:rPr>
          <w:rStyle w:val="FootnoteReference"/>
          <w:rFonts w:ascii="Times New Roman" w:hAnsi="Times New Roman" w:cs="Times New Roman"/>
          <w:bCs/>
          <w:sz w:val="24"/>
          <w:szCs w:val="24"/>
        </w:rPr>
        <w:footnoteReference w:id="52"/>
      </w:r>
      <w:r w:rsidRPr="00BB403C">
        <w:rPr>
          <w:rFonts w:ascii="Times New Roman" w:hAnsi="Times New Roman" w:cs="Times New Roman"/>
          <w:bCs/>
          <w:sz w:val="24"/>
          <w:szCs w:val="24"/>
        </w:rPr>
        <w:t xml:space="preserve"> It segregates out one portion of</w:t>
      </w:r>
      <w:r>
        <w:rPr>
          <w:rFonts w:ascii="Times New Roman" w:hAnsi="Times New Roman" w:cs="Times New Roman"/>
          <w:bCs/>
          <w:sz w:val="24"/>
          <w:szCs w:val="24"/>
        </w:rPr>
        <w:t xml:space="preserve"> Ohio Edison’s</w:t>
      </w:r>
      <w:r w:rsidRPr="00BB403C">
        <w:rPr>
          <w:rFonts w:ascii="Times New Roman" w:hAnsi="Times New Roman" w:cs="Times New Roman"/>
          <w:bCs/>
          <w:sz w:val="24"/>
          <w:szCs w:val="24"/>
        </w:rPr>
        <w:t xml:space="preserve"> ESP</w:t>
      </w:r>
    </w:p>
    <w:p w:rsidR="00B60EBF" w:rsidP="00B60EBF">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(the Rider DMR) and treats it</w:t>
      </w:r>
      <w:r>
        <w:rPr>
          <w:rFonts w:ascii="Times New Roman" w:hAnsi="Times New Roman" w:cs="Times New Roman"/>
          <w:bCs/>
          <w:sz w:val="24"/>
          <w:szCs w:val="24"/>
        </w:rPr>
        <w:t xml:space="preserve"> </w:t>
      </w:r>
      <w:r w:rsidRPr="00BB403C">
        <w:rPr>
          <w:rFonts w:ascii="Times New Roman" w:hAnsi="Times New Roman" w:cs="Times New Roman"/>
          <w:bCs/>
          <w:sz w:val="24"/>
          <w:szCs w:val="24"/>
        </w:rPr>
        <w:t>differently</w:t>
      </w:r>
      <w:r>
        <w:rPr>
          <w:rFonts w:ascii="Times New Roman" w:hAnsi="Times New Roman" w:cs="Times New Roman"/>
          <w:bCs/>
          <w:sz w:val="24"/>
          <w:szCs w:val="24"/>
        </w:rPr>
        <w:t xml:space="preserve"> </w:t>
      </w:r>
      <w:r w:rsidRPr="00BB403C">
        <w:rPr>
          <w:rFonts w:ascii="Times New Roman" w:hAnsi="Times New Roman" w:cs="Times New Roman"/>
          <w:bCs/>
          <w:sz w:val="24"/>
          <w:szCs w:val="24"/>
        </w:rPr>
        <w:t>from all other revenues</w:t>
      </w:r>
      <w:r>
        <w:rPr>
          <w:rFonts w:ascii="Times New Roman" w:hAnsi="Times New Roman" w:cs="Times New Roman"/>
          <w:bCs/>
          <w:sz w:val="24"/>
          <w:szCs w:val="24"/>
        </w:rPr>
        <w:t xml:space="preserve"> </w:t>
      </w:r>
      <w:r w:rsidRPr="00BB403C">
        <w:rPr>
          <w:rFonts w:ascii="Times New Roman" w:hAnsi="Times New Roman" w:cs="Times New Roman"/>
          <w:bCs/>
          <w:sz w:val="24"/>
          <w:szCs w:val="24"/>
        </w:rPr>
        <w:t xml:space="preserve">collected under </w:t>
      </w:r>
      <w:r>
        <w:rPr>
          <w:rFonts w:ascii="Times New Roman" w:hAnsi="Times New Roman" w:cs="Times New Roman"/>
          <w:bCs/>
          <w:sz w:val="24"/>
          <w:szCs w:val="24"/>
        </w:rPr>
        <w:t>its</w:t>
      </w:r>
    </w:p>
    <w:p w:rsidR="00B60EBF" w:rsidP="00BB403C">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ESP.</w:t>
      </w:r>
      <w:r>
        <w:rPr>
          <w:rStyle w:val="FootnoteReference"/>
          <w:rFonts w:ascii="Times New Roman" w:hAnsi="Times New Roman" w:cs="Times New Roman"/>
          <w:bCs/>
          <w:sz w:val="24"/>
          <w:szCs w:val="24"/>
        </w:rPr>
        <w:footnoteReference w:id="53"/>
      </w:r>
      <w:r w:rsidRPr="00BB403C">
        <w:rPr>
          <w:rFonts w:ascii="Times New Roman" w:hAnsi="Times New Roman" w:cs="Times New Roman"/>
          <w:bCs/>
          <w:sz w:val="24"/>
          <w:szCs w:val="24"/>
        </w:rPr>
        <w:t xml:space="preserve">  This case shows</w:t>
      </w:r>
      <w:r>
        <w:rPr>
          <w:rFonts w:ascii="Times New Roman" w:hAnsi="Times New Roman" w:cs="Times New Roman"/>
          <w:bCs/>
          <w:sz w:val="24"/>
          <w:szCs w:val="24"/>
        </w:rPr>
        <w:t xml:space="preserve"> </w:t>
      </w:r>
      <w:r w:rsidRPr="00BB403C">
        <w:rPr>
          <w:rFonts w:ascii="Times New Roman" w:hAnsi="Times New Roman" w:cs="Times New Roman"/>
          <w:bCs/>
          <w:sz w:val="24"/>
          <w:szCs w:val="24"/>
        </w:rPr>
        <w:t>the</w:t>
      </w:r>
      <w:r>
        <w:rPr>
          <w:rFonts w:ascii="Times New Roman" w:hAnsi="Times New Roman" w:cs="Times New Roman"/>
          <w:bCs/>
          <w:sz w:val="24"/>
          <w:szCs w:val="24"/>
        </w:rPr>
        <w:t xml:space="preserve"> </w:t>
      </w:r>
      <w:r w:rsidRPr="00BB403C">
        <w:rPr>
          <w:rFonts w:ascii="Times New Roman" w:hAnsi="Times New Roman" w:cs="Times New Roman"/>
          <w:bCs/>
          <w:sz w:val="24"/>
          <w:szCs w:val="24"/>
        </w:rPr>
        <w:t>injustice of</w:t>
      </w:r>
      <w:r>
        <w:rPr>
          <w:rFonts w:ascii="Times New Roman" w:hAnsi="Times New Roman" w:cs="Times New Roman"/>
          <w:bCs/>
          <w:sz w:val="24"/>
          <w:szCs w:val="24"/>
        </w:rPr>
        <w:t xml:space="preserve"> </w:t>
      </w:r>
      <w:r w:rsidRPr="00BB403C">
        <w:rPr>
          <w:rFonts w:ascii="Times New Roman" w:hAnsi="Times New Roman" w:cs="Times New Roman"/>
          <w:bCs/>
          <w:sz w:val="24"/>
          <w:szCs w:val="24"/>
        </w:rPr>
        <w:t xml:space="preserve">the PUCO’s ruling in Ohio Edison’s ESP </w:t>
      </w:r>
    </w:p>
    <w:p w:rsidR="00BB403C" w:rsidRPr="00BB403C" w:rsidP="00BB403C">
      <w:pPr>
        <w:tabs>
          <w:tab w:val="num" w:pos="720"/>
        </w:tabs>
        <w:spacing w:after="0" w:line="480" w:lineRule="auto"/>
        <w:ind w:left="720" w:hanging="720"/>
        <w:rPr>
          <w:rFonts w:ascii="Times New Roman" w:hAnsi="Times New Roman" w:cs="Times New Roman"/>
          <w:bCs/>
          <w:sz w:val="24"/>
          <w:szCs w:val="24"/>
        </w:rPr>
      </w:pPr>
      <w:r w:rsidRPr="00BB403C">
        <w:rPr>
          <w:rFonts w:ascii="Times New Roman" w:hAnsi="Times New Roman" w:cs="Times New Roman"/>
          <w:bCs/>
          <w:sz w:val="24"/>
          <w:szCs w:val="24"/>
        </w:rPr>
        <w:t>decision.</w:t>
      </w:r>
      <w:r>
        <w:rPr>
          <w:rStyle w:val="FootnoteReference"/>
          <w:rFonts w:ascii="Times New Roman" w:hAnsi="Times New Roman" w:cs="Times New Roman"/>
          <w:bCs/>
          <w:sz w:val="24"/>
          <w:szCs w:val="24"/>
        </w:rPr>
        <w:footnoteReference w:id="54"/>
      </w:r>
      <w:r w:rsidRPr="00BB403C">
        <w:rPr>
          <w:rFonts w:ascii="Times New Roman" w:hAnsi="Times New Roman" w:cs="Times New Roman"/>
          <w:bCs/>
          <w:sz w:val="24"/>
          <w:szCs w:val="24"/>
        </w:rPr>
        <w:t xml:space="preserve">  </w:t>
      </w:r>
    </w:p>
    <w:p w:rsidR="00BB403C" w:rsidP="00A87DC3">
      <w:pPr>
        <w:tabs>
          <w:tab w:val="num" w:pos="720"/>
        </w:tabs>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ab/>
      </w:r>
      <w:r w:rsidRPr="00C84005">
        <w:rPr>
          <w:rFonts w:ascii="Times New Roman" w:hAnsi="Times New Roman" w:cs="Times New Roman"/>
          <w:bCs/>
          <w:sz w:val="24"/>
          <w:szCs w:val="24"/>
        </w:rPr>
        <w:t>Further, as a result of allowing the unreasonable reduction to Ohio Edison’s 2017</w:t>
      </w:r>
    </w:p>
    <w:p w:rsidR="00BB403C" w:rsidP="00A87DC3">
      <w:pPr>
        <w:tabs>
          <w:tab w:val="num" w:pos="720"/>
        </w:tabs>
        <w:spacing w:after="0"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profits</w:t>
      </w:r>
      <w:r w:rsidRPr="00C84005">
        <w:rPr>
          <w:rFonts w:ascii="Times New Roman" w:hAnsi="Times New Roman" w:cs="Times New Roman"/>
          <w:bCs/>
          <w:sz w:val="24"/>
          <w:szCs w:val="24"/>
        </w:rPr>
        <w:t xml:space="preserve"> for the </w:t>
      </w:r>
      <w:r w:rsidRPr="00C84005">
        <w:rPr>
          <w:rFonts w:ascii="Times New Roman" w:hAnsi="Times New Roman" w:cs="Times New Roman"/>
          <w:sz w:val="24"/>
          <w:szCs w:val="24"/>
        </w:rPr>
        <w:t xml:space="preserve">after-tax Rider DMR revenue of $58.5 million, </w:t>
      </w:r>
      <w:r w:rsidRPr="00C84005">
        <w:rPr>
          <w:rFonts w:ascii="Times New Roman" w:hAnsi="Times New Roman" w:cs="Times New Roman"/>
          <w:bCs/>
          <w:sz w:val="24"/>
          <w:szCs w:val="24"/>
        </w:rPr>
        <w:t>Ohio Edison’s 2017</w:t>
      </w:r>
    </w:p>
    <w:p w:rsidR="00BB403C" w:rsidP="00D20754">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SEET return on equity will be reduced from 17.39% to 11.80%.</w:t>
      </w:r>
      <w:r>
        <w:rPr>
          <w:rStyle w:val="FootnoteReference"/>
          <w:rFonts w:ascii="Times New Roman" w:hAnsi="Times New Roman" w:cs="Times New Roman"/>
          <w:sz w:val="24"/>
          <w:szCs w:val="24"/>
        </w:rPr>
        <w:footnoteReference w:id="55"/>
      </w:r>
      <w:r w:rsidRPr="00C84005">
        <w:rPr>
          <w:rFonts w:ascii="Times New Roman" w:hAnsi="Times New Roman" w:cs="Times New Roman"/>
          <w:bCs/>
          <w:sz w:val="24"/>
          <w:szCs w:val="24"/>
        </w:rPr>
        <w:t xml:space="preserve">  In doing so, the</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customers of Ohio Edison will be deprived of a significant benefit (approximately $42</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million) in the form of either a refund or a credit to their monthly bills.</w:t>
      </w:r>
      <w:r>
        <w:rPr>
          <w:rStyle w:val="FootnoteReference"/>
          <w:rFonts w:ascii="Times New Roman" w:hAnsi="Times New Roman" w:cs="Times New Roman"/>
          <w:bCs/>
          <w:sz w:val="24"/>
          <w:szCs w:val="24"/>
        </w:rPr>
        <w:footnoteReference w:id="56"/>
      </w:r>
      <w:r w:rsidRPr="00C84005">
        <w:rPr>
          <w:rFonts w:ascii="Times New Roman" w:hAnsi="Times New Roman" w:cs="Times New Roman"/>
          <w:bCs/>
          <w:sz w:val="24"/>
          <w:szCs w:val="24"/>
        </w:rPr>
        <w:t xml:space="preserve">  </w:t>
      </w:r>
      <w:r>
        <w:rPr>
          <w:rFonts w:ascii="Times New Roman" w:hAnsi="Times New Roman" w:cs="Times New Roman"/>
          <w:bCs/>
          <w:sz w:val="24"/>
          <w:szCs w:val="24"/>
        </w:rPr>
        <w:t>So</w:t>
      </w:r>
      <w:r w:rsidRPr="00C84005">
        <w:rPr>
          <w:rFonts w:ascii="Times New Roman" w:hAnsi="Times New Roman" w:cs="Times New Roman"/>
          <w:bCs/>
          <w:sz w:val="24"/>
          <w:szCs w:val="24"/>
        </w:rPr>
        <w:t xml:space="preserve"> Ohio</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Edison’s customers are being asked to pay unreasonably high profits to Ohio Edison,</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resulting in unjust charges to consumers for essential electric services.</w:t>
      </w:r>
      <w:r>
        <w:rPr>
          <w:rStyle w:val="FootnoteReference"/>
          <w:rFonts w:ascii="Times New Roman" w:hAnsi="Times New Roman" w:cs="Times New Roman"/>
          <w:bCs/>
          <w:sz w:val="24"/>
          <w:szCs w:val="24"/>
        </w:rPr>
        <w:footnoteReference w:id="57"/>
      </w:r>
      <w:r w:rsidRPr="00C84005">
        <w:rPr>
          <w:rFonts w:ascii="Times New Roman" w:hAnsi="Times New Roman" w:cs="Times New Roman"/>
          <w:bCs/>
          <w:sz w:val="24"/>
          <w:szCs w:val="24"/>
        </w:rPr>
        <w:t xml:space="preserve">  Thus, the</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proposed Settlement violates the fundamental regulatory principle that the rates of</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regulated utility services must be just and reasonable.</w:t>
      </w:r>
      <w:r>
        <w:rPr>
          <w:rStyle w:val="FootnoteReference"/>
          <w:rFonts w:ascii="Times New Roman" w:hAnsi="Times New Roman" w:cs="Times New Roman"/>
          <w:sz w:val="24"/>
          <w:szCs w:val="24"/>
        </w:rPr>
        <w:footnoteReference w:id="58"/>
      </w:r>
      <w:r w:rsidRPr="00C84005">
        <w:rPr>
          <w:rFonts w:ascii="Times New Roman" w:hAnsi="Times New Roman" w:cs="Times New Roman"/>
          <w:bCs/>
          <w:sz w:val="24"/>
          <w:szCs w:val="24"/>
        </w:rPr>
        <w:t xml:space="preserve">  This forbearance of a 2017 SEET</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refund of approximately $42 million to which customers are entitled also abandons or at a</w:t>
      </w:r>
    </w:p>
    <w:p w:rsidR="00BB403C"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minimum dilutes the protection of electric utility customers intended by the Ohio General</w:t>
      </w:r>
    </w:p>
    <w:p w:rsidR="00C84005" w:rsidP="00A87DC3">
      <w:pPr>
        <w:tabs>
          <w:tab w:val="num" w:pos="720"/>
        </w:tabs>
        <w:spacing w:after="0" w:line="480" w:lineRule="auto"/>
        <w:ind w:left="720" w:hanging="720"/>
        <w:rPr>
          <w:rFonts w:ascii="Times New Roman" w:hAnsi="Times New Roman" w:cs="Times New Roman"/>
          <w:bCs/>
          <w:sz w:val="24"/>
          <w:szCs w:val="24"/>
        </w:rPr>
      </w:pPr>
      <w:r w:rsidRPr="00C84005">
        <w:rPr>
          <w:rFonts w:ascii="Times New Roman" w:hAnsi="Times New Roman" w:cs="Times New Roman"/>
          <w:bCs/>
          <w:sz w:val="24"/>
          <w:szCs w:val="24"/>
        </w:rPr>
        <w:t>Assembly in enacting the SEET statutes.</w:t>
      </w:r>
      <w:r>
        <w:rPr>
          <w:rStyle w:val="FootnoteReference"/>
          <w:rFonts w:ascii="Times New Roman" w:hAnsi="Times New Roman" w:cs="Times New Roman"/>
          <w:sz w:val="24"/>
          <w:szCs w:val="24"/>
        </w:rPr>
        <w:footnoteReference w:id="59"/>
      </w:r>
    </w:p>
    <w:p w:rsidR="00502A46" w:rsidRPr="00502A46" w:rsidP="00A75AF6">
      <w:pPr>
        <w:pStyle w:val="Heading3"/>
      </w:pPr>
      <w:bookmarkStart w:id="12" w:name="_Toc534639771"/>
      <w:r>
        <w:t>The Settlement harms Ohio consumers and its economy.</w:t>
      </w:r>
      <w:bookmarkEnd w:id="12"/>
    </w:p>
    <w:p w:rsidR="00C84005" w:rsidP="00385332">
      <w:pPr>
        <w:autoSpaceDE w:val="0"/>
        <w:autoSpaceDN w:val="0"/>
        <w:adjustRightInd w:val="0"/>
        <w:spacing w:after="0" w:line="480" w:lineRule="auto"/>
        <w:ind w:firstLine="720"/>
        <w:rPr>
          <w:rFonts w:ascii="Times New Roman" w:hAnsi="Times New Roman" w:cs="Times New Roman"/>
          <w:bCs/>
          <w:sz w:val="24"/>
          <w:szCs w:val="24"/>
        </w:rPr>
      </w:pPr>
      <w:r w:rsidRPr="00C84005">
        <w:rPr>
          <w:rFonts w:ascii="Times New Roman" w:hAnsi="Times New Roman" w:cs="Times New Roman"/>
          <w:bCs/>
          <w:sz w:val="24"/>
          <w:szCs w:val="24"/>
        </w:rPr>
        <w:t>The proposed Settlement is also detrimental to the welfare of many Ohioans and the Ohio economy.  Specifically, the proposed Settlement, if adopted by the PUCO, would violate state electric services policy regarding: (1) the availability to consumers of adequate, reliable, safe, efficient, non-discriminatory, and reasonably priced retail electric service; (2) the protection of at-risk populations; and (3) the state’s effectiveness in the global economy.</w:t>
      </w:r>
      <w:r>
        <w:rPr>
          <w:rStyle w:val="FootnoteReference"/>
          <w:rFonts w:ascii="Times New Roman" w:hAnsi="Times New Roman" w:cs="Times New Roman"/>
          <w:sz w:val="24"/>
          <w:szCs w:val="24"/>
        </w:rPr>
        <w:footnoteReference w:id="60"/>
      </w:r>
    </w:p>
    <w:p w:rsidR="00DA1E05" w:rsidP="00A75AF6">
      <w:pPr>
        <w:pStyle w:val="Heading2"/>
      </w:pPr>
      <w:bookmarkStart w:id="13" w:name="_Toc534639772"/>
      <w:r>
        <w:t>OCC’s proposed SEET threshold should be used and Ohio Edison should be ordered to refund to consumers its significantly excessive earnings.</w:t>
      </w:r>
      <w:bookmarkEnd w:id="13"/>
    </w:p>
    <w:p w:rsidR="00DA1E05" w:rsidP="00A75AF6">
      <w:pPr>
        <w:autoSpaceDE w:val="0"/>
        <w:autoSpaceDN w:val="0"/>
        <w:adjustRightInd w:val="0"/>
        <w:spacing w:after="0" w:line="480" w:lineRule="auto"/>
        <w:ind w:firstLine="720"/>
        <w:rPr>
          <w:rFonts w:ascii="Times New Roman" w:hAnsi="Times New Roman" w:cs="Times New Roman"/>
          <w:bCs/>
          <w:sz w:val="24"/>
          <w:szCs w:val="24"/>
        </w:rPr>
      </w:pPr>
      <w:r w:rsidRPr="00DA1E05">
        <w:rPr>
          <w:rFonts w:ascii="Times New Roman" w:hAnsi="Times New Roman" w:cs="Times New Roman"/>
          <w:bCs/>
          <w:sz w:val="24"/>
          <w:szCs w:val="24"/>
        </w:rPr>
        <w:t xml:space="preserve">The proposed Settlement does not recommend a specific SEET ROE </w:t>
      </w:r>
      <w:r>
        <w:rPr>
          <w:rFonts w:ascii="Times New Roman" w:hAnsi="Times New Roman" w:cs="Times New Roman"/>
          <w:bCs/>
          <w:sz w:val="24"/>
          <w:szCs w:val="24"/>
        </w:rPr>
        <w:t>t</w:t>
      </w:r>
      <w:r w:rsidRPr="00DA1E05">
        <w:rPr>
          <w:rFonts w:ascii="Times New Roman" w:hAnsi="Times New Roman" w:cs="Times New Roman"/>
          <w:bCs/>
          <w:sz w:val="24"/>
          <w:szCs w:val="24"/>
        </w:rPr>
        <w:t>hreshold applicable to Ohio Edison’s 2017 SEET.</w:t>
      </w:r>
      <w:r>
        <w:rPr>
          <w:rStyle w:val="FootnoteReference"/>
          <w:rFonts w:ascii="Times New Roman" w:hAnsi="Times New Roman" w:cs="Times New Roman"/>
          <w:bCs/>
          <w:sz w:val="24"/>
          <w:szCs w:val="24"/>
        </w:rPr>
        <w:footnoteReference w:id="61"/>
      </w:r>
      <w:r w:rsidRPr="00DA1E05">
        <w:rPr>
          <w:rFonts w:ascii="Times New Roman" w:hAnsi="Times New Roman" w:cs="Times New Roman"/>
          <w:bCs/>
          <w:sz w:val="24"/>
          <w:szCs w:val="24"/>
        </w:rPr>
        <w:t xml:space="preserve">  Without a SEET ROE </w:t>
      </w:r>
      <w:r>
        <w:rPr>
          <w:rFonts w:ascii="Times New Roman" w:hAnsi="Times New Roman" w:cs="Times New Roman"/>
          <w:bCs/>
          <w:sz w:val="24"/>
          <w:szCs w:val="24"/>
        </w:rPr>
        <w:t>t</w:t>
      </w:r>
      <w:r w:rsidRPr="00DA1E05">
        <w:rPr>
          <w:rFonts w:ascii="Times New Roman" w:hAnsi="Times New Roman" w:cs="Times New Roman"/>
          <w:bCs/>
          <w:sz w:val="24"/>
          <w:szCs w:val="24"/>
        </w:rPr>
        <w:t xml:space="preserve">hreshold, there is no basis to decide </w:t>
      </w:r>
      <w:r>
        <w:rPr>
          <w:rFonts w:ascii="Times New Roman" w:hAnsi="Times New Roman" w:cs="Times New Roman"/>
          <w:bCs/>
          <w:sz w:val="24"/>
          <w:szCs w:val="24"/>
        </w:rPr>
        <w:t>whether</w:t>
      </w:r>
      <w:r w:rsidRPr="00DA1E05">
        <w:rPr>
          <w:rFonts w:ascii="Times New Roman" w:hAnsi="Times New Roman" w:cs="Times New Roman"/>
          <w:bCs/>
          <w:sz w:val="24"/>
          <w:szCs w:val="24"/>
        </w:rPr>
        <w:t xml:space="preserve"> Ohio Edison’s SEET-adjusted ROE was significantly excessive</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2"/>
      </w:r>
      <w:r w:rsidRPr="00DA1E05">
        <w:rPr>
          <w:rFonts w:ascii="Times New Roman" w:hAnsi="Times New Roman" w:cs="Times New Roman"/>
          <w:bCs/>
          <w:sz w:val="24"/>
          <w:szCs w:val="24"/>
        </w:rPr>
        <w:t xml:space="preserve"> This is yet another example of the unreasonable nature of the proposed Settlement.</w:t>
      </w:r>
      <w:r>
        <w:rPr>
          <w:rStyle w:val="FootnoteReference"/>
          <w:rFonts w:ascii="Times New Roman" w:hAnsi="Times New Roman" w:cs="Times New Roman"/>
          <w:bCs/>
          <w:sz w:val="24"/>
          <w:szCs w:val="24"/>
        </w:rPr>
        <w:footnoteReference w:id="63"/>
      </w:r>
      <w:r w:rsidRPr="00DA1E0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DA1E05">
        <w:rPr>
          <w:rFonts w:ascii="Times New Roman" w:hAnsi="Times New Roman" w:cs="Times New Roman"/>
          <w:bCs/>
          <w:sz w:val="24"/>
          <w:szCs w:val="24"/>
        </w:rPr>
        <w:t xml:space="preserve"> </w:t>
      </w:r>
    </w:p>
    <w:p w:rsidR="00A0210E" w:rsidP="00A75AF6">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Dr. Duann</w:t>
      </w:r>
      <w:r w:rsidRPr="000D3733">
        <w:rPr>
          <w:rFonts w:ascii="Times New Roman" w:hAnsi="Times New Roman" w:cs="Times New Roman"/>
          <w:bCs/>
          <w:sz w:val="24"/>
          <w:szCs w:val="24"/>
        </w:rPr>
        <w:t xml:space="preserve"> proposed a SEET ROE </w:t>
      </w:r>
      <w:r>
        <w:rPr>
          <w:rFonts w:ascii="Times New Roman" w:hAnsi="Times New Roman" w:cs="Times New Roman"/>
          <w:bCs/>
          <w:sz w:val="24"/>
          <w:szCs w:val="24"/>
        </w:rPr>
        <w:t>t</w:t>
      </w:r>
      <w:r w:rsidRPr="000D3733">
        <w:rPr>
          <w:rFonts w:ascii="Times New Roman" w:hAnsi="Times New Roman" w:cs="Times New Roman"/>
          <w:bCs/>
          <w:sz w:val="24"/>
          <w:szCs w:val="24"/>
        </w:rPr>
        <w:t>hreshold of 14.91%.</w:t>
      </w:r>
      <w:r>
        <w:rPr>
          <w:rStyle w:val="FootnoteReference"/>
          <w:rFonts w:ascii="Times New Roman" w:hAnsi="Times New Roman" w:cs="Times New Roman"/>
          <w:bCs/>
          <w:sz w:val="24"/>
          <w:szCs w:val="24"/>
        </w:rPr>
        <w:footnoteReference w:id="64"/>
      </w:r>
      <w:r w:rsidRPr="000D3733">
        <w:rPr>
          <w:rFonts w:ascii="Times New Roman" w:hAnsi="Times New Roman" w:cs="Times New Roman"/>
          <w:bCs/>
          <w:sz w:val="24"/>
          <w:szCs w:val="24"/>
        </w:rPr>
        <w:t xml:space="preserve">  </w:t>
      </w:r>
      <w:r>
        <w:rPr>
          <w:rFonts w:ascii="Times New Roman" w:hAnsi="Times New Roman" w:cs="Times New Roman"/>
          <w:bCs/>
          <w:sz w:val="24"/>
          <w:szCs w:val="24"/>
        </w:rPr>
        <w:t>This</w:t>
      </w:r>
      <w:r w:rsidRPr="000D3733">
        <w:rPr>
          <w:rFonts w:ascii="Times New Roman" w:hAnsi="Times New Roman" w:cs="Times New Roman"/>
          <w:bCs/>
          <w:sz w:val="24"/>
          <w:szCs w:val="24"/>
        </w:rPr>
        <w:t xml:space="preserve"> proposed SEET ROE </w:t>
      </w:r>
      <w:r>
        <w:rPr>
          <w:rFonts w:ascii="Times New Roman" w:hAnsi="Times New Roman" w:cs="Times New Roman"/>
          <w:bCs/>
          <w:sz w:val="24"/>
          <w:szCs w:val="24"/>
        </w:rPr>
        <w:t>t</w:t>
      </w:r>
      <w:r w:rsidRPr="000D3733">
        <w:rPr>
          <w:rFonts w:ascii="Times New Roman" w:hAnsi="Times New Roman" w:cs="Times New Roman"/>
          <w:bCs/>
          <w:sz w:val="24"/>
          <w:szCs w:val="24"/>
        </w:rPr>
        <w:t xml:space="preserve">hreshold is reasonable and fair to </w:t>
      </w:r>
      <w:r>
        <w:rPr>
          <w:rFonts w:ascii="Times New Roman" w:hAnsi="Times New Roman" w:cs="Times New Roman"/>
          <w:bCs/>
          <w:sz w:val="24"/>
          <w:szCs w:val="24"/>
        </w:rPr>
        <w:t xml:space="preserve">both Ohio Edison and its </w:t>
      </w:r>
      <w:r w:rsidRPr="000D3733">
        <w:rPr>
          <w:rFonts w:ascii="Times New Roman" w:hAnsi="Times New Roman" w:cs="Times New Roman"/>
          <w:bCs/>
          <w:sz w:val="24"/>
          <w:szCs w:val="24"/>
        </w:rPr>
        <w:t>customers</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5"/>
      </w:r>
      <w:r w:rsidRPr="000D3733">
        <w:rPr>
          <w:rFonts w:ascii="Times New Roman" w:hAnsi="Times New Roman" w:cs="Times New Roman"/>
          <w:bCs/>
          <w:sz w:val="24"/>
          <w:szCs w:val="24"/>
        </w:rPr>
        <w:t xml:space="preserve">  </w:t>
      </w:r>
      <w:r>
        <w:rPr>
          <w:rFonts w:ascii="Times New Roman" w:hAnsi="Times New Roman" w:cs="Times New Roman"/>
          <w:bCs/>
          <w:sz w:val="24"/>
          <w:szCs w:val="24"/>
        </w:rPr>
        <w:t>It</w:t>
      </w:r>
      <w:r w:rsidRPr="000D3733">
        <w:rPr>
          <w:rFonts w:ascii="Times New Roman" w:hAnsi="Times New Roman" w:cs="Times New Roman"/>
          <w:bCs/>
          <w:sz w:val="24"/>
          <w:szCs w:val="24"/>
        </w:rPr>
        <w:t xml:space="preserve"> will allow Ohio Edison to earn a reasonable return on its capital investments and to maintain its ability to obtain funding from the financial markets at reasonable costs</w:t>
      </w:r>
      <w:r>
        <w:rPr>
          <w:rFonts w:ascii="Times New Roman" w:hAnsi="Times New Roman" w:cs="Times New Roman"/>
          <w:bCs/>
          <w:sz w:val="24"/>
          <w:szCs w:val="24"/>
        </w:rPr>
        <w:t>, but not a significantly excessive return</w:t>
      </w:r>
      <w:r w:rsidRPr="000D3733">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66"/>
      </w:r>
      <w:r w:rsidRPr="000D3733">
        <w:rPr>
          <w:rFonts w:ascii="Times New Roman" w:hAnsi="Times New Roman" w:cs="Times New Roman"/>
          <w:bCs/>
          <w:sz w:val="24"/>
          <w:szCs w:val="24"/>
        </w:rPr>
        <w:t xml:space="preserve"> </w:t>
      </w:r>
      <w:r>
        <w:rPr>
          <w:rFonts w:ascii="Times New Roman" w:hAnsi="Times New Roman" w:cs="Times New Roman"/>
          <w:bCs/>
          <w:sz w:val="24"/>
          <w:szCs w:val="24"/>
        </w:rPr>
        <w:t>It</w:t>
      </w:r>
      <w:r w:rsidRPr="000D3733">
        <w:rPr>
          <w:rFonts w:ascii="Times New Roman" w:hAnsi="Times New Roman" w:cs="Times New Roman"/>
          <w:bCs/>
          <w:sz w:val="24"/>
          <w:szCs w:val="24"/>
        </w:rPr>
        <w:t xml:space="preserve"> is also the basis for calculating the $42 million refund to be returned to Ohio Edison’s customers.</w:t>
      </w:r>
      <w:r>
        <w:rPr>
          <w:rStyle w:val="FootnoteReference"/>
          <w:rFonts w:ascii="Times New Roman" w:hAnsi="Times New Roman" w:cs="Times New Roman"/>
          <w:sz w:val="24"/>
          <w:szCs w:val="24"/>
        </w:rPr>
        <w:footnoteReference w:id="67"/>
      </w:r>
    </w:p>
    <w:p w:rsidR="00D20754" w:rsidP="00A75AF6">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Including Rider DMR revenues in the SEET analysis would result in Ohio Edison having a SEET-adjusted net income of $184,838,588 and an average SEET-adjusted common equity of $1,062,702,154.</w:t>
      </w:r>
      <w:r>
        <w:rPr>
          <w:rStyle w:val="FootnoteReference"/>
          <w:rFonts w:ascii="Times New Roman" w:hAnsi="Times New Roman" w:cs="Times New Roman"/>
          <w:bCs/>
          <w:sz w:val="24"/>
          <w:szCs w:val="24"/>
        </w:rPr>
        <w:footnoteReference w:id="68"/>
      </w:r>
      <w:r>
        <w:rPr>
          <w:rFonts w:ascii="Times New Roman" w:hAnsi="Times New Roman" w:cs="Times New Roman"/>
          <w:bCs/>
          <w:sz w:val="24"/>
          <w:szCs w:val="24"/>
        </w:rPr>
        <w:t xml:space="preserve">  The allowed earnings for Ohio Edison using Dr. Duann’s SEET threshold of 14.91% would be $158,448,891.</w:t>
      </w:r>
      <w:r>
        <w:rPr>
          <w:rStyle w:val="FootnoteReference"/>
          <w:rFonts w:ascii="Times New Roman" w:hAnsi="Times New Roman" w:cs="Times New Roman"/>
          <w:bCs/>
          <w:sz w:val="24"/>
          <w:szCs w:val="24"/>
        </w:rPr>
        <w:footnoteReference w:id="69"/>
      </w:r>
      <w:r w:rsidRPr="00D20754">
        <w:rPr>
          <w:bCs/>
        </w:rPr>
        <w:t xml:space="preserve"> </w:t>
      </w:r>
      <w:r w:rsidRPr="00D20754">
        <w:rPr>
          <w:rFonts w:ascii="Times New Roman" w:hAnsi="Times New Roman" w:cs="Times New Roman"/>
          <w:bCs/>
          <w:sz w:val="24"/>
          <w:szCs w:val="24"/>
        </w:rPr>
        <w:t>A comparison of Ohio Edison’s SEET-adjusted net income with the allowed earnings indicates that Ohio Edison would have excessive earnings of $26,389,697 in 2017.</w:t>
      </w:r>
      <w:r>
        <w:rPr>
          <w:rStyle w:val="FootnoteReference"/>
          <w:rFonts w:ascii="Times New Roman" w:hAnsi="Times New Roman" w:cs="Times New Roman"/>
          <w:sz w:val="24"/>
          <w:szCs w:val="24"/>
        </w:rPr>
        <w:footnoteReference w:id="70"/>
      </w:r>
      <w:r w:rsidRPr="00D20754">
        <w:rPr>
          <w:rFonts w:ascii="Times New Roman" w:hAnsi="Times New Roman" w:cs="Times New Roman"/>
          <w:bCs/>
          <w:sz w:val="24"/>
          <w:szCs w:val="24"/>
        </w:rPr>
        <w:t xml:space="preserve">  The pre-tax revenue collection that should be returned to customers, using a gross-up factor of 1.5939732 approved in the last rate case, would be $42,064,470.</w:t>
      </w:r>
      <w:r>
        <w:rPr>
          <w:rStyle w:val="FootnoteReference"/>
          <w:rFonts w:ascii="Times New Roman" w:hAnsi="Times New Roman" w:cs="Times New Roman"/>
          <w:sz w:val="24"/>
          <w:szCs w:val="24"/>
        </w:rPr>
        <w:footnoteReference w:id="71"/>
      </w:r>
      <w:r w:rsidRPr="00DF49B6">
        <w:rPr>
          <w:bCs/>
        </w:rPr>
        <w:t xml:space="preserve">  </w:t>
      </w:r>
      <w:r>
        <w:rPr>
          <w:rFonts w:ascii="Times New Roman" w:hAnsi="Times New Roman" w:cs="Times New Roman"/>
          <w:bCs/>
          <w:sz w:val="24"/>
          <w:szCs w:val="24"/>
        </w:rPr>
        <w:t xml:space="preserve">  </w:t>
      </w:r>
    </w:p>
    <w:p w:rsidR="00502A46" w:rsidP="00A75AF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Importantly, the $42 million refund will not reduce the amount of Rider DMR</w:t>
      </w:r>
    </w:p>
    <w:p w:rsidR="00502A46" w:rsidP="00A75AF6">
      <w:pPr>
        <w:spacing w:after="0" w:line="480" w:lineRule="auto"/>
        <w:rPr>
          <w:rFonts w:ascii="Times New Roman" w:hAnsi="Times New Roman" w:cs="Times New Roman"/>
          <w:sz w:val="24"/>
          <w:szCs w:val="24"/>
        </w:rPr>
      </w:pPr>
      <w:r>
        <w:rPr>
          <w:rFonts w:ascii="Times New Roman" w:hAnsi="Times New Roman" w:cs="Times New Roman"/>
          <w:sz w:val="24"/>
          <w:szCs w:val="24"/>
        </w:rPr>
        <w:t>revenue authorized under Ohio Edison’s approve ESP.</w:t>
      </w:r>
      <w:r w:rsidRPr="00502A46">
        <w:rPr>
          <w:bCs/>
        </w:rPr>
        <w:t xml:space="preserve"> </w:t>
      </w:r>
      <w:r>
        <w:rPr>
          <w:rFonts w:ascii="Times New Roman" w:hAnsi="Times New Roman" w:cs="Times New Roman"/>
          <w:bCs/>
          <w:sz w:val="24"/>
          <w:szCs w:val="24"/>
        </w:rPr>
        <w:t>A</w:t>
      </w:r>
      <w:r w:rsidRPr="00502A46">
        <w:rPr>
          <w:rFonts w:ascii="Times New Roman" w:hAnsi="Times New Roman" w:cs="Times New Roman"/>
          <w:bCs/>
          <w:sz w:val="24"/>
          <w:szCs w:val="24"/>
        </w:rPr>
        <w:t xml:space="preserve">ny refund to customers resulting from the 2017 SEET review is the result from an overall level of significantly excessive </w:t>
      </w:r>
      <w:r>
        <w:rPr>
          <w:rFonts w:ascii="Times New Roman" w:hAnsi="Times New Roman" w:cs="Times New Roman"/>
          <w:bCs/>
          <w:sz w:val="24"/>
          <w:szCs w:val="24"/>
        </w:rPr>
        <w:t>profits</w:t>
      </w:r>
      <w:r w:rsidRPr="00502A46">
        <w:rPr>
          <w:rFonts w:ascii="Times New Roman" w:hAnsi="Times New Roman" w:cs="Times New Roman"/>
          <w:bCs/>
          <w:sz w:val="24"/>
          <w:szCs w:val="24"/>
        </w:rPr>
        <w:t xml:space="preserve"> by Ohio Edison in 2017 under an approved ESP.</w:t>
      </w:r>
      <w:r>
        <w:rPr>
          <w:rStyle w:val="FootnoteReference"/>
          <w:rFonts w:ascii="Times New Roman" w:hAnsi="Times New Roman" w:cs="Times New Roman"/>
          <w:bCs/>
          <w:sz w:val="24"/>
          <w:szCs w:val="24"/>
        </w:rPr>
        <w:footnoteReference w:id="72"/>
      </w:r>
      <w:r w:rsidRPr="00502A46">
        <w:rPr>
          <w:rFonts w:ascii="Times New Roman" w:hAnsi="Times New Roman" w:cs="Times New Roman"/>
          <w:bCs/>
          <w:sz w:val="24"/>
          <w:szCs w:val="24"/>
        </w:rPr>
        <w:t xml:space="preserve">  The annual SEET review does not examine the earnings of any individual provision (such as Rider DMR) of an ESP.</w:t>
      </w:r>
      <w:r>
        <w:rPr>
          <w:rStyle w:val="FootnoteReference"/>
          <w:rFonts w:ascii="Times New Roman" w:hAnsi="Times New Roman" w:cs="Times New Roman"/>
          <w:bCs/>
          <w:sz w:val="24"/>
          <w:szCs w:val="24"/>
        </w:rPr>
        <w:footnoteReference w:id="73"/>
      </w:r>
      <w:r w:rsidRPr="00502A46">
        <w:rPr>
          <w:rFonts w:ascii="Times New Roman" w:hAnsi="Times New Roman" w:cs="Times New Roman"/>
          <w:bCs/>
          <w:sz w:val="24"/>
          <w:szCs w:val="24"/>
        </w:rPr>
        <w:t xml:space="preserve">  The SEET refund to customers is a return of money collected for the overall excessive </w:t>
      </w:r>
      <w:r>
        <w:rPr>
          <w:rFonts w:ascii="Times New Roman" w:hAnsi="Times New Roman" w:cs="Times New Roman"/>
          <w:bCs/>
          <w:sz w:val="24"/>
          <w:szCs w:val="24"/>
        </w:rPr>
        <w:t>profits</w:t>
      </w:r>
      <w:r w:rsidRPr="00502A46">
        <w:rPr>
          <w:rFonts w:ascii="Times New Roman" w:hAnsi="Times New Roman" w:cs="Times New Roman"/>
          <w:bCs/>
          <w:sz w:val="24"/>
          <w:szCs w:val="24"/>
        </w:rPr>
        <w:t>, not the return of excessive earnings associated with any individual rate or rider.</w:t>
      </w:r>
      <w:r>
        <w:rPr>
          <w:rStyle w:val="FootnoteReference"/>
          <w:rFonts w:ascii="Times New Roman" w:hAnsi="Times New Roman" w:cs="Times New Roman"/>
          <w:bCs/>
          <w:sz w:val="24"/>
          <w:szCs w:val="24"/>
        </w:rPr>
        <w:footnoteReference w:id="74"/>
      </w:r>
      <w:r w:rsidRPr="00502A46">
        <w:rPr>
          <w:rFonts w:ascii="Times New Roman" w:hAnsi="Times New Roman" w:cs="Times New Roman"/>
          <w:bCs/>
          <w:sz w:val="24"/>
          <w:szCs w:val="24"/>
        </w:rPr>
        <w:t xml:space="preserve">  There is no such thing as a refund of earnings specifically from Rider DMR revenue.</w:t>
      </w:r>
      <w:r>
        <w:rPr>
          <w:rStyle w:val="FootnoteReference"/>
          <w:rFonts w:ascii="Times New Roman" w:hAnsi="Times New Roman" w:cs="Times New Roman"/>
          <w:bCs/>
          <w:sz w:val="24"/>
          <w:szCs w:val="24"/>
        </w:rPr>
        <w:footnoteReference w:id="75"/>
      </w:r>
    </w:p>
    <w:p w:rsidR="002D25F7" w:rsidRPr="005365F6" w:rsidP="002D25F7">
      <w:pPr>
        <w:spacing w:after="0" w:line="240" w:lineRule="auto"/>
        <w:ind w:firstLine="720"/>
        <w:rPr>
          <w:rFonts w:ascii="Times New Roman" w:hAnsi="Times New Roman" w:cs="Times New Roman"/>
          <w:sz w:val="24"/>
          <w:szCs w:val="24"/>
        </w:rPr>
      </w:pPr>
    </w:p>
    <w:p w:rsidR="00276B64" w:rsidRPr="005365F6" w:rsidP="00276B64">
      <w:pPr>
        <w:pStyle w:val="Heading1"/>
      </w:pPr>
      <w:bookmarkStart w:id="14" w:name="_Toc534639773"/>
      <w:r w:rsidRPr="005365F6">
        <w:t>CONCLUSION</w:t>
      </w:r>
      <w:bookmarkEnd w:id="14"/>
      <w:r w:rsidRPr="005365F6">
        <w:t xml:space="preserve">      </w:t>
      </w:r>
    </w:p>
    <w:p w:rsidR="001D3A89" w:rsidP="001F6E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Ohio Edison bears the statutory burden of proving that its 2017 profits were not significantly in excess of those earned by comparable companies. Ohio Edison did not meet that burden in this case. Instead, Ohio Edison and the PUCO Staff signed a settlement that fails to adopt any SEET threshold and provides literally nothing to consumers for funding Ohio Edison’s significantly excessive earnings.</w:t>
      </w:r>
    </w:p>
    <w:p w:rsidR="001D3A89" w:rsidP="001F6EF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the Settlement and instead order Ohio Edison to refund $42,064,470 to customers.</w:t>
      </w:r>
    </w:p>
    <w:p w:rsidR="00945974" w:rsidP="009C517A">
      <w:pPr>
        <w:spacing w:after="0"/>
        <w:ind w:left="3600" w:firstLine="720"/>
        <w:rPr>
          <w:rFonts w:ascii="Times New Roman" w:hAnsi="Times New Roman" w:cs="Times New Roman"/>
          <w:sz w:val="24"/>
          <w:szCs w:val="24"/>
        </w:rPr>
      </w:pPr>
      <w:r w:rsidRPr="00945974">
        <w:rPr>
          <w:rFonts w:ascii="Times New Roman" w:hAnsi="Times New Roman" w:cs="Times New Roman"/>
          <w:sz w:val="24"/>
          <w:szCs w:val="24"/>
        </w:rPr>
        <w:t>Respectfully submitted,</w:t>
      </w:r>
    </w:p>
    <w:p w:rsidR="00945974" w:rsidRPr="00945974" w:rsidP="009C517A">
      <w:pPr>
        <w:spacing w:after="0" w:line="240" w:lineRule="auto"/>
        <w:ind w:left="4320"/>
        <w:rPr>
          <w:rFonts w:ascii="Times New Roman" w:hAnsi="Times New Roman" w:cs="Times New Roman"/>
          <w:sz w:val="24"/>
          <w:szCs w:val="24"/>
        </w:rPr>
      </w:pP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Bruce Weston (0016973)</w:t>
      </w: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Ohio Consumers' Counsel</w:t>
      </w:r>
    </w:p>
    <w:p w:rsidR="00945974" w:rsidRPr="00945974" w:rsidP="00945974">
      <w:pPr>
        <w:spacing w:after="0" w:line="240" w:lineRule="auto"/>
        <w:ind w:left="4320"/>
        <w:rPr>
          <w:rFonts w:ascii="Times New Roman" w:hAnsi="Times New Roman" w:cs="Times New Roman"/>
          <w:sz w:val="24"/>
          <w:szCs w:val="24"/>
        </w:rPr>
      </w:pPr>
    </w:p>
    <w:p w:rsidR="00945974" w:rsidRPr="00945974" w:rsidP="00945974">
      <w:pPr>
        <w:spacing w:after="0" w:line="240" w:lineRule="auto"/>
        <w:ind w:left="4320"/>
        <w:rPr>
          <w:rFonts w:ascii="Times New Roman" w:hAnsi="Times New Roman" w:cs="Times New Roman"/>
          <w:i/>
          <w:sz w:val="24"/>
          <w:szCs w:val="24"/>
          <w:u w:val="single"/>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p>
    <w:p w:rsidR="00945974" w:rsidRPr="00945974" w:rsidP="0094597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William</w:t>
      </w:r>
      <w:r w:rsidRPr="00945974">
        <w:rPr>
          <w:rFonts w:ascii="Times New Roman" w:hAnsi="Times New Roman" w:cs="Times New Roman"/>
          <w:sz w:val="24"/>
          <w:szCs w:val="24"/>
        </w:rPr>
        <w:t xml:space="preserve"> </w:t>
      </w:r>
      <w:r>
        <w:rPr>
          <w:rFonts w:ascii="Times New Roman" w:hAnsi="Times New Roman" w:cs="Times New Roman"/>
          <w:sz w:val="24"/>
          <w:szCs w:val="24"/>
        </w:rPr>
        <w:t xml:space="preserve">J. </w:t>
      </w:r>
      <w:r w:rsidRPr="00945974">
        <w:rPr>
          <w:rFonts w:ascii="Times New Roman" w:hAnsi="Times New Roman" w:cs="Times New Roman"/>
          <w:sz w:val="24"/>
          <w:szCs w:val="24"/>
        </w:rPr>
        <w:t>Michael (0070921)</w:t>
      </w: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Counsel of Record</w:t>
      </w: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945974" w:rsidP="00945974">
      <w:pPr>
        <w:spacing w:after="0" w:line="240" w:lineRule="auto"/>
        <w:ind w:left="4320"/>
        <w:rPr>
          <w:rFonts w:ascii="Times New Roman" w:hAnsi="Times New Roman" w:cs="Times New Roman"/>
          <w:sz w:val="24"/>
          <w:szCs w:val="24"/>
        </w:rPr>
      </w:pPr>
    </w:p>
    <w:p w:rsidR="00945974" w:rsidRPr="00945974" w:rsidP="00945974">
      <w:pPr>
        <w:spacing w:after="0" w:line="240" w:lineRule="auto"/>
        <w:ind w:left="4320"/>
        <w:rPr>
          <w:rFonts w:ascii="Times New Roman" w:hAnsi="Times New Roman" w:cs="Times New Roman"/>
          <w:b/>
          <w:sz w:val="24"/>
          <w:szCs w:val="24"/>
        </w:rPr>
      </w:pPr>
      <w:r w:rsidRPr="00945974">
        <w:rPr>
          <w:rFonts w:ascii="Times New Roman" w:hAnsi="Times New Roman" w:cs="Times New Roman"/>
          <w:b/>
          <w:sz w:val="24"/>
          <w:szCs w:val="24"/>
        </w:rPr>
        <w:t>Office of the Ohio Consumers’ Counsel</w:t>
      </w:r>
    </w:p>
    <w:p w:rsidR="00945974" w:rsidRPr="00945974" w:rsidP="00945974">
      <w:pPr>
        <w:spacing w:after="0" w:line="240" w:lineRule="auto"/>
        <w:ind w:left="4320"/>
        <w:rPr>
          <w:rFonts w:ascii="Times New Roman" w:hAnsi="Times New Roman" w:cs="Times New Roman"/>
          <w:b/>
          <w:sz w:val="24"/>
          <w:szCs w:val="24"/>
        </w:rPr>
      </w:pPr>
      <w:r w:rsidRPr="00945974">
        <w:rPr>
          <w:rFonts w:ascii="Times New Roman" w:hAnsi="Times New Roman" w:cs="Times New Roman"/>
          <w:sz w:val="24"/>
          <w:szCs w:val="24"/>
        </w:rPr>
        <w:t>65 East State Street, 7th Floor</w:t>
      </w:r>
    </w:p>
    <w:p w:rsidR="00945974" w:rsidRPr="00945974" w:rsidP="00945974">
      <w:pPr>
        <w:spacing w:after="0" w:line="240" w:lineRule="auto"/>
        <w:ind w:left="4320"/>
        <w:rPr>
          <w:rFonts w:ascii="Times New Roman" w:hAnsi="Times New Roman" w:cs="Times New Roman"/>
          <w:b/>
          <w:sz w:val="24"/>
          <w:szCs w:val="24"/>
        </w:rPr>
      </w:pPr>
      <w:r w:rsidRPr="00945974">
        <w:rPr>
          <w:rFonts w:ascii="Times New Roman" w:hAnsi="Times New Roman" w:cs="Times New Roman"/>
          <w:sz w:val="24"/>
          <w:szCs w:val="24"/>
        </w:rPr>
        <w:t>Columbus, Ohio 43215</w:t>
      </w: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Telephone [Michael]: (614) 466-1291</w:t>
      </w:r>
    </w:p>
    <w:p w:rsidR="00945974" w:rsidRPr="00945974" w:rsidP="00945974">
      <w:pPr>
        <w:spacing w:after="0" w:line="240" w:lineRule="auto"/>
        <w:ind w:left="4320"/>
        <w:rPr>
          <w:rStyle w:val="Hyperlink"/>
          <w:rFonts w:ascii="Times New Roman" w:hAnsi="Times New Roman" w:cs="Times New Roman"/>
          <w:sz w:val="24"/>
          <w:szCs w:val="24"/>
        </w:rPr>
      </w:pPr>
      <w:r>
        <w:fldChar w:fldCharType="begin"/>
      </w:r>
      <w:r>
        <w:instrText xml:space="preserve"> HYPERLINK "mailto:william.michael@occ.ohio.gov" </w:instrText>
      </w:r>
      <w:r>
        <w:fldChar w:fldCharType="separate"/>
      </w:r>
      <w:r w:rsidRPr="00945974" w:rsidR="00200C78">
        <w:rPr>
          <w:rStyle w:val="Hyperlink"/>
          <w:rFonts w:ascii="Times New Roman" w:hAnsi="Times New Roman" w:cs="Times New Roman"/>
          <w:sz w:val="24"/>
          <w:szCs w:val="24"/>
        </w:rPr>
        <w:t>william.michael@occ.ohio.gov</w:t>
      </w:r>
      <w:r>
        <w:fldChar w:fldCharType="end"/>
      </w:r>
    </w:p>
    <w:p w:rsidR="00945974" w:rsidRPr="00945974" w:rsidP="00945974">
      <w:pPr>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(willing to accept service by e-mail)</w:t>
      </w:r>
    </w:p>
    <w:p w:rsidR="00276B64" w:rsidRPr="005365F6" w:rsidP="00945974">
      <w:pPr>
        <w:autoSpaceDE w:val="0"/>
        <w:autoSpaceDN w:val="0"/>
        <w:adjustRightInd w:val="0"/>
        <w:spacing w:after="0" w:line="480" w:lineRule="auto"/>
        <w:ind w:firstLine="720"/>
        <w:rPr>
          <w:rFonts w:ascii="Times New Roman" w:eastAsia="Times New Roman" w:hAnsi="Times New Roman" w:cs="Times New Roman"/>
          <w:sz w:val="24"/>
          <w:szCs w:val="24"/>
        </w:rPr>
        <w:sectPr w:rsidSect="005D64EE">
          <w:footerReference w:type="default" r:id="rId14"/>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945974" w:rsidP="00945974">
      <w:pPr>
        <w:spacing w:after="0" w:line="240" w:lineRule="auto"/>
        <w:jc w:val="center"/>
        <w:rPr>
          <w:rFonts w:ascii="Times New Roman" w:hAnsi="Times New Roman" w:cs="Times New Roman"/>
          <w:b/>
          <w:bCs/>
          <w:sz w:val="24"/>
          <w:szCs w:val="24"/>
          <w:u w:val="single"/>
        </w:rPr>
      </w:pPr>
      <w:r w:rsidRPr="00945974">
        <w:rPr>
          <w:rFonts w:ascii="Times New Roman" w:hAnsi="Times New Roman" w:cs="Times New Roman"/>
          <w:b/>
          <w:bCs/>
          <w:sz w:val="24"/>
          <w:szCs w:val="24"/>
          <w:u w:val="single"/>
        </w:rPr>
        <w:t>CERTIFICATE OF SERVICE</w:t>
      </w:r>
    </w:p>
    <w:p w:rsidR="00385332" w:rsidRPr="00945974" w:rsidP="00385332">
      <w:pPr>
        <w:spacing w:after="0" w:line="240" w:lineRule="auto"/>
        <w:jc w:val="center"/>
        <w:rPr>
          <w:rFonts w:ascii="Times New Roman" w:hAnsi="Times New Roman" w:cs="Times New Roman"/>
          <w:b/>
          <w:bCs/>
          <w:sz w:val="24"/>
          <w:szCs w:val="24"/>
          <w:u w:val="single"/>
        </w:rPr>
      </w:pPr>
    </w:p>
    <w:p w:rsidR="00945974" w:rsidRPr="00945974" w:rsidP="00385332">
      <w:pPr>
        <w:spacing w:after="0" w:line="480" w:lineRule="auto"/>
        <w:ind w:firstLine="720"/>
        <w:rPr>
          <w:rFonts w:ascii="Times New Roman" w:hAnsi="Times New Roman" w:cs="Times New Roman"/>
          <w:sz w:val="24"/>
          <w:szCs w:val="24"/>
        </w:rPr>
      </w:pPr>
      <w:r w:rsidRPr="00945974">
        <w:rPr>
          <w:rFonts w:ascii="Times New Roman" w:hAnsi="Times New Roman" w:cs="Times New Roman"/>
          <w:sz w:val="24"/>
          <w:szCs w:val="24"/>
        </w:rPr>
        <w:t>I hereby certify that a copy of this Initial Brief by the Office of the Ohio Consumers’ Counsel was served on the persons stated below via</w:t>
      </w:r>
      <w:r w:rsidRPr="00945974">
        <w:rPr>
          <w:rFonts w:ascii="Times New Roman" w:hAnsi="Times New Roman" w:cs="Times New Roman"/>
          <w:i/>
          <w:sz w:val="24"/>
          <w:szCs w:val="24"/>
        </w:rPr>
        <w:t xml:space="preserve"> </w:t>
      </w:r>
      <w:r w:rsidRPr="00945974">
        <w:rPr>
          <w:rFonts w:ascii="Times New Roman" w:hAnsi="Times New Roman" w:cs="Times New Roman"/>
          <w:sz w:val="24"/>
          <w:szCs w:val="24"/>
        </w:rPr>
        <w:t>electric transmission this 8</w:t>
      </w:r>
      <w:r w:rsidRPr="00945974">
        <w:rPr>
          <w:rFonts w:ascii="Times New Roman" w:hAnsi="Times New Roman" w:cs="Times New Roman"/>
          <w:sz w:val="24"/>
          <w:szCs w:val="24"/>
          <w:vertAlign w:val="superscript"/>
        </w:rPr>
        <w:t>th</w:t>
      </w:r>
      <w:r w:rsidRPr="00945974">
        <w:rPr>
          <w:rFonts w:ascii="Times New Roman" w:hAnsi="Times New Roman" w:cs="Times New Roman"/>
          <w:sz w:val="24"/>
          <w:szCs w:val="24"/>
        </w:rPr>
        <w:t xml:space="preserve"> day of January 2019.</w:t>
      </w:r>
    </w:p>
    <w:p w:rsidR="00945974" w:rsidRPr="00945974" w:rsidP="00945974">
      <w:pPr>
        <w:spacing w:after="0" w:line="240" w:lineRule="auto"/>
        <w:rPr>
          <w:rFonts w:ascii="Times New Roman" w:hAnsi="Times New Roman" w:cs="Times New Roman"/>
          <w:sz w:val="24"/>
          <w:szCs w:val="24"/>
        </w:rPr>
      </w:pPr>
    </w:p>
    <w:p w:rsidR="00945974" w:rsidRPr="00945974" w:rsidP="00945974">
      <w:pPr>
        <w:autoSpaceDE w:val="0"/>
        <w:autoSpaceDN w:val="0"/>
        <w:adjustRightInd w:val="0"/>
        <w:spacing w:after="0" w:line="240" w:lineRule="auto"/>
        <w:ind w:left="4320"/>
        <w:rPr>
          <w:rFonts w:ascii="Times New Roman" w:hAnsi="Times New Roman" w:cs="Times New Roman"/>
          <w:i/>
          <w:sz w:val="24"/>
          <w:szCs w:val="24"/>
        </w:rPr>
      </w:pPr>
      <w:r w:rsidRPr="00945974">
        <w:rPr>
          <w:rFonts w:ascii="Times New Roman" w:hAnsi="Times New Roman" w:cs="Times New Roman"/>
          <w:i/>
          <w:sz w:val="24"/>
          <w:szCs w:val="24"/>
          <w:u w:val="single"/>
        </w:rPr>
        <w:t xml:space="preserve">/s/ William </w:t>
      </w:r>
      <w:r>
        <w:rPr>
          <w:rFonts w:ascii="Times New Roman" w:hAnsi="Times New Roman" w:cs="Times New Roman"/>
          <w:i/>
          <w:sz w:val="24"/>
          <w:szCs w:val="24"/>
          <w:u w:val="single"/>
        </w:rPr>
        <w:t xml:space="preserve">J. </w:t>
      </w:r>
      <w:r w:rsidRPr="00945974">
        <w:rPr>
          <w:rFonts w:ascii="Times New Roman" w:hAnsi="Times New Roman" w:cs="Times New Roman"/>
          <w:i/>
          <w:sz w:val="24"/>
          <w:szCs w:val="24"/>
          <w:u w:val="single"/>
        </w:rPr>
        <w:t>Michael</w:t>
      </w:r>
    </w:p>
    <w:p w:rsidR="00945974" w:rsidRPr="00945974" w:rsidP="009459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 xml:space="preserve">William </w:t>
      </w:r>
      <w:r>
        <w:rPr>
          <w:rFonts w:ascii="Times New Roman" w:hAnsi="Times New Roman" w:cs="Times New Roman"/>
          <w:sz w:val="24"/>
          <w:szCs w:val="24"/>
        </w:rPr>
        <w:t xml:space="preserve">J. </w:t>
      </w:r>
      <w:r w:rsidRPr="00945974">
        <w:rPr>
          <w:rFonts w:ascii="Times New Roman" w:hAnsi="Times New Roman" w:cs="Times New Roman"/>
          <w:sz w:val="24"/>
          <w:szCs w:val="24"/>
        </w:rPr>
        <w:t>Michael</w:t>
      </w:r>
    </w:p>
    <w:p w:rsidR="00945974" w:rsidRPr="00945974" w:rsidP="00945974">
      <w:pPr>
        <w:tabs>
          <w:tab w:val="left" w:pos="4320"/>
        </w:tabs>
        <w:spacing w:after="0" w:line="240" w:lineRule="auto"/>
        <w:ind w:left="4320"/>
        <w:rPr>
          <w:rFonts w:ascii="Times New Roman" w:hAnsi="Times New Roman" w:cs="Times New Roman"/>
          <w:sz w:val="24"/>
          <w:szCs w:val="24"/>
        </w:rPr>
      </w:pPr>
      <w:r w:rsidRPr="00945974">
        <w:rPr>
          <w:rFonts w:ascii="Times New Roman" w:hAnsi="Times New Roman" w:cs="Times New Roman"/>
          <w:sz w:val="24"/>
          <w:szCs w:val="24"/>
        </w:rPr>
        <w:t>Assistant Consumers’ Counsel</w:t>
      </w:r>
    </w:p>
    <w:p w:rsidR="00945974" w:rsidRPr="00945974" w:rsidP="00945974">
      <w:pPr>
        <w:pStyle w:val="CommentSubject"/>
        <w:spacing w:after="0"/>
        <w:rPr>
          <w:rFonts w:ascii="Times New Roman" w:hAnsi="Times New Roman" w:cs="Times New Roman"/>
          <w:sz w:val="24"/>
          <w:szCs w:val="24"/>
        </w:rPr>
      </w:pPr>
    </w:p>
    <w:p w:rsidR="00945974" w:rsidRPr="00945974" w:rsidP="00945974">
      <w:pPr>
        <w:pStyle w:val="CommentText"/>
        <w:spacing w:after="0"/>
        <w:rPr>
          <w:rFonts w:ascii="Times New Roman" w:hAnsi="Times New Roman" w:cs="Times New Roman"/>
          <w:sz w:val="24"/>
          <w:szCs w:val="24"/>
        </w:rPr>
      </w:pPr>
    </w:p>
    <w:p w:rsidR="00945974" w:rsidRPr="00945974" w:rsidP="00945974">
      <w:pPr>
        <w:pStyle w:val="CommentText"/>
        <w:spacing w:after="0"/>
        <w:jc w:val="center"/>
        <w:rPr>
          <w:rFonts w:ascii="Times New Roman" w:hAnsi="Times New Roman" w:cs="Times New Roman"/>
          <w:b/>
          <w:sz w:val="24"/>
          <w:szCs w:val="24"/>
          <w:u w:val="single"/>
        </w:rPr>
      </w:pPr>
      <w:r w:rsidRPr="00945974">
        <w:rPr>
          <w:rFonts w:ascii="Times New Roman" w:hAnsi="Times New Roman" w:cs="Times New Roman"/>
          <w:b/>
          <w:sz w:val="24"/>
          <w:szCs w:val="24"/>
          <w:u w:val="single"/>
        </w:rPr>
        <w:t>SERVICE LIST</w:t>
      </w:r>
    </w:p>
    <w:p w:rsidR="00945974" w:rsidRPr="00945974" w:rsidP="00945974">
      <w:pPr>
        <w:pStyle w:val="CommentText"/>
        <w:spacing w:after="0"/>
        <w:jc w:val="center"/>
        <w:rPr>
          <w:rFonts w:ascii="Times New Roman" w:hAnsi="Times New Roman" w:cs="Times New Roman"/>
          <w:b/>
          <w:sz w:val="24"/>
          <w:szCs w:val="24"/>
          <w:u w:val="single"/>
        </w:rPr>
      </w:pPr>
    </w:p>
    <w:p w:rsidR="00945974" w:rsidRPr="00945974" w:rsidP="00945974">
      <w:pPr>
        <w:pStyle w:val="CommentText"/>
        <w:spacing w:after="0"/>
        <w:jc w:val="center"/>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529"/>
        <w:gridCol w:w="4111"/>
      </w:tblGrid>
      <w:tr w:rsidTr="003A3923">
        <w:tblPrEx>
          <w:tblW w:w="0" w:type="auto"/>
          <w:tblInd w:w="0" w:type="dxa"/>
          <w:tblCellMar>
            <w:top w:w="0" w:type="dxa"/>
            <w:left w:w="108" w:type="dxa"/>
            <w:bottom w:w="0" w:type="dxa"/>
            <w:right w:w="108" w:type="dxa"/>
          </w:tblCellMar>
          <w:tblLook w:val="04A0"/>
        </w:tblPrEx>
        <w:tc>
          <w:tcPr>
            <w:tcW w:w="4428" w:type="dxa"/>
            <w:shd w:val="clear" w:color="auto" w:fill="auto"/>
          </w:tcPr>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"mailto:mkurtz@BKLlawfirm.com"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mkurtz@BKLlawfirm.com</w:t>
            </w:r>
            <w:r>
              <w:fldChar w:fldCharType="end"/>
            </w:r>
          </w:p>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"mailto:Kboehm@BKLlawfirm.com"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Kboehm@BKLlawfirm.com</w:t>
            </w:r>
            <w:r>
              <w:fldChar w:fldCharType="end"/>
            </w:r>
          </w:p>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"mailto:jkylercohn@BKLlawfirm.com"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jkylercohn@BKLlawfirm.com</w:t>
            </w:r>
            <w:r>
              <w:fldChar w:fldCharType="end"/>
            </w:r>
          </w:p>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"mailto:Thomas.mcnamee@ohioattorneygeneral.gov" </w:instrText>
            </w:r>
            <w:r>
              <w:fldChar w:fldCharType="separate"/>
            </w:r>
            <w:r w:rsidRPr="00945974" w:rsidR="00200C78">
              <w:rPr>
                <w:rStyle w:val="Hyperlink"/>
                <w:rFonts w:ascii="Times New Roman" w:hAnsi="Times New Roman" w:eastAsiaTheme="minorHAnsi" w:cs="Times New Roman"/>
                <w:color w:val="0000FF"/>
                <w:sz w:val="24"/>
                <w:szCs w:val="24"/>
                <w:u w:val="single"/>
                <w:lang w:val="en-US" w:eastAsia="en-US" w:bidi="ar-SA"/>
              </w:rPr>
              <w:t>Thomas.mcnamee@ohioattorneygeneral.gov</w:t>
            </w:r>
            <w:r>
              <w:fldChar w:fldCharType="end"/>
            </w:r>
          </w:p>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p w:rsidR="00945974" w:rsidRPr="00945974" w:rsidP="00945974">
            <w:pPr>
              <w:pStyle w:val="CommentText"/>
              <w:spacing w:after="0" w:line="240" w:lineRule="auto"/>
              <w:rPr>
                <w:rStyle w:val="DefaultParagraphFont"/>
                <w:rFonts w:ascii="Times New Roman" w:hAnsi="Times New Roman" w:eastAsiaTheme="minorHAnsi" w:cs="Times New Roman"/>
                <w:sz w:val="24"/>
                <w:szCs w:val="24"/>
                <w:lang w:val="en-US" w:eastAsia="en-US" w:bidi="ar-SA"/>
              </w:rPr>
            </w:pPr>
          </w:p>
        </w:tc>
        <w:tc>
          <w:tcPr>
            <w:tcW w:w="4428" w:type="dxa"/>
            <w:shd w:val="clear" w:color="auto" w:fill="auto"/>
          </w:tcPr>
          <w:p w:rsidR="00945974" w:rsidRPr="00945974" w:rsidP="00945974">
            <w:pPr>
              <w:pStyle w:val="CommentText"/>
              <w:spacing w:after="0" w:line="240" w:lineRule="auto"/>
              <w:ind w:left="621"/>
              <w:rPr>
                <w:rStyle w:val="Hyperlink"/>
                <w:rFonts w:ascii="Times New Roman" w:hAnsi="Times New Roman" w:eastAsiaTheme="minorHAnsi" w:cs="Times New Roman"/>
                <w:color w:val="0077CC"/>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"mailto:rendris@firstenergycorp.com"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rendris@firstenergycorp.com</w:t>
            </w:r>
            <w:r>
              <w:fldChar w:fldCharType="end"/>
            </w:r>
          </w:p>
          <w:p w:rsidR="00945974" w:rsidRPr="00945974" w:rsidP="00945974">
            <w:pPr>
              <w:pStyle w:val="CommentText"/>
              <w:spacing w:after="0" w:line="240" w:lineRule="auto"/>
              <w:ind w:left="62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"mailto:fdarr@mwncmh.com"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fdarr@mwncmh.com</w:t>
            </w:r>
            <w:r>
              <w:fldChar w:fldCharType="end"/>
            </w:r>
          </w:p>
          <w:p w:rsidR="00945974" w:rsidRPr="00945974" w:rsidP="00945974">
            <w:pPr>
              <w:autoSpaceDE w:val="0"/>
              <w:autoSpaceDN w:val="0"/>
              <w:adjustRightInd w:val="0"/>
              <w:spacing w:after="0" w:line="240" w:lineRule="auto"/>
              <w:ind w:left="621"/>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mpritchard@mwncmh.com</w:t>
            </w:r>
            <w:r>
              <w:fldChar w:fldCharType="end"/>
            </w:r>
          </w:p>
          <w:p w:rsidR="00945974" w:rsidRPr="00945974" w:rsidP="00945974">
            <w:pPr>
              <w:autoSpaceDE w:val="0"/>
              <w:autoSpaceDN w:val="0"/>
              <w:adjustRightInd w:val="0"/>
              <w:spacing w:after="0" w:line="240" w:lineRule="auto"/>
              <w:ind w:left="1333"/>
              <w:rPr>
                <w:rStyle w:val="DefaultParagraphFont"/>
                <w:rFonts w:ascii="Times New Roman" w:hAnsi="Times New Roman" w:eastAsiaTheme="minorHAnsi" w:cs="Times New Roman"/>
                <w:sz w:val="24"/>
                <w:szCs w:val="24"/>
                <w:lang w:val="en-US" w:eastAsia="en-US" w:bidi="ar-SA"/>
              </w:rPr>
            </w:pPr>
          </w:p>
          <w:p w:rsidR="00945974" w:rsidRPr="00945974" w:rsidP="00945974">
            <w:pPr>
              <w:pStyle w:val="CommentText"/>
              <w:spacing w:after="0" w:line="240" w:lineRule="auto"/>
              <w:ind w:left="1335"/>
              <w:rPr>
                <w:rStyle w:val="DefaultParagraphFont"/>
                <w:rFonts w:ascii="Times New Roman" w:hAnsi="Times New Roman" w:eastAsiaTheme="minorHAnsi" w:cs="Times New Roman"/>
                <w:sz w:val="24"/>
                <w:szCs w:val="24"/>
                <w:lang w:val="en-US" w:eastAsia="en-US" w:bidi="ar-SA"/>
              </w:rPr>
            </w:pPr>
          </w:p>
        </w:tc>
      </w:tr>
      <w:tr w:rsidTr="003A3923">
        <w:tblPrEx>
          <w:tblW w:w="0" w:type="auto"/>
          <w:tblInd w:w="0" w:type="dxa"/>
          <w:tblCellMar>
            <w:top w:w="0" w:type="dxa"/>
            <w:left w:w="108" w:type="dxa"/>
            <w:bottom w:w="0" w:type="dxa"/>
            <w:right w:w="108" w:type="dxa"/>
          </w:tblCellMar>
          <w:tblLook w:val="04A0"/>
        </w:tblPrEx>
        <w:tc>
          <w:tcPr>
            <w:tcW w:w="4428" w:type="dxa"/>
            <w:shd w:val="clear" w:color="auto" w:fill="auto"/>
          </w:tcPr>
          <w:p w:rsidR="00945974" w:rsidRPr="009C517A" w:rsidP="00945974">
            <w:pPr>
              <w:pStyle w:val="CommentText"/>
              <w:spacing w:after="0" w:line="240" w:lineRule="auto"/>
              <w:rPr>
                <w:rStyle w:val="Hyperlink"/>
                <w:rFonts w:ascii="Times New Roman" w:hAnsi="Times New Roman" w:eastAsiaTheme="minorHAnsi" w:cs="Times New Roman"/>
                <w:color w:val="auto"/>
                <w:sz w:val="24"/>
                <w:szCs w:val="24"/>
                <w:u w:val="none"/>
                <w:lang w:val="en-US" w:eastAsia="en-US" w:bidi="ar-SA"/>
              </w:rPr>
            </w:pPr>
            <w:r w:rsidRPr="009C517A">
              <w:rPr>
                <w:rStyle w:val="Hyperlink"/>
                <w:rFonts w:ascii="Times New Roman" w:eastAsia="PMingLiU" w:hAnsi="Times New Roman" w:cs="Times New Roman"/>
                <w:color w:val="auto"/>
                <w:sz w:val="24"/>
                <w:szCs w:val="24"/>
                <w:u w:val="none"/>
                <w:lang w:val="en-US" w:eastAsia="en-US" w:bidi="ar-SA"/>
              </w:rPr>
              <w:t>Attorney Examiners:</w:t>
            </w:r>
          </w:p>
          <w:p w:rsidR="00945974" w:rsidRPr="00945974" w:rsidP="00945974">
            <w:pPr>
              <w:pStyle w:val="CommentText"/>
              <w:spacing w:after="0" w:line="240" w:lineRule="auto"/>
              <w:rPr>
                <w:rStyle w:val="Hyperlink"/>
                <w:rFonts w:ascii="Times New Roman" w:hAnsi="Times New Roman" w:eastAsiaTheme="minorHAnsi" w:cs="Times New Roman"/>
                <w:color w:val="0077CC"/>
                <w:sz w:val="24"/>
                <w:szCs w:val="24"/>
                <w:u w:val="single"/>
                <w:lang w:val="en-US" w:eastAsia="en-US" w:bidi="ar-SA"/>
              </w:rPr>
            </w:pPr>
          </w:p>
          <w:p w:rsidR="00945974" w:rsidRPr="00945974" w:rsidP="00945974">
            <w:pPr>
              <w:pStyle w:val="CommentText"/>
              <w:spacing w:after="0" w:line="240" w:lineRule="auto"/>
              <w:rPr>
                <w:rStyle w:val="Hyperlink"/>
                <w:rFonts w:ascii="Times New Roman" w:hAnsi="Times New Roman" w:eastAsiaTheme="minorHAnsi" w:cs="Times New Roman"/>
                <w:color w:val="0077CC"/>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"mailto:Megan.addison@puc.state.oh.us"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Megan.addison@puc.state.oh.us</w:t>
            </w:r>
            <w:r>
              <w:fldChar w:fldCharType="end"/>
            </w:r>
          </w:p>
          <w:p w:rsidR="00945974" w:rsidRPr="00945974" w:rsidP="00945974">
            <w:pPr>
              <w:pStyle w:val="CommentText"/>
              <w:spacing w:after="0" w:line="240" w:lineRule="auto"/>
              <w:rPr>
                <w:rStyle w:val="Hyperlink"/>
                <w:rFonts w:ascii="Times New Roman" w:hAnsi="Times New Roman" w:eastAsiaTheme="minorHAnsi" w:cs="Times New Roman"/>
                <w:color w:val="0077CC"/>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"mailto:Gregory.price@puc.state.oh.us" </w:instrText>
            </w:r>
            <w:r>
              <w:fldChar w:fldCharType="separate"/>
            </w:r>
            <w:r w:rsidRPr="00945974" w:rsidR="00200C78">
              <w:rPr>
                <w:rStyle w:val="Hyperlink"/>
                <w:rFonts w:ascii="Times New Roman" w:eastAsia="PMingLiU" w:hAnsi="Times New Roman" w:cs="Times New Roman"/>
                <w:color w:val="0000FF"/>
                <w:sz w:val="24"/>
                <w:szCs w:val="24"/>
                <w:u w:val="single"/>
                <w:lang w:val="en-US" w:eastAsia="en-US" w:bidi="ar-SA"/>
              </w:rPr>
              <w:t>Gregory.price@puc.state.oh.us</w:t>
            </w:r>
            <w:r>
              <w:fldChar w:fldCharType="end"/>
            </w:r>
          </w:p>
          <w:p w:rsidR="00945974" w:rsidRPr="00945974" w:rsidP="00945974">
            <w:pPr>
              <w:pStyle w:val="CommentText"/>
              <w:spacing w:after="0" w:line="240" w:lineRule="auto"/>
              <w:rPr>
                <w:rStyle w:val="Hyperlink"/>
                <w:rFonts w:ascii="Times New Roman" w:hAnsi="Times New Roman" w:eastAsiaTheme="minorHAnsi" w:cs="Times New Roman"/>
                <w:color w:val="0077CC"/>
                <w:sz w:val="24"/>
                <w:szCs w:val="24"/>
                <w:u w:val="single"/>
                <w:lang w:val="en-US" w:eastAsia="en-US" w:bidi="ar-SA"/>
              </w:rPr>
            </w:pPr>
          </w:p>
        </w:tc>
        <w:tc>
          <w:tcPr>
            <w:tcW w:w="4428" w:type="dxa"/>
            <w:shd w:val="clear" w:color="auto" w:fill="auto"/>
          </w:tcPr>
          <w:p w:rsidR="00945974" w:rsidRPr="00945974" w:rsidP="00945974">
            <w:pPr>
              <w:pStyle w:val="CommentText"/>
              <w:spacing w:after="0" w:line="240" w:lineRule="auto"/>
              <w:ind w:left="1335"/>
              <w:rPr>
                <w:rStyle w:val="Hyperlink"/>
                <w:rFonts w:ascii="Times New Roman" w:hAnsi="Times New Roman" w:eastAsiaTheme="minorHAnsi" w:cs="Times New Roman"/>
                <w:color w:val="0077CC"/>
                <w:sz w:val="24"/>
                <w:szCs w:val="24"/>
                <w:u w:val="single"/>
                <w:lang w:val="en-US" w:eastAsia="en-US" w:bidi="ar-SA"/>
              </w:rPr>
            </w:pPr>
          </w:p>
        </w:tc>
      </w:tr>
    </w:tbl>
    <w:p w:rsidR="00E74175" w:rsidRPr="005365F6" w:rsidP="005009EC">
      <w:pPr>
        <w:spacing w:after="0" w:line="240" w:lineRule="auto"/>
        <w:jc w:val="center"/>
        <w:rPr>
          <w:rFonts w:ascii="Times New Roman" w:eastAsia="Times New Roman" w:hAnsi="Times New Roman" w:cs="Times New Roman"/>
          <w:b/>
          <w:bCs/>
          <w:sz w:val="24"/>
          <w:szCs w:val="24"/>
          <w:u w:val="single"/>
        </w:rPr>
      </w:pPr>
    </w:p>
    <w:sectPr w:rsidSect="00276B64">
      <w:footerReference w:type="default" r:id="rId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5332">
    <w:pPr>
      <w:pStyle w:val="Footer"/>
      <w:jc w:val="center"/>
    </w:pPr>
  </w:p>
  <w:p w:rsidR="006759D1" w:rsidRPr="00670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0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4580566"/>
      <w:docPartObj>
        <w:docPartGallery w:val="Page Numbers (Bottom of Page)"/>
        <w:docPartUnique/>
      </w:docPartObj>
    </w:sdtPr>
    <w:sdtEndPr>
      <w:rPr>
        <w:noProof/>
      </w:rPr>
    </w:sdtEndPr>
    <w:sdtContent>
      <w:p w:rsidR="003853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85332" w:rsidRPr="006706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5429801"/>
      <w:docPartObj>
        <w:docPartGallery w:val="Page Numbers (Bottom of Page)"/>
        <w:docPartUnique/>
      </w:docPartObj>
    </w:sdtPr>
    <w:sdtEndPr>
      <w:rPr>
        <w:noProof/>
      </w:rPr>
    </w:sdtEndPr>
    <w:sdtContent>
      <w:p w:rsidR="00760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64EE" w:rsidRPr="006706FC">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227290"/>
      <w:docPartObj>
        <w:docPartGallery w:val="Page Numbers (Bottom of Page)"/>
        <w:docPartUnique/>
      </w:docPartObj>
    </w:sdtPr>
    <w:sdtEndPr>
      <w:rPr>
        <w:noProof/>
      </w:rPr>
    </w:sdtEndPr>
    <w:sdtContent>
      <w:p w:rsidR="00C64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41DB" w:rsidRPr="006706FC">
    <w:pPr>
      <w:pStyle w:val="Footer"/>
      <w:jc w:val="center"/>
      <w:rPr>
        <w:rFonts w:ascii="Times New Roman" w:hAnsi="Times New Roman" w:cs="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59D1"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0BCC" w:rsidP="00276B64">
      <w:pPr>
        <w:spacing w:after="0" w:line="240" w:lineRule="auto"/>
      </w:pPr>
      <w:r>
        <w:separator/>
      </w:r>
    </w:p>
  </w:footnote>
  <w:footnote w:type="continuationSeparator" w:id="1">
    <w:p w:rsidR="00140BCC" w:rsidP="00276B64">
      <w:pPr>
        <w:spacing w:after="0" w:line="240" w:lineRule="auto"/>
      </w:pPr>
      <w:r>
        <w:continuationSeparator/>
      </w:r>
    </w:p>
  </w:footnote>
  <w:footnote w:id="2">
    <w:p w:rsidR="002F4753"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Pr>
          <w:rFonts w:cs="Times New Roman"/>
          <w:sz w:val="24"/>
          <w:szCs w:val="24"/>
        </w:rPr>
        <w:t xml:space="preserve">Under the law a utility must provide a refund to customers when its electric security plan earnings are significantly excessive. </w:t>
      </w:r>
      <w:r w:rsidRPr="00A75AF6">
        <w:rPr>
          <w:rFonts w:cs="Times New Roman"/>
        </w:rPr>
        <w:t>R.C. 4928.143(F).</w:t>
      </w:r>
    </w:p>
  </w:footnote>
  <w:footnote w:id="3">
    <w:p w:rsidR="002F4753"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OCC Exs. 1 and 2 (Duann Testimony).</w:t>
      </w:r>
    </w:p>
  </w:footnote>
  <w:footnote w:id="4">
    <w:p w:rsidR="002F4753"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Joint Ex. 1 (Settlement).</w:t>
      </w:r>
    </w:p>
  </w:footnote>
  <w:footnote w:id="5">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In re Application of the Ottoville Mut. Tel. Co.</w:t>
      </w:r>
      <w:r w:rsidRPr="00A75AF6">
        <w:rPr>
          <w:rFonts w:cs="Times New Roman"/>
        </w:rPr>
        <w:t xml:space="preserve">, Case No. 73-356-Y, 1973 Ohio PUC LEXIS 3, at *4 ("the applicant must shoulder the burden of proof in every application proceeding before the Commission"); </w:t>
      </w:r>
      <w:r w:rsidRPr="00A75AF6">
        <w:rPr>
          <w:rFonts w:cs="Times New Roman"/>
          <w:i/>
        </w:rPr>
        <w:t>In re Application of the Ohio Bell Tel. Co.</w:t>
      </w:r>
      <w:r w:rsidRPr="00A75AF6">
        <w:rPr>
          <w:rFonts w:cs="Times New Roman"/>
        </w:rPr>
        <w:t>, No. 84-1435-TP-AIR, 1985 Ohio PUC LEXIS 7, at *79 (Dec. 10, 1985) ("The applicant has the burden of establishing the reasonableness of its proposals.").</w:t>
      </w:r>
    </w:p>
  </w:footnote>
  <w:footnote w:id="6">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In re Application Seeking Approval of Ohio Power Co.'s Proposal to Enter into an Affiliate Power Purchase Agmt. for Inclusion in the Power Purchase Agmt. Rider</w:t>
      </w:r>
      <w:r w:rsidRPr="00A75AF6">
        <w:rPr>
          <w:rFonts w:cs="Times New Roman"/>
        </w:rPr>
        <w:t>, No. 14-1693-EL-SSO, Opinion &amp; Order at 18 (Mar. 31, 2016).</w:t>
      </w:r>
    </w:p>
  </w:footnote>
  <w:footnote w:id="7">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R.C. 4928.143(F).</w:t>
      </w:r>
    </w:p>
  </w:footnote>
  <w:footnote w:id="8">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Duff v. PUCO,</w:t>
      </w:r>
      <w:r w:rsidRPr="00A75AF6">
        <w:rPr>
          <w:rFonts w:cs="Times New Roman"/>
        </w:rPr>
        <w:t xml:space="preserve"> 56 Ohio St.2d 367 (1978); </w:t>
      </w:r>
      <w:r w:rsidRPr="00A75AF6">
        <w:rPr>
          <w:rFonts w:cs="Times New Roman"/>
          <w:i/>
        </w:rPr>
        <w:t>see also</w:t>
      </w:r>
      <w:r w:rsidRPr="00A75AF6">
        <w:rPr>
          <w:rFonts w:cs="Times New Roman"/>
        </w:rPr>
        <w:t xml:space="preserve"> Ohio Adm. Code 4901-1-30(E).</w:t>
      </w:r>
    </w:p>
  </w:footnote>
  <w:footnote w:id="9">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Duff</w:t>
      </w:r>
      <w:r w:rsidRPr="00A75AF6">
        <w:rPr>
          <w:rFonts w:cs="Times New Roman"/>
        </w:rPr>
        <w:t>, 56 Ohio St.2d 367.</w:t>
      </w:r>
    </w:p>
  </w:footnote>
  <w:footnote w:id="10">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w:t>
      </w:r>
      <w:r w:rsidRPr="00A75AF6">
        <w:rPr>
          <w:rFonts w:cs="Times New Roman"/>
          <w:i/>
        </w:rPr>
        <w:t>Consumers’ Counsel v. PUCO</w:t>
      </w:r>
      <w:r w:rsidRPr="00A75AF6">
        <w:rPr>
          <w:rFonts w:cs="Times New Roman"/>
        </w:rPr>
        <w:t>, 64 Ohio St.3d 123, 126 (1992).</w:t>
      </w:r>
    </w:p>
  </w:footnote>
  <w:footnote w:id="11">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R.C. 4928.143(B)(2)(h).</w:t>
      </w:r>
    </w:p>
  </w:footnote>
  <w:footnote w:id="12">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R.C. 4928.143(F) (the PUCO must determine if “</w:t>
      </w:r>
      <w:r w:rsidRPr="00A75AF6">
        <w:rPr>
          <w:rFonts w:cs="Times New Roman"/>
          <w:color w:val="000000"/>
          <w:shd w:val="clear" w:color="auto" w:fill="FFFFFF"/>
        </w:rPr>
        <w:t>the earned return on common equity of the electric distribution utility is significantly in excess of the return on common equity that was earned during the same period by publicly traded companies, including utilities, that face comparable business and financial risk”).</w:t>
      </w:r>
    </w:p>
  </w:footnote>
  <w:footnote w:id="13">
    <w:p w:rsidR="006759D1"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Id.</w:t>
      </w:r>
      <w:r w:rsidRPr="00A75AF6">
        <w:rPr>
          <w:rFonts w:cs="Times New Roman"/>
        </w:rPr>
        <w:t xml:space="preserve">; </w:t>
      </w:r>
      <w:r w:rsidRPr="00A75AF6">
        <w:rPr>
          <w:rFonts w:cs="Times New Roman"/>
          <w:i/>
        </w:rPr>
        <w:t>see also In re Application of Columbus S. Power Co</w:t>
      </w:r>
      <w:r w:rsidRPr="00A75AF6">
        <w:rPr>
          <w:rFonts w:cs="Times New Roman"/>
        </w:rPr>
        <w:t>., 134 Ohio St.3d 392 (2012).</w:t>
      </w:r>
    </w:p>
  </w:footnote>
  <w:footnote w:id="14">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R.C. 4928.143(F).</w:t>
      </w:r>
    </w:p>
  </w:footnote>
  <w:footnote w:id="15">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OCC Ex. 1 at 2.</w:t>
      </w:r>
    </w:p>
  </w:footnote>
  <w:footnote w:id="16">
    <w:p w:rsidR="00CD5A97"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Black’s Law Dictionary 1404-1405 (8</w:t>
      </w:r>
      <w:r w:rsidRPr="00A75AF6">
        <w:rPr>
          <w:rFonts w:cs="Times New Roman"/>
          <w:vertAlign w:val="superscript"/>
        </w:rPr>
        <w:t>th</w:t>
      </w:r>
      <w:r w:rsidRPr="00A75AF6">
        <w:rPr>
          <w:rFonts w:cs="Times New Roman"/>
        </w:rPr>
        <w:t xml:space="preserve"> Ed. 2007).</w:t>
      </w:r>
    </w:p>
  </w:footnote>
  <w:footnote w:id="17">
    <w:p w:rsidR="00CD5A97"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Black’s Law Dictionary 1455 (8</w:t>
      </w:r>
      <w:r w:rsidRPr="00A75AF6">
        <w:rPr>
          <w:rFonts w:cs="Times New Roman"/>
          <w:vertAlign w:val="superscript"/>
        </w:rPr>
        <w:t>th</w:t>
      </w:r>
      <w:r w:rsidRPr="00A75AF6">
        <w:rPr>
          <w:rFonts w:cs="Times New Roman"/>
        </w:rPr>
        <w:t xml:space="preserve"> Ed. 2007).</w:t>
      </w:r>
    </w:p>
  </w:footnote>
  <w:footnote w:id="18">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Ohio Edison Ex 2, 3, and 4 (Testimony of Petrik and Savage).</w:t>
      </w:r>
    </w:p>
  </w:footnote>
  <w:footnote w:id="19">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Staff Ex. 1 at 2 (Buckley Testimony).</w:t>
      </w:r>
    </w:p>
  </w:footnote>
  <w:footnote w:id="20">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Joint Ex. 1.</w:t>
      </w:r>
    </w:p>
  </w:footnote>
  <w:footnote w:id="21">
    <w:p w:rsidR="00C263FF"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OCC Exs. 1 and 2.</w:t>
      </w:r>
    </w:p>
  </w:footnote>
  <w:footnote w:id="22">
    <w:p w:rsidR="00C10DB0"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OCC Ex. 1 at 30.</w:t>
      </w:r>
    </w:p>
  </w:footnote>
  <w:footnote w:id="23">
    <w:p w:rsidR="00C10DB0"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2 at 6.</w:t>
      </w:r>
    </w:p>
  </w:footnote>
  <w:footnote w:id="24">
    <w:p w:rsidR="00C10DB0"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25">
    <w:p w:rsidR="00C10DB0"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 xml:space="preserve"> </w:t>
      </w:r>
    </w:p>
  </w:footnote>
  <w:footnote w:id="26">
    <w:p w:rsidR="00C8400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27">
    <w:p w:rsidR="00C8400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28">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7.</w:t>
      </w:r>
    </w:p>
  </w:footnote>
  <w:footnote w:id="29">
    <w:p w:rsidR="00C8400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30">
    <w:p w:rsidR="00C8400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31">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R.C. 4905.22. </w:t>
      </w:r>
    </w:p>
  </w:footnote>
  <w:footnote w:id="32">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In re Application of Columbus S. Power Co</w:t>
      </w:r>
      <w:r w:rsidRPr="00A75AF6">
        <w:rPr>
          <w:rFonts w:cs="Times New Roman"/>
        </w:rPr>
        <w:t>., 134 Ohio St.3d 392, 2012-Ohio-5690 at ¶30.</w:t>
      </w:r>
    </w:p>
  </w:footnote>
  <w:footnote w:id="33">
    <w:p w:rsidR="006759D1"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R.C. 4928.02(A), (L), and (N).</w:t>
      </w:r>
    </w:p>
  </w:footnote>
  <w:footnote w:id="34">
    <w:p w:rsidR="009608C6"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1 at 7.</w:t>
      </w:r>
    </w:p>
  </w:footnote>
  <w:footnote w:id="35">
    <w:p w:rsidR="00DA1E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OCC Ex. 1 at 9-11.</w:t>
      </w:r>
    </w:p>
  </w:footnote>
  <w:footnote w:id="36">
    <w:p w:rsidR="006468AB"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1 at 9.</w:t>
      </w:r>
    </w:p>
  </w:footnote>
  <w:footnote w:id="37">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38">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39">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0">
    <w:p w:rsidR="00300900"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11.</w:t>
      </w:r>
    </w:p>
  </w:footnote>
  <w:footnote w:id="41">
    <w:p w:rsidR="00D91234"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10.</w:t>
      </w:r>
    </w:p>
  </w:footnote>
  <w:footnote w:id="42">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3">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4">
    <w:p w:rsidR="00D91234"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5">
    <w:p w:rsidR="00EA415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6">
    <w:p w:rsidR="00EA415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7">
    <w:p w:rsidR="00EA415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48">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2 at 7.</w:t>
      </w:r>
    </w:p>
  </w:footnote>
  <w:footnote w:id="49">
    <w:p w:rsidR="00DA1E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p>
  </w:footnote>
  <w:footnote w:id="50">
    <w:p w:rsidR="00EA415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1 at 10.</w:t>
      </w:r>
    </w:p>
  </w:footnote>
  <w:footnote w:id="51">
    <w:p w:rsidR="00BB403C"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52">
    <w:p w:rsidR="00BB403C"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53">
    <w:p w:rsidR="00BB403C"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10-11.</w:t>
      </w:r>
    </w:p>
  </w:footnote>
  <w:footnote w:id="54">
    <w:p w:rsidR="00BB403C"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11.</w:t>
      </w:r>
    </w:p>
  </w:footnote>
  <w:footnote w:id="55">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OCC Ex. 1 at 10.</w:t>
      </w:r>
    </w:p>
  </w:footnote>
  <w:footnote w:id="56">
    <w:p w:rsidR="00DA1E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2 at 8.</w:t>
      </w:r>
    </w:p>
  </w:footnote>
  <w:footnote w:id="57">
    <w:p w:rsidR="00DA1E05"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58">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R.C. 4905.22.</w:t>
      </w:r>
    </w:p>
  </w:footnote>
  <w:footnote w:id="59">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R.C. 4928.143 (F).</w:t>
      </w:r>
    </w:p>
  </w:footnote>
  <w:footnote w:id="60">
    <w:p w:rsidR="00C84005"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OCC Ex. 2 at 8; </w:t>
      </w:r>
      <w:r w:rsidRPr="00A75AF6">
        <w:rPr>
          <w:rFonts w:cs="Times New Roman"/>
          <w:i/>
        </w:rPr>
        <w:t xml:space="preserve">see also </w:t>
      </w:r>
      <w:r w:rsidRPr="00A75AF6">
        <w:rPr>
          <w:rFonts w:cs="Times New Roman"/>
        </w:rPr>
        <w:t>R.C. 4928.02 (A), (L), and (N).</w:t>
      </w:r>
    </w:p>
  </w:footnote>
  <w:footnote w:id="61">
    <w:p w:rsidR="000D3733"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2 at 9.</w:t>
      </w:r>
    </w:p>
  </w:footnote>
  <w:footnote w:id="62">
    <w:p w:rsidR="000D3733"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63">
    <w:p w:rsidR="000D3733"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64">
    <w:p w:rsidR="000D3733"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65">
    <w:p w:rsidR="000D3733"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66">
    <w:p w:rsidR="000D3733"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67">
    <w:p w:rsidR="000D3733"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w:t>
      </w:r>
      <w:r w:rsidRPr="00A75AF6">
        <w:rPr>
          <w:rFonts w:cs="Times New Roman"/>
        </w:rPr>
        <w:t xml:space="preserve"> OCC Ex. 1 at 29-30.</w:t>
      </w:r>
    </w:p>
  </w:footnote>
  <w:footnote w:id="68">
    <w:p w:rsidR="00D20754"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w:t>
      </w:r>
      <w:r w:rsidRPr="00A75AF6">
        <w:rPr>
          <w:rFonts w:cs="Times New Roman"/>
        </w:rPr>
        <w:t>OCC Ex. 1 at 29.</w:t>
      </w:r>
    </w:p>
  </w:footnote>
  <w:footnote w:id="69">
    <w:p w:rsidR="00D20754"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29-30.</w:t>
      </w:r>
    </w:p>
  </w:footnote>
  <w:footnote w:id="70">
    <w:p w:rsidR="00D20754"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30.</w:t>
      </w:r>
    </w:p>
  </w:footnote>
  <w:footnote w:id="71">
    <w:p w:rsidR="00D20754"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See id</w:t>
      </w:r>
      <w:r w:rsidRPr="00A75AF6">
        <w:rPr>
          <w:rFonts w:cs="Times New Roman"/>
        </w:rPr>
        <w:t>.</w:t>
      </w:r>
    </w:p>
  </w:footnote>
  <w:footnote w:id="72">
    <w:p w:rsidR="00502A46" w:rsidRPr="00A75AF6" w:rsidP="00A75AF6">
      <w:pPr>
        <w:pStyle w:val="FootnoteText"/>
        <w:spacing w:after="120"/>
        <w:rPr>
          <w:rFonts w:cs="Times New Roman"/>
        </w:rPr>
      </w:pPr>
      <w:r w:rsidRPr="00A75AF6">
        <w:rPr>
          <w:rStyle w:val="FootnoteReference"/>
          <w:rFonts w:cs="Times New Roman"/>
        </w:rPr>
        <w:footnoteRef/>
      </w:r>
      <w:r w:rsidRPr="00A75AF6">
        <w:rPr>
          <w:rFonts w:cs="Times New Roman"/>
        </w:rPr>
        <w:t xml:space="preserve"> </w:t>
      </w:r>
      <w:r w:rsidRPr="00A75AF6">
        <w:rPr>
          <w:rFonts w:cs="Times New Roman"/>
          <w:i/>
        </w:rPr>
        <w:t xml:space="preserve">See id. </w:t>
      </w:r>
      <w:r w:rsidRPr="00A75AF6">
        <w:rPr>
          <w:rFonts w:cs="Times New Roman"/>
        </w:rPr>
        <w:t>at 31.</w:t>
      </w:r>
    </w:p>
  </w:footnote>
  <w:footnote w:id="73">
    <w:p w:rsidR="00502A46"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74">
    <w:p w:rsidR="00502A46"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 w:id="75">
    <w:p w:rsidR="00502A46" w:rsidRPr="00A75AF6" w:rsidP="00A75AF6">
      <w:pPr>
        <w:pStyle w:val="FootnoteText"/>
        <w:spacing w:after="120"/>
        <w:rPr>
          <w:rFonts w:cs="Times New Roman"/>
          <w:i/>
        </w:rPr>
      </w:pPr>
      <w:r w:rsidRPr="00A75AF6">
        <w:rPr>
          <w:rStyle w:val="FootnoteReference"/>
          <w:rFonts w:cs="Times New Roman"/>
        </w:rPr>
        <w:footnoteRef/>
      </w:r>
      <w:r w:rsidRPr="00A75AF6">
        <w:rPr>
          <w:rFonts w:cs="Times New Roman"/>
        </w:rPr>
        <w:t xml:space="preserve"> </w:t>
      </w:r>
      <w:r w:rsidRPr="00A75AF6">
        <w:rPr>
          <w:rFonts w:cs="Times New Roman"/>
          <w:i/>
        </w:rPr>
        <w:t>See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30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4EE" w:rsidP="00200C78">
    <w:pPr>
      <w:pStyle w:val="Header"/>
      <w:tabs>
        <w:tab w:val="left" w:pos="2796"/>
        <w:tab w:val="clear" w:pos="4680"/>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8D948EC"/>
    <w:multiLevelType w:val="hybridMultilevel"/>
    <w:tmpl w:val="8834DCC0"/>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CAB515C"/>
    <w:multiLevelType w:val="hybridMultilevel"/>
    <w:tmpl w:val="A88EE32E"/>
    <w:lvl w:ilvl="0">
      <w:start w:val="1"/>
      <w:numFmt w:val="upperRoman"/>
      <w:pStyle w:val="Heading1"/>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0"/>
    <w:lvlOverride w:ilvl="0">
      <w:startOverride w:val="1"/>
    </w:lvlOverride>
  </w:num>
  <w:num w:numId="5">
    <w:abstractNumId w:val="0"/>
    <w:lvlOverride w:ilvl="0">
      <w:startOverride w:val="1"/>
    </w:lvlOverride>
  </w:num>
  <w:num w:numId="6">
    <w:abstractNumId w:val="8"/>
  </w:num>
  <w:num w:numId="7">
    <w:abstractNumId w:val="1"/>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60FB1"/>
    <w:pPr>
      <w:keepNext/>
      <w:keepLines/>
      <w:numPr>
        <w:numId w:val="1"/>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A75AF6"/>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A75AF6"/>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A75AF6"/>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0FB1"/>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A75AF6"/>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OE SEET Brief w/dfs  (00063362.DOCX;1)</vt:lpstr>
    </vt:vector>
  </TitlesOfParts>
  <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2019-01-07T20:54:52Z</dcterms:created>
  <dcterms:modified xsi:type="dcterms:W3CDTF">2019-01-07T20:54:52Z</dcterms:modified>
</cp:coreProperties>
</file>