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20" w:lineRule="exact"/>
        <w:jc w:val="center"/>
        <w:rPr>
          <w:rFonts w:ascii="Palatino Linotype" w:hAnsi="Palatino Linotype"/>
          <w:b/>
          <w:spacing w:val="-12"/>
          <w:kern w:val="24"/>
        </w:rPr>
      </w:pPr>
      <w:r>
        <w:rPr>
          <w:rFonts w:ascii="Palatino Linotype" w:hAnsi="Palatino Linotype"/>
          <w:b/>
          <w:spacing w:val="-12"/>
          <w:kern w:val="24"/>
        </w:rPr>
        <w:t>BEFORE</w:t>
      </w:r>
    </w:p>
    <w:p>
      <w:pPr>
        <w:spacing w:line="320" w:lineRule="exact"/>
        <w:jc w:val="center"/>
        <w:rPr>
          <w:rFonts w:ascii="Palatino Linotype" w:hAnsi="Palatino Linotype"/>
          <w:b/>
          <w:spacing w:val="-12"/>
          <w:kern w:val="24"/>
        </w:rPr>
      </w:pPr>
      <w:r>
        <w:rPr>
          <w:rFonts w:ascii="Palatino Linotype" w:hAnsi="Palatino Linotype"/>
          <w:b/>
          <w:spacing w:val="-12"/>
          <w:kern w:val="24"/>
        </w:rPr>
        <w:t>THE PUBLIC UTILITIES COMMISSION OF OHIO</w:t>
      </w:r>
    </w:p>
    <w:p>
      <w:pPr>
        <w:spacing w:line="320" w:lineRule="exact"/>
        <w:rPr>
          <w:rFonts w:ascii="Palatino Linotype" w:hAnsi="Palatino Linotype"/>
          <w:spacing w:val="-12"/>
        </w:rPr>
      </w:pPr>
    </w:p>
    <w:tbl>
      <w:tblPr>
        <w:tblW w:w="0" w:type="auto"/>
        <w:tblLook w:val="01E0"/>
      </w:tblPr>
      <w:tblGrid>
        <w:gridCol w:w="4428"/>
        <w:gridCol w:w="360"/>
        <w:gridCol w:w="4068"/>
      </w:tblGrid>
      <w:tr>
        <w:tc>
          <w:tcPr>
            <w:tcW w:w="4428" w:type="dxa"/>
          </w:tcPr>
          <w:p>
            <w:pPr>
              <w:suppressAutoHyphens/>
              <w:spacing w:line="320" w:lineRule="exact"/>
              <w:jc w:val="both"/>
              <w:rPr>
                <w:rFonts w:ascii="Palatino Linotype" w:hAnsi="Palatino Linotype"/>
              </w:rPr>
            </w:pPr>
            <w:r>
              <w:rPr>
                <w:rFonts w:ascii="Palatino Linotype" w:hAnsi="Palatino Linotype"/>
              </w:rPr>
              <w:t xml:space="preserve">In the Matter of the Application of Columbia Gas of Ohio, Inc. for Approval to Implement a Capital Expenditure Program </w:t>
            </w:r>
          </w:p>
        </w:tc>
        <w:tc>
          <w:tcPr>
            <w:tcW w:w="360" w:type="dxa"/>
          </w:tcPr>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tc>
        <w:tc>
          <w:tcPr>
            <w:tcW w:w="4068" w:type="dxa"/>
          </w:tcPr>
          <w:p>
            <w:pPr>
              <w:spacing w:line="320" w:lineRule="exact"/>
              <w:rPr>
                <w:rFonts w:ascii="Palatino Linotype" w:hAnsi="Palatino Linotype"/>
              </w:rPr>
            </w:pPr>
          </w:p>
          <w:p>
            <w:pPr>
              <w:spacing w:line="320" w:lineRule="exact"/>
              <w:rPr>
                <w:rFonts w:ascii="Palatino Linotype" w:hAnsi="Palatino Linotype"/>
              </w:rPr>
            </w:pPr>
          </w:p>
          <w:p>
            <w:pPr>
              <w:spacing w:line="320" w:lineRule="exact"/>
              <w:rPr>
                <w:rFonts w:ascii="Palatino Linotype" w:hAnsi="Palatino Linotype"/>
              </w:rPr>
            </w:pPr>
            <w:r>
              <w:rPr>
                <w:rFonts w:ascii="Palatino Linotype" w:hAnsi="Palatino Linotype"/>
              </w:rPr>
              <w:t>Case No. 11-5351-GA-UNC</w:t>
            </w:r>
          </w:p>
          <w:p>
            <w:pPr>
              <w:spacing w:line="320" w:lineRule="exact"/>
              <w:rPr>
                <w:rFonts w:ascii="Palatino Linotype" w:hAnsi="Palatino Linotype"/>
              </w:rPr>
            </w:pPr>
          </w:p>
        </w:tc>
      </w:tr>
      <w:tr>
        <w:tc>
          <w:tcPr>
            <w:tcW w:w="4428" w:type="dxa"/>
          </w:tcPr>
          <w:p>
            <w:pPr>
              <w:suppressAutoHyphens/>
              <w:spacing w:line="320" w:lineRule="exact"/>
              <w:jc w:val="both"/>
              <w:rPr>
                <w:rFonts w:ascii="Palatino Linotype" w:hAnsi="Palatino Linotype"/>
              </w:rPr>
            </w:pPr>
          </w:p>
        </w:tc>
        <w:tc>
          <w:tcPr>
            <w:tcW w:w="360" w:type="dxa"/>
          </w:tcPr>
          <w:p>
            <w:pPr>
              <w:spacing w:line="320" w:lineRule="exact"/>
              <w:rPr>
                <w:rFonts w:ascii="Palatino Linotype" w:hAnsi="Palatino Linotype"/>
              </w:rPr>
            </w:pPr>
          </w:p>
        </w:tc>
        <w:tc>
          <w:tcPr>
            <w:tcW w:w="4068" w:type="dxa"/>
          </w:tcPr>
          <w:p>
            <w:pPr>
              <w:spacing w:line="320" w:lineRule="exact"/>
              <w:rPr>
                <w:rFonts w:ascii="Palatino Linotype" w:hAnsi="Palatino Linotype"/>
              </w:rPr>
            </w:pPr>
          </w:p>
        </w:tc>
      </w:tr>
      <w:tr>
        <w:tc>
          <w:tcPr>
            <w:tcW w:w="4428" w:type="dxa"/>
          </w:tcPr>
          <w:p>
            <w:pPr>
              <w:suppressAutoHyphens/>
              <w:spacing w:line="320" w:lineRule="exact"/>
              <w:jc w:val="both"/>
              <w:rPr>
                <w:rFonts w:ascii="Palatino Linotype" w:hAnsi="Palatino Linotype"/>
              </w:rPr>
            </w:pPr>
            <w:r>
              <w:rPr>
                <w:rFonts w:ascii="Palatino Linotype" w:hAnsi="Palatino Linotype"/>
              </w:rPr>
              <w:t>In the Matter of the Application of Columbia Gas of Ohio, Inc. for Approval to Change Accounting Methods</w:t>
            </w:r>
          </w:p>
        </w:tc>
        <w:tc>
          <w:tcPr>
            <w:tcW w:w="360" w:type="dxa"/>
          </w:tcPr>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tc>
        <w:tc>
          <w:tcPr>
            <w:tcW w:w="4068" w:type="dxa"/>
          </w:tcPr>
          <w:p>
            <w:pPr>
              <w:spacing w:line="320" w:lineRule="exact"/>
              <w:rPr>
                <w:rFonts w:ascii="Palatino Linotype" w:hAnsi="Palatino Linotype"/>
              </w:rPr>
            </w:pPr>
          </w:p>
          <w:p>
            <w:pPr>
              <w:spacing w:line="320" w:lineRule="exact"/>
              <w:rPr>
                <w:rFonts w:ascii="Palatino Linotype" w:hAnsi="Palatino Linotype"/>
              </w:rPr>
            </w:pPr>
            <w:r>
              <w:rPr>
                <w:rFonts w:ascii="Palatino Linotype" w:hAnsi="Palatino Linotype"/>
              </w:rPr>
              <w:t>Case No. 11-5352-GA-AAM</w:t>
            </w:r>
          </w:p>
        </w:tc>
      </w:tr>
    </w:tbl>
    <w:p>
      <w:pPr>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pPr>
        <w:spacing w:line="320" w:lineRule="exact"/>
        <w:jc w:val="center"/>
        <w:rPr>
          <w:rFonts w:ascii="Palatino Linotype" w:hAnsi="Palatino Linotype"/>
          <w:b/>
        </w:rPr>
      </w:pPr>
    </w:p>
    <w:p>
      <w:pPr>
        <w:spacing w:line="320" w:lineRule="exact"/>
        <w:jc w:val="center"/>
        <w:rPr>
          <w:rFonts w:ascii="Palatino Linotype" w:hAnsi="Palatino Linotype"/>
          <w:b/>
          <w:bCs/>
          <w:spacing w:val="-12"/>
          <w:kern w:val="26"/>
          <w:sz w:val="26"/>
          <w:szCs w:val="26"/>
        </w:rPr>
      </w:pPr>
      <w:r>
        <w:rPr>
          <w:rFonts w:ascii="Palatino Linotype" w:hAnsi="Palatino Linotype"/>
          <w:b/>
          <w:bCs/>
          <w:spacing w:val="-12"/>
          <w:kern w:val="26"/>
          <w:sz w:val="26"/>
          <w:szCs w:val="26"/>
        </w:rPr>
        <w:t>SUPPLEMENTAL REPLY COMMENTS</w:t>
      </w:r>
    </w:p>
    <w:p>
      <w:pPr>
        <w:spacing w:line="320" w:lineRule="exact"/>
        <w:jc w:val="center"/>
        <w:rPr>
          <w:rFonts w:ascii="Palatino Linotype" w:hAnsi="Palatino Linotype"/>
          <w:b/>
          <w:spacing w:val="-12"/>
          <w:kern w:val="26"/>
          <w:sz w:val="26"/>
          <w:szCs w:val="26"/>
        </w:rPr>
      </w:pPr>
      <w:r>
        <w:rPr>
          <w:rFonts w:ascii="Palatino Linotype" w:hAnsi="Palatino Linotype"/>
          <w:b/>
          <w:bCs/>
          <w:spacing w:val="-12"/>
          <w:kern w:val="26"/>
          <w:sz w:val="26"/>
          <w:szCs w:val="26"/>
        </w:rPr>
        <w:t>OF COLUMBIA GAS OF OHIO, INC.</w:t>
      </w:r>
    </w:p>
    <w:p>
      <w:pPr>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pPr>
        <w:pStyle w:val="BodyText"/>
        <w:spacing w:line="320" w:lineRule="exact"/>
        <w:ind w:left="120"/>
        <w:jc w:val="both"/>
        <w:rPr>
          <w:rFonts w:ascii="Palatino Linotype" w:hAnsi="Palatino Linotype"/>
          <w:kern w:val="16"/>
        </w:rPr>
      </w:pPr>
    </w:p>
    <w:p>
      <w:pPr>
        <w:spacing w:after="320" w:line="320" w:lineRule="exact"/>
        <w:ind w:right="187"/>
        <w:jc w:val="both"/>
        <w:rPr>
          <w:rFonts w:ascii="Palatino Linotype" w:hAnsi="Palatino Linotype"/>
          <w:b/>
          <w:bCs/>
          <w:spacing w:val="-12"/>
          <w:kern w:val="24"/>
        </w:rPr>
      </w:pPr>
      <w:r>
        <w:rPr>
          <w:rFonts w:ascii="Palatino Linotype" w:hAnsi="Palatino Linotype"/>
          <w:b/>
          <w:bCs/>
          <w:spacing w:val="-12"/>
          <w:kern w:val="24"/>
        </w:rPr>
        <w:t>INTRODUCTION</w:t>
      </w:r>
    </w:p>
    <w:p>
      <w:pPr>
        <w:spacing w:after="320" w:line="320" w:lineRule="exact"/>
        <w:ind w:firstLine="720"/>
        <w:jc w:val="both"/>
        <w:rPr>
          <w:rFonts w:ascii="Palatino Linotype" w:hAnsi="Palatino Linotype"/>
        </w:rPr>
      </w:pPr>
      <w:r>
        <w:rPr>
          <w:rFonts w:ascii="Palatino Linotype" w:hAnsi="Palatino Linotype"/>
        </w:rPr>
        <w:t>On October 3, 2011, Columbia Gas of Ohio, Inc. (“Columbia”) filed an Application for Authority to Implement a Capital Expenditure Program and for Approval to Change Accounting Methods (“Application”) in the dockets listed above. Columbia is seeking the Commission’s approval to create a capital e</w:t>
      </w:r>
      <w:r>
        <w:rPr>
          <w:rFonts w:ascii="Palatino Linotype" w:hAnsi="Palatino Linotype"/>
        </w:rPr>
        <w:t>x</w:t>
      </w:r>
      <w:r>
        <w:rPr>
          <w:rFonts w:ascii="Palatino Linotype" w:hAnsi="Palatino Linotype"/>
        </w:rPr>
        <w:t>penditure program (“CEP”) for the period from October 1, 2011, through D</w:t>
      </w:r>
      <w:r>
        <w:rPr>
          <w:rFonts w:ascii="Palatino Linotype" w:hAnsi="Palatino Linotype"/>
        </w:rPr>
        <w:t>e</w:t>
      </w:r>
      <w:r>
        <w:rPr>
          <w:rFonts w:ascii="Palatino Linotype" w:hAnsi="Palatino Linotype"/>
        </w:rPr>
        <w:t>cember 31, 2012, and associated deferral authority (“accounting treatment”) r</w:t>
      </w:r>
      <w:r>
        <w:rPr>
          <w:rFonts w:ascii="Palatino Linotype" w:hAnsi="Palatino Linotype"/>
        </w:rPr>
        <w:t>e</w:t>
      </w:r>
      <w:r>
        <w:rPr>
          <w:rFonts w:ascii="Palatino Linotype" w:hAnsi="Palatino Linotype"/>
        </w:rPr>
        <w:t>troactive to October 1, 2011.</w:t>
      </w:r>
    </w:p>
    <w:p>
      <w:pPr>
        <w:spacing w:after="320" w:line="320" w:lineRule="exact"/>
        <w:ind w:firstLine="720"/>
        <w:jc w:val="both"/>
        <w:rPr>
          <w:rFonts w:ascii="Palatino Linotype" w:hAnsi="Palatino Linotype"/>
        </w:rPr>
      </w:pPr>
      <w:r>
        <w:rPr>
          <w:rFonts w:ascii="Palatino Linotype" w:hAnsi="Palatino Linotype"/>
        </w:rPr>
        <w:t>On January 27, 2012, the Commission granted motions to intervene by O</w:t>
      </w:r>
      <w:r>
        <w:rPr>
          <w:rFonts w:ascii="Palatino Linotype" w:hAnsi="Palatino Linotype"/>
        </w:rPr>
        <w:t>f</w:t>
      </w:r>
      <w:r>
        <w:rPr>
          <w:rFonts w:ascii="Palatino Linotype" w:hAnsi="Palatino Linotype"/>
        </w:rPr>
        <w:t>fice of the Ohio Consumers’ Counsel (“OCC”) and Ohio Partners for Affordable Energy (“OPAE”). On February 17, 2012, Commission Staff, the OCC, and OPAE filed initial comments. On February 27, 2012, Staff, the OCC, OPAE, and Colu</w:t>
      </w:r>
      <w:r>
        <w:rPr>
          <w:rFonts w:ascii="Palatino Linotype" w:hAnsi="Palatino Linotype"/>
        </w:rPr>
        <w:t>m</w:t>
      </w:r>
      <w:r>
        <w:rPr>
          <w:rFonts w:ascii="Palatino Linotype" w:hAnsi="Palatino Linotype"/>
        </w:rPr>
        <w:t>bia filed reply comments. In its January 27th Entry, the Commission stated that it would later “determine what further process may be necessary following the r</w:t>
      </w:r>
      <w:r>
        <w:rPr>
          <w:rFonts w:ascii="Palatino Linotype" w:hAnsi="Palatino Linotype"/>
        </w:rPr>
        <w:t>e</w:t>
      </w:r>
      <w:r>
        <w:rPr>
          <w:rFonts w:ascii="Palatino Linotype" w:hAnsi="Palatino Linotype"/>
        </w:rPr>
        <w:t>ceipt of the comments and reply comments[.]”</w:t>
      </w:r>
      <w:r>
        <w:rPr>
          <w:rStyle w:val="FootnoteReference"/>
          <w:rFonts w:ascii="Palatino Linotype" w:hAnsi="Palatino Linotype"/>
        </w:rPr>
        <w:footnoteReference w:id="1"/>
      </w:r>
      <w:r>
        <w:rPr>
          <w:rFonts w:ascii="Palatino Linotype" w:hAnsi="Palatino Linotype"/>
        </w:rPr>
        <w:t xml:space="preserve"> Columbia now respectfully su</w:t>
      </w:r>
      <w:r>
        <w:rPr>
          <w:rFonts w:ascii="Palatino Linotype" w:hAnsi="Palatino Linotype"/>
        </w:rPr>
        <w:t>b</w:t>
      </w:r>
      <w:r>
        <w:rPr>
          <w:rFonts w:ascii="Palatino Linotype" w:hAnsi="Palatino Linotype"/>
        </w:rPr>
        <w:t>mits these supplemental reply comments.</w:t>
      </w:r>
    </w:p>
    <w:p>
      <w:pPr>
        <w:keepNext/>
        <w:spacing w:after="320" w:line="320" w:lineRule="exact"/>
        <w:ind w:right="187"/>
        <w:jc w:val="both"/>
        <w:rPr>
          <w:rFonts w:ascii="Palatino Linotype" w:hAnsi="Palatino Linotype"/>
          <w:b/>
          <w:bCs/>
          <w:spacing w:val="-12"/>
          <w:kern w:val="24"/>
        </w:rPr>
      </w:pPr>
      <w:r>
        <w:rPr>
          <w:rFonts w:ascii="Palatino Linotype" w:hAnsi="Palatino Linotype"/>
          <w:b/>
          <w:bCs/>
          <w:spacing w:val="-12"/>
          <w:kern w:val="24"/>
        </w:rPr>
        <w:lastRenderedPageBreak/>
        <w:t>SUPPLEMENTAL RESPONSE TO STAFF COMMENTS</w:t>
      </w:r>
    </w:p>
    <w:p>
      <w:pPr>
        <w:keepNext/>
        <w:spacing w:after="320" w:line="320" w:lineRule="exact"/>
        <w:ind w:right="187" w:firstLine="720"/>
        <w:jc w:val="both"/>
        <w:rPr>
          <w:rFonts w:ascii="Palatino Linotype" w:hAnsi="Palatino Linotype"/>
        </w:rPr>
      </w:pPr>
      <w:r>
        <w:rPr>
          <w:rFonts w:ascii="Palatino Linotype" w:hAnsi="Palatino Linotype"/>
          <w:b/>
        </w:rPr>
        <w:t>The Impact of Incremental Revenue Should Be Properly Recognized</w:t>
      </w:r>
    </w:p>
    <w:p>
      <w:pPr>
        <w:spacing w:after="320" w:line="320" w:lineRule="exact"/>
        <w:ind w:firstLine="720"/>
        <w:jc w:val="both"/>
        <w:rPr>
          <w:rFonts w:ascii="Palatino Linotype" w:hAnsi="Palatino Linotype"/>
        </w:rPr>
      </w:pPr>
      <w:r>
        <w:rPr>
          <w:rFonts w:ascii="Palatino Linotype" w:hAnsi="Palatino Linotype"/>
        </w:rPr>
        <w:t>In its initial comments, Staff recommended that “[t]he revenue generated by net increases in the customer count over the [customer count used in the 2008 Rate Case as a] baseline [sh]ould be subtracted from the Total Monthly CEP re</w:t>
      </w:r>
      <w:r>
        <w:rPr>
          <w:rFonts w:ascii="Palatino Linotype" w:hAnsi="Palatino Linotype"/>
        </w:rPr>
        <w:t>g</w:t>
      </w:r>
      <w:r>
        <w:rPr>
          <w:rFonts w:ascii="Palatino Linotype" w:hAnsi="Palatino Linotype"/>
        </w:rPr>
        <w:t>ulatory asset prior to recording the deferral in order to prevent double recovery of the PISCC, deprec[i]ation and property tax expenses.”</w:t>
      </w:r>
      <w:r>
        <w:rPr>
          <w:rStyle w:val="FootnoteReference"/>
          <w:rFonts w:ascii="Palatino Linotype" w:hAnsi="Palatino Linotype"/>
        </w:rPr>
        <w:footnoteReference w:id="2"/>
      </w:r>
      <w:r>
        <w:rPr>
          <w:rFonts w:ascii="Palatino Linotype" w:hAnsi="Palatino Linotype"/>
        </w:rPr>
        <w:t xml:space="preserve"> In particular, Staff re</w:t>
      </w:r>
      <w:r>
        <w:rPr>
          <w:rFonts w:ascii="Palatino Linotype" w:hAnsi="Palatino Linotype"/>
        </w:rPr>
        <w:t>c</w:t>
      </w:r>
      <w:r>
        <w:rPr>
          <w:rFonts w:ascii="Palatino Linotype" w:hAnsi="Palatino Linotype"/>
        </w:rPr>
        <w:t>ommended multiplying any net increase in customer accounts by only “the cost portion of the rate” for each particular class of customers.</w:t>
      </w:r>
      <w:r>
        <w:rPr>
          <w:rStyle w:val="FootnoteReference"/>
          <w:rFonts w:ascii="Palatino Linotype" w:hAnsi="Palatino Linotype"/>
        </w:rPr>
        <w:footnoteReference w:id="3"/>
      </w:r>
      <w:r>
        <w:rPr>
          <w:rFonts w:ascii="Palatino Linotype" w:hAnsi="Palatino Linotype"/>
        </w:rPr>
        <w:t xml:space="preserve"> In its reply comments, Staff then laid out a specific process for determining incremental revenue.</w:t>
      </w:r>
      <w:r>
        <w:rPr>
          <w:rStyle w:val="FootnoteReference"/>
          <w:rFonts w:ascii="Palatino Linotype" w:hAnsi="Palatino Linotype"/>
        </w:rPr>
        <w:footnoteReference w:id="4"/>
      </w:r>
      <w:r>
        <w:rPr>
          <w:rFonts w:ascii="Palatino Linotype" w:hAnsi="Palatino Linotype"/>
        </w:rPr>
        <w:t xml:space="preserve"> Staff further recommended that “other revenues directly attributable to program i</w:t>
      </w:r>
      <w:r>
        <w:rPr>
          <w:rFonts w:ascii="Palatino Linotype" w:hAnsi="Palatino Linotype"/>
        </w:rPr>
        <w:t>n</w:t>
      </w:r>
      <w:r>
        <w:rPr>
          <w:rFonts w:ascii="Palatino Linotype" w:hAnsi="Palatino Linotype"/>
        </w:rPr>
        <w:t>vestment” be subtracted from the CEP regulatory asset, to the extent that the CEP generates other revenue streams from sources other than additional cu</w:t>
      </w:r>
      <w:r>
        <w:rPr>
          <w:rFonts w:ascii="Palatino Linotype" w:hAnsi="Palatino Linotype"/>
        </w:rPr>
        <w:t>s</w:t>
      </w:r>
      <w:r>
        <w:rPr>
          <w:rFonts w:ascii="Palatino Linotype" w:hAnsi="Palatino Linotype"/>
        </w:rPr>
        <w:t>tomers.</w:t>
      </w:r>
      <w:r>
        <w:rPr>
          <w:rStyle w:val="FootnoteReference"/>
          <w:rFonts w:ascii="Palatino Linotype" w:hAnsi="Palatino Linotype"/>
        </w:rPr>
        <w:footnoteReference w:id="5"/>
      </w:r>
      <w:r>
        <w:rPr>
          <w:rFonts w:ascii="Palatino Linotype" w:hAnsi="Palatino Linotype"/>
        </w:rPr>
        <w:t xml:space="preserve"> </w:t>
      </w:r>
    </w:p>
    <w:p>
      <w:pPr>
        <w:spacing w:after="320" w:line="320" w:lineRule="exact"/>
        <w:ind w:firstLine="720"/>
        <w:jc w:val="both"/>
        <w:rPr>
          <w:rFonts w:ascii="Palatino Linotype" w:hAnsi="Palatino Linotype"/>
        </w:rPr>
      </w:pPr>
      <w:r>
        <w:rPr>
          <w:rFonts w:ascii="Palatino Linotype" w:hAnsi="Palatino Linotype"/>
        </w:rPr>
        <w:t>Columbia reiterates its agreement with Staff’s proposal to calculate incr</w:t>
      </w:r>
      <w:r>
        <w:rPr>
          <w:rFonts w:ascii="Palatino Linotype" w:hAnsi="Palatino Linotype"/>
        </w:rPr>
        <w:t>e</w:t>
      </w:r>
      <w:r>
        <w:rPr>
          <w:rFonts w:ascii="Palatino Linotype" w:hAnsi="Palatino Linotype"/>
        </w:rPr>
        <w:t>mental revenue through the multiplication of any net increase in customer a</w:t>
      </w:r>
      <w:r>
        <w:rPr>
          <w:rFonts w:ascii="Palatino Linotype" w:hAnsi="Palatino Linotype"/>
        </w:rPr>
        <w:t>c</w:t>
      </w:r>
      <w:r>
        <w:rPr>
          <w:rFonts w:ascii="Palatino Linotype" w:hAnsi="Palatino Linotype"/>
        </w:rPr>
        <w:t>counts by the cost portion of the rate for each customer class.</w:t>
      </w:r>
    </w:p>
    <w:p>
      <w:pPr>
        <w:keepNext/>
        <w:spacing w:after="320" w:line="320" w:lineRule="exact"/>
        <w:ind w:left="720" w:right="187"/>
        <w:jc w:val="both"/>
        <w:rPr>
          <w:rFonts w:ascii="Palatino Linotype" w:hAnsi="Palatino Linotype"/>
          <w:b/>
        </w:rPr>
      </w:pPr>
      <w:r>
        <w:rPr>
          <w:rFonts w:ascii="Palatino Linotype" w:hAnsi="Palatino Linotype"/>
          <w:b/>
        </w:rPr>
        <w:t>Monthly Deferred PISCC Would Be Net of Depreciation</w:t>
      </w:r>
    </w:p>
    <w:p>
      <w:pPr>
        <w:spacing w:after="320" w:line="320" w:lineRule="exact"/>
        <w:ind w:firstLine="720"/>
        <w:jc w:val="both"/>
        <w:rPr>
          <w:rFonts w:ascii="Palatino Linotype" w:eastAsia="Times" w:hAnsi="Palatino Linotype"/>
        </w:rPr>
      </w:pPr>
      <w:r>
        <w:rPr>
          <w:rFonts w:ascii="Palatino Linotype" w:eastAsia="Times" w:hAnsi="Palatino Linotype"/>
        </w:rPr>
        <w:t>In its initial comments, Staff opined that the Plant Additions component of the monthly deferred Post-In-Service Carrying Charges (“PISCC”) should be net of accumulated depreciation, so as to prevent Columbia from collecting carrying costs on a deferred expense.</w:t>
      </w:r>
      <w:r>
        <w:rPr>
          <w:rStyle w:val="FootnoteReference"/>
          <w:rFonts w:ascii="Palatino Linotype" w:eastAsia="Times" w:hAnsi="Palatino Linotype"/>
        </w:rPr>
        <w:footnoteReference w:id="6"/>
      </w:r>
      <w:r>
        <w:rPr>
          <w:rFonts w:ascii="Palatino Linotype" w:eastAsia="Times" w:hAnsi="Palatino Linotype"/>
        </w:rPr>
        <w:t xml:space="preserve"> Columbia, in its reply comments, argued that Staff’s position was inconsistent with Columbia’s recovery of PISCC in its annual Infr</w:t>
      </w:r>
      <w:r>
        <w:rPr>
          <w:rFonts w:ascii="Palatino Linotype" w:eastAsia="Times" w:hAnsi="Palatino Linotype"/>
        </w:rPr>
        <w:t>a</w:t>
      </w:r>
      <w:r>
        <w:rPr>
          <w:rFonts w:ascii="Palatino Linotype" w:eastAsia="Times" w:hAnsi="Palatino Linotype"/>
        </w:rPr>
        <w:t>structure Replacement Program (“IRP”) filings and with the language of Rev. Code § 4929.111(D).</w:t>
      </w:r>
      <w:r>
        <w:rPr>
          <w:rStyle w:val="FootnoteReference"/>
          <w:rFonts w:ascii="Palatino Linotype" w:eastAsia="Times" w:hAnsi="Palatino Linotype"/>
        </w:rPr>
        <w:footnoteReference w:id="7"/>
      </w:r>
    </w:p>
    <w:p>
      <w:pPr>
        <w:spacing w:after="320" w:line="320" w:lineRule="exact"/>
        <w:ind w:firstLine="720"/>
        <w:jc w:val="both"/>
        <w:rPr>
          <w:rFonts w:ascii="Palatino Linotype" w:eastAsia="Times" w:hAnsi="Palatino Linotype"/>
        </w:rPr>
      </w:pPr>
      <w:r>
        <w:rPr>
          <w:rFonts w:ascii="Palatino Linotype" w:eastAsia="Times" w:hAnsi="Palatino Linotype"/>
        </w:rPr>
        <w:t xml:space="preserve">Upon further consideration, Columbia agrees with Staff that the Plant Additions component of the monthly deferred PISCC may be determined net of accumulated depreciation. </w:t>
      </w:r>
    </w:p>
    <w:p>
      <w:pPr>
        <w:keepNext/>
        <w:spacing w:after="320" w:line="320" w:lineRule="exact"/>
        <w:ind w:left="720" w:right="187"/>
        <w:jc w:val="both"/>
        <w:rPr>
          <w:rFonts w:ascii="Palatino Linotype" w:hAnsi="Palatino Linotype"/>
          <w:b/>
        </w:rPr>
      </w:pPr>
      <w:r>
        <w:rPr>
          <w:rFonts w:ascii="Palatino Linotype" w:hAnsi="Palatino Linotype"/>
          <w:b/>
        </w:rPr>
        <w:lastRenderedPageBreak/>
        <w:t>Monthly Deferred PISCC Would Be Net of Retirements Related to I</w:t>
      </w:r>
      <w:r>
        <w:rPr>
          <w:rFonts w:ascii="Palatino Linotype" w:hAnsi="Palatino Linotype"/>
          <w:b/>
        </w:rPr>
        <w:t>n</w:t>
      </w:r>
      <w:r>
        <w:rPr>
          <w:rFonts w:ascii="Palatino Linotype" w:hAnsi="Palatino Linotype"/>
          <w:b/>
        </w:rPr>
        <w:t>cremental Capital Expenditures</w:t>
      </w:r>
    </w:p>
    <w:p>
      <w:pPr>
        <w:spacing w:after="320" w:line="320" w:lineRule="exact"/>
        <w:ind w:firstLine="720"/>
        <w:jc w:val="both"/>
        <w:rPr>
          <w:rFonts w:ascii="Palatino Linotype" w:eastAsia="Times" w:hAnsi="Palatino Linotype"/>
        </w:rPr>
      </w:pPr>
      <w:r>
        <w:rPr>
          <w:rFonts w:ascii="Palatino Linotype" w:hAnsi="Palatino Linotype"/>
        </w:rPr>
        <w:t xml:space="preserve">In its Reply Comments, Staff joined with the OCC in arguing that </w:t>
      </w:r>
      <w:r>
        <w:rPr>
          <w:rFonts w:ascii="Palatino Linotype" w:eastAsia="Times" w:hAnsi="Palatino Linotype"/>
        </w:rPr>
        <w:t>the Plant Additions component of the monthly deferred PISCC also should be net of retirements for plant replaced under the CEP. OCC had argued, and Staff agreed, that netting retirements out of the PISCC calculation was consistent with past Commission holdings and would prevent Columbia from recovering PISCC on an overstated plant balance.</w:t>
      </w:r>
      <w:r>
        <w:rPr>
          <w:rStyle w:val="FootnoteReference"/>
          <w:rFonts w:ascii="Palatino Linotype" w:eastAsia="Times" w:hAnsi="Palatino Linotype"/>
        </w:rPr>
        <w:footnoteReference w:id="8"/>
      </w:r>
      <w:r>
        <w:rPr>
          <w:rFonts w:ascii="Palatino Linotype" w:eastAsia="Times" w:hAnsi="Palatino Linotype"/>
        </w:rPr>
        <w:t xml:space="preserve"> Columbia disagreed, noting that PISCC is calculated on the basis of gross plant additions in Columbia’s IRP cases and that OCC’s comments cited to stipulation provisions from other proceedings, which are not admissible in this proceeding.</w:t>
      </w:r>
      <w:r>
        <w:rPr>
          <w:rStyle w:val="FootnoteReference"/>
          <w:rFonts w:ascii="Palatino Linotype" w:eastAsia="Times" w:hAnsi="Palatino Linotype"/>
        </w:rPr>
        <w:footnoteReference w:id="9"/>
      </w:r>
      <w:r>
        <w:rPr>
          <w:rFonts w:ascii="Palatino Linotype" w:eastAsia="Times" w:hAnsi="Palatino Linotype"/>
        </w:rPr>
        <w:t xml:space="preserve"> </w:t>
      </w:r>
    </w:p>
    <w:p>
      <w:pPr>
        <w:spacing w:after="320" w:line="320" w:lineRule="exact"/>
        <w:ind w:firstLine="720"/>
        <w:jc w:val="both"/>
        <w:rPr>
          <w:rFonts w:ascii="Palatino Linotype" w:eastAsia="Times" w:hAnsi="Palatino Linotype"/>
        </w:rPr>
      </w:pPr>
      <w:r>
        <w:rPr>
          <w:rFonts w:ascii="Palatino Linotype" w:eastAsia="Times" w:hAnsi="Palatino Linotype"/>
        </w:rPr>
        <w:t xml:space="preserve">Upon further consideration of Staff’s and OCC’s comments, Columbia agrees that the Plant Additions component of the monthly deferred PISCC may be calculated on net plant additions. Net plant additions may be calculated as gross plant, less retirements and less depreciation in this proceeding. </w:t>
      </w:r>
    </w:p>
    <w:p>
      <w:pPr>
        <w:spacing w:after="320" w:line="320" w:lineRule="exact"/>
        <w:ind w:firstLine="720"/>
        <w:jc w:val="both"/>
        <w:rPr>
          <w:rFonts w:ascii="Palatino Linotype" w:hAnsi="Palatino Linotype"/>
        </w:rPr>
      </w:pPr>
      <w:r>
        <w:rPr>
          <w:rFonts w:ascii="Palatino Linotype" w:eastAsia="Times" w:hAnsi="Palatino Linotype"/>
        </w:rPr>
        <w:t xml:space="preserve">To be clear, because the gross plant balance will include only those incremental capital investments associated with the CEP, only those retirements associated with making the incremental capital investments would be included in calculating the </w:t>
      </w:r>
      <w:r>
        <w:rPr>
          <w:rFonts w:ascii="Palatino Linotype" w:eastAsia="Times" w:hAnsi="Palatino Linotype"/>
          <w:i/>
        </w:rPr>
        <w:t>net</w:t>
      </w:r>
      <w:r>
        <w:rPr>
          <w:rFonts w:ascii="Palatino Linotype" w:eastAsia="Times" w:hAnsi="Palatino Linotype"/>
        </w:rPr>
        <w:t xml:space="preserve"> plant balance on which to apply the deferral. Put differently, the only retirements Columbia would consider when netting the gross plant balance would be those retirements brought about as a result of the incremental CEP investments, not </w:t>
      </w:r>
      <w:r>
        <w:rPr>
          <w:rFonts w:ascii="Palatino Linotype" w:eastAsia="Times" w:hAnsi="Palatino Linotype"/>
          <w:i/>
        </w:rPr>
        <w:t>all</w:t>
      </w:r>
      <w:r>
        <w:rPr>
          <w:rFonts w:ascii="Palatino Linotype" w:eastAsia="Times" w:hAnsi="Palatino Linotype"/>
        </w:rPr>
        <w:t xml:space="preserve"> retirements. </w:t>
      </w:r>
    </w:p>
    <w:p>
      <w:pPr>
        <w:keepNext/>
        <w:spacing w:after="320" w:line="320" w:lineRule="exact"/>
        <w:ind w:left="720" w:right="187"/>
        <w:jc w:val="both"/>
        <w:rPr>
          <w:rFonts w:ascii="Palatino Linotype" w:eastAsia="Times" w:hAnsi="Palatino Linotype"/>
          <w:b/>
        </w:rPr>
      </w:pPr>
      <w:r>
        <w:rPr>
          <w:rFonts w:ascii="Palatino Linotype" w:eastAsia="Times" w:hAnsi="Palatino Linotype"/>
          <w:b/>
        </w:rPr>
        <w:t>Monthly Deferral of Depreciation and Property Taxes Related to Incremental Capital Expenditures</w:t>
      </w:r>
    </w:p>
    <w:p>
      <w:pPr>
        <w:spacing w:after="320" w:line="320" w:lineRule="exact"/>
        <w:ind w:firstLine="720"/>
        <w:jc w:val="both"/>
        <w:rPr>
          <w:rFonts w:ascii="Palatino Linotype" w:eastAsia="Times" w:hAnsi="Palatino Linotype"/>
        </w:rPr>
      </w:pPr>
      <w:r>
        <w:rPr>
          <w:rFonts w:ascii="Palatino Linotype" w:eastAsia="Times" w:hAnsi="Palatino Linotype"/>
        </w:rPr>
        <w:t>Columbia agrees that monthly deferred depreciation and property taxes should be calculated in accordance with the formulas set forth in Staff’s February 17, 2</w:t>
      </w:r>
      <w:bookmarkStart w:id="0" w:name="_GoBack"/>
      <w:bookmarkEnd w:id="0"/>
      <w:r>
        <w:rPr>
          <w:rFonts w:ascii="Palatino Linotype" w:eastAsia="Times" w:hAnsi="Palatino Linotype"/>
        </w:rPr>
        <w:t>012 comments filed in these dockets.</w:t>
      </w:r>
    </w:p>
    <w:p>
      <w:pPr>
        <w:spacing w:after="320" w:line="320" w:lineRule="exact"/>
        <w:ind w:right="187" w:firstLine="720"/>
        <w:jc w:val="both"/>
        <w:rPr>
          <w:rFonts w:ascii="Palatino Linotype" w:eastAsia="Times" w:hAnsi="Palatino Linotype"/>
        </w:rPr>
      </w:pPr>
      <w:r>
        <w:rPr>
          <w:rFonts w:ascii="Palatino Linotype" w:eastAsia="Times" w:hAnsi="Palatino Linotype"/>
          <w:b/>
        </w:rPr>
        <w:t>Columbia Would File Annual Informational Reports</w:t>
      </w:r>
      <w:r>
        <w:rPr>
          <w:rFonts w:ascii="Palatino Linotype" w:eastAsia="Times" w:hAnsi="Palatino Linotype"/>
        </w:rPr>
        <w:tab/>
      </w:r>
    </w:p>
    <w:p>
      <w:pPr>
        <w:spacing w:after="320" w:line="320" w:lineRule="exact"/>
        <w:ind w:firstLine="720"/>
        <w:jc w:val="both"/>
        <w:rPr>
          <w:rFonts w:ascii="Palatino Linotype" w:eastAsia="Times" w:hAnsi="Palatino Linotype"/>
        </w:rPr>
      </w:pPr>
      <w:r>
        <w:rPr>
          <w:rFonts w:ascii="Palatino Linotype" w:eastAsia="Times" w:hAnsi="Palatino Linotype"/>
        </w:rPr>
        <w:t>In its initial comments, Staff recommended that Columbia should make annual filings, each March 15th, “detail[ing] the monthly CEP capital investments and the calculations used to determine the deferred amounts to be recorded” for the prior year and providing “a capital budget for the upcoming year[.]”</w:t>
      </w:r>
      <w:r>
        <w:rPr>
          <w:rStyle w:val="FootnoteReference"/>
          <w:rFonts w:ascii="Palatino Linotype" w:eastAsia="Times" w:hAnsi="Palatino Linotype"/>
        </w:rPr>
        <w:footnoteReference w:id="10"/>
      </w:r>
      <w:r>
        <w:rPr>
          <w:rFonts w:ascii="Palatino Linotype" w:eastAsia="Times" w:hAnsi="Palatino Linotype"/>
        </w:rPr>
        <w:t xml:space="preserve"> Originally, Columbia did not address this recommendation in its reply comments. </w:t>
      </w:r>
    </w:p>
    <w:p>
      <w:pPr>
        <w:spacing w:after="320" w:line="320" w:lineRule="exact"/>
        <w:ind w:firstLine="720"/>
        <w:jc w:val="both"/>
        <w:rPr>
          <w:rFonts w:ascii="Palatino Linotype" w:eastAsia="Times" w:hAnsi="Palatino Linotype"/>
        </w:rPr>
      </w:pPr>
      <w:r>
        <w:rPr>
          <w:rFonts w:ascii="Palatino Linotype" w:eastAsia="Times" w:hAnsi="Palatino Linotype"/>
        </w:rPr>
        <w:t>Columbia now accepts Staff’s proposal, with the following minor change. Columbia would recommend that the reporting date for these annual informational filings be April 30, rather than March 15. In mid-March, Columbia’s accounting staff is tied up with the year-end closing of the company’s books and the support of Columbia’s annual IRP filing. With that change, Columbia would agree to Staff’s proposal that Columbia file annual reports detailing the company’s CEP capital investments and associated deferrals.</w:t>
      </w:r>
    </w:p>
    <w:p>
      <w:pPr>
        <w:spacing w:after="320" w:line="320" w:lineRule="exact"/>
        <w:ind w:right="187" w:firstLine="720"/>
        <w:jc w:val="both"/>
        <w:rPr>
          <w:rFonts w:ascii="Palatino Linotype" w:eastAsia="Times" w:hAnsi="Palatino Linotype"/>
          <w:b/>
        </w:rPr>
      </w:pPr>
      <w:r>
        <w:rPr>
          <w:rFonts w:ascii="Palatino Linotype" w:eastAsia="Times" w:hAnsi="Palatino Linotype"/>
          <w:b/>
        </w:rPr>
        <w:t>Columbia Would Limit The Duration Of Its Deferrals</w:t>
      </w:r>
    </w:p>
    <w:p>
      <w:pPr>
        <w:spacing w:after="320" w:line="320" w:lineRule="exact"/>
        <w:ind w:firstLine="720"/>
        <w:jc w:val="both"/>
        <w:rPr>
          <w:rFonts w:ascii="Palatino Linotype" w:eastAsia="Times" w:hAnsi="Palatino Linotype"/>
        </w:rPr>
      </w:pPr>
      <w:r>
        <w:rPr>
          <w:rFonts w:ascii="Palatino Linotype" w:eastAsia="Times" w:hAnsi="Palatino Linotype"/>
        </w:rPr>
        <w:t>In its initial comments, OCC suggests that the deferrals associated with Columbia’s CEP program should be limited to “the date of new base rates going into effect or December 31, 2014, whichever date comes first[.]” OCC explained that imposing “a reasonable time limit for the deferrals” would ensure “that they do not grow to unreasonable levels.”</w:t>
      </w:r>
      <w:r>
        <w:rPr>
          <w:rStyle w:val="FootnoteReference"/>
          <w:rFonts w:ascii="Palatino Linotype" w:eastAsia="Times" w:hAnsi="Palatino Linotype"/>
        </w:rPr>
        <w:footnoteReference w:id="11"/>
      </w:r>
      <w:r>
        <w:rPr>
          <w:rFonts w:ascii="Palatino Linotype" w:eastAsia="Times" w:hAnsi="Palatino Linotype"/>
        </w:rPr>
        <w:t xml:space="preserve"> Staff, in its reply comments, agreed with OCC’s suggestion.</w:t>
      </w:r>
      <w:r>
        <w:rPr>
          <w:rStyle w:val="FootnoteReference"/>
          <w:rFonts w:ascii="Palatino Linotype" w:eastAsia="Times" w:hAnsi="Palatino Linotype"/>
        </w:rPr>
        <w:footnoteReference w:id="12"/>
      </w:r>
      <w:r>
        <w:rPr>
          <w:rFonts w:ascii="Palatino Linotype" w:eastAsia="Times" w:hAnsi="Palatino Linotype"/>
        </w:rPr>
        <w:t xml:space="preserve"> Columbia opposed OCC and Staff’s suggestion, reasoning that the deferrals it is seeking will have minimal impacts on customer rates because they will be recovered over the life of the asset. Columbia further commented that OCC and Staff’s suggestion would simply lead to additional rate case filings. Finally, Columbia noted that the applicable statute, Rev. Code § 4929.111, does not impose any limitations on CEP deferrals.</w:t>
      </w:r>
      <w:r>
        <w:rPr>
          <w:rStyle w:val="FootnoteReference"/>
          <w:rFonts w:ascii="Palatino Linotype" w:eastAsia="Times" w:hAnsi="Palatino Linotype"/>
        </w:rPr>
        <w:footnoteReference w:id="13"/>
      </w:r>
    </w:p>
    <w:p>
      <w:pPr>
        <w:spacing w:after="320" w:line="320" w:lineRule="exact"/>
        <w:ind w:firstLine="720"/>
        <w:jc w:val="both"/>
        <w:rPr>
          <w:rFonts w:ascii="Palatino Linotype" w:eastAsia="Times" w:hAnsi="Palatino Linotype"/>
        </w:rPr>
      </w:pPr>
      <w:r>
        <w:rPr>
          <w:rFonts w:ascii="Palatino Linotype" w:eastAsia="Times" w:hAnsi="Palatino Linotype"/>
        </w:rPr>
        <w:t>Columbia remains opposed to imposing any specific time limit on filing an application to recover the deferred regulatory asset, for the reasons expressed in its reply comments. Nonetheless, Columbia is willing to accept a deferral limit that more directly addresses OCC and Staff’s concern that a “protacted [deferral] * * * could result in rate shock for customers when the deferrals are ultimately included [in] rates[.]”</w:t>
      </w:r>
      <w:r>
        <w:rPr>
          <w:rStyle w:val="FootnoteReference"/>
          <w:rFonts w:ascii="Palatino Linotype" w:eastAsia="Times" w:hAnsi="Palatino Linotype"/>
        </w:rPr>
        <w:footnoteReference w:id="14"/>
      </w:r>
      <w:r>
        <w:rPr>
          <w:rFonts w:ascii="Palatino Linotype" w:eastAsia="Times" w:hAnsi="Palatino Linotype"/>
        </w:rPr>
        <w:t xml:space="preserve"> Accordingly, Columbia would propose that the deferrals under its CEP be allowed to accrue until the impact from those deferrals on the rates for Columbia’s Small General Service (“SGS”) customers would exceed $1.50/month. By tying the deferral to this specific rate impact threshold, Columbia would avoid the “rate shock” that is at the root of OCC and Staff’s concerns. </w:t>
      </w:r>
    </w:p>
    <w:p>
      <w:pPr>
        <w:spacing w:after="320" w:line="320" w:lineRule="exact"/>
        <w:ind w:right="187"/>
        <w:jc w:val="both"/>
        <w:rPr>
          <w:rFonts w:ascii="Palatino Linotype" w:hAnsi="Palatino Linotype"/>
          <w:b/>
          <w:bCs/>
          <w:spacing w:val="-12"/>
          <w:kern w:val="24"/>
        </w:rPr>
      </w:pPr>
      <w:r>
        <w:rPr>
          <w:rFonts w:ascii="Palatino Linotype" w:hAnsi="Palatino Linotype"/>
          <w:b/>
          <w:bCs/>
          <w:spacing w:val="-12"/>
          <w:kern w:val="24"/>
        </w:rPr>
        <w:t>CONCLUSION</w:t>
      </w:r>
    </w:p>
    <w:p>
      <w:pPr>
        <w:spacing w:after="320" w:line="320" w:lineRule="exact"/>
        <w:ind w:firstLine="720"/>
        <w:jc w:val="both"/>
        <w:rPr>
          <w:rFonts w:ascii="Palatino Linotype" w:eastAsia="Times" w:hAnsi="Palatino Linotype"/>
        </w:rPr>
      </w:pPr>
      <w:r>
        <w:rPr>
          <w:rFonts w:ascii="Palatino Linotype" w:eastAsia="Times" w:hAnsi="Palatino Linotype"/>
        </w:rPr>
        <w:t>For the reasons stated in Columbia’s Application, and with the compromises and modifications proposed in these Supplemental Reply Comments, Columbia respectfully requests that the Commission approve its Application filed in this docket.</w:t>
      </w:r>
    </w:p>
    <w:p>
      <w:pPr>
        <w:spacing w:line="320" w:lineRule="exact"/>
        <w:ind w:left="3600" w:firstLine="720"/>
        <w:rPr>
          <w:rFonts w:ascii="Palatino Linotype" w:eastAsia="Times" w:hAnsi="Palatino Linotype"/>
        </w:rPr>
      </w:pPr>
      <w:r>
        <w:rPr>
          <w:rFonts w:ascii="Palatino Linotype" w:eastAsia="Times" w:hAnsi="Palatino Linotype"/>
        </w:rPr>
        <w:t>Respectfully submitted,</w:t>
      </w:r>
    </w:p>
    <w:p>
      <w:pPr>
        <w:spacing w:line="320" w:lineRule="exact"/>
        <w:rPr>
          <w:rFonts w:ascii="Palatino Linotype" w:eastAsia="Times" w:hAnsi="Palatino Linotype"/>
          <w:b/>
          <w:spacing w:val="-12"/>
          <w:kern w:val="24"/>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b/>
          <w:spacing w:val="-12"/>
          <w:kern w:val="24"/>
        </w:rPr>
        <w:t>COLUMBIA GAS OF OHIO, INC.</w:t>
      </w:r>
    </w:p>
    <w:p>
      <w:pPr>
        <w:spacing w:line="320" w:lineRule="exact"/>
        <w:rPr>
          <w:rFonts w:ascii="Palatino Linotype" w:eastAsia="Times" w:hAnsi="Palatino Linotype"/>
        </w:rPr>
      </w:pPr>
    </w:p>
    <w:p>
      <w:pPr>
        <w:spacing w:line="320" w:lineRule="exact"/>
        <w:rPr>
          <w:rFonts w:ascii="Palatino Linotype" w:eastAsia="Times" w:hAnsi="Palatino Linotype"/>
        </w:rPr>
      </w:pPr>
    </w:p>
    <w:p>
      <w:pPr>
        <w:spacing w:line="320" w:lineRule="exact"/>
        <w:rPr>
          <w:rFonts w:ascii="Palatino Linotype" w:eastAsia="Times" w:hAnsi="Palatino Linotype"/>
          <w:u w:val="singl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u w:val="single"/>
        </w:rPr>
        <w:t>/s/ Eric B. Gallon</w:t>
      </w:r>
      <w:r>
        <w:rPr>
          <w:rFonts w:ascii="Palatino Linotype" w:eastAsia="Times" w:hAnsi="Palatino Linotype"/>
          <w:u w:val="single"/>
        </w:rPr>
        <w:tab/>
      </w:r>
      <w:r>
        <w:rPr>
          <w:rFonts w:ascii="Palatino Linotype" w:eastAsia="Times" w:hAnsi="Palatino Linotype"/>
          <w:u w:val="single"/>
        </w:rPr>
        <w:tab/>
      </w:r>
      <w:r>
        <w:rPr>
          <w:rFonts w:ascii="Palatino Linotype" w:eastAsia="Times" w:hAnsi="Palatino Linotype"/>
          <w:u w:val="single"/>
        </w:rPr>
        <w:tab/>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Eric B. Gallon</w:t>
      </w:r>
    </w:p>
    <w:p>
      <w:pPr>
        <w:spacing w:line="320" w:lineRule="exact"/>
        <w:rPr>
          <w:rFonts w:ascii="Palatino Linotype" w:eastAsia="Times" w:hAnsi="Palatino Linotype"/>
        </w:rPr>
      </w:pP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Stephen B. Seiple, Asst. General Counsel</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Brooke E. Leslie, Counsel</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200 Civic Center Drive</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P. O. Box 117</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Columbus, Ohio 43216-0117</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Telephone: (614) 460-4648</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Fax: (614) 460-6986</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Email:</w:t>
      </w:r>
      <w:r>
        <w:rPr>
          <w:rFonts w:ascii="Palatino Linotype" w:eastAsia="Times" w:hAnsi="Palatino Linotype"/>
        </w:rPr>
        <w:tab/>
        <w:t>sseiple@nisource.com</w:t>
      </w: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bleslie@nisource.com</w:t>
      </w:r>
    </w:p>
    <w:p>
      <w:pPr>
        <w:spacing w:line="320" w:lineRule="exact"/>
        <w:rPr>
          <w:rFonts w:ascii="Palatino Linotype" w:eastAsia="Times" w:hAnsi="Palatino Linotype"/>
        </w:rPr>
      </w:pPr>
    </w:p>
    <w:p>
      <w:pPr>
        <w:keepNext/>
        <w:spacing w:line="320" w:lineRule="exact"/>
        <w:ind w:left="4320"/>
        <w:rPr>
          <w:rFonts w:ascii="Palatino Linotype" w:hAnsi="Palatino Linotype"/>
        </w:rPr>
      </w:pPr>
      <w:r>
        <w:rPr>
          <w:rFonts w:ascii="Palatino Linotype" w:hAnsi="Palatino Linotype"/>
        </w:rPr>
        <w:t>Daniel R. Conway</w:t>
      </w:r>
    </w:p>
    <w:p>
      <w:pPr>
        <w:keepNext/>
        <w:spacing w:line="320" w:lineRule="exact"/>
        <w:ind w:left="4320"/>
        <w:rPr>
          <w:rFonts w:ascii="Palatino Linotype" w:hAnsi="Palatino Linotype"/>
        </w:rPr>
      </w:pPr>
      <w:r>
        <w:rPr>
          <w:rFonts w:ascii="Palatino Linotype" w:hAnsi="Palatino Linotype"/>
        </w:rPr>
        <w:t>Eric B. Gallon</w:t>
      </w:r>
    </w:p>
    <w:p>
      <w:pPr>
        <w:keepNext/>
        <w:spacing w:line="320" w:lineRule="exact"/>
        <w:ind w:left="4320"/>
        <w:rPr>
          <w:rFonts w:ascii="Palatino Linotype" w:hAnsi="Palatino Linotype"/>
        </w:rPr>
      </w:pPr>
      <w:r>
        <w:rPr>
          <w:rFonts w:ascii="Palatino Linotype" w:hAnsi="Palatino Linotype"/>
        </w:rPr>
        <w:t>Porter Wright Morris &amp; Arthur LLP</w:t>
      </w:r>
    </w:p>
    <w:p>
      <w:pPr>
        <w:keepNext/>
        <w:spacing w:line="320" w:lineRule="exact"/>
        <w:ind w:left="4320"/>
        <w:rPr>
          <w:rFonts w:ascii="Palatino Linotype" w:hAnsi="Palatino Linotype"/>
        </w:rPr>
      </w:pPr>
      <w:r>
        <w:rPr>
          <w:rFonts w:ascii="Palatino Linotype" w:hAnsi="Palatino Linotype"/>
        </w:rPr>
        <w:t>Huntington Center</w:t>
      </w:r>
    </w:p>
    <w:p>
      <w:pPr>
        <w:keepNext/>
        <w:spacing w:line="320" w:lineRule="exact"/>
        <w:ind w:left="4320"/>
        <w:rPr>
          <w:rFonts w:ascii="Palatino Linotype" w:hAnsi="Palatino Linotype"/>
        </w:rPr>
      </w:pPr>
      <w:r>
        <w:rPr>
          <w:rFonts w:ascii="Palatino Linotype" w:hAnsi="Palatino Linotype"/>
        </w:rPr>
        <w:t>41 South High Street</w:t>
      </w:r>
    </w:p>
    <w:p>
      <w:pPr>
        <w:keepNext/>
        <w:spacing w:line="320" w:lineRule="exact"/>
        <w:ind w:left="4320"/>
        <w:rPr>
          <w:rFonts w:ascii="Palatino Linotype" w:hAnsi="Palatino Linotype"/>
        </w:rPr>
      </w:pPr>
      <w:r>
        <w:rPr>
          <w:rFonts w:ascii="Palatino Linotype" w:hAnsi="Palatino Linotype"/>
        </w:rPr>
        <w:t>Columbus, Ohio  43215</w:t>
      </w:r>
    </w:p>
    <w:p>
      <w:pPr>
        <w:keepNext/>
        <w:spacing w:line="320" w:lineRule="exact"/>
        <w:ind w:left="4320"/>
        <w:rPr>
          <w:rFonts w:ascii="Palatino Linotype" w:hAnsi="Palatino Linotype"/>
        </w:rPr>
      </w:pPr>
      <w:r>
        <w:rPr>
          <w:rFonts w:ascii="Palatino Linotype" w:hAnsi="Palatino Linotype"/>
        </w:rPr>
        <w:t xml:space="preserve">Tel:  </w:t>
      </w:r>
      <w:r>
        <w:rPr>
          <w:rFonts w:ascii="Palatino Linotype" w:hAnsi="Palatino Linotype"/>
        </w:rPr>
        <w:tab/>
        <w:t>(614) 227-2270/2190</w:t>
      </w:r>
    </w:p>
    <w:p>
      <w:pPr>
        <w:keepNext/>
        <w:spacing w:line="320" w:lineRule="exact"/>
        <w:ind w:left="4320"/>
        <w:rPr>
          <w:rFonts w:ascii="Palatino Linotype" w:hAnsi="Palatino Linotype"/>
        </w:rPr>
      </w:pPr>
      <w:r>
        <w:rPr>
          <w:rFonts w:ascii="Palatino Linotype" w:hAnsi="Palatino Linotype"/>
        </w:rPr>
        <w:t>Fax:</w:t>
      </w:r>
      <w:r>
        <w:rPr>
          <w:rFonts w:ascii="Palatino Linotype" w:hAnsi="Palatino Linotype"/>
        </w:rPr>
        <w:tab/>
        <w:t>(614) 227-2100</w:t>
      </w:r>
    </w:p>
    <w:p>
      <w:pPr>
        <w:keepNext/>
        <w:spacing w:line="320" w:lineRule="exact"/>
        <w:ind w:left="4320"/>
        <w:rPr>
          <w:rFonts w:ascii="Palatino Linotype" w:hAnsi="Palatino Linotype"/>
        </w:rPr>
      </w:pPr>
      <w:r>
        <w:rPr>
          <w:rFonts w:ascii="Palatino Linotype" w:hAnsi="Palatino Linotype"/>
        </w:rPr>
        <w:t>Email:</w:t>
      </w:r>
      <w:r>
        <w:rPr>
          <w:rFonts w:ascii="Palatino Linotype" w:hAnsi="Palatino Linotype"/>
        </w:rPr>
        <w:tab/>
        <w:t>dconway@porterwright.com</w:t>
      </w:r>
    </w:p>
    <w:p>
      <w:pPr>
        <w:keepNext/>
        <w:spacing w:line="320" w:lineRule="exact"/>
        <w:ind w:left="4320" w:firstLine="720"/>
        <w:rPr>
          <w:rFonts w:ascii="Palatino Linotype" w:hAnsi="Palatino Linotype"/>
        </w:rPr>
      </w:pPr>
      <w:r>
        <w:rPr>
          <w:rFonts w:ascii="Palatino Linotype" w:hAnsi="Palatino Linotype"/>
        </w:rPr>
        <w:t>egallon@porterwright.com</w:t>
      </w:r>
    </w:p>
    <w:p>
      <w:pPr>
        <w:spacing w:line="320" w:lineRule="exact"/>
        <w:rPr>
          <w:rFonts w:ascii="Palatino Linotype" w:eastAsia="Times" w:hAnsi="Palatino Linotype"/>
        </w:rPr>
      </w:pPr>
    </w:p>
    <w:p>
      <w:pPr>
        <w:spacing w:line="320" w:lineRule="exact"/>
        <w:rPr>
          <w:rFonts w:ascii="Palatino Linotype" w:eastAsia="Times" w:hAnsi="Palatino Linotype"/>
        </w:rPr>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t>Attorneys for Applicant</w:t>
      </w:r>
    </w:p>
    <w:p>
      <w:pPr>
        <w:spacing w:line="320" w:lineRule="exact"/>
      </w:pP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rPr>
        <w:tab/>
      </w:r>
      <w:r>
        <w:rPr>
          <w:rFonts w:ascii="Palatino Linotype" w:eastAsia="Times" w:hAnsi="Palatino Linotype"/>
          <w:b/>
          <w:spacing w:val="-12"/>
          <w:kern w:val="24"/>
        </w:rPr>
        <w:t>COLUMBIA GAS OF OHIO, INC.</w:t>
      </w:r>
      <w:r>
        <w:t xml:space="preserve"> </w:t>
      </w:r>
      <w:r>
        <w:br w:type="page"/>
      </w:r>
    </w:p>
    <w:p>
      <w:pPr>
        <w:spacing w:line="320" w:lineRule="exact"/>
        <w:jc w:val="center"/>
        <w:rPr>
          <w:rFonts w:ascii="Palatino Linotype" w:hAnsi="Palatino Linotype"/>
          <w:spacing w:val="-12"/>
          <w:kern w:val="24"/>
        </w:rPr>
      </w:pPr>
      <w:r>
        <w:rPr>
          <w:rFonts w:ascii="Palatino Linotype" w:hAnsi="Palatino Linotype"/>
          <w:b/>
          <w:spacing w:val="-12"/>
          <w:kern w:val="24"/>
          <w:u w:val="single"/>
        </w:rPr>
        <w:t>CERTIFICATE OF SERVICE</w:t>
      </w:r>
    </w:p>
    <w:p>
      <w:pPr>
        <w:spacing w:line="320" w:lineRule="exact"/>
        <w:jc w:val="center"/>
        <w:rPr>
          <w:rFonts w:ascii="Palatino Linotype" w:hAnsi="Palatino Linotype"/>
        </w:rPr>
      </w:pPr>
    </w:p>
    <w:p>
      <w:pPr>
        <w:spacing w:after="320" w:line="320" w:lineRule="exact"/>
        <w:ind w:firstLine="720"/>
        <w:jc w:val="both"/>
        <w:rPr>
          <w:rFonts w:ascii="Palatino Linotype" w:hAnsi="Palatino Linotype"/>
        </w:rPr>
      </w:pPr>
      <w:r>
        <w:rPr>
          <w:rFonts w:ascii="Palatino Linotype" w:hAnsi="Palatino Linotype"/>
        </w:rPr>
        <w:t>I hereby certify that a true and accurate copy of the foregoing Supplemental Reply Comments was sent by electronic mail to the parties listed below on this 26th day of July, 2012.</w:t>
      </w:r>
    </w:p>
    <w:p>
      <w:pPr>
        <w:spacing w:after="320" w:line="320" w:lineRule="exact"/>
        <w:ind w:firstLine="720"/>
        <w:jc w:val="both"/>
        <w:rPr>
          <w:rFonts w:ascii="Palatino Linotype" w:hAnsi="Palatino Linotype"/>
        </w:rPr>
      </w:pPr>
    </w:p>
    <w:p>
      <w:pPr>
        <w:spacing w:line="320" w:lineRule="exact"/>
        <w:ind w:left="5040"/>
        <w:jc w:val="both"/>
        <w:rPr>
          <w:rFonts w:ascii="Palatino Linotype" w:hAnsi="Palatino Linotype"/>
        </w:rPr>
      </w:pPr>
      <w:r>
        <w:rPr>
          <w:rFonts w:ascii="Palatino Linotype" w:hAnsi="Palatino Linotype"/>
          <w:u w:val="single"/>
        </w:rPr>
        <w:t>/s/ Eric B. Gallon</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pPr>
        <w:spacing w:line="320" w:lineRule="exact"/>
        <w:ind w:left="5040"/>
        <w:jc w:val="both"/>
        <w:rPr>
          <w:rFonts w:ascii="Palatino Linotype" w:hAnsi="Palatino Linotype"/>
        </w:rPr>
      </w:pPr>
      <w:r>
        <w:rPr>
          <w:rFonts w:ascii="Palatino Linotype" w:hAnsi="Palatino Linotype"/>
        </w:rPr>
        <w:t>Eric B. Gallon</w:t>
      </w:r>
    </w:p>
    <w:p>
      <w:pPr>
        <w:spacing w:line="320" w:lineRule="exact"/>
        <w:ind w:left="5040"/>
        <w:jc w:val="both"/>
        <w:rPr>
          <w:rFonts w:ascii="Palatino Linotype" w:hAnsi="Palatino Linotype"/>
        </w:rPr>
      </w:pPr>
      <w:r>
        <w:rPr>
          <w:rFonts w:ascii="Palatino Linotype" w:hAnsi="Palatino Linotype"/>
        </w:rPr>
        <w:t xml:space="preserve">Attorney for </w:t>
      </w:r>
    </w:p>
    <w:p>
      <w:pPr>
        <w:spacing w:line="320" w:lineRule="exact"/>
        <w:ind w:left="5040"/>
        <w:jc w:val="both"/>
        <w:rPr>
          <w:rFonts w:ascii="Palatino Linotype" w:hAnsi="Palatino Linotype"/>
          <w:b/>
          <w:spacing w:val="-12"/>
          <w:kern w:val="24"/>
        </w:rPr>
      </w:pPr>
      <w:r>
        <w:rPr>
          <w:rFonts w:ascii="Palatino Linotype" w:hAnsi="Palatino Linotype"/>
          <w:b/>
          <w:spacing w:val="-12"/>
          <w:kern w:val="24"/>
        </w:rPr>
        <w:t>COLUMBIA GAS OF OHIO, INC.</w:t>
      </w:r>
    </w:p>
    <w:p>
      <w:pPr>
        <w:spacing w:after="320" w:line="320" w:lineRule="exact"/>
        <w:ind w:firstLine="720"/>
        <w:jc w:val="both"/>
        <w:rPr>
          <w:rFonts w:ascii="Palatino Linotype"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tc>
          <w:tcPr>
            <w:tcW w:w="4428" w:type="dxa"/>
          </w:tcPr>
          <w:p>
            <w:pPr>
              <w:spacing w:line="320" w:lineRule="exact"/>
              <w:jc w:val="both"/>
              <w:rPr>
                <w:rFonts w:ascii="Palatino Linotype" w:hAnsi="Palatino Linotype"/>
              </w:rPr>
            </w:pPr>
            <w:r>
              <w:rPr>
                <w:rFonts w:ascii="Palatino Linotype" w:hAnsi="Palatino Linotype"/>
              </w:rPr>
              <w:t>Joseph P. Serio</w:t>
            </w:r>
          </w:p>
          <w:p>
            <w:pPr>
              <w:spacing w:line="320" w:lineRule="exact"/>
              <w:jc w:val="both"/>
              <w:rPr>
                <w:rFonts w:ascii="Palatino Linotype" w:hAnsi="Palatino Linotype"/>
              </w:rPr>
            </w:pPr>
            <w:r>
              <w:rPr>
                <w:rFonts w:ascii="Palatino Linotype" w:hAnsi="Palatino Linotype"/>
              </w:rPr>
              <w:t>Assistant Consumers’ Counsel</w:t>
            </w:r>
          </w:p>
          <w:p>
            <w:pPr>
              <w:spacing w:line="320" w:lineRule="exact"/>
              <w:jc w:val="both"/>
              <w:rPr>
                <w:rFonts w:ascii="Palatino Linotype" w:hAnsi="Palatino Linotype"/>
              </w:rPr>
            </w:pPr>
            <w:r>
              <w:rPr>
                <w:rFonts w:ascii="Palatino Linotype" w:hAnsi="Palatino Linotype"/>
              </w:rPr>
              <w:t>10 West Broad Street, Suite 1800</w:t>
            </w:r>
          </w:p>
          <w:p>
            <w:pPr>
              <w:spacing w:line="320" w:lineRule="exact"/>
              <w:jc w:val="both"/>
              <w:rPr>
                <w:rFonts w:ascii="Palatino Linotype" w:hAnsi="Palatino Linotype"/>
              </w:rPr>
            </w:pPr>
            <w:r>
              <w:rPr>
                <w:rFonts w:ascii="Palatino Linotype" w:hAnsi="Palatino Linotype"/>
              </w:rPr>
              <w:t>Columbus, OH 43215-3485</w:t>
            </w:r>
          </w:p>
          <w:p>
            <w:pPr>
              <w:spacing w:line="320" w:lineRule="exact"/>
              <w:jc w:val="both"/>
              <w:rPr>
                <w:rFonts w:ascii="Palatino Linotype" w:hAnsi="Palatino Linotype"/>
              </w:rPr>
            </w:pPr>
            <w:r>
              <w:rPr>
                <w:rFonts w:ascii="Palatino Linotype" w:hAnsi="Palatino Linotype"/>
              </w:rPr>
              <w:t>serio@occ.state.oh.us</w:t>
            </w:r>
          </w:p>
        </w:tc>
        <w:tc>
          <w:tcPr>
            <w:tcW w:w="4428" w:type="dxa"/>
          </w:tcPr>
          <w:p>
            <w:pPr>
              <w:spacing w:line="320" w:lineRule="exact"/>
              <w:jc w:val="both"/>
              <w:rPr>
                <w:rFonts w:ascii="Palatino Linotype" w:hAnsi="Palatino Linotype"/>
              </w:rPr>
            </w:pPr>
            <w:r>
              <w:rPr>
                <w:rFonts w:ascii="Palatino Linotype" w:hAnsi="Palatino Linotype"/>
              </w:rPr>
              <w:t>Colleen L. Mooney</w:t>
            </w:r>
          </w:p>
          <w:p>
            <w:pPr>
              <w:spacing w:line="320" w:lineRule="exact"/>
              <w:jc w:val="both"/>
              <w:rPr>
                <w:rFonts w:ascii="Palatino Linotype" w:hAnsi="Palatino Linotype"/>
              </w:rPr>
            </w:pPr>
            <w:r>
              <w:rPr>
                <w:rFonts w:ascii="Palatino Linotype" w:hAnsi="Palatino Linotype"/>
              </w:rPr>
              <w:t>Ohio Partners for Affordable Energy</w:t>
            </w:r>
          </w:p>
          <w:p>
            <w:pPr>
              <w:spacing w:line="320" w:lineRule="exact"/>
              <w:jc w:val="both"/>
              <w:rPr>
                <w:rFonts w:ascii="Palatino Linotype" w:hAnsi="Palatino Linotype"/>
              </w:rPr>
            </w:pPr>
            <w:r>
              <w:rPr>
                <w:rFonts w:ascii="Palatino Linotype" w:hAnsi="Palatino Linotype"/>
              </w:rPr>
              <w:t>231 West Lima Street</w:t>
            </w:r>
          </w:p>
          <w:p>
            <w:pPr>
              <w:spacing w:line="320" w:lineRule="exact"/>
              <w:jc w:val="both"/>
              <w:rPr>
                <w:rFonts w:ascii="Palatino Linotype" w:hAnsi="Palatino Linotype"/>
              </w:rPr>
            </w:pPr>
            <w:r>
              <w:rPr>
                <w:rFonts w:ascii="Palatino Linotype" w:hAnsi="Palatino Linotype"/>
              </w:rPr>
              <w:t>P.O. Box 1793</w:t>
            </w:r>
          </w:p>
          <w:p>
            <w:pPr>
              <w:spacing w:line="320" w:lineRule="exact"/>
              <w:jc w:val="both"/>
              <w:rPr>
                <w:rFonts w:ascii="Palatino Linotype" w:hAnsi="Palatino Linotype"/>
              </w:rPr>
            </w:pPr>
            <w:r>
              <w:rPr>
                <w:rFonts w:ascii="Palatino Linotype" w:hAnsi="Palatino Linotype"/>
              </w:rPr>
              <w:t>Findlay, OH 45839-1793</w:t>
            </w:r>
          </w:p>
          <w:p>
            <w:pPr>
              <w:spacing w:line="320" w:lineRule="exact"/>
              <w:jc w:val="both"/>
              <w:rPr>
                <w:rFonts w:ascii="Palatino Linotype" w:hAnsi="Palatino Linotype"/>
              </w:rPr>
            </w:pPr>
            <w:r>
              <w:rPr>
                <w:rFonts w:ascii="Palatino Linotype" w:hAnsi="Palatino Linotype"/>
              </w:rPr>
              <w:t>cmooney2@columbus.rr.com</w:t>
            </w:r>
          </w:p>
          <w:p>
            <w:pPr>
              <w:spacing w:line="320" w:lineRule="exact"/>
              <w:rPr>
                <w:rFonts w:ascii="Palatino Linotype" w:hAnsi="Palatino Linotype"/>
              </w:rPr>
            </w:pPr>
          </w:p>
        </w:tc>
      </w:tr>
      <w:tr>
        <w:tc>
          <w:tcPr>
            <w:tcW w:w="4428" w:type="dxa"/>
          </w:tcPr>
          <w:p>
            <w:pPr>
              <w:spacing w:line="320" w:lineRule="exact"/>
              <w:jc w:val="both"/>
              <w:rPr>
                <w:rFonts w:ascii="Palatino Linotype" w:hAnsi="Palatino Linotype"/>
              </w:rPr>
            </w:pPr>
            <w:r>
              <w:rPr>
                <w:rFonts w:ascii="Palatino Linotype" w:hAnsi="Palatino Linotype"/>
              </w:rPr>
              <w:t>Stephen A. Reilly</w:t>
            </w:r>
          </w:p>
          <w:p>
            <w:pPr>
              <w:spacing w:line="320" w:lineRule="exact"/>
              <w:jc w:val="both"/>
              <w:rPr>
                <w:rFonts w:ascii="Palatino Linotype" w:hAnsi="Palatino Linotype"/>
              </w:rPr>
            </w:pPr>
            <w:r>
              <w:rPr>
                <w:rFonts w:ascii="Palatino Linotype" w:hAnsi="Palatino Linotype"/>
              </w:rPr>
              <w:t>Assistant Attorney General</w:t>
            </w:r>
          </w:p>
          <w:p>
            <w:pPr>
              <w:spacing w:line="320" w:lineRule="exact"/>
              <w:jc w:val="both"/>
              <w:rPr>
                <w:rFonts w:ascii="Palatino Linotype" w:hAnsi="Palatino Linotype"/>
              </w:rPr>
            </w:pPr>
            <w:r>
              <w:rPr>
                <w:rFonts w:ascii="Palatino Linotype" w:hAnsi="Palatino Linotype"/>
              </w:rPr>
              <w:t>Public Utilities Commission of Ohio</w:t>
            </w:r>
          </w:p>
          <w:p>
            <w:pPr>
              <w:spacing w:line="320" w:lineRule="exact"/>
              <w:jc w:val="both"/>
              <w:rPr>
                <w:rFonts w:ascii="Palatino Linotype" w:hAnsi="Palatino Linotype"/>
              </w:rPr>
            </w:pPr>
            <w:r>
              <w:rPr>
                <w:rFonts w:ascii="Palatino Linotype" w:hAnsi="Palatino Linotype"/>
              </w:rPr>
              <w:t>180 East Broad Street, 6th Floor</w:t>
            </w:r>
          </w:p>
          <w:p>
            <w:pPr>
              <w:spacing w:line="320" w:lineRule="exact"/>
              <w:jc w:val="both"/>
              <w:rPr>
                <w:rFonts w:ascii="Palatino Linotype" w:hAnsi="Palatino Linotype"/>
              </w:rPr>
            </w:pPr>
            <w:r>
              <w:rPr>
                <w:rFonts w:ascii="Palatino Linotype" w:hAnsi="Palatino Linotype"/>
              </w:rPr>
              <w:t>Columbus, OH 43215</w:t>
            </w:r>
          </w:p>
          <w:p>
            <w:pPr>
              <w:spacing w:line="320" w:lineRule="exact"/>
              <w:jc w:val="both"/>
              <w:rPr>
                <w:rFonts w:ascii="Palatino Linotype" w:hAnsi="Palatino Linotype"/>
              </w:rPr>
            </w:pPr>
            <w:r>
              <w:rPr>
                <w:rFonts w:ascii="Palatino Linotype" w:hAnsi="Palatino Linotype"/>
              </w:rPr>
              <w:t>stephen.reilly@puc.state.oh.us</w:t>
            </w:r>
          </w:p>
        </w:tc>
        <w:tc>
          <w:tcPr>
            <w:tcW w:w="4428" w:type="dxa"/>
          </w:tcPr>
          <w:p>
            <w:pPr>
              <w:spacing w:line="320" w:lineRule="exact"/>
              <w:rPr>
                <w:rFonts w:ascii="Palatino Linotype" w:hAnsi="Palatino Linotype"/>
              </w:rPr>
            </w:pPr>
          </w:p>
        </w:tc>
      </w:tr>
    </w:tbl>
    <w:p>
      <w:pPr>
        <w:spacing w:line="320" w:lineRule="exact"/>
      </w:pPr>
    </w:p>
    <w:p/>
    <w:p/>
    <w:p>
      <w:pPr>
        <w:pStyle w:val="LBFileStampAtEnd"/>
      </w:pPr>
      <w:r>
        <w:t>COLUMBUS/1639783v.3</w:t>
      </w:r>
    </w:p>
    <w:sectPr>
      <w:footerReference w:type="default" r:id="rId7"/>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0547"/>
      <w:docPartObj>
        <w:docPartGallery w:val="Page Numbers (Bottom of Page)"/>
        <w:docPartUnique/>
      </w:docPartObj>
    </w:sdtPr>
    <w:sdtContent>
      <w:p>
        <w:pPr>
          <w:pStyle w:val="Footer"/>
          <w:jc w:val="center"/>
        </w:pPr>
        <w:fldSimple w:instr=" PAGE   \* MERGEFORMAT ">
          <w:r>
            <w:rPr>
              <w:noProof/>
            </w:rPr>
            <w:t>2</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Entry at 3.</w:t>
      </w:r>
    </w:p>
  </w:footnote>
  <w:footnote w:id="2">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Initial Comments at 10-11.</w:t>
      </w:r>
    </w:p>
  </w:footnote>
  <w:footnote w:id="3">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w:t>
      </w:r>
      <w:r>
        <w:rPr>
          <w:rFonts w:ascii="Palatino Linotype" w:hAnsi="Palatino Linotype"/>
          <w:i/>
          <w:sz w:val="20"/>
          <w:szCs w:val="20"/>
        </w:rPr>
        <w:t>Id.</w:t>
      </w:r>
      <w:r>
        <w:rPr>
          <w:rFonts w:ascii="Palatino Linotype" w:hAnsi="Palatino Linotype"/>
          <w:sz w:val="20"/>
          <w:szCs w:val="20"/>
        </w:rPr>
        <w:t xml:space="preserve"> at 11.</w:t>
      </w:r>
    </w:p>
  </w:footnote>
  <w:footnote w:id="4">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Reply Comments at 6.</w:t>
      </w:r>
    </w:p>
  </w:footnote>
  <w:footnote w:id="5">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Initial Comments at 10.</w:t>
      </w:r>
    </w:p>
  </w:footnote>
  <w:footnote w:id="6">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Initial Comments at 11.</w:t>
      </w:r>
    </w:p>
  </w:footnote>
  <w:footnote w:id="7">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Columbia Reply Comments at 3.</w:t>
      </w:r>
    </w:p>
  </w:footnote>
  <w:footnote w:id="8">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Reply Comments at 3-4.</w:t>
      </w:r>
    </w:p>
  </w:footnote>
  <w:footnote w:id="9">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Columbia Reply Comments at 7.</w:t>
      </w:r>
    </w:p>
  </w:footnote>
  <w:footnote w:id="10">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Initial Comments at 13.</w:t>
      </w:r>
    </w:p>
  </w:footnote>
  <w:footnote w:id="11">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OCC Initial Comments at 12.</w:t>
      </w:r>
    </w:p>
  </w:footnote>
  <w:footnote w:id="12">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Reply Comments at 2-3.</w:t>
      </w:r>
    </w:p>
  </w:footnote>
  <w:footnote w:id="13">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Columbia Reply Comments at 9-10.</w:t>
      </w:r>
    </w:p>
  </w:footnote>
  <w:footnote w:id="14">
    <w:p>
      <w:pPr>
        <w:pStyle w:val="FootnoteText"/>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Staff Reply Comments at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5C4"/>
    <w:multiLevelType w:val="hybridMultilevel"/>
    <w:tmpl w:val="675EE6F0"/>
    <w:lvl w:ilvl="0" w:tplc="04090019">
      <w:start w:val="1"/>
      <w:numFmt w:val="lowerLetter"/>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nsid w:val="05012BCA"/>
    <w:multiLevelType w:val="hybridMultilevel"/>
    <w:tmpl w:val="4D2AB6A6"/>
    <w:lvl w:ilvl="0" w:tplc="04090019">
      <w:start w:val="1"/>
      <w:numFmt w:val="lowerLetter"/>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
    <w:nsid w:val="074E7002"/>
    <w:multiLevelType w:val="hybridMultilevel"/>
    <w:tmpl w:val="AADC2C4E"/>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8B82F31"/>
    <w:multiLevelType w:val="hybridMultilevel"/>
    <w:tmpl w:val="4656C6B2"/>
    <w:lvl w:ilvl="0" w:tplc="FFFFFFFF">
      <w:start w:val="1"/>
      <w:numFmt w:val="decimal"/>
      <w:lvlText w:val="%1."/>
      <w:lvlJc w:val="left"/>
      <w:pPr>
        <w:tabs>
          <w:tab w:val="num" w:pos="1080"/>
        </w:tabs>
        <w:ind w:left="1080" w:hanging="360"/>
      </w:pPr>
      <w:rPr>
        <w:rFonts w:hint="default"/>
      </w:rPr>
    </w:lvl>
    <w:lvl w:ilvl="1" w:tplc="43FA2488">
      <w:start w:val="1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42EF0"/>
    <w:multiLevelType w:val="hybridMultilevel"/>
    <w:tmpl w:val="E2DA5CE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14B76D3F"/>
    <w:multiLevelType w:val="hybridMultilevel"/>
    <w:tmpl w:val="0C80D39E"/>
    <w:lvl w:ilvl="0" w:tplc="FA38F4C4">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2D72A6"/>
    <w:multiLevelType w:val="hybridMultilevel"/>
    <w:tmpl w:val="E110B890"/>
    <w:lvl w:ilvl="0" w:tplc="0409000F">
      <w:start w:val="1"/>
      <w:numFmt w:val="decimal"/>
      <w:lvlText w:val="%1."/>
      <w:lvlJc w:val="left"/>
      <w:pPr>
        <w:tabs>
          <w:tab w:val="num" w:pos="720"/>
        </w:tabs>
        <w:ind w:left="720" w:hanging="360"/>
      </w:pPr>
      <w:rPr>
        <w:rFonts w:hint="default"/>
      </w:rPr>
    </w:lvl>
    <w:lvl w:ilvl="1" w:tplc="3EBE8412">
      <w:start w:val="1"/>
      <w:numFmt w:val="lowerLetter"/>
      <w:lvlText w:val="%2."/>
      <w:lvlJc w:val="left"/>
      <w:pPr>
        <w:tabs>
          <w:tab w:val="num" w:pos="1800"/>
        </w:tabs>
        <w:ind w:left="1800" w:hanging="720"/>
      </w:pPr>
      <w:rPr>
        <w:rFonts w:hint="default"/>
      </w:rPr>
    </w:lvl>
    <w:lvl w:ilvl="2" w:tplc="E7487CBC">
      <w:start w:val="1"/>
      <w:numFmt w:val="decimal"/>
      <w:lvlText w:val="%3"/>
      <w:lvlJc w:val="left"/>
      <w:pPr>
        <w:tabs>
          <w:tab w:val="num" w:pos="2340"/>
        </w:tabs>
        <w:ind w:left="2340" w:hanging="360"/>
      </w:pPr>
      <w:rPr>
        <w:rFonts w:ascii="Arial" w:hAnsi="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FF2FAB"/>
    <w:multiLevelType w:val="hybridMultilevel"/>
    <w:tmpl w:val="EEBEA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8F1AB4"/>
    <w:multiLevelType w:val="multilevel"/>
    <w:tmpl w:val="0409001D"/>
    <w:styleLink w:val="Style1"/>
    <w:lvl w:ilvl="0">
      <w:start w:val="1"/>
      <w:numFmt w:val="decimal"/>
      <w:lvlText w:val="%1)"/>
      <w:lvlJc w:val="left"/>
      <w:pPr>
        <w:tabs>
          <w:tab w:val="num" w:pos="360"/>
        </w:tabs>
        <w:ind w:left="360" w:hanging="360"/>
      </w:pPr>
      <w:rPr>
        <w:rFonts w:ascii="Palatino Linotype" w:hAnsi="Palatino Linotype"/>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Palatino Linotype" w:hAnsi="Palatino Linotype"/>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FD0616"/>
    <w:multiLevelType w:val="hybridMultilevel"/>
    <w:tmpl w:val="2DD6F4D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260"/>
        </w:tabs>
        <w:ind w:left="1260" w:hanging="360"/>
      </w:pPr>
    </w:lvl>
    <w:lvl w:ilvl="2" w:tplc="6094988E">
      <w:start w:val="1"/>
      <w:numFmt w:val="lowerLetter"/>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BD42A5A"/>
    <w:multiLevelType w:val="hybridMultilevel"/>
    <w:tmpl w:val="15F2393E"/>
    <w:lvl w:ilvl="0" w:tplc="D22A478C">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B57F4B"/>
    <w:multiLevelType w:val="hybridMultilevel"/>
    <w:tmpl w:val="F892C030"/>
    <w:lvl w:ilvl="0" w:tplc="9D3ED72E">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8584851"/>
    <w:multiLevelType w:val="hybridMultilevel"/>
    <w:tmpl w:val="2FB47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E6B10"/>
    <w:multiLevelType w:val="hybridMultilevel"/>
    <w:tmpl w:val="0B7299C0"/>
    <w:lvl w:ilvl="0" w:tplc="F042C0C2">
      <w:start w:val="1"/>
      <w:numFmt w:val="decimal"/>
      <w:lvlText w:val="%1."/>
      <w:lvlJc w:val="left"/>
      <w:pPr>
        <w:tabs>
          <w:tab w:val="num" w:pos="720"/>
        </w:tabs>
        <w:ind w:left="720" w:hanging="360"/>
      </w:pPr>
      <w:rPr>
        <w:color w:val="auto"/>
      </w:rPr>
    </w:lvl>
    <w:lvl w:ilvl="1" w:tplc="AE7A23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EE1409"/>
    <w:multiLevelType w:val="hybridMultilevel"/>
    <w:tmpl w:val="E9C005CC"/>
    <w:lvl w:ilvl="0" w:tplc="CFB0074E">
      <w:start w:val="1"/>
      <w:numFmt w:val="lowerLetter"/>
      <w:lvlText w:val="%1)"/>
      <w:lvlJc w:val="left"/>
      <w:pPr>
        <w:tabs>
          <w:tab w:val="num" w:pos="1080"/>
        </w:tabs>
        <w:ind w:left="1080" w:hanging="360"/>
      </w:pPr>
      <w:rPr>
        <w:rFonts w:hint="default"/>
      </w:rPr>
    </w:lvl>
    <w:lvl w:ilvl="1" w:tplc="CFEC0D94">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FCB17C7"/>
    <w:multiLevelType w:val="hybridMultilevel"/>
    <w:tmpl w:val="C38C78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140B59"/>
    <w:multiLevelType w:val="multilevel"/>
    <w:tmpl w:val="9BAA6FDA"/>
    <w:lvl w:ilvl="0">
      <w:start w:val="1"/>
      <w:numFmt w:val="decimal"/>
      <w:lvlText w:val="%1."/>
      <w:lvlJc w:val="left"/>
      <w:pPr>
        <w:tabs>
          <w:tab w:val="num" w:pos="720"/>
        </w:tabs>
        <w:ind w:left="720" w:hanging="360"/>
      </w:pPr>
      <w:rPr>
        <w:rFonts w:ascii="Times New Roman" w:hAnsi="Times New Roman" w:cs="Times New Roman" w:hint="default"/>
      </w:rPr>
    </w:lvl>
    <w:lvl w:ilvl="1">
      <w:start w:val="14"/>
      <w:numFmt w:val="decimal"/>
      <w:lvlText w:val="%2."/>
      <w:lvlJc w:val="left"/>
      <w:pPr>
        <w:tabs>
          <w:tab w:val="num" w:pos="1890"/>
        </w:tabs>
        <w:ind w:left="1890" w:hanging="81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497BAF"/>
    <w:multiLevelType w:val="hybridMultilevel"/>
    <w:tmpl w:val="51F6CB1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8B5789E"/>
    <w:multiLevelType w:val="hybridMultilevel"/>
    <w:tmpl w:val="7ED06B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1227BD"/>
    <w:multiLevelType w:val="hybridMultilevel"/>
    <w:tmpl w:val="66B6CD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C4378E1"/>
    <w:multiLevelType w:val="hybridMultilevel"/>
    <w:tmpl w:val="5414F7BE"/>
    <w:lvl w:ilvl="0" w:tplc="CFB0074E">
      <w:start w:val="1"/>
      <w:numFmt w:val="lowerLetter"/>
      <w:lvlText w:val="%1)"/>
      <w:lvlJc w:val="left"/>
      <w:pPr>
        <w:tabs>
          <w:tab w:val="num" w:pos="1398"/>
        </w:tabs>
        <w:ind w:left="1398" w:hanging="360"/>
      </w:pPr>
      <w:rPr>
        <w:rFonts w:hint="default"/>
      </w:rPr>
    </w:lvl>
    <w:lvl w:ilvl="1" w:tplc="FCA28358">
      <w:start w:val="2"/>
      <w:numFmt w:val="decimal"/>
      <w:lvlText w:val="%2."/>
      <w:lvlJc w:val="left"/>
      <w:pPr>
        <w:tabs>
          <w:tab w:val="num" w:pos="2118"/>
        </w:tabs>
        <w:ind w:left="2118" w:hanging="360"/>
      </w:pPr>
      <w:rPr>
        <w:rFonts w:hint="default"/>
      </w:rPr>
    </w:lvl>
    <w:lvl w:ilvl="2" w:tplc="0409001B" w:tentative="1">
      <w:start w:val="1"/>
      <w:numFmt w:val="lowerRoman"/>
      <w:lvlText w:val="%3."/>
      <w:lvlJc w:val="right"/>
      <w:pPr>
        <w:tabs>
          <w:tab w:val="num" w:pos="2838"/>
        </w:tabs>
        <w:ind w:left="2838" w:hanging="180"/>
      </w:pPr>
    </w:lvl>
    <w:lvl w:ilvl="3" w:tplc="0409000F" w:tentative="1">
      <w:start w:val="1"/>
      <w:numFmt w:val="decimal"/>
      <w:lvlText w:val="%4."/>
      <w:lvlJc w:val="left"/>
      <w:pPr>
        <w:tabs>
          <w:tab w:val="num" w:pos="3558"/>
        </w:tabs>
        <w:ind w:left="3558" w:hanging="360"/>
      </w:pPr>
    </w:lvl>
    <w:lvl w:ilvl="4" w:tplc="04090019" w:tentative="1">
      <w:start w:val="1"/>
      <w:numFmt w:val="lowerLetter"/>
      <w:lvlText w:val="%5."/>
      <w:lvlJc w:val="left"/>
      <w:pPr>
        <w:tabs>
          <w:tab w:val="num" w:pos="4278"/>
        </w:tabs>
        <w:ind w:left="4278" w:hanging="360"/>
      </w:pPr>
    </w:lvl>
    <w:lvl w:ilvl="5" w:tplc="0409001B" w:tentative="1">
      <w:start w:val="1"/>
      <w:numFmt w:val="lowerRoman"/>
      <w:lvlText w:val="%6."/>
      <w:lvlJc w:val="right"/>
      <w:pPr>
        <w:tabs>
          <w:tab w:val="num" w:pos="4998"/>
        </w:tabs>
        <w:ind w:left="4998" w:hanging="180"/>
      </w:pPr>
    </w:lvl>
    <w:lvl w:ilvl="6" w:tplc="0409000F" w:tentative="1">
      <w:start w:val="1"/>
      <w:numFmt w:val="decimal"/>
      <w:lvlText w:val="%7."/>
      <w:lvlJc w:val="left"/>
      <w:pPr>
        <w:tabs>
          <w:tab w:val="num" w:pos="5718"/>
        </w:tabs>
        <w:ind w:left="5718" w:hanging="360"/>
      </w:pPr>
    </w:lvl>
    <w:lvl w:ilvl="7" w:tplc="04090019" w:tentative="1">
      <w:start w:val="1"/>
      <w:numFmt w:val="lowerLetter"/>
      <w:lvlText w:val="%8."/>
      <w:lvlJc w:val="left"/>
      <w:pPr>
        <w:tabs>
          <w:tab w:val="num" w:pos="6438"/>
        </w:tabs>
        <w:ind w:left="6438" w:hanging="360"/>
      </w:pPr>
    </w:lvl>
    <w:lvl w:ilvl="8" w:tplc="0409001B" w:tentative="1">
      <w:start w:val="1"/>
      <w:numFmt w:val="lowerRoman"/>
      <w:lvlText w:val="%9."/>
      <w:lvlJc w:val="right"/>
      <w:pPr>
        <w:tabs>
          <w:tab w:val="num" w:pos="7158"/>
        </w:tabs>
        <w:ind w:left="7158" w:hanging="180"/>
      </w:pPr>
    </w:lvl>
  </w:abstractNum>
  <w:abstractNum w:abstractNumId="21">
    <w:nsid w:val="4DD0571A"/>
    <w:multiLevelType w:val="hybridMultilevel"/>
    <w:tmpl w:val="B0F2A072"/>
    <w:lvl w:ilvl="0" w:tplc="04090019">
      <w:start w:val="1"/>
      <w:numFmt w:val="lowerLetter"/>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504959B5"/>
    <w:multiLevelType w:val="singleLevel"/>
    <w:tmpl w:val="6FF4550A"/>
    <w:lvl w:ilvl="0">
      <w:start w:val="1"/>
      <w:numFmt w:val="decimal"/>
      <w:lvlText w:val="%1."/>
      <w:lvlJc w:val="left"/>
      <w:pPr>
        <w:tabs>
          <w:tab w:val="num" w:pos="720"/>
        </w:tabs>
        <w:ind w:left="720" w:hanging="720"/>
      </w:pPr>
      <w:rPr>
        <w:rFonts w:hint="default"/>
      </w:rPr>
    </w:lvl>
  </w:abstractNum>
  <w:abstractNum w:abstractNumId="23">
    <w:nsid w:val="52F25CED"/>
    <w:multiLevelType w:val="hybridMultilevel"/>
    <w:tmpl w:val="6016A948"/>
    <w:lvl w:ilvl="0" w:tplc="AC0A91B8">
      <w:start w:val="1"/>
      <w:numFmt w:val="lowerLetter"/>
      <w:lvlText w:val="%1."/>
      <w:lvlJc w:val="left"/>
      <w:pPr>
        <w:tabs>
          <w:tab w:val="num" w:pos="2160"/>
        </w:tabs>
        <w:ind w:left="2160" w:hanging="360"/>
      </w:pPr>
      <w:rPr>
        <w:rFonts w:ascii="Palatino Linotype" w:eastAsia="Times New Roman" w:hAnsi="Palatino Linotype" w:cs="Times New Roman"/>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D849E6"/>
    <w:multiLevelType w:val="hybridMultilevel"/>
    <w:tmpl w:val="5F98E3EC"/>
    <w:lvl w:ilvl="0" w:tplc="C294256A">
      <w:start w:val="1"/>
      <w:numFmt w:val="decimal"/>
      <w:lvlText w:val="%1."/>
      <w:lvlJc w:val="left"/>
      <w:pPr>
        <w:tabs>
          <w:tab w:val="num" w:pos="780"/>
        </w:tabs>
        <w:ind w:left="780" w:hanging="360"/>
      </w:pPr>
      <w:rPr>
        <w:rFonts w:ascii="Times New Roman" w:eastAsia="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FA3B13"/>
    <w:multiLevelType w:val="hybridMultilevel"/>
    <w:tmpl w:val="1D6E7E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EB6550"/>
    <w:multiLevelType w:val="hybridMultilevel"/>
    <w:tmpl w:val="FD88EF5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0C70392"/>
    <w:multiLevelType w:val="hybridMultilevel"/>
    <w:tmpl w:val="209EB2F4"/>
    <w:lvl w:ilvl="0" w:tplc="CFB0074E">
      <w:start w:val="1"/>
      <w:numFmt w:val="lowerLetter"/>
      <w:lvlText w:val="%1)"/>
      <w:lvlJc w:val="left"/>
      <w:pPr>
        <w:tabs>
          <w:tab w:val="num" w:pos="1446"/>
        </w:tabs>
        <w:ind w:left="1446" w:hanging="360"/>
      </w:pPr>
      <w:rPr>
        <w:rFonts w:hint="default"/>
        <w:color w:val="auto"/>
      </w:rPr>
    </w:lvl>
    <w:lvl w:ilvl="1" w:tplc="AA5C2AB6">
      <w:start w:val="1"/>
      <w:numFmt w:val="decimal"/>
      <w:lvlText w:val="%2."/>
      <w:lvlJc w:val="left"/>
      <w:pPr>
        <w:tabs>
          <w:tab w:val="num" w:pos="2166"/>
        </w:tabs>
        <w:ind w:left="2166" w:hanging="360"/>
      </w:pPr>
      <w:rPr>
        <w:rFonts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9">
    <w:nsid w:val="63AB69EB"/>
    <w:multiLevelType w:val="hybridMultilevel"/>
    <w:tmpl w:val="F518525C"/>
    <w:lvl w:ilvl="0" w:tplc="B02E76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63D03B0"/>
    <w:multiLevelType w:val="hybridMultilevel"/>
    <w:tmpl w:val="389E5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EA7EB0"/>
    <w:multiLevelType w:val="hybridMultilevel"/>
    <w:tmpl w:val="3FCA7744"/>
    <w:lvl w:ilvl="0" w:tplc="DF58D550">
      <w:start w:val="1"/>
      <w:numFmt w:val="decimal"/>
      <w:lvlText w:val="%1."/>
      <w:lvlJc w:val="left"/>
      <w:pPr>
        <w:tabs>
          <w:tab w:val="num" w:pos="780"/>
        </w:tabs>
        <w:ind w:left="780" w:hanging="360"/>
      </w:pPr>
      <w:rPr>
        <w:rFonts w:ascii="Times New Roman" w:eastAsia="Times New Roman" w:hAnsi="Times New Roman" w:cs="Times New Roman"/>
        <w:sz w:val="24"/>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rPr>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B019F6"/>
    <w:multiLevelType w:val="hybridMultilevel"/>
    <w:tmpl w:val="507614B8"/>
    <w:lvl w:ilvl="0" w:tplc="04090001">
      <w:start w:val="1"/>
      <w:numFmt w:val="bullet"/>
      <w:lvlText w:val=""/>
      <w:lvlJc w:val="left"/>
      <w:pPr>
        <w:tabs>
          <w:tab w:val="num" w:pos="1814"/>
        </w:tabs>
        <w:ind w:left="1814" w:hanging="360"/>
      </w:pPr>
      <w:rPr>
        <w:rFonts w:ascii="Symbol" w:hAnsi="Symbol" w:hint="default"/>
      </w:rPr>
    </w:lvl>
    <w:lvl w:ilvl="1" w:tplc="04090003">
      <w:start w:val="1"/>
      <w:numFmt w:val="bullet"/>
      <w:lvlText w:val="o"/>
      <w:lvlJc w:val="left"/>
      <w:pPr>
        <w:tabs>
          <w:tab w:val="num" w:pos="2534"/>
        </w:tabs>
        <w:ind w:left="2534" w:hanging="360"/>
      </w:pPr>
      <w:rPr>
        <w:rFonts w:ascii="Courier New" w:hAnsi="Courier New" w:cs="Courier New" w:hint="default"/>
      </w:rPr>
    </w:lvl>
    <w:lvl w:ilvl="2" w:tplc="04090005" w:tentative="1">
      <w:start w:val="1"/>
      <w:numFmt w:val="bullet"/>
      <w:lvlText w:val=""/>
      <w:lvlJc w:val="left"/>
      <w:pPr>
        <w:tabs>
          <w:tab w:val="num" w:pos="3254"/>
        </w:tabs>
        <w:ind w:left="3254" w:hanging="360"/>
      </w:pPr>
      <w:rPr>
        <w:rFonts w:ascii="Wingdings" w:hAnsi="Wingdings" w:hint="default"/>
      </w:rPr>
    </w:lvl>
    <w:lvl w:ilvl="3" w:tplc="04090001" w:tentative="1">
      <w:start w:val="1"/>
      <w:numFmt w:val="bullet"/>
      <w:lvlText w:val=""/>
      <w:lvlJc w:val="left"/>
      <w:pPr>
        <w:tabs>
          <w:tab w:val="num" w:pos="3974"/>
        </w:tabs>
        <w:ind w:left="3974" w:hanging="360"/>
      </w:pPr>
      <w:rPr>
        <w:rFonts w:ascii="Symbol" w:hAnsi="Symbol" w:hint="default"/>
      </w:rPr>
    </w:lvl>
    <w:lvl w:ilvl="4" w:tplc="04090003" w:tentative="1">
      <w:start w:val="1"/>
      <w:numFmt w:val="bullet"/>
      <w:lvlText w:val="o"/>
      <w:lvlJc w:val="left"/>
      <w:pPr>
        <w:tabs>
          <w:tab w:val="num" w:pos="4694"/>
        </w:tabs>
        <w:ind w:left="4694" w:hanging="360"/>
      </w:pPr>
      <w:rPr>
        <w:rFonts w:ascii="Courier New" w:hAnsi="Courier New" w:cs="Courier New" w:hint="default"/>
      </w:rPr>
    </w:lvl>
    <w:lvl w:ilvl="5" w:tplc="04090005" w:tentative="1">
      <w:start w:val="1"/>
      <w:numFmt w:val="bullet"/>
      <w:lvlText w:val=""/>
      <w:lvlJc w:val="left"/>
      <w:pPr>
        <w:tabs>
          <w:tab w:val="num" w:pos="5414"/>
        </w:tabs>
        <w:ind w:left="5414" w:hanging="360"/>
      </w:pPr>
      <w:rPr>
        <w:rFonts w:ascii="Wingdings" w:hAnsi="Wingdings" w:hint="default"/>
      </w:rPr>
    </w:lvl>
    <w:lvl w:ilvl="6" w:tplc="04090001" w:tentative="1">
      <w:start w:val="1"/>
      <w:numFmt w:val="bullet"/>
      <w:lvlText w:val=""/>
      <w:lvlJc w:val="left"/>
      <w:pPr>
        <w:tabs>
          <w:tab w:val="num" w:pos="6134"/>
        </w:tabs>
        <w:ind w:left="6134" w:hanging="360"/>
      </w:pPr>
      <w:rPr>
        <w:rFonts w:ascii="Symbol" w:hAnsi="Symbol" w:hint="default"/>
      </w:rPr>
    </w:lvl>
    <w:lvl w:ilvl="7" w:tplc="04090003" w:tentative="1">
      <w:start w:val="1"/>
      <w:numFmt w:val="bullet"/>
      <w:lvlText w:val="o"/>
      <w:lvlJc w:val="left"/>
      <w:pPr>
        <w:tabs>
          <w:tab w:val="num" w:pos="6854"/>
        </w:tabs>
        <w:ind w:left="6854" w:hanging="360"/>
      </w:pPr>
      <w:rPr>
        <w:rFonts w:ascii="Courier New" w:hAnsi="Courier New" w:cs="Courier New" w:hint="default"/>
      </w:rPr>
    </w:lvl>
    <w:lvl w:ilvl="8" w:tplc="04090005" w:tentative="1">
      <w:start w:val="1"/>
      <w:numFmt w:val="bullet"/>
      <w:lvlText w:val=""/>
      <w:lvlJc w:val="left"/>
      <w:pPr>
        <w:tabs>
          <w:tab w:val="num" w:pos="7574"/>
        </w:tabs>
        <w:ind w:left="7574" w:hanging="360"/>
      </w:pPr>
      <w:rPr>
        <w:rFonts w:ascii="Wingdings" w:hAnsi="Wingdings" w:hint="default"/>
      </w:rPr>
    </w:lvl>
  </w:abstractNum>
  <w:abstractNum w:abstractNumId="33">
    <w:nsid w:val="6E6435DD"/>
    <w:multiLevelType w:val="hybridMultilevel"/>
    <w:tmpl w:val="3C805966"/>
    <w:lvl w:ilvl="0" w:tplc="04090019">
      <w:start w:val="1"/>
      <w:numFmt w:val="lowerLetter"/>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34">
    <w:nsid w:val="71F63FC5"/>
    <w:multiLevelType w:val="hybridMultilevel"/>
    <w:tmpl w:val="34A277E6"/>
    <w:lvl w:ilvl="0" w:tplc="04090001">
      <w:start w:val="1"/>
      <w:numFmt w:val="bullet"/>
      <w:lvlText w:val=""/>
      <w:lvlJc w:val="left"/>
      <w:pPr>
        <w:tabs>
          <w:tab w:val="num" w:pos="2760"/>
        </w:tabs>
        <w:ind w:left="2760" w:hanging="360"/>
      </w:pPr>
      <w:rPr>
        <w:rFonts w:ascii="Symbol" w:hAnsi="Symbol"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5">
    <w:nsid w:val="79F62BE2"/>
    <w:multiLevelType w:val="hybridMultilevel"/>
    <w:tmpl w:val="3D66C4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404C21"/>
    <w:multiLevelType w:val="hybridMultilevel"/>
    <w:tmpl w:val="BCE2D1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ABE1A67"/>
    <w:multiLevelType w:val="multilevel"/>
    <w:tmpl w:val="9BAA6FDA"/>
    <w:lvl w:ilvl="0">
      <w:start w:val="1"/>
      <w:numFmt w:val="decimal"/>
      <w:lvlText w:val="%1."/>
      <w:lvlJc w:val="left"/>
      <w:pPr>
        <w:tabs>
          <w:tab w:val="num" w:pos="720"/>
        </w:tabs>
        <w:ind w:left="720" w:hanging="360"/>
      </w:pPr>
      <w:rPr>
        <w:rFonts w:ascii="Times New Roman" w:hAnsi="Times New Roman" w:cs="Times New Roman" w:hint="default"/>
      </w:rPr>
    </w:lvl>
    <w:lvl w:ilvl="1">
      <w:start w:val="14"/>
      <w:numFmt w:val="decimal"/>
      <w:lvlText w:val="%2."/>
      <w:lvlJc w:val="left"/>
      <w:pPr>
        <w:tabs>
          <w:tab w:val="num" w:pos="1890"/>
        </w:tabs>
        <w:ind w:left="1890" w:hanging="81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D63DA8"/>
    <w:multiLevelType w:val="hybridMultilevel"/>
    <w:tmpl w:val="99F60FF8"/>
    <w:lvl w:ilvl="0" w:tplc="B694EA6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26214D"/>
    <w:multiLevelType w:val="hybridMultilevel"/>
    <w:tmpl w:val="727EE2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14"/>
  </w:num>
  <w:num w:numId="3">
    <w:abstractNumId w:val="20"/>
  </w:num>
  <w:num w:numId="4">
    <w:abstractNumId w:val="15"/>
  </w:num>
  <w:num w:numId="5">
    <w:abstractNumId w:val="2"/>
  </w:num>
  <w:num w:numId="6">
    <w:abstractNumId w:val="4"/>
  </w:num>
  <w:num w:numId="7">
    <w:abstractNumId w:val="37"/>
  </w:num>
  <w:num w:numId="8">
    <w:abstractNumId w:val="18"/>
  </w:num>
  <w:num w:numId="9">
    <w:abstractNumId w:val="22"/>
    <w:lvlOverride w:ilvl="0">
      <w:startOverride w:val="1"/>
    </w:lvlOverride>
  </w:num>
  <w:num w:numId="10">
    <w:abstractNumId w:val="17"/>
  </w:num>
  <w:num w:numId="11">
    <w:abstractNumId w:val="10"/>
  </w:num>
  <w:num w:numId="12">
    <w:abstractNumId w:val="38"/>
  </w:num>
  <w:num w:numId="13">
    <w:abstractNumId w:val="35"/>
  </w:num>
  <w:num w:numId="14">
    <w:abstractNumId w:val="27"/>
  </w:num>
  <w:num w:numId="15">
    <w:abstractNumId w:val="13"/>
  </w:num>
  <w:num w:numId="16">
    <w:abstractNumId w:val="31"/>
  </w:num>
  <w:num w:numId="17">
    <w:abstractNumId w:val="1"/>
  </w:num>
  <w:num w:numId="18">
    <w:abstractNumId w:val="23"/>
  </w:num>
  <w:num w:numId="19">
    <w:abstractNumId w:val="0"/>
  </w:num>
  <w:num w:numId="20">
    <w:abstractNumId w:val="21"/>
  </w:num>
  <w:num w:numId="21">
    <w:abstractNumId w:val="33"/>
  </w:num>
  <w:num w:numId="22">
    <w:abstractNumId w:val="3"/>
  </w:num>
  <w:num w:numId="23">
    <w:abstractNumId w:val="19"/>
  </w:num>
  <w:num w:numId="24">
    <w:abstractNumId w:val="32"/>
  </w:num>
  <w:num w:numId="25">
    <w:abstractNumId w:val="34"/>
  </w:num>
  <w:num w:numId="26">
    <w:abstractNumId w:val="11"/>
  </w:num>
  <w:num w:numId="27">
    <w:abstractNumId w:val="39"/>
  </w:num>
  <w:num w:numId="28">
    <w:abstractNumId w:val="6"/>
  </w:num>
  <w:num w:numId="29">
    <w:abstractNumId w:val="5"/>
  </w:num>
  <w:num w:numId="30">
    <w:abstractNumId w:val="24"/>
  </w:num>
  <w:num w:numId="31">
    <w:abstractNumId w:val="12"/>
  </w:num>
  <w:num w:numId="32">
    <w:abstractNumId w:val="26"/>
  </w:num>
  <w:num w:numId="33">
    <w:abstractNumId w:val="36"/>
  </w:num>
  <w:num w:numId="34">
    <w:abstractNumId w:val="28"/>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num>
  <w:num w:numId="38">
    <w:abstractNumId w:val="16"/>
  </w:num>
  <w:num w:numId="39">
    <w:abstractNumId w:val="7"/>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stylePaneFormatFilter w:val="3F01"/>
  <w:defaultTabStop w:val="720"/>
  <w:autoHyphenation/>
  <w:doNotHyphenateCaps/>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pPr>
      <w:numPr>
        <w:numId w:val="1"/>
      </w:numPr>
    </w:pPr>
  </w:style>
  <w:style w:type="paragraph" w:styleId="Title">
    <w:name w:val="Title"/>
    <w:basedOn w:val="Normal"/>
    <w:qFormat/>
    <w:pPr>
      <w:jc w:val="center"/>
    </w:pPr>
    <w:rPr>
      <w:rFonts w:ascii="Arial" w:hAnsi="Arial"/>
      <w:b/>
      <w:sz w:val="32"/>
      <w:szCs w:val="20"/>
      <w:u w:val="single"/>
    </w:rPr>
  </w:style>
  <w:style w:type="paragraph" w:styleId="FootnoteText">
    <w:name w:val="footnote text"/>
    <w:basedOn w:val="Normal"/>
    <w:pPr>
      <w:widowControl w:val="0"/>
      <w:autoSpaceDE w:val="0"/>
      <w:autoSpaceDN w:val="0"/>
      <w:adjustRightInd w:val="0"/>
    </w:pPr>
  </w:style>
  <w:style w:type="character" w:styleId="FootnoteReference">
    <w:name w:val="footnote reference"/>
    <w:rPr>
      <w:vertAlign w:val="superscript"/>
    </w:rPr>
  </w:style>
  <w:style w:type="character" w:customStyle="1" w:styleId="CharacterStyle1">
    <w:name w:val="Character Style 1"/>
    <w:rPr>
      <w:rFonts w:ascii="Times New Roman" w:hAnsi="Times New Roman" w:cs="Times New Roman"/>
      <w:sz w:val="24"/>
      <w:szCs w:val="24"/>
    </w:rPr>
  </w:style>
  <w:style w:type="paragraph" w:styleId="TOC1">
    <w:name w:val="toc 1"/>
    <w:basedOn w:val="Normal"/>
    <w:next w:val="Normal"/>
    <w:autoRedefine/>
    <w:semiHidden/>
    <w:pPr>
      <w:spacing w:before="120" w:after="120"/>
    </w:pPr>
    <w:rPr>
      <w:b/>
      <w:bCs/>
      <w:caps/>
      <w:sz w:val="20"/>
      <w:szCs w:val="20"/>
    </w:rPr>
  </w:style>
  <w:style w:type="character" w:styleId="Hyperlink">
    <w:name w:val="Hyperlink"/>
    <w:rPr>
      <w:rFonts w:ascii="Palatino Linotype" w:hAnsi="Palatino Linotype"/>
      <w:color w:val="0000FF"/>
      <w:sz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vsDraft">
    <w:name w:val="vsDraft"/>
    <w:basedOn w:val="Normal"/>
    <w:pPr>
      <w:tabs>
        <w:tab w:val="left" w:pos="1440"/>
        <w:tab w:val="left" w:pos="2160"/>
        <w:tab w:val="left" w:pos="2880"/>
      </w:tabs>
      <w:spacing w:before="120" w:after="120"/>
      <w:jc w:val="center"/>
    </w:pPr>
    <w:rPr>
      <w:b/>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odyTextChar">
    <w:name w:val="Body Text Char"/>
    <w:link w:val="BodyText"/>
    <w:rPr>
      <w:sz w:val="24"/>
      <w:szCs w:val="24"/>
      <w:lang w:val="en-US" w:eastAsia="en-US" w:bidi="ar-SA"/>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Style2">
    <w:name w:val="Style2"/>
    <w:basedOn w:val="TOC1"/>
    <w:autoRedefine/>
    <w:pPr>
      <w:tabs>
        <w:tab w:val="left" w:pos="480"/>
        <w:tab w:val="right" w:leader="dot" w:pos="8630"/>
      </w:tabs>
    </w:pPr>
    <w:rPr>
      <w:rFonts w:ascii="Palatino Linotype" w:hAnsi="Palatino Linotype"/>
      <w:b w:val="0"/>
      <w:noProof/>
      <w:sz w:val="24"/>
    </w:rPr>
  </w:style>
  <w:style w:type="character" w:customStyle="1" w:styleId="FooterChar">
    <w:name w:val="Footer Char"/>
    <w:link w:val="Footer"/>
    <w:uiPriority w:val="99"/>
    <w:rPr>
      <w:sz w:val="24"/>
      <w:szCs w:val="24"/>
    </w:rPr>
  </w:style>
  <w:style w:type="paragraph" w:styleId="Index1">
    <w:name w:val="index 1"/>
    <w:basedOn w:val="Normal"/>
    <w:next w:val="Normal"/>
    <w:autoRedefine/>
    <w:semiHidden/>
    <w:pPr>
      <w:ind w:left="240" w:hanging="240"/>
    </w:pPr>
    <w:rPr>
      <w:rFonts w:ascii="Palatino Linotype" w:hAnsi="Palatino Linotype"/>
    </w:rPr>
  </w:style>
  <w:style w:type="character" w:customStyle="1" w:styleId="LBFileStampAtCursor">
    <w:name w:val="*LBFileStampAtCursor"/>
    <w:aliases w:val="FSC"/>
    <w:basedOn w:val="DefaultParagraphFont"/>
    <w:rPr>
      <w:rFonts w:ascii="Arial" w:hAnsi="Arial" w:cs="Times New Roman"/>
      <w:sz w:val="12"/>
      <w:szCs w:val="32"/>
    </w:rPr>
  </w:style>
  <w:style w:type="paragraph" w:customStyle="1" w:styleId="LBFileStampAtEnd">
    <w:name w:val="*LBFileStampAtEnd"/>
    <w:aliases w:val="FSE"/>
    <w:basedOn w:val="Normal"/>
    <w:pPr>
      <w:spacing w:before="360"/>
    </w:pPr>
    <w:rPr>
      <w:sz w:val="12"/>
      <w:szCs w:val="32"/>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pPr>
      <w:numPr>
        <w:numId w:val="1"/>
      </w:numPr>
    </w:pPr>
  </w:style>
  <w:style w:type="paragraph" w:styleId="Title">
    <w:name w:val="Title"/>
    <w:basedOn w:val="Normal"/>
    <w:qFormat/>
    <w:pPr>
      <w:jc w:val="center"/>
    </w:pPr>
    <w:rPr>
      <w:rFonts w:ascii="Arial" w:hAnsi="Arial"/>
      <w:b/>
      <w:sz w:val="32"/>
      <w:szCs w:val="20"/>
      <w:u w:val="single"/>
    </w:rPr>
  </w:style>
  <w:style w:type="paragraph" w:styleId="FootnoteText">
    <w:name w:val="footnote text"/>
    <w:basedOn w:val="Normal"/>
    <w:pPr>
      <w:widowControl w:val="0"/>
      <w:autoSpaceDE w:val="0"/>
      <w:autoSpaceDN w:val="0"/>
      <w:adjustRightInd w:val="0"/>
    </w:pPr>
  </w:style>
  <w:style w:type="character" w:styleId="FootnoteReference">
    <w:name w:val="footnote reference"/>
    <w:rPr>
      <w:vertAlign w:val="superscript"/>
    </w:rPr>
  </w:style>
  <w:style w:type="character" w:customStyle="1" w:styleId="CharacterStyle1">
    <w:name w:val="Character Style 1"/>
    <w:rPr>
      <w:rFonts w:ascii="Times New Roman" w:hAnsi="Times New Roman" w:cs="Times New Roman"/>
      <w:sz w:val="24"/>
      <w:szCs w:val="24"/>
    </w:rPr>
  </w:style>
  <w:style w:type="paragraph" w:styleId="TOC1">
    <w:name w:val="toc 1"/>
    <w:basedOn w:val="Normal"/>
    <w:next w:val="Normal"/>
    <w:autoRedefine/>
    <w:semiHidden/>
    <w:pPr>
      <w:spacing w:before="120" w:after="120"/>
    </w:pPr>
    <w:rPr>
      <w:b/>
      <w:bCs/>
      <w:caps/>
      <w:sz w:val="20"/>
      <w:szCs w:val="20"/>
    </w:rPr>
  </w:style>
  <w:style w:type="character" w:styleId="Hyperlink">
    <w:name w:val="Hyperlink"/>
    <w:rPr>
      <w:rFonts w:ascii="Palatino Linotype" w:hAnsi="Palatino Linotype"/>
      <w:color w:val="0000FF"/>
      <w:sz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vsDraft">
    <w:name w:val="vsDraft"/>
    <w:basedOn w:val="Normal"/>
    <w:pPr>
      <w:tabs>
        <w:tab w:val="left" w:pos="1440"/>
        <w:tab w:val="left" w:pos="2160"/>
        <w:tab w:val="left" w:pos="2880"/>
      </w:tabs>
      <w:spacing w:before="120" w:after="120"/>
      <w:jc w:val="center"/>
    </w:pPr>
    <w:rPr>
      <w:b/>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odyTextChar">
    <w:name w:val="Body Text Char"/>
    <w:link w:val="BodyText"/>
    <w:rPr>
      <w:sz w:val="24"/>
      <w:szCs w:val="24"/>
      <w:lang w:val="en-US" w:eastAsia="en-US" w:bidi="ar-SA"/>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Style2">
    <w:name w:val="Style2"/>
    <w:basedOn w:val="TOC1"/>
    <w:autoRedefine/>
    <w:pPr>
      <w:tabs>
        <w:tab w:val="left" w:pos="480"/>
        <w:tab w:val="right" w:leader="dot" w:pos="8630"/>
      </w:tabs>
    </w:pPr>
    <w:rPr>
      <w:rFonts w:ascii="Palatino Linotype" w:hAnsi="Palatino Linotype"/>
      <w:b w:val="0"/>
      <w:noProof/>
      <w:sz w:val="24"/>
    </w:rPr>
  </w:style>
  <w:style w:type="character" w:customStyle="1" w:styleId="FooterChar">
    <w:name w:val="Footer Char"/>
    <w:link w:val="Footer"/>
    <w:uiPriority w:val="99"/>
    <w:rsid w:val="00D5377A"/>
    <w:rPr>
      <w:sz w:val="24"/>
      <w:szCs w:val="24"/>
    </w:rPr>
  </w:style>
  <w:style w:type="paragraph" w:styleId="Index1">
    <w:name w:val="index 1"/>
    <w:basedOn w:val="Normal"/>
    <w:next w:val="Normal"/>
    <w:autoRedefine/>
    <w:semiHidden/>
    <w:pPr>
      <w:ind w:left="240" w:hanging="240"/>
    </w:pPr>
    <w:rPr>
      <w:rFonts w:ascii="Palatino Linotype" w:hAnsi="Palatino Linotype"/>
    </w:rPr>
  </w:style>
</w:styles>
</file>

<file path=word/webSettings.xml><?xml version="1.0" encoding="utf-8"?>
<w:webSettings xmlns:r="http://schemas.openxmlformats.org/officeDocument/2006/relationships" xmlns:w="http://schemas.openxmlformats.org/wordprocessingml/2006/main">
  <w:divs>
    <w:div w:id="37628153">
      <w:bodyDiv w:val="1"/>
      <w:marLeft w:val="0"/>
      <w:marRight w:val="0"/>
      <w:marTop w:val="0"/>
      <w:marBottom w:val="0"/>
      <w:divBdr>
        <w:top w:val="none" w:sz="0" w:space="0" w:color="auto"/>
        <w:left w:val="none" w:sz="0" w:space="0" w:color="auto"/>
        <w:bottom w:val="none" w:sz="0" w:space="0" w:color="auto"/>
        <w:right w:val="none" w:sz="0" w:space="0" w:color="auto"/>
      </w:divBdr>
    </w:div>
    <w:div w:id="770008967">
      <w:bodyDiv w:val="1"/>
      <w:marLeft w:val="0"/>
      <w:marRight w:val="0"/>
      <w:marTop w:val="0"/>
      <w:marBottom w:val="0"/>
      <w:divBdr>
        <w:top w:val="none" w:sz="0" w:space="0" w:color="auto"/>
        <w:left w:val="none" w:sz="0" w:space="0" w:color="auto"/>
        <w:bottom w:val="none" w:sz="0" w:space="0" w:color="auto"/>
        <w:right w:val="none" w:sz="0" w:space="0" w:color="auto"/>
      </w:divBdr>
    </w:div>
    <w:div w:id="1549300600">
      <w:bodyDiv w:val="1"/>
      <w:marLeft w:val="0"/>
      <w:marRight w:val="0"/>
      <w:marTop w:val="0"/>
      <w:marBottom w:val="0"/>
      <w:divBdr>
        <w:top w:val="none" w:sz="0" w:space="0" w:color="auto"/>
        <w:left w:val="none" w:sz="0" w:space="0" w:color="auto"/>
        <w:bottom w:val="none" w:sz="0" w:space="0" w:color="auto"/>
        <w:right w:val="none" w:sz="0" w:space="0" w:color="auto"/>
      </w:divBdr>
    </w:div>
    <w:div w:id="16782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8114</Characters>
  <Application>Microsoft Office Word</Application>
  <DocSecurity>4</DocSecurity>
  <Lines>219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2012-07-26T21:11:00Z</dcterms:created>
  <dcterms:modified xsi:type="dcterms:W3CDTF">2012-07-26T21:11:00Z</dcterms:modified>
</cp:coreProperties>
</file>