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36" w:rsidRDefault="00954136" w:rsidP="00954136">
      <w:pPr>
        <w:jc w:val="center"/>
        <w:rPr>
          <w:rFonts w:ascii="Arial Bold" w:hAnsi="Arial Bold"/>
          <w:b/>
          <w:smallCaps/>
          <w:sz w:val="28"/>
          <w:szCs w:val="28"/>
        </w:rPr>
      </w:pPr>
      <w:r>
        <w:rPr>
          <w:rFonts w:ascii="Arial Bold" w:hAnsi="Arial Bold"/>
          <w:b/>
          <w:smallCaps/>
          <w:sz w:val="28"/>
          <w:szCs w:val="28"/>
        </w:rPr>
        <w:t>Before</w:t>
      </w:r>
    </w:p>
    <w:p w:rsidR="00954136" w:rsidRDefault="00954136" w:rsidP="00954136">
      <w:pPr>
        <w:jc w:val="center"/>
        <w:rPr>
          <w:rFonts w:ascii="Arial Bold" w:hAnsi="Arial Bold"/>
          <w:smallCaps/>
          <w:sz w:val="28"/>
          <w:szCs w:val="28"/>
        </w:rPr>
      </w:pPr>
      <w:r>
        <w:rPr>
          <w:rFonts w:ascii="Arial Bold" w:hAnsi="Arial Bold"/>
          <w:b/>
          <w:smallCaps/>
          <w:sz w:val="28"/>
          <w:szCs w:val="28"/>
        </w:rPr>
        <w:t>The Public Utilities Commission of Ohio</w:t>
      </w:r>
    </w:p>
    <w:p w:rsidR="00954136" w:rsidRDefault="00954136" w:rsidP="00954136"/>
    <w:p w:rsidR="00954136" w:rsidRDefault="00954136" w:rsidP="00954136">
      <w:pPr>
        <w:tabs>
          <w:tab w:val="left" w:pos="4680"/>
          <w:tab w:val="left" w:pos="5220"/>
        </w:tabs>
        <w:autoSpaceDE w:val="0"/>
        <w:autoSpaceDN w:val="0"/>
        <w:adjustRightInd w:val="0"/>
        <w:rPr>
          <w:rFonts w:cs="Arial"/>
        </w:rPr>
      </w:pPr>
      <w:r>
        <w:rPr>
          <w:rFonts w:cs="Arial"/>
        </w:rPr>
        <w:t>In the Matter of the Commission’s Review</w:t>
      </w:r>
      <w:r>
        <w:rPr>
          <w:rFonts w:cs="Arial"/>
        </w:rPr>
        <w:tab/>
        <w:t>)</w:t>
      </w:r>
    </w:p>
    <w:p w:rsidR="00954136" w:rsidRDefault="00954136" w:rsidP="00954136">
      <w:pPr>
        <w:tabs>
          <w:tab w:val="left" w:pos="4680"/>
          <w:tab w:val="left" w:pos="5220"/>
        </w:tabs>
        <w:autoSpaceDE w:val="0"/>
        <w:autoSpaceDN w:val="0"/>
        <w:adjustRightInd w:val="0"/>
        <w:rPr>
          <w:rFonts w:cs="Arial"/>
        </w:rPr>
      </w:pPr>
      <w:r>
        <w:rPr>
          <w:rFonts w:cs="Arial"/>
        </w:rPr>
        <w:t>of Customer Rate Impacts from Ohio</w:t>
      </w:r>
      <w:r>
        <w:rPr>
          <w:rFonts w:cs="Arial"/>
        </w:rPr>
        <w:tab/>
        <w:t>)</w:t>
      </w:r>
      <w:r>
        <w:rPr>
          <w:rFonts w:cs="Arial"/>
        </w:rPr>
        <w:tab/>
        <w:t>Case No. 13-1530-EL-UNC</w:t>
      </w:r>
    </w:p>
    <w:p w:rsidR="00954136" w:rsidRDefault="00954136" w:rsidP="00954136">
      <w:pPr>
        <w:tabs>
          <w:tab w:val="left" w:pos="4680"/>
          <w:tab w:val="left" w:pos="5220"/>
        </w:tabs>
        <w:autoSpaceDE w:val="0"/>
        <w:autoSpaceDN w:val="0"/>
        <w:adjustRightInd w:val="0"/>
        <w:rPr>
          <w:rFonts w:cs="Arial"/>
        </w:rPr>
      </w:pPr>
      <w:r>
        <w:rPr>
          <w:rFonts w:cs="Arial"/>
        </w:rPr>
        <w:t>Power Company’s Transition to Market</w:t>
      </w:r>
      <w:r>
        <w:rPr>
          <w:rFonts w:cs="Arial"/>
        </w:rPr>
        <w:tab/>
        <w:t>)</w:t>
      </w:r>
    </w:p>
    <w:p w:rsidR="00954136" w:rsidRDefault="00954136" w:rsidP="00954136">
      <w:pPr>
        <w:tabs>
          <w:tab w:val="left" w:pos="4680"/>
          <w:tab w:val="left" w:pos="5220"/>
        </w:tabs>
        <w:autoSpaceDE w:val="0"/>
        <w:autoSpaceDN w:val="0"/>
        <w:adjustRightInd w:val="0"/>
      </w:pPr>
      <w:r>
        <w:rPr>
          <w:rFonts w:cs="Arial"/>
        </w:rPr>
        <w:t>Based Rates.</w:t>
      </w:r>
      <w:r>
        <w:rPr>
          <w:rFonts w:cs="Arial"/>
        </w:rPr>
        <w:tab/>
        <w:t>)</w:t>
      </w:r>
      <w:r>
        <w:rPr>
          <w:rFonts w:cs="Arial"/>
        </w:rPr>
        <w:tab/>
      </w:r>
    </w:p>
    <w:p w:rsidR="00954136" w:rsidRDefault="00954136" w:rsidP="00954136"/>
    <w:p w:rsidR="00954136" w:rsidRDefault="00954136" w:rsidP="00954136"/>
    <w:p w:rsidR="00954136" w:rsidRDefault="00954136" w:rsidP="00954136">
      <w:pPr>
        <w:pBdr>
          <w:top w:val="single" w:sz="12" w:space="1" w:color="auto"/>
        </w:pBdr>
        <w:jc w:val="center"/>
        <w:rPr>
          <w:b/>
        </w:rPr>
      </w:pPr>
    </w:p>
    <w:p w:rsidR="00954136" w:rsidRDefault="00954136" w:rsidP="00954136">
      <w:pPr>
        <w:jc w:val="center"/>
        <w:rPr>
          <w:rFonts w:ascii="Arial Bold" w:hAnsi="Arial Bold"/>
          <w:b/>
          <w:smallCaps/>
          <w:sz w:val="28"/>
          <w:szCs w:val="28"/>
        </w:rPr>
      </w:pPr>
      <w:r>
        <w:rPr>
          <w:rFonts w:ascii="Arial Bold" w:hAnsi="Arial Bold"/>
          <w:b/>
          <w:smallCaps/>
          <w:sz w:val="28"/>
          <w:szCs w:val="28"/>
        </w:rPr>
        <w:t>Comments of Industrial Energy Users-Ohio</w:t>
      </w:r>
    </w:p>
    <w:p w:rsidR="00954136" w:rsidRDefault="00954136" w:rsidP="00954136">
      <w:pPr>
        <w:pBdr>
          <w:bottom w:val="single" w:sz="12" w:space="1" w:color="auto"/>
        </w:pBdr>
        <w:jc w:val="center"/>
        <w:rPr>
          <w:b/>
        </w:rPr>
      </w:pPr>
    </w:p>
    <w:p w:rsidR="008E3BF4" w:rsidRDefault="008E3BF4"/>
    <w:p w:rsidR="00954136" w:rsidRDefault="00954136"/>
    <w:p w:rsidR="00954136" w:rsidRDefault="00954136"/>
    <w:p w:rsidR="00954136" w:rsidRDefault="00954136"/>
    <w:p w:rsidR="00954136" w:rsidRDefault="00954136"/>
    <w:p w:rsidR="00954136" w:rsidRDefault="00954136"/>
    <w:p w:rsidR="00954136" w:rsidRDefault="00954136"/>
    <w:p w:rsidR="00954136" w:rsidRDefault="00954136"/>
    <w:p w:rsidR="00954136" w:rsidRDefault="00954136"/>
    <w:p w:rsidR="00954136" w:rsidRDefault="00954136"/>
    <w:p w:rsidR="00954136" w:rsidRDefault="00954136"/>
    <w:p w:rsidR="00954136" w:rsidRDefault="00954136"/>
    <w:p w:rsidR="00954136" w:rsidRPr="00FA702C" w:rsidRDefault="00954136" w:rsidP="00954136">
      <w:pPr>
        <w:tabs>
          <w:tab w:val="left" w:pos="4320"/>
          <w:tab w:val="right" w:pos="8640"/>
        </w:tabs>
        <w:ind w:left="4320"/>
        <w:jc w:val="both"/>
        <w:rPr>
          <w:rFonts w:cs="Arial"/>
        </w:rPr>
      </w:pPr>
      <w:r w:rsidRPr="00FA702C">
        <w:rPr>
          <w:rFonts w:cs="Arial"/>
        </w:rPr>
        <w:t>Samuel C. Randazzo (Counsel of Record)</w:t>
      </w:r>
    </w:p>
    <w:p w:rsidR="00954136" w:rsidRPr="00FA702C" w:rsidRDefault="00954136" w:rsidP="00954136">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954136" w:rsidRPr="00FA702C" w:rsidRDefault="00954136" w:rsidP="00954136">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954136" w:rsidRPr="00FA702C" w:rsidRDefault="00954136" w:rsidP="00954136">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954136" w:rsidRPr="00FA702C" w:rsidRDefault="00954136" w:rsidP="00954136">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954136" w:rsidRPr="00FA702C" w:rsidRDefault="00954136" w:rsidP="00954136">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Columbus, OH  43215</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Telephone:  (614) 469-8000</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Telecopier:  (614) 469-4653</w:t>
      </w:r>
    </w:p>
    <w:p w:rsidR="00954136" w:rsidRPr="00FA702C" w:rsidRDefault="00954136" w:rsidP="00954136">
      <w:pPr>
        <w:pStyle w:val="BodyText"/>
        <w:ind w:left="4320"/>
        <w:rPr>
          <w:b w:val="0"/>
          <w:smallCaps w:val="0"/>
          <w:sz w:val="24"/>
          <w:szCs w:val="24"/>
        </w:rPr>
      </w:pPr>
      <w:r w:rsidRPr="00FA702C">
        <w:rPr>
          <w:b w:val="0"/>
          <w:smallCaps w:val="0"/>
          <w:sz w:val="24"/>
          <w:szCs w:val="24"/>
        </w:rPr>
        <w:t>sam@mwncmh.com</w:t>
      </w:r>
    </w:p>
    <w:p w:rsidR="00954136" w:rsidRPr="00FA702C" w:rsidRDefault="00954136" w:rsidP="00954136">
      <w:pPr>
        <w:pStyle w:val="BodyText"/>
        <w:ind w:left="4320"/>
        <w:rPr>
          <w:b w:val="0"/>
          <w:smallCaps w:val="0"/>
          <w:sz w:val="24"/>
          <w:szCs w:val="24"/>
        </w:rPr>
      </w:pPr>
      <w:r w:rsidRPr="00FA702C">
        <w:rPr>
          <w:b w:val="0"/>
          <w:smallCaps w:val="0"/>
          <w:sz w:val="24"/>
          <w:szCs w:val="24"/>
        </w:rPr>
        <w:t>fdarr@mwncmh.com</w:t>
      </w:r>
    </w:p>
    <w:p w:rsidR="00954136" w:rsidRPr="00FA702C" w:rsidRDefault="00954136" w:rsidP="00954136">
      <w:pPr>
        <w:pStyle w:val="BodyText"/>
        <w:ind w:left="4320"/>
        <w:rPr>
          <w:b w:val="0"/>
          <w:smallCaps w:val="0"/>
          <w:sz w:val="24"/>
          <w:szCs w:val="24"/>
        </w:rPr>
      </w:pPr>
      <w:r w:rsidRPr="00FA702C">
        <w:rPr>
          <w:b w:val="0"/>
          <w:smallCaps w:val="0"/>
          <w:sz w:val="24"/>
          <w:szCs w:val="24"/>
        </w:rPr>
        <w:t>joliker@mwncmh.com</w:t>
      </w:r>
    </w:p>
    <w:p w:rsidR="00954136" w:rsidRPr="00FA702C" w:rsidRDefault="00954136" w:rsidP="00954136">
      <w:pPr>
        <w:pStyle w:val="BodyText"/>
        <w:ind w:left="4320"/>
        <w:rPr>
          <w:rFonts w:cs="Arial"/>
          <w:b w:val="0"/>
          <w:sz w:val="24"/>
          <w:szCs w:val="24"/>
        </w:rPr>
      </w:pPr>
      <w:r w:rsidRPr="00FA702C">
        <w:rPr>
          <w:rFonts w:cs="Arial"/>
          <w:b w:val="0"/>
          <w:smallCaps w:val="0"/>
          <w:sz w:val="24"/>
          <w:szCs w:val="24"/>
        </w:rPr>
        <w:t>mpritchard@mwncmh.com</w:t>
      </w:r>
    </w:p>
    <w:p w:rsidR="00954136" w:rsidRPr="00FA702C" w:rsidRDefault="00954136" w:rsidP="00954136">
      <w:pPr>
        <w:pStyle w:val="BodyText"/>
        <w:ind w:left="4320"/>
        <w:rPr>
          <w:rFonts w:cs="Arial"/>
          <w:sz w:val="24"/>
          <w:szCs w:val="24"/>
        </w:rPr>
      </w:pPr>
    </w:p>
    <w:p w:rsidR="00954136" w:rsidRDefault="00954136" w:rsidP="00954136">
      <w:pPr>
        <w:jc w:val="both"/>
        <w:rPr>
          <w:rFonts w:cs="Arial"/>
          <w:b/>
        </w:rPr>
      </w:pPr>
      <w:r>
        <w:rPr>
          <w:rFonts w:cs="Arial"/>
          <w:b/>
        </w:rPr>
        <w:t xml:space="preserve">February </w:t>
      </w:r>
      <w:r w:rsidR="00497B0B">
        <w:rPr>
          <w:rFonts w:cs="Arial"/>
          <w:b/>
        </w:rPr>
        <w:t>24</w:t>
      </w:r>
      <w:r>
        <w:rPr>
          <w:rFonts w:cs="Arial"/>
          <w:b/>
        </w:rPr>
        <w:t xml:space="preserve">, </w:t>
      </w:r>
      <w:r w:rsidRPr="00FA702C">
        <w:rPr>
          <w:rFonts w:cs="Arial"/>
          <w:b/>
        </w:rPr>
        <w:t>2014</w:t>
      </w:r>
      <w:r w:rsidRPr="00FA702C">
        <w:rPr>
          <w:rFonts w:cs="Arial"/>
          <w:b/>
        </w:rPr>
        <w:tab/>
      </w:r>
      <w:r>
        <w:rPr>
          <w:rFonts w:cs="Arial"/>
          <w:b/>
        </w:rPr>
        <w:tab/>
      </w:r>
      <w:r>
        <w:rPr>
          <w:rFonts w:cs="Arial"/>
          <w:b/>
        </w:rPr>
        <w:tab/>
      </w:r>
      <w:r w:rsidR="00B776EA">
        <w:rPr>
          <w:rFonts w:cs="Arial"/>
          <w:b/>
        </w:rPr>
        <w:tab/>
      </w:r>
      <w:r w:rsidRPr="00FA702C">
        <w:rPr>
          <w:rFonts w:cs="Arial"/>
          <w:b/>
        </w:rPr>
        <w:t>Attorneys for Industrial Energy Users-Ohio</w:t>
      </w:r>
    </w:p>
    <w:p w:rsidR="00954136" w:rsidRDefault="00954136">
      <w:pPr>
        <w:sectPr w:rsidR="00954136" w:rsidSect="00C040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954136" w:rsidRDefault="00954136" w:rsidP="00954136">
      <w:pPr>
        <w:jc w:val="center"/>
        <w:rPr>
          <w:rFonts w:ascii="Arial Bold" w:hAnsi="Arial Bold"/>
          <w:b/>
          <w:smallCaps/>
          <w:sz w:val="28"/>
          <w:szCs w:val="28"/>
        </w:rPr>
      </w:pPr>
      <w:r>
        <w:rPr>
          <w:rFonts w:ascii="Arial Bold" w:hAnsi="Arial Bold"/>
          <w:b/>
          <w:smallCaps/>
          <w:sz w:val="28"/>
          <w:szCs w:val="28"/>
        </w:rPr>
        <w:lastRenderedPageBreak/>
        <w:t>Before</w:t>
      </w:r>
    </w:p>
    <w:p w:rsidR="00954136" w:rsidRDefault="00954136" w:rsidP="00954136">
      <w:pPr>
        <w:jc w:val="center"/>
        <w:rPr>
          <w:rFonts w:ascii="Arial Bold" w:hAnsi="Arial Bold"/>
          <w:smallCaps/>
          <w:sz w:val="28"/>
          <w:szCs w:val="28"/>
        </w:rPr>
      </w:pPr>
      <w:r>
        <w:rPr>
          <w:rFonts w:ascii="Arial Bold" w:hAnsi="Arial Bold"/>
          <w:b/>
          <w:smallCaps/>
          <w:sz w:val="28"/>
          <w:szCs w:val="28"/>
        </w:rPr>
        <w:t>The Public Utilities Commission of Ohio</w:t>
      </w:r>
    </w:p>
    <w:p w:rsidR="00954136" w:rsidRDefault="00954136" w:rsidP="00954136"/>
    <w:p w:rsidR="00954136" w:rsidRDefault="00954136" w:rsidP="00954136">
      <w:pPr>
        <w:tabs>
          <w:tab w:val="left" w:pos="4680"/>
          <w:tab w:val="left" w:pos="5220"/>
        </w:tabs>
        <w:autoSpaceDE w:val="0"/>
        <w:autoSpaceDN w:val="0"/>
        <w:adjustRightInd w:val="0"/>
        <w:rPr>
          <w:rFonts w:cs="Arial"/>
        </w:rPr>
      </w:pPr>
      <w:r>
        <w:rPr>
          <w:rFonts w:cs="Arial"/>
        </w:rPr>
        <w:t>In the Matter of the Commission’s Review</w:t>
      </w:r>
      <w:r>
        <w:rPr>
          <w:rFonts w:cs="Arial"/>
        </w:rPr>
        <w:tab/>
        <w:t>)</w:t>
      </w:r>
    </w:p>
    <w:p w:rsidR="00954136" w:rsidRDefault="00954136" w:rsidP="00954136">
      <w:pPr>
        <w:tabs>
          <w:tab w:val="left" w:pos="4680"/>
          <w:tab w:val="left" w:pos="5220"/>
        </w:tabs>
        <w:autoSpaceDE w:val="0"/>
        <w:autoSpaceDN w:val="0"/>
        <w:adjustRightInd w:val="0"/>
        <w:rPr>
          <w:rFonts w:cs="Arial"/>
        </w:rPr>
      </w:pPr>
      <w:r>
        <w:rPr>
          <w:rFonts w:cs="Arial"/>
        </w:rPr>
        <w:t>of Customer Rate Impacts from Ohio</w:t>
      </w:r>
      <w:r>
        <w:rPr>
          <w:rFonts w:cs="Arial"/>
        </w:rPr>
        <w:tab/>
        <w:t>)</w:t>
      </w:r>
      <w:r>
        <w:rPr>
          <w:rFonts w:cs="Arial"/>
        </w:rPr>
        <w:tab/>
        <w:t>Case No. 13-1530-EL-UNC</w:t>
      </w:r>
    </w:p>
    <w:p w:rsidR="00954136" w:rsidRDefault="00954136" w:rsidP="00954136">
      <w:pPr>
        <w:tabs>
          <w:tab w:val="left" w:pos="4680"/>
          <w:tab w:val="left" w:pos="5220"/>
        </w:tabs>
        <w:autoSpaceDE w:val="0"/>
        <w:autoSpaceDN w:val="0"/>
        <w:adjustRightInd w:val="0"/>
        <w:rPr>
          <w:rFonts w:cs="Arial"/>
        </w:rPr>
      </w:pPr>
      <w:r>
        <w:rPr>
          <w:rFonts w:cs="Arial"/>
        </w:rPr>
        <w:t>Power Company’s Transition to Market</w:t>
      </w:r>
      <w:r>
        <w:rPr>
          <w:rFonts w:cs="Arial"/>
        </w:rPr>
        <w:tab/>
        <w:t>)</w:t>
      </w:r>
    </w:p>
    <w:p w:rsidR="00954136" w:rsidRDefault="00954136" w:rsidP="00954136">
      <w:pPr>
        <w:tabs>
          <w:tab w:val="left" w:pos="4680"/>
          <w:tab w:val="left" w:pos="5220"/>
        </w:tabs>
        <w:autoSpaceDE w:val="0"/>
        <w:autoSpaceDN w:val="0"/>
        <w:adjustRightInd w:val="0"/>
      </w:pPr>
      <w:r>
        <w:rPr>
          <w:rFonts w:cs="Arial"/>
        </w:rPr>
        <w:t>Based Rates.</w:t>
      </w:r>
      <w:r>
        <w:rPr>
          <w:rFonts w:cs="Arial"/>
        </w:rPr>
        <w:tab/>
        <w:t>)</w:t>
      </w:r>
      <w:r>
        <w:rPr>
          <w:rFonts w:cs="Arial"/>
        </w:rPr>
        <w:tab/>
      </w:r>
    </w:p>
    <w:p w:rsidR="00954136" w:rsidRDefault="00954136" w:rsidP="00954136"/>
    <w:p w:rsidR="00954136" w:rsidRDefault="00954136" w:rsidP="00954136"/>
    <w:p w:rsidR="00954136" w:rsidRDefault="00954136" w:rsidP="00954136">
      <w:pPr>
        <w:pBdr>
          <w:top w:val="single" w:sz="12" w:space="1" w:color="auto"/>
        </w:pBdr>
        <w:jc w:val="center"/>
        <w:rPr>
          <w:b/>
        </w:rPr>
      </w:pPr>
    </w:p>
    <w:p w:rsidR="00954136" w:rsidRDefault="00954136" w:rsidP="00954136">
      <w:pPr>
        <w:jc w:val="center"/>
        <w:rPr>
          <w:rFonts w:ascii="Arial Bold" w:hAnsi="Arial Bold"/>
          <w:b/>
          <w:smallCaps/>
          <w:sz w:val="28"/>
          <w:szCs w:val="28"/>
        </w:rPr>
      </w:pPr>
      <w:r>
        <w:rPr>
          <w:rFonts w:ascii="Arial Bold" w:hAnsi="Arial Bold"/>
          <w:b/>
          <w:smallCaps/>
          <w:sz w:val="28"/>
          <w:szCs w:val="28"/>
        </w:rPr>
        <w:t>Comments of Industrial Energy Users-Ohio</w:t>
      </w:r>
    </w:p>
    <w:p w:rsidR="00954136" w:rsidRDefault="00954136" w:rsidP="00954136">
      <w:pPr>
        <w:pBdr>
          <w:bottom w:val="single" w:sz="12" w:space="1" w:color="auto"/>
        </w:pBdr>
        <w:jc w:val="center"/>
        <w:rPr>
          <w:b/>
        </w:rPr>
      </w:pPr>
    </w:p>
    <w:p w:rsidR="00954136" w:rsidRDefault="00954136" w:rsidP="00954136"/>
    <w:p w:rsidR="00954136" w:rsidRDefault="00954136" w:rsidP="005E1136">
      <w:pPr>
        <w:pStyle w:val="ListParagraph"/>
        <w:numPr>
          <w:ilvl w:val="0"/>
          <w:numId w:val="2"/>
        </w:numPr>
        <w:spacing w:before="120"/>
        <w:ind w:left="0" w:firstLine="0"/>
        <w:rPr>
          <w:b/>
        </w:rPr>
      </w:pPr>
      <w:r w:rsidRPr="00954136">
        <w:rPr>
          <w:b/>
        </w:rPr>
        <w:t>INTRODUCTION</w:t>
      </w:r>
    </w:p>
    <w:p w:rsidR="00E657AB" w:rsidRDefault="00E657AB" w:rsidP="00E657AB">
      <w:pPr>
        <w:rPr>
          <w:b/>
        </w:rPr>
      </w:pPr>
    </w:p>
    <w:p w:rsidR="0073473C" w:rsidRDefault="00AF6CAC" w:rsidP="0073473C">
      <w:pPr>
        <w:spacing w:line="480" w:lineRule="auto"/>
        <w:ind w:firstLine="720"/>
        <w:jc w:val="both"/>
      </w:pPr>
      <w:r>
        <w:t>The Public Utilities Commission of Ohio (“Commission”) opened this proceeding to gather information regarding the rate impact of Ohio Power Company’s (“AEP-Ohio”) t</w:t>
      </w:r>
      <w:r w:rsidR="009350A5">
        <w:t>ransition to market-based rates</w:t>
      </w:r>
      <w:r>
        <w:t xml:space="preserve"> and to “[i]dentify any options that would mitigate adverse impacts that may result from implementing the CBP </w:t>
      </w:r>
      <w:r w:rsidR="009350A5">
        <w:t xml:space="preserve">[“competitive bidding process”] </w:t>
      </w:r>
      <w:r>
        <w:t>auction retail rate design.”</w:t>
      </w:r>
      <w:r w:rsidR="00D02170">
        <w:rPr>
          <w:rStyle w:val="FootnoteReference"/>
        </w:rPr>
        <w:footnoteReference w:id="1"/>
      </w:r>
      <w:r w:rsidR="002B6BE3">
        <w:t xml:space="preserve">  As required by the Commission’s Entry, AEP-Ohio filed projected rate impacts for each customer class.</w:t>
      </w:r>
      <w:r w:rsidR="0071756C">
        <w:t xml:space="preserve"> </w:t>
      </w:r>
      <w:r w:rsidR="00A47207">
        <w:t xml:space="preserve"> </w:t>
      </w:r>
      <w:r w:rsidR="0073473C">
        <w:t>The information filed by</w:t>
      </w:r>
      <w:r w:rsidR="00A47207">
        <w:t xml:space="preserve"> </w:t>
      </w:r>
      <w:r w:rsidR="0071756C">
        <w:t>AEP-Ohio</w:t>
      </w:r>
      <w:r w:rsidR="002B6BE3">
        <w:t>, however, indicates that customers will</w:t>
      </w:r>
      <w:r w:rsidR="001D0966">
        <w:t xml:space="preserve"> be</w:t>
      </w:r>
      <w:r w:rsidR="002B6BE3">
        <w:t xml:space="preserve"> adversely impacted primarily </w:t>
      </w:r>
      <w:r w:rsidR="0073473C">
        <w:t xml:space="preserve">by AEP-Ohio’s </w:t>
      </w:r>
      <w:r w:rsidR="006A5D04">
        <w:t xml:space="preserve">annual </w:t>
      </w:r>
      <w:r w:rsidR="004553F8">
        <w:t>double</w:t>
      </w:r>
      <w:r w:rsidR="0071756C">
        <w:t xml:space="preserve"> recovery</w:t>
      </w:r>
      <w:r w:rsidR="006A5D04">
        <w:t xml:space="preserve"> of $110 million</w:t>
      </w:r>
      <w:r w:rsidR="00606665">
        <w:rPr>
          <w:rStyle w:val="FootnoteReference"/>
        </w:rPr>
        <w:footnoteReference w:id="2"/>
      </w:r>
      <w:r w:rsidR="006A5D04">
        <w:t xml:space="preserve"> </w:t>
      </w:r>
      <w:r w:rsidR="0071756C">
        <w:t>of</w:t>
      </w:r>
      <w:r w:rsidR="00F72B38">
        <w:t xml:space="preserve"> purchased power costs through the Fixed Cost Rider (“FCR”)</w:t>
      </w:r>
      <w:r w:rsidR="0073473C">
        <w:t>.</w:t>
      </w:r>
    </w:p>
    <w:p w:rsidR="00350675" w:rsidRDefault="007D133E" w:rsidP="0073473C">
      <w:pPr>
        <w:spacing w:line="480" w:lineRule="auto"/>
        <w:ind w:firstLine="720"/>
        <w:jc w:val="both"/>
      </w:pPr>
      <w:r>
        <w:t>Although the Commission is</w:t>
      </w:r>
      <w:r w:rsidR="00880D6A">
        <w:t xml:space="preserve"> investigating</w:t>
      </w:r>
      <w:r w:rsidR="00F72B38">
        <w:t xml:space="preserve"> the</w:t>
      </w:r>
      <w:r w:rsidR="00880D6A">
        <w:t xml:space="preserve"> </w:t>
      </w:r>
      <w:r w:rsidR="003D05DF">
        <w:t xml:space="preserve">FCR </w:t>
      </w:r>
      <w:r w:rsidR="00880D6A">
        <w:t>double rec</w:t>
      </w:r>
      <w:r>
        <w:t>overy</w:t>
      </w:r>
      <w:r w:rsidR="00F74C1E">
        <w:t xml:space="preserve"> in AEP-Ohio’s </w:t>
      </w:r>
      <w:r w:rsidR="006330AF">
        <w:t>fuel adjustment clause (“</w:t>
      </w:r>
      <w:r w:rsidR="00F72B38">
        <w:t>FAC</w:t>
      </w:r>
      <w:r w:rsidR="006330AF">
        <w:t>”)</w:t>
      </w:r>
      <w:r w:rsidR="00F72B38">
        <w:t xml:space="preserve"> cases</w:t>
      </w:r>
      <w:r>
        <w:t>,</w:t>
      </w:r>
      <w:r w:rsidR="00F72B38">
        <w:t xml:space="preserve"> customers will continue to pay these charges in the near term</w:t>
      </w:r>
      <w:r w:rsidR="00880D6A">
        <w:t>.</w:t>
      </w:r>
      <w:r w:rsidR="00F72B38">
        <w:t xml:space="preserve">  </w:t>
      </w:r>
      <w:r w:rsidR="00350675">
        <w:t>Industrial Energy Users-Ohio (“IEU-Ohio”)</w:t>
      </w:r>
      <w:r w:rsidR="006A5D04">
        <w:t xml:space="preserve"> urges the </w:t>
      </w:r>
      <w:r w:rsidR="006A5D04">
        <w:lastRenderedPageBreak/>
        <w:t>Commission to</w:t>
      </w:r>
      <w:r w:rsidR="00AA7E0F">
        <w:t xml:space="preserve"> eliminate the FCR, or, at a minimum,</w:t>
      </w:r>
      <w:r w:rsidR="006A5D04">
        <w:t xml:space="preserve"> address</w:t>
      </w:r>
      <w:r w:rsidR="00350675">
        <w:t xml:space="preserve"> AEP-Ohio’s</w:t>
      </w:r>
      <w:r w:rsidR="006A5D04">
        <w:t xml:space="preserve"> unlawful</w:t>
      </w:r>
      <w:r w:rsidR="00350675">
        <w:t xml:space="preserve"> do</w:t>
      </w:r>
      <w:r w:rsidR="00F74C1E">
        <w:t>uble recovery through the FCR</w:t>
      </w:r>
      <w:r w:rsidR="00D173B6">
        <w:t xml:space="preserve"> as expeditiously as possible</w:t>
      </w:r>
      <w:r w:rsidR="00350675">
        <w:t xml:space="preserve">. </w:t>
      </w:r>
    </w:p>
    <w:p w:rsidR="00350675" w:rsidRDefault="00350675" w:rsidP="006330AF">
      <w:pPr>
        <w:spacing w:after="120" w:line="480" w:lineRule="auto"/>
        <w:ind w:firstLine="720"/>
        <w:jc w:val="both"/>
      </w:pPr>
      <w:r>
        <w:t xml:space="preserve">Moreover, </w:t>
      </w:r>
      <w:r w:rsidR="00A47207">
        <w:t>the embedded capacity costs collected in the FCR</w:t>
      </w:r>
      <w:r w:rsidR="00690268">
        <w:t xml:space="preserve"> currently are $110 million per year.  T</w:t>
      </w:r>
      <w:r>
        <w:t>he</w:t>
      </w:r>
      <w:r w:rsidR="006A5D04">
        <w:t xml:space="preserve"> impact of the</w:t>
      </w:r>
      <w:r>
        <w:t xml:space="preserve"> FCR</w:t>
      </w:r>
      <w:r w:rsidR="006A5D04">
        <w:t xml:space="preserve"> double recovery </w:t>
      </w:r>
      <w:r>
        <w:t xml:space="preserve">will fall disproportionately on </w:t>
      </w:r>
      <w:r w:rsidR="00B10701">
        <w:t xml:space="preserve">large </w:t>
      </w:r>
      <w:r>
        <w:t>cus</w:t>
      </w:r>
      <w:r w:rsidR="00D173B6">
        <w:t>tomers because AEP-Ohio proposes</w:t>
      </w:r>
      <w:r>
        <w:t xml:space="preserve"> to recover it through an energy-base</w:t>
      </w:r>
      <w:r w:rsidR="00D173B6">
        <w:t>d</w:t>
      </w:r>
      <w:r>
        <w:t xml:space="preserve"> charge.  Bec</w:t>
      </w:r>
      <w:r w:rsidR="002D3B3E">
        <w:t>ause the FCR will recover capacity costs</w:t>
      </w:r>
      <w:r>
        <w:t xml:space="preserve"> (fixed costs), until such time as the Commiss</w:t>
      </w:r>
      <w:r w:rsidR="006A5D04">
        <w:t>ion disallows the FCR in its entirety</w:t>
      </w:r>
      <w:r>
        <w:t>, IEU-Ohio urges the Commission to direct AEP-Ohio to allocate the revenue requirement of the F</w:t>
      </w:r>
      <w:r w:rsidR="006A5D04">
        <w:t>CR using the same 5 coincident peak (“C</w:t>
      </w:r>
      <w:r>
        <w:t>P</w:t>
      </w:r>
      <w:r w:rsidR="006A5D04">
        <w:t xml:space="preserve">”) </w:t>
      </w:r>
      <w:r>
        <w:t>method it used to allocate capacity costs.</w:t>
      </w:r>
      <w:r w:rsidR="00C5378C">
        <w:rPr>
          <w:rStyle w:val="FootnoteReference"/>
        </w:rPr>
        <w:footnoteReference w:id="3"/>
      </w:r>
    </w:p>
    <w:p w:rsidR="00350675" w:rsidRDefault="00350675" w:rsidP="006330AF">
      <w:pPr>
        <w:pStyle w:val="ListParagraph"/>
        <w:numPr>
          <w:ilvl w:val="0"/>
          <w:numId w:val="2"/>
        </w:numPr>
        <w:spacing w:line="480" w:lineRule="auto"/>
        <w:ind w:left="720"/>
        <w:jc w:val="both"/>
        <w:rPr>
          <w:b/>
        </w:rPr>
      </w:pPr>
      <w:r>
        <w:rPr>
          <w:b/>
        </w:rPr>
        <w:t>BACKGROUND</w:t>
      </w:r>
      <w:r w:rsidR="00060FD9">
        <w:rPr>
          <w:b/>
        </w:rPr>
        <w:t xml:space="preserve"> </w:t>
      </w:r>
      <w:r w:rsidR="00B20ACD">
        <w:rPr>
          <w:b/>
        </w:rPr>
        <w:t>AND COMMENTS</w:t>
      </w:r>
    </w:p>
    <w:p w:rsidR="004047A9" w:rsidRDefault="00EE3457" w:rsidP="004047A9">
      <w:pPr>
        <w:spacing w:line="480" w:lineRule="auto"/>
        <w:ind w:firstLine="720"/>
        <w:jc w:val="both"/>
        <w:rPr>
          <w:rFonts w:eastAsia="Times New Roman" w:cs="Times New Roman"/>
        </w:rPr>
      </w:pPr>
      <w:r>
        <w:rPr>
          <w:rFonts w:eastAsia="Times New Roman" w:cs="Times New Roman"/>
        </w:rPr>
        <w:t>On July 2, 20</w:t>
      </w:r>
      <w:r w:rsidR="004047A9">
        <w:rPr>
          <w:rFonts w:eastAsia="Times New Roman" w:cs="Times New Roman"/>
        </w:rPr>
        <w:t>12, the Commission</w:t>
      </w:r>
      <w:r w:rsidR="00D173B6">
        <w:rPr>
          <w:rFonts w:eastAsia="Times New Roman" w:cs="Times New Roman"/>
        </w:rPr>
        <w:t xml:space="preserve"> invented and applied a cost-based ratemaking methodology to</w:t>
      </w:r>
      <w:r w:rsidR="00690268">
        <w:rPr>
          <w:rFonts w:eastAsia="Times New Roman" w:cs="Times New Roman"/>
        </w:rPr>
        <w:t xml:space="preserve"> increase</w:t>
      </w:r>
      <w:r w:rsidR="004047A9">
        <w:rPr>
          <w:rFonts w:eastAsia="Times New Roman" w:cs="Times New Roman"/>
        </w:rPr>
        <w:t xml:space="preserve"> AEP-Ohio’s compensation for the provision of capacity serv</w:t>
      </w:r>
      <w:r w:rsidR="00D173B6">
        <w:rPr>
          <w:rFonts w:eastAsia="Times New Roman" w:cs="Times New Roman"/>
        </w:rPr>
        <w:t>ice</w:t>
      </w:r>
      <w:r w:rsidR="004047A9">
        <w:rPr>
          <w:rFonts w:eastAsia="Times New Roman" w:cs="Times New Roman"/>
        </w:rPr>
        <w:t>.</w:t>
      </w:r>
      <w:r w:rsidR="006A5D04">
        <w:rPr>
          <w:rStyle w:val="FootnoteReference"/>
          <w:rFonts w:eastAsia="Times New Roman" w:cs="Times New Roman"/>
        </w:rPr>
        <w:footnoteReference w:id="4"/>
      </w:r>
      <w:r w:rsidR="00D173B6">
        <w:rPr>
          <w:rFonts w:eastAsia="Times New Roman" w:cs="Times New Roman"/>
        </w:rPr>
        <w:t xml:space="preserve">  After applying an energy credit to AEP-Ohio’s </w:t>
      </w:r>
      <w:r w:rsidR="00606665">
        <w:rPr>
          <w:rFonts w:eastAsia="Times New Roman" w:cs="Times New Roman"/>
        </w:rPr>
        <w:t xml:space="preserve">claimed </w:t>
      </w:r>
      <w:r w:rsidR="00D173B6">
        <w:rPr>
          <w:rFonts w:eastAsia="Times New Roman" w:cs="Times New Roman"/>
        </w:rPr>
        <w:t>embedded cost of capacity, t</w:t>
      </w:r>
      <w:r w:rsidR="004047A9">
        <w:rPr>
          <w:rFonts w:eastAsia="Times New Roman" w:cs="Times New Roman"/>
        </w:rPr>
        <w:t>he Commission d</w:t>
      </w:r>
      <w:r w:rsidR="00D173B6">
        <w:rPr>
          <w:rFonts w:eastAsia="Times New Roman" w:cs="Times New Roman"/>
        </w:rPr>
        <w:t>etermined that $188.88 per megawatt day (“MW-day”)</w:t>
      </w:r>
      <w:r w:rsidR="004047A9">
        <w:rPr>
          <w:rFonts w:eastAsia="Times New Roman" w:cs="Times New Roman"/>
        </w:rPr>
        <w:t xml:space="preserve"> compensated AEP-Ohi</w:t>
      </w:r>
      <w:r w:rsidR="00D173B6">
        <w:rPr>
          <w:rFonts w:eastAsia="Times New Roman" w:cs="Times New Roman"/>
        </w:rPr>
        <w:t>o for all of its capacity costs—</w:t>
      </w:r>
      <w:r w:rsidR="004047A9">
        <w:rPr>
          <w:rFonts w:eastAsia="Times New Roman" w:cs="Times New Roman"/>
        </w:rPr>
        <w:t xml:space="preserve">including its purchased power contracts with the Ohio Valley Electric Corporation (“OVEC”) and the Lawrenceburg </w:t>
      </w:r>
      <w:r w:rsidR="00124194">
        <w:rPr>
          <w:rFonts w:eastAsia="Times New Roman" w:cs="Times New Roman"/>
        </w:rPr>
        <w:t>G</w:t>
      </w:r>
      <w:r w:rsidR="004047A9">
        <w:rPr>
          <w:rFonts w:eastAsia="Times New Roman" w:cs="Times New Roman"/>
        </w:rPr>
        <w:t>enerating Station</w:t>
      </w:r>
      <w:r w:rsidR="00BE1AB5">
        <w:rPr>
          <w:rFonts w:eastAsia="Times New Roman" w:cs="Times New Roman"/>
        </w:rPr>
        <w:t xml:space="preserve"> ("Lawrenceburg")</w:t>
      </w:r>
      <w:r w:rsidR="004047A9">
        <w:rPr>
          <w:rFonts w:eastAsia="Times New Roman" w:cs="Times New Roman"/>
        </w:rPr>
        <w:t>.</w:t>
      </w:r>
      <w:r w:rsidR="00801A31">
        <w:rPr>
          <w:rStyle w:val="FootnoteReference"/>
          <w:rFonts w:eastAsia="Times New Roman" w:cs="Times New Roman"/>
        </w:rPr>
        <w:footnoteReference w:id="5"/>
      </w:r>
      <w:r w:rsidR="004047A9">
        <w:rPr>
          <w:rFonts w:eastAsia="Times New Roman" w:cs="Times New Roman"/>
        </w:rPr>
        <w:t xml:space="preserve"> </w:t>
      </w:r>
    </w:p>
    <w:p w:rsidR="007D7628" w:rsidRPr="00690268" w:rsidRDefault="007D7628" w:rsidP="00690268">
      <w:pPr>
        <w:spacing w:line="480" w:lineRule="auto"/>
        <w:ind w:firstLine="720"/>
        <w:jc w:val="both"/>
        <w:rPr>
          <w:rFonts w:eastAsia="Times New Roman" w:cs="Times New Roman"/>
        </w:rPr>
      </w:pPr>
      <w:r w:rsidRPr="007D7628">
        <w:rPr>
          <w:rFonts w:eastAsia="Times New Roman" w:cs="Times New Roman"/>
        </w:rPr>
        <w:lastRenderedPageBreak/>
        <w:t>On August 8, 2012, the Commission issued an Opinion and Order</w:t>
      </w:r>
      <w:r w:rsidR="00273D2E">
        <w:rPr>
          <w:rStyle w:val="FootnoteReference"/>
          <w:rFonts w:eastAsia="Times New Roman" w:cs="Times New Roman"/>
        </w:rPr>
        <w:footnoteReference w:id="6"/>
      </w:r>
      <w:r w:rsidRPr="007D7628">
        <w:rPr>
          <w:rFonts w:eastAsia="Times New Roman" w:cs="Times New Roman"/>
        </w:rPr>
        <w:t xml:space="preserve"> modifying and approving AEP-Ohio’s application to establish an</w:t>
      </w:r>
      <w:r w:rsidR="00D173B6">
        <w:rPr>
          <w:rFonts w:eastAsia="Times New Roman" w:cs="Times New Roman"/>
        </w:rPr>
        <w:t xml:space="preserve"> electric security plan (“ESP”),</w:t>
      </w:r>
      <w:r w:rsidR="00D173B6">
        <w:rPr>
          <w:rStyle w:val="FootnoteReference"/>
          <w:rFonts w:eastAsia="Times New Roman" w:cs="Times New Roman"/>
        </w:rPr>
        <w:footnoteReference w:id="7"/>
      </w:r>
      <w:r w:rsidR="00D173B6">
        <w:rPr>
          <w:rFonts w:eastAsia="Times New Roman" w:cs="Times New Roman"/>
        </w:rPr>
        <w:t xml:space="preserve"> </w:t>
      </w:r>
      <w:r w:rsidRPr="007D7628">
        <w:rPr>
          <w:rFonts w:eastAsia="Times New Roman" w:cs="Times New Roman"/>
        </w:rPr>
        <w:t>and further modified the ESP through an Entry on Rehearing dated January 30, 2013</w:t>
      </w:r>
      <w:r w:rsidR="00D173B6">
        <w:rPr>
          <w:rFonts w:eastAsia="Times New Roman" w:cs="Times New Roman"/>
        </w:rPr>
        <w:t>.</w:t>
      </w:r>
      <w:r w:rsidR="00D173B6">
        <w:rPr>
          <w:rStyle w:val="FootnoteReference"/>
          <w:rFonts w:eastAsia="Times New Roman" w:cs="Times New Roman"/>
        </w:rPr>
        <w:footnoteReference w:id="8"/>
      </w:r>
      <w:r w:rsidR="00D173B6">
        <w:rPr>
          <w:rFonts w:eastAsia="Times New Roman" w:cs="Times New Roman"/>
        </w:rPr>
        <w:t xml:space="preserve"> </w:t>
      </w:r>
      <w:r w:rsidRPr="007D7628">
        <w:rPr>
          <w:rFonts w:eastAsia="Times New Roman" w:cs="Times New Roman"/>
        </w:rPr>
        <w:t xml:space="preserve"> As part of the approved ES</w:t>
      </w:r>
      <w:r>
        <w:rPr>
          <w:rFonts w:eastAsia="Times New Roman" w:cs="Times New Roman"/>
        </w:rPr>
        <w:t xml:space="preserve">P, the Commission </w:t>
      </w:r>
      <w:r w:rsidR="00690268">
        <w:rPr>
          <w:rFonts w:eastAsia="Times New Roman" w:cs="Times New Roman"/>
        </w:rPr>
        <w:t>directed AEP-Ohio to hold auctions</w:t>
      </w:r>
      <w:r w:rsidR="00EE3457">
        <w:rPr>
          <w:rFonts w:eastAsia="Times New Roman" w:cs="Times New Roman"/>
        </w:rPr>
        <w:t xml:space="preserve"> to secure energy only generation service for SSO customers</w:t>
      </w:r>
      <w:r w:rsidR="00690268">
        <w:rPr>
          <w:rFonts w:eastAsia="Times New Roman" w:cs="Times New Roman"/>
        </w:rPr>
        <w:t>.  The Commission required “A</w:t>
      </w:r>
      <w:r w:rsidR="00690268" w:rsidRPr="00690268">
        <w:rPr>
          <w:rFonts w:eastAsia="Times New Roman" w:cs="Times New Roman"/>
        </w:rPr>
        <w:t>EP-Ohio to conduct an energy auc</w:t>
      </w:r>
      <w:r w:rsidR="00BF2931">
        <w:rPr>
          <w:rFonts w:eastAsia="Times New Roman" w:cs="Times New Roman"/>
        </w:rPr>
        <w:t xml:space="preserve">tion for delivery </w:t>
      </w:r>
      <w:r w:rsidR="00690268">
        <w:rPr>
          <w:rFonts w:eastAsia="Times New Roman" w:cs="Times New Roman"/>
        </w:rPr>
        <w:t>commencing on June</w:t>
      </w:r>
      <w:r w:rsidR="00690268" w:rsidRPr="00690268">
        <w:rPr>
          <w:rFonts w:eastAsia="Times New Roman" w:cs="Times New Roman"/>
        </w:rPr>
        <w:t xml:space="preserve"> 1, 2014, for 60 percent of its load, and delivery commencing on January 1, 2015, for</w:t>
      </w:r>
      <w:r w:rsidR="00690268">
        <w:rPr>
          <w:rFonts w:eastAsia="Times New Roman" w:cs="Times New Roman"/>
        </w:rPr>
        <w:t xml:space="preserve"> </w:t>
      </w:r>
      <w:r w:rsidR="00690268" w:rsidRPr="00690268">
        <w:rPr>
          <w:rFonts w:eastAsia="Times New Roman" w:cs="Times New Roman"/>
        </w:rPr>
        <w:t>the remainder of AEP-Ohio's energy load.</w:t>
      </w:r>
      <w:r w:rsidR="00690268">
        <w:rPr>
          <w:rFonts w:eastAsia="Times New Roman" w:cs="Times New Roman"/>
        </w:rPr>
        <w:t>”</w:t>
      </w:r>
      <w:r w:rsidRPr="007D7628">
        <w:rPr>
          <w:rFonts w:eastAsia="Times New Roman" w:cs="Times New Roman"/>
          <w:vertAlign w:val="superscript"/>
        </w:rPr>
        <w:footnoteReference w:id="9"/>
      </w:r>
      <w:r w:rsidR="00690268">
        <w:rPr>
          <w:rFonts w:eastAsia="Times New Roman" w:cs="Times New Roman"/>
        </w:rPr>
        <w:t xml:space="preserve">  </w:t>
      </w:r>
      <w:r>
        <w:rPr>
          <w:rFonts w:eastAsia="Times New Roman" w:cs="Times New Roman"/>
        </w:rPr>
        <w:t>The Commission directed</w:t>
      </w:r>
      <w:r w:rsidR="00C51C19">
        <w:rPr>
          <w:rFonts w:eastAsia="Times New Roman" w:cs="Times New Roman"/>
        </w:rPr>
        <w:t xml:space="preserve"> AEP-Ohio to work </w:t>
      </w:r>
      <w:r w:rsidR="00C51C19" w:rsidRPr="00A44A73">
        <w:rPr>
          <w:rFonts w:eastAsia="Times New Roman" w:cs="Arial"/>
        </w:rPr>
        <w:t>with stakeholders and to file an application detailing the CBP.</w:t>
      </w:r>
      <w:r w:rsidR="00801A31">
        <w:rPr>
          <w:rStyle w:val="FootnoteReference"/>
          <w:rFonts w:eastAsia="Times New Roman" w:cs="Arial"/>
        </w:rPr>
        <w:footnoteReference w:id="10"/>
      </w:r>
      <w:r w:rsidRPr="00A44A73">
        <w:rPr>
          <w:rFonts w:eastAsia="Times New Roman" w:cs="Arial"/>
        </w:rPr>
        <w:t xml:space="preserve">  </w:t>
      </w:r>
    </w:p>
    <w:p w:rsidR="004047A9" w:rsidRPr="00A44A73" w:rsidRDefault="00C51C19" w:rsidP="007D7628">
      <w:pPr>
        <w:spacing w:line="480" w:lineRule="auto"/>
        <w:ind w:firstLine="720"/>
        <w:jc w:val="both"/>
        <w:rPr>
          <w:rFonts w:eastAsia="Times New Roman" w:cs="Arial"/>
        </w:rPr>
      </w:pPr>
      <w:r w:rsidRPr="00A44A73">
        <w:rPr>
          <w:rFonts w:eastAsia="Times New Roman" w:cs="Arial"/>
        </w:rPr>
        <w:t>Following a hearing on the application</w:t>
      </w:r>
      <w:r w:rsidR="00801A31">
        <w:rPr>
          <w:rFonts w:eastAsia="Times New Roman" w:cs="Arial"/>
        </w:rPr>
        <w:t xml:space="preserve"> to determine the details of the CBP</w:t>
      </w:r>
      <w:r w:rsidRPr="00A44A73">
        <w:rPr>
          <w:rFonts w:eastAsia="Times New Roman" w:cs="Arial"/>
        </w:rPr>
        <w:t xml:space="preserve">, the Commission directed AEP-Ohio </w:t>
      </w:r>
      <w:r w:rsidR="007D7628" w:rsidRPr="00A44A73">
        <w:rPr>
          <w:rFonts w:eastAsia="Times New Roman" w:cs="Arial"/>
        </w:rPr>
        <w:t xml:space="preserve">to </w:t>
      </w:r>
      <w:r w:rsidR="009976D8">
        <w:rPr>
          <w:rFonts w:eastAsia="Times New Roman" w:cs="Arial"/>
        </w:rPr>
        <w:t xml:space="preserve">provide capacity for the energy-only auctions at </w:t>
      </w:r>
      <w:r w:rsidR="009976D8" w:rsidRPr="00A44A73">
        <w:rPr>
          <w:rFonts w:eastAsia="Times New Roman" w:cs="Arial"/>
        </w:rPr>
        <w:t>the</w:t>
      </w:r>
      <w:r w:rsidR="009976D8">
        <w:rPr>
          <w:rFonts w:eastAsia="Times New Roman" w:cs="Arial"/>
        </w:rPr>
        <w:t xml:space="preserve"> $188.88</w:t>
      </w:r>
      <w:r w:rsidR="00BF2931">
        <w:rPr>
          <w:rFonts w:eastAsia="Times New Roman" w:cs="Arial"/>
        </w:rPr>
        <w:t xml:space="preserve"> </w:t>
      </w:r>
      <w:r w:rsidR="009976D8">
        <w:rPr>
          <w:rFonts w:eastAsia="Times New Roman" w:cs="Arial"/>
        </w:rPr>
        <w:t>MW-day</w:t>
      </w:r>
      <w:r w:rsidR="009976D8" w:rsidRPr="00A44A73">
        <w:rPr>
          <w:rFonts w:eastAsia="Times New Roman" w:cs="Arial"/>
        </w:rPr>
        <w:t xml:space="preserve"> price of </w:t>
      </w:r>
      <w:r w:rsidR="009976D8">
        <w:rPr>
          <w:rFonts w:eastAsia="Times New Roman" w:cs="Arial"/>
        </w:rPr>
        <w:t xml:space="preserve">capacity, which the Commission previously determined fully </w:t>
      </w:r>
      <w:r w:rsidR="009976D8">
        <w:rPr>
          <w:rFonts w:eastAsia="Times New Roman" w:cs="Arial"/>
        </w:rPr>
        <w:lastRenderedPageBreak/>
        <w:t>compensated AEP-Ohio for all of its capacity and purchased power costs.</w:t>
      </w:r>
      <w:r w:rsidR="007D7628" w:rsidRPr="00A44A73">
        <w:rPr>
          <w:rFonts w:eastAsia="Times New Roman" w:cs="Arial"/>
          <w:vertAlign w:val="superscript"/>
        </w:rPr>
        <w:footnoteReference w:id="11"/>
      </w:r>
      <w:r w:rsidRPr="00A44A73">
        <w:rPr>
          <w:rFonts w:eastAsia="Times New Roman" w:cs="Arial"/>
        </w:rPr>
        <w:t xml:space="preserve">  The Commission, however, </w:t>
      </w:r>
      <w:r w:rsidR="002D3B3E">
        <w:rPr>
          <w:rFonts w:eastAsia="Times New Roman" w:cs="Arial"/>
        </w:rPr>
        <w:t xml:space="preserve">also </w:t>
      </w:r>
      <w:r w:rsidRPr="00A44A73">
        <w:rPr>
          <w:rFonts w:eastAsia="Times New Roman" w:cs="Arial"/>
        </w:rPr>
        <w:t>adopted AEP-Ohio’s proposal to unbundle the FAC into fixed and variable riders.</w:t>
      </w:r>
      <w:r w:rsidR="00677B09">
        <w:rPr>
          <w:rStyle w:val="FootnoteReference"/>
          <w:rFonts w:eastAsia="Times New Roman" w:cs="Arial"/>
        </w:rPr>
        <w:footnoteReference w:id="12"/>
      </w:r>
      <w:r w:rsidRPr="00A44A73">
        <w:rPr>
          <w:rFonts w:eastAsia="Times New Roman" w:cs="Arial"/>
        </w:rPr>
        <w:t xml:space="preserve">  The v</w:t>
      </w:r>
      <w:r w:rsidR="00EA756C">
        <w:rPr>
          <w:rFonts w:eastAsia="Times New Roman" w:cs="Arial"/>
        </w:rPr>
        <w:t>ariable portion of the FAC will</w:t>
      </w:r>
      <w:r w:rsidRPr="00A44A73">
        <w:rPr>
          <w:rFonts w:eastAsia="Times New Roman" w:cs="Arial"/>
        </w:rPr>
        <w:t xml:space="preserve"> recover fuel costs and</w:t>
      </w:r>
      <w:r w:rsidR="004047A9" w:rsidRPr="00A44A73">
        <w:rPr>
          <w:rFonts w:eastAsia="Times New Roman" w:cs="Arial"/>
        </w:rPr>
        <w:t xml:space="preserve">, like base generation rates, </w:t>
      </w:r>
      <w:r w:rsidR="00EA756C">
        <w:rPr>
          <w:rFonts w:eastAsia="Times New Roman" w:cs="Arial"/>
        </w:rPr>
        <w:t xml:space="preserve">the energy-only auctions will displace the variable portion of the FAC </w:t>
      </w:r>
      <w:r w:rsidRPr="00A44A73">
        <w:rPr>
          <w:rFonts w:eastAsia="Times New Roman" w:cs="Arial"/>
        </w:rPr>
        <w:t>in escalating amounts.</w:t>
      </w:r>
      <w:r w:rsidR="00677B09">
        <w:rPr>
          <w:rStyle w:val="FootnoteReference"/>
          <w:rFonts w:eastAsia="Times New Roman" w:cs="Arial"/>
        </w:rPr>
        <w:footnoteReference w:id="13"/>
      </w:r>
      <w:r w:rsidRPr="00A44A73">
        <w:rPr>
          <w:rFonts w:eastAsia="Times New Roman" w:cs="Arial"/>
        </w:rPr>
        <w:t xml:space="preserve">  </w:t>
      </w:r>
    </w:p>
    <w:p w:rsidR="00350675" w:rsidRDefault="00C51C19" w:rsidP="007D7628">
      <w:pPr>
        <w:spacing w:line="480" w:lineRule="auto"/>
        <w:ind w:firstLine="720"/>
        <w:jc w:val="both"/>
        <w:rPr>
          <w:rFonts w:cs="Arial"/>
        </w:rPr>
      </w:pPr>
      <w:r w:rsidRPr="00A44A73">
        <w:rPr>
          <w:rFonts w:eastAsia="Times New Roman" w:cs="Arial"/>
        </w:rPr>
        <w:t xml:space="preserve">The fixed portion of the FAC </w:t>
      </w:r>
      <w:r w:rsidR="004047A9" w:rsidRPr="00A44A73">
        <w:rPr>
          <w:rFonts w:eastAsia="Times New Roman" w:cs="Arial"/>
        </w:rPr>
        <w:t xml:space="preserve">(the FCR) </w:t>
      </w:r>
      <w:r w:rsidR="008C11F6">
        <w:rPr>
          <w:rFonts w:eastAsia="Times New Roman" w:cs="Arial"/>
        </w:rPr>
        <w:t>will</w:t>
      </w:r>
      <w:r w:rsidRPr="00A44A73">
        <w:rPr>
          <w:rFonts w:eastAsia="Times New Roman" w:cs="Arial"/>
        </w:rPr>
        <w:t xml:space="preserve"> </w:t>
      </w:r>
      <w:r w:rsidR="002C2044">
        <w:rPr>
          <w:rFonts w:cs="Arial"/>
        </w:rPr>
        <w:t>collect the fixed non-fuel</w:t>
      </w:r>
      <w:r w:rsidRPr="00A44A73">
        <w:rPr>
          <w:rFonts w:cs="Arial"/>
        </w:rPr>
        <w:t xml:space="preserve"> purchased power costs currently collected through the FAC.</w:t>
      </w:r>
      <w:r w:rsidR="00677B09">
        <w:rPr>
          <w:rStyle w:val="FootnoteReference"/>
          <w:rFonts w:cs="Arial"/>
        </w:rPr>
        <w:footnoteReference w:id="14"/>
      </w:r>
      <w:r w:rsidRPr="00A44A73">
        <w:rPr>
          <w:rFonts w:cs="Arial"/>
        </w:rPr>
        <w:t xml:space="preserve">  These fixed costs r</w:t>
      </w:r>
      <w:r w:rsidR="002D3B3E">
        <w:rPr>
          <w:rFonts w:cs="Arial"/>
        </w:rPr>
        <w:t xml:space="preserve">elate to </w:t>
      </w:r>
      <w:r w:rsidR="00474000">
        <w:rPr>
          <w:rFonts w:cs="Arial"/>
        </w:rPr>
        <w:t>AEP-</w:t>
      </w:r>
      <w:r w:rsidRPr="00A44A73">
        <w:rPr>
          <w:rFonts w:cs="Arial"/>
        </w:rPr>
        <w:t>Ohio’s purchase</w:t>
      </w:r>
      <w:r w:rsidR="002C2044">
        <w:rPr>
          <w:rFonts w:cs="Arial"/>
        </w:rPr>
        <w:t>d</w:t>
      </w:r>
      <w:r w:rsidRPr="00A44A73">
        <w:rPr>
          <w:rFonts w:cs="Arial"/>
        </w:rPr>
        <w:t xml:space="preserve"> power agree</w:t>
      </w:r>
      <w:r w:rsidR="00A44A73" w:rsidRPr="00A44A73">
        <w:rPr>
          <w:rFonts w:cs="Arial"/>
        </w:rPr>
        <w:t>ments with the Lawrenceburg and OVEC</w:t>
      </w:r>
      <w:r w:rsidRPr="00A44A73">
        <w:rPr>
          <w:rFonts w:cs="Arial"/>
        </w:rPr>
        <w:t xml:space="preserve"> generating facilities.</w:t>
      </w:r>
      <w:r w:rsidR="00677B09">
        <w:rPr>
          <w:rStyle w:val="FootnoteReference"/>
          <w:rFonts w:cs="Arial"/>
        </w:rPr>
        <w:footnoteReference w:id="15"/>
      </w:r>
    </w:p>
    <w:p w:rsidR="006D3D29" w:rsidRPr="006D3D29" w:rsidRDefault="00550F5C" w:rsidP="006D3D29">
      <w:pPr>
        <w:suppressAutoHyphens/>
        <w:spacing w:line="480" w:lineRule="auto"/>
        <w:ind w:firstLine="720"/>
        <w:jc w:val="both"/>
        <w:rPr>
          <w:rFonts w:eastAsia="Times New Roman" w:cs="Arial"/>
          <w:spacing w:val="-3"/>
        </w:rPr>
      </w:pPr>
      <w:r>
        <w:rPr>
          <w:rFonts w:eastAsia="Calibri" w:cs="Arial"/>
          <w:spacing w:val="-3"/>
        </w:rPr>
        <w:t>While the Commission recognized that it appears that AEP-Ohio is double recovering its capacity costs, the Commission determined that it would be more appropriate to reconcile the double recovery in AEP-Ohio’s FAC cases.</w:t>
      </w:r>
      <w:r w:rsidR="00677B09">
        <w:rPr>
          <w:rStyle w:val="FootnoteReference"/>
          <w:rFonts w:eastAsia="Calibri" w:cs="Arial"/>
          <w:spacing w:val="-3"/>
        </w:rPr>
        <w:footnoteReference w:id="16"/>
      </w:r>
      <w:r>
        <w:rPr>
          <w:rFonts w:eastAsia="Calibri" w:cs="Arial"/>
          <w:spacing w:val="-3"/>
        </w:rPr>
        <w:t xml:space="preserve">  Accordingly, t</w:t>
      </w:r>
      <w:r w:rsidR="00677B09">
        <w:rPr>
          <w:rFonts w:eastAsia="Calibri" w:cs="Arial"/>
          <w:spacing w:val="-3"/>
        </w:rPr>
        <w:t>he Commission</w:t>
      </w:r>
      <w:r w:rsidR="006D3D29">
        <w:rPr>
          <w:rFonts w:eastAsia="Calibri" w:cs="Arial"/>
          <w:spacing w:val="-3"/>
        </w:rPr>
        <w:t xml:space="preserve"> directed the auditor of AEP-Ohio’s FAC to review the</w:t>
      </w:r>
      <w:r w:rsidR="006D3D29" w:rsidRPr="006D3D29">
        <w:rPr>
          <w:rFonts w:cs="Arial"/>
          <w:spacing w:val="-3"/>
        </w:rPr>
        <w:t xml:space="preserve"> double recovery of purchased power costs through the FAC:</w:t>
      </w:r>
    </w:p>
    <w:p w:rsidR="006D3D29" w:rsidRDefault="006D3D29" w:rsidP="00550F5C">
      <w:pPr>
        <w:autoSpaceDE w:val="0"/>
        <w:autoSpaceDN w:val="0"/>
        <w:adjustRightInd w:val="0"/>
        <w:ind w:left="720" w:right="720" w:firstLine="720"/>
        <w:jc w:val="both"/>
        <w:rPr>
          <w:rFonts w:eastAsia="Calibri" w:cs="Arial"/>
        </w:rPr>
      </w:pPr>
      <w:r w:rsidRPr="006D3D29">
        <w:rPr>
          <w:rFonts w:eastAsia="Times New Roman" w:cs="Arial"/>
        </w:rPr>
        <w:t xml:space="preserve">Recently, in </w:t>
      </w:r>
      <w:r w:rsidRPr="006D3D29">
        <w:rPr>
          <w:rFonts w:eastAsia="Times New Roman" w:cs="Arial"/>
          <w:i/>
        </w:rPr>
        <w:t>In re Ohio Power Company</w:t>
      </w:r>
      <w:r w:rsidRPr="006D3D29">
        <w:rPr>
          <w:rFonts w:eastAsia="Times New Roman" w:cs="Arial"/>
        </w:rPr>
        <w:t>, Case No. 12-3254-EL-UNC, intervenors in that proceeding raised concerns about the possible double recovery of certain capacity related costs by AEP Ohio.</w:t>
      </w:r>
      <w:r w:rsidR="00EA756C">
        <w:rPr>
          <w:rFonts w:eastAsia="Times New Roman" w:cs="Arial"/>
        </w:rPr>
        <w:t xml:space="preserve"> </w:t>
      </w:r>
      <w:r w:rsidRPr="006D3D29">
        <w:rPr>
          <w:rFonts w:eastAsia="Times New Roman" w:cs="Arial"/>
        </w:rPr>
        <w:t xml:space="preserve"> </w:t>
      </w:r>
      <w:r w:rsidRPr="006D3D29">
        <w:rPr>
          <w:rFonts w:eastAsia="Times New Roman" w:cs="Arial"/>
          <w:i/>
        </w:rPr>
        <w:t>In re Ohio Power Company</w:t>
      </w:r>
      <w:r w:rsidRPr="006D3D29">
        <w:rPr>
          <w:rFonts w:eastAsia="Times New Roman" w:cs="Arial"/>
        </w:rPr>
        <w:t xml:space="preserve">, Case No. 12-3254-EL-UNC, Opinion and Order (November 13, 2013) at 15-16.  </w:t>
      </w:r>
      <w:r w:rsidRPr="006D3D29">
        <w:rPr>
          <w:rFonts w:eastAsia="Times New Roman" w:cs="Arial"/>
          <w:b/>
          <w:i/>
        </w:rPr>
        <w:t>The Commission directs EVA to review and investigate these allegations as part of this audit and to recommend appropriate Commission action based on this review</w:t>
      </w:r>
      <w:r w:rsidRPr="006D3D29">
        <w:rPr>
          <w:rFonts w:eastAsia="Calibri" w:cs="Arial"/>
        </w:rPr>
        <w:t>.</w:t>
      </w:r>
      <w:r w:rsidRPr="006D3D29">
        <w:rPr>
          <w:rFonts w:eastAsia="Calibri" w:cs="Arial"/>
          <w:vertAlign w:val="superscript"/>
        </w:rPr>
        <w:footnoteReference w:id="17"/>
      </w:r>
      <w:r w:rsidRPr="006D3D29">
        <w:rPr>
          <w:rFonts w:eastAsia="Calibri" w:cs="Arial"/>
        </w:rPr>
        <w:t xml:space="preserve">  </w:t>
      </w:r>
    </w:p>
    <w:p w:rsidR="009976D8" w:rsidRDefault="006D3D29" w:rsidP="006D3D29">
      <w:pPr>
        <w:spacing w:line="480" w:lineRule="auto"/>
        <w:jc w:val="both"/>
        <w:rPr>
          <w:rFonts w:cs="Arial"/>
        </w:rPr>
      </w:pPr>
      <w:r>
        <w:rPr>
          <w:rFonts w:cs="Arial"/>
        </w:rPr>
        <w:lastRenderedPageBreak/>
        <w:t>The Commission, however, subs</w:t>
      </w:r>
      <w:r w:rsidR="00550F5C">
        <w:rPr>
          <w:rFonts w:cs="Arial"/>
        </w:rPr>
        <w:t>equently directed its S</w:t>
      </w:r>
      <w:r w:rsidR="002C2044">
        <w:rPr>
          <w:rFonts w:cs="Arial"/>
        </w:rPr>
        <w:t>taff to develop</w:t>
      </w:r>
      <w:r w:rsidR="00550F5C">
        <w:rPr>
          <w:rFonts w:cs="Arial"/>
        </w:rPr>
        <w:t xml:space="preserve"> a supplemental request</w:t>
      </w:r>
      <w:r>
        <w:rPr>
          <w:rFonts w:cs="Arial"/>
        </w:rPr>
        <w:t xml:space="preserve"> for proposal</w:t>
      </w:r>
      <w:r w:rsidR="00550F5C">
        <w:rPr>
          <w:rFonts w:cs="Arial"/>
        </w:rPr>
        <w:t>s (“RFP”)</w:t>
      </w:r>
      <w:r>
        <w:rPr>
          <w:rFonts w:cs="Arial"/>
        </w:rPr>
        <w:t xml:space="preserve"> to select a different auditor.</w:t>
      </w:r>
      <w:r>
        <w:rPr>
          <w:rStyle w:val="FootnoteReference"/>
          <w:rFonts w:cs="Arial"/>
        </w:rPr>
        <w:footnoteReference w:id="18"/>
      </w:r>
      <w:r w:rsidR="009976D8">
        <w:rPr>
          <w:rFonts w:cs="Arial"/>
        </w:rPr>
        <w:t xml:space="preserve">  The Commission has not issued a supplemental RFP.  </w:t>
      </w:r>
    </w:p>
    <w:p w:rsidR="00046434" w:rsidRDefault="009976D8" w:rsidP="00A25BAA">
      <w:pPr>
        <w:spacing w:line="480" w:lineRule="auto"/>
        <w:jc w:val="both"/>
        <w:rPr>
          <w:rFonts w:cs="Arial"/>
        </w:rPr>
      </w:pPr>
      <w:r>
        <w:rPr>
          <w:rFonts w:cs="Arial"/>
        </w:rPr>
        <w:tab/>
        <w:t>IEU-Ohio initially supported the Commission’s decision to address the double recovery in AEP-Ohio’</w:t>
      </w:r>
      <w:r w:rsidR="00A25BAA">
        <w:rPr>
          <w:rFonts w:cs="Arial"/>
        </w:rPr>
        <w:t>s FAC cases.  But the projected impact of the FCR on large customers coupled with the delay in issuing the supplemental RFP has changed the equation</w:t>
      </w:r>
      <w:r w:rsidR="00697954">
        <w:rPr>
          <w:rFonts w:cs="Arial"/>
        </w:rPr>
        <w:t>.</w:t>
      </w:r>
      <w:r w:rsidR="00A25BAA">
        <w:rPr>
          <w:rFonts w:cs="Arial"/>
        </w:rPr>
        <w:t xml:space="preserve"> </w:t>
      </w:r>
      <w:r w:rsidR="00697954">
        <w:rPr>
          <w:rFonts w:cs="Arial"/>
        </w:rPr>
        <w:t xml:space="preserve"> </w:t>
      </w:r>
      <w:r w:rsidR="00550F5C">
        <w:rPr>
          <w:rFonts w:cs="Arial"/>
        </w:rPr>
        <w:t>Because the process of reviewing the double recovery has not commenced</w:t>
      </w:r>
      <w:r w:rsidR="00677B09">
        <w:rPr>
          <w:rFonts w:cs="Arial"/>
        </w:rPr>
        <w:t>, SSO customers</w:t>
      </w:r>
      <w:r w:rsidR="0095710B">
        <w:rPr>
          <w:rFonts w:cs="Arial"/>
        </w:rPr>
        <w:t xml:space="preserve"> will </w:t>
      </w:r>
      <w:r w:rsidR="00046434">
        <w:rPr>
          <w:rFonts w:cs="Arial"/>
        </w:rPr>
        <w:t>not receive the benefit of that review until</w:t>
      </w:r>
      <w:r w:rsidR="0095710B">
        <w:rPr>
          <w:rFonts w:cs="Arial"/>
        </w:rPr>
        <w:t xml:space="preserve"> the distant future</w:t>
      </w:r>
      <w:r w:rsidR="00697954">
        <w:rPr>
          <w:rFonts w:cs="Arial"/>
        </w:rPr>
        <w:t>.</w:t>
      </w:r>
      <w:r w:rsidR="00697954" w:rsidRPr="00697954">
        <w:rPr>
          <w:rFonts w:cs="Arial"/>
        </w:rPr>
        <w:t xml:space="preserve"> </w:t>
      </w:r>
      <w:r w:rsidR="00697954">
        <w:rPr>
          <w:rFonts w:cs="Arial"/>
        </w:rPr>
        <w:t xml:space="preserve"> While AEP-Ohio is supposed to be transitioning toward market-based rates to save customers money, AEP-Ohio’s retention of cost-based mechanisms works to achieve the opposite result.  The Commission should consider eliminating the FCR in this proceeding, or, at a minimum, the Commission should issue the supplemental RFP and expedite the review.  As discussed below, immediate action is necessary because the impact of </w:t>
      </w:r>
      <w:r w:rsidR="00474000">
        <w:rPr>
          <w:rFonts w:cs="Arial"/>
        </w:rPr>
        <w:t xml:space="preserve">the </w:t>
      </w:r>
      <w:r w:rsidR="00697954">
        <w:rPr>
          <w:rFonts w:cs="Arial"/>
        </w:rPr>
        <w:t xml:space="preserve">FCR is massive and its rate design (an energy-charge) disproportionately shifts revenue responsibility to large customers. </w:t>
      </w:r>
    </w:p>
    <w:p w:rsidR="00B20ACD" w:rsidRDefault="002C2044" w:rsidP="00550F5C">
      <w:pPr>
        <w:spacing w:line="480" w:lineRule="auto"/>
        <w:ind w:firstLine="720"/>
        <w:jc w:val="both"/>
        <w:rPr>
          <w:rFonts w:cs="Arial"/>
        </w:rPr>
      </w:pPr>
      <w:r>
        <w:rPr>
          <w:rFonts w:cs="Arial"/>
        </w:rPr>
        <w:t>As directed by the Commission, o</w:t>
      </w:r>
      <w:r w:rsidR="00B20ACD">
        <w:rPr>
          <w:rFonts w:cs="Arial"/>
        </w:rPr>
        <w:t xml:space="preserve">n January 10, 2014, AEP-Ohio proposed a rate design and associated rate impact for each customer class for the energy-only auctions and </w:t>
      </w:r>
      <w:r w:rsidR="00C10D37">
        <w:rPr>
          <w:rFonts w:cs="Arial"/>
        </w:rPr>
        <w:t>FCR</w:t>
      </w:r>
      <w:r w:rsidR="00B20ACD">
        <w:rPr>
          <w:rFonts w:cs="Arial"/>
        </w:rPr>
        <w:t>.</w:t>
      </w:r>
      <w:r w:rsidR="006D3D29">
        <w:rPr>
          <w:rFonts w:cs="Arial"/>
        </w:rPr>
        <w:t xml:space="preserve">  AEP-Ohio proposed to allocate the $188.88</w:t>
      </w:r>
      <w:r w:rsidR="00BF2931">
        <w:rPr>
          <w:rFonts w:cs="Arial"/>
        </w:rPr>
        <w:t xml:space="preserve"> </w:t>
      </w:r>
      <w:r w:rsidR="006D3D29">
        <w:rPr>
          <w:rFonts w:cs="Arial"/>
        </w:rPr>
        <w:t>MW-</w:t>
      </w:r>
      <w:r w:rsidR="00B10701">
        <w:rPr>
          <w:rFonts w:cs="Arial"/>
        </w:rPr>
        <w:t>day price</w:t>
      </w:r>
      <w:r w:rsidR="006D3D29">
        <w:rPr>
          <w:rFonts w:cs="Arial"/>
        </w:rPr>
        <w:t xml:space="preserve"> based upon </w:t>
      </w:r>
      <w:r>
        <w:rPr>
          <w:rFonts w:cs="Arial"/>
        </w:rPr>
        <w:t>the contribution</w:t>
      </w:r>
      <w:r w:rsidR="00B10701">
        <w:rPr>
          <w:rFonts w:cs="Arial"/>
        </w:rPr>
        <w:t xml:space="preserve"> to the</w:t>
      </w:r>
      <w:r w:rsidR="006D3D29">
        <w:rPr>
          <w:rFonts w:cs="Arial"/>
        </w:rPr>
        <w:t xml:space="preserve"> 5</w:t>
      </w:r>
      <w:r w:rsidR="00B776EA">
        <w:rPr>
          <w:rFonts w:cs="Arial"/>
        </w:rPr>
        <w:t xml:space="preserve"> </w:t>
      </w:r>
      <w:r w:rsidR="006D3D29">
        <w:rPr>
          <w:rFonts w:cs="Arial"/>
        </w:rPr>
        <w:t>CP</w:t>
      </w:r>
      <w:r>
        <w:rPr>
          <w:rFonts w:cs="Arial"/>
        </w:rPr>
        <w:t>s of each customer class</w:t>
      </w:r>
      <w:r w:rsidR="006D3D29">
        <w:rPr>
          <w:rFonts w:cs="Arial"/>
        </w:rPr>
        <w:t>.</w:t>
      </w:r>
      <w:r w:rsidR="00550F5C">
        <w:rPr>
          <w:rFonts w:cs="Arial"/>
        </w:rPr>
        <w:t xml:space="preserve">  IEU-Ohio does not oppose this allocation, which is consistent with principles of cost causation.</w:t>
      </w:r>
      <w:r w:rsidR="00550F5C">
        <w:rPr>
          <w:rStyle w:val="FootnoteReference"/>
          <w:rFonts w:cs="Arial"/>
        </w:rPr>
        <w:footnoteReference w:id="19"/>
      </w:r>
      <w:r w:rsidR="00550F5C">
        <w:rPr>
          <w:rFonts w:cs="Arial"/>
        </w:rPr>
        <w:t xml:space="preserve">  </w:t>
      </w:r>
    </w:p>
    <w:p w:rsidR="00CE1F93" w:rsidRDefault="00C10D37" w:rsidP="00B13ACE">
      <w:pPr>
        <w:spacing w:line="480" w:lineRule="auto"/>
        <w:ind w:firstLine="720"/>
        <w:jc w:val="both"/>
        <w:rPr>
          <w:rFonts w:cs="Arial"/>
        </w:rPr>
      </w:pPr>
      <w:r>
        <w:rPr>
          <w:rFonts w:cs="Arial"/>
        </w:rPr>
        <w:lastRenderedPageBreak/>
        <w:t xml:space="preserve">But, the </w:t>
      </w:r>
      <w:r w:rsidR="002C2044">
        <w:rPr>
          <w:rFonts w:cs="Arial"/>
        </w:rPr>
        <w:t xml:space="preserve">rate impact and design of the </w:t>
      </w:r>
      <w:r>
        <w:rPr>
          <w:rFonts w:cs="Arial"/>
        </w:rPr>
        <w:t>FCR</w:t>
      </w:r>
      <w:r w:rsidR="002C2044">
        <w:rPr>
          <w:rFonts w:cs="Arial"/>
        </w:rPr>
        <w:t xml:space="preserve"> further demonstrate that it</w:t>
      </w:r>
      <w:r>
        <w:rPr>
          <w:rFonts w:cs="Arial"/>
        </w:rPr>
        <w:t xml:space="preserve"> is unreasonable in its entirety. </w:t>
      </w:r>
      <w:r w:rsidR="00550F5C">
        <w:rPr>
          <w:rFonts w:cs="Arial"/>
        </w:rPr>
        <w:t xml:space="preserve"> </w:t>
      </w:r>
      <w:r w:rsidR="00FC62E6">
        <w:rPr>
          <w:rFonts w:cs="Arial"/>
        </w:rPr>
        <w:t>Whether customers take service under the SSO or shop for generation supply AEP-Ohio will receive full compensation f</w:t>
      </w:r>
      <w:r w:rsidR="00B13ACE">
        <w:rPr>
          <w:rFonts w:cs="Arial"/>
        </w:rPr>
        <w:t>or OVEC and Lawrenceburg</w:t>
      </w:r>
      <w:r w:rsidR="00FC62E6">
        <w:rPr>
          <w:rFonts w:cs="Arial"/>
        </w:rPr>
        <w:t>:  when customers take SSO service, AEP-Ohio will receive sufficient compensation through</w:t>
      </w:r>
      <w:r w:rsidR="00B13ACE">
        <w:rPr>
          <w:rFonts w:cs="Arial"/>
        </w:rPr>
        <w:t xml:space="preserve"> base generation prices</w:t>
      </w:r>
      <w:r w:rsidR="00FC62E6">
        <w:rPr>
          <w:rFonts w:cs="Arial"/>
        </w:rPr>
        <w:t>; when customers shop for generation service, AEP-Ohio will receive sufficient compensation through the $188.88</w:t>
      </w:r>
      <w:r w:rsidR="00BF2931">
        <w:rPr>
          <w:rFonts w:cs="Arial"/>
        </w:rPr>
        <w:t xml:space="preserve"> </w:t>
      </w:r>
      <w:r w:rsidR="00FC62E6">
        <w:rPr>
          <w:rFonts w:cs="Arial"/>
        </w:rPr>
        <w:t>MW-day price.</w:t>
      </w:r>
      <w:r w:rsidR="00B13ACE">
        <w:rPr>
          <w:rStyle w:val="FootnoteReference"/>
          <w:rFonts w:cs="Arial"/>
        </w:rPr>
        <w:footnoteReference w:id="20"/>
      </w:r>
      <w:r w:rsidR="00FC62E6">
        <w:rPr>
          <w:rFonts w:cs="Arial"/>
        </w:rPr>
        <w:t xml:space="preserve">  </w:t>
      </w:r>
      <w:r w:rsidR="00C51C19" w:rsidRPr="00A44A73">
        <w:rPr>
          <w:rFonts w:cs="Arial"/>
        </w:rPr>
        <w:t>AEP-Ohio</w:t>
      </w:r>
      <w:r w:rsidR="00FC62E6">
        <w:rPr>
          <w:rFonts w:cs="Arial"/>
        </w:rPr>
        <w:t>, however,</w:t>
      </w:r>
      <w:r w:rsidR="002C2044">
        <w:rPr>
          <w:rFonts w:cs="Arial"/>
        </w:rPr>
        <w:t xml:space="preserve"> intends to</w:t>
      </w:r>
      <w:r w:rsidR="00A44A73" w:rsidRPr="00A44A73">
        <w:rPr>
          <w:rFonts w:cs="Arial"/>
        </w:rPr>
        <w:t xml:space="preserve"> fully recover these costs </w:t>
      </w:r>
      <w:r w:rsidR="00A44A73" w:rsidRPr="00A44A73">
        <w:rPr>
          <w:rFonts w:cs="Arial"/>
          <w:i/>
        </w:rPr>
        <w:t>again</w:t>
      </w:r>
      <w:r w:rsidR="00A44A73" w:rsidRPr="00A44A73">
        <w:rPr>
          <w:rFonts w:cs="Arial"/>
        </w:rPr>
        <w:t>—</w:t>
      </w:r>
      <w:r w:rsidR="00C51C19" w:rsidRPr="00A44A73">
        <w:rPr>
          <w:rFonts w:cs="Arial"/>
        </w:rPr>
        <w:t>$110 million per year</w:t>
      </w:r>
      <w:r w:rsidR="00B13ACE">
        <w:rPr>
          <w:rStyle w:val="FootnoteReference"/>
          <w:rFonts w:cs="Arial"/>
        </w:rPr>
        <w:footnoteReference w:id="21"/>
      </w:r>
      <w:r w:rsidR="00A44A73" w:rsidRPr="00A44A73">
        <w:rPr>
          <w:rFonts w:cs="Arial"/>
        </w:rPr>
        <w:t>—</w:t>
      </w:r>
      <w:r w:rsidR="00CF371C" w:rsidRPr="00A44A73">
        <w:rPr>
          <w:rFonts w:cs="Arial"/>
        </w:rPr>
        <w:t xml:space="preserve">from SSO customers </w:t>
      </w:r>
      <w:r w:rsidR="00C51C19" w:rsidRPr="00A44A73">
        <w:rPr>
          <w:rFonts w:cs="Arial"/>
        </w:rPr>
        <w:t>through the FCR.</w:t>
      </w:r>
      <w:r w:rsidR="00CF371C" w:rsidRPr="00A44A73">
        <w:rPr>
          <w:rFonts w:cs="Arial"/>
        </w:rPr>
        <w:t xml:space="preserve">  </w:t>
      </w:r>
    </w:p>
    <w:p w:rsidR="007E0528" w:rsidRPr="00A44A73" w:rsidRDefault="007E0528" w:rsidP="00CE1F93">
      <w:pPr>
        <w:spacing w:line="480" w:lineRule="auto"/>
        <w:ind w:firstLine="720"/>
        <w:jc w:val="both"/>
        <w:rPr>
          <w:rFonts w:cs="Arial"/>
        </w:rPr>
      </w:pPr>
      <w:r>
        <w:rPr>
          <w:rFonts w:cs="Arial"/>
        </w:rPr>
        <w:t>The impact of FCR</w:t>
      </w:r>
      <w:r w:rsidR="00CE1F93">
        <w:rPr>
          <w:rFonts w:cs="Arial"/>
        </w:rPr>
        <w:t xml:space="preserve"> double recovery</w:t>
      </w:r>
      <w:r w:rsidR="00C10D37">
        <w:rPr>
          <w:rFonts w:cs="Arial"/>
        </w:rPr>
        <w:t xml:space="preserve"> on large</w:t>
      </w:r>
      <w:r>
        <w:rPr>
          <w:rFonts w:cs="Arial"/>
        </w:rPr>
        <w:t xml:space="preserve"> customers</w:t>
      </w:r>
      <w:r w:rsidR="002C2044">
        <w:rPr>
          <w:rFonts w:cs="Arial"/>
        </w:rPr>
        <w:t xml:space="preserve"> is significant due to the size of its revenue requirement and AEP-Ohio’s proposed energy-based allocation</w:t>
      </w:r>
      <w:r>
        <w:rPr>
          <w:rFonts w:cs="Arial"/>
        </w:rPr>
        <w:t xml:space="preserve">.  </w:t>
      </w:r>
      <w:r w:rsidR="00CE1F93" w:rsidRPr="00A44A73">
        <w:rPr>
          <w:rFonts w:cs="Arial"/>
        </w:rPr>
        <w:t>AEP-Ohio’s rate projections indicate</w:t>
      </w:r>
      <w:r w:rsidR="00CE1F93">
        <w:rPr>
          <w:rFonts w:cs="Arial"/>
        </w:rPr>
        <w:t xml:space="preserve"> that</w:t>
      </w:r>
      <w:r w:rsidR="00CE1F93" w:rsidRPr="00A44A73">
        <w:rPr>
          <w:rFonts w:cs="Arial"/>
        </w:rPr>
        <w:t>, based upon</w:t>
      </w:r>
      <w:r w:rsidR="00CE1F93">
        <w:rPr>
          <w:rFonts w:cs="Arial"/>
        </w:rPr>
        <w:t xml:space="preserve"> its forecast of shopping, </w:t>
      </w:r>
      <w:r w:rsidR="00D22D1D">
        <w:rPr>
          <w:rFonts w:cs="Arial"/>
        </w:rPr>
        <w:t>CSP</w:t>
      </w:r>
      <w:r w:rsidR="00C10D37">
        <w:rPr>
          <w:rFonts w:cs="Arial"/>
        </w:rPr>
        <w:t xml:space="preserve"> and </w:t>
      </w:r>
      <w:r w:rsidR="00D22D1D">
        <w:rPr>
          <w:rFonts w:cs="Arial"/>
        </w:rPr>
        <w:t>Ohio Power</w:t>
      </w:r>
      <w:r w:rsidR="00C10D37">
        <w:rPr>
          <w:rFonts w:cs="Arial"/>
        </w:rPr>
        <w:t xml:space="preserve"> customers</w:t>
      </w:r>
      <w:r w:rsidR="00B10701">
        <w:rPr>
          <w:rFonts w:cs="Arial"/>
        </w:rPr>
        <w:t xml:space="preserve"> will pay</w:t>
      </w:r>
      <w:r w:rsidR="00C10D37">
        <w:rPr>
          <w:rFonts w:cs="Arial"/>
        </w:rPr>
        <w:t xml:space="preserve"> $.007</w:t>
      </w:r>
      <w:r w:rsidR="00CE1F93" w:rsidRPr="00A44A73">
        <w:rPr>
          <w:rFonts w:cs="Arial"/>
        </w:rPr>
        <w:t xml:space="preserve"> per</w:t>
      </w:r>
      <w:r w:rsidR="00273D2E">
        <w:rPr>
          <w:rFonts w:cs="Arial"/>
        </w:rPr>
        <w:t xml:space="preserve"> </w:t>
      </w:r>
      <w:r w:rsidR="00CE1F93" w:rsidRPr="00A44A73">
        <w:rPr>
          <w:rFonts w:cs="Arial"/>
        </w:rPr>
        <w:t>kWh and $.0059 per kWh respectively.</w:t>
      </w:r>
      <w:r w:rsidR="00CE1F93">
        <w:rPr>
          <w:rFonts w:cs="Arial"/>
        </w:rPr>
        <w:t xml:space="preserve">  </w:t>
      </w:r>
      <w:r>
        <w:rPr>
          <w:rFonts w:cs="Arial"/>
        </w:rPr>
        <w:t>GS-4 customers with a 20</w:t>
      </w:r>
      <w:r w:rsidR="00BF2931">
        <w:rPr>
          <w:rFonts w:cs="Arial"/>
        </w:rPr>
        <w:t xml:space="preserve"> megawatt (“</w:t>
      </w:r>
      <w:r>
        <w:rPr>
          <w:rFonts w:cs="Arial"/>
        </w:rPr>
        <w:t>MW</w:t>
      </w:r>
      <w:r w:rsidR="00BF2931">
        <w:rPr>
          <w:rFonts w:cs="Arial"/>
        </w:rPr>
        <w:t>”)</w:t>
      </w:r>
      <w:r>
        <w:rPr>
          <w:rFonts w:cs="Arial"/>
        </w:rPr>
        <w:t xml:space="preserve"> load (assuming an 80% load factor) will pay Ohio Power $826,944 per year in FCR charges,</w:t>
      </w:r>
      <w:r>
        <w:rPr>
          <w:rStyle w:val="FootnoteReference"/>
          <w:rFonts w:cs="Arial"/>
        </w:rPr>
        <w:footnoteReference w:id="22"/>
      </w:r>
      <w:r w:rsidR="00FC62E6">
        <w:rPr>
          <w:rFonts w:cs="Arial"/>
        </w:rPr>
        <w:t xml:space="preserve"> and</w:t>
      </w:r>
      <w:r>
        <w:rPr>
          <w:rFonts w:cs="Arial"/>
        </w:rPr>
        <w:t xml:space="preserve"> similarly situated customers would pay CSP $</w:t>
      </w:r>
      <w:r w:rsidR="00C30DA4" w:rsidRPr="00C30DA4">
        <w:rPr>
          <w:rFonts w:cs="Arial"/>
        </w:rPr>
        <w:t>981</w:t>
      </w:r>
      <w:r w:rsidR="00C30DA4">
        <w:rPr>
          <w:rFonts w:cs="Arial"/>
        </w:rPr>
        <w:t>,</w:t>
      </w:r>
      <w:r w:rsidR="00C30DA4" w:rsidRPr="00C30DA4">
        <w:rPr>
          <w:rFonts w:cs="Arial"/>
        </w:rPr>
        <w:t>120</w:t>
      </w:r>
      <w:r w:rsidR="00C30DA4">
        <w:rPr>
          <w:rFonts w:cs="Arial"/>
        </w:rPr>
        <w:t xml:space="preserve"> </w:t>
      </w:r>
      <w:r>
        <w:rPr>
          <w:rFonts w:cs="Arial"/>
        </w:rPr>
        <w:t>per year in FCR charges.</w:t>
      </w:r>
      <w:r>
        <w:rPr>
          <w:rStyle w:val="FootnoteReference"/>
          <w:rFonts w:cs="Arial"/>
        </w:rPr>
        <w:footnoteReference w:id="23"/>
      </w:r>
      <w:r>
        <w:rPr>
          <w:rFonts w:cs="Arial"/>
        </w:rPr>
        <w:t xml:space="preserve">  </w:t>
      </w:r>
    </w:p>
    <w:p w:rsidR="00CF371C" w:rsidRPr="00A44A73" w:rsidRDefault="00A44A73" w:rsidP="00CF371C">
      <w:pPr>
        <w:spacing w:line="480" w:lineRule="auto"/>
        <w:ind w:firstLine="720"/>
        <w:jc w:val="both"/>
        <w:rPr>
          <w:rFonts w:cs="Arial"/>
        </w:rPr>
      </w:pPr>
      <w:r w:rsidRPr="00A44A73">
        <w:rPr>
          <w:rFonts w:cs="Arial"/>
        </w:rPr>
        <w:t xml:space="preserve">Moreover, </w:t>
      </w:r>
      <w:r w:rsidR="00B10701">
        <w:rPr>
          <w:rFonts w:cs="Arial"/>
        </w:rPr>
        <w:t>AEP-Ohio proposed</w:t>
      </w:r>
      <w:r w:rsidR="00CF371C" w:rsidRPr="00A44A73">
        <w:rPr>
          <w:rFonts w:cs="Arial"/>
        </w:rPr>
        <w:t xml:space="preserve"> to recover $110 million from SSO customers regardless of the amount of shopping that occurs.  AEP-Ohio witness Roush </w:t>
      </w:r>
      <w:r w:rsidR="00AA7E0F">
        <w:rPr>
          <w:rFonts w:cs="Arial"/>
        </w:rPr>
        <w:t>acknowledged</w:t>
      </w:r>
      <w:r w:rsidR="00CF371C" w:rsidRPr="00A44A73">
        <w:rPr>
          <w:rFonts w:cs="Arial"/>
        </w:rPr>
        <w:t xml:space="preserve"> that the FCR</w:t>
      </w:r>
      <w:r w:rsidR="00C10D37">
        <w:rPr>
          <w:rFonts w:cs="Arial"/>
        </w:rPr>
        <w:t xml:space="preserve"> would create</w:t>
      </w:r>
      <w:r w:rsidR="00CF371C" w:rsidRPr="00A44A73">
        <w:rPr>
          <w:rFonts w:cs="Arial"/>
        </w:rPr>
        <w:t xml:space="preserve"> a classic “death spiral” situation if shopping levels increase:</w:t>
      </w:r>
    </w:p>
    <w:p w:rsidR="00CF371C" w:rsidRPr="00A44A73" w:rsidRDefault="00CF371C" w:rsidP="00EA756C">
      <w:pPr>
        <w:autoSpaceDE w:val="0"/>
        <w:autoSpaceDN w:val="0"/>
        <w:adjustRightInd w:val="0"/>
        <w:ind w:left="720" w:right="720"/>
        <w:jc w:val="both"/>
        <w:rPr>
          <w:rFonts w:cs="Arial"/>
        </w:rPr>
      </w:pPr>
      <w:r w:rsidRPr="00A44A73">
        <w:rPr>
          <w:rFonts w:cs="Arial"/>
        </w:rPr>
        <w:lastRenderedPageBreak/>
        <w:t xml:space="preserve">Q:  So just an extreme hypothetical to demonstrate a point, </w:t>
      </w:r>
      <w:r w:rsidRPr="00A44A73">
        <w:rPr>
          <w:rFonts w:cs="Arial"/>
          <w:b/>
        </w:rPr>
        <w:t>if you had just Ms. Grady on the system and she was the only one left, you would be charging her $96 million a year for that fixed component</w:t>
      </w:r>
      <w:r w:rsidRPr="00A44A73">
        <w:rPr>
          <w:rFonts w:cs="Arial"/>
        </w:rPr>
        <w:t xml:space="preserve">? She's your only SSO customer. </w:t>
      </w:r>
      <w:r w:rsidR="00EB1CB3">
        <w:rPr>
          <w:rFonts w:cs="Arial"/>
        </w:rPr>
        <w:t xml:space="preserve"> </w:t>
      </w:r>
      <w:r w:rsidRPr="00A44A73">
        <w:rPr>
          <w:rFonts w:cs="Arial"/>
        </w:rPr>
        <w:t>Is that the way the mechanics would work?</w:t>
      </w:r>
      <w:r w:rsidR="00EB1CB3">
        <w:rPr>
          <w:rFonts w:cs="Arial"/>
        </w:rPr>
        <w:t xml:space="preserve"> </w:t>
      </w:r>
      <w:r w:rsidRPr="00A44A73">
        <w:rPr>
          <w:rFonts w:cs="Arial"/>
        </w:rPr>
        <w:t xml:space="preserve"> I know it's an exaggerated example but isn't that the way the mechanics would work?</w:t>
      </w:r>
    </w:p>
    <w:p w:rsidR="00C5378C" w:rsidRDefault="00C5378C" w:rsidP="00C5378C">
      <w:pPr>
        <w:autoSpaceDE w:val="0"/>
        <w:autoSpaceDN w:val="0"/>
        <w:adjustRightInd w:val="0"/>
        <w:ind w:right="720" w:firstLine="720"/>
        <w:jc w:val="both"/>
        <w:rPr>
          <w:rFonts w:cs="Arial"/>
        </w:rPr>
      </w:pPr>
    </w:p>
    <w:p w:rsidR="00CF371C" w:rsidRPr="00C5378C" w:rsidRDefault="00C5378C" w:rsidP="00C5378C">
      <w:pPr>
        <w:autoSpaceDE w:val="0"/>
        <w:autoSpaceDN w:val="0"/>
        <w:adjustRightInd w:val="0"/>
        <w:ind w:right="720" w:firstLine="720"/>
        <w:jc w:val="both"/>
        <w:rPr>
          <w:rFonts w:cs="Arial"/>
        </w:rPr>
      </w:pPr>
      <w:r>
        <w:rPr>
          <w:rFonts w:cs="Arial"/>
        </w:rPr>
        <w:t xml:space="preserve">A:  </w:t>
      </w:r>
      <w:r w:rsidR="00CF371C" w:rsidRPr="00C5378C">
        <w:rPr>
          <w:rFonts w:cs="Arial"/>
          <w:b/>
          <w:u w:val="single"/>
        </w:rPr>
        <w:t>I think the arithmetic would work that way</w:t>
      </w:r>
      <w:r w:rsidR="00CF371C" w:rsidRPr="00C5378C">
        <w:rPr>
          <w:rFonts w:cs="Arial"/>
        </w:rPr>
        <w:t xml:space="preserve"> . . . .</w:t>
      </w:r>
      <w:r w:rsidR="00CF371C" w:rsidRPr="00A44A73">
        <w:rPr>
          <w:rStyle w:val="FootnoteReference"/>
          <w:rFonts w:cs="Arial"/>
        </w:rPr>
        <w:footnoteReference w:id="24"/>
      </w:r>
      <w:r w:rsidR="00CF371C" w:rsidRPr="00C5378C">
        <w:rPr>
          <w:rFonts w:cs="Arial"/>
        </w:rPr>
        <w:t xml:space="preserve">  </w:t>
      </w:r>
      <w:r w:rsidR="00C51C19" w:rsidRPr="00C5378C">
        <w:rPr>
          <w:rFonts w:cs="Arial"/>
        </w:rPr>
        <w:t xml:space="preserve">  </w:t>
      </w:r>
    </w:p>
    <w:p w:rsidR="00CF371C" w:rsidRDefault="00CF371C" w:rsidP="00CF371C">
      <w:pPr>
        <w:autoSpaceDE w:val="0"/>
        <w:autoSpaceDN w:val="0"/>
        <w:adjustRightInd w:val="0"/>
        <w:rPr>
          <w:rFonts w:ascii="TTE21F4B78t00" w:hAnsi="TTE21F4B78t00" w:cs="TTE21F4B78t00"/>
          <w:sz w:val="25"/>
          <w:szCs w:val="25"/>
        </w:rPr>
      </w:pPr>
    </w:p>
    <w:p w:rsidR="00954136" w:rsidRDefault="0059774D" w:rsidP="00C30DA4">
      <w:pPr>
        <w:spacing w:line="480" w:lineRule="auto"/>
        <w:jc w:val="both"/>
      </w:pPr>
      <w:r>
        <w:t>Even if one customer is not stuck holding the bag, a small change in shopping would drastically increase the impact of the FCR.  For example, if AEP-Ohio</w:t>
      </w:r>
      <w:r w:rsidR="001E07D6">
        <w:t xml:space="preserve"> overstated</w:t>
      </w:r>
      <w:r>
        <w:t xml:space="preserve"> S</w:t>
      </w:r>
      <w:r w:rsidR="001E07D6">
        <w:t>SO sales by 10%, the FCR will</w:t>
      </w:r>
      <w:r>
        <w:t xml:space="preserve"> inc</w:t>
      </w:r>
      <w:r w:rsidR="00C10D37">
        <w:t>rease from</w:t>
      </w:r>
      <w:r>
        <w:t xml:space="preserve"> $.007 to $.0078 for CSP customers</w:t>
      </w:r>
      <w:r>
        <w:rPr>
          <w:rStyle w:val="FootnoteReference"/>
        </w:rPr>
        <w:footnoteReference w:id="25"/>
      </w:r>
      <w:r w:rsidR="00C30DA4">
        <w:t xml:space="preserve"> and</w:t>
      </w:r>
      <w:r>
        <w:t xml:space="preserve"> </w:t>
      </w:r>
      <w:r w:rsidR="00C30DA4">
        <w:t>from $.0059 to $.0066 for Ohio Power customers.</w:t>
      </w:r>
      <w:r w:rsidR="00C30DA4">
        <w:rPr>
          <w:rStyle w:val="FootnoteReference"/>
        </w:rPr>
        <w:footnoteReference w:id="26"/>
      </w:r>
    </w:p>
    <w:p w:rsidR="00CE1F93" w:rsidRDefault="00CE1F93" w:rsidP="00A70370">
      <w:pPr>
        <w:spacing w:after="120" w:line="480" w:lineRule="auto"/>
        <w:jc w:val="both"/>
      </w:pPr>
      <w:r>
        <w:tab/>
        <w:t>Although it is unjust and unreasonable for AEP-Ohio to collect the FCR from any customers,</w:t>
      </w:r>
      <w:r w:rsidR="00C10D37">
        <w:t xml:space="preserve"> until the Commission can address the double recovery, IEU-Ohio urges the Commission to direct AEP-Ohio to allocate the FCR consistent with principles of cost causation.</w:t>
      </w:r>
      <w:r>
        <w:t xml:space="preserve">  AEP-Ohio has p</w:t>
      </w:r>
      <w:r w:rsidR="00EB1CB3">
        <w:t>roposed to allocate the $188.88</w:t>
      </w:r>
      <w:r w:rsidR="00BF2931">
        <w:t xml:space="preserve"> </w:t>
      </w:r>
      <w:r>
        <w:t>MW-day capacity price based upon the contribution of each class to the 5 CPs.</w:t>
      </w:r>
      <w:r>
        <w:rPr>
          <w:rStyle w:val="FootnoteReference"/>
        </w:rPr>
        <w:footnoteReference w:id="27"/>
      </w:r>
      <w:r>
        <w:t xml:space="preserve">  Because the FCR will also collect capacity cost</w:t>
      </w:r>
      <w:r w:rsidR="00B10701">
        <w:t>s</w:t>
      </w:r>
      <w:r>
        <w:t>—</w:t>
      </w:r>
      <w:r w:rsidR="00C10D37">
        <w:t>i</w:t>
      </w:r>
      <w:r>
        <w:t xml:space="preserve">n part, the same capacity costs—it, too, should be allocated based upon the contribution of each class to the 5 CPs.  </w:t>
      </w:r>
    </w:p>
    <w:p w:rsidR="005F52A2" w:rsidRDefault="005F52A2" w:rsidP="00A70370">
      <w:pPr>
        <w:spacing w:after="120" w:line="480" w:lineRule="auto"/>
        <w:jc w:val="both"/>
      </w:pPr>
    </w:p>
    <w:p w:rsidR="005F52A2" w:rsidRDefault="005F52A2" w:rsidP="00A70370">
      <w:pPr>
        <w:spacing w:after="120" w:line="480" w:lineRule="auto"/>
        <w:jc w:val="both"/>
      </w:pPr>
    </w:p>
    <w:p w:rsidR="00C10D37" w:rsidRDefault="00CE1F93" w:rsidP="00A70370">
      <w:pPr>
        <w:pStyle w:val="ListParagraph"/>
        <w:numPr>
          <w:ilvl w:val="0"/>
          <w:numId w:val="2"/>
        </w:numPr>
        <w:spacing w:line="480" w:lineRule="auto"/>
        <w:ind w:left="720"/>
        <w:jc w:val="both"/>
        <w:rPr>
          <w:b/>
        </w:rPr>
      </w:pPr>
      <w:r>
        <w:rPr>
          <w:b/>
        </w:rPr>
        <w:lastRenderedPageBreak/>
        <w:t>CONCLUSION</w:t>
      </w:r>
    </w:p>
    <w:p w:rsidR="00954136" w:rsidRPr="00C10D37" w:rsidRDefault="00C10D37" w:rsidP="00C10D37">
      <w:pPr>
        <w:spacing w:line="480" w:lineRule="auto"/>
        <w:ind w:firstLine="720"/>
        <w:jc w:val="both"/>
        <w:rPr>
          <w:b/>
        </w:rPr>
      </w:pPr>
      <w:r>
        <w:t xml:space="preserve">For the reasons stated herein, IEU-Ohio urges the Commission to </w:t>
      </w:r>
      <w:r w:rsidR="00C5378C">
        <w:t xml:space="preserve">eliminate the FCR, or, at a minimum, the Commission should </w:t>
      </w:r>
      <w:r>
        <w:t>address AEP-Ohio’s</w:t>
      </w:r>
      <w:r w:rsidR="001E07D6">
        <w:t xml:space="preserve"> unlawful and unreasonable</w:t>
      </w:r>
      <w:r>
        <w:t xml:space="preserve"> double recovery of capacity costs on an expedited basis.  Because the impact of the double recovery will fall disproportionately on large customers, until the Commission can address AEP-Ohio’s unlawful collection, IEU-Ohio urges the Commission to direct AEP-Ohio to allocate the FCR based upon the same 5 CP method AEP-Ohio proposed to use to allocate capacity costs.</w:t>
      </w:r>
    </w:p>
    <w:p w:rsidR="00954136" w:rsidRDefault="00954136">
      <w:r>
        <w:tab/>
      </w:r>
      <w:r>
        <w:tab/>
      </w:r>
      <w:r>
        <w:tab/>
      </w:r>
      <w:r>
        <w:tab/>
      </w:r>
      <w:r>
        <w:tab/>
      </w:r>
      <w:r>
        <w:tab/>
        <w:t>Respectfully submitted,</w:t>
      </w:r>
    </w:p>
    <w:p w:rsidR="00954136" w:rsidRDefault="00954136"/>
    <w:p w:rsidR="00954136" w:rsidRDefault="00954136"/>
    <w:p w:rsidR="00954136" w:rsidRDefault="00996C60">
      <w:r>
        <w:tab/>
      </w:r>
      <w:r>
        <w:tab/>
      </w:r>
      <w:r>
        <w:tab/>
      </w:r>
      <w:r>
        <w:tab/>
      </w:r>
      <w:r>
        <w:tab/>
      </w:r>
      <w:r>
        <w:tab/>
        <w:t>/s/ Joseph E. Oliker</w:t>
      </w:r>
    </w:p>
    <w:p w:rsidR="00954136" w:rsidRPr="00FA702C" w:rsidRDefault="00954136" w:rsidP="00954136">
      <w:pPr>
        <w:pBdr>
          <w:top w:val="single" w:sz="4" w:space="1" w:color="auto"/>
        </w:pBdr>
        <w:tabs>
          <w:tab w:val="left" w:pos="4320"/>
          <w:tab w:val="right" w:pos="8640"/>
        </w:tabs>
        <w:ind w:left="4320"/>
        <w:jc w:val="both"/>
        <w:rPr>
          <w:rFonts w:cs="Arial"/>
        </w:rPr>
      </w:pPr>
      <w:r>
        <w:tab/>
      </w:r>
      <w:r w:rsidRPr="00FA702C">
        <w:rPr>
          <w:rFonts w:cs="Arial"/>
        </w:rPr>
        <w:t>Samuel C. Randazzo (Counsel of Record)</w:t>
      </w:r>
    </w:p>
    <w:p w:rsidR="00954136" w:rsidRPr="00FA702C" w:rsidRDefault="00954136" w:rsidP="00954136">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954136" w:rsidRPr="00FA702C" w:rsidRDefault="00954136" w:rsidP="00954136">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954136" w:rsidRPr="00FA702C" w:rsidRDefault="00954136" w:rsidP="00954136">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954136" w:rsidRPr="00FA702C" w:rsidRDefault="00954136" w:rsidP="00954136">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954136" w:rsidRPr="00FA702C" w:rsidRDefault="00954136" w:rsidP="00954136">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Columbus, OH  43215</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Telephone:  (614) 469-8000</w:t>
      </w:r>
    </w:p>
    <w:p w:rsidR="00954136" w:rsidRPr="00FA702C" w:rsidRDefault="00954136" w:rsidP="00954136">
      <w:pPr>
        <w:pStyle w:val="BodyText"/>
        <w:tabs>
          <w:tab w:val="left" w:pos="4320"/>
        </w:tabs>
        <w:ind w:left="4320"/>
        <w:rPr>
          <w:b w:val="0"/>
          <w:smallCaps w:val="0"/>
          <w:sz w:val="24"/>
          <w:szCs w:val="24"/>
        </w:rPr>
      </w:pPr>
      <w:r w:rsidRPr="00FA702C">
        <w:rPr>
          <w:b w:val="0"/>
          <w:smallCaps w:val="0"/>
          <w:sz w:val="24"/>
          <w:szCs w:val="24"/>
        </w:rPr>
        <w:t>Telecopier:  (614) 469-4653</w:t>
      </w:r>
    </w:p>
    <w:p w:rsidR="00954136" w:rsidRPr="00FA702C" w:rsidRDefault="00954136" w:rsidP="00954136">
      <w:pPr>
        <w:pStyle w:val="BodyText"/>
        <w:ind w:left="4320"/>
        <w:rPr>
          <w:b w:val="0"/>
          <w:smallCaps w:val="0"/>
          <w:sz w:val="24"/>
          <w:szCs w:val="24"/>
        </w:rPr>
      </w:pPr>
      <w:r w:rsidRPr="00FA702C">
        <w:rPr>
          <w:b w:val="0"/>
          <w:smallCaps w:val="0"/>
          <w:sz w:val="24"/>
          <w:szCs w:val="24"/>
        </w:rPr>
        <w:t>sam@mwncmh.com</w:t>
      </w:r>
    </w:p>
    <w:p w:rsidR="00954136" w:rsidRPr="00FA702C" w:rsidRDefault="00954136" w:rsidP="00954136">
      <w:pPr>
        <w:pStyle w:val="BodyText"/>
        <w:ind w:left="4320"/>
        <w:rPr>
          <w:b w:val="0"/>
          <w:smallCaps w:val="0"/>
          <w:sz w:val="24"/>
          <w:szCs w:val="24"/>
        </w:rPr>
      </w:pPr>
      <w:r w:rsidRPr="00FA702C">
        <w:rPr>
          <w:b w:val="0"/>
          <w:smallCaps w:val="0"/>
          <w:sz w:val="24"/>
          <w:szCs w:val="24"/>
        </w:rPr>
        <w:t>fdarr@mwncmh.com</w:t>
      </w:r>
    </w:p>
    <w:p w:rsidR="00954136" w:rsidRPr="00FA702C" w:rsidRDefault="00954136" w:rsidP="00954136">
      <w:pPr>
        <w:pStyle w:val="BodyText"/>
        <w:ind w:left="4320"/>
        <w:rPr>
          <w:b w:val="0"/>
          <w:smallCaps w:val="0"/>
          <w:sz w:val="24"/>
          <w:szCs w:val="24"/>
        </w:rPr>
      </w:pPr>
      <w:r w:rsidRPr="00FA702C">
        <w:rPr>
          <w:b w:val="0"/>
          <w:smallCaps w:val="0"/>
          <w:sz w:val="24"/>
          <w:szCs w:val="24"/>
        </w:rPr>
        <w:t>joliker@mwncmh.com</w:t>
      </w:r>
    </w:p>
    <w:p w:rsidR="00954136" w:rsidRPr="00FA702C" w:rsidRDefault="00954136" w:rsidP="00954136">
      <w:pPr>
        <w:pStyle w:val="BodyText"/>
        <w:ind w:left="4320"/>
        <w:rPr>
          <w:rFonts w:cs="Arial"/>
          <w:b w:val="0"/>
          <w:sz w:val="24"/>
          <w:szCs w:val="24"/>
        </w:rPr>
      </w:pPr>
      <w:r w:rsidRPr="00FA702C">
        <w:rPr>
          <w:rFonts w:cs="Arial"/>
          <w:b w:val="0"/>
          <w:smallCaps w:val="0"/>
          <w:sz w:val="24"/>
          <w:szCs w:val="24"/>
        </w:rPr>
        <w:t>mpritchard@mwncmh.com</w:t>
      </w:r>
    </w:p>
    <w:p w:rsidR="00954136" w:rsidRPr="00FA702C" w:rsidRDefault="00954136" w:rsidP="00954136">
      <w:pPr>
        <w:pStyle w:val="BodyText"/>
        <w:ind w:left="4320"/>
        <w:rPr>
          <w:rFonts w:cs="Arial"/>
          <w:sz w:val="24"/>
          <w:szCs w:val="24"/>
        </w:rPr>
      </w:pPr>
    </w:p>
    <w:p w:rsidR="00954136" w:rsidRDefault="00954136" w:rsidP="00954136">
      <w:pPr>
        <w:jc w:val="both"/>
        <w:rPr>
          <w:rFonts w:cs="Arial"/>
          <w:b/>
        </w:rPr>
      </w:pPr>
      <w:r>
        <w:rPr>
          <w:rFonts w:cs="Arial"/>
          <w:b/>
        </w:rPr>
        <w:tab/>
      </w:r>
      <w:r>
        <w:rPr>
          <w:rFonts w:cs="Arial"/>
          <w:b/>
        </w:rPr>
        <w:tab/>
      </w:r>
      <w:r w:rsidRPr="00FA702C">
        <w:rPr>
          <w:rFonts w:cs="Arial"/>
          <w:b/>
        </w:rPr>
        <w:tab/>
      </w:r>
      <w:r>
        <w:rPr>
          <w:rFonts w:cs="Arial"/>
          <w:b/>
        </w:rPr>
        <w:tab/>
      </w:r>
      <w:r>
        <w:rPr>
          <w:rFonts w:cs="Arial"/>
          <w:b/>
        </w:rPr>
        <w:tab/>
      </w:r>
      <w:r>
        <w:rPr>
          <w:rFonts w:cs="Arial"/>
          <w:b/>
        </w:rPr>
        <w:tab/>
      </w:r>
      <w:r w:rsidRPr="00FA702C">
        <w:rPr>
          <w:rFonts w:cs="Arial"/>
          <w:b/>
        </w:rPr>
        <w:t>Attorneys for Industrial Energy Users-Ohio</w:t>
      </w:r>
    </w:p>
    <w:p w:rsidR="00954136" w:rsidRDefault="00954136" w:rsidP="00954136">
      <w:pPr>
        <w:sectPr w:rsidR="00954136" w:rsidSect="00C0405A">
          <w:pgSz w:w="12240" w:h="15840" w:code="1"/>
          <w:pgMar w:top="1440" w:right="1440" w:bottom="1440" w:left="1440" w:header="720" w:footer="720" w:gutter="0"/>
          <w:cols w:space="720"/>
          <w:titlePg/>
          <w:docGrid w:linePitch="360"/>
        </w:sectPr>
      </w:pPr>
    </w:p>
    <w:p w:rsidR="000556D0" w:rsidRPr="007C3BFD" w:rsidRDefault="000556D0" w:rsidP="000556D0">
      <w:pPr>
        <w:tabs>
          <w:tab w:val="left" w:pos="2160"/>
          <w:tab w:val="left" w:pos="2280"/>
        </w:tabs>
        <w:jc w:val="center"/>
        <w:rPr>
          <w:rFonts w:ascii="Arial Bold" w:eastAsia="Times New Roman" w:hAnsi="Arial Bold" w:cs="Arial"/>
          <w:b/>
          <w:bCs/>
          <w:smallCaps/>
          <w:sz w:val="28"/>
          <w:szCs w:val="28"/>
          <w:u w:val="single"/>
        </w:rPr>
      </w:pPr>
      <w:r w:rsidRPr="007C3BFD">
        <w:rPr>
          <w:rFonts w:ascii="Arial Bold" w:eastAsia="Times New Roman" w:hAnsi="Arial Bold" w:cs="Arial"/>
          <w:b/>
          <w:bCs/>
          <w:smallCaps/>
          <w:sz w:val="28"/>
          <w:szCs w:val="28"/>
          <w:u w:val="single"/>
        </w:rPr>
        <w:lastRenderedPageBreak/>
        <w:t>Certificate of Service</w:t>
      </w:r>
    </w:p>
    <w:p w:rsidR="000556D0" w:rsidRPr="00754E21" w:rsidRDefault="000556D0" w:rsidP="000556D0">
      <w:pPr>
        <w:spacing w:line="480" w:lineRule="auto"/>
        <w:ind w:firstLine="720"/>
        <w:rPr>
          <w:rFonts w:eastAsia="Times New Roman" w:cs="Arial"/>
        </w:rPr>
      </w:pPr>
    </w:p>
    <w:p w:rsidR="000556D0" w:rsidRPr="00754E21" w:rsidRDefault="000556D0" w:rsidP="000556D0">
      <w:pPr>
        <w:spacing w:line="480" w:lineRule="auto"/>
        <w:ind w:firstLine="720"/>
        <w:jc w:val="both"/>
        <w:rPr>
          <w:rFonts w:eastAsia="Times New Roman" w:cs="Arial"/>
        </w:rPr>
      </w:pPr>
      <w:r w:rsidRPr="00754E21">
        <w:rPr>
          <w:rFonts w:eastAsia="Times New Roman" w:cs="Arial"/>
        </w:rPr>
        <w:t>I hereby certify that a copy of the foregoing</w:t>
      </w:r>
      <w:r w:rsidRPr="00754E21">
        <w:rPr>
          <w:rFonts w:eastAsia="Times New Roman" w:cs="Arial"/>
          <w:smallCaps/>
        </w:rPr>
        <w:t xml:space="preserve"> </w:t>
      </w:r>
      <w:r w:rsidRPr="008F3ADC">
        <w:rPr>
          <w:rFonts w:eastAsia="Times New Roman" w:cs="Arial"/>
          <w:i/>
        </w:rPr>
        <w:t>Comments of</w:t>
      </w:r>
      <w:r>
        <w:rPr>
          <w:rFonts w:eastAsia="Times New Roman" w:cs="Arial"/>
          <w:i/>
          <w:iCs/>
        </w:rPr>
        <w:t xml:space="preserve"> Industrial Energy Users-Ohio</w:t>
      </w:r>
      <w:r w:rsidRPr="00754E21">
        <w:rPr>
          <w:rFonts w:eastAsia="Times New Roman" w:cs="Arial"/>
          <w:i/>
          <w:iCs/>
        </w:rPr>
        <w:t xml:space="preserve"> </w:t>
      </w:r>
      <w:r w:rsidRPr="00754E21">
        <w:rPr>
          <w:rFonts w:eastAsia="Times New Roman" w:cs="Arial"/>
        </w:rPr>
        <w:t xml:space="preserve">was served upon the following parties of record this </w:t>
      </w:r>
      <w:r w:rsidR="00996C60">
        <w:rPr>
          <w:rFonts w:eastAsia="Times New Roman" w:cs="Arial"/>
        </w:rPr>
        <w:t>24</w:t>
      </w:r>
      <w:r w:rsidRPr="00D92220">
        <w:rPr>
          <w:rFonts w:eastAsia="Times New Roman" w:cs="Arial"/>
          <w:vertAlign w:val="superscript"/>
        </w:rPr>
        <w:t>th</w:t>
      </w:r>
      <w:r>
        <w:rPr>
          <w:rFonts w:eastAsia="Times New Roman" w:cs="Arial"/>
        </w:rPr>
        <w:t xml:space="preserve"> day of </w:t>
      </w:r>
      <w:r w:rsidR="00996C60">
        <w:rPr>
          <w:rFonts w:eastAsia="Times New Roman" w:cs="Arial"/>
        </w:rPr>
        <w:t>February 2014</w:t>
      </w:r>
      <w:r w:rsidRPr="00754E21">
        <w:rPr>
          <w:rFonts w:eastAsia="Times New Roman" w:cs="Arial"/>
        </w:rPr>
        <w:t xml:space="preserve">, </w:t>
      </w:r>
      <w:r w:rsidRPr="00754E21">
        <w:rPr>
          <w:rFonts w:eastAsia="Times New Roman" w:cs="Arial"/>
          <w:i/>
        </w:rPr>
        <w:t>via</w:t>
      </w:r>
      <w:r w:rsidRPr="00754E21">
        <w:rPr>
          <w:rFonts w:eastAsia="Times New Roman" w:cs="Arial"/>
        </w:rPr>
        <w:t xml:space="preserve"> electronic transmission, hand-delivery or first class mail, postage prepaid.</w:t>
      </w:r>
    </w:p>
    <w:p w:rsidR="000556D0" w:rsidRPr="000556D0" w:rsidRDefault="000556D0" w:rsidP="000556D0">
      <w:pPr>
        <w:tabs>
          <w:tab w:val="left" w:pos="-1440"/>
          <w:tab w:val="left" w:pos="-720"/>
          <w:tab w:val="left" w:pos="5040"/>
          <w:tab w:val="center" w:pos="7200"/>
          <w:tab w:val="right" w:pos="9360"/>
        </w:tabs>
        <w:ind w:firstLine="5040"/>
        <w:jc w:val="both"/>
        <w:rPr>
          <w:rFonts w:cs="Arial"/>
          <w:u w:val="single"/>
        </w:rPr>
      </w:pPr>
      <w:r>
        <w:rPr>
          <w:rFonts w:cs="Arial"/>
          <w:u w:val="single"/>
        </w:rPr>
        <w:t>/s/</w:t>
      </w:r>
      <w:r w:rsidR="004E1F7F">
        <w:rPr>
          <w:rFonts w:cs="Arial"/>
          <w:u w:val="single"/>
        </w:rPr>
        <w:t xml:space="preserve"> Joseph E. Oliker</w:t>
      </w:r>
      <w:r w:rsidR="004E1F7F">
        <w:rPr>
          <w:rFonts w:cs="Arial"/>
          <w:u w:val="single"/>
        </w:rPr>
        <w:tab/>
      </w:r>
      <w:r w:rsidR="004E1F7F">
        <w:rPr>
          <w:rFonts w:cs="Arial"/>
          <w:u w:val="single"/>
        </w:rPr>
        <w:tab/>
      </w:r>
    </w:p>
    <w:p w:rsidR="000556D0" w:rsidRDefault="000556D0" w:rsidP="000556D0">
      <w:pPr>
        <w:tabs>
          <w:tab w:val="left" w:pos="-1440"/>
          <w:tab w:val="left" w:pos="-720"/>
          <w:tab w:val="left" w:pos="5040"/>
          <w:tab w:val="center" w:pos="7200"/>
        </w:tabs>
        <w:ind w:firstLine="5040"/>
        <w:rPr>
          <w:rFonts w:cs="Arial"/>
        </w:rPr>
        <w:sectPr w:rsidR="000556D0" w:rsidSect="00C0405A">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rPr>
          <w:rFonts w:cs="Arial"/>
        </w:rPr>
        <w:t>Joseph E. Oliker</w:t>
      </w:r>
    </w:p>
    <w:p w:rsidR="000556D0" w:rsidRPr="005744F0" w:rsidRDefault="000556D0" w:rsidP="000556D0">
      <w:pPr>
        <w:tabs>
          <w:tab w:val="left" w:pos="-1440"/>
          <w:tab w:val="left" w:pos="-720"/>
          <w:tab w:val="left" w:pos="5040"/>
          <w:tab w:val="center" w:pos="7200"/>
        </w:tabs>
        <w:ind w:firstLine="5040"/>
        <w:rPr>
          <w:rFonts w:cs="Arial"/>
        </w:rPr>
      </w:pPr>
    </w:p>
    <w:p w:rsidR="000556D0" w:rsidRPr="005744F0" w:rsidRDefault="000556D0" w:rsidP="000556D0">
      <w:pPr>
        <w:rPr>
          <w:rFonts w:cs="Arial"/>
          <w:color w:val="000000" w:themeColor="text1"/>
        </w:rPr>
      </w:pPr>
      <w:r w:rsidRPr="005744F0">
        <w:rPr>
          <w:rFonts w:cs="Arial"/>
          <w:color w:val="000000" w:themeColor="text1"/>
        </w:rPr>
        <w:t>Bruce J. Weston</w:t>
      </w:r>
    </w:p>
    <w:p w:rsidR="000556D0" w:rsidRPr="005744F0" w:rsidRDefault="000556D0" w:rsidP="000556D0">
      <w:pPr>
        <w:rPr>
          <w:rFonts w:cs="Arial"/>
          <w:color w:val="000000" w:themeColor="text1"/>
        </w:rPr>
      </w:pPr>
      <w:r w:rsidRPr="005744F0">
        <w:rPr>
          <w:rFonts w:cs="Arial"/>
          <w:color w:val="000000" w:themeColor="text1"/>
        </w:rPr>
        <w:t>Ohio Consumers’ Counsel</w:t>
      </w:r>
    </w:p>
    <w:p w:rsidR="000556D0" w:rsidRPr="005744F0" w:rsidRDefault="000556D0" w:rsidP="000556D0">
      <w:pPr>
        <w:rPr>
          <w:rFonts w:cs="Arial"/>
          <w:color w:val="000000" w:themeColor="text1"/>
        </w:rPr>
      </w:pPr>
      <w:r w:rsidRPr="005744F0">
        <w:rPr>
          <w:rFonts w:cs="Arial"/>
          <w:color w:val="000000" w:themeColor="text1"/>
        </w:rPr>
        <w:t>Edmund Berger</w:t>
      </w:r>
    </w:p>
    <w:p w:rsidR="000556D0" w:rsidRPr="005744F0" w:rsidRDefault="000556D0" w:rsidP="000556D0">
      <w:pPr>
        <w:rPr>
          <w:rFonts w:cs="Arial"/>
          <w:color w:val="000000" w:themeColor="text1"/>
        </w:rPr>
      </w:pPr>
      <w:r w:rsidRPr="005744F0">
        <w:rPr>
          <w:rFonts w:cs="Arial"/>
          <w:color w:val="000000" w:themeColor="text1"/>
        </w:rPr>
        <w:t>Assistant Consumers’ Counsel</w:t>
      </w:r>
    </w:p>
    <w:p w:rsidR="000556D0" w:rsidRPr="005744F0" w:rsidRDefault="000556D0" w:rsidP="000556D0">
      <w:pPr>
        <w:rPr>
          <w:rFonts w:cs="Arial"/>
          <w:color w:val="000000" w:themeColor="text1"/>
        </w:rPr>
      </w:pPr>
      <w:r w:rsidRPr="005744F0">
        <w:rPr>
          <w:rFonts w:cs="Arial"/>
          <w:color w:val="000000" w:themeColor="text1"/>
        </w:rPr>
        <w:t>Office of the Ohio Consumers’ Counsel</w:t>
      </w:r>
    </w:p>
    <w:p w:rsidR="000556D0" w:rsidRPr="005744F0" w:rsidRDefault="000556D0" w:rsidP="000556D0">
      <w:pPr>
        <w:rPr>
          <w:rFonts w:cs="Arial"/>
          <w:color w:val="000000" w:themeColor="text1"/>
        </w:rPr>
      </w:pPr>
      <w:r w:rsidRPr="005744F0">
        <w:rPr>
          <w:rFonts w:cs="Arial"/>
          <w:color w:val="000000" w:themeColor="text1"/>
        </w:rPr>
        <w:t>10 West Broad Street, Suite 1800</w:t>
      </w:r>
    </w:p>
    <w:p w:rsidR="000556D0" w:rsidRPr="005744F0" w:rsidRDefault="000556D0" w:rsidP="000556D0">
      <w:pPr>
        <w:rPr>
          <w:rFonts w:cs="Arial"/>
          <w:color w:val="000000" w:themeColor="text1"/>
        </w:rPr>
      </w:pPr>
      <w:r w:rsidRPr="005744F0">
        <w:rPr>
          <w:rFonts w:cs="Arial"/>
          <w:color w:val="000000" w:themeColor="text1"/>
        </w:rPr>
        <w:t>Columbus, OH  43215-3485</w:t>
      </w:r>
    </w:p>
    <w:p w:rsidR="000556D0" w:rsidRPr="005744F0" w:rsidRDefault="000556D0" w:rsidP="000556D0">
      <w:pPr>
        <w:rPr>
          <w:rFonts w:cs="Arial"/>
          <w:color w:val="000000" w:themeColor="text1"/>
        </w:rPr>
      </w:pPr>
      <w:r w:rsidRPr="005744F0">
        <w:rPr>
          <w:rFonts w:cs="Arial"/>
          <w:color w:val="000000" w:themeColor="text1"/>
        </w:rPr>
        <w:t>berger@occ.state.oh.us</w:t>
      </w:r>
    </w:p>
    <w:p w:rsidR="000556D0" w:rsidRPr="005744F0" w:rsidRDefault="000556D0" w:rsidP="000556D0">
      <w:pPr>
        <w:rPr>
          <w:rFonts w:cs="Arial"/>
          <w:color w:val="000000" w:themeColor="text1"/>
        </w:rPr>
      </w:pPr>
    </w:p>
    <w:p w:rsidR="000556D0" w:rsidRPr="005744F0" w:rsidRDefault="000556D0" w:rsidP="000556D0">
      <w:pPr>
        <w:rPr>
          <w:rFonts w:cs="Arial"/>
          <w:b/>
          <w:smallCaps/>
          <w:color w:val="000000" w:themeColor="text1"/>
        </w:rPr>
      </w:pPr>
      <w:r w:rsidRPr="005744F0">
        <w:rPr>
          <w:rFonts w:cs="Arial"/>
          <w:b/>
          <w:smallCaps/>
          <w:color w:val="000000" w:themeColor="text1"/>
        </w:rPr>
        <w:t>On behalf of the Office of the Ohio Consumers’ Counsel</w:t>
      </w:r>
    </w:p>
    <w:p w:rsidR="000556D0" w:rsidRPr="005744F0" w:rsidRDefault="000556D0" w:rsidP="000556D0">
      <w:pPr>
        <w:rPr>
          <w:rFonts w:cs="Arial"/>
          <w:color w:val="000000" w:themeColor="text1"/>
        </w:rPr>
      </w:pPr>
    </w:p>
    <w:p w:rsidR="000556D0" w:rsidRPr="005744F0" w:rsidRDefault="000556D0" w:rsidP="000556D0">
      <w:pPr>
        <w:rPr>
          <w:rFonts w:cs="Arial"/>
          <w:color w:val="000000" w:themeColor="text1"/>
        </w:rPr>
      </w:pPr>
      <w:r w:rsidRPr="005744F0">
        <w:rPr>
          <w:rFonts w:cs="Arial"/>
          <w:color w:val="000000" w:themeColor="text1"/>
        </w:rPr>
        <w:t>David F. Boehm</w:t>
      </w:r>
    </w:p>
    <w:p w:rsidR="000556D0" w:rsidRPr="005744F0" w:rsidRDefault="000556D0" w:rsidP="000556D0">
      <w:pPr>
        <w:rPr>
          <w:rFonts w:cs="Arial"/>
          <w:color w:val="000000" w:themeColor="text1"/>
        </w:rPr>
      </w:pPr>
      <w:r w:rsidRPr="005744F0">
        <w:rPr>
          <w:rFonts w:cs="Arial"/>
          <w:color w:val="000000" w:themeColor="text1"/>
        </w:rPr>
        <w:t>Michael L. Kurtz</w:t>
      </w:r>
    </w:p>
    <w:p w:rsidR="000556D0" w:rsidRPr="005744F0" w:rsidRDefault="000556D0" w:rsidP="000556D0">
      <w:pPr>
        <w:rPr>
          <w:rFonts w:cs="Arial"/>
          <w:color w:val="000000" w:themeColor="text1"/>
        </w:rPr>
      </w:pPr>
      <w:r w:rsidRPr="005744F0">
        <w:rPr>
          <w:rFonts w:cs="Arial"/>
          <w:color w:val="000000" w:themeColor="text1"/>
        </w:rPr>
        <w:t>Jody Kyler Cohn</w:t>
      </w:r>
    </w:p>
    <w:p w:rsidR="000556D0" w:rsidRPr="005744F0" w:rsidRDefault="000556D0" w:rsidP="000556D0">
      <w:pPr>
        <w:rPr>
          <w:rFonts w:cs="Arial"/>
          <w:color w:val="000000" w:themeColor="text1"/>
        </w:rPr>
      </w:pPr>
      <w:r w:rsidRPr="005744F0">
        <w:rPr>
          <w:rFonts w:cs="Arial"/>
          <w:color w:val="000000" w:themeColor="text1"/>
        </w:rPr>
        <w:t>Boehm, Kurtz &amp; Lowry</w:t>
      </w:r>
    </w:p>
    <w:p w:rsidR="000556D0" w:rsidRPr="005744F0" w:rsidRDefault="000556D0" w:rsidP="000556D0">
      <w:pPr>
        <w:rPr>
          <w:rFonts w:cs="Arial"/>
          <w:color w:val="000000" w:themeColor="text1"/>
        </w:rPr>
      </w:pPr>
      <w:r w:rsidRPr="005744F0">
        <w:rPr>
          <w:rFonts w:cs="Arial"/>
          <w:color w:val="000000" w:themeColor="text1"/>
        </w:rPr>
        <w:t>36 East Seventh Street, Suite 1510</w:t>
      </w:r>
    </w:p>
    <w:p w:rsidR="000556D0" w:rsidRPr="005744F0" w:rsidRDefault="000556D0" w:rsidP="000556D0">
      <w:pPr>
        <w:rPr>
          <w:rFonts w:cs="Arial"/>
          <w:color w:val="000000" w:themeColor="text1"/>
        </w:rPr>
      </w:pPr>
      <w:r w:rsidRPr="005744F0">
        <w:rPr>
          <w:rFonts w:cs="Arial"/>
          <w:color w:val="000000" w:themeColor="text1"/>
        </w:rPr>
        <w:t>Cincinnati, OH  45202</w:t>
      </w:r>
    </w:p>
    <w:p w:rsidR="000556D0" w:rsidRPr="005744F0" w:rsidRDefault="000556D0" w:rsidP="000556D0">
      <w:pPr>
        <w:rPr>
          <w:rFonts w:cs="Arial"/>
          <w:color w:val="000000" w:themeColor="text1"/>
        </w:rPr>
      </w:pPr>
      <w:r w:rsidRPr="005744F0">
        <w:rPr>
          <w:rFonts w:cs="Arial"/>
          <w:color w:val="000000" w:themeColor="text1"/>
        </w:rPr>
        <w:t>dboehm@BKLlawfirm.com</w:t>
      </w:r>
    </w:p>
    <w:p w:rsidR="000556D0" w:rsidRPr="005744F0" w:rsidRDefault="000556D0" w:rsidP="000556D0">
      <w:pPr>
        <w:rPr>
          <w:rFonts w:cs="Arial"/>
          <w:color w:val="000000" w:themeColor="text1"/>
        </w:rPr>
      </w:pPr>
      <w:r w:rsidRPr="005744F0">
        <w:rPr>
          <w:color w:val="000000" w:themeColor="text1"/>
        </w:rPr>
        <w:t>mkurtz@bkllawfirm.com</w:t>
      </w:r>
    </w:p>
    <w:p w:rsidR="000556D0" w:rsidRPr="005744F0" w:rsidRDefault="000556D0" w:rsidP="000556D0">
      <w:pPr>
        <w:rPr>
          <w:rFonts w:cs="Arial"/>
          <w:color w:val="000000" w:themeColor="text1"/>
        </w:rPr>
      </w:pPr>
      <w:r w:rsidRPr="005744F0">
        <w:rPr>
          <w:rFonts w:cs="Arial"/>
          <w:color w:val="000000" w:themeColor="text1"/>
        </w:rPr>
        <w:t>jkylercohn@BKLlawfirm.com</w:t>
      </w:r>
    </w:p>
    <w:p w:rsidR="000556D0" w:rsidRPr="005744F0" w:rsidRDefault="000556D0" w:rsidP="000556D0">
      <w:pPr>
        <w:rPr>
          <w:rFonts w:cs="Arial"/>
          <w:color w:val="000000" w:themeColor="text1"/>
        </w:rPr>
      </w:pPr>
    </w:p>
    <w:p w:rsidR="000556D0" w:rsidRPr="005744F0" w:rsidRDefault="000556D0" w:rsidP="000556D0">
      <w:pPr>
        <w:rPr>
          <w:rFonts w:cs="Arial"/>
          <w:b/>
          <w:smallCaps/>
          <w:color w:val="000000" w:themeColor="text1"/>
        </w:rPr>
      </w:pPr>
      <w:r w:rsidRPr="005744F0">
        <w:rPr>
          <w:rFonts w:cs="Arial"/>
          <w:b/>
          <w:smallCaps/>
          <w:color w:val="000000" w:themeColor="text1"/>
        </w:rPr>
        <w:t>On behalf of the Ohio Energy Group</w:t>
      </w:r>
    </w:p>
    <w:p w:rsidR="000556D0" w:rsidRPr="005744F0" w:rsidRDefault="000556D0" w:rsidP="000556D0">
      <w:pPr>
        <w:rPr>
          <w:color w:val="000000" w:themeColor="text1"/>
        </w:rPr>
      </w:pPr>
    </w:p>
    <w:p w:rsidR="000556D0" w:rsidRPr="005744F0" w:rsidRDefault="000556D0" w:rsidP="004E1F7F">
      <w:pPr>
        <w:pStyle w:val="BodyTextIndent"/>
        <w:spacing w:after="0"/>
        <w:ind w:left="0"/>
        <w:rPr>
          <w:color w:val="000000" w:themeColor="text1"/>
        </w:rPr>
      </w:pPr>
      <w:r w:rsidRPr="005744F0">
        <w:rPr>
          <w:color w:val="000000" w:themeColor="text1"/>
        </w:rPr>
        <w:t>Vincent Parisi</w:t>
      </w:r>
    </w:p>
    <w:p w:rsidR="000556D0" w:rsidRPr="005744F0" w:rsidRDefault="000556D0" w:rsidP="004E1F7F">
      <w:pPr>
        <w:pStyle w:val="BodyTextIndent"/>
        <w:spacing w:after="0"/>
        <w:ind w:left="0"/>
        <w:rPr>
          <w:color w:val="000000" w:themeColor="text1"/>
        </w:rPr>
      </w:pPr>
      <w:r w:rsidRPr="005744F0">
        <w:rPr>
          <w:color w:val="000000" w:themeColor="text1"/>
        </w:rPr>
        <w:t>Matthew White</w:t>
      </w:r>
    </w:p>
    <w:p w:rsidR="000556D0" w:rsidRPr="005744F0" w:rsidRDefault="000556D0" w:rsidP="004E1F7F">
      <w:pPr>
        <w:pStyle w:val="BodyTextIndent"/>
        <w:spacing w:after="0"/>
        <w:ind w:left="0"/>
        <w:rPr>
          <w:color w:val="000000" w:themeColor="text1"/>
        </w:rPr>
      </w:pPr>
      <w:r w:rsidRPr="005744F0">
        <w:rPr>
          <w:color w:val="000000" w:themeColor="text1"/>
        </w:rPr>
        <w:t>Interstate Gas Supply, Inc.</w:t>
      </w:r>
    </w:p>
    <w:p w:rsidR="000556D0" w:rsidRPr="005744F0" w:rsidRDefault="000556D0" w:rsidP="004E1F7F">
      <w:pPr>
        <w:pStyle w:val="BodyTextIndent"/>
        <w:spacing w:after="0"/>
        <w:ind w:left="0"/>
        <w:rPr>
          <w:color w:val="000000" w:themeColor="text1"/>
        </w:rPr>
      </w:pPr>
      <w:r w:rsidRPr="005744F0">
        <w:rPr>
          <w:color w:val="000000" w:themeColor="text1"/>
        </w:rPr>
        <w:t>6100 Emerald Parkway</w:t>
      </w:r>
    </w:p>
    <w:p w:rsidR="000556D0" w:rsidRPr="005744F0" w:rsidRDefault="000556D0" w:rsidP="004E1F7F">
      <w:pPr>
        <w:pStyle w:val="BodyTextIndent"/>
        <w:spacing w:after="0"/>
        <w:ind w:left="0"/>
        <w:rPr>
          <w:color w:val="000000" w:themeColor="text1"/>
        </w:rPr>
      </w:pPr>
      <w:r w:rsidRPr="005744F0">
        <w:rPr>
          <w:color w:val="000000" w:themeColor="text1"/>
        </w:rPr>
        <w:t>Dublin, OH  43016</w:t>
      </w:r>
    </w:p>
    <w:p w:rsidR="000556D0" w:rsidRPr="005744F0" w:rsidRDefault="000556D0" w:rsidP="004E1F7F">
      <w:pPr>
        <w:pStyle w:val="BodyTextIndent"/>
        <w:spacing w:after="0"/>
        <w:ind w:left="0"/>
        <w:rPr>
          <w:color w:val="000000" w:themeColor="text1"/>
        </w:rPr>
      </w:pPr>
      <w:r w:rsidRPr="005744F0">
        <w:t>vparisi@igsenergy.com</w:t>
      </w:r>
    </w:p>
    <w:p w:rsidR="000556D0" w:rsidRPr="005744F0" w:rsidRDefault="000556D0" w:rsidP="004E1F7F">
      <w:pPr>
        <w:pStyle w:val="BodyTextIndent"/>
        <w:spacing w:after="0"/>
        <w:ind w:left="0"/>
        <w:rPr>
          <w:color w:val="000000" w:themeColor="text1"/>
        </w:rPr>
      </w:pPr>
      <w:r w:rsidRPr="005744F0">
        <w:t>mswhite@igsenergy.com</w:t>
      </w:r>
    </w:p>
    <w:p w:rsidR="000556D0" w:rsidRPr="005744F0" w:rsidRDefault="000556D0" w:rsidP="004E1F7F">
      <w:pPr>
        <w:pStyle w:val="BodyTextIndent"/>
        <w:spacing w:after="0"/>
        <w:ind w:left="0"/>
        <w:rPr>
          <w:color w:val="000000" w:themeColor="text1"/>
        </w:rPr>
      </w:pPr>
    </w:p>
    <w:p w:rsidR="000556D0" w:rsidRPr="005744F0" w:rsidRDefault="000556D0" w:rsidP="004E1F7F">
      <w:pPr>
        <w:pStyle w:val="BodyTextIndent"/>
        <w:spacing w:after="0"/>
        <w:ind w:left="0"/>
        <w:rPr>
          <w:rFonts w:ascii="Arial Bold" w:hAnsi="Arial Bold"/>
          <w:b/>
          <w:smallCaps/>
          <w:color w:val="000000" w:themeColor="text1"/>
        </w:rPr>
      </w:pPr>
      <w:r w:rsidRPr="005744F0">
        <w:rPr>
          <w:rFonts w:ascii="Arial Bold" w:hAnsi="Arial Bold"/>
          <w:b/>
          <w:smallCaps/>
          <w:color w:val="000000" w:themeColor="text1"/>
        </w:rPr>
        <w:t>On Behalf of Interstate Gas Supply, Inc.</w:t>
      </w:r>
    </w:p>
    <w:p w:rsidR="000556D0" w:rsidRPr="005744F0" w:rsidRDefault="004E1F7F" w:rsidP="004E1F7F">
      <w:pPr>
        <w:pStyle w:val="BodyTextIndent"/>
        <w:ind w:left="0"/>
        <w:rPr>
          <w:color w:val="000000" w:themeColor="text1"/>
        </w:rPr>
      </w:pPr>
      <w:r w:rsidRPr="005744F0">
        <w:rPr>
          <w:color w:val="000000" w:themeColor="text1"/>
        </w:rPr>
        <w:br w:type="column"/>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Steven T. Nourse</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American Electric Power Service Corporation</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1 Riverside Plaza, 29</w:t>
      </w:r>
      <w:r w:rsidRPr="005744F0">
        <w:rPr>
          <w:rFonts w:cs="Arial"/>
          <w:color w:val="000000" w:themeColor="text1"/>
          <w:vertAlign w:val="superscript"/>
        </w:rPr>
        <w:t>th</w:t>
      </w:r>
      <w:r w:rsidRPr="005744F0">
        <w:rPr>
          <w:rFonts w:cs="Arial"/>
          <w:color w:val="000000" w:themeColor="text1"/>
        </w:rPr>
        <w:t xml:space="preserve"> Floor</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Columbus, OH  43215</w:t>
      </w:r>
    </w:p>
    <w:p w:rsidR="000556D0" w:rsidRPr="005744F0" w:rsidRDefault="000556D0" w:rsidP="004E1F7F">
      <w:pPr>
        <w:pStyle w:val="BodyTextIndent"/>
        <w:spacing w:after="0"/>
        <w:ind w:left="0"/>
        <w:rPr>
          <w:rFonts w:cs="Arial"/>
          <w:color w:val="000000" w:themeColor="text1"/>
        </w:rPr>
      </w:pPr>
      <w:r w:rsidRPr="005744F0">
        <w:rPr>
          <w:rFonts w:cs="Arial"/>
        </w:rPr>
        <w:t>stnourse@aep.com</w:t>
      </w:r>
    </w:p>
    <w:p w:rsidR="000556D0" w:rsidRPr="005744F0" w:rsidRDefault="000556D0" w:rsidP="004E1F7F">
      <w:pPr>
        <w:pStyle w:val="BodyTextIndent"/>
        <w:spacing w:after="0"/>
        <w:ind w:left="0"/>
        <w:rPr>
          <w:rFonts w:cs="Arial"/>
          <w:color w:val="000000" w:themeColor="text1"/>
        </w:rPr>
      </w:pPr>
    </w:p>
    <w:p w:rsidR="000556D0" w:rsidRPr="005744F0" w:rsidRDefault="000556D0" w:rsidP="004E1F7F">
      <w:pPr>
        <w:pStyle w:val="BodyTextIndent"/>
        <w:spacing w:after="0"/>
        <w:ind w:left="0"/>
        <w:rPr>
          <w:rFonts w:cs="Arial"/>
          <w:b/>
          <w:smallCaps/>
          <w:color w:val="000000" w:themeColor="text1"/>
        </w:rPr>
      </w:pPr>
      <w:r w:rsidRPr="005744F0">
        <w:rPr>
          <w:rFonts w:cs="Arial"/>
          <w:b/>
          <w:smallCaps/>
          <w:color w:val="000000" w:themeColor="text1"/>
        </w:rPr>
        <w:t>On Behalf of Ohio Power Company</w:t>
      </w:r>
    </w:p>
    <w:p w:rsidR="000556D0" w:rsidRPr="005744F0" w:rsidRDefault="000556D0" w:rsidP="004E1F7F">
      <w:pPr>
        <w:pStyle w:val="BodyTextIndent"/>
        <w:spacing w:after="0"/>
        <w:ind w:left="0"/>
        <w:rPr>
          <w:rFonts w:cs="Arial"/>
          <w:color w:val="000000" w:themeColor="text1"/>
        </w:rPr>
      </w:pP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Mark A. Hayden</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FirstEnergy Service Company</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76 South Main Street</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Akron, OH  44308</w:t>
      </w:r>
    </w:p>
    <w:p w:rsidR="000556D0" w:rsidRPr="005744F0" w:rsidRDefault="000556D0" w:rsidP="004E1F7F">
      <w:pPr>
        <w:pStyle w:val="BodyTextIndent"/>
        <w:spacing w:after="0"/>
        <w:ind w:left="0"/>
        <w:rPr>
          <w:rFonts w:cs="Arial"/>
          <w:color w:val="000000" w:themeColor="text1"/>
        </w:rPr>
      </w:pPr>
      <w:r w:rsidRPr="005744F0">
        <w:rPr>
          <w:rFonts w:cs="Arial"/>
        </w:rPr>
        <w:t>haydenm@firstenergycorp.com</w:t>
      </w:r>
    </w:p>
    <w:p w:rsidR="000556D0" w:rsidRPr="005744F0" w:rsidRDefault="000556D0" w:rsidP="004E1F7F">
      <w:pPr>
        <w:pStyle w:val="BodyTextIndent"/>
        <w:spacing w:after="0"/>
        <w:ind w:left="0"/>
        <w:rPr>
          <w:rFonts w:cs="Arial"/>
          <w:color w:val="000000" w:themeColor="text1"/>
        </w:rPr>
      </w:pPr>
    </w:p>
    <w:p w:rsidR="000556D0" w:rsidRPr="005744F0" w:rsidRDefault="000556D0" w:rsidP="004E1F7F">
      <w:pPr>
        <w:pStyle w:val="BodyTextIndent"/>
        <w:spacing w:after="0"/>
        <w:ind w:left="0"/>
        <w:rPr>
          <w:rFonts w:cs="Arial"/>
          <w:b/>
          <w:smallCaps/>
          <w:color w:val="000000" w:themeColor="text1"/>
        </w:rPr>
      </w:pPr>
      <w:r w:rsidRPr="005744F0">
        <w:rPr>
          <w:rFonts w:cs="Arial"/>
          <w:b/>
          <w:smallCaps/>
          <w:color w:val="000000" w:themeColor="text1"/>
        </w:rPr>
        <w:t>On Behalf of FirstEnergy Solutions Corp,</w:t>
      </w:r>
    </w:p>
    <w:p w:rsidR="000556D0" w:rsidRPr="005744F0" w:rsidRDefault="000556D0" w:rsidP="004E1F7F">
      <w:pPr>
        <w:pStyle w:val="BodyTextIndent"/>
        <w:spacing w:after="0"/>
        <w:ind w:left="0"/>
        <w:rPr>
          <w:rFonts w:cs="Arial"/>
          <w:color w:val="000000" w:themeColor="text1"/>
        </w:rPr>
      </w:pPr>
    </w:p>
    <w:p w:rsidR="000556D0" w:rsidRPr="005744F0" w:rsidRDefault="000556D0" w:rsidP="004E1F7F">
      <w:pPr>
        <w:tabs>
          <w:tab w:val="left" w:pos="2160"/>
          <w:tab w:val="left" w:pos="2280"/>
        </w:tabs>
        <w:rPr>
          <w:rFonts w:cs="Arial"/>
          <w:color w:val="000000" w:themeColor="text1"/>
        </w:rPr>
      </w:pPr>
      <w:r w:rsidRPr="005744F0">
        <w:rPr>
          <w:rFonts w:cs="Arial"/>
          <w:color w:val="000000" w:themeColor="text1"/>
        </w:rPr>
        <w:t>M. Howard Petricoff</w:t>
      </w:r>
    </w:p>
    <w:p w:rsidR="000556D0" w:rsidRPr="005744F0" w:rsidRDefault="000556D0" w:rsidP="004E1F7F">
      <w:pPr>
        <w:tabs>
          <w:tab w:val="left" w:pos="2160"/>
          <w:tab w:val="left" w:pos="2280"/>
        </w:tabs>
        <w:rPr>
          <w:rFonts w:cs="Arial"/>
          <w:color w:val="000000" w:themeColor="text1"/>
        </w:rPr>
      </w:pPr>
      <w:r w:rsidRPr="005744F0">
        <w:rPr>
          <w:rFonts w:cs="Arial"/>
          <w:color w:val="000000" w:themeColor="text1"/>
        </w:rPr>
        <w:t>Vorys, Sater, Seymour and Pease LLP</w:t>
      </w:r>
    </w:p>
    <w:p w:rsidR="000556D0" w:rsidRPr="005744F0" w:rsidRDefault="000556D0" w:rsidP="004E1F7F">
      <w:pPr>
        <w:tabs>
          <w:tab w:val="left" w:pos="2160"/>
          <w:tab w:val="left" w:pos="2280"/>
        </w:tabs>
        <w:rPr>
          <w:rFonts w:cs="Arial"/>
          <w:color w:val="000000" w:themeColor="text1"/>
        </w:rPr>
      </w:pPr>
      <w:r w:rsidRPr="005744F0">
        <w:rPr>
          <w:rFonts w:cs="Arial"/>
          <w:color w:val="000000" w:themeColor="text1"/>
        </w:rPr>
        <w:t>52 E. Gay Street</w:t>
      </w:r>
    </w:p>
    <w:p w:rsidR="000556D0" w:rsidRPr="005744F0" w:rsidRDefault="000556D0" w:rsidP="004E1F7F">
      <w:pPr>
        <w:tabs>
          <w:tab w:val="left" w:pos="2160"/>
          <w:tab w:val="left" w:pos="2280"/>
        </w:tabs>
        <w:rPr>
          <w:rFonts w:cs="Arial"/>
          <w:color w:val="000000" w:themeColor="text1"/>
        </w:rPr>
      </w:pPr>
      <w:r w:rsidRPr="005744F0">
        <w:rPr>
          <w:rFonts w:cs="Arial"/>
          <w:color w:val="000000" w:themeColor="text1"/>
        </w:rPr>
        <w:t>Columbus, OH  43215</w:t>
      </w:r>
    </w:p>
    <w:p w:rsidR="000556D0" w:rsidRPr="005744F0" w:rsidRDefault="000556D0" w:rsidP="004E1F7F">
      <w:pPr>
        <w:tabs>
          <w:tab w:val="left" w:pos="2160"/>
          <w:tab w:val="left" w:pos="2280"/>
        </w:tabs>
        <w:rPr>
          <w:rFonts w:cs="Arial"/>
          <w:color w:val="000000" w:themeColor="text1"/>
        </w:rPr>
      </w:pPr>
      <w:r w:rsidRPr="005744F0">
        <w:rPr>
          <w:rFonts w:cs="Arial"/>
        </w:rPr>
        <w:t>mhpetricoff@vorys.com</w:t>
      </w:r>
    </w:p>
    <w:p w:rsidR="000556D0" w:rsidRPr="005744F0" w:rsidRDefault="000556D0" w:rsidP="004E1F7F">
      <w:pPr>
        <w:tabs>
          <w:tab w:val="left" w:pos="2160"/>
          <w:tab w:val="left" w:pos="2280"/>
        </w:tabs>
        <w:rPr>
          <w:rFonts w:cs="Arial"/>
          <w:color w:val="000000" w:themeColor="text1"/>
        </w:rPr>
      </w:pPr>
    </w:p>
    <w:p w:rsidR="000556D0" w:rsidRPr="005744F0" w:rsidRDefault="000556D0" w:rsidP="004E1F7F">
      <w:pPr>
        <w:tabs>
          <w:tab w:val="left" w:pos="2160"/>
          <w:tab w:val="left" w:pos="2280"/>
        </w:tabs>
        <w:rPr>
          <w:rFonts w:cs="Arial"/>
          <w:b/>
          <w:smallCaps/>
          <w:color w:val="000000" w:themeColor="text1"/>
        </w:rPr>
      </w:pPr>
      <w:r w:rsidRPr="005744F0">
        <w:rPr>
          <w:rFonts w:cs="Arial"/>
          <w:b/>
          <w:smallCaps/>
          <w:color w:val="000000" w:themeColor="text1"/>
        </w:rPr>
        <w:t>On Behalf of Retail Energy Supply Association</w:t>
      </w:r>
    </w:p>
    <w:p w:rsidR="000556D0" w:rsidRPr="005744F0" w:rsidRDefault="000556D0" w:rsidP="004E1F7F">
      <w:pPr>
        <w:pStyle w:val="BodyTextIndent"/>
        <w:spacing w:after="0"/>
        <w:rPr>
          <w:rFonts w:cs="Arial"/>
          <w:color w:val="000000" w:themeColor="text1"/>
        </w:rPr>
      </w:pP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br w:type="column"/>
      </w:r>
      <w:r w:rsidRPr="005744F0">
        <w:rPr>
          <w:rFonts w:cs="Arial"/>
          <w:color w:val="000000" w:themeColor="text1"/>
        </w:rPr>
        <w:lastRenderedPageBreak/>
        <w:t>Werner Margard</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Steven Beeler</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Assistant Attorney General</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Public Utilities Section</w:t>
      </w:r>
    </w:p>
    <w:p w:rsidR="000556D0" w:rsidRPr="005744F0" w:rsidRDefault="000556D0" w:rsidP="004E1F7F">
      <w:pPr>
        <w:pStyle w:val="BodyTextIndent"/>
        <w:spacing w:after="0"/>
        <w:ind w:left="0"/>
        <w:rPr>
          <w:rFonts w:cs="Arial"/>
          <w:color w:val="000000" w:themeColor="text1"/>
        </w:rPr>
      </w:pPr>
      <w:r w:rsidRPr="005744F0">
        <w:rPr>
          <w:rFonts w:cs="Arial"/>
          <w:color w:val="000000" w:themeColor="text1"/>
        </w:rPr>
        <w:t>180 East Broad Street, 9</w:t>
      </w:r>
      <w:r w:rsidRPr="005744F0">
        <w:rPr>
          <w:rFonts w:cs="Arial"/>
          <w:color w:val="000000" w:themeColor="text1"/>
          <w:vertAlign w:val="superscript"/>
        </w:rPr>
        <w:t>th</w:t>
      </w:r>
      <w:r w:rsidRPr="005744F0">
        <w:rPr>
          <w:rFonts w:cs="Arial"/>
          <w:color w:val="000000" w:themeColor="text1"/>
        </w:rPr>
        <w:t xml:space="preserve"> Floor</w:t>
      </w:r>
    </w:p>
    <w:p w:rsidR="000556D0" w:rsidRPr="005744F0" w:rsidRDefault="000556D0" w:rsidP="004E1F7F">
      <w:pPr>
        <w:rPr>
          <w:rFonts w:cs="Arial"/>
          <w:color w:val="000000" w:themeColor="text1"/>
        </w:rPr>
      </w:pPr>
      <w:r w:rsidRPr="005744F0">
        <w:rPr>
          <w:rFonts w:cs="Arial"/>
          <w:color w:val="000000" w:themeColor="text1"/>
        </w:rPr>
        <w:t>Columbus, OH  43215</w:t>
      </w:r>
    </w:p>
    <w:p w:rsidR="000556D0" w:rsidRPr="005744F0" w:rsidRDefault="000556D0" w:rsidP="004E1F7F">
      <w:pPr>
        <w:rPr>
          <w:rFonts w:cs="Arial"/>
          <w:color w:val="000000" w:themeColor="text1"/>
        </w:rPr>
      </w:pPr>
      <w:r w:rsidRPr="005744F0">
        <w:rPr>
          <w:rFonts w:cs="Arial"/>
          <w:color w:val="000000" w:themeColor="text1"/>
        </w:rPr>
        <w:t>werner.margard@puc.state.oh.us</w:t>
      </w:r>
    </w:p>
    <w:p w:rsidR="000556D0" w:rsidRPr="005744F0" w:rsidRDefault="000556D0" w:rsidP="004E1F7F">
      <w:pPr>
        <w:rPr>
          <w:rFonts w:cs="Arial"/>
          <w:color w:val="000000" w:themeColor="text1"/>
        </w:rPr>
      </w:pPr>
      <w:r w:rsidRPr="005744F0">
        <w:rPr>
          <w:rFonts w:cs="Arial"/>
          <w:color w:val="000000" w:themeColor="text1"/>
        </w:rPr>
        <w:t>steven.beeler@puc.state.oh.us</w:t>
      </w:r>
    </w:p>
    <w:p w:rsidR="000556D0" w:rsidRPr="005744F0" w:rsidRDefault="000556D0" w:rsidP="004E1F7F">
      <w:pPr>
        <w:rPr>
          <w:rFonts w:cs="Arial"/>
          <w:color w:val="000000" w:themeColor="text1"/>
        </w:rPr>
      </w:pPr>
    </w:p>
    <w:p w:rsidR="000556D0" w:rsidRPr="005744F0" w:rsidRDefault="000556D0" w:rsidP="004E1F7F">
      <w:pPr>
        <w:rPr>
          <w:rFonts w:cs="Arial"/>
          <w:b/>
          <w:smallCaps/>
          <w:color w:val="000000" w:themeColor="text1"/>
        </w:rPr>
      </w:pPr>
      <w:r w:rsidRPr="005744F0">
        <w:rPr>
          <w:rFonts w:cs="Arial"/>
          <w:b/>
          <w:smallCaps/>
          <w:color w:val="000000" w:themeColor="text1"/>
        </w:rPr>
        <w:t>On behalf of the Public Utilities Commission of Ohio</w:t>
      </w:r>
    </w:p>
    <w:p w:rsidR="000556D0" w:rsidRPr="005744F0" w:rsidRDefault="000556D0" w:rsidP="004E1F7F">
      <w:pPr>
        <w:rPr>
          <w:rFonts w:cs="Arial"/>
          <w:color w:val="000000" w:themeColor="text1"/>
        </w:rPr>
      </w:pPr>
    </w:p>
    <w:p w:rsidR="000556D0" w:rsidRPr="005744F0" w:rsidRDefault="000556D0" w:rsidP="004E1F7F">
      <w:pPr>
        <w:rPr>
          <w:rFonts w:cs="Arial"/>
          <w:color w:val="000000" w:themeColor="text1"/>
        </w:rPr>
      </w:pPr>
      <w:r w:rsidRPr="005744F0">
        <w:rPr>
          <w:rFonts w:cs="Arial"/>
          <w:color w:val="000000" w:themeColor="text1"/>
        </w:rPr>
        <w:t>Jonathan J. Tauber</w:t>
      </w:r>
    </w:p>
    <w:p w:rsidR="000556D0" w:rsidRPr="005744F0" w:rsidRDefault="000556D0" w:rsidP="004E1F7F">
      <w:pPr>
        <w:rPr>
          <w:rFonts w:cs="Arial"/>
          <w:color w:val="000000" w:themeColor="text1"/>
        </w:rPr>
      </w:pPr>
      <w:r w:rsidRPr="005744F0">
        <w:rPr>
          <w:rFonts w:cs="Arial"/>
          <w:color w:val="000000" w:themeColor="text1"/>
        </w:rPr>
        <w:t>Sarah Parrot</w:t>
      </w:r>
    </w:p>
    <w:p w:rsidR="000556D0" w:rsidRPr="005744F0" w:rsidRDefault="000556D0" w:rsidP="004E1F7F">
      <w:pPr>
        <w:rPr>
          <w:rFonts w:cs="Arial"/>
          <w:color w:val="000000" w:themeColor="text1"/>
        </w:rPr>
      </w:pPr>
      <w:r w:rsidRPr="005744F0">
        <w:rPr>
          <w:rFonts w:cs="Arial"/>
          <w:color w:val="000000" w:themeColor="text1"/>
        </w:rPr>
        <w:t>Attorney Examiner</w:t>
      </w:r>
    </w:p>
    <w:p w:rsidR="000556D0" w:rsidRPr="005744F0" w:rsidRDefault="000556D0" w:rsidP="004E1F7F">
      <w:pPr>
        <w:rPr>
          <w:rFonts w:cs="Arial"/>
          <w:color w:val="000000" w:themeColor="text1"/>
        </w:rPr>
      </w:pPr>
      <w:r w:rsidRPr="005744F0">
        <w:rPr>
          <w:rFonts w:cs="Arial"/>
          <w:color w:val="000000" w:themeColor="text1"/>
        </w:rPr>
        <w:t>Public Utilities Commission of Ohio</w:t>
      </w:r>
    </w:p>
    <w:p w:rsidR="000556D0" w:rsidRPr="005744F0" w:rsidRDefault="000556D0" w:rsidP="004E1F7F">
      <w:pPr>
        <w:rPr>
          <w:rFonts w:cs="Arial"/>
          <w:color w:val="000000" w:themeColor="text1"/>
        </w:rPr>
      </w:pPr>
      <w:r w:rsidRPr="005744F0">
        <w:rPr>
          <w:rFonts w:cs="Arial"/>
          <w:color w:val="000000" w:themeColor="text1"/>
        </w:rPr>
        <w:t>180 East Broad Street</w:t>
      </w:r>
    </w:p>
    <w:p w:rsidR="000556D0" w:rsidRPr="005744F0" w:rsidRDefault="000556D0" w:rsidP="004E1F7F">
      <w:pPr>
        <w:rPr>
          <w:rFonts w:cs="Arial"/>
          <w:color w:val="000000" w:themeColor="text1"/>
        </w:rPr>
      </w:pPr>
      <w:r w:rsidRPr="005744F0">
        <w:rPr>
          <w:rFonts w:cs="Arial"/>
          <w:color w:val="000000" w:themeColor="text1"/>
        </w:rPr>
        <w:t>Columbus, OH  43215</w:t>
      </w:r>
    </w:p>
    <w:p w:rsidR="000556D0" w:rsidRPr="005744F0" w:rsidRDefault="000556D0" w:rsidP="004E1F7F">
      <w:pPr>
        <w:rPr>
          <w:rFonts w:cs="Arial"/>
          <w:color w:val="000000" w:themeColor="text1"/>
        </w:rPr>
      </w:pPr>
      <w:r w:rsidRPr="005744F0">
        <w:rPr>
          <w:rFonts w:cs="Arial"/>
          <w:color w:val="000000" w:themeColor="text1"/>
        </w:rPr>
        <w:t>jonathan.tauber@puc.state.oh.us</w:t>
      </w:r>
    </w:p>
    <w:p w:rsidR="000556D0" w:rsidRPr="005744F0" w:rsidRDefault="000556D0" w:rsidP="004E1F7F">
      <w:pPr>
        <w:rPr>
          <w:rFonts w:cs="Arial"/>
          <w:color w:val="000000" w:themeColor="text1"/>
        </w:rPr>
      </w:pPr>
      <w:r w:rsidRPr="005744F0">
        <w:rPr>
          <w:rFonts w:cs="Arial"/>
          <w:color w:val="000000" w:themeColor="text1"/>
        </w:rPr>
        <w:t>sarah.parrot@puc.state.oh.us</w:t>
      </w:r>
    </w:p>
    <w:p w:rsidR="000556D0" w:rsidRPr="005744F0" w:rsidRDefault="000556D0" w:rsidP="004E1F7F">
      <w:pPr>
        <w:rPr>
          <w:rFonts w:cs="Arial"/>
          <w:color w:val="000000" w:themeColor="text1"/>
        </w:rPr>
      </w:pPr>
    </w:p>
    <w:p w:rsidR="000556D0" w:rsidRPr="005744F0" w:rsidRDefault="000556D0" w:rsidP="004E1F7F">
      <w:pPr>
        <w:rPr>
          <w:rFonts w:cs="Arial"/>
          <w:b/>
          <w:smallCaps/>
          <w:color w:val="000000" w:themeColor="text1"/>
        </w:rPr>
      </w:pPr>
      <w:r w:rsidRPr="005744F0">
        <w:rPr>
          <w:rFonts w:cs="Arial"/>
          <w:b/>
          <w:smallCaps/>
          <w:color w:val="000000" w:themeColor="text1"/>
        </w:rPr>
        <w:t>Attorney Examiner</w:t>
      </w:r>
    </w:p>
    <w:p w:rsidR="000556D0" w:rsidRPr="005744F0" w:rsidRDefault="000556D0" w:rsidP="004E1F7F">
      <w:pPr>
        <w:rPr>
          <w:rFonts w:eastAsia="Times New Roman" w:cs="Arial"/>
          <w:b/>
          <w:smallCaps/>
          <w:color w:val="000000" w:themeColor="text1"/>
        </w:rPr>
      </w:pPr>
    </w:p>
    <w:p w:rsidR="00954136" w:rsidRPr="005744F0" w:rsidRDefault="00954136" w:rsidP="004E1F7F">
      <w:pPr>
        <w:tabs>
          <w:tab w:val="left" w:pos="4320"/>
        </w:tabs>
        <w:rPr>
          <w:rFonts w:cs="Arial"/>
        </w:rPr>
      </w:pPr>
    </w:p>
    <w:sectPr w:rsidR="00954136" w:rsidRPr="005744F0" w:rsidSect="000556D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36" w:rsidRDefault="00954136" w:rsidP="00954136">
      <w:r>
        <w:separator/>
      </w:r>
    </w:p>
  </w:endnote>
  <w:endnote w:type="continuationSeparator" w:id="0">
    <w:p w:rsidR="00954136" w:rsidRDefault="00954136" w:rsidP="0095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E21F4B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E7" w:rsidRDefault="00816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F8" w:rsidRPr="00C10D37" w:rsidRDefault="00CC75CE" w:rsidP="00124194">
    <w:pPr>
      <w:pStyle w:val="Footer"/>
    </w:pPr>
    <w:r w:rsidRPr="00CC75CE">
      <w:rPr>
        <w:noProof/>
        <w:sz w:val="16"/>
      </w:rPr>
      <w:t>{C42892:4 }</w:t>
    </w:r>
    <w:sdt>
      <w:sdtPr>
        <w:id w:val="-258059285"/>
        <w:docPartObj>
          <w:docPartGallery w:val="Page Numbers (Bottom of Page)"/>
          <w:docPartUnique/>
        </w:docPartObj>
      </w:sdtPr>
      <w:sdtEndPr>
        <w:rPr>
          <w:noProof/>
        </w:rPr>
      </w:sdtEndPr>
      <w:sdtContent>
        <w:r w:rsidR="00124194">
          <w:tab/>
        </w:r>
        <w:r w:rsidR="00EE3DF8" w:rsidRPr="00C10D37">
          <w:fldChar w:fldCharType="begin"/>
        </w:r>
        <w:r w:rsidR="00EE3DF8" w:rsidRPr="00C10D37">
          <w:instrText xml:space="preserve"> PAGE   \* MERGEFORMAT </w:instrText>
        </w:r>
        <w:r w:rsidR="00EE3DF8" w:rsidRPr="00C10D37">
          <w:fldChar w:fldCharType="separate"/>
        </w:r>
        <w:r>
          <w:rPr>
            <w:noProof/>
          </w:rPr>
          <w:t>9</w:t>
        </w:r>
        <w:r w:rsidR="00EE3DF8" w:rsidRPr="00C10D37">
          <w:rPr>
            <w:noProof/>
          </w:rPr>
          <w:fldChar w:fldCharType="end"/>
        </w:r>
      </w:sdtContent>
    </w:sdt>
  </w:p>
  <w:p w:rsidR="00954136" w:rsidRPr="00C10D37" w:rsidRDefault="00954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36" w:rsidRPr="00954136" w:rsidRDefault="00CC75CE">
    <w:pPr>
      <w:pStyle w:val="Footer"/>
    </w:pPr>
    <w:r w:rsidRPr="00CC75CE">
      <w:rPr>
        <w:noProof/>
        <w:sz w:val="16"/>
      </w:rPr>
      <w:t>{C42892:4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Pr="00141048" w:rsidRDefault="00CC75CE" w:rsidP="00AA7BA6">
    <w:pPr>
      <w:tabs>
        <w:tab w:val="center" w:pos="4680"/>
      </w:tabs>
    </w:pPr>
    <w:r w:rsidRPr="00CC75CE">
      <w:rPr>
        <w:noProof/>
        <w:sz w:val="16"/>
      </w:rPr>
      <w:t>{C42892:4 }</w:t>
    </w:r>
    <w:r w:rsidR="000556D0">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Pr="00576EA9" w:rsidRDefault="00CC75CE" w:rsidP="00AA7BA6">
    <w:pPr>
      <w:pStyle w:val="Footer"/>
    </w:pPr>
    <w:r w:rsidRPr="00CC75CE">
      <w:rPr>
        <w:noProof/>
        <w:sz w:val="16"/>
      </w:rPr>
      <w:t>{C42892:4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36" w:rsidRDefault="00954136" w:rsidP="00954136">
      <w:pPr>
        <w:rPr>
          <w:noProof/>
        </w:rPr>
      </w:pPr>
      <w:r>
        <w:rPr>
          <w:noProof/>
        </w:rPr>
        <w:separator/>
      </w:r>
    </w:p>
  </w:footnote>
  <w:footnote w:type="continuationSeparator" w:id="0">
    <w:p w:rsidR="00954136" w:rsidRDefault="00954136" w:rsidP="00954136">
      <w:r>
        <w:continuationSeparator/>
      </w:r>
    </w:p>
  </w:footnote>
  <w:footnote w:id="1">
    <w:p w:rsidR="00D02170" w:rsidRPr="00D02170" w:rsidRDefault="00D02170" w:rsidP="0075024E">
      <w:pPr>
        <w:pStyle w:val="FootnoteText"/>
        <w:spacing w:after="120"/>
        <w:jc w:val="both"/>
      </w:pPr>
      <w:r>
        <w:rPr>
          <w:rStyle w:val="FootnoteReference"/>
        </w:rPr>
        <w:footnoteRef/>
      </w:r>
      <w:r>
        <w:t xml:space="preserve"> Entry at 8 (Nov. 13, 2013); </w:t>
      </w:r>
      <w:r>
        <w:rPr>
          <w:i/>
        </w:rPr>
        <w:t xml:space="preserve">see also </w:t>
      </w:r>
      <w:r>
        <w:t>Entry (Jun. 27, 2013).</w:t>
      </w:r>
    </w:p>
  </w:footnote>
  <w:footnote w:id="2">
    <w:p w:rsidR="00606665" w:rsidRDefault="00606665" w:rsidP="006330AF">
      <w:pPr>
        <w:pStyle w:val="FootnoteText"/>
        <w:jc w:val="both"/>
      </w:pPr>
      <w:r>
        <w:rPr>
          <w:rStyle w:val="FootnoteReference"/>
        </w:rPr>
        <w:footnoteRef/>
      </w:r>
      <w:r>
        <w:t xml:space="preserve"> </w:t>
      </w:r>
      <w:r w:rsidRPr="00C912C4">
        <w:t xml:space="preserve">The $110 million annual double recovery </w:t>
      </w:r>
      <w:r w:rsidR="00C912C4">
        <w:t>represents a</w:t>
      </w:r>
      <w:r w:rsidRPr="00C912C4">
        <w:t xml:space="preserve"> windfall to AEP-Ohio</w:t>
      </w:r>
      <w:r w:rsidR="00C912C4">
        <w:t>.  AEP-Ohio is currently collecting another</w:t>
      </w:r>
      <w:r w:rsidRPr="00C912C4">
        <w:t xml:space="preserve"> $3</w:t>
      </w:r>
      <w:r w:rsidR="00C912C4">
        <w:t>6</w:t>
      </w:r>
      <w:r w:rsidR="000F5815">
        <w:t>8 million windfall through the Phase-In Recovery R</w:t>
      </w:r>
      <w:r w:rsidR="00C912C4">
        <w:t>ider</w:t>
      </w:r>
      <w:r w:rsidRPr="00C912C4">
        <w:t xml:space="preserve">.  </w:t>
      </w:r>
      <w:r w:rsidRPr="00C912C4">
        <w:rPr>
          <w:rFonts w:cs="Times New Roman"/>
        </w:rPr>
        <w:t xml:space="preserve">Slip Op. 2014-Ohio-462 </w:t>
      </w:r>
      <w:r w:rsidR="00C912C4" w:rsidRPr="00C912C4">
        <w:rPr>
          <w:rFonts w:cs="Times New Roman"/>
        </w:rPr>
        <w:t xml:space="preserve">¶56 </w:t>
      </w:r>
      <w:r w:rsidRPr="00C912C4">
        <w:rPr>
          <w:rFonts w:cs="Times New Roman"/>
        </w:rPr>
        <w:t>(Feb. 13, 2014)</w:t>
      </w:r>
      <w:r w:rsidR="00C912C4">
        <w:rPr>
          <w:rFonts w:cs="Times New Roman"/>
        </w:rPr>
        <w:t>.</w:t>
      </w:r>
    </w:p>
  </w:footnote>
  <w:footnote w:id="3">
    <w:p w:rsidR="00C5378C" w:rsidRDefault="00C5378C" w:rsidP="00C5378C">
      <w:pPr>
        <w:pStyle w:val="FootnoteText"/>
        <w:spacing w:after="120"/>
        <w:jc w:val="both"/>
      </w:pPr>
      <w:r>
        <w:rPr>
          <w:rStyle w:val="FootnoteReference"/>
        </w:rPr>
        <w:footnoteRef/>
      </w:r>
      <w:r>
        <w:t xml:space="preserve"> AEP-Ohio Rate Impact Information, Transmittal Letter at 2 of 4 (Jan. 10, 2014).</w:t>
      </w:r>
    </w:p>
  </w:footnote>
  <w:footnote w:id="4">
    <w:p w:rsidR="00801A31" w:rsidRPr="0075024E" w:rsidRDefault="006A5D04" w:rsidP="0075024E">
      <w:pPr>
        <w:pStyle w:val="FootnoteText"/>
        <w:spacing w:after="120"/>
        <w:jc w:val="both"/>
        <w:rPr>
          <w:rFonts w:cs="Arial"/>
        </w:rPr>
      </w:pPr>
      <w:r>
        <w:rPr>
          <w:rStyle w:val="FootnoteReference"/>
        </w:rPr>
        <w:footnoteRef/>
      </w:r>
      <w:r>
        <w:t xml:space="preserve"> </w:t>
      </w:r>
      <w:r w:rsidRPr="0038226D">
        <w:rPr>
          <w:rFonts w:cs="Arial"/>
          <w:i/>
        </w:rPr>
        <w:t xml:space="preserve">In the Matter of the Commission Review of the Capacity </w:t>
      </w:r>
      <w:r>
        <w:rPr>
          <w:rFonts w:cs="Arial"/>
          <w:i/>
        </w:rPr>
        <w:t>C</w:t>
      </w:r>
      <w:r w:rsidRPr="0038226D">
        <w:rPr>
          <w:rFonts w:cs="Arial"/>
          <w:i/>
        </w:rPr>
        <w:t>harges of Ohio Power Company and Columbus Southern Power Company</w:t>
      </w:r>
      <w:r w:rsidRPr="0038226D">
        <w:rPr>
          <w:rFonts w:cs="Arial"/>
        </w:rPr>
        <w:t>, Case No. 10-2929-EL-UNC, Opinion and Order at</w:t>
      </w:r>
      <w:r w:rsidR="00801A31">
        <w:rPr>
          <w:rFonts w:cs="Arial"/>
        </w:rPr>
        <w:t xml:space="preserve"> 24-36 (Jul. 2, 2012) (hereinafter “</w:t>
      </w:r>
      <w:r w:rsidR="00801A31">
        <w:rPr>
          <w:rFonts w:cs="Arial"/>
          <w:i/>
        </w:rPr>
        <w:t>Capacity Case</w:t>
      </w:r>
      <w:r w:rsidR="00801A31">
        <w:rPr>
          <w:rFonts w:cs="Arial"/>
        </w:rPr>
        <w:t xml:space="preserve">”). </w:t>
      </w:r>
    </w:p>
  </w:footnote>
  <w:footnote w:id="5">
    <w:p w:rsidR="00801A31" w:rsidRPr="00801A31" w:rsidRDefault="00801A31" w:rsidP="0075024E">
      <w:pPr>
        <w:pStyle w:val="FootnoteText"/>
        <w:spacing w:after="120"/>
        <w:jc w:val="both"/>
        <w:rPr>
          <w:i/>
        </w:rPr>
      </w:pPr>
      <w:r>
        <w:rPr>
          <w:rStyle w:val="FootnoteReference"/>
        </w:rPr>
        <w:footnoteRef/>
      </w:r>
      <w:r>
        <w:t xml:space="preserve"> </w:t>
      </w:r>
      <w:r w:rsidR="00B909EF">
        <w:rPr>
          <w:i/>
        </w:rPr>
        <w:t>Id.</w:t>
      </w:r>
      <w:r w:rsidR="00B909EF">
        <w:t xml:space="preserve">  </w:t>
      </w:r>
      <w:r w:rsidR="00B909EF">
        <w:rPr>
          <w:i/>
        </w:rPr>
        <w:t>See also Capacity Case</w:t>
      </w:r>
      <w:r w:rsidR="00B909EF">
        <w:t>, Direct Testimony of Kelly Pearce at KDP-3 &amp; KDP-4;</w:t>
      </w:r>
      <w:r w:rsidR="00B909EF">
        <w:rPr>
          <w:i/>
        </w:rPr>
        <w:t xml:space="preserve"> </w:t>
      </w:r>
      <w:r w:rsidR="00B909EF">
        <w:t xml:space="preserve">Ohio Power Company 2010 Federal Energy Regulatory Commission (“FERC”) Form 1 at </w:t>
      </w:r>
      <w:r w:rsidR="00B909EF" w:rsidRPr="00490794">
        <w:rPr>
          <w:rFonts w:cs="Arial"/>
        </w:rPr>
        <w:t>326-327</w:t>
      </w:r>
      <w:r w:rsidR="00B909EF">
        <w:rPr>
          <w:rFonts w:cs="Arial"/>
        </w:rPr>
        <w:t>; Columbus Southern Power Company 2010 FERC Form 1 at 326-327.</w:t>
      </w:r>
      <w:r w:rsidR="00B909EF">
        <w:rPr>
          <w:i/>
        </w:rPr>
        <w:t xml:space="preserve"> </w:t>
      </w:r>
    </w:p>
  </w:footnote>
  <w:footnote w:id="6">
    <w:p w:rsidR="00273D2E" w:rsidRPr="00273D2E" w:rsidRDefault="00273D2E" w:rsidP="000F5815">
      <w:pPr>
        <w:autoSpaceDE w:val="0"/>
        <w:autoSpaceDN w:val="0"/>
        <w:adjustRightInd w:val="0"/>
        <w:spacing w:after="120"/>
        <w:jc w:val="both"/>
        <w:rPr>
          <w:rFonts w:cs="Arial"/>
          <w:sz w:val="20"/>
          <w:szCs w:val="20"/>
        </w:rPr>
      </w:pPr>
      <w:r w:rsidRPr="00273D2E">
        <w:rPr>
          <w:rStyle w:val="FootnoteReference"/>
          <w:sz w:val="20"/>
          <w:szCs w:val="20"/>
        </w:rPr>
        <w:footnoteRef/>
      </w:r>
      <w:r w:rsidRPr="00273D2E">
        <w:rPr>
          <w:sz w:val="20"/>
          <w:szCs w:val="20"/>
        </w:rPr>
        <w:t xml:space="preserve"> </w:t>
      </w:r>
      <w:r w:rsidRPr="00273D2E">
        <w:rPr>
          <w:rFonts w:cs="Arial"/>
          <w:sz w:val="20"/>
          <w:szCs w:val="20"/>
        </w:rPr>
        <w:t>Since the Commission approved AEP-Ohio’s</w:t>
      </w:r>
      <w:r>
        <w:rPr>
          <w:rFonts w:cs="Arial"/>
          <w:sz w:val="20"/>
          <w:szCs w:val="20"/>
        </w:rPr>
        <w:t xml:space="preserve"> ESP</w:t>
      </w:r>
      <w:r w:rsidR="000F5815">
        <w:rPr>
          <w:rFonts w:cs="Arial"/>
          <w:sz w:val="20"/>
          <w:szCs w:val="20"/>
        </w:rPr>
        <w:t>, standard service offer (“SS</w:t>
      </w:r>
      <w:r w:rsidRPr="00273D2E">
        <w:rPr>
          <w:rFonts w:cs="Arial"/>
          <w:sz w:val="20"/>
          <w:szCs w:val="20"/>
        </w:rPr>
        <w:t>O</w:t>
      </w:r>
      <w:r w:rsidR="000F5815">
        <w:rPr>
          <w:rFonts w:cs="Arial"/>
          <w:sz w:val="20"/>
          <w:szCs w:val="20"/>
        </w:rPr>
        <w:t>”)</w:t>
      </w:r>
      <w:r w:rsidRPr="00273D2E">
        <w:rPr>
          <w:rFonts w:cs="Arial"/>
          <w:sz w:val="20"/>
          <w:szCs w:val="20"/>
        </w:rPr>
        <w:t xml:space="preserve"> customers’ rates have gone up by approximately 20%. </w:t>
      </w:r>
      <w:r>
        <w:rPr>
          <w:rFonts w:cs="Arial"/>
          <w:sz w:val="20"/>
          <w:szCs w:val="20"/>
        </w:rPr>
        <w:t xml:space="preserve"> </w:t>
      </w:r>
      <w:r w:rsidRPr="00273D2E">
        <w:rPr>
          <w:rFonts w:cs="Arial"/>
          <w:sz w:val="20"/>
          <w:szCs w:val="20"/>
        </w:rPr>
        <w:t xml:space="preserve">A typical industrial customer taking service under the GS-4 tariff in the Columbus Southern Power </w:t>
      </w:r>
      <w:r w:rsidR="005F52A2">
        <w:rPr>
          <w:rFonts w:cs="Arial"/>
          <w:sz w:val="20"/>
          <w:szCs w:val="20"/>
        </w:rPr>
        <w:t xml:space="preserve">Company </w:t>
      </w:r>
      <w:r w:rsidRPr="00273D2E">
        <w:rPr>
          <w:rFonts w:cs="Arial"/>
          <w:sz w:val="20"/>
          <w:szCs w:val="20"/>
        </w:rPr>
        <w:t>(“CSP”) rate zone has seen a 20.86% increase between August 2012 and June 2013; a GS-4 customer in the Ohio Power</w:t>
      </w:r>
      <w:r w:rsidR="005F52A2">
        <w:rPr>
          <w:rFonts w:cs="Arial"/>
          <w:sz w:val="20"/>
          <w:szCs w:val="20"/>
        </w:rPr>
        <w:t xml:space="preserve"> Company ("Ohio Power")</w:t>
      </w:r>
      <w:r w:rsidRPr="00273D2E">
        <w:rPr>
          <w:rFonts w:cs="Arial"/>
          <w:sz w:val="20"/>
          <w:szCs w:val="20"/>
        </w:rPr>
        <w:t xml:space="preserve"> rate zone saw a 22.32% increase over the same timeframe.  </w:t>
      </w:r>
      <w:r w:rsidRPr="00273D2E">
        <w:rPr>
          <w:rFonts w:cs="Arial"/>
          <w:i/>
          <w:sz w:val="20"/>
          <w:szCs w:val="20"/>
        </w:rPr>
        <w:t>In the Matter of the Application of Ohio Power Company to Establish a Competitive Bidding Process for Procurement of Energy to Support Its Standard Service Offer</w:t>
      </w:r>
      <w:r w:rsidRPr="00273D2E">
        <w:rPr>
          <w:rFonts w:cs="Arial"/>
          <w:sz w:val="20"/>
          <w:szCs w:val="20"/>
        </w:rPr>
        <w:t xml:space="preserve">, Case No. 12-3254-EL-UNC, </w:t>
      </w:r>
      <w:r>
        <w:rPr>
          <w:rFonts w:cs="Arial"/>
          <w:sz w:val="20"/>
          <w:szCs w:val="20"/>
        </w:rPr>
        <w:t xml:space="preserve">IEU-Ohio Exs. 3-6 </w:t>
      </w:r>
      <w:r w:rsidRPr="00273D2E">
        <w:rPr>
          <w:rFonts w:cs="Arial"/>
          <w:sz w:val="20"/>
          <w:szCs w:val="20"/>
        </w:rPr>
        <w:t xml:space="preserve">(Nov. 13, 2013) </w:t>
      </w:r>
      <w:r>
        <w:rPr>
          <w:rFonts w:cs="Arial"/>
          <w:sz w:val="20"/>
          <w:szCs w:val="20"/>
        </w:rPr>
        <w:t>(the increase was based on a typical bill for a CSP and O</w:t>
      </w:r>
      <w:r w:rsidR="005F52A2">
        <w:rPr>
          <w:rFonts w:cs="Arial"/>
          <w:sz w:val="20"/>
          <w:szCs w:val="20"/>
        </w:rPr>
        <w:t xml:space="preserve">hio </w:t>
      </w:r>
      <w:r>
        <w:rPr>
          <w:rFonts w:cs="Arial"/>
          <w:sz w:val="20"/>
          <w:szCs w:val="20"/>
        </w:rPr>
        <w:t>P</w:t>
      </w:r>
      <w:r w:rsidR="005F52A2">
        <w:rPr>
          <w:rFonts w:cs="Arial"/>
          <w:sz w:val="20"/>
          <w:szCs w:val="20"/>
        </w:rPr>
        <w:t>ower</w:t>
      </w:r>
      <w:r>
        <w:rPr>
          <w:rFonts w:cs="Arial"/>
          <w:sz w:val="20"/>
          <w:szCs w:val="20"/>
        </w:rPr>
        <w:t xml:space="preserve"> GS-4 customer with 20,000 kW demand and usage of 13 million kilowatt hours (“kWh”))</w:t>
      </w:r>
      <w:r w:rsidRPr="00273D2E">
        <w:rPr>
          <w:rFonts w:cs="Arial"/>
          <w:sz w:val="20"/>
          <w:szCs w:val="20"/>
        </w:rPr>
        <w:t xml:space="preserve"> (hereinafter “</w:t>
      </w:r>
      <w:r w:rsidRPr="00273D2E">
        <w:rPr>
          <w:rFonts w:cs="Arial"/>
          <w:i/>
          <w:sz w:val="20"/>
          <w:szCs w:val="20"/>
        </w:rPr>
        <w:t>CBP Case</w:t>
      </w:r>
      <w:r w:rsidRPr="00273D2E">
        <w:rPr>
          <w:rFonts w:cs="Arial"/>
          <w:sz w:val="20"/>
          <w:szCs w:val="20"/>
        </w:rPr>
        <w:t>”)</w:t>
      </w:r>
      <w:r>
        <w:rPr>
          <w:rFonts w:cs="Arial"/>
          <w:sz w:val="20"/>
          <w:szCs w:val="20"/>
        </w:rPr>
        <w:t xml:space="preserve">; </w:t>
      </w:r>
      <w:r>
        <w:rPr>
          <w:rFonts w:cs="Arial"/>
          <w:i/>
          <w:sz w:val="20"/>
          <w:szCs w:val="20"/>
        </w:rPr>
        <w:t>CBP Case</w:t>
      </w:r>
      <w:r>
        <w:rPr>
          <w:rFonts w:cs="Arial"/>
          <w:sz w:val="20"/>
          <w:szCs w:val="20"/>
        </w:rPr>
        <w:t xml:space="preserve">, </w:t>
      </w:r>
      <w:r w:rsidRPr="00273D2E">
        <w:rPr>
          <w:rFonts w:cs="Arial"/>
          <w:sz w:val="20"/>
          <w:szCs w:val="20"/>
        </w:rPr>
        <w:t>Tr. Vol. I at 160-172.</w:t>
      </w:r>
    </w:p>
  </w:footnote>
  <w:footnote w:id="7">
    <w:p w:rsidR="00801A31" w:rsidRPr="0075024E" w:rsidRDefault="00D173B6" w:rsidP="000F5815">
      <w:pPr>
        <w:pStyle w:val="FootnoteText"/>
        <w:spacing w:after="120"/>
        <w:jc w:val="both"/>
        <w:rPr>
          <w:rFonts w:cs="Arial"/>
        </w:rPr>
      </w:pPr>
      <w:r>
        <w:rPr>
          <w:rStyle w:val="FootnoteReference"/>
        </w:rPr>
        <w:footnoteRef/>
      </w:r>
      <w:r>
        <w:t xml:space="preserve"> </w:t>
      </w:r>
      <w:r w:rsidRPr="009B37A3">
        <w:rPr>
          <w:rFonts w:cs="Arial"/>
          <w:i/>
        </w:rPr>
        <w:t>In the Matter of the Application of Columbus Southern Power Company and Ohio Power Company for Authority to Establish a Standard Service Offer Pursuant to Section 4928.143, Revised Code, in the Form of an Electric Security Plan</w:t>
      </w:r>
      <w:r w:rsidRPr="009B37A3">
        <w:rPr>
          <w:rFonts w:cs="Arial"/>
        </w:rPr>
        <w:t>, Case Nos. 11-346-EL-SSO</w:t>
      </w:r>
      <w:r w:rsidRPr="00565155">
        <w:rPr>
          <w:rFonts w:cs="Arial"/>
          <w:i/>
        </w:rPr>
        <w:t>, et al</w:t>
      </w:r>
      <w:r>
        <w:rPr>
          <w:rFonts w:cs="Arial"/>
        </w:rPr>
        <w:t>.,</w:t>
      </w:r>
      <w:r w:rsidRPr="009B37A3">
        <w:rPr>
          <w:rFonts w:cs="Arial"/>
        </w:rPr>
        <w:t xml:space="preserve"> Opinion and Order (Aug. 8, 201</w:t>
      </w:r>
      <w:r w:rsidR="00124194">
        <w:rPr>
          <w:rFonts w:cs="Arial"/>
        </w:rPr>
        <w:t>2</w:t>
      </w:r>
      <w:r w:rsidRPr="009B37A3">
        <w:rPr>
          <w:rFonts w:cs="Arial"/>
        </w:rPr>
        <w:t>)</w:t>
      </w:r>
      <w:r>
        <w:rPr>
          <w:rFonts w:cs="Arial"/>
        </w:rPr>
        <w:t xml:space="preserve"> (hereinafter “</w:t>
      </w:r>
      <w:r>
        <w:rPr>
          <w:rFonts w:cs="Arial"/>
          <w:i/>
        </w:rPr>
        <w:t>ESP II Case</w:t>
      </w:r>
      <w:r>
        <w:rPr>
          <w:rFonts w:cs="Arial"/>
        </w:rPr>
        <w:t>”)</w:t>
      </w:r>
      <w:r w:rsidR="0075024E">
        <w:rPr>
          <w:rFonts w:cs="Arial"/>
        </w:rPr>
        <w:t>.</w:t>
      </w:r>
    </w:p>
  </w:footnote>
  <w:footnote w:id="8">
    <w:p w:rsidR="00D173B6" w:rsidRDefault="00D173B6" w:rsidP="0075024E">
      <w:pPr>
        <w:pStyle w:val="FootnoteText"/>
        <w:spacing w:after="120"/>
        <w:jc w:val="both"/>
      </w:pPr>
      <w:r>
        <w:rPr>
          <w:rStyle w:val="FootnoteReference"/>
        </w:rPr>
        <w:footnoteRef/>
      </w:r>
      <w:r w:rsidR="00801A31">
        <w:t xml:space="preserve"> </w:t>
      </w:r>
      <w:r w:rsidR="00801A31">
        <w:rPr>
          <w:i/>
        </w:rPr>
        <w:t>See ESP II Case</w:t>
      </w:r>
      <w:r w:rsidR="00801A31">
        <w:t>, Entry on Rehearing (Jan. 30, 2013).</w:t>
      </w:r>
      <w:r w:rsidR="00801A31">
        <w:rPr>
          <w:i/>
        </w:rPr>
        <w:t xml:space="preserve"> </w:t>
      </w:r>
      <w:r>
        <w:t xml:space="preserve"> </w:t>
      </w:r>
    </w:p>
  </w:footnote>
  <w:footnote w:id="9">
    <w:p w:rsidR="00C51C19" w:rsidRDefault="007D7628" w:rsidP="00EE3457">
      <w:pPr>
        <w:pStyle w:val="FootnoteText"/>
        <w:spacing w:after="120"/>
        <w:jc w:val="both"/>
      </w:pPr>
      <w:r>
        <w:rPr>
          <w:rStyle w:val="FootnoteReference"/>
        </w:rPr>
        <w:footnoteRef/>
      </w:r>
      <w:r>
        <w:t xml:space="preserve"> </w:t>
      </w:r>
      <w:r w:rsidR="00801A31">
        <w:rPr>
          <w:i/>
        </w:rPr>
        <w:t>ESP II Case</w:t>
      </w:r>
      <w:r w:rsidR="00690268">
        <w:t xml:space="preserve">, Opinion and Order at </w:t>
      </w:r>
      <w:r w:rsidR="00801A31">
        <w:t>40 (Aug. 8, 2012)</w:t>
      </w:r>
      <w:r>
        <w:t>.</w:t>
      </w:r>
      <w:r w:rsidR="00EE3457">
        <w:t xml:space="preserve">  The Commission subsequently modified the auction schedule, stating, “[t]he first 10 percent energy auction shall be conducted in February 2014, with delivery to commence April 1, 2014.  The first 25 percent energy auction shall be conducted in May 2014, and the subsequent 25 percent energy auction should occur in September 2014, with delivery to commence on November 1, 2014.</w:t>
      </w:r>
      <w:r w:rsidR="00C5378C">
        <w:t xml:space="preserve"> </w:t>
      </w:r>
      <w:r w:rsidR="00EE3457">
        <w:t xml:space="preserve"> Finally, the remaining 40 percent energy auction should occur in November 2014, with delivery commencing on January 1, 2015.”</w:t>
      </w:r>
      <w:r w:rsidR="00EE3457" w:rsidRPr="00EE3457">
        <w:rPr>
          <w:rFonts w:cs="Arial"/>
          <w:i/>
        </w:rPr>
        <w:t xml:space="preserve"> </w:t>
      </w:r>
      <w:r w:rsidR="00C5378C">
        <w:rPr>
          <w:rFonts w:cs="Arial"/>
          <w:i/>
        </w:rPr>
        <w:t xml:space="preserve"> </w:t>
      </w:r>
      <w:r w:rsidR="00273D2E" w:rsidRPr="00273D2E">
        <w:rPr>
          <w:rFonts w:cs="Arial"/>
          <w:i/>
        </w:rPr>
        <w:t>CBP Case</w:t>
      </w:r>
      <w:r w:rsidR="00273D2E">
        <w:rPr>
          <w:rFonts w:cs="Arial"/>
        </w:rPr>
        <w:t xml:space="preserve">, </w:t>
      </w:r>
      <w:r w:rsidR="00EE3457">
        <w:rPr>
          <w:rFonts w:cs="Arial"/>
        </w:rPr>
        <w:t xml:space="preserve">Opinion and Order at </w:t>
      </w:r>
      <w:r w:rsidR="00273D2E">
        <w:rPr>
          <w:rFonts w:cs="Arial"/>
        </w:rPr>
        <w:t>5 (Nov. 13, 2013)</w:t>
      </w:r>
      <w:r w:rsidR="00EE3457">
        <w:rPr>
          <w:rFonts w:cs="Arial"/>
        </w:rPr>
        <w:t>.</w:t>
      </w:r>
    </w:p>
  </w:footnote>
  <w:footnote w:id="10">
    <w:p w:rsidR="00801A31" w:rsidRPr="00801A31" w:rsidRDefault="00801A31" w:rsidP="0075024E">
      <w:pPr>
        <w:pStyle w:val="FootnoteText"/>
        <w:spacing w:after="120"/>
        <w:jc w:val="both"/>
      </w:pPr>
      <w:r>
        <w:rPr>
          <w:rStyle w:val="FootnoteReference"/>
        </w:rPr>
        <w:footnoteRef/>
      </w:r>
      <w:r>
        <w:t xml:space="preserve"> </w:t>
      </w:r>
      <w:r w:rsidR="00EE3457">
        <w:rPr>
          <w:i/>
        </w:rPr>
        <w:t>ESP II Case</w:t>
      </w:r>
      <w:r w:rsidR="00EE3457">
        <w:t xml:space="preserve">, Opinion and Order at 40 (Aug. 8, 2012).  </w:t>
      </w:r>
    </w:p>
  </w:footnote>
  <w:footnote w:id="11">
    <w:p w:rsidR="00677B09" w:rsidRPr="0075024E" w:rsidRDefault="007D7628" w:rsidP="0075024E">
      <w:pPr>
        <w:pStyle w:val="FootnoteText"/>
        <w:spacing w:after="120"/>
        <w:jc w:val="both"/>
        <w:rPr>
          <w:rFonts w:cs="Arial"/>
        </w:rPr>
      </w:pPr>
      <w:r>
        <w:rPr>
          <w:rStyle w:val="FootnoteReference"/>
        </w:rPr>
        <w:footnoteRef/>
      </w:r>
      <w:r>
        <w:t xml:space="preserve"> </w:t>
      </w:r>
      <w:r w:rsidR="00EE3457">
        <w:rPr>
          <w:i/>
        </w:rPr>
        <w:t xml:space="preserve">CBP </w:t>
      </w:r>
      <w:r w:rsidR="00EE3457" w:rsidRPr="00CC75CE">
        <w:rPr>
          <w:i/>
        </w:rPr>
        <w:t>Case</w:t>
      </w:r>
      <w:r w:rsidR="00EE3457">
        <w:t xml:space="preserve">, </w:t>
      </w:r>
      <w:r w:rsidR="00801A31">
        <w:rPr>
          <w:rFonts w:cs="Arial"/>
        </w:rPr>
        <w:t xml:space="preserve">Opinion </w:t>
      </w:r>
      <w:r w:rsidR="00EE3457">
        <w:rPr>
          <w:rFonts w:cs="Arial"/>
        </w:rPr>
        <w:t>and Order at 14 (Nov. 13, 2013).</w:t>
      </w:r>
    </w:p>
  </w:footnote>
  <w:footnote w:id="12">
    <w:p w:rsidR="00677B09" w:rsidRPr="00677B09" w:rsidRDefault="00677B09" w:rsidP="0075024E">
      <w:pPr>
        <w:pStyle w:val="FootnoteText"/>
        <w:spacing w:after="120"/>
        <w:jc w:val="both"/>
      </w:pPr>
      <w:r>
        <w:rPr>
          <w:rStyle w:val="FootnoteReference"/>
        </w:rPr>
        <w:footnoteRef/>
      </w:r>
      <w:r>
        <w:t xml:space="preserve"> </w:t>
      </w:r>
      <w:r>
        <w:rPr>
          <w:i/>
        </w:rPr>
        <w:t xml:space="preserve">Id. </w:t>
      </w:r>
      <w:r>
        <w:t>at 15-16.</w:t>
      </w:r>
    </w:p>
  </w:footnote>
  <w:footnote w:id="13">
    <w:p w:rsidR="00677B09" w:rsidRPr="00677B09" w:rsidRDefault="00677B09" w:rsidP="0075024E">
      <w:pPr>
        <w:pStyle w:val="FootnoteText"/>
        <w:spacing w:after="120"/>
        <w:jc w:val="both"/>
        <w:rPr>
          <w:i/>
        </w:rPr>
      </w:pPr>
      <w:r>
        <w:rPr>
          <w:rStyle w:val="FootnoteReference"/>
        </w:rPr>
        <w:footnoteRef/>
      </w:r>
      <w:r>
        <w:t xml:space="preserve"> </w:t>
      </w:r>
      <w:r>
        <w:rPr>
          <w:i/>
        </w:rPr>
        <w:t xml:space="preserve">Id. </w:t>
      </w:r>
    </w:p>
  </w:footnote>
  <w:footnote w:id="14">
    <w:p w:rsidR="00677B09" w:rsidRPr="00677B09" w:rsidRDefault="00677B09" w:rsidP="0075024E">
      <w:pPr>
        <w:pStyle w:val="FootnoteText"/>
        <w:spacing w:after="120"/>
        <w:jc w:val="both"/>
        <w:rPr>
          <w:i/>
        </w:rPr>
      </w:pPr>
      <w:r>
        <w:rPr>
          <w:rStyle w:val="FootnoteReference"/>
        </w:rPr>
        <w:footnoteRef/>
      </w:r>
      <w:r>
        <w:t xml:space="preserve"> </w:t>
      </w:r>
      <w:r>
        <w:rPr>
          <w:i/>
        </w:rPr>
        <w:t xml:space="preserve">Id. </w:t>
      </w:r>
    </w:p>
  </w:footnote>
  <w:footnote w:id="15">
    <w:p w:rsidR="00677B09" w:rsidRPr="00677B09" w:rsidRDefault="00677B09" w:rsidP="0075024E">
      <w:pPr>
        <w:pStyle w:val="FootnoteText"/>
        <w:spacing w:after="120"/>
        <w:jc w:val="both"/>
        <w:rPr>
          <w:i/>
        </w:rPr>
      </w:pPr>
      <w:r>
        <w:rPr>
          <w:rStyle w:val="FootnoteReference"/>
        </w:rPr>
        <w:footnoteRef/>
      </w:r>
      <w:r>
        <w:t xml:space="preserve"> </w:t>
      </w:r>
      <w:r w:rsidR="0075024E">
        <w:rPr>
          <w:i/>
        </w:rPr>
        <w:t xml:space="preserve">Id. </w:t>
      </w:r>
    </w:p>
  </w:footnote>
  <w:footnote w:id="16">
    <w:p w:rsidR="00677B09" w:rsidRPr="00677B09" w:rsidRDefault="00677B09" w:rsidP="0075024E">
      <w:pPr>
        <w:pStyle w:val="FootnoteText"/>
        <w:spacing w:after="120"/>
        <w:jc w:val="both"/>
      </w:pPr>
      <w:r>
        <w:rPr>
          <w:rStyle w:val="FootnoteReference"/>
        </w:rPr>
        <w:footnoteRef/>
      </w:r>
      <w:r>
        <w:t xml:space="preserve"> </w:t>
      </w:r>
      <w:r>
        <w:rPr>
          <w:i/>
        </w:rPr>
        <w:t xml:space="preserve">Id. </w:t>
      </w:r>
      <w:r w:rsidR="0075024E">
        <w:t>at 16.</w:t>
      </w:r>
    </w:p>
  </w:footnote>
  <w:footnote w:id="17">
    <w:p w:rsidR="006D3D29" w:rsidRPr="0090681C" w:rsidRDefault="006D3D29" w:rsidP="0075024E">
      <w:pPr>
        <w:pStyle w:val="FootnoteText"/>
        <w:spacing w:after="120"/>
        <w:jc w:val="both"/>
        <w:rPr>
          <w:rFonts w:cs="Arial"/>
        </w:rPr>
      </w:pPr>
      <w:r w:rsidRPr="0090681C">
        <w:rPr>
          <w:rStyle w:val="FootnoteReference"/>
          <w:rFonts w:cs="Arial"/>
        </w:rPr>
        <w:footnoteRef/>
      </w:r>
      <w:r w:rsidRPr="0090681C">
        <w:rPr>
          <w:rFonts w:cs="Arial"/>
        </w:rPr>
        <w:t xml:space="preserve"> </w:t>
      </w:r>
      <w:r w:rsidRPr="0090681C">
        <w:rPr>
          <w:rFonts w:cs="Arial"/>
          <w:i/>
        </w:rPr>
        <w:t>In the Matter of the Application of the Fuel Adjustment Clauses for Columbus Southern Power Company and Ohio Power Company and Related Matters</w:t>
      </w:r>
      <w:r w:rsidRPr="0090681C">
        <w:rPr>
          <w:rFonts w:cs="Arial"/>
        </w:rPr>
        <w:t xml:space="preserve">, Case Nos. 11-5906-EL-FAC, </w:t>
      </w:r>
      <w:r w:rsidRPr="0090681C">
        <w:rPr>
          <w:rFonts w:cs="Arial"/>
          <w:i/>
        </w:rPr>
        <w:t>et al.</w:t>
      </w:r>
      <w:r w:rsidRPr="0090681C">
        <w:rPr>
          <w:rFonts w:cs="Arial"/>
        </w:rPr>
        <w:t>, Entry at 3-4 (</w:t>
      </w:r>
      <w:r>
        <w:rPr>
          <w:rFonts w:cs="Arial"/>
        </w:rPr>
        <w:t>Dec. 4, 2013) (emphasis added).</w:t>
      </w:r>
    </w:p>
  </w:footnote>
  <w:footnote w:id="18">
    <w:p w:rsidR="006D3D29" w:rsidRPr="006D3D29" w:rsidRDefault="006D3D29" w:rsidP="0075024E">
      <w:pPr>
        <w:pStyle w:val="FootnoteText"/>
        <w:spacing w:after="120"/>
        <w:jc w:val="both"/>
      </w:pPr>
      <w:r>
        <w:rPr>
          <w:rStyle w:val="FootnoteReference"/>
        </w:rPr>
        <w:footnoteRef/>
      </w:r>
      <w:r>
        <w:t xml:space="preserve"> </w:t>
      </w:r>
      <w:r>
        <w:rPr>
          <w:i/>
        </w:rPr>
        <w:t>CBP Case</w:t>
      </w:r>
      <w:r>
        <w:t>, Entry on Rehearing at 10</w:t>
      </w:r>
      <w:r w:rsidR="0075024E">
        <w:t xml:space="preserve"> (Jan. 22, 2014).</w:t>
      </w:r>
    </w:p>
  </w:footnote>
  <w:footnote w:id="19">
    <w:p w:rsidR="00B13ACE" w:rsidRDefault="00550F5C" w:rsidP="0075024E">
      <w:pPr>
        <w:pStyle w:val="FootnoteText"/>
        <w:spacing w:after="120"/>
        <w:jc w:val="both"/>
      </w:pPr>
      <w:r>
        <w:rPr>
          <w:rStyle w:val="FootnoteReference"/>
        </w:rPr>
        <w:footnoteRef/>
      </w:r>
      <w:r>
        <w:t xml:space="preserve"> IEU-Ohio disagrees that it is appropriate to allocate a cost-based capacity rate to any customers, but IEU-Ohio will not rehash arguments that are on appeal to the Supreme Court of Ohio.</w:t>
      </w:r>
    </w:p>
  </w:footnote>
  <w:footnote w:id="20">
    <w:p w:rsidR="00B13ACE" w:rsidRDefault="00B13ACE" w:rsidP="0075024E">
      <w:pPr>
        <w:pStyle w:val="FootnoteText"/>
        <w:spacing w:after="120"/>
        <w:jc w:val="both"/>
      </w:pPr>
      <w:r>
        <w:rPr>
          <w:rStyle w:val="FootnoteReference"/>
        </w:rPr>
        <w:footnoteRef/>
      </w:r>
      <w:r>
        <w:t xml:space="preserve"> </w:t>
      </w:r>
      <w:r w:rsidR="006A5D04">
        <w:rPr>
          <w:rFonts w:cs="Arial"/>
          <w:i/>
          <w:color w:val="202020"/>
        </w:rPr>
        <w:t>Capacity Case</w:t>
      </w:r>
      <w:r w:rsidR="006A5D04">
        <w:rPr>
          <w:rFonts w:cs="Arial"/>
          <w:color w:val="202020"/>
        </w:rPr>
        <w:t>, Opinion and Order at</w:t>
      </w:r>
      <w:r w:rsidR="006A5D04">
        <w:rPr>
          <w:rFonts w:cs="Arial"/>
          <w:i/>
          <w:color w:val="202020"/>
        </w:rPr>
        <w:t xml:space="preserve"> </w:t>
      </w:r>
      <w:r w:rsidRPr="0038226D">
        <w:rPr>
          <w:rFonts w:cs="Arial"/>
        </w:rPr>
        <w:t>25 (Jul. 2, 2012).</w:t>
      </w:r>
      <w:r w:rsidR="00EA756C" w:rsidRPr="00EA756C">
        <w:rPr>
          <w:rFonts w:cs="Arial"/>
        </w:rPr>
        <w:t xml:space="preserve"> </w:t>
      </w:r>
      <w:r w:rsidR="00EA756C">
        <w:rPr>
          <w:rFonts w:cs="Arial"/>
        </w:rPr>
        <w:t xml:space="preserve"> The portion of </w:t>
      </w:r>
      <w:r w:rsidR="00C5378C">
        <w:rPr>
          <w:rFonts w:cs="Arial"/>
        </w:rPr>
        <w:t>AEP-Ohio’s base generation rate</w:t>
      </w:r>
      <w:r w:rsidR="00EA756C">
        <w:rPr>
          <w:rFonts w:cs="Arial"/>
        </w:rPr>
        <w:t xml:space="preserve"> that is set at 188.88</w:t>
      </w:r>
      <w:r w:rsidR="00BF2931">
        <w:rPr>
          <w:rFonts w:cs="Arial"/>
        </w:rPr>
        <w:t xml:space="preserve"> </w:t>
      </w:r>
      <w:r w:rsidR="00EA756C">
        <w:rPr>
          <w:rFonts w:cs="Arial"/>
        </w:rPr>
        <w:t>MW-day will also compensate AEP-Ohio for its purchased power capacity costs.</w:t>
      </w:r>
    </w:p>
  </w:footnote>
  <w:footnote w:id="21">
    <w:p w:rsidR="00B13ACE" w:rsidRDefault="00B13ACE" w:rsidP="0075024E">
      <w:pPr>
        <w:pStyle w:val="FootnoteText"/>
        <w:spacing w:after="120"/>
        <w:jc w:val="both"/>
      </w:pPr>
      <w:r>
        <w:rPr>
          <w:rStyle w:val="FootnoteReference"/>
        </w:rPr>
        <w:footnoteRef/>
      </w:r>
      <w:r>
        <w:t xml:space="preserve"> AEP-Ohio Rate Impact Information, Attachment 3 at p. 6 of 8</w:t>
      </w:r>
      <w:r w:rsidR="002D3B3E">
        <w:t xml:space="preserve"> </w:t>
      </w:r>
      <w:r>
        <w:t>(Jan. 10, 2014)</w:t>
      </w:r>
      <w:r w:rsidR="002D3B3E">
        <w:t xml:space="preserve"> (containing a quarterly revenue requirement)</w:t>
      </w:r>
      <w:r>
        <w:t>.</w:t>
      </w:r>
    </w:p>
  </w:footnote>
  <w:footnote w:id="22">
    <w:p w:rsidR="007E0528" w:rsidRPr="0075024E" w:rsidRDefault="007E0528" w:rsidP="0075024E">
      <w:pPr>
        <w:pStyle w:val="FootnoteText"/>
        <w:spacing w:after="120"/>
        <w:jc w:val="both"/>
        <w:rPr>
          <w:rFonts w:cs="Arial"/>
        </w:rPr>
      </w:pPr>
      <w:r>
        <w:rPr>
          <w:rStyle w:val="FootnoteReference"/>
        </w:rPr>
        <w:footnoteRef/>
      </w:r>
      <w:r>
        <w:t xml:space="preserve"> 20,000 * .8 * 24 * 365 * $.0059 = </w:t>
      </w:r>
      <w:r>
        <w:rPr>
          <w:rFonts w:cs="Arial"/>
        </w:rPr>
        <w:t>$826,944</w:t>
      </w:r>
      <w:r w:rsidR="0075024E">
        <w:rPr>
          <w:rFonts w:cs="Arial"/>
        </w:rPr>
        <w:t>.</w:t>
      </w:r>
      <w:r w:rsidR="002D3B3E">
        <w:rPr>
          <w:rFonts w:cs="Arial"/>
        </w:rPr>
        <w:t xml:space="preserve">  </w:t>
      </w:r>
      <w:r w:rsidR="002D3B3E">
        <w:rPr>
          <w:rFonts w:cs="Arial"/>
          <w:i/>
        </w:rPr>
        <w:t xml:space="preserve">See </w:t>
      </w:r>
      <w:r w:rsidR="002D3B3E">
        <w:t xml:space="preserve">AEP-Ohio Rate Impact Information, Attachment 3 at p. 6 of 8 (Jan. 10, 2014). </w:t>
      </w:r>
    </w:p>
  </w:footnote>
  <w:footnote w:id="23">
    <w:p w:rsidR="007E0528" w:rsidRPr="0075024E" w:rsidRDefault="007E0528" w:rsidP="0075024E">
      <w:pPr>
        <w:pStyle w:val="FootnoteText"/>
        <w:spacing w:after="120"/>
        <w:jc w:val="both"/>
        <w:rPr>
          <w:rFonts w:cs="Arial"/>
        </w:rPr>
      </w:pPr>
      <w:r>
        <w:rPr>
          <w:rStyle w:val="FootnoteReference"/>
        </w:rPr>
        <w:footnoteRef/>
      </w:r>
      <w:r>
        <w:t xml:space="preserve"> 20,000 * .8 * 24 * 365 * </w:t>
      </w:r>
      <w:r w:rsidR="00C30DA4">
        <w:t>$.007</w:t>
      </w:r>
      <w:r>
        <w:t xml:space="preserve"> = </w:t>
      </w:r>
      <w:r>
        <w:rPr>
          <w:rFonts w:cs="Arial"/>
        </w:rPr>
        <w:t>$</w:t>
      </w:r>
      <w:r w:rsidR="00C30DA4" w:rsidRPr="00C30DA4">
        <w:rPr>
          <w:rFonts w:cs="Arial"/>
        </w:rPr>
        <w:t>981</w:t>
      </w:r>
      <w:r w:rsidR="00C30DA4">
        <w:rPr>
          <w:rFonts w:cs="Arial"/>
        </w:rPr>
        <w:t>,</w:t>
      </w:r>
      <w:r w:rsidR="00C30DA4" w:rsidRPr="00C30DA4">
        <w:rPr>
          <w:rFonts w:cs="Arial"/>
        </w:rPr>
        <w:t>120</w:t>
      </w:r>
      <w:r w:rsidR="0075024E">
        <w:rPr>
          <w:rFonts w:cs="Arial"/>
        </w:rPr>
        <w:t>.</w:t>
      </w:r>
      <w:r w:rsidR="002D3B3E" w:rsidRPr="002D3B3E">
        <w:t xml:space="preserve"> </w:t>
      </w:r>
      <w:r w:rsidR="002D3B3E">
        <w:t xml:space="preserve"> </w:t>
      </w:r>
      <w:r w:rsidR="002D3B3E">
        <w:rPr>
          <w:i/>
        </w:rPr>
        <w:t xml:space="preserve">See </w:t>
      </w:r>
      <w:r w:rsidR="002D3B3E">
        <w:t>AEP-Ohio Rate Impact Information, Attachment 3 at p. 6 of 8 (Jan. 10, 2014).</w:t>
      </w:r>
    </w:p>
  </w:footnote>
  <w:footnote w:id="24">
    <w:p w:rsidR="0059774D" w:rsidRPr="00CF371C" w:rsidRDefault="00CF371C" w:rsidP="0075024E">
      <w:pPr>
        <w:pStyle w:val="FootnoteText"/>
        <w:spacing w:after="120"/>
        <w:jc w:val="both"/>
      </w:pPr>
      <w:r>
        <w:rPr>
          <w:rStyle w:val="FootnoteReference"/>
        </w:rPr>
        <w:footnoteRef/>
      </w:r>
      <w:r>
        <w:t xml:space="preserve"> </w:t>
      </w:r>
      <w:r>
        <w:rPr>
          <w:i/>
        </w:rPr>
        <w:t>CBP Case</w:t>
      </w:r>
      <w:r w:rsidR="00A44A73">
        <w:t>, Tr. Vol. I at 124 (emphasis added).</w:t>
      </w:r>
    </w:p>
  </w:footnote>
  <w:footnote w:id="25">
    <w:p w:rsidR="00C30DA4" w:rsidRDefault="0059774D" w:rsidP="0075024E">
      <w:pPr>
        <w:pStyle w:val="FootnoteText"/>
        <w:spacing w:after="120"/>
        <w:jc w:val="both"/>
      </w:pPr>
      <w:r>
        <w:rPr>
          <w:rStyle w:val="FootnoteReference"/>
        </w:rPr>
        <w:footnoteRef/>
      </w:r>
      <w:r>
        <w:t xml:space="preserve"> CSP projects that the fixed quarterly revenue requirement of $12,054,307 will be collected from 1,716,764,889 kWh sales. </w:t>
      </w:r>
      <w:r w:rsidR="00C30DA4">
        <w:t xml:space="preserve"> Reducing projected sales by 10% to 1,545,088,400 kWh would require the FCR to rise to $.0078 per kWh to recover the same revenue requirement. </w:t>
      </w:r>
      <w:r w:rsidR="002D3B3E">
        <w:t xml:space="preserve"> </w:t>
      </w:r>
      <w:r w:rsidR="002D3B3E">
        <w:rPr>
          <w:i/>
        </w:rPr>
        <w:t xml:space="preserve">See </w:t>
      </w:r>
      <w:r w:rsidR="002D3B3E">
        <w:t>AEP-Ohio Rate Impact Information, Attachment 3 at p. 6 of 8 (Jan. 10, 2014).</w:t>
      </w:r>
    </w:p>
  </w:footnote>
  <w:footnote w:id="26">
    <w:p w:rsidR="00C30DA4" w:rsidRDefault="00C30DA4" w:rsidP="0075024E">
      <w:pPr>
        <w:pStyle w:val="FootnoteText"/>
        <w:spacing w:after="120"/>
        <w:jc w:val="both"/>
      </w:pPr>
      <w:r>
        <w:rPr>
          <w:rStyle w:val="FootnoteReference"/>
        </w:rPr>
        <w:footnoteRef/>
      </w:r>
      <w:r>
        <w:t xml:space="preserve"> Ohio Power projects</w:t>
      </w:r>
      <w:r w:rsidR="00EA756C">
        <w:t xml:space="preserve"> that it will collect the</w:t>
      </w:r>
      <w:r>
        <w:t xml:space="preserve"> fixed quarterly revenue requirement of $15,618,574</w:t>
      </w:r>
      <w:r w:rsidR="00EA756C">
        <w:t xml:space="preserve"> </w:t>
      </w:r>
      <w:r>
        <w:t>from 2,625</w:t>
      </w:r>
      <w:r w:rsidR="00EA756C">
        <w:t xml:space="preserve">,078,533 </w:t>
      </w:r>
      <w:r>
        <w:t xml:space="preserve">kWh sales.  Reducing projected sales by 10% to 2,362,570,679 kWh would require the FCR to rise to $.0066 per kWh to recover the same revenue requirement. </w:t>
      </w:r>
      <w:r w:rsidR="002D3B3E">
        <w:t xml:space="preserve"> </w:t>
      </w:r>
      <w:r w:rsidR="002D3B3E">
        <w:rPr>
          <w:i/>
        </w:rPr>
        <w:t xml:space="preserve">See </w:t>
      </w:r>
      <w:r w:rsidR="002D3B3E">
        <w:t>AEP-Ohio Rate Impact Information, Attachment 3 at p. 6 of 8 (Jan. 10, 2014).</w:t>
      </w:r>
      <w:r w:rsidR="00174F0E">
        <w:t xml:space="preserve">  </w:t>
      </w:r>
    </w:p>
  </w:footnote>
  <w:footnote w:id="27">
    <w:p w:rsidR="00CE1F93" w:rsidRDefault="00CE1F93" w:rsidP="0075024E">
      <w:pPr>
        <w:pStyle w:val="FootnoteText"/>
        <w:spacing w:after="120"/>
        <w:jc w:val="both"/>
      </w:pPr>
      <w:r>
        <w:rPr>
          <w:rStyle w:val="FootnoteReference"/>
        </w:rPr>
        <w:footnoteRef/>
      </w:r>
      <w:r>
        <w:t xml:space="preserve"> AEP-O</w:t>
      </w:r>
      <w:bookmarkStart w:id="0" w:name="_GoBack"/>
      <w:bookmarkEnd w:id="0"/>
      <w:r>
        <w:t>hio Rate Impact Information, Transmittal Letter at 2 of 4</w:t>
      </w:r>
      <w:r w:rsidR="00A70370">
        <w:t xml:space="preserve"> </w:t>
      </w:r>
      <w:r>
        <w:t>(Jan. 10, 2014).</w:t>
      </w:r>
    </w:p>
    <w:p w:rsidR="00CE1F93" w:rsidRDefault="00CE1F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E7" w:rsidRDefault="00816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E7" w:rsidRDefault="00816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E7" w:rsidRDefault="008161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Default="000556D0" w:rsidP="00AA7BA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Default="0005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FF0"/>
    <w:multiLevelType w:val="hybridMultilevel"/>
    <w:tmpl w:val="9C4E0B52"/>
    <w:lvl w:ilvl="0" w:tplc="F99A2A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526D4"/>
    <w:multiLevelType w:val="hybridMultilevel"/>
    <w:tmpl w:val="BEF40748"/>
    <w:lvl w:ilvl="0" w:tplc="DBBC4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363CD"/>
    <w:multiLevelType w:val="hybridMultilevel"/>
    <w:tmpl w:val="B0FE9F10"/>
    <w:lvl w:ilvl="0" w:tplc="ACC80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51816"/>
    <w:multiLevelType w:val="hybridMultilevel"/>
    <w:tmpl w:val="8B0CD7D8"/>
    <w:lvl w:ilvl="0" w:tplc="04D48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A563A"/>
    <w:multiLevelType w:val="multilevel"/>
    <w:tmpl w:val="357EA3AA"/>
    <w:name w:val="IEU Basic--PUCO"/>
    <w:lvl w:ilvl="0">
      <w:start w:val="1"/>
      <w:numFmt w:val="upperRoman"/>
      <w:pStyle w:val="Heading1"/>
      <w:lvlText w:val="%1."/>
      <w:lvlJc w:val="left"/>
      <w:pPr>
        <w:tabs>
          <w:tab w:val="num" w:pos="720"/>
        </w:tabs>
        <w:ind w:left="720" w:hanging="720"/>
      </w:pPr>
      <w:rPr>
        <w:b/>
        <w:caps w:val="0"/>
        <w:strike w:val="0"/>
        <w:dstrike w:val="0"/>
        <w:color w:val="010000"/>
        <w:u w:val="none"/>
        <w:effect w:val="none"/>
      </w:rPr>
    </w:lvl>
    <w:lvl w:ilvl="1">
      <w:start w:val="1"/>
      <w:numFmt w:val="upperLetter"/>
      <w:pStyle w:val="Heading2"/>
      <w:lvlText w:val="%2."/>
      <w:lvlJc w:val="left"/>
      <w:pPr>
        <w:tabs>
          <w:tab w:val="num" w:pos="1440"/>
        </w:tabs>
        <w:ind w:left="1440" w:hanging="720"/>
      </w:pPr>
      <w:rPr>
        <w:b/>
        <w:caps w:val="0"/>
        <w:strike w:val="0"/>
        <w:dstrike w:val="0"/>
        <w:color w:val="010000"/>
        <w:u w:val="none"/>
        <w:effect w:val="none"/>
      </w:rPr>
    </w:lvl>
    <w:lvl w:ilvl="2">
      <w:start w:val="1"/>
      <w:numFmt w:val="decimal"/>
      <w:pStyle w:val="Heading3"/>
      <w:lvlText w:val="%3."/>
      <w:lvlJc w:val="left"/>
      <w:pPr>
        <w:tabs>
          <w:tab w:val="num" w:pos="2160"/>
        </w:tabs>
        <w:ind w:left="2160" w:hanging="720"/>
      </w:pPr>
      <w:rPr>
        <w:b/>
        <w:i w:val="0"/>
        <w:caps w:val="0"/>
        <w:strike w:val="0"/>
        <w:dstrike w:val="0"/>
        <w:color w:val="010000"/>
        <w:u w:val="none"/>
        <w:effect w:val="none"/>
      </w:rPr>
    </w:lvl>
    <w:lvl w:ilvl="3">
      <w:start w:val="1"/>
      <w:numFmt w:val="lowerLetter"/>
      <w:pStyle w:val="Heading4"/>
      <w:lvlText w:val="%4."/>
      <w:lvlJc w:val="left"/>
      <w:pPr>
        <w:tabs>
          <w:tab w:val="num" w:pos="2880"/>
        </w:tabs>
        <w:ind w:left="2880" w:hanging="720"/>
      </w:pPr>
      <w:rPr>
        <w:b/>
        <w:i/>
        <w:caps w:val="0"/>
        <w:strike w:val="0"/>
        <w:dstrike w:val="0"/>
        <w:color w:val="010000"/>
        <w:u w:val="none"/>
        <w:effect w:val="none"/>
      </w:rPr>
    </w:lvl>
    <w:lvl w:ilvl="4">
      <w:start w:val="1"/>
      <w:numFmt w:val="lowerRoman"/>
      <w:pStyle w:val="Heading5"/>
      <w:lvlText w:val="%5."/>
      <w:lvlJc w:val="left"/>
      <w:pPr>
        <w:tabs>
          <w:tab w:val="num" w:pos="3600"/>
        </w:tabs>
        <w:ind w:left="3600" w:hanging="720"/>
      </w:pPr>
      <w:rPr>
        <w:caps w:val="0"/>
        <w:strike w:val="0"/>
        <w:dstrike w:val="0"/>
        <w:color w:val="010000"/>
        <w:u w:val="none"/>
        <w:effect w:val="none"/>
      </w:rPr>
    </w:lvl>
    <w:lvl w:ilvl="5">
      <w:start w:val="1"/>
      <w:numFmt w:val="lowerLetter"/>
      <w:pStyle w:val="Heading6"/>
      <w:lvlText w:val="(%6)"/>
      <w:lvlJc w:val="left"/>
      <w:pPr>
        <w:tabs>
          <w:tab w:val="num" w:pos="4320"/>
        </w:tabs>
        <w:ind w:left="4320" w:hanging="720"/>
      </w:pPr>
      <w:rPr>
        <w:caps w:val="0"/>
        <w:strike w:val="0"/>
        <w:dstrike w:val="0"/>
        <w:color w:val="010000"/>
        <w:u w:val="none"/>
        <w:effect w:val="none"/>
      </w:rPr>
    </w:lvl>
    <w:lvl w:ilvl="6">
      <w:start w:val="1"/>
      <w:numFmt w:val="decimal"/>
      <w:pStyle w:val="Heading7"/>
      <w:lvlText w:val="(%7)"/>
      <w:lvlJc w:val="left"/>
      <w:pPr>
        <w:tabs>
          <w:tab w:val="num" w:pos="5040"/>
        </w:tabs>
        <w:ind w:left="5040" w:hanging="720"/>
      </w:pPr>
      <w:rPr>
        <w:caps w:val="0"/>
        <w:strike w:val="0"/>
        <w:dstrike w:val="0"/>
        <w:color w:val="010000"/>
        <w:u w:val="none"/>
        <w:effect w:val="none"/>
      </w:rPr>
    </w:lvl>
    <w:lvl w:ilvl="7">
      <w:start w:val="1"/>
      <w:numFmt w:val="lowerRoman"/>
      <w:pStyle w:val="Heading8"/>
      <w:lvlText w:val="%8)"/>
      <w:lvlJc w:val="left"/>
      <w:pPr>
        <w:tabs>
          <w:tab w:val="num" w:pos="5760"/>
        </w:tabs>
        <w:ind w:left="5760" w:hanging="720"/>
      </w:pPr>
      <w:rPr>
        <w:caps w:val="0"/>
        <w:strike w:val="0"/>
        <w:dstrike w:val="0"/>
        <w:color w:val="010000"/>
        <w:u w:val="none"/>
        <w:effect w:val="none"/>
      </w:rPr>
    </w:lvl>
    <w:lvl w:ilvl="8">
      <w:start w:val="1"/>
      <w:numFmt w:val="lowerLetter"/>
      <w:pStyle w:val="Heading9"/>
      <w:lvlText w:val="%9)"/>
      <w:lvlJc w:val="left"/>
      <w:pPr>
        <w:tabs>
          <w:tab w:val="num" w:pos="6480"/>
        </w:tabs>
        <w:ind w:left="6480" w:hanging="720"/>
      </w:pPr>
      <w:rPr>
        <w:caps w:val="0"/>
        <w:strike w:val="0"/>
        <w:dstrike w:val="0"/>
        <w:color w:val="010000"/>
        <w:u w:val="none"/>
        <w:effect w:val="none"/>
      </w:rPr>
    </w:lvl>
  </w:abstractNum>
  <w:abstractNum w:abstractNumId="5">
    <w:nsid w:val="7CF22076"/>
    <w:multiLevelType w:val="hybridMultilevel"/>
    <w:tmpl w:val="B628C404"/>
    <w:lvl w:ilvl="0" w:tplc="760C1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36"/>
    <w:rsid w:val="00046434"/>
    <w:rsid w:val="000556D0"/>
    <w:rsid w:val="00060FD9"/>
    <w:rsid w:val="00081CF5"/>
    <w:rsid w:val="000B6747"/>
    <w:rsid w:val="000F5815"/>
    <w:rsid w:val="00124194"/>
    <w:rsid w:val="001335AF"/>
    <w:rsid w:val="00174F0E"/>
    <w:rsid w:val="001D0966"/>
    <w:rsid w:val="001E07D6"/>
    <w:rsid w:val="00273D2E"/>
    <w:rsid w:val="00275613"/>
    <w:rsid w:val="002B6BE3"/>
    <w:rsid w:val="002C2044"/>
    <w:rsid w:val="002D3B3E"/>
    <w:rsid w:val="0034567A"/>
    <w:rsid w:val="00350675"/>
    <w:rsid w:val="003D05DF"/>
    <w:rsid w:val="004047A9"/>
    <w:rsid w:val="0041115B"/>
    <w:rsid w:val="004553F8"/>
    <w:rsid w:val="00456147"/>
    <w:rsid w:val="00474000"/>
    <w:rsid w:val="00497B0B"/>
    <w:rsid w:val="004E1F7F"/>
    <w:rsid w:val="00550F5C"/>
    <w:rsid w:val="005744F0"/>
    <w:rsid w:val="0059774D"/>
    <w:rsid w:val="005E1136"/>
    <w:rsid w:val="005F52A2"/>
    <w:rsid w:val="00606665"/>
    <w:rsid w:val="006330AF"/>
    <w:rsid w:val="00677B09"/>
    <w:rsid w:val="00690268"/>
    <w:rsid w:val="00697954"/>
    <w:rsid w:val="006A5D04"/>
    <w:rsid w:val="006C2544"/>
    <w:rsid w:val="006D3D29"/>
    <w:rsid w:val="0071756C"/>
    <w:rsid w:val="0073473C"/>
    <w:rsid w:val="0075024E"/>
    <w:rsid w:val="007D133E"/>
    <w:rsid w:val="007D7628"/>
    <w:rsid w:val="007E0528"/>
    <w:rsid w:val="00801A31"/>
    <w:rsid w:val="008161E7"/>
    <w:rsid w:val="00880D6A"/>
    <w:rsid w:val="008C11F6"/>
    <w:rsid w:val="008E3BF4"/>
    <w:rsid w:val="009350A5"/>
    <w:rsid w:val="00954136"/>
    <w:rsid w:val="0095710B"/>
    <w:rsid w:val="00996C60"/>
    <w:rsid w:val="009976D8"/>
    <w:rsid w:val="00A25BAA"/>
    <w:rsid w:val="00A42A83"/>
    <w:rsid w:val="00A44A73"/>
    <w:rsid w:val="00A47207"/>
    <w:rsid w:val="00A70370"/>
    <w:rsid w:val="00A703B5"/>
    <w:rsid w:val="00AA7E0F"/>
    <w:rsid w:val="00AF6CAC"/>
    <w:rsid w:val="00B10701"/>
    <w:rsid w:val="00B13ACE"/>
    <w:rsid w:val="00B20ACD"/>
    <w:rsid w:val="00B776EA"/>
    <w:rsid w:val="00B909EF"/>
    <w:rsid w:val="00B96030"/>
    <w:rsid w:val="00BE1AB5"/>
    <w:rsid w:val="00BF2931"/>
    <w:rsid w:val="00C0405A"/>
    <w:rsid w:val="00C10D37"/>
    <w:rsid w:val="00C30DA4"/>
    <w:rsid w:val="00C31DAF"/>
    <w:rsid w:val="00C51C19"/>
    <w:rsid w:val="00C5378C"/>
    <w:rsid w:val="00C912C4"/>
    <w:rsid w:val="00CC75CE"/>
    <w:rsid w:val="00CE1F93"/>
    <w:rsid w:val="00CF371C"/>
    <w:rsid w:val="00D02170"/>
    <w:rsid w:val="00D173B6"/>
    <w:rsid w:val="00D2114E"/>
    <w:rsid w:val="00D22D1D"/>
    <w:rsid w:val="00E657AB"/>
    <w:rsid w:val="00EA756C"/>
    <w:rsid w:val="00EB1CB3"/>
    <w:rsid w:val="00EE3457"/>
    <w:rsid w:val="00EE3DF8"/>
    <w:rsid w:val="00EE7943"/>
    <w:rsid w:val="00F6757D"/>
    <w:rsid w:val="00F72B38"/>
    <w:rsid w:val="00F74C1E"/>
    <w:rsid w:val="00FC62E6"/>
    <w:rsid w:val="00FD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36"/>
  </w:style>
  <w:style w:type="paragraph" w:styleId="Heading1">
    <w:name w:val="heading 1"/>
    <w:basedOn w:val="Normal"/>
    <w:next w:val="Normal"/>
    <w:link w:val="Heading1Char"/>
    <w:uiPriority w:val="9"/>
    <w:qFormat/>
    <w:rsid w:val="00954136"/>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954136"/>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954136"/>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954136"/>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954136"/>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954136"/>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954136"/>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954136"/>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954136"/>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36"/>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954136"/>
    <w:rPr>
      <w:rFonts w:eastAsiaTheme="majorEastAsia" w:cs="Arial"/>
      <w:b/>
      <w:bCs/>
      <w:szCs w:val="26"/>
    </w:rPr>
  </w:style>
  <w:style w:type="character" w:customStyle="1" w:styleId="Heading3Char">
    <w:name w:val="Heading 3 Char"/>
    <w:basedOn w:val="DefaultParagraphFont"/>
    <w:link w:val="Heading3"/>
    <w:uiPriority w:val="9"/>
    <w:semiHidden/>
    <w:rsid w:val="00954136"/>
    <w:rPr>
      <w:rFonts w:eastAsiaTheme="majorEastAsia" w:cs="Arial"/>
      <w:b/>
      <w:bCs/>
    </w:rPr>
  </w:style>
  <w:style w:type="character" w:customStyle="1" w:styleId="Heading4Char">
    <w:name w:val="Heading 4 Char"/>
    <w:basedOn w:val="DefaultParagraphFont"/>
    <w:link w:val="Heading4"/>
    <w:uiPriority w:val="9"/>
    <w:semiHidden/>
    <w:rsid w:val="00954136"/>
    <w:rPr>
      <w:rFonts w:eastAsiaTheme="majorEastAsia" w:cs="Arial"/>
      <w:b/>
      <w:bCs/>
      <w:i/>
      <w:iCs/>
    </w:rPr>
  </w:style>
  <w:style w:type="character" w:customStyle="1" w:styleId="Heading5Char">
    <w:name w:val="Heading 5 Char"/>
    <w:basedOn w:val="DefaultParagraphFont"/>
    <w:link w:val="Heading5"/>
    <w:uiPriority w:val="9"/>
    <w:semiHidden/>
    <w:rsid w:val="00954136"/>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954136"/>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954136"/>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954136"/>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954136"/>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54136"/>
    <w:pPr>
      <w:tabs>
        <w:tab w:val="left" w:pos="-1440"/>
        <w:tab w:val="left" w:pos="-720"/>
        <w:tab w:val="left" w:pos="5040"/>
        <w:tab w:val="center" w:pos="7200"/>
      </w:tabs>
      <w:overflowPunct w:val="0"/>
      <w:autoSpaceDE w:val="0"/>
      <w:autoSpaceDN w:val="0"/>
      <w:adjustRightInd w:val="0"/>
      <w:jc w:val="both"/>
    </w:pPr>
    <w:rPr>
      <w:b/>
      <w:smallCaps/>
      <w:sz w:val="20"/>
      <w:szCs w:val="20"/>
    </w:rPr>
  </w:style>
  <w:style w:type="character" w:customStyle="1" w:styleId="BodyTextChar">
    <w:name w:val="Body Text Char"/>
    <w:basedOn w:val="DefaultParagraphFont"/>
    <w:link w:val="BodyText"/>
    <w:rsid w:val="00954136"/>
    <w:rPr>
      <w:b/>
      <w:smallCaps/>
      <w:sz w:val="20"/>
      <w:szCs w:val="20"/>
    </w:rPr>
  </w:style>
  <w:style w:type="paragraph" w:styleId="BodyText3">
    <w:name w:val="Body Text 3"/>
    <w:basedOn w:val="Normal"/>
    <w:link w:val="BodyText3Char"/>
    <w:rsid w:val="00954136"/>
    <w:pPr>
      <w:spacing w:after="120"/>
    </w:pPr>
    <w:rPr>
      <w:sz w:val="16"/>
      <w:szCs w:val="16"/>
    </w:rPr>
  </w:style>
  <w:style w:type="character" w:customStyle="1" w:styleId="BodyText3Char">
    <w:name w:val="Body Text 3 Char"/>
    <w:basedOn w:val="DefaultParagraphFont"/>
    <w:link w:val="BodyText3"/>
    <w:rsid w:val="00954136"/>
    <w:rPr>
      <w:sz w:val="16"/>
      <w:szCs w:val="16"/>
    </w:rPr>
  </w:style>
  <w:style w:type="paragraph" w:styleId="ListParagraph">
    <w:name w:val="List Paragraph"/>
    <w:basedOn w:val="Normal"/>
    <w:uiPriority w:val="34"/>
    <w:qFormat/>
    <w:rsid w:val="00954136"/>
    <w:pPr>
      <w:ind w:left="720"/>
      <w:contextualSpacing/>
    </w:pPr>
  </w:style>
  <w:style w:type="paragraph" w:styleId="Header">
    <w:name w:val="header"/>
    <w:basedOn w:val="Normal"/>
    <w:link w:val="HeaderChar"/>
    <w:uiPriority w:val="99"/>
    <w:unhideWhenUsed/>
    <w:rsid w:val="00954136"/>
    <w:pPr>
      <w:tabs>
        <w:tab w:val="center" w:pos="4680"/>
        <w:tab w:val="right" w:pos="9360"/>
      </w:tabs>
    </w:pPr>
  </w:style>
  <w:style w:type="character" w:customStyle="1" w:styleId="HeaderChar">
    <w:name w:val="Header Char"/>
    <w:basedOn w:val="DefaultParagraphFont"/>
    <w:link w:val="Header"/>
    <w:uiPriority w:val="99"/>
    <w:rsid w:val="00954136"/>
  </w:style>
  <w:style w:type="paragraph" w:styleId="Footer">
    <w:name w:val="footer"/>
    <w:basedOn w:val="Normal"/>
    <w:link w:val="FooterChar"/>
    <w:uiPriority w:val="99"/>
    <w:unhideWhenUsed/>
    <w:rsid w:val="00954136"/>
    <w:pPr>
      <w:tabs>
        <w:tab w:val="center" w:pos="4680"/>
        <w:tab w:val="right" w:pos="9360"/>
      </w:tabs>
    </w:pPr>
  </w:style>
  <w:style w:type="character" w:customStyle="1" w:styleId="FooterChar">
    <w:name w:val="Footer Char"/>
    <w:basedOn w:val="DefaultParagraphFont"/>
    <w:link w:val="Footer"/>
    <w:uiPriority w:val="99"/>
    <w:rsid w:val="00954136"/>
  </w:style>
  <w:style w:type="paragraph" w:styleId="FootnoteText">
    <w:name w:val="footnote text"/>
    <w:basedOn w:val="Normal"/>
    <w:link w:val="FootnoteTextChar"/>
    <w:uiPriority w:val="99"/>
    <w:semiHidden/>
    <w:unhideWhenUsed/>
    <w:rsid w:val="00D02170"/>
    <w:rPr>
      <w:sz w:val="20"/>
      <w:szCs w:val="20"/>
    </w:rPr>
  </w:style>
  <w:style w:type="character" w:customStyle="1" w:styleId="FootnoteTextChar">
    <w:name w:val="Footnote Text Char"/>
    <w:basedOn w:val="DefaultParagraphFont"/>
    <w:link w:val="FootnoteText"/>
    <w:uiPriority w:val="99"/>
    <w:semiHidden/>
    <w:rsid w:val="00D02170"/>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D02170"/>
    <w:rPr>
      <w:vertAlign w:val="superscript"/>
    </w:rPr>
  </w:style>
  <w:style w:type="paragraph" w:styleId="BalloonText">
    <w:name w:val="Balloon Text"/>
    <w:basedOn w:val="Normal"/>
    <w:link w:val="BalloonTextChar"/>
    <w:uiPriority w:val="99"/>
    <w:semiHidden/>
    <w:unhideWhenUsed/>
    <w:rsid w:val="00EE3DF8"/>
    <w:rPr>
      <w:rFonts w:ascii="Tahoma" w:hAnsi="Tahoma" w:cs="Tahoma"/>
      <w:sz w:val="16"/>
      <w:szCs w:val="16"/>
    </w:rPr>
  </w:style>
  <w:style w:type="character" w:customStyle="1" w:styleId="BalloonTextChar">
    <w:name w:val="Balloon Text Char"/>
    <w:basedOn w:val="DefaultParagraphFont"/>
    <w:link w:val="BalloonText"/>
    <w:uiPriority w:val="99"/>
    <w:semiHidden/>
    <w:rsid w:val="00EE3DF8"/>
    <w:rPr>
      <w:rFonts w:ascii="Tahoma" w:hAnsi="Tahoma" w:cs="Tahoma"/>
      <w:sz w:val="16"/>
      <w:szCs w:val="16"/>
    </w:rPr>
  </w:style>
  <w:style w:type="paragraph" w:styleId="BodyTextIndent">
    <w:name w:val="Body Text Indent"/>
    <w:basedOn w:val="Normal"/>
    <w:link w:val="BodyTextIndentChar"/>
    <w:uiPriority w:val="99"/>
    <w:semiHidden/>
    <w:unhideWhenUsed/>
    <w:rsid w:val="000556D0"/>
    <w:pPr>
      <w:spacing w:after="120"/>
      <w:ind w:left="360"/>
    </w:pPr>
  </w:style>
  <w:style w:type="character" w:customStyle="1" w:styleId="BodyTextIndentChar">
    <w:name w:val="Body Text Indent Char"/>
    <w:basedOn w:val="DefaultParagraphFont"/>
    <w:link w:val="BodyTextIndent"/>
    <w:uiPriority w:val="99"/>
    <w:semiHidden/>
    <w:rsid w:val="00055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36"/>
  </w:style>
  <w:style w:type="paragraph" w:styleId="Heading1">
    <w:name w:val="heading 1"/>
    <w:basedOn w:val="Normal"/>
    <w:next w:val="Normal"/>
    <w:link w:val="Heading1Char"/>
    <w:uiPriority w:val="9"/>
    <w:qFormat/>
    <w:rsid w:val="00954136"/>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954136"/>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954136"/>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954136"/>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954136"/>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954136"/>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954136"/>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954136"/>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954136"/>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36"/>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954136"/>
    <w:rPr>
      <w:rFonts w:eastAsiaTheme="majorEastAsia" w:cs="Arial"/>
      <w:b/>
      <w:bCs/>
      <w:szCs w:val="26"/>
    </w:rPr>
  </w:style>
  <w:style w:type="character" w:customStyle="1" w:styleId="Heading3Char">
    <w:name w:val="Heading 3 Char"/>
    <w:basedOn w:val="DefaultParagraphFont"/>
    <w:link w:val="Heading3"/>
    <w:uiPriority w:val="9"/>
    <w:semiHidden/>
    <w:rsid w:val="00954136"/>
    <w:rPr>
      <w:rFonts w:eastAsiaTheme="majorEastAsia" w:cs="Arial"/>
      <w:b/>
      <w:bCs/>
    </w:rPr>
  </w:style>
  <w:style w:type="character" w:customStyle="1" w:styleId="Heading4Char">
    <w:name w:val="Heading 4 Char"/>
    <w:basedOn w:val="DefaultParagraphFont"/>
    <w:link w:val="Heading4"/>
    <w:uiPriority w:val="9"/>
    <w:semiHidden/>
    <w:rsid w:val="00954136"/>
    <w:rPr>
      <w:rFonts w:eastAsiaTheme="majorEastAsia" w:cs="Arial"/>
      <w:b/>
      <w:bCs/>
      <w:i/>
      <w:iCs/>
    </w:rPr>
  </w:style>
  <w:style w:type="character" w:customStyle="1" w:styleId="Heading5Char">
    <w:name w:val="Heading 5 Char"/>
    <w:basedOn w:val="DefaultParagraphFont"/>
    <w:link w:val="Heading5"/>
    <w:uiPriority w:val="9"/>
    <w:semiHidden/>
    <w:rsid w:val="00954136"/>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954136"/>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954136"/>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954136"/>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954136"/>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54136"/>
    <w:pPr>
      <w:tabs>
        <w:tab w:val="left" w:pos="-1440"/>
        <w:tab w:val="left" w:pos="-720"/>
        <w:tab w:val="left" w:pos="5040"/>
        <w:tab w:val="center" w:pos="7200"/>
      </w:tabs>
      <w:overflowPunct w:val="0"/>
      <w:autoSpaceDE w:val="0"/>
      <w:autoSpaceDN w:val="0"/>
      <w:adjustRightInd w:val="0"/>
      <w:jc w:val="both"/>
    </w:pPr>
    <w:rPr>
      <w:b/>
      <w:smallCaps/>
      <w:sz w:val="20"/>
      <w:szCs w:val="20"/>
    </w:rPr>
  </w:style>
  <w:style w:type="character" w:customStyle="1" w:styleId="BodyTextChar">
    <w:name w:val="Body Text Char"/>
    <w:basedOn w:val="DefaultParagraphFont"/>
    <w:link w:val="BodyText"/>
    <w:rsid w:val="00954136"/>
    <w:rPr>
      <w:b/>
      <w:smallCaps/>
      <w:sz w:val="20"/>
      <w:szCs w:val="20"/>
    </w:rPr>
  </w:style>
  <w:style w:type="paragraph" w:styleId="BodyText3">
    <w:name w:val="Body Text 3"/>
    <w:basedOn w:val="Normal"/>
    <w:link w:val="BodyText3Char"/>
    <w:rsid w:val="00954136"/>
    <w:pPr>
      <w:spacing w:after="120"/>
    </w:pPr>
    <w:rPr>
      <w:sz w:val="16"/>
      <w:szCs w:val="16"/>
    </w:rPr>
  </w:style>
  <w:style w:type="character" w:customStyle="1" w:styleId="BodyText3Char">
    <w:name w:val="Body Text 3 Char"/>
    <w:basedOn w:val="DefaultParagraphFont"/>
    <w:link w:val="BodyText3"/>
    <w:rsid w:val="00954136"/>
    <w:rPr>
      <w:sz w:val="16"/>
      <w:szCs w:val="16"/>
    </w:rPr>
  </w:style>
  <w:style w:type="paragraph" w:styleId="ListParagraph">
    <w:name w:val="List Paragraph"/>
    <w:basedOn w:val="Normal"/>
    <w:uiPriority w:val="34"/>
    <w:qFormat/>
    <w:rsid w:val="00954136"/>
    <w:pPr>
      <w:ind w:left="720"/>
      <w:contextualSpacing/>
    </w:pPr>
  </w:style>
  <w:style w:type="paragraph" w:styleId="Header">
    <w:name w:val="header"/>
    <w:basedOn w:val="Normal"/>
    <w:link w:val="HeaderChar"/>
    <w:uiPriority w:val="99"/>
    <w:unhideWhenUsed/>
    <w:rsid w:val="00954136"/>
    <w:pPr>
      <w:tabs>
        <w:tab w:val="center" w:pos="4680"/>
        <w:tab w:val="right" w:pos="9360"/>
      </w:tabs>
    </w:pPr>
  </w:style>
  <w:style w:type="character" w:customStyle="1" w:styleId="HeaderChar">
    <w:name w:val="Header Char"/>
    <w:basedOn w:val="DefaultParagraphFont"/>
    <w:link w:val="Header"/>
    <w:uiPriority w:val="99"/>
    <w:rsid w:val="00954136"/>
  </w:style>
  <w:style w:type="paragraph" w:styleId="Footer">
    <w:name w:val="footer"/>
    <w:basedOn w:val="Normal"/>
    <w:link w:val="FooterChar"/>
    <w:uiPriority w:val="99"/>
    <w:unhideWhenUsed/>
    <w:rsid w:val="00954136"/>
    <w:pPr>
      <w:tabs>
        <w:tab w:val="center" w:pos="4680"/>
        <w:tab w:val="right" w:pos="9360"/>
      </w:tabs>
    </w:pPr>
  </w:style>
  <w:style w:type="character" w:customStyle="1" w:styleId="FooterChar">
    <w:name w:val="Footer Char"/>
    <w:basedOn w:val="DefaultParagraphFont"/>
    <w:link w:val="Footer"/>
    <w:uiPriority w:val="99"/>
    <w:rsid w:val="00954136"/>
  </w:style>
  <w:style w:type="paragraph" w:styleId="FootnoteText">
    <w:name w:val="footnote text"/>
    <w:basedOn w:val="Normal"/>
    <w:link w:val="FootnoteTextChar"/>
    <w:uiPriority w:val="99"/>
    <w:semiHidden/>
    <w:unhideWhenUsed/>
    <w:rsid w:val="00D02170"/>
    <w:rPr>
      <w:sz w:val="20"/>
      <w:szCs w:val="20"/>
    </w:rPr>
  </w:style>
  <w:style w:type="character" w:customStyle="1" w:styleId="FootnoteTextChar">
    <w:name w:val="Footnote Text Char"/>
    <w:basedOn w:val="DefaultParagraphFont"/>
    <w:link w:val="FootnoteText"/>
    <w:uiPriority w:val="99"/>
    <w:semiHidden/>
    <w:rsid w:val="00D02170"/>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D02170"/>
    <w:rPr>
      <w:vertAlign w:val="superscript"/>
    </w:rPr>
  </w:style>
  <w:style w:type="paragraph" w:styleId="BalloonText">
    <w:name w:val="Balloon Text"/>
    <w:basedOn w:val="Normal"/>
    <w:link w:val="BalloonTextChar"/>
    <w:uiPriority w:val="99"/>
    <w:semiHidden/>
    <w:unhideWhenUsed/>
    <w:rsid w:val="00EE3DF8"/>
    <w:rPr>
      <w:rFonts w:ascii="Tahoma" w:hAnsi="Tahoma" w:cs="Tahoma"/>
      <w:sz w:val="16"/>
      <w:szCs w:val="16"/>
    </w:rPr>
  </w:style>
  <w:style w:type="character" w:customStyle="1" w:styleId="BalloonTextChar">
    <w:name w:val="Balloon Text Char"/>
    <w:basedOn w:val="DefaultParagraphFont"/>
    <w:link w:val="BalloonText"/>
    <w:uiPriority w:val="99"/>
    <w:semiHidden/>
    <w:rsid w:val="00EE3DF8"/>
    <w:rPr>
      <w:rFonts w:ascii="Tahoma" w:hAnsi="Tahoma" w:cs="Tahoma"/>
      <w:sz w:val="16"/>
      <w:szCs w:val="16"/>
    </w:rPr>
  </w:style>
  <w:style w:type="paragraph" w:styleId="BodyTextIndent">
    <w:name w:val="Body Text Indent"/>
    <w:basedOn w:val="Normal"/>
    <w:link w:val="BodyTextIndentChar"/>
    <w:uiPriority w:val="99"/>
    <w:semiHidden/>
    <w:unhideWhenUsed/>
    <w:rsid w:val="000556D0"/>
    <w:pPr>
      <w:spacing w:after="120"/>
      <w:ind w:left="360"/>
    </w:pPr>
  </w:style>
  <w:style w:type="character" w:customStyle="1" w:styleId="BodyTextIndentChar">
    <w:name w:val="Body Text Indent Char"/>
    <w:basedOn w:val="DefaultParagraphFont"/>
    <w:link w:val="BodyTextIndent"/>
    <w:uiPriority w:val="99"/>
    <w:semiHidden/>
    <w:rsid w:val="0005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A387-BC5E-417B-BA0A-111D7E47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1862</Words>
  <Characters>10587</Characters>
  <Application>Microsoft Office Word</Application>
  <DocSecurity>0</DocSecurity>
  <PresentationFormat/>
  <Lines>302</Lines>
  <Paragraphs>134</Paragraphs>
  <ScaleCrop>false</ScaleCrop>
  <HeadingPairs>
    <vt:vector size="2" baseType="variant">
      <vt:variant>
        <vt:lpstr>Title</vt:lpstr>
      </vt:variant>
      <vt:variant>
        <vt:i4>1</vt:i4>
      </vt:variant>
    </vt:vector>
  </HeadingPairs>
  <TitlesOfParts>
    <vt:vector size="1" baseType="lpstr">
      <vt:lpstr>IEU-Ohio Comments 13-1530 (C42892-4).DOCX</vt:lpstr>
    </vt:vector>
  </TitlesOfParts>
  <Company>Some Company, Inc.</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Comments 13-1530 (C42892-4).DOCX</dc:title>
  <dc:subject>C42892:4 /font=8</dc:subject>
  <dc:creator>Renee Gannon</dc:creator>
  <cp:keywords/>
  <dc:description/>
  <cp:lastModifiedBy>Renee Gannon</cp:lastModifiedBy>
  <cp:revision>25</cp:revision>
  <cp:lastPrinted>2014-02-24T21:21:00Z</cp:lastPrinted>
  <dcterms:created xsi:type="dcterms:W3CDTF">2014-02-20T20:18:00Z</dcterms:created>
  <dcterms:modified xsi:type="dcterms:W3CDTF">2014-02-24T21:22:00Z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2/24/2014 4:21:49 PM</vt:lpwstr>
  </property>
</Properties>
</file>