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5A799D">
        <w:rPr>
          <w:rFonts w:ascii="Times New Roman" w:eastAsia="Times New Roman" w:hAnsi="Times New Roman" w:cs="Times New Roman"/>
          <w:b/>
          <w:sz w:val="24"/>
          <w:szCs w:val="24"/>
        </w:rPr>
        <w:t>BEFORE</w:t>
      </w: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PUBLIC UTILITIES COMMISSION OF OHIO</w:t>
      </w:r>
    </w:p>
    <w:p w:rsidR="00EE448C"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tbl>
      <w:tblPr>
        <w:tblW w:w="9844" w:type="dxa"/>
        <w:tblLook w:val="04A0" w:firstRow="1" w:lastRow="0" w:firstColumn="1" w:lastColumn="0" w:noHBand="0" w:noVBand="1"/>
      </w:tblPr>
      <w:tblGrid>
        <w:gridCol w:w="4788"/>
        <w:gridCol w:w="455"/>
        <w:gridCol w:w="4601"/>
      </w:tblGrid>
      <w:tr w:rsidR="00EE448C" w:rsidRPr="005A799D" w:rsidTr="0059406D">
        <w:trPr>
          <w:trHeight w:val="1252"/>
        </w:trPr>
        <w:tc>
          <w:tcPr>
            <w:tcW w:w="4788"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The Office of the Ohio Consumers’ Counsel,</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Complainant,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v.</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Power Company,</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Respondent.</w:t>
            </w:r>
          </w:p>
        </w:tc>
        <w:tc>
          <w:tcPr>
            <w:tcW w:w="455"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  )</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c>
          <w:tcPr>
            <w:tcW w:w="4601"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105AB">
              <w:rPr>
                <w:rFonts w:ascii="Times New Roman" w:eastAsia="Times New Roman" w:hAnsi="Times New Roman" w:cs="Times New Roman"/>
                <w:sz w:val="24"/>
                <w:szCs w:val="24"/>
              </w:rPr>
              <w:t>Case No. 16-0782</w:t>
            </w:r>
            <w:r w:rsidRPr="005A799D">
              <w:rPr>
                <w:rFonts w:ascii="Times New Roman" w:eastAsia="Times New Roman" w:hAnsi="Times New Roman" w:cs="Times New Roman"/>
                <w:sz w:val="24"/>
                <w:szCs w:val="24"/>
              </w:rPr>
              <w:t>-EL-CSS</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r>
    </w:tbl>
    <w:p w:rsidR="00EE448C" w:rsidRPr="005A799D" w:rsidRDefault="00EE448C" w:rsidP="00EE448C">
      <w:pPr>
        <w:pBdr>
          <w:bottom w:val="single" w:sz="12" w:space="0" w:color="auto"/>
        </w:pBdr>
        <w:tabs>
          <w:tab w:val="left" w:pos="0"/>
          <w:tab w:val="left" w:pos="720"/>
        </w:tabs>
        <w:spacing w:after="0" w:line="240" w:lineRule="auto"/>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rPr>
          <w:rFonts w:ascii="Times New Roman" w:eastAsia="Times New Roman" w:hAnsi="Times New Roman" w:cs="Times New Roman"/>
          <w:b/>
          <w:sz w:val="24"/>
          <w:szCs w:val="24"/>
        </w:rPr>
      </w:pPr>
    </w:p>
    <w:p w:rsidR="00A879EC" w:rsidRPr="005A799D" w:rsidRDefault="00A879EC" w:rsidP="00A879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CONTRA MOTION TO HOLD THE CASE IN ABEYANCE</w:t>
      </w:r>
    </w:p>
    <w:p w:rsidR="00EE448C" w:rsidRPr="005A799D" w:rsidRDefault="00EE448C" w:rsidP="00A879EC">
      <w:pP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BY</w:t>
      </w:r>
    </w:p>
    <w:p w:rsidR="00EE448C" w:rsidRPr="005A799D" w:rsidRDefault="00EE448C" w:rsidP="00EE448C">
      <w:pPr>
        <w:pBdr>
          <w:bottom w:val="single" w:sz="12" w:space="1" w:color="auto"/>
        </w:pBd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OFFICE OF THE OHIO CONSUMERS’ COUNSEL</w:t>
      </w:r>
      <w:r w:rsidRPr="005A799D">
        <w:rPr>
          <w:rFonts w:ascii="Times New Roman" w:eastAsia="Times New Roman" w:hAnsi="Times New Roman" w:cs="Times New Roman"/>
          <w:b/>
          <w:sz w:val="24"/>
          <w:szCs w:val="24"/>
        </w:rPr>
        <w:br/>
      </w:r>
    </w:p>
    <w:p w:rsidR="00EE448C" w:rsidRPr="005A799D" w:rsidRDefault="00EE448C" w:rsidP="00EE448C">
      <w:pPr>
        <w:autoSpaceDE w:val="0"/>
        <w:autoSpaceDN w:val="0"/>
        <w:adjustRightInd w:val="0"/>
        <w:spacing w:after="0" w:line="240" w:lineRule="auto"/>
        <w:ind w:firstLine="720"/>
        <w:rPr>
          <w:rFonts w:ascii="Times New Roman" w:eastAsia="Times New Roman" w:hAnsi="Times New Roman" w:cs="Times New Roman"/>
          <w:sz w:val="24"/>
          <w:szCs w:val="24"/>
        </w:rPr>
      </w:pPr>
    </w:p>
    <w:p w:rsidR="00F238C3" w:rsidRPr="00F238C3" w:rsidRDefault="00DD4DFA" w:rsidP="00DD4DFA">
      <w:pPr>
        <w:pStyle w:val="Heading1"/>
        <w:rPr>
          <w:rFonts w:eastAsia="Times New Roman"/>
        </w:rPr>
      </w:pPr>
      <w:r>
        <w:rPr>
          <w:rFonts w:eastAsia="Times New Roman"/>
        </w:rPr>
        <w:t>I.</w:t>
      </w:r>
      <w:r>
        <w:rPr>
          <w:rFonts w:eastAsia="Times New Roman"/>
        </w:rPr>
        <w:tab/>
      </w:r>
      <w:r w:rsidR="00F238C3" w:rsidRPr="00F238C3">
        <w:rPr>
          <w:rFonts w:eastAsia="Times New Roman"/>
        </w:rPr>
        <w:t>Introduction</w:t>
      </w:r>
    </w:p>
    <w:p w:rsidR="00E530F1" w:rsidRDefault="00E530F1" w:rsidP="00BD6B92">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day Ohioans with submetered utility service are being denied the protections of state regulation, and for electric consumers the market that exists for Ohioans whose service is directly billed by utilities.  Yet, some movants to intervene want to further delay the protections sought in this Complaint case by having the PUCO hold this case in abeyance.  That is wrong and should be denied.    </w:t>
      </w:r>
    </w:p>
    <w:p w:rsidR="00DD4DFA" w:rsidRDefault="00436D93" w:rsidP="00BD6B92">
      <w:pPr>
        <w:autoSpaceDE w:val="0"/>
        <w:autoSpaceDN w:val="0"/>
        <w:spacing w:after="0" w:line="480" w:lineRule="auto"/>
        <w:ind w:firstLine="720"/>
        <w:rPr>
          <w:rFonts w:ascii="Times New Roman" w:eastAsia="Times New Roman" w:hAnsi="Times New Roman" w:cs="Times New Roman"/>
          <w:sz w:val="24"/>
          <w:szCs w:val="24"/>
        </w:rPr>
        <w:sectPr w:rsidR="00DD4DFA" w:rsidSect="00DD4DF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436D93">
        <w:rPr>
          <w:rFonts w:ascii="Times New Roman" w:eastAsia="Times New Roman" w:hAnsi="Times New Roman" w:cs="Times New Roman"/>
          <w:sz w:val="24"/>
          <w:szCs w:val="24"/>
        </w:rPr>
        <w:t xml:space="preserve">On April 12, 2016, the Office of the Ohio Consumers’ Counsel (“OCC”) filed a complaint against Ohio Power Company (“AEP Ohio”) to protect submetered residential consumers in its service territory. </w:t>
      </w:r>
      <w:r>
        <w:rPr>
          <w:rFonts w:ascii="Times New Roman" w:eastAsia="Times New Roman" w:hAnsi="Times New Roman" w:cs="Times New Roman"/>
          <w:sz w:val="24"/>
          <w:szCs w:val="24"/>
        </w:rPr>
        <w:t xml:space="preserve"> </w:t>
      </w:r>
      <w:r w:rsidRPr="00436D93">
        <w:rPr>
          <w:rFonts w:ascii="Times New Roman" w:eastAsia="Times New Roman" w:hAnsi="Times New Roman" w:cs="Times New Roman"/>
          <w:sz w:val="24"/>
          <w:szCs w:val="24"/>
        </w:rPr>
        <w:t xml:space="preserve">The </w:t>
      </w:r>
      <w:r w:rsidR="000B7A13">
        <w:rPr>
          <w:rFonts w:ascii="Times New Roman" w:eastAsia="Times New Roman" w:hAnsi="Times New Roman" w:cs="Times New Roman"/>
          <w:sz w:val="24"/>
          <w:szCs w:val="24"/>
        </w:rPr>
        <w:t>C</w:t>
      </w:r>
      <w:r w:rsidRPr="00436D93">
        <w:rPr>
          <w:rFonts w:ascii="Times New Roman" w:eastAsia="Times New Roman" w:hAnsi="Times New Roman" w:cs="Times New Roman"/>
          <w:sz w:val="24"/>
          <w:szCs w:val="24"/>
        </w:rPr>
        <w:t>omplaint would protect Ohioans who have been billed unreasonably high rates and denied the significant consumer protections and market-based pricing that other Ohioans receive.</w:t>
      </w:r>
      <w:r>
        <w:rPr>
          <w:rStyle w:val="FootnoteReference"/>
          <w:rFonts w:ascii="Times New Roman" w:eastAsia="Times New Roman" w:hAnsi="Times New Roman" w:cs="Times New Roman"/>
          <w:sz w:val="24"/>
          <w:szCs w:val="24"/>
        </w:rPr>
        <w:footnoteReference w:id="1"/>
      </w:r>
      <w:r w:rsidRPr="00436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its </w:t>
      </w:r>
      <w:r w:rsidR="000B7A1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omplaint, OCC requested that </w:t>
      </w:r>
    </w:p>
    <w:p w:rsidR="00436D93" w:rsidRDefault="00436D93" w:rsidP="00DD4DFA">
      <w:pPr>
        <w:autoSpaceDE w:val="0"/>
        <w:autoSpaceDN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AEP Ohio amend its tariffs to bar the resale and redistribution of electric services to residential customers by submetering entities or third-party agents (other than landlords) that are operating as public utilities.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OCC also asked </w:t>
      </w:r>
      <w:r w:rsidR="00BD6B92">
        <w:rPr>
          <w:rFonts w:ascii="Times New Roman" w:eastAsia="Times New Roman" w:hAnsi="Times New Roman" w:cs="Times New Roman"/>
          <w:sz w:val="24"/>
          <w:szCs w:val="24"/>
        </w:rPr>
        <w:t xml:space="preserve">the Public Utilities Commission of Ohio (“PUCO”) </w:t>
      </w:r>
      <w:r>
        <w:rPr>
          <w:rFonts w:ascii="Times New Roman" w:eastAsia="Times New Roman" w:hAnsi="Times New Roman" w:cs="Times New Roman"/>
          <w:sz w:val="24"/>
          <w:szCs w:val="24"/>
        </w:rPr>
        <w:t>for a moratorium to stop AEP Ohio from providing new service to those who resell service to submetered residential customers.</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rsidR="00CF3D99" w:rsidRDefault="00436D93" w:rsidP="00BD6B92">
      <w:pPr>
        <w:autoSpaceDE w:val="0"/>
        <w:autoSpaceDN w:val="0"/>
        <w:spacing w:after="0" w:line="480" w:lineRule="auto"/>
        <w:ind w:firstLine="720"/>
        <w:rPr>
          <w:rFonts w:ascii="Times New Roman" w:hAnsi="Times New Roman"/>
          <w:sz w:val="24"/>
          <w:szCs w:val="24"/>
        </w:rPr>
      </w:pPr>
      <w:r w:rsidRPr="00436D93">
        <w:rPr>
          <w:rFonts w:ascii="Times New Roman" w:eastAsia="Times New Roman" w:hAnsi="Times New Roman" w:cs="Times New Roman"/>
          <w:sz w:val="24"/>
          <w:szCs w:val="24"/>
        </w:rPr>
        <w:t>On April 27, 2016, AEP O</w:t>
      </w:r>
      <w:r w:rsidR="00BD6B92">
        <w:rPr>
          <w:rFonts w:ascii="Times New Roman" w:eastAsia="Times New Roman" w:hAnsi="Times New Roman" w:cs="Times New Roman"/>
          <w:sz w:val="24"/>
          <w:szCs w:val="24"/>
        </w:rPr>
        <w:t>hio filed an answer to the OCC C</w:t>
      </w:r>
      <w:r w:rsidRPr="00436D93">
        <w:rPr>
          <w:rFonts w:ascii="Times New Roman" w:eastAsia="Times New Roman" w:hAnsi="Times New Roman" w:cs="Times New Roman"/>
          <w:sz w:val="24"/>
          <w:szCs w:val="24"/>
        </w:rPr>
        <w:t>omplaint, a memorandum contra the OCC’s motion for a moratorium, and its own motion to amend its tariffs.</w:t>
      </w:r>
      <w:r>
        <w:rPr>
          <w:rStyle w:val="FootnoteReference"/>
          <w:rFonts w:ascii="Times New Roman" w:eastAsia="Times New Roman" w:hAnsi="Times New Roman" w:cs="Times New Roman"/>
          <w:sz w:val="24"/>
          <w:szCs w:val="24"/>
        </w:rPr>
        <w:footnoteReference w:id="4"/>
      </w:r>
      <w:r w:rsidRPr="00436D93">
        <w:rPr>
          <w:rFonts w:ascii="Times New Roman" w:eastAsia="Times New Roman" w:hAnsi="Times New Roman" w:cs="Times New Roman"/>
          <w:sz w:val="24"/>
          <w:szCs w:val="24"/>
        </w:rPr>
        <w:t xml:space="preserve">  In its motion to amend, AEP Ohio agreed with OCC that “the practice of ‘submetering’ has proliferated in recent years and has caused substantial harm to customers in AEP Ohio’s territory.”</w:t>
      </w:r>
      <w:r>
        <w:rPr>
          <w:rStyle w:val="FootnoteReference"/>
          <w:rFonts w:ascii="Times New Roman" w:eastAsia="Times New Roman" w:hAnsi="Times New Roman" w:cs="Times New Roman"/>
          <w:sz w:val="24"/>
          <w:szCs w:val="24"/>
        </w:rPr>
        <w:footnoteReference w:id="5"/>
      </w:r>
      <w:r w:rsidRPr="00436D93">
        <w:rPr>
          <w:rFonts w:ascii="Times New Roman" w:eastAsia="Times New Roman" w:hAnsi="Times New Roman" w:cs="Times New Roman"/>
          <w:sz w:val="24"/>
          <w:szCs w:val="24"/>
        </w:rPr>
        <w:t xml:space="preserve"> As a means to prevent further harm to consumers from submeterers, AEP Ohio proposed to revise its tariff “to limit the harm caused by submetering.”</w:t>
      </w:r>
      <w:r>
        <w:rPr>
          <w:rStyle w:val="FootnoteReference"/>
          <w:rFonts w:ascii="Times New Roman" w:eastAsia="Times New Roman" w:hAnsi="Times New Roman" w:cs="Times New Roman"/>
          <w:sz w:val="24"/>
          <w:szCs w:val="24"/>
        </w:rPr>
        <w:footnoteReference w:id="6"/>
      </w:r>
      <w:r w:rsidRPr="00436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36D93">
        <w:rPr>
          <w:rFonts w:ascii="Times New Roman" w:eastAsia="Times New Roman" w:hAnsi="Times New Roman" w:cs="Times New Roman"/>
          <w:sz w:val="24"/>
          <w:szCs w:val="24"/>
        </w:rPr>
        <w:t>OCC filed a memorandum contra AEP Ohio’s motion to amend on May 12, 2016.</w:t>
      </w:r>
      <w:r>
        <w:rPr>
          <w:rStyle w:val="FootnoteReference"/>
          <w:rFonts w:ascii="Times New Roman" w:eastAsia="Times New Roman" w:hAnsi="Times New Roman" w:cs="Times New Roman"/>
          <w:sz w:val="24"/>
          <w:szCs w:val="24"/>
        </w:rPr>
        <w:footnoteReference w:id="7"/>
      </w:r>
      <w:r w:rsidRPr="00436D93">
        <w:rPr>
          <w:rFonts w:ascii="Times New Roman" w:eastAsia="Times New Roman" w:hAnsi="Times New Roman" w:cs="Times New Roman"/>
          <w:sz w:val="24"/>
          <w:szCs w:val="24"/>
        </w:rPr>
        <w:t xml:space="preserve">  The Industrial Energy Users-Ohio (</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IEU</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 and Nationwide Energy Partners, LLC (</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NEP</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 also filed memoranda contra AEP Ohio’s motion to amend.</w:t>
      </w:r>
      <w:r>
        <w:rPr>
          <w:rStyle w:val="FootnoteReference"/>
          <w:rFonts w:ascii="Times New Roman" w:eastAsia="Times New Roman" w:hAnsi="Times New Roman" w:cs="Times New Roman"/>
          <w:sz w:val="24"/>
          <w:szCs w:val="24"/>
        </w:rPr>
        <w:footnoteReference w:id="8"/>
      </w:r>
      <w:r w:rsidRPr="00436D93">
        <w:rPr>
          <w:rFonts w:ascii="Times New Roman" w:eastAsia="Times New Roman" w:hAnsi="Times New Roman" w:cs="Times New Roman"/>
          <w:sz w:val="24"/>
          <w:szCs w:val="24"/>
        </w:rPr>
        <w:t xml:space="preserve">  IEU, NEP, </w:t>
      </w:r>
      <w:r w:rsidRPr="00436D93">
        <w:rPr>
          <w:rFonts w:ascii="Times New Roman" w:eastAsia="Times New Roman" w:hAnsi="Times New Roman" w:cs="Times New Roman"/>
          <w:sz w:val="24"/>
          <w:szCs w:val="24"/>
        </w:rPr>
        <w:lastRenderedPageBreak/>
        <w:t>and the Ohio Apartment Association and the International Council of Shopping Centers</w:t>
      </w:r>
      <w:r w:rsidR="00CF3D99">
        <w:rPr>
          <w:rFonts w:ascii="Times New Roman" w:eastAsia="Times New Roman" w:hAnsi="Times New Roman" w:cs="Times New Roman"/>
          <w:sz w:val="24"/>
          <w:szCs w:val="24"/>
        </w:rPr>
        <w:t xml:space="preserve"> </w:t>
      </w:r>
      <w:r w:rsidRPr="00436D93">
        <w:rPr>
          <w:rFonts w:ascii="Times New Roman" w:eastAsia="Times New Roman" w:hAnsi="Times New Roman" w:cs="Times New Roman"/>
          <w:sz w:val="24"/>
          <w:szCs w:val="24"/>
        </w:rPr>
        <w:t>(</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OAA/ICSC</w:t>
      </w:r>
      <w:r w:rsidR="000B7A13">
        <w:rPr>
          <w:rFonts w:ascii="Times New Roman" w:eastAsia="Times New Roman" w:hAnsi="Times New Roman" w:cs="Times New Roman"/>
          <w:sz w:val="24"/>
          <w:szCs w:val="24"/>
        </w:rPr>
        <w:t>”</w:t>
      </w:r>
      <w:r w:rsidRPr="00436D93">
        <w:rPr>
          <w:rFonts w:ascii="Times New Roman" w:eastAsia="Times New Roman" w:hAnsi="Times New Roman" w:cs="Times New Roman"/>
          <w:sz w:val="24"/>
          <w:szCs w:val="24"/>
        </w:rPr>
        <w:t>) moved to intervene in this proceeding.</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r w:rsidRPr="00436D93">
        <w:rPr>
          <w:rFonts w:ascii="Times New Roman" w:hAnsi="Times New Roman"/>
          <w:sz w:val="24"/>
          <w:szCs w:val="24"/>
        </w:rPr>
        <w:t xml:space="preserve">OCC </w:t>
      </w:r>
      <w:r w:rsidR="00CF3D99">
        <w:rPr>
          <w:rFonts w:ascii="Times New Roman" w:hAnsi="Times New Roman"/>
          <w:sz w:val="24"/>
          <w:szCs w:val="24"/>
        </w:rPr>
        <w:t xml:space="preserve">filed responses to the various motions pursuant to the PUCO’s rules and </w:t>
      </w:r>
      <w:r w:rsidRPr="00436D93">
        <w:rPr>
          <w:rFonts w:ascii="Times New Roman" w:hAnsi="Times New Roman"/>
          <w:sz w:val="24"/>
          <w:szCs w:val="24"/>
        </w:rPr>
        <w:t xml:space="preserve">hereby </w:t>
      </w:r>
      <w:r w:rsidR="00CF3D99">
        <w:rPr>
          <w:rFonts w:ascii="Times New Roman" w:hAnsi="Times New Roman"/>
          <w:sz w:val="24"/>
          <w:szCs w:val="24"/>
        </w:rPr>
        <w:t>incorporates</w:t>
      </w:r>
      <w:r w:rsidR="00BD6B92">
        <w:rPr>
          <w:rFonts w:ascii="Times New Roman" w:hAnsi="Times New Roman"/>
          <w:sz w:val="24"/>
          <w:szCs w:val="24"/>
        </w:rPr>
        <w:t xml:space="preserve"> her</w:t>
      </w:r>
      <w:r w:rsidR="000B7A13">
        <w:rPr>
          <w:rFonts w:ascii="Times New Roman" w:hAnsi="Times New Roman"/>
          <w:sz w:val="24"/>
          <w:szCs w:val="24"/>
        </w:rPr>
        <w:t>e</w:t>
      </w:r>
      <w:r w:rsidR="00BD6B92">
        <w:rPr>
          <w:rFonts w:ascii="Times New Roman" w:hAnsi="Times New Roman"/>
          <w:sz w:val="24"/>
          <w:szCs w:val="24"/>
        </w:rPr>
        <w:t>in</w:t>
      </w:r>
      <w:r w:rsidR="00CF3D99">
        <w:rPr>
          <w:rFonts w:ascii="Times New Roman" w:hAnsi="Times New Roman"/>
          <w:sz w:val="24"/>
          <w:szCs w:val="24"/>
        </w:rPr>
        <w:t xml:space="preserve"> its </w:t>
      </w:r>
      <w:r w:rsidR="00BD6B92">
        <w:rPr>
          <w:rFonts w:ascii="Times New Roman" w:hAnsi="Times New Roman"/>
          <w:sz w:val="24"/>
          <w:szCs w:val="24"/>
        </w:rPr>
        <w:t xml:space="preserve">pleadings and the </w:t>
      </w:r>
      <w:r w:rsidR="00CF3D99">
        <w:rPr>
          <w:rFonts w:ascii="Times New Roman" w:hAnsi="Times New Roman"/>
          <w:sz w:val="24"/>
          <w:szCs w:val="24"/>
        </w:rPr>
        <w:t>comments</w:t>
      </w:r>
      <w:r w:rsidR="00BD6B92">
        <w:rPr>
          <w:rFonts w:ascii="Times New Roman" w:hAnsi="Times New Roman"/>
          <w:sz w:val="24"/>
          <w:szCs w:val="24"/>
        </w:rPr>
        <w:t xml:space="preserve"> set forth therein</w:t>
      </w:r>
      <w:r w:rsidR="00CF3D99">
        <w:rPr>
          <w:rFonts w:ascii="Times New Roman" w:hAnsi="Times New Roman"/>
          <w:sz w:val="24"/>
          <w:szCs w:val="24"/>
        </w:rPr>
        <w:t xml:space="preserve">.  </w:t>
      </w:r>
    </w:p>
    <w:p w:rsidR="00C27C76" w:rsidRDefault="00CF3D99" w:rsidP="000426E4">
      <w:pPr>
        <w:autoSpaceDE w:val="0"/>
        <w:autoSpaceDN w:val="0"/>
        <w:spacing w:after="0" w:line="480" w:lineRule="auto"/>
        <w:ind w:firstLine="360"/>
        <w:rPr>
          <w:rFonts w:ascii="Times New Roman" w:hAnsi="Times New Roman"/>
          <w:sz w:val="24"/>
          <w:szCs w:val="24"/>
        </w:rPr>
      </w:pPr>
      <w:r>
        <w:rPr>
          <w:rFonts w:ascii="Times New Roman" w:eastAsia="Times New Roman" w:hAnsi="Times New Roman" w:cs="Times New Roman"/>
          <w:sz w:val="24"/>
          <w:szCs w:val="24"/>
        </w:rPr>
        <w:t>On May 12, 2016, OAA/ICSC also filed a motion to hold the case in abeyance.</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r>
        <w:rPr>
          <w:rFonts w:ascii="Times New Roman" w:hAnsi="Times New Roman"/>
          <w:sz w:val="24"/>
          <w:szCs w:val="24"/>
        </w:rPr>
        <w:t xml:space="preserve">OCC </w:t>
      </w:r>
      <w:r w:rsidR="00436D93" w:rsidRPr="00436D93">
        <w:rPr>
          <w:rFonts w:ascii="Times New Roman" w:hAnsi="Times New Roman"/>
          <w:sz w:val="24"/>
          <w:szCs w:val="24"/>
        </w:rPr>
        <w:t>files its re</w:t>
      </w:r>
      <w:r>
        <w:rPr>
          <w:rFonts w:ascii="Times New Roman" w:hAnsi="Times New Roman"/>
          <w:sz w:val="24"/>
          <w:szCs w:val="24"/>
        </w:rPr>
        <w:t>sponse</w:t>
      </w:r>
      <w:r w:rsidR="00436D93" w:rsidRPr="00436D93">
        <w:rPr>
          <w:rFonts w:ascii="Times New Roman" w:hAnsi="Times New Roman"/>
          <w:sz w:val="24"/>
          <w:szCs w:val="24"/>
        </w:rPr>
        <w:t xml:space="preserve"> to </w:t>
      </w:r>
      <w:r w:rsidRPr="00436D93">
        <w:rPr>
          <w:rFonts w:ascii="Times New Roman" w:eastAsia="Times New Roman" w:hAnsi="Times New Roman" w:cs="Times New Roman"/>
          <w:sz w:val="24"/>
          <w:szCs w:val="24"/>
        </w:rPr>
        <w:t>OAA/ICSC</w:t>
      </w:r>
      <w:r>
        <w:rPr>
          <w:rFonts w:ascii="Times New Roman" w:eastAsia="Times New Roman" w:hAnsi="Times New Roman" w:cs="Times New Roman"/>
          <w:sz w:val="24"/>
          <w:szCs w:val="24"/>
        </w:rPr>
        <w:t xml:space="preserve">’s </w:t>
      </w:r>
      <w:r w:rsidR="00436D93" w:rsidRPr="00436D93">
        <w:rPr>
          <w:rFonts w:ascii="Times New Roman" w:hAnsi="Times New Roman"/>
          <w:sz w:val="24"/>
          <w:szCs w:val="24"/>
        </w:rPr>
        <w:t>m</w:t>
      </w:r>
      <w:r>
        <w:rPr>
          <w:rFonts w:ascii="Times New Roman" w:hAnsi="Times New Roman"/>
          <w:sz w:val="24"/>
          <w:szCs w:val="24"/>
        </w:rPr>
        <w:t xml:space="preserve">otion to unnecessarily delay a properly filed complaint case </w:t>
      </w:r>
      <w:r w:rsidR="00BD6B92">
        <w:rPr>
          <w:rFonts w:ascii="Times New Roman" w:hAnsi="Times New Roman"/>
          <w:sz w:val="24"/>
          <w:szCs w:val="24"/>
        </w:rPr>
        <w:t xml:space="preserve">submitted </w:t>
      </w:r>
      <w:r>
        <w:rPr>
          <w:rFonts w:ascii="Times New Roman" w:hAnsi="Times New Roman"/>
          <w:sz w:val="24"/>
          <w:szCs w:val="24"/>
        </w:rPr>
        <w:t>on behalf of residential consumers against AEP Ohio.</w:t>
      </w:r>
    </w:p>
    <w:p w:rsidR="00DD4DFA" w:rsidRPr="000426E4" w:rsidRDefault="00DD4DFA" w:rsidP="00DD4DFA">
      <w:pPr>
        <w:autoSpaceDE w:val="0"/>
        <w:autoSpaceDN w:val="0"/>
        <w:spacing w:after="0" w:line="240" w:lineRule="auto"/>
        <w:ind w:firstLine="360"/>
        <w:rPr>
          <w:rFonts w:ascii="Times New Roman" w:eastAsia="Calibri" w:hAnsi="Times New Roman" w:cs="Times New Roman"/>
          <w:sz w:val="24"/>
          <w:szCs w:val="24"/>
        </w:rPr>
      </w:pPr>
    </w:p>
    <w:p w:rsidR="00F238C3" w:rsidRPr="00C2607B" w:rsidRDefault="00DD4DFA" w:rsidP="00DD4DFA">
      <w:pPr>
        <w:pStyle w:val="Heading1"/>
        <w:rPr>
          <w:rFonts w:eastAsia="Times New Roman"/>
        </w:rPr>
      </w:pPr>
      <w:r>
        <w:rPr>
          <w:rFonts w:eastAsia="Times New Roman"/>
        </w:rPr>
        <w:t>II.</w:t>
      </w:r>
      <w:r>
        <w:rPr>
          <w:rFonts w:eastAsia="Times New Roman"/>
        </w:rPr>
        <w:tab/>
      </w:r>
      <w:r w:rsidR="00652D74">
        <w:rPr>
          <w:rFonts w:eastAsia="Times New Roman"/>
        </w:rPr>
        <w:t>RECOMMENDATIONS</w:t>
      </w:r>
    </w:p>
    <w:p w:rsidR="00A879EC" w:rsidRDefault="00DD4DFA" w:rsidP="00DD4DFA">
      <w:pPr>
        <w:pStyle w:val="Heading2"/>
        <w:ind w:right="720"/>
      </w:pPr>
      <w:r>
        <w:t>A.</w:t>
      </w:r>
      <w:r>
        <w:tab/>
      </w:r>
      <w:r w:rsidR="00A879EC" w:rsidRPr="00C83479">
        <w:t>This Complaint</w:t>
      </w:r>
      <w:r w:rsidR="00A879EC">
        <w:t xml:space="preserve"> and the </w:t>
      </w:r>
      <w:r w:rsidR="00652D74">
        <w:t>a</w:t>
      </w:r>
      <w:r w:rsidR="00A879EC">
        <w:t xml:space="preserve">ccompanying </w:t>
      </w:r>
      <w:r w:rsidR="00652D74">
        <w:t>c</w:t>
      </w:r>
      <w:r w:rsidR="00A879EC">
        <w:t xml:space="preserve">onsumer </w:t>
      </w:r>
      <w:r w:rsidR="00652D74">
        <w:t>p</w:t>
      </w:r>
      <w:r w:rsidR="00A879EC">
        <w:t xml:space="preserve">rotections it </w:t>
      </w:r>
      <w:r w:rsidR="00652D74">
        <w:t>r</w:t>
      </w:r>
      <w:r w:rsidR="00A879EC">
        <w:t xml:space="preserve">equests </w:t>
      </w:r>
      <w:r w:rsidR="00652D74">
        <w:t>s</w:t>
      </w:r>
      <w:r w:rsidR="00A879EC" w:rsidRPr="00C83479">
        <w:t xml:space="preserve">hould </w:t>
      </w:r>
      <w:r w:rsidR="00652D74">
        <w:t>m</w:t>
      </w:r>
      <w:r w:rsidR="00A879EC" w:rsidRPr="00C83479">
        <w:t xml:space="preserve">ove </w:t>
      </w:r>
      <w:r w:rsidR="00652D74">
        <w:t>f</w:t>
      </w:r>
      <w:r w:rsidR="00A879EC" w:rsidRPr="00C83479">
        <w:t xml:space="preserve">orward </w:t>
      </w:r>
      <w:r w:rsidR="00652D74">
        <w:t>w</w:t>
      </w:r>
      <w:r w:rsidR="00A879EC" w:rsidRPr="00C83479">
        <w:t xml:space="preserve">ithout </w:t>
      </w:r>
      <w:r w:rsidR="00652D74">
        <w:t>d</w:t>
      </w:r>
      <w:r w:rsidR="00A879EC" w:rsidRPr="00C83479">
        <w:t>elay.</w:t>
      </w:r>
    </w:p>
    <w:p w:rsidR="00A879EC" w:rsidRPr="00CD46EC" w:rsidRDefault="00CF3D99" w:rsidP="00A879EC">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OAA/ICSSC</w:t>
      </w:r>
      <w:r w:rsidR="00A879E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attempt</w:t>
      </w:r>
      <w:r w:rsidR="00A879EC">
        <w:rPr>
          <w:rFonts w:ascii="Times New Roman" w:eastAsia="Times New Roman" w:hAnsi="Times New Roman" w:cs="Times New Roman"/>
          <w:sz w:val="24"/>
          <w:szCs w:val="24"/>
        </w:rPr>
        <w:t xml:space="preserve"> to unnecessarily stall this case to the detriment of residential customers is meritless</w:t>
      </w:r>
      <w:r>
        <w:rPr>
          <w:rFonts w:ascii="Times New Roman" w:eastAsia="Times New Roman" w:hAnsi="Times New Roman" w:cs="Times New Roman"/>
          <w:sz w:val="24"/>
          <w:szCs w:val="24"/>
        </w:rPr>
        <w:t xml:space="preserve"> and should be rejected</w:t>
      </w:r>
      <w:r w:rsidR="00A879EC">
        <w:rPr>
          <w:rFonts w:ascii="Times New Roman" w:eastAsia="Times New Roman" w:hAnsi="Times New Roman" w:cs="Times New Roman"/>
          <w:sz w:val="24"/>
          <w:szCs w:val="24"/>
        </w:rPr>
        <w:t xml:space="preserve">.  </w:t>
      </w:r>
      <w:r w:rsidR="00A879EC" w:rsidRPr="00CD46EC">
        <w:rPr>
          <w:rFonts w:ascii="Times New Roman" w:eastAsia="Times New Roman" w:hAnsi="Times New Roman" w:cs="Times New Roman"/>
          <w:sz w:val="24"/>
          <w:szCs w:val="24"/>
        </w:rPr>
        <w:t>R.C. 4905.26 authorizes a complaint alleging, inter alia,  “</w:t>
      </w:r>
      <w:r w:rsidR="00A879EC" w:rsidRPr="00CD46EC">
        <w:rPr>
          <w:rFonts w:ascii="Times New Roman" w:hAnsi="Times New Roman" w:cs="Times New Roman"/>
          <w:sz w:val="24"/>
          <w:szCs w:val="24"/>
          <w:shd w:val="clear" w:color="auto" w:fill="FFFFFF"/>
        </w:rPr>
        <w:t>that any rate, fare, charge, toll, rental, schedule, classification, or service, or any joint rate, fare, charge, toll, rental, schedule, classification, or service rendered, charged, demanded, exacted, or proposed to be rendered, charged, demanded, or exacted, is in any respect unjust, unreasonable, unjustly discriminatory, unjustly preferential, or in violation of law * * * .”  OCC availed itself of th</w:t>
      </w:r>
      <w:r w:rsidR="00A879EC">
        <w:rPr>
          <w:rFonts w:ascii="Times New Roman" w:hAnsi="Times New Roman" w:cs="Times New Roman"/>
          <w:sz w:val="24"/>
          <w:szCs w:val="24"/>
          <w:shd w:val="clear" w:color="auto" w:fill="FFFFFF"/>
        </w:rPr>
        <w:t xml:space="preserve">e </w:t>
      </w:r>
      <w:r w:rsidR="00A879EC" w:rsidRPr="00CD46EC">
        <w:rPr>
          <w:rFonts w:ascii="Times New Roman" w:hAnsi="Times New Roman" w:cs="Times New Roman"/>
          <w:sz w:val="24"/>
          <w:szCs w:val="24"/>
          <w:shd w:val="clear" w:color="auto" w:fill="FFFFFF"/>
        </w:rPr>
        <w:t xml:space="preserve">statutory </w:t>
      </w:r>
      <w:r w:rsidR="00A879EC">
        <w:rPr>
          <w:rFonts w:ascii="Times New Roman" w:hAnsi="Times New Roman" w:cs="Times New Roman"/>
          <w:sz w:val="24"/>
          <w:szCs w:val="24"/>
          <w:shd w:val="clear" w:color="auto" w:fill="FFFFFF"/>
        </w:rPr>
        <w:t>right to protect residential customers.</w:t>
      </w:r>
      <w:r w:rsidR="00A879EC">
        <w:rPr>
          <w:rStyle w:val="FootnoteReference"/>
          <w:rFonts w:ascii="Times New Roman" w:hAnsi="Times New Roman" w:cs="Times New Roman"/>
          <w:sz w:val="24"/>
          <w:szCs w:val="24"/>
          <w:shd w:val="clear" w:color="auto" w:fill="FFFFFF"/>
        </w:rPr>
        <w:footnoteReference w:id="11"/>
      </w:r>
      <w:r w:rsidR="00A879EC">
        <w:rPr>
          <w:rFonts w:ascii="Times New Roman" w:hAnsi="Times New Roman" w:cs="Times New Roman"/>
          <w:sz w:val="24"/>
          <w:szCs w:val="24"/>
          <w:shd w:val="clear" w:color="auto" w:fill="FFFFFF"/>
        </w:rPr>
        <w:t xml:space="preserve">  </w:t>
      </w:r>
      <w:r w:rsidR="00A879EC" w:rsidRPr="00CD46EC">
        <w:rPr>
          <w:rFonts w:ascii="Times New Roman" w:hAnsi="Times New Roman" w:cs="Times New Roman"/>
          <w:sz w:val="24"/>
          <w:szCs w:val="24"/>
          <w:shd w:val="clear" w:color="auto" w:fill="FFFFFF"/>
        </w:rPr>
        <w:t xml:space="preserve">OCC initiated this </w:t>
      </w:r>
      <w:r w:rsidR="00BD6B92">
        <w:rPr>
          <w:rFonts w:ascii="Times New Roman" w:hAnsi="Times New Roman" w:cs="Times New Roman"/>
          <w:sz w:val="24"/>
          <w:szCs w:val="24"/>
          <w:shd w:val="clear" w:color="auto" w:fill="FFFFFF"/>
        </w:rPr>
        <w:t>C</w:t>
      </w:r>
      <w:r w:rsidR="00A879EC" w:rsidRPr="00CD46EC">
        <w:rPr>
          <w:rFonts w:ascii="Times New Roman" w:hAnsi="Times New Roman" w:cs="Times New Roman"/>
          <w:sz w:val="24"/>
          <w:szCs w:val="24"/>
          <w:shd w:val="clear" w:color="auto" w:fill="FFFFFF"/>
        </w:rPr>
        <w:t xml:space="preserve">omplaint to </w:t>
      </w:r>
      <w:r w:rsidR="00A879EC">
        <w:rPr>
          <w:rFonts w:ascii="Times New Roman" w:hAnsi="Times New Roman" w:cs="Times New Roman"/>
          <w:sz w:val="24"/>
          <w:szCs w:val="24"/>
          <w:shd w:val="clear" w:color="auto" w:fill="FFFFFF"/>
        </w:rPr>
        <w:lastRenderedPageBreak/>
        <w:t>protect</w:t>
      </w:r>
      <w:r w:rsidR="00A879EC" w:rsidRPr="00CD46EC">
        <w:rPr>
          <w:rFonts w:ascii="Times New Roman" w:hAnsi="Times New Roman" w:cs="Times New Roman"/>
          <w:sz w:val="24"/>
          <w:szCs w:val="24"/>
          <w:shd w:val="clear" w:color="auto" w:fill="FFFFFF"/>
        </w:rPr>
        <w:t xml:space="preserve"> residential customers in AEP Ohio’s service territory</w:t>
      </w:r>
      <w:r w:rsidR="00A879EC">
        <w:rPr>
          <w:rFonts w:ascii="Times New Roman" w:hAnsi="Times New Roman" w:cs="Times New Roman"/>
          <w:sz w:val="24"/>
          <w:szCs w:val="24"/>
          <w:shd w:val="clear" w:color="auto" w:fill="FFFFFF"/>
        </w:rPr>
        <w:t xml:space="preserve"> from the harm that is occurring and to prevent future submetering situations from being implemented.  As detailed in the </w:t>
      </w:r>
      <w:r w:rsidR="00B44247">
        <w:rPr>
          <w:rFonts w:ascii="Times New Roman" w:hAnsi="Times New Roman" w:cs="Times New Roman"/>
          <w:sz w:val="24"/>
          <w:szCs w:val="24"/>
          <w:shd w:val="clear" w:color="auto" w:fill="FFFFFF"/>
        </w:rPr>
        <w:t>C</w:t>
      </w:r>
      <w:r w:rsidR="00A879EC">
        <w:rPr>
          <w:rFonts w:ascii="Times New Roman" w:hAnsi="Times New Roman" w:cs="Times New Roman"/>
          <w:sz w:val="24"/>
          <w:szCs w:val="24"/>
          <w:shd w:val="clear" w:color="auto" w:fill="FFFFFF"/>
        </w:rPr>
        <w:t>omplaint, t</w:t>
      </w:r>
      <w:r w:rsidR="00A879EC" w:rsidRPr="00CD46EC">
        <w:rPr>
          <w:rFonts w:ascii="Times New Roman" w:hAnsi="Times New Roman" w:cs="Times New Roman"/>
          <w:sz w:val="24"/>
          <w:szCs w:val="24"/>
          <w:shd w:val="clear" w:color="auto" w:fill="FFFFFF"/>
        </w:rPr>
        <w:t>hese customers are not afforded the same set of protections afforded to AEP Ohio’s distribution customers.</w:t>
      </w:r>
      <w:r w:rsidR="00A879EC">
        <w:rPr>
          <w:rStyle w:val="FootnoteReference"/>
          <w:rFonts w:ascii="Times New Roman" w:hAnsi="Times New Roman" w:cs="Times New Roman"/>
          <w:sz w:val="24"/>
          <w:szCs w:val="24"/>
          <w:shd w:val="clear" w:color="auto" w:fill="FFFFFF"/>
        </w:rPr>
        <w:footnoteReference w:id="12"/>
      </w:r>
    </w:p>
    <w:p w:rsidR="00CF3D99" w:rsidRDefault="00A879EC" w:rsidP="00A879EC">
      <w:pPr>
        <w:autoSpaceDE w:val="0"/>
        <w:autoSpaceDN w:val="0"/>
        <w:spacing w:after="0" w:line="480" w:lineRule="auto"/>
        <w:ind w:firstLine="720"/>
        <w:rPr>
          <w:rFonts w:ascii="Times New Roman" w:eastAsia="Times New Roman" w:hAnsi="Times New Roman" w:cs="Times New Roman"/>
          <w:sz w:val="24"/>
          <w:szCs w:val="24"/>
        </w:rPr>
      </w:pPr>
      <w:r w:rsidRPr="00C83479">
        <w:rPr>
          <w:rFonts w:ascii="Times New Roman" w:hAnsi="Times New Roman"/>
          <w:sz w:val="24"/>
          <w:szCs w:val="24"/>
        </w:rPr>
        <w:t>All residential customers, including those who are submetered or subject to reselling</w:t>
      </w:r>
      <w:r>
        <w:rPr>
          <w:rFonts w:ascii="Times New Roman" w:hAnsi="Times New Roman"/>
          <w:sz w:val="24"/>
          <w:szCs w:val="24"/>
        </w:rPr>
        <w:t xml:space="preserve"> of utility service</w:t>
      </w:r>
      <w:r w:rsidRPr="00C83479">
        <w:rPr>
          <w:rFonts w:ascii="Times New Roman" w:hAnsi="Times New Roman"/>
          <w:sz w:val="24"/>
          <w:szCs w:val="24"/>
        </w:rPr>
        <w:t>, are deserving of all protections afforded to customers that have direct relationships with public utilities.</w:t>
      </w:r>
      <w:r>
        <w:rPr>
          <w:rFonts w:ascii="Times New Roman" w:hAnsi="Times New Roman"/>
          <w:sz w:val="24"/>
          <w:szCs w:val="24"/>
        </w:rPr>
        <w:t xml:space="preserve">  The practice of reselling, especially in the context of </w:t>
      </w:r>
      <w:r>
        <w:rPr>
          <w:rFonts w:ascii="Times New Roman" w:eastAsia="Times New Roman" w:hAnsi="Times New Roman" w:cs="Times New Roman"/>
          <w:sz w:val="24"/>
          <w:szCs w:val="24"/>
        </w:rPr>
        <w:t>s</w:t>
      </w:r>
      <w:r w:rsidRPr="00C83479">
        <w:rPr>
          <w:rFonts w:ascii="Times New Roman" w:eastAsia="Times New Roman" w:hAnsi="Times New Roman" w:cs="Times New Roman"/>
          <w:sz w:val="24"/>
          <w:szCs w:val="24"/>
        </w:rPr>
        <w:t>ubmetering</w:t>
      </w:r>
      <w:r>
        <w:rPr>
          <w:rFonts w:ascii="Times New Roman" w:eastAsia="Times New Roman" w:hAnsi="Times New Roman" w:cs="Times New Roman"/>
          <w:sz w:val="24"/>
          <w:szCs w:val="24"/>
        </w:rPr>
        <w:t>, denies</w:t>
      </w:r>
      <w:r w:rsidRPr="00C83479">
        <w:rPr>
          <w:rFonts w:ascii="Times New Roman" w:eastAsia="Times New Roman" w:hAnsi="Times New Roman" w:cs="Times New Roman"/>
          <w:sz w:val="24"/>
          <w:szCs w:val="24"/>
        </w:rPr>
        <w:t xml:space="preserve"> residential customers the ability to shop for competitive generation supply, denies customers critical consumer protections of rate regulation, subjects customers to higher and unknown rates, denies customers other consumer protections embedded in the PUCO’s rules and Ohio law, and could raise reliability concerns.</w:t>
      </w:r>
      <w:r w:rsidRPr="00C83479">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t>
      </w:r>
    </w:p>
    <w:p w:rsidR="003C0912" w:rsidRDefault="003C0912" w:rsidP="003C0912">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OAA/ICSC req</w:t>
      </w:r>
      <w:r w:rsidR="00B44247">
        <w:rPr>
          <w:rFonts w:ascii="Times New Roman" w:eastAsia="Times New Roman" w:hAnsi="Times New Roman" w:cs="Times New Roman"/>
          <w:sz w:val="24"/>
          <w:szCs w:val="24"/>
        </w:rPr>
        <w:t>uests that the PUCO hold OCC’s C</w:t>
      </w:r>
      <w:r>
        <w:rPr>
          <w:rFonts w:ascii="Times New Roman" w:eastAsia="Times New Roman" w:hAnsi="Times New Roman" w:cs="Times New Roman"/>
          <w:sz w:val="24"/>
          <w:szCs w:val="24"/>
        </w:rPr>
        <w:t xml:space="preserve">omplaint filed on behalf of residential consumers against AEP Ohio in abeyance until the PUCO investigates </w:t>
      </w:r>
      <w:r w:rsidR="000B7A13">
        <w:rPr>
          <w:rFonts w:ascii="Times New Roman" w:eastAsia="Times New Roman" w:hAnsi="Times New Roman" w:cs="Times New Roman"/>
          <w:sz w:val="24"/>
          <w:szCs w:val="24"/>
        </w:rPr>
        <w:t xml:space="preserve">whether it has jurisdiction over </w:t>
      </w:r>
      <w:r>
        <w:rPr>
          <w:rFonts w:ascii="Times New Roman" w:eastAsia="Times New Roman" w:hAnsi="Times New Roman" w:cs="Times New Roman"/>
          <w:sz w:val="24"/>
          <w:szCs w:val="24"/>
        </w:rPr>
        <w:t>submetering entities throughout Ohio in a separate docket (“Submetering COI”).</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The focus of that docket is to determine whether submeterers’ activities fall under the PUCO’s supervisory jurisdiction.  That jurisdictional question is not an issue OCC has requested the PUCO decide in its Complaint case.  The issues presented in the Submetering COI docket are far broader than the limited issues OCC presented in its Complaint.  As noted by OAA/ICSC,</w:t>
      </w:r>
      <w:r>
        <w:rPr>
          <w:rStyle w:val="FootnoteReferenc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stakeholders representing a broad and diverse array of interests participated in the Submetering COI, including OAA/ICSC.  OAA/ICSC filed comments in the Submetering COI.  The PUCO can take its (and others’) interests into account as it decides how best to move forward with that investigation in the </w:t>
      </w:r>
      <w:r w:rsidR="000B7A13">
        <w:rPr>
          <w:rFonts w:ascii="Times New Roman" w:eastAsia="Times New Roman" w:hAnsi="Times New Roman" w:cs="Times New Roman"/>
          <w:sz w:val="24"/>
          <w:szCs w:val="24"/>
        </w:rPr>
        <w:t>Submetering COI</w:t>
      </w:r>
      <w:r>
        <w:rPr>
          <w:rFonts w:ascii="Times New Roman" w:eastAsia="Times New Roman" w:hAnsi="Times New Roman" w:cs="Times New Roman"/>
          <w:sz w:val="24"/>
          <w:szCs w:val="24"/>
        </w:rPr>
        <w:t>.</w:t>
      </w:r>
    </w:p>
    <w:p w:rsidR="000D490A" w:rsidRPr="00CD46EC" w:rsidRDefault="003C0912" w:rsidP="000D490A">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OCC explained in its memo contra the motions to intervene,</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OAA/ICSC presence in this case will </w:t>
      </w:r>
      <w:r w:rsidR="004E294C">
        <w:rPr>
          <w:rFonts w:ascii="Times New Roman" w:eastAsia="Times New Roman" w:hAnsi="Times New Roman" w:cs="Times New Roman"/>
          <w:sz w:val="24"/>
          <w:szCs w:val="24"/>
        </w:rPr>
        <w:t xml:space="preserve">unduly delay and prolong this proceeding and </w:t>
      </w:r>
      <w:r>
        <w:rPr>
          <w:rFonts w:ascii="Times New Roman" w:eastAsia="Times New Roman" w:hAnsi="Times New Roman" w:cs="Times New Roman"/>
          <w:sz w:val="24"/>
          <w:szCs w:val="24"/>
        </w:rPr>
        <w:t>open up OCC’s Complaint proceeding to reargue the same issues covered in the Submetering COI</w:t>
      </w:r>
      <w:r w:rsidR="004E294C">
        <w:rPr>
          <w:rFonts w:ascii="Times New Roman" w:eastAsia="Times New Roman" w:hAnsi="Times New Roman" w:cs="Times New Roman"/>
          <w:sz w:val="24"/>
          <w:szCs w:val="24"/>
        </w:rPr>
        <w:t>.</w:t>
      </w:r>
      <w:r w:rsidR="00641818">
        <w:rPr>
          <w:rStyle w:val="FootnoteReference"/>
          <w:rFonts w:ascii="Times New Roman" w:eastAsia="Times New Roman" w:hAnsi="Times New Roman" w:cs="Times New Roman"/>
          <w:sz w:val="24"/>
          <w:szCs w:val="24"/>
        </w:rPr>
        <w:footnoteReference w:id="17"/>
      </w:r>
      <w:r w:rsidR="004E294C">
        <w:rPr>
          <w:rFonts w:ascii="Times New Roman" w:eastAsia="Times New Roman" w:hAnsi="Times New Roman" w:cs="Times New Roman"/>
          <w:sz w:val="24"/>
          <w:szCs w:val="24"/>
        </w:rPr>
        <w:t xml:space="preserve">  OAA/ICSC’s motion </w:t>
      </w:r>
      <w:r w:rsidR="00CC7F8C">
        <w:rPr>
          <w:rFonts w:ascii="Times New Roman" w:eastAsia="Times New Roman" w:hAnsi="Times New Roman" w:cs="Times New Roman"/>
          <w:sz w:val="24"/>
          <w:szCs w:val="24"/>
        </w:rPr>
        <w:t xml:space="preserve">solidifies OCC’s concern.  </w:t>
      </w:r>
      <w:r w:rsidR="009B4347">
        <w:rPr>
          <w:rFonts w:ascii="Times New Roman" w:eastAsia="Times New Roman" w:hAnsi="Times New Roman" w:cs="Times New Roman"/>
          <w:sz w:val="24"/>
          <w:szCs w:val="24"/>
        </w:rPr>
        <w:t>The issues raised in the s</w:t>
      </w:r>
      <w:r w:rsidR="000D490A">
        <w:rPr>
          <w:rFonts w:ascii="Times New Roman" w:eastAsia="Times New Roman" w:hAnsi="Times New Roman" w:cs="Times New Roman"/>
          <w:sz w:val="24"/>
          <w:szCs w:val="24"/>
        </w:rPr>
        <w:t>ubmetering Complaint</w:t>
      </w:r>
      <w:r w:rsidR="005B3468">
        <w:rPr>
          <w:rFonts w:ascii="Times New Roman" w:eastAsia="Times New Roman" w:hAnsi="Times New Roman" w:cs="Times New Roman"/>
          <w:sz w:val="24"/>
          <w:szCs w:val="24"/>
        </w:rPr>
        <w:t>, however,</w:t>
      </w:r>
      <w:r w:rsidR="000D490A">
        <w:rPr>
          <w:rFonts w:ascii="Times New Roman" w:eastAsia="Times New Roman" w:hAnsi="Times New Roman" w:cs="Times New Roman"/>
          <w:sz w:val="24"/>
          <w:szCs w:val="24"/>
        </w:rPr>
        <w:t xml:space="preserve"> exceed the scope of those raised in OCC’s Complaint case.  OCC’s properly filed Complaint to </w:t>
      </w:r>
      <w:r w:rsidR="000D490A">
        <w:rPr>
          <w:rFonts w:ascii="Times New Roman" w:hAnsi="Times New Roman" w:cs="Times New Roman"/>
          <w:sz w:val="24"/>
          <w:szCs w:val="24"/>
          <w:shd w:val="clear" w:color="auto" w:fill="FFFFFF"/>
        </w:rPr>
        <w:t>protect</w:t>
      </w:r>
      <w:r w:rsidR="000D490A" w:rsidRPr="00CD46EC">
        <w:rPr>
          <w:rFonts w:ascii="Times New Roman" w:hAnsi="Times New Roman" w:cs="Times New Roman"/>
          <w:sz w:val="24"/>
          <w:szCs w:val="24"/>
          <w:shd w:val="clear" w:color="auto" w:fill="FFFFFF"/>
        </w:rPr>
        <w:t xml:space="preserve"> residential customers in AEP Ohio’s service territory</w:t>
      </w:r>
      <w:r w:rsidR="000D490A">
        <w:rPr>
          <w:rFonts w:ascii="Times New Roman" w:hAnsi="Times New Roman" w:cs="Times New Roman"/>
          <w:sz w:val="24"/>
          <w:szCs w:val="24"/>
          <w:shd w:val="clear" w:color="auto" w:fill="FFFFFF"/>
        </w:rPr>
        <w:t xml:space="preserve"> from the harm that is occurring should proceed as filed. </w:t>
      </w:r>
      <w:r w:rsidR="00641818">
        <w:rPr>
          <w:rFonts w:ascii="Times New Roman" w:hAnsi="Times New Roman" w:cs="Times New Roman"/>
          <w:sz w:val="24"/>
          <w:szCs w:val="24"/>
          <w:shd w:val="clear" w:color="auto" w:fill="FFFFFF"/>
        </w:rPr>
        <w:t>Residential c</w:t>
      </w:r>
      <w:r w:rsidR="000D490A" w:rsidRPr="00CD46EC">
        <w:rPr>
          <w:rFonts w:ascii="Times New Roman" w:hAnsi="Times New Roman" w:cs="Times New Roman"/>
          <w:sz w:val="24"/>
          <w:szCs w:val="24"/>
          <w:shd w:val="clear" w:color="auto" w:fill="FFFFFF"/>
        </w:rPr>
        <w:t>ustomers</w:t>
      </w:r>
      <w:r w:rsidR="00641818">
        <w:rPr>
          <w:rFonts w:ascii="Times New Roman" w:hAnsi="Times New Roman" w:cs="Times New Roman"/>
          <w:sz w:val="24"/>
          <w:szCs w:val="24"/>
          <w:shd w:val="clear" w:color="auto" w:fill="FFFFFF"/>
        </w:rPr>
        <w:t xml:space="preserve"> in submetering communities </w:t>
      </w:r>
      <w:r w:rsidR="000D490A" w:rsidRPr="00CD46EC">
        <w:rPr>
          <w:rFonts w:ascii="Times New Roman" w:hAnsi="Times New Roman" w:cs="Times New Roman"/>
          <w:sz w:val="24"/>
          <w:szCs w:val="24"/>
          <w:shd w:val="clear" w:color="auto" w:fill="FFFFFF"/>
        </w:rPr>
        <w:t>are not afforded the same set of protections afforded to AEP Ohio’s distribution customers.</w:t>
      </w:r>
      <w:r w:rsidR="000D490A">
        <w:rPr>
          <w:rStyle w:val="FootnoteReference"/>
          <w:rFonts w:ascii="Times New Roman" w:hAnsi="Times New Roman" w:cs="Times New Roman"/>
          <w:sz w:val="24"/>
          <w:szCs w:val="24"/>
          <w:shd w:val="clear" w:color="auto" w:fill="FFFFFF"/>
        </w:rPr>
        <w:footnoteReference w:id="18"/>
      </w:r>
      <w:r w:rsidR="00641818">
        <w:rPr>
          <w:rFonts w:ascii="Times New Roman" w:hAnsi="Times New Roman" w:cs="Times New Roman"/>
          <w:sz w:val="24"/>
          <w:szCs w:val="24"/>
          <w:shd w:val="clear" w:color="auto" w:fill="FFFFFF"/>
        </w:rPr>
        <w:t xml:space="preserve">  The PUCO should act now to rectify this circumstance and restore consumer protections.</w:t>
      </w:r>
    </w:p>
    <w:p w:rsidR="00A879EC" w:rsidRDefault="00DD4DFA" w:rsidP="00DD4DFA">
      <w:pPr>
        <w:pStyle w:val="Heading2"/>
        <w:ind w:right="720"/>
        <w:rPr>
          <w:rFonts w:eastAsia="Times New Roman"/>
        </w:rPr>
      </w:pPr>
      <w:r>
        <w:rPr>
          <w:rFonts w:eastAsia="Times New Roman"/>
        </w:rPr>
        <w:t>B.</w:t>
      </w:r>
      <w:r>
        <w:rPr>
          <w:rFonts w:eastAsia="Times New Roman"/>
        </w:rPr>
        <w:tab/>
      </w:r>
      <w:r w:rsidR="00B44247" w:rsidRPr="00B44247">
        <w:rPr>
          <w:rFonts w:eastAsia="Times New Roman"/>
        </w:rPr>
        <w:t xml:space="preserve">Claims of </w:t>
      </w:r>
      <w:r w:rsidR="00652D74">
        <w:rPr>
          <w:rFonts w:eastAsia="Times New Roman"/>
        </w:rPr>
        <w:t>u</w:t>
      </w:r>
      <w:r w:rsidR="00B44247" w:rsidRPr="00B44247">
        <w:rPr>
          <w:rFonts w:eastAsia="Times New Roman"/>
        </w:rPr>
        <w:t xml:space="preserve">ndue </w:t>
      </w:r>
      <w:r w:rsidR="00652D74">
        <w:rPr>
          <w:rFonts w:eastAsia="Times New Roman"/>
        </w:rPr>
        <w:t>b</w:t>
      </w:r>
      <w:r w:rsidR="00B44247" w:rsidRPr="00B44247">
        <w:rPr>
          <w:rFonts w:eastAsia="Times New Roman"/>
        </w:rPr>
        <w:t xml:space="preserve">urden of </w:t>
      </w:r>
      <w:r w:rsidR="00652D74">
        <w:rPr>
          <w:rFonts w:eastAsia="Times New Roman"/>
        </w:rPr>
        <w:t>p</w:t>
      </w:r>
      <w:r w:rsidR="00B44247" w:rsidRPr="00B44247">
        <w:rPr>
          <w:rFonts w:eastAsia="Times New Roman"/>
        </w:rPr>
        <w:t xml:space="preserve">arallel </w:t>
      </w:r>
      <w:r w:rsidR="00652D74">
        <w:rPr>
          <w:rFonts w:eastAsia="Times New Roman"/>
        </w:rPr>
        <w:t>p</w:t>
      </w:r>
      <w:r w:rsidR="00B44247" w:rsidRPr="00B44247">
        <w:rPr>
          <w:rFonts w:eastAsia="Times New Roman"/>
        </w:rPr>
        <w:t xml:space="preserve">roceedings are </w:t>
      </w:r>
      <w:r w:rsidR="00652D74">
        <w:rPr>
          <w:rFonts w:eastAsia="Times New Roman"/>
        </w:rPr>
        <w:t>self-imposed and should be rejected</w:t>
      </w:r>
      <w:r w:rsidR="00B44247" w:rsidRPr="00B44247">
        <w:rPr>
          <w:rFonts w:eastAsia="Times New Roman"/>
        </w:rPr>
        <w:t>.</w:t>
      </w:r>
    </w:p>
    <w:p w:rsidR="005B3468" w:rsidRPr="00425FF3" w:rsidRDefault="005B3468" w:rsidP="003D3269">
      <w:pPr>
        <w:widowControl w:val="0"/>
        <w:autoSpaceDE w:val="0"/>
        <w:autoSpaceDN w:val="0"/>
        <w:adjustRightInd w:val="0"/>
        <w:spacing w:after="0" w:line="480" w:lineRule="auto"/>
        <w:ind w:firstLine="720"/>
        <w:rPr>
          <w:rFonts w:ascii="Times New Roman" w:hAnsi="Times New Roman"/>
          <w:sz w:val="24"/>
          <w:szCs w:val="24"/>
        </w:rPr>
      </w:pPr>
      <w:r>
        <w:rPr>
          <w:rFonts w:ascii="Times New Roman" w:eastAsia="Times New Roman" w:hAnsi="Times New Roman" w:cs="Times New Roman"/>
          <w:sz w:val="24"/>
          <w:szCs w:val="24"/>
        </w:rPr>
        <w:t>As OCC explained in its memo contra the motions to intervene,</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OAA/ICSC (and others) participation in OCC’s Complaint case is</w:t>
      </w:r>
      <w:r w:rsidRPr="005B34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unlawful as OAA/ICSC cannot satisfy the controlling statutory and regulatory provisions or the PUCO’s longstanding precedent.</w:t>
      </w:r>
      <w:r w:rsidRPr="005B3468">
        <w:rPr>
          <w:rFonts w:ascii="Times New Roman" w:eastAsia="Times New Roman" w:hAnsi="Times New Roman" w:cs="Times New Roman"/>
          <w:sz w:val="24"/>
          <w:szCs w:val="24"/>
        </w:rPr>
        <w:t xml:space="preserve"> </w:t>
      </w:r>
      <w:r w:rsidR="00BD6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Given that</w:t>
      </w:r>
      <w:r w:rsidR="003D3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OAA/ICSC avers that it represents the interests of residential and commercial landlords,</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it does not have standing to participate in OCC’s Complaint case affecting residential consumers.</w:t>
      </w:r>
      <w:r w:rsidR="003D3269" w:rsidRPr="003D3269">
        <w:rPr>
          <w:rFonts w:ascii="Times New Roman" w:eastAsia="Times New Roman" w:hAnsi="Times New Roman" w:cs="Times New Roman"/>
          <w:sz w:val="24"/>
          <w:szCs w:val="24"/>
        </w:rPr>
        <w:t xml:space="preserve"> </w:t>
      </w:r>
      <w:r w:rsidR="003D3269">
        <w:rPr>
          <w:rFonts w:ascii="Times New Roman" w:eastAsia="Times New Roman" w:hAnsi="Times New Roman" w:cs="Times New Roman"/>
          <w:sz w:val="24"/>
          <w:szCs w:val="24"/>
        </w:rPr>
        <w:t xml:space="preserve"> OAA/ICSC does not have a “real and direct interest” in the Complaint’s factual allegations and precedent alone is insufficient for </w:t>
      </w:r>
      <w:r w:rsidR="002959F3">
        <w:rPr>
          <w:rFonts w:ascii="Times New Roman" w:eastAsia="Times New Roman" w:hAnsi="Times New Roman" w:cs="Times New Roman"/>
          <w:sz w:val="24"/>
          <w:szCs w:val="24"/>
        </w:rPr>
        <w:t>allowing a party to participate in the proceeding</w:t>
      </w:r>
      <w:r w:rsidR="003D3269">
        <w:rPr>
          <w:rFonts w:ascii="Times New Roman" w:eastAsia="Times New Roman" w:hAnsi="Times New Roman" w:cs="Times New Roman"/>
          <w:sz w:val="24"/>
          <w:szCs w:val="24"/>
        </w:rPr>
        <w:t>.</w:t>
      </w:r>
      <w:r w:rsidR="003D3269">
        <w:rPr>
          <w:rStyle w:val="FootnoteReference"/>
          <w:rFonts w:ascii="Times New Roman" w:eastAsia="Times New Roman" w:hAnsi="Times New Roman" w:cs="Times New Roman"/>
          <w:sz w:val="24"/>
          <w:szCs w:val="24"/>
        </w:rPr>
        <w:footnoteReference w:id="21"/>
      </w:r>
      <w:r w:rsidR="002959F3">
        <w:rPr>
          <w:rFonts w:ascii="Times New Roman" w:eastAsia="Times New Roman" w:hAnsi="Times New Roman" w:cs="Times New Roman"/>
          <w:sz w:val="24"/>
          <w:szCs w:val="24"/>
        </w:rPr>
        <w:t xml:space="preserve"> Additionally, an intervenor</w:t>
      </w:r>
      <w:r w:rsidR="003D3269">
        <w:rPr>
          <w:rFonts w:ascii="Times New Roman" w:eastAsia="Times New Roman" w:hAnsi="Times New Roman" w:cs="Times New Roman"/>
          <w:sz w:val="24"/>
          <w:szCs w:val="24"/>
        </w:rPr>
        <w:t xml:space="preserve"> </w:t>
      </w:r>
      <w:r w:rsidR="002959F3">
        <w:rPr>
          <w:rFonts w:ascii="Times New Roman" w:eastAsia="Times New Roman" w:hAnsi="Times New Roman" w:cs="Times New Roman"/>
          <w:sz w:val="24"/>
          <w:szCs w:val="24"/>
        </w:rPr>
        <w:t xml:space="preserve">must refrain from expanding the issues beyond those stated in the </w:t>
      </w:r>
      <w:r w:rsidR="000B7A13">
        <w:rPr>
          <w:rFonts w:ascii="Times New Roman" w:eastAsia="Times New Roman" w:hAnsi="Times New Roman" w:cs="Times New Roman"/>
          <w:sz w:val="24"/>
          <w:szCs w:val="24"/>
        </w:rPr>
        <w:t>C</w:t>
      </w:r>
      <w:r w:rsidR="002959F3">
        <w:rPr>
          <w:rFonts w:ascii="Times New Roman" w:eastAsia="Times New Roman" w:hAnsi="Times New Roman" w:cs="Times New Roman"/>
          <w:sz w:val="24"/>
          <w:szCs w:val="24"/>
        </w:rPr>
        <w:t xml:space="preserve">omplaint and any attempts to broaden </w:t>
      </w:r>
      <w:r w:rsidR="000B7A13">
        <w:rPr>
          <w:rFonts w:ascii="Times New Roman" w:eastAsia="Times New Roman" w:hAnsi="Times New Roman" w:cs="Times New Roman"/>
          <w:sz w:val="24"/>
          <w:szCs w:val="24"/>
        </w:rPr>
        <w:t>the</w:t>
      </w:r>
      <w:r w:rsidR="002959F3">
        <w:rPr>
          <w:rFonts w:ascii="Times New Roman" w:eastAsia="Times New Roman" w:hAnsi="Times New Roman" w:cs="Times New Roman"/>
          <w:sz w:val="24"/>
          <w:szCs w:val="24"/>
        </w:rPr>
        <w:t xml:space="preserve"> </w:t>
      </w:r>
      <w:r w:rsidR="000B7A13">
        <w:rPr>
          <w:rFonts w:ascii="Times New Roman" w:eastAsia="Times New Roman" w:hAnsi="Times New Roman" w:cs="Times New Roman"/>
          <w:sz w:val="24"/>
          <w:szCs w:val="24"/>
        </w:rPr>
        <w:t>C</w:t>
      </w:r>
      <w:r w:rsidR="002959F3">
        <w:rPr>
          <w:rFonts w:ascii="Times New Roman" w:eastAsia="Times New Roman" w:hAnsi="Times New Roman" w:cs="Times New Roman"/>
          <w:sz w:val="24"/>
          <w:szCs w:val="24"/>
        </w:rPr>
        <w:t>omplaint’s scope, must be rejected.</w:t>
      </w:r>
      <w:r w:rsidR="002959F3">
        <w:rPr>
          <w:rStyle w:val="FootnoteReference"/>
          <w:rFonts w:ascii="Times New Roman" w:eastAsia="Times New Roman" w:hAnsi="Times New Roman" w:cs="Times New Roman"/>
          <w:sz w:val="24"/>
          <w:szCs w:val="24"/>
        </w:rPr>
        <w:footnoteReference w:id="22"/>
      </w:r>
      <w:r w:rsidR="002959F3">
        <w:rPr>
          <w:rFonts w:ascii="Times New Roman" w:eastAsia="Times New Roman" w:hAnsi="Times New Roman" w:cs="Times New Roman"/>
          <w:sz w:val="24"/>
          <w:szCs w:val="24"/>
        </w:rPr>
        <w:t xml:space="preserve"> </w:t>
      </w:r>
      <w:r w:rsidR="003D3269">
        <w:rPr>
          <w:rFonts w:ascii="Times New Roman" w:eastAsia="Times New Roman" w:hAnsi="Times New Roman" w:cs="Times New Roman"/>
          <w:sz w:val="24"/>
          <w:szCs w:val="24"/>
        </w:rPr>
        <w:t xml:space="preserve"> Accordingly, any claims of undue burden and the need to </w:t>
      </w:r>
      <w:r w:rsidRPr="00BD6B92">
        <w:rPr>
          <w:rFonts w:ascii="Times New Roman" w:hAnsi="Times New Roman"/>
          <w:sz w:val="24"/>
          <w:szCs w:val="24"/>
        </w:rPr>
        <w:t>conserv</w:t>
      </w:r>
      <w:r w:rsidR="003D3269" w:rsidRPr="00BD6B92">
        <w:rPr>
          <w:rFonts w:ascii="Times New Roman" w:hAnsi="Times New Roman"/>
          <w:sz w:val="24"/>
          <w:szCs w:val="24"/>
        </w:rPr>
        <w:t>e</w:t>
      </w:r>
      <w:r w:rsidRPr="00BD6B92">
        <w:rPr>
          <w:rFonts w:ascii="Times New Roman" w:hAnsi="Times New Roman"/>
          <w:sz w:val="24"/>
          <w:szCs w:val="24"/>
        </w:rPr>
        <w:t xml:space="preserve"> resources</w:t>
      </w:r>
      <w:r w:rsidR="003D3269" w:rsidRPr="00BD6B92">
        <w:rPr>
          <w:rFonts w:ascii="Times New Roman" w:hAnsi="Times New Roman"/>
          <w:sz w:val="24"/>
          <w:szCs w:val="24"/>
        </w:rPr>
        <w:t xml:space="preserve"> are without merit as</w:t>
      </w:r>
      <w:r w:rsidR="003D3269">
        <w:rPr>
          <w:rFonts w:ascii="Times New Roman" w:hAnsi="Times New Roman"/>
          <w:color w:val="1F497D"/>
          <w:sz w:val="24"/>
          <w:szCs w:val="24"/>
        </w:rPr>
        <w:t xml:space="preserve"> </w:t>
      </w:r>
      <w:r w:rsidR="003D3269" w:rsidRPr="00425FF3">
        <w:rPr>
          <w:rFonts w:ascii="Times New Roman" w:hAnsi="Times New Roman"/>
          <w:sz w:val="24"/>
          <w:szCs w:val="24"/>
        </w:rPr>
        <w:t>OAA/ICSC does not have a valid interest in the scope of the Complaint and, therefore, cannot participate in the Complaint.</w:t>
      </w:r>
    </w:p>
    <w:p w:rsidR="00425FF3" w:rsidRDefault="003D3269" w:rsidP="003D326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425FF3">
        <w:rPr>
          <w:rFonts w:ascii="Times New Roman" w:hAnsi="Times New Roman"/>
          <w:sz w:val="24"/>
          <w:szCs w:val="24"/>
        </w:rPr>
        <w:t>Contrary to OAA/ICSC,</w:t>
      </w:r>
      <w:r w:rsidR="002959F3" w:rsidRPr="00425FF3">
        <w:rPr>
          <w:rStyle w:val="FootnoteReference"/>
          <w:rFonts w:ascii="Times New Roman" w:hAnsi="Times New Roman"/>
          <w:sz w:val="24"/>
          <w:szCs w:val="24"/>
        </w:rPr>
        <w:footnoteReference w:id="23"/>
      </w:r>
      <w:r w:rsidRPr="00425FF3">
        <w:rPr>
          <w:rFonts w:ascii="Times New Roman" w:hAnsi="Times New Roman"/>
          <w:sz w:val="24"/>
          <w:szCs w:val="24"/>
        </w:rPr>
        <w:t xml:space="preserve"> the Complaint case is not duplicative of the Submetering COI.  As explained previously, OCC’s Complaint is narrowly tailored to the allegations raised in the Complaint</w:t>
      </w:r>
      <w:r w:rsidR="00425FF3" w:rsidRPr="00425FF3">
        <w:rPr>
          <w:rFonts w:ascii="Times New Roman" w:hAnsi="Times New Roman"/>
          <w:sz w:val="24"/>
          <w:szCs w:val="24"/>
        </w:rPr>
        <w:t>,</w:t>
      </w:r>
      <w:r w:rsidR="00425FF3" w:rsidRPr="00425FF3">
        <w:rPr>
          <w:rStyle w:val="FootnoteReference"/>
          <w:rFonts w:ascii="Times New Roman" w:hAnsi="Times New Roman"/>
          <w:sz w:val="24"/>
          <w:szCs w:val="24"/>
        </w:rPr>
        <w:footnoteReference w:id="24"/>
      </w:r>
      <w:r w:rsidRPr="00425FF3">
        <w:rPr>
          <w:rFonts w:ascii="Times New Roman" w:hAnsi="Times New Roman"/>
          <w:sz w:val="24"/>
          <w:szCs w:val="24"/>
        </w:rPr>
        <w:t xml:space="preserve"> and </w:t>
      </w:r>
      <w:r w:rsidR="002959F3" w:rsidRPr="00425FF3">
        <w:rPr>
          <w:rFonts w:ascii="Times New Roman" w:hAnsi="Times New Roman"/>
          <w:sz w:val="24"/>
          <w:szCs w:val="24"/>
        </w:rPr>
        <w:t>OAA/ICSC</w:t>
      </w:r>
      <w:r w:rsidR="00BD6B92">
        <w:rPr>
          <w:rFonts w:ascii="Times New Roman" w:hAnsi="Times New Roman"/>
          <w:sz w:val="24"/>
          <w:szCs w:val="24"/>
        </w:rPr>
        <w:t>’s</w:t>
      </w:r>
      <w:r w:rsidR="002959F3" w:rsidRPr="00425FF3">
        <w:rPr>
          <w:rFonts w:ascii="Times New Roman" w:hAnsi="Times New Roman"/>
          <w:sz w:val="24"/>
          <w:szCs w:val="24"/>
        </w:rPr>
        <w:t xml:space="preserve"> (and others) </w:t>
      </w:r>
      <w:r w:rsidRPr="00425FF3">
        <w:rPr>
          <w:rFonts w:ascii="Times New Roman" w:hAnsi="Times New Roman"/>
          <w:sz w:val="24"/>
          <w:szCs w:val="24"/>
        </w:rPr>
        <w:t xml:space="preserve">attempts to </w:t>
      </w:r>
      <w:r w:rsidR="002959F3" w:rsidRPr="00425FF3">
        <w:rPr>
          <w:rFonts w:ascii="Times New Roman" w:hAnsi="Times New Roman"/>
          <w:sz w:val="24"/>
          <w:szCs w:val="24"/>
        </w:rPr>
        <w:t xml:space="preserve">expand the proceeding to include those issues raised in the Submetering COI should be denied.  </w:t>
      </w:r>
      <w:r w:rsidR="00425FF3" w:rsidRPr="00425FF3">
        <w:rPr>
          <w:rFonts w:ascii="Times New Roman" w:hAnsi="Times New Roman"/>
          <w:sz w:val="24"/>
          <w:szCs w:val="24"/>
        </w:rPr>
        <w:t xml:space="preserve">OAA/ICSC </w:t>
      </w:r>
      <w:r w:rsidR="002959F3" w:rsidRPr="00425FF3">
        <w:rPr>
          <w:rFonts w:ascii="Times New Roman" w:hAnsi="Times New Roman"/>
          <w:sz w:val="24"/>
          <w:szCs w:val="24"/>
        </w:rPr>
        <w:t>first asks the PUCO to expand the scope of OCC’s Complaint to allow it to participate in the case and reargue the issues it raised in the Submetering COI, only to then claim that the proceedings are duplicative and a strain on resources.  OAA/ICSC asked to participate in both proceedings only to complain that its participat</w:t>
      </w:r>
      <w:r w:rsidR="00425FF3">
        <w:rPr>
          <w:rFonts w:ascii="Times New Roman" w:hAnsi="Times New Roman"/>
          <w:sz w:val="24"/>
          <w:szCs w:val="24"/>
        </w:rPr>
        <w:t>ion</w:t>
      </w:r>
      <w:r w:rsidR="002959F3" w:rsidRPr="00425FF3">
        <w:rPr>
          <w:rFonts w:ascii="Times New Roman" w:hAnsi="Times New Roman"/>
          <w:sz w:val="24"/>
          <w:szCs w:val="24"/>
        </w:rPr>
        <w:t xml:space="preserve"> in parallel proceedings is too much and relief</w:t>
      </w:r>
      <w:r w:rsidR="00425FF3">
        <w:rPr>
          <w:rFonts w:ascii="Times New Roman" w:hAnsi="Times New Roman"/>
          <w:sz w:val="24"/>
          <w:szCs w:val="24"/>
        </w:rPr>
        <w:t xml:space="preserve"> is needed</w:t>
      </w:r>
      <w:r w:rsidR="002959F3" w:rsidRPr="00425FF3">
        <w:rPr>
          <w:rFonts w:ascii="Times New Roman" w:hAnsi="Times New Roman"/>
          <w:sz w:val="24"/>
          <w:szCs w:val="24"/>
        </w:rPr>
        <w:t xml:space="preserve">.  </w:t>
      </w:r>
      <w:r>
        <w:rPr>
          <w:rFonts w:ascii="Times New Roman" w:hAnsi="Times New Roman"/>
          <w:bCs/>
          <w:sz w:val="24"/>
          <w:szCs w:val="24"/>
        </w:rPr>
        <w:t xml:space="preserve">OAA/ICSC should not be allowed to participate in </w:t>
      </w:r>
      <w:r w:rsidR="00425FF3">
        <w:rPr>
          <w:rFonts w:ascii="Times New Roman" w:hAnsi="Times New Roman"/>
          <w:bCs/>
          <w:sz w:val="24"/>
          <w:szCs w:val="24"/>
        </w:rPr>
        <w:t>OCC’s Complaint</w:t>
      </w:r>
      <w:r>
        <w:rPr>
          <w:rFonts w:ascii="Times New Roman" w:hAnsi="Times New Roman"/>
          <w:bCs/>
          <w:sz w:val="24"/>
          <w:szCs w:val="24"/>
        </w:rPr>
        <w:t xml:space="preserve">, and thus, </w:t>
      </w:r>
      <w:r w:rsidR="00425FF3">
        <w:rPr>
          <w:rFonts w:ascii="Times New Roman" w:hAnsi="Times New Roman"/>
          <w:bCs/>
          <w:sz w:val="24"/>
          <w:szCs w:val="24"/>
        </w:rPr>
        <w:t>there will be no undue burden on its resources</w:t>
      </w:r>
      <w:r>
        <w:rPr>
          <w:rFonts w:ascii="Times New Roman" w:hAnsi="Times New Roman"/>
          <w:bCs/>
          <w:sz w:val="24"/>
          <w:szCs w:val="24"/>
        </w:rPr>
        <w:t xml:space="preserve"> by participating in two cases that are on parallel paths.</w:t>
      </w:r>
      <w:r>
        <w:rPr>
          <w:rFonts w:ascii="Times New Roman" w:eastAsia="Times New Roman" w:hAnsi="Times New Roman" w:cs="Times New Roman"/>
          <w:sz w:val="24"/>
          <w:szCs w:val="24"/>
        </w:rPr>
        <w:t xml:space="preserve">  </w:t>
      </w:r>
    </w:p>
    <w:p w:rsidR="00DD4DFA" w:rsidRDefault="00425FF3" w:rsidP="00DD4DFA">
      <w:pPr>
        <w:spacing w:line="480" w:lineRule="auto"/>
        <w:ind w:firstLine="720"/>
        <w:rPr>
          <w:rFonts w:ascii="Times New Roman" w:hAnsi="Times New Roman"/>
          <w:bCs/>
          <w:sz w:val="24"/>
          <w:szCs w:val="24"/>
        </w:rPr>
      </w:pPr>
      <w:r>
        <w:rPr>
          <w:rFonts w:ascii="Times New Roman" w:eastAsia="Times New Roman" w:hAnsi="Times New Roman" w:cs="Times New Roman"/>
          <w:sz w:val="24"/>
          <w:szCs w:val="24"/>
        </w:rPr>
        <w:t xml:space="preserve">If OAA/ICSC is denied intervention, its request to delay the important Complaint </w:t>
      </w:r>
      <w:r w:rsidR="0057431A">
        <w:rPr>
          <w:rFonts w:ascii="Times New Roman" w:eastAsia="Times New Roman" w:hAnsi="Times New Roman" w:cs="Times New Roman"/>
          <w:sz w:val="24"/>
          <w:szCs w:val="24"/>
        </w:rPr>
        <w:t>filed to protect Ohioans is moot.  Nonetheless, a</w:t>
      </w:r>
      <w:r>
        <w:rPr>
          <w:rFonts w:ascii="Times New Roman" w:eastAsia="Times New Roman" w:hAnsi="Times New Roman" w:cs="Times New Roman"/>
          <w:sz w:val="24"/>
          <w:szCs w:val="24"/>
        </w:rPr>
        <w:t xml:space="preserve">ttempts by </w:t>
      </w:r>
      <w:r w:rsidRPr="00425FF3">
        <w:rPr>
          <w:rFonts w:ascii="Times New Roman" w:hAnsi="Times New Roman"/>
          <w:sz w:val="24"/>
          <w:szCs w:val="24"/>
        </w:rPr>
        <w:t>OAA</w:t>
      </w:r>
      <w:r>
        <w:rPr>
          <w:rFonts w:ascii="Times New Roman" w:hAnsi="Times New Roman"/>
          <w:sz w:val="24"/>
          <w:szCs w:val="24"/>
        </w:rPr>
        <w:t>/IC</w:t>
      </w:r>
      <w:r w:rsidR="0057431A">
        <w:rPr>
          <w:rFonts w:ascii="Times New Roman" w:hAnsi="Times New Roman"/>
          <w:sz w:val="24"/>
          <w:szCs w:val="24"/>
        </w:rPr>
        <w:t>S</w:t>
      </w:r>
      <w:r>
        <w:rPr>
          <w:rFonts w:ascii="Times New Roman" w:hAnsi="Times New Roman"/>
          <w:sz w:val="24"/>
          <w:szCs w:val="24"/>
        </w:rPr>
        <w:t>C to</w:t>
      </w:r>
      <w:r>
        <w:rPr>
          <w:rFonts w:ascii="Times New Roman" w:hAnsi="Times New Roman"/>
          <w:color w:val="1F497D"/>
          <w:sz w:val="24"/>
          <w:szCs w:val="24"/>
        </w:rPr>
        <w:t xml:space="preserve"> </w:t>
      </w:r>
      <w:r>
        <w:rPr>
          <w:rFonts w:ascii="Times New Roman" w:hAnsi="Times New Roman"/>
          <w:bCs/>
          <w:sz w:val="24"/>
          <w:szCs w:val="24"/>
        </w:rPr>
        <w:t>interfere with the timely resolution of a controversy between OCC, on behalf of residential customers, and AEP Ohio should be rejected.</w:t>
      </w:r>
    </w:p>
    <w:p w:rsidR="00A879EC" w:rsidRPr="00A70629" w:rsidRDefault="00DD4DFA" w:rsidP="00DD4DFA">
      <w:pPr>
        <w:pStyle w:val="Heading1"/>
        <w:rPr>
          <w:rFonts w:eastAsia="Times New Roman"/>
        </w:rPr>
      </w:pPr>
      <w:r>
        <w:rPr>
          <w:rFonts w:eastAsia="Times New Roman"/>
        </w:rPr>
        <w:t>III.</w:t>
      </w:r>
      <w:r>
        <w:rPr>
          <w:rFonts w:eastAsia="Times New Roman"/>
        </w:rPr>
        <w:tab/>
      </w:r>
      <w:r w:rsidR="00A879EC" w:rsidRPr="00A70629">
        <w:rPr>
          <w:rFonts w:eastAsia="Times New Roman"/>
        </w:rPr>
        <w:t>CONCLUSION</w:t>
      </w:r>
    </w:p>
    <w:p w:rsidR="000B7A13" w:rsidRDefault="00641818" w:rsidP="00BD6B92">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the reasons stated herein, this </w:t>
      </w:r>
      <w:r w:rsidR="00BD6B9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omplaint case should </w:t>
      </w:r>
      <w:r w:rsidRPr="003D7563">
        <w:rPr>
          <w:rFonts w:ascii="Times New Roman" w:eastAsia="Times New Roman" w:hAnsi="Times New Roman" w:cs="Times New Roman"/>
          <w:sz w:val="24"/>
          <w:szCs w:val="24"/>
        </w:rPr>
        <w:t xml:space="preserve">move forward without delay.  </w:t>
      </w:r>
      <w:r w:rsidR="00B44247">
        <w:rPr>
          <w:rFonts w:ascii="Times New Roman" w:eastAsia="Times New Roman" w:hAnsi="Times New Roman" w:cs="Times New Roman"/>
          <w:sz w:val="24"/>
          <w:szCs w:val="24"/>
        </w:rPr>
        <w:t>D</w:t>
      </w:r>
      <w:r w:rsidRPr="003D7563">
        <w:rPr>
          <w:rFonts w:ascii="Times New Roman" w:eastAsia="Times New Roman" w:hAnsi="Times New Roman" w:cs="Times New Roman"/>
          <w:sz w:val="24"/>
          <w:szCs w:val="24"/>
        </w:rPr>
        <w:t xml:space="preserve">elaying this case as requested by </w:t>
      </w:r>
      <w:r>
        <w:rPr>
          <w:rFonts w:ascii="Times New Roman" w:eastAsia="Times New Roman" w:hAnsi="Times New Roman" w:cs="Times New Roman"/>
          <w:sz w:val="24"/>
          <w:szCs w:val="24"/>
        </w:rPr>
        <w:t>OAA/ICSC</w:t>
      </w:r>
      <w:r w:rsidRPr="003D7563">
        <w:rPr>
          <w:rFonts w:ascii="Times New Roman" w:eastAsia="Times New Roman" w:hAnsi="Times New Roman" w:cs="Times New Roman"/>
          <w:sz w:val="24"/>
          <w:szCs w:val="24"/>
        </w:rPr>
        <w:t xml:space="preserve"> will only perpetuate the harms inflicted on residents subject to</w:t>
      </w:r>
      <w:r>
        <w:rPr>
          <w:rFonts w:ascii="Times New Roman" w:eastAsia="Times New Roman" w:hAnsi="Times New Roman" w:cs="Times New Roman"/>
          <w:sz w:val="24"/>
          <w:szCs w:val="24"/>
        </w:rPr>
        <w:t xml:space="preserve"> reselling of utility service, particularly </w:t>
      </w:r>
      <w:r w:rsidRPr="003D7563">
        <w:rPr>
          <w:rFonts w:ascii="Times New Roman" w:eastAsia="Times New Roman" w:hAnsi="Times New Roman" w:cs="Times New Roman"/>
          <w:sz w:val="24"/>
          <w:szCs w:val="24"/>
        </w:rPr>
        <w:t>submetering arrangements</w:t>
      </w:r>
      <w:r>
        <w:rPr>
          <w:rFonts w:ascii="Times New Roman" w:eastAsia="Times New Roman" w:hAnsi="Times New Roman" w:cs="Times New Roman"/>
          <w:sz w:val="24"/>
          <w:szCs w:val="24"/>
        </w:rPr>
        <w:t xml:space="preserve">, </w:t>
      </w:r>
      <w:r>
        <w:rPr>
          <w:rFonts w:ascii="Times New Roman" w:hAnsi="Times New Roman"/>
          <w:bCs/>
          <w:sz w:val="24"/>
          <w:szCs w:val="24"/>
        </w:rPr>
        <w:t>and interfere with an orderly resolution of this controversy</w:t>
      </w:r>
      <w:r w:rsidRPr="003D75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4247">
        <w:rPr>
          <w:rFonts w:ascii="Times New Roman" w:eastAsia="Times New Roman" w:hAnsi="Times New Roman" w:cs="Times New Roman"/>
          <w:sz w:val="24"/>
          <w:szCs w:val="24"/>
        </w:rPr>
        <w:t xml:space="preserve"> </w:t>
      </w:r>
      <w:r w:rsidR="00B44247">
        <w:rPr>
          <w:rFonts w:ascii="Times New Roman" w:hAnsi="Times New Roman"/>
          <w:bCs/>
          <w:sz w:val="24"/>
          <w:szCs w:val="24"/>
        </w:rPr>
        <w:t>Instead of a delay, t</w:t>
      </w:r>
      <w:r w:rsidRPr="00A70629">
        <w:rPr>
          <w:rFonts w:ascii="Times New Roman" w:hAnsi="Times New Roman"/>
          <w:bCs/>
          <w:sz w:val="24"/>
          <w:szCs w:val="24"/>
        </w:rPr>
        <w:t>he PUCO should</w:t>
      </w:r>
      <w:r w:rsidR="00B44247">
        <w:rPr>
          <w:rFonts w:ascii="Times New Roman" w:hAnsi="Times New Roman"/>
          <w:bCs/>
          <w:sz w:val="24"/>
          <w:szCs w:val="24"/>
        </w:rPr>
        <w:t xml:space="preserve"> protect Ohioans by: </w:t>
      </w:r>
      <w:r w:rsidRPr="00A70629">
        <w:rPr>
          <w:rFonts w:ascii="Times New Roman" w:hAnsi="Times New Roman"/>
          <w:bCs/>
          <w:sz w:val="24"/>
          <w:szCs w:val="24"/>
        </w:rPr>
        <w:t>(1) immediately imposing a moratorium on new submetering arrangements with residential customers that involve the abusive practices described herein</w:t>
      </w:r>
      <w:r w:rsidR="00B44247">
        <w:rPr>
          <w:rFonts w:ascii="Times New Roman" w:hAnsi="Times New Roman"/>
          <w:bCs/>
          <w:sz w:val="24"/>
          <w:szCs w:val="24"/>
        </w:rPr>
        <w:t>;</w:t>
      </w:r>
      <w:r w:rsidRPr="00A70629">
        <w:rPr>
          <w:rFonts w:ascii="Times New Roman" w:hAnsi="Times New Roman"/>
          <w:bCs/>
          <w:sz w:val="24"/>
          <w:szCs w:val="24"/>
        </w:rPr>
        <w:t xml:space="preserve"> and (2) using its regulatory authority over public utility tariffs to ban existing and future reselling of residentia</w:t>
      </w:r>
      <w:r>
        <w:rPr>
          <w:rFonts w:ascii="Times New Roman" w:hAnsi="Times New Roman"/>
          <w:bCs/>
          <w:sz w:val="24"/>
          <w:szCs w:val="24"/>
        </w:rPr>
        <w:t>l customers’ utility service</w:t>
      </w:r>
      <w:r w:rsidRPr="00A70629">
        <w:rPr>
          <w:rFonts w:ascii="Times New Roman" w:hAnsi="Times New Roman"/>
          <w:bCs/>
          <w:sz w:val="24"/>
          <w:szCs w:val="24"/>
        </w:rPr>
        <w:t xml:space="preserve">s.  </w:t>
      </w:r>
      <w:r w:rsidR="00B44247">
        <w:rPr>
          <w:rFonts w:ascii="Times New Roman" w:hAnsi="Times New Roman"/>
          <w:bCs/>
          <w:sz w:val="24"/>
          <w:szCs w:val="24"/>
        </w:rPr>
        <w:t>Accordingly, t</w:t>
      </w:r>
      <w:r w:rsidR="00B44247">
        <w:rPr>
          <w:rFonts w:ascii="Times New Roman" w:eastAsia="Times New Roman" w:hAnsi="Times New Roman" w:cs="Times New Roman"/>
          <w:sz w:val="24"/>
          <w:szCs w:val="24"/>
        </w:rPr>
        <w:t xml:space="preserve">he PUCO should deny OAA/ICSC’s request to </w:t>
      </w:r>
      <w:r w:rsidR="00BD6B92">
        <w:rPr>
          <w:rFonts w:ascii="Times New Roman" w:eastAsia="Times New Roman" w:hAnsi="Times New Roman" w:cs="Times New Roman"/>
          <w:sz w:val="24"/>
          <w:szCs w:val="24"/>
        </w:rPr>
        <w:t xml:space="preserve">unreasonably </w:t>
      </w:r>
      <w:r w:rsidR="00B44247">
        <w:rPr>
          <w:rFonts w:ascii="Times New Roman" w:eastAsia="Times New Roman" w:hAnsi="Times New Roman" w:cs="Times New Roman"/>
          <w:sz w:val="24"/>
          <w:szCs w:val="24"/>
        </w:rPr>
        <w:t>delay OCC’s Complaint and allow this case to proceed as filed in order to protect Ohioans.</w:t>
      </w:r>
      <w:r w:rsidR="00620152">
        <w:rPr>
          <w:rFonts w:ascii="Times New Roman" w:eastAsia="Times New Roman" w:hAnsi="Times New Roman" w:cs="Times New Roman"/>
          <w:sz w:val="24"/>
          <w:szCs w:val="24"/>
        </w:rPr>
        <w:tab/>
      </w:r>
      <w:r w:rsidR="00620152">
        <w:rPr>
          <w:rFonts w:ascii="Times New Roman" w:eastAsia="Times New Roman" w:hAnsi="Times New Roman" w:cs="Times New Roman"/>
          <w:sz w:val="24"/>
          <w:szCs w:val="24"/>
        </w:rPr>
        <w:tab/>
      </w:r>
      <w:r w:rsidR="0057431A">
        <w:rPr>
          <w:rFonts w:ascii="Times New Roman" w:eastAsia="Times New Roman" w:hAnsi="Times New Roman" w:cs="Times New Roman"/>
          <w:sz w:val="24"/>
          <w:szCs w:val="24"/>
        </w:rPr>
        <w:tab/>
      </w:r>
      <w:r w:rsidR="0057431A">
        <w:rPr>
          <w:rFonts w:ascii="Times New Roman" w:eastAsia="Times New Roman" w:hAnsi="Times New Roman" w:cs="Times New Roman"/>
          <w:sz w:val="24"/>
          <w:szCs w:val="24"/>
        </w:rPr>
        <w:tab/>
      </w:r>
      <w:r w:rsidR="0057431A">
        <w:rPr>
          <w:rFonts w:ascii="Times New Roman" w:eastAsia="Times New Roman" w:hAnsi="Times New Roman" w:cs="Times New Roman"/>
          <w:sz w:val="24"/>
          <w:szCs w:val="24"/>
        </w:rPr>
        <w:tab/>
      </w:r>
    </w:p>
    <w:p w:rsidR="00DD4DFA" w:rsidRDefault="00DD4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F7CB1" w:rsidRPr="005A799D" w:rsidRDefault="008F7CB1" w:rsidP="0043371B">
      <w:pPr>
        <w:autoSpaceDE w:val="0"/>
        <w:autoSpaceDN w:val="0"/>
        <w:spacing w:after="0" w:line="480" w:lineRule="auto"/>
        <w:ind w:left="3600"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Respectfully submitted,</w:t>
      </w:r>
    </w:p>
    <w:p w:rsidR="008F7CB1" w:rsidRPr="005A799D" w:rsidRDefault="008F7CB1" w:rsidP="008F7CB1">
      <w:pPr>
        <w:tabs>
          <w:tab w:val="left" w:pos="0"/>
          <w:tab w:val="left" w:pos="720"/>
          <w:tab w:val="left" w:pos="4320"/>
          <w:tab w:val="right" w:pos="864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BRUCE J. WESTON (0016973)</w:t>
      </w:r>
    </w:p>
    <w:p w:rsidR="008F7CB1" w:rsidRPr="005A799D" w:rsidRDefault="008F7CB1" w:rsidP="008F7CB1">
      <w:pPr>
        <w:tabs>
          <w:tab w:val="left" w:pos="0"/>
          <w:tab w:val="left" w:pos="720"/>
          <w:tab w:val="left" w:pos="4320"/>
          <w:tab w:val="right" w:pos="8640"/>
        </w:tabs>
        <w:spacing w:after="12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CONSUMERS’ COUNSEL</w:t>
      </w:r>
    </w:p>
    <w:p w:rsidR="008F7CB1" w:rsidRPr="005A799D" w:rsidRDefault="008F7CB1" w:rsidP="008F7CB1">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p>
    <w:p w:rsidR="008F7CB1" w:rsidRPr="005A799D" w:rsidRDefault="008F7CB1" w:rsidP="008F7CB1">
      <w:pPr>
        <w:spacing w:after="0" w:line="240" w:lineRule="auto"/>
        <w:ind w:left="3600" w:firstLine="720"/>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Kyle L. Kern, Counsel of Record (0084199)</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Assistant Consumers’ Counsel</w:t>
      </w:r>
    </w:p>
    <w:p w:rsidR="00DD4DFA"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p>
    <w:p w:rsidR="008F7CB1" w:rsidRPr="005A799D" w:rsidRDefault="00DD4DFA" w:rsidP="008F7CB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F7CB1" w:rsidRPr="005A799D">
        <w:rPr>
          <w:rFonts w:ascii="Times New Roman" w:eastAsia="Times New Roman" w:hAnsi="Times New Roman" w:cs="Times New Roman"/>
          <w:b/>
          <w:sz w:val="24"/>
          <w:szCs w:val="24"/>
        </w:rPr>
        <w:t>Office of the Ohio Consumers’ Counsel</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10 West Broad Street, Suite 1800</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Columbus, Ohio 43215</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Telephone (Kern Direct): 614-466-9585</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hyperlink r:id="rId14" w:history="1">
        <w:r w:rsidRPr="002C1E7F">
          <w:rPr>
            <w:rFonts w:ascii="Times New Roman" w:eastAsia="Times New Roman" w:hAnsi="Times New Roman" w:cs="Times New Roman"/>
            <w:color w:val="0000FF"/>
            <w:sz w:val="24"/>
            <w:szCs w:val="24"/>
            <w:u w:val="single"/>
          </w:rPr>
          <w:t>kyle.kern@occ.ohio.gov</w:t>
        </w:r>
      </w:hyperlink>
    </w:p>
    <w:p w:rsidR="008F7CB1" w:rsidRPr="005A799D" w:rsidRDefault="008F7CB1" w:rsidP="008F7CB1">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8F7CB1" w:rsidRPr="005A799D" w:rsidRDefault="008F7CB1" w:rsidP="008F7CB1">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8F7CB1" w:rsidRPr="005A799D" w:rsidRDefault="008F7CB1" w:rsidP="008F7CB1">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i/>
          <w:sz w:val="24"/>
          <w:szCs w:val="24"/>
          <w:u w:val="single"/>
        </w:rPr>
        <w:t>/s/ Kimberly W. Bojko</w:t>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Kimberly W. Bojko (0069402)</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Carpenter Lipps&amp; Leland LLP</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280 North High Street, Suite 1300</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Columbus, Ohio 43215</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Telephone: (614) 365-4100</w:t>
      </w:r>
    </w:p>
    <w:p w:rsidR="008F7CB1" w:rsidRPr="005A799D" w:rsidRDefault="00D61D8B"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hyperlink r:id="rId15" w:history="1">
        <w:r w:rsidR="008F7CB1" w:rsidRPr="002C1E7F">
          <w:rPr>
            <w:rFonts w:ascii="Times New Roman" w:eastAsia="Times New Roman" w:hAnsi="Times New Roman" w:cs="Times New Roman"/>
            <w:color w:val="0000FF"/>
            <w:sz w:val="24"/>
            <w:szCs w:val="24"/>
            <w:u w:val="single"/>
          </w:rPr>
          <w:t>bojko@carpenterlipps.com</w:t>
        </w:r>
      </w:hyperlink>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8F7CB1" w:rsidRPr="005A799D" w:rsidRDefault="008F7CB1" w:rsidP="008F7CB1">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Outside Counsel for the</w:t>
      </w:r>
    </w:p>
    <w:p w:rsidR="008F7CB1" w:rsidRDefault="008F7CB1" w:rsidP="008F7CB1">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Office of the Ohio Consumers’ Counsel</w:t>
      </w:r>
    </w:p>
    <w:p w:rsidR="008F7CB1" w:rsidRDefault="008F7CB1" w:rsidP="00BD6B92">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br w:type="page"/>
      </w:r>
      <w:r>
        <w:rPr>
          <w:rFonts w:ascii="Times New Roman" w:eastAsia="Times New Roman" w:hAnsi="Times New Roman" w:cs="Times New Roman"/>
          <w:b/>
          <w:sz w:val="24"/>
          <w:szCs w:val="24"/>
        </w:rPr>
        <w:t>CERTIFICATE OF SERVICE</w:t>
      </w:r>
    </w:p>
    <w:p w:rsidR="008F7CB1" w:rsidRDefault="008F7CB1" w:rsidP="008F7CB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hereby certify that a copy of the foregoing </w:t>
      </w:r>
      <w:r w:rsidR="00DD4DFA">
        <w:rPr>
          <w:rFonts w:ascii="Times New Roman" w:eastAsia="Times New Roman" w:hAnsi="Times New Roman" w:cs="Times New Roman"/>
          <w:sz w:val="24"/>
          <w:szCs w:val="24"/>
        </w:rPr>
        <w:t>Memorandum Contra</w:t>
      </w:r>
      <w:r>
        <w:rPr>
          <w:rFonts w:ascii="Times New Roman" w:eastAsia="Times New Roman" w:hAnsi="Times New Roman" w:cs="Times New Roman"/>
          <w:sz w:val="24"/>
          <w:szCs w:val="24"/>
        </w:rPr>
        <w:t xml:space="preserve"> was served by electronic mail to the persons listed below, on this 2</w:t>
      </w:r>
      <w:r w:rsidR="00BD6B92">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2016. </w:t>
      </w:r>
    </w:p>
    <w:p w:rsidR="008F7CB1" w:rsidRDefault="008F7CB1" w:rsidP="008F7CB1">
      <w:pPr>
        <w:tabs>
          <w:tab w:val="left" w:pos="1440"/>
          <w:tab w:val="left" w:pos="2016"/>
        </w:tabs>
        <w:spacing w:after="0" w:line="480" w:lineRule="atLeast"/>
        <w:rPr>
          <w:rFonts w:ascii="Times New Roman" w:eastAsia="Times New Roman" w:hAnsi="Times New Roman" w:cs="Times New Roman"/>
          <w:sz w:val="24"/>
          <w:szCs w:val="24"/>
        </w:rPr>
      </w:pP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Kimberly W. Bojko</w:t>
      </w:r>
      <w:r>
        <w:rPr>
          <w:rFonts w:ascii="Times New Roman" w:eastAsia="Times New Roman" w:hAnsi="Times New Roman" w:cs="Times New Roman"/>
          <w:sz w:val="24"/>
          <w:szCs w:val="24"/>
        </w:rPr>
        <w:t>______________</w:t>
      </w: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Kimberly W. Bojko</w:t>
      </w:r>
    </w:p>
    <w:p w:rsidR="008F7CB1" w:rsidRDefault="008F7CB1" w:rsidP="008F7CB1">
      <w:pPr>
        <w:tabs>
          <w:tab w:val="left" w:pos="43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Outside Counsel for the</w:t>
      </w: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Office of the Ohio Consumers’ Counsel</w:t>
      </w:r>
    </w:p>
    <w:p w:rsidR="008F7CB1" w:rsidRDefault="008F7CB1" w:rsidP="008F7CB1">
      <w:pPr>
        <w:tabs>
          <w:tab w:val="left" w:pos="0"/>
          <w:tab w:val="left" w:pos="720"/>
          <w:tab w:val="left" w:pos="43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F7CB1" w:rsidRDefault="008F7CB1" w:rsidP="008F7CB1">
      <w:pPr>
        <w:tabs>
          <w:tab w:val="left" w:pos="0"/>
          <w:tab w:val="left" w:pos="720"/>
          <w:tab w:val="left" w:pos="432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LIST</w:t>
      </w:r>
    </w:p>
    <w:p w:rsidR="00DD4DFA" w:rsidRDefault="00DD4DFA" w:rsidP="008F7CB1">
      <w:pPr>
        <w:tabs>
          <w:tab w:val="left" w:pos="0"/>
          <w:tab w:val="left" w:pos="720"/>
          <w:tab w:val="left" w:pos="4320"/>
        </w:tabs>
        <w:spacing w:after="0" w:line="480" w:lineRule="auto"/>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D4DFA" w:rsidTr="008A5E35">
        <w:tc>
          <w:tcPr>
            <w:tcW w:w="4428" w:type="dxa"/>
          </w:tcPr>
          <w:p w:rsidR="00DD4DFA" w:rsidRDefault="00D61D8B" w:rsidP="008A5E35">
            <w:pPr>
              <w:autoSpaceDE w:val="0"/>
              <w:autoSpaceDN w:val="0"/>
              <w:adjustRightInd w:val="0"/>
              <w:rPr>
                <w:rFonts w:ascii="Times New Roman" w:hAnsi="Times New Roman" w:cs="Times New Roman"/>
                <w:sz w:val="24"/>
                <w:szCs w:val="24"/>
              </w:rPr>
            </w:pPr>
            <w:hyperlink r:id="rId16" w:history="1">
              <w:r w:rsidR="00DD4DFA" w:rsidRPr="00697648">
                <w:rPr>
                  <w:rStyle w:val="Hyperlink"/>
                  <w:rFonts w:ascii="Times New Roman" w:hAnsi="Times New Roman" w:cs="Times New Roman"/>
                  <w:sz w:val="24"/>
                  <w:szCs w:val="24"/>
                </w:rPr>
                <w:t>fdarr@mwncmh.com</w:t>
              </w:r>
            </w:hyperlink>
          </w:p>
          <w:p w:rsidR="00DD4DFA" w:rsidRDefault="00D61D8B" w:rsidP="008A5E35">
            <w:pPr>
              <w:tabs>
                <w:tab w:val="left" w:pos="0"/>
                <w:tab w:val="left" w:pos="720"/>
                <w:tab w:val="left" w:pos="4320"/>
              </w:tabs>
              <w:rPr>
                <w:rStyle w:val="Hyperlink"/>
                <w:rFonts w:ascii="Times New Roman" w:hAnsi="Times New Roman"/>
                <w:sz w:val="24"/>
                <w:szCs w:val="24"/>
              </w:rPr>
            </w:pPr>
            <w:hyperlink r:id="rId17" w:history="1">
              <w:r w:rsidR="00DD4DFA" w:rsidRPr="00A5473C">
                <w:rPr>
                  <w:rStyle w:val="Hyperlink"/>
                  <w:rFonts w:ascii="Times New Roman" w:hAnsi="Times New Roman"/>
                  <w:sz w:val="24"/>
                  <w:szCs w:val="24"/>
                </w:rPr>
                <w:t>mjsettineri@vorys.com</w:t>
              </w:r>
            </w:hyperlink>
          </w:p>
          <w:p w:rsidR="00DD4DFA" w:rsidRPr="006F0789" w:rsidRDefault="00D61D8B" w:rsidP="008A5E35">
            <w:pPr>
              <w:tabs>
                <w:tab w:val="left" w:pos="0"/>
                <w:tab w:val="left" w:pos="720"/>
                <w:tab w:val="left" w:pos="4320"/>
              </w:tabs>
              <w:rPr>
                <w:rFonts w:ascii="Times New Roman" w:eastAsia="Times New Roman" w:hAnsi="Times New Roman" w:cs="Times New Roman"/>
                <w:sz w:val="24"/>
                <w:szCs w:val="24"/>
              </w:rPr>
            </w:pPr>
            <w:hyperlink r:id="rId18" w:history="1">
              <w:r w:rsidR="00DD4DFA" w:rsidRPr="006F0789">
                <w:rPr>
                  <w:rStyle w:val="Hyperlink"/>
                  <w:rFonts w:ascii="Times New Roman" w:eastAsia="Times New Roman" w:hAnsi="Times New Roman" w:cs="Times New Roman"/>
                  <w:sz w:val="24"/>
                  <w:szCs w:val="24"/>
                </w:rPr>
                <w:t>William.wright@ohioattorneygeneral.gov</w:t>
              </w:r>
            </w:hyperlink>
          </w:p>
          <w:p w:rsidR="00DD4DFA" w:rsidRDefault="00DD4DFA" w:rsidP="008A5E35">
            <w:pPr>
              <w:tabs>
                <w:tab w:val="left" w:pos="0"/>
                <w:tab w:val="left" w:pos="720"/>
                <w:tab w:val="left" w:pos="4320"/>
              </w:tabs>
              <w:spacing w:line="480" w:lineRule="auto"/>
              <w:rPr>
                <w:rFonts w:ascii="Times New Roman" w:eastAsia="Times New Roman" w:hAnsi="Times New Roman" w:cs="Times New Roman"/>
                <w:b/>
                <w:sz w:val="24"/>
                <w:szCs w:val="24"/>
              </w:rPr>
            </w:pPr>
          </w:p>
        </w:tc>
        <w:tc>
          <w:tcPr>
            <w:tcW w:w="4428" w:type="dxa"/>
          </w:tcPr>
          <w:p w:rsidR="00DD4DFA" w:rsidRDefault="00D61D8B" w:rsidP="008A5E35">
            <w:pPr>
              <w:tabs>
                <w:tab w:val="left" w:pos="0"/>
                <w:tab w:val="left" w:pos="720"/>
                <w:tab w:val="left" w:pos="4320"/>
                <w:tab w:val="right" w:pos="8640"/>
              </w:tabs>
              <w:rPr>
                <w:rFonts w:ascii="Times New Roman" w:eastAsia="Times New Roman" w:hAnsi="Times New Roman" w:cs="Times New Roman"/>
                <w:sz w:val="24"/>
                <w:szCs w:val="24"/>
              </w:rPr>
            </w:pPr>
            <w:hyperlink r:id="rId19" w:history="1">
              <w:r w:rsidR="00DD4DFA">
                <w:rPr>
                  <w:rStyle w:val="Hyperlink"/>
                  <w:rFonts w:ascii="Times New Roman" w:eastAsia="Times New Roman" w:hAnsi="Times New Roman" w:cs="Times New Roman"/>
                  <w:sz w:val="24"/>
                  <w:szCs w:val="24"/>
                </w:rPr>
                <w:t>stnourse@aep.com</w:t>
              </w:r>
            </w:hyperlink>
          </w:p>
          <w:p w:rsidR="00DD4DFA" w:rsidRDefault="00D61D8B" w:rsidP="008A5E35">
            <w:pPr>
              <w:autoSpaceDE w:val="0"/>
              <w:autoSpaceDN w:val="0"/>
              <w:rPr>
                <w:rFonts w:ascii="Times New Roman" w:hAnsi="Times New Roman"/>
                <w:sz w:val="24"/>
                <w:szCs w:val="24"/>
              </w:rPr>
            </w:pPr>
            <w:hyperlink r:id="rId20" w:history="1">
              <w:r w:rsidR="00DD4DFA" w:rsidRPr="00A5473C">
                <w:rPr>
                  <w:rStyle w:val="Hyperlink"/>
                  <w:rFonts w:ascii="Times New Roman" w:hAnsi="Times New Roman"/>
                  <w:sz w:val="24"/>
                  <w:szCs w:val="24"/>
                </w:rPr>
                <w:t>mkeaney@calfee.com</w:t>
              </w:r>
            </w:hyperlink>
          </w:p>
          <w:p w:rsidR="00DD4DFA" w:rsidRDefault="00DD4DFA" w:rsidP="008A5E35">
            <w:pPr>
              <w:autoSpaceDE w:val="0"/>
              <w:autoSpaceDN w:val="0"/>
              <w:rPr>
                <w:rFonts w:ascii="Times New Roman" w:hAnsi="Times New Roman"/>
                <w:sz w:val="24"/>
                <w:szCs w:val="24"/>
              </w:rPr>
            </w:pPr>
          </w:p>
          <w:p w:rsidR="00DD4DFA" w:rsidRDefault="00DD4DFA" w:rsidP="008A5E35">
            <w:pPr>
              <w:tabs>
                <w:tab w:val="left" w:pos="0"/>
                <w:tab w:val="left" w:pos="720"/>
                <w:tab w:val="left" w:pos="4320"/>
                <w:tab w:val="right" w:pos="8640"/>
              </w:tabs>
              <w:rPr>
                <w:rFonts w:ascii="Times New Roman" w:eastAsia="Times New Roman" w:hAnsi="Times New Roman" w:cs="Times New Roman"/>
                <w:sz w:val="24"/>
                <w:szCs w:val="24"/>
              </w:rPr>
            </w:pPr>
          </w:p>
          <w:p w:rsidR="00DD4DFA" w:rsidRDefault="00DD4DFA" w:rsidP="008A5E35">
            <w:pPr>
              <w:tabs>
                <w:tab w:val="left" w:pos="0"/>
                <w:tab w:val="left" w:pos="720"/>
                <w:tab w:val="left" w:pos="4320"/>
              </w:tabs>
              <w:spacing w:line="480" w:lineRule="auto"/>
              <w:jc w:val="center"/>
              <w:rPr>
                <w:rFonts w:ascii="Times New Roman" w:eastAsia="Times New Roman" w:hAnsi="Times New Roman" w:cs="Times New Roman"/>
                <w:b/>
                <w:sz w:val="24"/>
                <w:szCs w:val="24"/>
              </w:rPr>
            </w:pPr>
          </w:p>
        </w:tc>
      </w:tr>
    </w:tbl>
    <w:p w:rsidR="00DD4DFA" w:rsidRPr="006F0789" w:rsidRDefault="00DD4DFA" w:rsidP="00DD4DFA">
      <w:pPr>
        <w:tabs>
          <w:tab w:val="left" w:pos="0"/>
          <w:tab w:val="left" w:pos="720"/>
          <w:tab w:val="left" w:pos="4320"/>
        </w:tabs>
        <w:spacing w:after="0" w:line="480" w:lineRule="auto"/>
        <w:rPr>
          <w:rFonts w:ascii="Times New Roman" w:eastAsia="Times New Roman" w:hAnsi="Times New Roman" w:cs="Times New Roman"/>
          <w:sz w:val="24"/>
          <w:szCs w:val="24"/>
        </w:rPr>
      </w:pPr>
      <w:r w:rsidRPr="006F0789">
        <w:rPr>
          <w:rFonts w:ascii="Times New Roman" w:eastAsia="Times New Roman" w:hAnsi="Times New Roman" w:cs="Times New Roman"/>
          <w:sz w:val="24"/>
          <w:szCs w:val="24"/>
        </w:rPr>
        <w:t>Attorney Examiner:</w:t>
      </w:r>
    </w:p>
    <w:p w:rsidR="00DD4DFA" w:rsidRPr="006F0789" w:rsidRDefault="00D61D8B" w:rsidP="00DD4DFA">
      <w:pPr>
        <w:tabs>
          <w:tab w:val="left" w:pos="0"/>
          <w:tab w:val="left" w:pos="720"/>
          <w:tab w:val="left" w:pos="4320"/>
        </w:tabs>
        <w:spacing w:after="0" w:line="480" w:lineRule="auto"/>
        <w:rPr>
          <w:rFonts w:ascii="Times New Roman" w:eastAsia="Times New Roman" w:hAnsi="Times New Roman" w:cs="Times New Roman"/>
          <w:sz w:val="24"/>
          <w:szCs w:val="24"/>
        </w:rPr>
      </w:pPr>
      <w:hyperlink r:id="rId21" w:history="1">
        <w:r w:rsidR="00DD4DFA" w:rsidRPr="006F0789">
          <w:rPr>
            <w:rStyle w:val="Hyperlink"/>
            <w:rFonts w:ascii="Times New Roman" w:eastAsia="Times New Roman" w:hAnsi="Times New Roman" w:cs="Times New Roman"/>
            <w:sz w:val="24"/>
            <w:szCs w:val="24"/>
          </w:rPr>
          <w:t>Bryce.mckenney@puc.state.oh.us</w:t>
        </w:r>
      </w:hyperlink>
    </w:p>
    <w:sectPr w:rsidR="00DD4DFA" w:rsidRPr="006F0789" w:rsidSect="00DD4DFA">
      <w:headerReference w:type="default" r:id="rId22"/>
      <w:footerReference w:type="default" r:id="rId2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C85F6" w15:done="0"/>
  <w15:commentEx w15:paraId="4AA02EDB" w15:done="0"/>
  <w15:commentEx w15:paraId="267E6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F3" w:rsidRDefault="00425FF3" w:rsidP="00EE448C">
      <w:pPr>
        <w:spacing w:after="0" w:line="240" w:lineRule="auto"/>
      </w:pPr>
      <w:r>
        <w:separator/>
      </w:r>
    </w:p>
  </w:endnote>
  <w:endnote w:type="continuationSeparator" w:id="0">
    <w:p w:rsidR="00425FF3" w:rsidRDefault="00425FF3" w:rsidP="00EE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A" w:rsidRDefault="00DD4DFA">
    <w:pPr>
      <w:pStyle w:val="Footer"/>
      <w:jc w:val="center"/>
    </w:pPr>
  </w:p>
  <w:p w:rsidR="00DD4DFA" w:rsidRDefault="00DD4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395"/>
      <w:docPartObj>
        <w:docPartGallery w:val="Page Numbers (Bottom of Page)"/>
        <w:docPartUnique/>
      </w:docPartObj>
    </w:sdtPr>
    <w:sdtEndPr>
      <w:rPr>
        <w:rFonts w:ascii="Times New Roman" w:hAnsi="Times New Roman" w:cs="Times New Roman"/>
        <w:noProof/>
        <w:sz w:val="24"/>
        <w:szCs w:val="24"/>
      </w:rPr>
    </w:sdtEndPr>
    <w:sdtContent>
      <w:p w:rsidR="00DD4DFA" w:rsidRPr="00DD4DFA" w:rsidRDefault="00DD4DFA">
        <w:pPr>
          <w:pStyle w:val="Footer"/>
          <w:jc w:val="center"/>
          <w:rPr>
            <w:rFonts w:ascii="Times New Roman" w:hAnsi="Times New Roman" w:cs="Times New Roman"/>
            <w:sz w:val="24"/>
            <w:szCs w:val="24"/>
          </w:rPr>
        </w:pPr>
        <w:r w:rsidRPr="00DD4DFA">
          <w:rPr>
            <w:rFonts w:ascii="Times New Roman" w:hAnsi="Times New Roman" w:cs="Times New Roman"/>
            <w:sz w:val="24"/>
            <w:szCs w:val="24"/>
          </w:rPr>
          <w:fldChar w:fldCharType="begin"/>
        </w:r>
        <w:r w:rsidRPr="00DD4DFA">
          <w:rPr>
            <w:rFonts w:ascii="Times New Roman" w:hAnsi="Times New Roman" w:cs="Times New Roman"/>
            <w:sz w:val="24"/>
            <w:szCs w:val="24"/>
          </w:rPr>
          <w:instrText xml:space="preserve"> PAGE   \* MERGEFORMAT </w:instrText>
        </w:r>
        <w:r w:rsidRPr="00DD4DFA">
          <w:rPr>
            <w:rFonts w:ascii="Times New Roman" w:hAnsi="Times New Roman" w:cs="Times New Roman"/>
            <w:sz w:val="24"/>
            <w:szCs w:val="24"/>
          </w:rPr>
          <w:fldChar w:fldCharType="separate"/>
        </w:r>
        <w:r w:rsidR="00D61D8B">
          <w:rPr>
            <w:rFonts w:ascii="Times New Roman" w:hAnsi="Times New Roman" w:cs="Times New Roman"/>
            <w:noProof/>
            <w:sz w:val="24"/>
            <w:szCs w:val="24"/>
          </w:rPr>
          <w:t>2</w:t>
        </w:r>
        <w:r w:rsidRPr="00DD4DFA">
          <w:rPr>
            <w:rFonts w:ascii="Times New Roman" w:hAnsi="Times New Roman" w:cs="Times New Roman"/>
            <w:noProof/>
            <w:sz w:val="24"/>
            <w:szCs w:val="24"/>
          </w:rPr>
          <w:fldChar w:fldCharType="end"/>
        </w:r>
      </w:p>
    </w:sdtContent>
  </w:sdt>
  <w:p w:rsidR="00DD4DFA" w:rsidRDefault="00DD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F3" w:rsidRDefault="00425FF3" w:rsidP="00EE448C">
      <w:pPr>
        <w:spacing w:after="0" w:line="240" w:lineRule="auto"/>
      </w:pPr>
      <w:r>
        <w:separator/>
      </w:r>
    </w:p>
  </w:footnote>
  <w:footnote w:type="continuationSeparator" w:id="0">
    <w:p w:rsidR="00425FF3" w:rsidRDefault="00425FF3" w:rsidP="00EE448C">
      <w:pPr>
        <w:spacing w:after="0" w:line="240" w:lineRule="auto"/>
      </w:pPr>
      <w:r>
        <w:continuationSeparator/>
      </w:r>
    </w:p>
  </w:footnote>
  <w:footnote w:id="1">
    <w:p w:rsidR="00425FF3" w:rsidRPr="0043371B" w:rsidRDefault="00425FF3" w:rsidP="00436D93">
      <w:pPr>
        <w:pStyle w:val="FootnoteText"/>
        <w:rPr>
          <w:rFonts w:cs="Times New Roman"/>
        </w:rPr>
      </w:pPr>
      <w:r w:rsidRPr="0043371B">
        <w:rPr>
          <w:rStyle w:val="FootnoteReference"/>
          <w:rFonts w:cs="Times New Roman"/>
        </w:rPr>
        <w:footnoteRef/>
      </w:r>
      <w:r w:rsidR="0043371B" w:rsidRPr="0043371B">
        <w:rPr>
          <w:rFonts w:cs="Times New Roman"/>
        </w:rPr>
        <w:t xml:space="preserve"> </w:t>
      </w:r>
      <w:r w:rsidRPr="0043371B">
        <w:rPr>
          <w:rFonts w:cs="Times New Roman"/>
        </w:rPr>
        <w:t xml:space="preserve">See </w:t>
      </w:r>
      <w:r w:rsidRPr="0043371B">
        <w:rPr>
          <w:rFonts w:cs="Times New Roman"/>
          <w:i/>
        </w:rPr>
        <w:t>In the Matter of the Complaint and Request for Relief for Consumers by the Office of the Ohio Consumers’ Counsel</w:t>
      </w:r>
      <w:r w:rsidRPr="0043371B">
        <w:rPr>
          <w:rFonts w:cs="Times New Roman"/>
        </w:rPr>
        <w:t>, Case No. 16-0782-EL-CSS (Apr. 12, 2016) (</w:t>
      </w:r>
      <w:r w:rsidR="000B7A13" w:rsidRPr="0043371B">
        <w:rPr>
          <w:rFonts w:cs="Times New Roman"/>
        </w:rPr>
        <w:t>“</w:t>
      </w:r>
      <w:r w:rsidRPr="0043371B">
        <w:rPr>
          <w:rFonts w:cs="Times New Roman"/>
        </w:rPr>
        <w:t>OCC Complaint</w:t>
      </w:r>
      <w:r w:rsidR="000B7A13" w:rsidRPr="0043371B">
        <w:rPr>
          <w:rFonts w:cs="Times New Roman"/>
        </w:rPr>
        <w:t>”</w:t>
      </w:r>
      <w:r w:rsidRPr="0043371B">
        <w:rPr>
          <w:rFonts w:cs="Times New Roman"/>
        </w:rPr>
        <w:t xml:space="preserve">). </w:t>
      </w:r>
    </w:p>
  </w:footnote>
  <w:footnote w:id="2">
    <w:p w:rsidR="00425FF3" w:rsidRPr="0043371B" w:rsidRDefault="00425FF3" w:rsidP="00436D93">
      <w:pPr>
        <w:pStyle w:val="FootnoteText"/>
        <w:rPr>
          <w:rFonts w:cs="Times New Roman"/>
        </w:rPr>
      </w:pPr>
      <w:r w:rsidRPr="0043371B">
        <w:rPr>
          <w:rStyle w:val="FootnoteReference"/>
          <w:rFonts w:cs="Times New Roman"/>
        </w:rPr>
        <w:footnoteRef/>
      </w:r>
      <w:r w:rsidRPr="0043371B">
        <w:rPr>
          <w:rFonts w:cs="Times New Roman"/>
        </w:rPr>
        <w:t xml:space="preserve"> OCC Complaint at 2. Alternatively, OCC requested an order directing AEP Ohio to enforce its tariffs to prohibit submetering. Id. </w:t>
      </w:r>
    </w:p>
  </w:footnote>
  <w:footnote w:id="3">
    <w:p w:rsidR="00425FF3" w:rsidRPr="0043371B" w:rsidRDefault="00425FF3" w:rsidP="00436D93">
      <w:pPr>
        <w:pStyle w:val="FootnoteText"/>
        <w:rPr>
          <w:rFonts w:cs="Times New Roman"/>
        </w:rPr>
      </w:pPr>
      <w:r w:rsidRPr="0043371B">
        <w:rPr>
          <w:rStyle w:val="FootnoteReference"/>
          <w:rFonts w:cs="Times New Roman"/>
        </w:rPr>
        <w:footnoteRef/>
      </w:r>
      <w:r w:rsidRPr="0043371B">
        <w:rPr>
          <w:rFonts w:cs="Times New Roman"/>
        </w:rPr>
        <w:t xml:space="preserve"> </w:t>
      </w:r>
      <w:r w:rsidRPr="0043371B">
        <w:rPr>
          <w:rFonts w:cs="Times New Roman"/>
          <w:i/>
        </w:rPr>
        <w:t>Motion for A Moratorium to Stop AEP Ohio from Providing New Service to Those Who Resell Service to Submetered Residential Consumers by the Office of the Ohio Consumers’ Counsel</w:t>
      </w:r>
      <w:r w:rsidRPr="0043371B">
        <w:rPr>
          <w:rFonts w:cs="Times New Roman"/>
        </w:rPr>
        <w:t xml:space="preserve">, Case No. 16-0782-EL-CSS (Apr. 12, 2016)(OCC Motion for Moratorium). </w:t>
      </w:r>
    </w:p>
  </w:footnote>
  <w:footnote w:id="4">
    <w:p w:rsidR="00425FF3" w:rsidRPr="0043371B" w:rsidRDefault="00425FF3" w:rsidP="00436D93">
      <w:pPr>
        <w:pStyle w:val="FootnoteText"/>
        <w:rPr>
          <w:rFonts w:cs="Times New Roman"/>
        </w:rPr>
      </w:pPr>
      <w:r w:rsidRPr="0043371B">
        <w:rPr>
          <w:rStyle w:val="FootnoteReference"/>
          <w:rFonts w:cs="Times New Roman"/>
        </w:rPr>
        <w:footnoteRef/>
      </w:r>
      <w:r w:rsidR="00996DB9">
        <w:rPr>
          <w:rFonts w:cs="Times New Roman"/>
        </w:rPr>
        <w:t xml:space="preserve"> </w:t>
      </w:r>
      <w:r w:rsidRPr="0043371B">
        <w:rPr>
          <w:rFonts w:cs="Times New Roman"/>
        </w:rPr>
        <w:t xml:space="preserve">See </w:t>
      </w:r>
      <w:r w:rsidRPr="0043371B">
        <w:rPr>
          <w:rFonts w:cs="Times New Roman"/>
          <w:i/>
        </w:rPr>
        <w:t>Answer of Ohio Power Company</w:t>
      </w:r>
      <w:r w:rsidRPr="0043371B">
        <w:rPr>
          <w:rFonts w:cs="Times New Roman"/>
        </w:rPr>
        <w:t xml:space="preserve">, Case No. 16-0782-EL CSS (Apr. 27, 2016) (AEP Ohio Answer); </w:t>
      </w:r>
      <w:r w:rsidRPr="0043371B">
        <w:rPr>
          <w:rFonts w:cs="Times New Roman"/>
          <w:i/>
        </w:rPr>
        <w:t>Ohio Power Company’s Memorandum Contra OCC’s Motion for a Moratorium</w:t>
      </w:r>
      <w:r w:rsidRPr="0043371B">
        <w:rPr>
          <w:rFonts w:cs="Times New Roman"/>
        </w:rPr>
        <w:t xml:space="preserve">, Case No. 16-0782-EL-CSS (Apr. 27, 2016) (AEP Ohio Memo Contra Moratorium); </w:t>
      </w:r>
      <w:r w:rsidRPr="0043371B">
        <w:rPr>
          <w:rFonts w:cs="Times New Roman"/>
          <w:i/>
        </w:rPr>
        <w:t>Ohio Power Company’s Motion for Tariff Amendment and Memorandum in Support</w:t>
      </w:r>
      <w:r w:rsidRPr="0043371B">
        <w:rPr>
          <w:rFonts w:cs="Times New Roman"/>
        </w:rPr>
        <w:t>, Case No. 16-0782-EL-CSS (Apr. 27, 2016) (AEP Ohio Motion to Amend).</w:t>
      </w:r>
    </w:p>
  </w:footnote>
  <w:footnote w:id="5">
    <w:p w:rsidR="00425FF3" w:rsidRPr="0043371B" w:rsidRDefault="00425FF3" w:rsidP="00436D93">
      <w:pPr>
        <w:pStyle w:val="FootnoteText"/>
        <w:rPr>
          <w:rFonts w:cs="Times New Roman"/>
        </w:rPr>
      </w:pPr>
      <w:r w:rsidRPr="0043371B">
        <w:rPr>
          <w:rStyle w:val="FootnoteReference"/>
          <w:rFonts w:cs="Times New Roman"/>
        </w:rPr>
        <w:footnoteRef/>
      </w:r>
      <w:r w:rsidR="00996DB9">
        <w:rPr>
          <w:rFonts w:cs="Times New Roman"/>
        </w:rPr>
        <w:t xml:space="preserve"> </w:t>
      </w:r>
      <w:r w:rsidRPr="0043371B">
        <w:rPr>
          <w:rFonts w:cs="Times New Roman"/>
        </w:rPr>
        <w:t xml:space="preserve">AEP Ohio Motion to Amend at 1, 3. </w:t>
      </w:r>
    </w:p>
  </w:footnote>
  <w:footnote w:id="6">
    <w:p w:rsidR="00425FF3" w:rsidRPr="0043371B" w:rsidRDefault="00425FF3" w:rsidP="00436D93">
      <w:pPr>
        <w:pStyle w:val="FootnoteText"/>
        <w:rPr>
          <w:rFonts w:cs="Times New Roman"/>
        </w:rPr>
      </w:pPr>
      <w:r w:rsidRPr="0043371B">
        <w:rPr>
          <w:rStyle w:val="FootnoteReference"/>
          <w:rFonts w:cs="Times New Roman"/>
        </w:rPr>
        <w:footnoteRef/>
      </w:r>
      <w:r w:rsidRPr="0043371B">
        <w:rPr>
          <w:rFonts w:cs="Times New Roman"/>
        </w:rPr>
        <w:t xml:space="preserve"> Id. </w:t>
      </w:r>
    </w:p>
  </w:footnote>
  <w:footnote w:id="7">
    <w:p w:rsidR="00425FF3" w:rsidRPr="0043371B" w:rsidRDefault="00425FF3" w:rsidP="00436D93">
      <w:pPr>
        <w:pStyle w:val="FootnoteText"/>
        <w:rPr>
          <w:rFonts w:cs="Times New Roman"/>
        </w:rPr>
      </w:pPr>
      <w:r w:rsidRPr="0043371B">
        <w:rPr>
          <w:rStyle w:val="FootnoteReference"/>
          <w:rFonts w:cs="Times New Roman"/>
        </w:rPr>
        <w:footnoteRef/>
      </w:r>
      <w:r w:rsidR="00996DB9">
        <w:rPr>
          <w:rFonts w:cs="Times New Roman"/>
          <w:i/>
        </w:rPr>
        <w:t xml:space="preserve"> </w:t>
      </w:r>
      <w:r w:rsidRPr="0043371B">
        <w:rPr>
          <w:rFonts w:cs="Times New Roman"/>
          <w:i/>
        </w:rPr>
        <w:t>Memorandum Contra Ohio Power Company’s Motion for Tariff Amendment by the Office of Ohio Consumers’ Counsel</w:t>
      </w:r>
      <w:r w:rsidRPr="0043371B">
        <w:rPr>
          <w:rFonts w:cs="Times New Roman"/>
        </w:rPr>
        <w:t>, Case No. 16-0782-EL-CSS (Apr</w:t>
      </w:r>
      <w:r w:rsidR="000426E4">
        <w:rPr>
          <w:rFonts w:cs="Times New Roman"/>
        </w:rPr>
        <w:t>.</w:t>
      </w:r>
      <w:r w:rsidRPr="0043371B">
        <w:rPr>
          <w:rFonts w:cs="Times New Roman"/>
        </w:rPr>
        <w:t xml:space="preserve"> 27, 2016) (OCC Memo Contra AEP Ohio Motion to Amend).</w:t>
      </w:r>
    </w:p>
  </w:footnote>
  <w:footnote w:id="8">
    <w:p w:rsidR="00425FF3" w:rsidRPr="0043371B" w:rsidRDefault="00425FF3" w:rsidP="00436D93">
      <w:pPr>
        <w:pStyle w:val="FootnoteText"/>
        <w:rPr>
          <w:rFonts w:cs="Times New Roman"/>
        </w:rPr>
      </w:pPr>
      <w:r w:rsidRPr="0043371B">
        <w:rPr>
          <w:rStyle w:val="FootnoteReference"/>
          <w:rFonts w:cs="Times New Roman"/>
        </w:rPr>
        <w:footnoteRef/>
      </w:r>
      <w:r w:rsidR="00996DB9">
        <w:rPr>
          <w:rFonts w:cs="Times New Roman"/>
          <w:i/>
        </w:rPr>
        <w:t xml:space="preserve"> </w:t>
      </w:r>
      <w:r w:rsidRPr="0043371B">
        <w:rPr>
          <w:rFonts w:cs="Times New Roman"/>
          <w:i/>
        </w:rPr>
        <w:t>Memorandum Opposing Ohio Power Company’s Motion for Tariff Amendment by Industrial Energy Users-Ohio</w:t>
      </w:r>
      <w:r w:rsidRPr="0043371B">
        <w:rPr>
          <w:rFonts w:cs="Times New Roman"/>
        </w:rPr>
        <w:t xml:space="preserve">, Case No. 16-0782-EL-CSS (May 10, 2016) (IEU Memo Contra AEP Ohio Motion to Amend); </w:t>
      </w:r>
      <w:r w:rsidRPr="0043371B">
        <w:rPr>
          <w:rFonts w:cs="Times New Roman"/>
          <w:i/>
        </w:rPr>
        <w:t>Memorandum Contra of Nationwide Energy Partners, LLC</w:t>
      </w:r>
      <w:r w:rsidRPr="0043371B">
        <w:rPr>
          <w:rFonts w:cs="Times New Roman"/>
        </w:rPr>
        <w:t>, Case No. 16-0782-EL-CSS (May 12, 2016).</w:t>
      </w:r>
    </w:p>
  </w:footnote>
  <w:footnote w:id="9">
    <w:p w:rsidR="00425FF3" w:rsidRPr="0043371B" w:rsidRDefault="00425FF3" w:rsidP="00436D93">
      <w:pPr>
        <w:pStyle w:val="FootnoteText"/>
        <w:rPr>
          <w:rFonts w:cs="Times New Roman"/>
        </w:rPr>
      </w:pPr>
      <w:r w:rsidRPr="0043371B">
        <w:rPr>
          <w:rStyle w:val="FootnoteReference"/>
          <w:rFonts w:cs="Times New Roman"/>
        </w:rPr>
        <w:footnoteRef/>
      </w:r>
      <w:r w:rsidR="00996DB9">
        <w:rPr>
          <w:rFonts w:cs="Times New Roman"/>
          <w:i/>
        </w:rPr>
        <w:t xml:space="preserve"> </w:t>
      </w:r>
      <w:r w:rsidRPr="0043371B">
        <w:rPr>
          <w:rFonts w:cs="Times New Roman"/>
          <w:i/>
        </w:rPr>
        <w:t>Motion to Intervene of Industrial Energy Users-Ohio</w:t>
      </w:r>
      <w:r w:rsidRPr="0043371B">
        <w:rPr>
          <w:rFonts w:cs="Times New Roman"/>
        </w:rPr>
        <w:t xml:space="preserve">, Case No. 16-0782-EL-CSS (May 10, 2016); </w:t>
      </w:r>
      <w:r w:rsidRPr="0043371B">
        <w:rPr>
          <w:rFonts w:cs="Times New Roman"/>
          <w:i/>
        </w:rPr>
        <w:t>Motion for Limited Intervention of Nationwide Energy Partners, LLC</w:t>
      </w:r>
      <w:r w:rsidRPr="0043371B">
        <w:rPr>
          <w:rFonts w:cs="Times New Roman"/>
        </w:rPr>
        <w:t xml:space="preserve">, Case No. 16-0782-EL-CSS (May 12, 2016); </w:t>
      </w:r>
      <w:r w:rsidRPr="0043371B">
        <w:rPr>
          <w:rFonts w:cs="Times New Roman"/>
          <w:i/>
        </w:rPr>
        <w:t>Motion to Intervene of Ohio Apartment Assn and the International Council of Shopping Centers</w:t>
      </w:r>
      <w:r w:rsidRPr="0043371B">
        <w:rPr>
          <w:rFonts w:cs="Times New Roman"/>
        </w:rPr>
        <w:t>, Case No. 16-0782-EL-CSS (May 12, 2016).  OCC addressed the</w:t>
      </w:r>
      <w:r w:rsidRPr="0043371B">
        <w:rPr>
          <w:rFonts w:eastAsia="Times New Roman" w:cs="Times New Roman"/>
        </w:rPr>
        <w:t xml:space="preserve"> interventions of IEU, NEP, and OAA/ICSC in a memo contra filed on May 25, 2017.</w:t>
      </w:r>
    </w:p>
  </w:footnote>
  <w:footnote w:id="10">
    <w:p w:rsidR="00425FF3" w:rsidRPr="0043371B" w:rsidRDefault="00425FF3" w:rsidP="00CF3D99">
      <w:pPr>
        <w:pStyle w:val="FootnoteText"/>
        <w:rPr>
          <w:rFonts w:cs="Times New Roman"/>
        </w:rPr>
      </w:pPr>
      <w:r w:rsidRPr="0043371B">
        <w:rPr>
          <w:rStyle w:val="FootnoteReference"/>
          <w:rFonts w:cs="Times New Roman"/>
        </w:rPr>
        <w:footnoteRef/>
      </w:r>
      <w:r w:rsidRPr="0043371B">
        <w:rPr>
          <w:rFonts w:cs="Times New Roman"/>
        </w:rPr>
        <w:t xml:space="preserve"> </w:t>
      </w:r>
      <w:r w:rsidRPr="0043371B">
        <w:rPr>
          <w:rFonts w:cs="Times New Roman"/>
          <w:i/>
        </w:rPr>
        <w:t>Motion to Hold the Case in Abeyance filed by the Ohio Apartment Association and the International Council of Shopping  Centers</w:t>
      </w:r>
      <w:r w:rsidRPr="0043371B">
        <w:rPr>
          <w:rFonts w:cs="Times New Roman"/>
        </w:rPr>
        <w:t>, Case No. 16-0782-EL-CSS (May 12, 2016) (</w:t>
      </w:r>
      <w:r w:rsidR="000426E4">
        <w:rPr>
          <w:rFonts w:cs="Times New Roman"/>
        </w:rPr>
        <w:t>“</w:t>
      </w:r>
      <w:r w:rsidRPr="0043371B">
        <w:rPr>
          <w:rFonts w:cs="Times New Roman"/>
        </w:rPr>
        <w:t>Motion to Delay</w:t>
      </w:r>
      <w:r w:rsidR="000426E4">
        <w:rPr>
          <w:rFonts w:cs="Times New Roman"/>
        </w:rPr>
        <w:t>”</w:t>
      </w:r>
      <w:r w:rsidRPr="0043371B">
        <w:rPr>
          <w:rFonts w:cs="Times New Roman"/>
        </w:rPr>
        <w:t>).</w:t>
      </w:r>
    </w:p>
  </w:footnote>
  <w:footnote w:id="11">
    <w:p w:rsidR="00425FF3" w:rsidRPr="0043371B" w:rsidRDefault="00425FF3" w:rsidP="00A879EC">
      <w:pPr>
        <w:pStyle w:val="FootnoteText"/>
        <w:rPr>
          <w:rFonts w:cs="Times New Roman"/>
        </w:rPr>
      </w:pPr>
      <w:r w:rsidRPr="0043371B">
        <w:rPr>
          <w:rStyle w:val="FootnoteReference"/>
          <w:rFonts w:cs="Times New Roman"/>
        </w:rPr>
        <w:footnoteRef/>
      </w:r>
      <w:r w:rsidRPr="0043371B">
        <w:rPr>
          <w:rFonts w:cs="Times New Roman"/>
          <w:shd w:val="clear" w:color="auto" w:fill="FFFFFF"/>
        </w:rPr>
        <w:t xml:space="preserve"> Incidentally, OCC was precluded from protecting residential customers through another submetering complaint case.</w:t>
      </w:r>
      <w:r w:rsidRPr="0043371B">
        <w:rPr>
          <w:rFonts w:cs="Times New Roman"/>
          <w:i/>
        </w:rPr>
        <w:t xml:space="preserve"> Whitt v. Nationwide Energy Partners LLC</w:t>
      </w:r>
      <w:r w:rsidRPr="0043371B">
        <w:rPr>
          <w:rFonts w:cs="Times New Roman"/>
        </w:rPr>
        <w:t xml:space="preserve">, Case No. 15-697-EL-CSS, Entry at 5 (November 18, 2015) (denying OCC’s motion to intervene). </w:t>
      </w:r>
    </w:p>
  </w:footnote>
  <w:footnote w:id="12">
    <w:p w:rsidR="00425FF3" w:rsidRPr="0043371B" w:rsidRDefault="00425FF3" w:rsidP="00A879EC">
      <w:pPr>
        <w:pStyle w:val="FootnoteText"/>
        <w:rPr>
          <w:rFonts w:cs="Times New Roman"/>
        </w:rPr>
      </w:pPr>
      <w:r w:rsidRPr="0043371B">
        <w:rPr>
          <w:rStyle w:val="FootnoteReference"/>
          <w:rFonts w:cs="Times New Roman"/>
        </w:rPr>
        <w:footnoteRef/>
      </w:r>
      <w:r w:rsidRPr="0043371B">
        <w:rPr>
          <w:rFonts w:cs="Times New Roman"/>
        </w:rPr>
        <w:t xml:space="preserve"> OCC Complaint at 1-2, 12-13.</w:t>
      </w:r>
    </w:p>
  </w:footnote>
  <w:footnote w:id="13">
    <w:p w:rsidR="00425FF3" w:rsidRPr="0043371B" w:rsidRDefault="00425FF3" w:rsidP="00A879EC">
      <w:pPr>
        <w:pStyle w:val="FootnoteText"/>
        <w:rPr>
          <w:rFonts w:cs="Times New Roman"/>
        </w:rPr>
      </w:pPr>
      <w:r w:rsidRPr="0043371B">
        <w:rPr>
          <w:rStyle w:val="FootnoteReference"/>
          <w:rFonts w:cs="Times New Roman"/>
        </w:rPr>
        <w:footnoteRef/>
      </w:r>
      <w:r w:rsidRPr="0043371B">
        <w:rPr>
          <w:rFonts w:cs="Times New Roman"/>
        </w:rPr>
        <w:t xml:space="preserve"> AEP Ohio Motion to Amend at 4.</w:t>
      </w:r>
    </w:p>
  </w:footnote>
  <w:footnote w:id="14">
    <w:p w:rsidR="00425FF3" w:rsidRPr="0043371B" w:rsidRDefault="00425FF3" w:rsidP="003C0912">
      <w:pPr>
        <w:pStyle w:val="FootnoteText"/>
        <w:rPr>
          <w:rFonts w:cs="Times New Roman"/>
        </w:rPr>
      </w:pPr>
      <w:r w:rsidRPr="0043371B">
        <w:rPr>
          <w:rStyle w:val="FootnoteReference"/>
          <w:rFonts w:cs="Times New Roman"/>
        </w:rPr>
        <w:footnoteRef/>
      </w:r>
      <w:r w:rsidRPr="0043371B">
        <w:rPr>
          <w:rFonts w:cs="Times New Roman"/>
        </w:rPr>
        <w:t xml:space="preserve"> </w:t>
      </w:r>
      <w:r w:rsidRPr="0043371B">
        <w:rPr>
          <w:rFonts w:cs="Times New Roman"/>
          <w:i/>
        </w:rPr>
        <w:t>In the Matter of the Commission’s Investigation of Submetering in the state of Ohio</w:t>
      </w:r>
      <w:r w:rsidRPr="0043371B">
        <w:rPr>
          <w:rFonts w:cs="Times New Roman"/>
        </w:rPr>
        <w:t>, Case No. 15-1594-AU-COI, Entry at 1 (Dec</w:t>
      </w:r>
      <w:r w:rsidR="000426E4">
        <w:rPr>
          <w:rFonts w:cs="Times New Roman"/>
        </w:rPr>
        <w:t>.</w:t>
      </w:r>
      <w:r w:rsidRPr="0043371B">
        <w:rPr>
          <w:rFonts w:cs="Times New Roman"/>
        </w:rPr>
        <w:t xml:space="preserve"> 16, 2015).</w:t>
      </w:r>
    </w:p>
  </w:footnote>
  <w:footnote w:id="15">
    <w:p w:rsidR="00425FF3" w:rsidRPr="0043371B" w:rsidRDefault="00425FF3">
      <w:pPr>
        <w:pStyle w:val="FootnoteText"/>
        <w:rPr>
          <w:rFonts w:cs="Times New Roman"/>
        </w:rPr>
      </w:pPr>
      <w:r w:rsidRPr="0043371B">
        <w:rPr>
          <w:rStyle w:val="FootnoteReference"/>
          <w:rFonts w:cs="Times New Roman"/>
        </w:rPr>
        <w:footnoteRef/>
      </w:r>
      <w:r w:rsidRPr="0043371B">
        <w:rPr>
          <w:rFonts w:cs="Times New Roman"/>
        </w:rPr>
        <w:t xml:space="preserve"> Motion to Delay at 1, 4.</w:t>
      </w:r>
    </w:p>
  </w:footnote>
  <w:footnote w:id="16">
    <w:p w:rsidR="00425FF3" w:rsidRPr="0043371B" w:rsidRDefault="00425FF3" w:rsidP="0043371B">
      <w:pPr>
        <w:spacing w:after="120" w:line="240" w:lineRule="auto"/>
        <w:rPr>
          <w:rFonts w:ascii="Times New Roman" w:hAnsi="Times New Roman" w:cs="Times New Roman"/>
          <w:sz w:val="20"/>
          <w:szCs w:val="20"/>
        </w:rPr>
      </w:pPr>
      <w:r w:rsidRPr="0043371B">
        <w:rPr>
          <w:rStyle w:val="FootnoteReference"/>
          <w:rFonts w:ascii="Times New Roman" w:hAnsi="Times New Roman" w:cs="Times New Roman"/>
          <w:sz w:val="20"/>
          <w:szCs w:val="20"/>
        </w:rPr>
        <w:footnoteRef/>
      </w:r>
      <w:r w:rsidRPr="0043371B">
        <w:rPr>
          <w:rFonts w:ascii="Times New Roman" w:hAnsi="Times New Roman" w:cs="Times New Roman"/>
          <w:sz w:val="20"/>
          <w:szCs w:val="20"/>
        </w:rPr>
        <w:t xml:space="preserve"> </w:t>
      </w:r>
      <w:r w:rsidRPr="0043371B">
        <w:rPr>
          <w:rFonts w:ascii="Times New Roman" w:hAnsi="Times New Roman" w:cs="Times New Roman"/>
          <w:i/>
          <w:sz w:val="20"/>
          <w:szCs w:val="20"/>
        </w:rPr>
        <w:t>Memorandum Contra Motions to Intervene of Industrial Energy Users-Ohio, Nationwide Energy Partners, LLC, the Ohio Apartment Association, and the International Council of Shopping Centers</w:t>
      </w:r>
      <w:r w:rsidRPr="0043371B">
        <w:rPr>
          <w:rFonts w:ascii="Times New Roman" w:hAnsi="Times New Roman" w:cs="Times New Roman"/>
          <w:sz w:val="20"/>
          <w:szCs w:val="20"/>
        </w:rPr>
        <w:t xml:space="preserve"> at 2-3, Case No. 16-0782-EL-CSS (May 12, 2016).</w:t>
      </w:r>
    </w:p>
  </w:footnote>
  <w:footnote w:id="17">
    <w:p w:rsidR="00425FF3" w:rsidRPr="0043371B" w:rsidRDefault="00425FF3" w:rsidP="0043371B">
      <w:pPr>
        <w:pStyle w:val="FootnoteText"/>
        <w:rPr>
          <w:rFonts w:cs="Times New Roman"/>
        </w:rPr>
      </w:pPr>
      <w:r w:rsidRPr="0043371B">
        <w:rPr>
          <w:rStyle w:val="FootnoteReference"/>
          <w:rFonts w:cs="Times New Roman"/>
        </w:rPr>
        <w:footnoteRef/>
      </w:r>
      <w:r w:rsidRPr="0043371B">
        <w:rPr>
          <w:rFonts w:cs="Times New Roman"/>
        </w:rPr>
        <w:t xml:space="preserve"> See </w:t>
      </w:r>
      <w:r w:rsidRPr="0043371B">
        <w:rPr>
          <w:rFonts w:eastAsia="Times New Roman" w:cs="Times New Roman"/>
        </w:rPr>
        <w:t>R.C. 4903.221(B)(3)-(4).</w:t>
      </w:r>
    </w:p>
  </w:footnote>
  <w:footnote w:id="18">
    <w:p w:rsidR="00425FF3" w:rsidRPr="0043371B" w:rsidRDefault="00425FF3" w:rsidP="000D490A">
      <w:pPr>
        <w:pStyle w:val="FootnoteText"/>
        <w:rPr>
          <w:rFonts w:cs="Times New Roman"/>
        </w:rPr>
      </w:pPr>
      <w:r w:rsidRPr="0043371B">
        <w:rPr>
          <w:rStyle w:val="FootnoteReference"/>
          <w:rFonts w:cs="Times New Roman"/>
        </w:rPr>
        <w:footnoteRef/>
      </w:r>
      <w:r w:rsidRPr="0043371B">
        <w:rPr>
          <w:rFonts w:cs="Times New Roman"/>
        </w:rPr>
        <w:t xml:space="preserve"> OCC Complaint at 1-2, 12-13.</w:t>
      </w:r>
    </w:p>
  </w:footnote>
  <w:footnote w:id="19">
    <w:p w:rsidR="00425FF3" w:rsidRPr="0043371B" w:rsidRDefault="00425FF3" w:rsidP="0043371B">
      <w:pPr>
        <w:spacing w:after="120" w:line="240" w:lineRule="auto"/>
        <w:rPr>
          <w:rFonts w:ascii="Times New Roman" w:hAnsi="Times New Roman" w:cs="Times New Roman"/>
          <w:sz w:val="20"/>
          <w:szCs w:val="20"/>
        </w:rPr>
      </w:pPr>
      <w:r w:rsidRPr="0043371B">
        <w:rPr>
          <w:rStyle w:val="FootnoteReference"/>
          <w:rFonts w:ascii="Times New Roman" w:hAnsi="Times New Roman" w:cs="Times New Roman"/>
          <w:sz w:val="20"/>
          <w:szCs w:val="20"/>
        </w:rPr>
        <w:footnoteRef/>
      </w:r>
      <w:r w:rsidRPr="0043371B">
        <w:rPr>
          <w:rFonts w:ascii="Times New Roman" w:hAnsi="Times New Roman" w:cs="Times New Roman"/>
          <w:sz w:val="20"/>
          <w:szCs w:val="20"/>
        </w:rPr>
        <w:t xml:space="preserve"> </w:t>
      </w:r>
      <w:r w:rsidRPr="0043371B">
        <w:rPr>
          <w:rFonts w:ascii="Times New Roman" w:hAnsi="Times New Roman" w:cs="Times New Roman"/>
          <w:i/>
          <w:sz w:val="20"/>
          <w:szCs w:val="20"/>
        </w:rPr>
        <w:t>Memorandum Contra Motions to Intervene of Industrial Energy Users-Ohio, Nationwide Energy Partners, LLC, the Ohio Apartment Association, and the International Council of Shopping Centers</w:t>
      </w:r>
      <w:r w:rsidRPr="0043371B">
        <w:rPr>
          <w:rFonts w:ascii="Times New Roman" w:hAnsi="Times New Roman" w:cs="Times New Roman"/>
          <w:sz w:val="20"/>
          <w:szCs w:val="20"/>
        </w:rPr>
        <w:t xml:space="preserve"> at 2-3, Case No. 16-0782-EL-CSS (May 12, 2016).</w:t>
      </w:r>
    </w:p>
  </w:footnote>
  <w:footnote w:id="20">
    <w:p w:rsidR="00425FF3" w:rsidRPr="0043371B" w:rsidRDefault="00425FF3" w:rsidP="0043371B">
      <w:pPr>
        <w:pStyle w:val="FootnoteText"/>
        <w:rPr>
          <w:rFonts w:cs="Times New Roman"/>
        </w:rPr>
      </w:pPr>
      <w:r w:rsidRPr="0043371B">
        <w:rPr>
          <w:rStyle w:val="FootnoteReference"/>
          <w:rFonts w:cs="Times New Roman"/>
        </w:rPr>
        <w:footnoteRef/>
      </w:r>
      <w:r w:rsidRPr="0043371B">
        <w:rPr>
          <w:rFonts w:cs="Times New Roman"/>
        </w:rPr>
        <w:t xml:space="preserve"> OAA/ICSC Motion to Intervene at 3-4.</w:t>
      </w:r>
    </w:p>
  </w:footnote>
  <w:footnote w:id="21">
    <w:p w:rsidR="00425FF3" w:rsidRPr="0043371B" w:rsidRDefault="00425FF3">
      <w:pPr>
        <w:pStyle w:val="FootnoteText"/>
        <w:rPr>
          <w:rFonts w:cs="Times New Roman"/>
        </w:rPr>
      </w:pPr>
      <w:r w:rsidRPr="0043371B">
        <w:rPr>
          <w:rStyle w:val="FootnoteReference"/>
          <w:rFonts w:cs="Times New Roman"/>
        </w:rPr>
        <w:footnoteRef/>
      </w:r>
      <w:r w:rsidRPr="0043371B">
        <w:rPr>
          <w:rFonts w:cs="Times New Roman"/>
        </w:rPr>
        <w:t xml:space="preserve"> </w:t>
      </w:r>
      <w:r w:rsidRPr="0043371B">
        <w:rPr>
          <w:rFonts w:cs="Times New Roman"/>
          <w:i/>
        </w:rPr>
        <w:t>In the Matter of the Complaint of Whitt v. Nationwide Energy Partners, LLC</w:t>
      </w:r>
      <w:r w:rsidRPr="0043371B">
        <w:rPr>
          <w:rFonts w:cs="Times New Roman"/>
        </w:rPr>
        <w:t>, Case No. 15-697-EL-CSS, Entry at 5 (Nov</w:t>
      </w:r>
      <w:r w:rsidR="000426E4">
        <w:rPr>
          <w:rFonts w:cs="Times New Roman"/>
        </w:rPr>
        <w:t>.</w:t>
      </w:r>
      <w:r w:rsidRPr="0043371B">
        <w:rPr>
          <w:rFonts w:cs="Times New Roman"/>
        </w:rPr>
        <w:t xml:space="preserve"> 18, 2015) (</w:t>
      </w:r>
      <w:r w:rsidRPr="0043371B">
        <w:rPr>
          <w:rFonts w:cs="Times New Roman"/>
          <w:i/>
        </w:rPr>
        <w:t>In re Whitt</w:t>
      </w:r>
      <w:r w:rsidRPr="0043371B">
        <w:rPr>
          <w:rFonts w:cs="Times New Roman"/>
        </w:rPr>
        <w:t>).</w:t>
      </w:r>
    </w:p>
  </w:footnote>
  <w:footnote w:id="22">
    <w:p w:rsidR="00425FF3" w:rsidRPr="0043371B" w:rsidRDefault="00425FF3" w:rsidP="002959F3">
      <w:pPr>
        <w:pStyle w:val="FootnoteText"/>
        <w:rPr>
          <w:rFonts w:cs="Times New Roman"/>
        </w:rPr>
      </w:pPr>
      <w:r w:rsidRPr="0043371B">
        <w:rPr>
          <w:rStyle w:val="FootnoteReference"/>
          <w:rFonts w:cs="Times New Roman"/>
        </w:rPr>
        <w:footnoteRef/>
      </w:r>
      <w:r w:rsidRPr="0043371B">
        <w:rPr>
          <w:rFonts w:cs="Times New Roman"/>
        </w:rPr>
        <w:t xml:space="preserve"> </w:t>
      </w:r>
      <w:r w:rsidRPr="0043371B">
        <w:rPr>
          <w:rFonts w:cs="Times New Roman"/>
          <w:i/>
        </w:rPr>
        <w:t>In the Matter of the Complaint of OHIOTELNET.COM, INC. v. Windstream Ohio, Inc.</w:t>
      </w:r>
      <w:r w:rsidRPr="0043371B">
        <w:rPr>
          <w:rFonts w:cs="Times New Roman"/>
        </w:rPr>
        <w:t>, Case No. 09-515-TP-CSS, Entry at 9 (Dec</w:t>
      </w:r>
      <w:r w:rsidR="000426E4">
        <w:rPr>
          <w:rFonts w:cs="Times New Roman"/>
        </w:rPr>
        <w:t>.</w:t>
      </w:r>
      <w:r w:rsidRPr="0043371B">
        <w:rPr>
          <w:rFonts w:cs="Times New Roman"/>
        </w:rPr>
        <w:t xml:space="preserve"> 1, 2010).  See also, </w:t>
      </w:r>
      <w:r w:rsidRPr="0043371B">
        <w:rPr>
          <w:rFonts w:cs="Times New Roman"/>
          <w:i/>
        </w:rPr>
        <w:t>Cleveland Electric Illuminating Co. v. Medical Center Co.</w:t>
      </w:r>
      <w:r w:rsidRPr="0043371B">
        <w:rPr>
          <w:rFonts w:cs="Times New Roman"/>
        </w:rPr>
        <w:t>, Case No. 95-458-EL-UNC, Entry on Rehearing at 3 (Oct</w:t>
      </w:r>
      <w:r w:rsidR="000426E4">
        <w:rPr>
          <w:rFonts w:cs="Times New Roman"/>
        </w:rPr>
        <w:t>.</w:t>
      </w:r>
      <w:r w:rsidRPr="0043371B">
        <w:rPr>
          <w:rFonts w:cs="Times New Roman"/>
        </w:rPr>
        <w:t xml:space="preserve"> 5, 1995) (“It would be inappropriate to consider additional allegations not raised in the original complaint.”).</w:t>
      </w:r>
    </w:p>
  </w:footnote>
  <w:footnote w:id="23">
    <w:p w:rsidR="00425FF3" w:rsidRPr="0043371B" w:rsidRDefault="00425FF3">
      <w:pPr>
        <w:pStyle w:val="FootnoteText"/>
        <w:rPr>
          <w:rFonts w:cs="Times New Roman"/>
        </w:rPr>
      </w:pPr>
      <w:r w:rsidRPr="0043371B">
        <w:rPr>
          <w:rStyle w:val="FootnoteReference"/>
          <w:rFonts w:cs="Times New Roman"/>
        </w:rPr>
        <w:footnoteRef/>
      </w:r>
      <w:r w:rsidRPr="0043371B">
        <w:rPr>
          <w:rFonts w:cs="Times New Roman"/>
        </w:rPr>
        <w:t xml:space="preserve"> Motion to Delay at 5-6.</w:t>
      </w:r>
    </w:p>
  </w:footnote>
  <w:footnote w:id="24">
    <w:p w:rsidR="00425FF3" w:rsidRPr="0043371B" w:rsidRDefault="00425FF3">
      <w:pPr>
        <w:pStyle w:val="FootnoteText"/>
        <w:rPr>
          <w:rFonts w:cs="Times New Roman"/>
        </w:rPr>
      </w:pPr>
      <w:r w:rsidRPr="0043371B">
        <w:rPr>
          <w:rStyle w:val="FootnoteReference"/>
          <w:rFonts w:cs="Times New Roman"/>
        </w:rPr>
        <w:footnoteRef/>
      </w:r>
      <w:r w:rsidRPr="0043371B">
        <w:rPr>
          <w:rFonts w:cs="Times New Roman"/>
        </w:rPr>
        <w:t xml:space="preserve"> Id. at 6 (OAA/ICSC even recognizes that not all of the issues raised by OCC in its Complaint to protect residential customers may be resolved by the Submetering COI).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C" w:rsidRDefault="00BF5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A" w:rsidRDefault="00DD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A2C"/>
    <w:multiLevelType w:val="hybridMultilevel"/>
    <w:tmpl w:val="3A1EE3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EE6CEC"/>
    <w:multiLevelType w:val="hybridMultilevel"/>
    <w:tmpl w:val="87044E68"/>
    <w:lvl w:ilvl="0" w:tplc="7CBE09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942BC"/>
    <w:multiLevelType w:val="hybridMultilevel"/>
    <w:tmpl w:val="B1C8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FB2B92"/>
    <w:multiLevelType w:val="hybridMultilevel"/>
    <w:tmpl w:val="23C23D6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C"/>
    <w:rsid w:val="00002FE7"/>
    <w:rsid w:val="00027406"/>
    <w:rsid w:val="00033449"/>
    <w:rsid w:val="000373E5"/>
    <w:rsid w:val="000426E4"/>
    <w:rsid w:val="00052360"/>
    <w:rsid w:val="00080349"/>
    <w:rsid w:val="00082787"/>
    <w:rsid w:val="000A71A1"/>
    <w:rsid w:val="000B1EC7"/>
    <w:rsid w:val="000B7A13"/>
    <w:rsid w:val="000D490A"/>
    <w:rsid w:val="00117AD7"/>
    <w:rsid w:val="00122AEB"/>
    <w:rsid w:val="00164084"/>
    <w:rsid w:val="001943BE"/>
    <w:rsid w:val="001A25FB"/>
    <w:rsid w:val="001E471C"/>
    <w:rsid w:val="001E6C19"/>
    <w:rsid w:val="001F792B"/>
    <w:rsid w:val="0021528E"/>
    <w:rsid w:val="00230498"/>
    <w:rsid w:val="00241500"/>
    <w:rsid w:val="00242E3F"/>
    <w:rsid w:val="0025548F"/>
    <w:rsid w:val="00264FA3"/>
    <w:rsid w:val="002959F3"/>
    <w:rsid w:val="002A48B9"/>
    <w:rsid w:val="002A57FC"/>
    <w:rsid w:val="002E15DD"/>
    <w:rsid w:val="0030434C"/>
    <w:rsid w:val="00312E21"/>
    <w:rsid w:val="003234A1"/>
    <w:rsid w:val="0033068B"/>
    <w:rsid w:val="003526F5"/>
    <w:rsid w:val="003660D7"/>
    <w:rsid w:val="00377CB8"/>
    <w:rsid w:val="003836F9"/>
    <w:rsid w:val="003849AB"/>
    <w:rsid w:val="003A10F6"/>
    <w:rsid w:val="003A31EA"/>
    <w:rsid w:val="003B18D1"/>
    <w:rsid w:val="003B2048"/>
    <w:rsid w:val="003C0912"/>
    <w:rsid w:val="003D1CAB"/>
    <w:rsid w:val="003D3269"/>
    <w:rsid w:val="003D7563"/>
    <w:rsid w:val="00401625"/>
    <w:rsid w:val="00425FF3"/>
    <w:rsid w:val="00431E03"/>
    <w:rsid w:val="0043371B"/>
    <w:rsid w:val="00436D93"/>
    <w:rsid w:val="00436E3F"/>
    <w:rsid w:val="004512C0"/>
    <w:rsid w:val="00480539"/>
    <w:rsid w:val="004942EB"/>
    <w:rsid w:val="004B6818"/>
    <w:rsid w:val="004D0184"/>
    <w:rsid w:val="004E294C"/>
    <w:rsid w:val="004F40C3"/>
    <w:rsid w:val="004F7360"/>
    <w:rsid w:val="004F7E87"/>
    <w:rsid w:val="00503F76"/>
    <w:rsid w:val="00510F82"/>
    <w:rsid w:val="00557D0E"/>
    <w:rsid w:val="00557E18"/>
    <w:rsid w:val="0057431A"/>
    <w:rsid w:val="005859D7"/>
    <w:rsid w:val="005869DE"/>
    <w:rsid w:val="0059406D"/>
    <w:rsid w:val="005A14C0"/>
    <w:rsid w:val="005B3468"/>
    <w:rsid w:val="006152C0"/>
    <w:rsid w:val="00620152"/>
    <w:rsid w:val="00627BF9"/>
    <w:rsid w:val="00641818"/>
    <w:rsid w:val="00652D74"/>
    <w:rsid w:val="006545FF"/>
    <w:rsid w:val="00660EB9"/>
    <w:rsid w:val="00691FD4"/>
    <w:rsid w:val="006F17C7"/>
    <w:rsid w:val="006F65E7"/>
    <w:rsid w:val="006F6FBF"/>
    <w:rsid w:val="0070115E"/>
    <w:rsid w:val="00747A3B"/>
    <w:rsid w:val="00766CEA"/>
    <w:rsid w:val="007673A1"/>
    <w:rsid w:val="0077723E"/>
    <w:rsid w:val="007931AA"/>
    <w:rsid w:val="00793E0A"/>
    <w:rsid w:val="00794367"/>
    <w:rsid w:val="007D15B8"/>
    <w:rsid w:val="00820DE2"/>
    <w:rsid w:val="00827BCE"/>
    <w:rsid w:val="00843080"/>
    <w:rsid w:val="0085469A"/>
    <w:rsid w:val="00876754"/>
    <w:rsid w:val="00882CB7"/>
    <w:rsid w:val="008E27FA"/>
    <w:rsid w:val="008F39A7"/>
    <w:rsid w:val="008F7CB1"/>
    <w:rsid w:val="0093708F"/>
    <w:rsid w:val="0094653B"/>
    <w:rsid w:val="0094766A"/>
    <w:rsid w:val="00955B8B"/>
    <w:rsid w:val="00982497"/>
    <w:rsid w:val="00983AA9"/>
    <w:rsid w:val="00991ACE"/>
    <w:rsid w:val="00996DB9"/>
    <w:rsid w:val="009B4347"/>
    <w:rsid w:val="009C4676"/>
    <w:rsid w:val="009F19C9"/>
    <w:rsid w:val="00A12C3A"/>
    <w:rsid w:val="00A26EFC"/>
    <w:rsid w:val="00A36B5D"/>
    <w:rsid w:val="00A37946"/>
    <w:rsid w:val="00A61F8A"/>
    <w:rsid w:val="00A70629"/>
    <w:rsid w:val="00A71B47"/>
    <w:rsid w:val="00A80D70"/>
    <w:rsid w:val="00A879EC"/>
    <w:rsid w:val="00A90B7B"/>
    <w:rsid w:val="00A9625F"/>
    <w:rsid w:val="00AC59C5"/>
    <w:rsid w:val="00AC67D5"/>
    <w:rsid w:val="00AD4716"/>
    <w:rsid w:val="00AD54C4"/>
    <w:rsid w:val="00B00ECB"/>
    <w:rsid w:val="00B06B00"/>
    <w:rsid w:val="00B10CE4"/>
    <w:rsid w:val="00B44247"/>
    <w:rsid w:val="00B50EC5"/>
    <w:rsid w:val="00B511C2"/>
    <w:rsid w:val="00B643BC"/>
    <w:rsid w:val="00B701A4"/>
    <w:rsid w:val="00B85FE2"/>
    <w:rsid w:val="00B94EFD"/>
    <w:rsid w:val="00BD6B92"/>
    <w:rsid w:val="00BF52DC"/>
    <w:rsid w:val="00C048C5"/>
    <w:rsid w:val="00C15DEE"/>
    <w:rsid w:val="00C2607B"/>
    <w:rsid w:val="00C27C76"/>
    <w:rsid w:val="00C56D6D"/>
    <w:rsid w:val="00C629D4"/>
    <w:rsid w:val="00C655D6"/>
    <w:rsid w:val="00C80A22"/>
    <w:rsid w:val="00C83479"/>
    <w:rsid w:val="00CA0FC8"/>
    <w:rsid w:val="00CB1AA2"/>
    <w:rsid w:val="00CB6F90"/>
    <w:rsid w:val="00CC3BE9"/>
    <w:rsid w:val="00CC4C4D"/>
    <w:rsid w:val="00CC7F8C"/>
    <w:rsid w:val="00CD2906"/>
    <w:rsid w:val="00CD4505"/>
    <w:rsid w:val="00CD46EC"/>
    <w:rsid w:val="00CF3D99"/>
    <w:rsid w:val="00D11015"/>
    <w:rsid w:val="00D33801"/>
    <w:rsid w:val="00D37BD5"/>
    <w:rsid w:val="00D60AA6"/>
    <w:rsid w:val="00D61D8B"/>
    <w:rsid w:val="00D62371"/>
    <w:rsid w:val="00D723E9"/>
    <w:rsid w:val="00D755ED"/>
    <w:rsid w:val="00D77056"/>
    <w:rsid w:val="00D85B20"/>
    <w:rsid w:val="00DA21D3"/>
    <w:rsid w:val="00DD2AC5"/>
    <w:rsid w:val="00DD3B27"/>
    <w:rsid w:val="00DD43F5"/>
    <w:rsid w:val="00DD461F"/>
    <w:rsid w:val="00DD4DFA"/>
    <w:rsid w:val="00DE4064"/>
    <w:rsid w:val="00DE58C9"/>
    <w:rsid w:val="00E002E2"/>
    <w:rsid w:val="00E1242B"/>
    <w:rsid w:val="00E13DB2"/>
    <w:rsid w:val="00E36A22"/>
    <w:rsid w:val="00E51BE9"/>
    <w:rsid w:val="00E530F1"/>
    <w:rsid w:val="00E53C7D"/>
    <w:rsid w:val="00E8786C"/>
    <w:rsid w:val="00EB7A48"/>
    <w:rsid w:val="00ED4E24"/>
    <w:rsid w:val="00EE448C"/>
    <w:rsid w:val="00EE47DF"/>
    <w:rsid w:val="00EF6239"/>
    <w:rsid w:val="00F03BFF"/>
    <w:rsid w:val="00F05364"/>
    <w:rsid w:val="00F238C3"/>
    <w:rsid w:val="00F51E9E"/>
    <w:rsid w:val="00F53E3A"/>
    <w:rsid w:val="00F5584D"/>
    <w:rsid w:val="00F61BDB"/>
    <w:rsid w:val="00F66FB3"/>
    <w:rsid w:val="00F70502"/>
    <w:rsid w:val="00FC44AE"/>
    <w:rsid w:val="00FD1593"/>
    <w:rsid w:val="00FD254A"/>
    <w:rsid w:val="00FD47B4"/>
    <w:rsid w:val="00FF1763"/>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DFA"/>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DD4DFA"/>
    <w:pPr>
      <w:keepNext/>
      <w:keepLines/>
      <w:spacing w:after="240" w:line="240" w:lineRule="auto"/>
      <w:ind w:left="144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 w:type="paragraph" w:styleId="NormalWeb">
    <w:name w:val="Normal (Web)"/>
    <w:basedOn w:val="Normal"/>
    <w:uiPriority w:val="99"/>
    <w:semiHidden/>
    <w:unhideWhenUsed/>
    <w:rsid w:val="0026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FA3"/>
  </w:style>
  <w:style w:type="paragraph" w:styleId="Revision">
    <w:name w:val="Revision"/>
    <w:hidden/>
    <w:uiPriority w:val="99"/>
    <w:semiHidden/>
    <w:rsid w:val="00652D74"/>
    <w:pPr>
      <w:spacing w:after="0" w:line="240" w:lineRule="auto"/>
    </w:pPr>
  </w:style>
  <w:style w:type="character" w:customStyle="1" w:styleId="Heading1Char">
    <w:name w:val="Heading 1 Char"/>
    <w:basedOn w:val="DefaultParagraphFont"/>
    <w:link w:val="Heading1"/>
    <w:uiPriority w:val="9"/>
    <w:rsid w:val="00DD4DFA"/>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DD4DFA"/>
    <w:rPr>
      <w:rFonts w:ascii="Times New Roman" w:eastAsiaTheme="majorEastAsia" w:hAnsi="Times New Roman" w:cstheme="majorBidi"/>
      <w:b/>
      <w:bCs/>
      <w:sz w:val="24"/>
      <w:szCs w:val="26"/>
    </w:rPr>
  </w:style>
  <w:style w:type="table" w:styleId="TableGrid">
    <w:name w:val="Table Grid"/>
    <w:basedOn w:val="TableNormal"/>
    <w:uiPriority w:val="59"/>
    <w:rsid w:val="00D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DFA"/>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DD4DFA"/>
    <w:pPr>
      <w:keepNext/>
      <w:keepLines/>
      <w:spacing w:after="240" w:line="240" w:lineRule="auto"/>
      <w:ind w:left="144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 w:type="paragraph" w:styleId="NormalWeb">
    <w:name w:val="Normal (Web)"/>
    <w:basedOn w:val="Normal"/>
    <w:uiPriority w:val="99"/>
    <w:semiHidden/>
    <w:unhideWhenUsed/>
    <w:rsid w:val="0026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FA3"/>
  </w:style>
  <w:style w:type="paragraph" w:styleId="Revision">
    <w:name w:val="Revision"/>
    <w:hidden/>
    <w:uiPriority w:val="99"/>
    <w:semiHidden/>
    <w:rsid w:val="00652D74"/>
    <w:pPr>
      <w:spacing w:after="0" w:line="240" w:lineRule="auto"/>
    </w:pPr>
  </w:style>
  <w:style w:type="character" w:customStyle="1" w:styleId="Heading1Char">
    <w:name w:val="Heading 1 Char"/>
    <w:basedOn w:val="DefaultParagraphFont"/>
    <w:link w:val="Heading1"/>
    <w:uiPriority w:val="9"/>
    <w:rsid w:val="00DD4DFA"/>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DD4DFA"/>
    <w:rPr>
      <w:rFonts w:ascii="Times New Roman" w:eastAsiaTheme="majorEastAsia" w:hAnsi="Times New Roman" w:cstheme="majorBidi"/>
      <w:b/>
      <w:bCs/>
      <w:sz w:val="24"/>
      <w:szCs w:val="26"/>
    </w:rPr>
  </w:style>
  <w:style w:type="table" w:styleId="TableGrid">
    <w:name w:val="Table Grid"/>
    <w:basedOn w:val="TableNormal"/>
    <w:uiPriority w:val="59"/>
    <w:rsid w:val="00D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7451">
      <w:bodyDiv w:val="1"/>
      <w:marLeft w:val="0"/>
      <w:marRight w:val="0"/>
      <w:marTop w:val="0"/>
      <w:marBottom w:val="0"/>
      <w:divBdr>
        <w:top w:val="none" w:sz="0" w:space="0" w:color="auto"/>
        <w:left w:val="none" w:sz="0" w:space="0" w:color="auto"/>
        <w:bottom w:val="none" w:sz="0" w:space="0" w:color="auto"/>
        <w:right w:val="none" w:sz="0" w:space="0" w:color="auto"/>
      </w:divBdr>
    </w:div>
    <w:div w:id="13290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wright@ohioattorneygeneral.gov" TargetMode="Externa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jsettineri@vory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hyperlink" Target="mailto:mkeaney@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jko@carpenterlipps.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8903</Characters>
  <Application>Microsoft Office Word</Application>
  <DocSecurity>0</DocSecurity>
  <PresentationFormat/>
  <Lines>208</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2016-05-25T17:11:00Z</cp:lastPrinted>
  <dcterms:created xsi:type="dcterms:W3CDTF">2016-05-27T21:01:00Z</dcterms:created>
  <dcterms:modified xsi:type="dcterms:W3CDTF">2016-05-27T21:01:00Z</dcterms:modified>
  <cp:category> </cp:category>
  <cp:contentStatus> </cp:contentStatus>
</cp:coreProperties>
</file>