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86FBB" w:rsidRPr="005B6A0F" w:rsidP="00B86FBB" w14:paraId="1FC20822" w14:textId="11638553">
      <w:pPr>
        <w:pStyle w:val="HTMLPreformatted"/>
        <w:jc w:val="center"/>
        <w:rPr>
          <w:rFonts w:ascii="Times New Roman" w:hAnsi="Times New Roman" w:cs="Times New Roman"/>
          <w:b/>
          <w:bCs/>
          <w:sz w:val="24"/>
          <w:szCs w:val="24"/>
        </w:rPr>
      </w:pPr>
      <w:r w:rsidRPr="005B6A0F">
        <w:rPr>
          <w:rFonts w:ascii="Times New Roman" w:hAnsi="Times New Roman" w:cs="Times New Roman"/>
          <w:b/>
          <w:bCs/>
          <w:sz w:val="24"/>
          <w:szCs w:val="24"/>
        </w:rPr>
        <w:t>BEFORE</w:t>
      </w:r>
    </w:p>
    <w:p w:rsidR="00B86FBB" w:rsidRPr="005B6A0F" w:rsidP="00B86FBB" w14:paraId="71BEB0AD" w14:textId="77777777">
      <w:pPr>
        <w:pStyle w:val="HTMLPreformatted"/>
        <w:jc w:val="center"/>
        <w:rPr>
          <w:rFonts w:ascii="Times New Roman" w:hAnsi="Times New Roman" w:cs="Times New Roman"/>
          <w:sz w:val="24"/>
          <w:szCs w:val="24"/>
        </w:rPr>
      </w:pPr>
      <w:r w:rsidRPr="005B6A0F">
        <w:rPr>
          <w:rFonts w:ascii="Times New Roman" w:hAnsi="Times New Roman" w:cs="Times New Roman"/>
          <w:b/>
          <w:bCs/>
          <w:sz w:val="24"/>
          <w:szCs w:val="24"/>
        </w:rPr>
        <w:t>THE PUBLIC UTILITIES COMMISSION OF OHIO</w:t>
      </w:r>
    </w:p>
    <w:p w:rsidR="00B86FBB" w:rsidRPr="005B6A0F" w:rsidP="00B86FBB" w14:paraId="3B8CE31F" w14:textId="77777777">
      <w:pPr>
        <w:pStyle w:val="HTMLPreformatted"/>
        <w:rPr>
          <w:rFonts w:ascii="Times New Roman" w:hAnsi="Times New Roman" w:cs="Times New Roman"/>
          <w:sz w:val="24"/>
          <w:szCs w:val="24"/>
        </w:rPr>
      </w:pPr>
    </w:p>
    <w:tbl>
      <w:tblPr>
        <w:tblW w:w="9818" w:type="dxa"/>
        <w:tblLook w:val="01E0"/>
      </w:tblPr>
      <w:tblGrid>
        <w:gridCol w:w="5058"/>
        <w:gridCol w:w="360"/>
        <w:gridCol w:w="4400"/>
      </w:tblGrid>
      <w:tr w14:paraId="713475AA" w14:textId="77777777" w:rsidTr="006567BE">
        <w:tblPrEx>
          <w:tblW w:w="9818" w:type="dxa"/>
          <w:tblLook w:val="01E0"/>
        </w:tblPrEx>
        <w:trPr>
          <w:trHeight w:val="807"/>
        </w:trPr>
        <w:tc>
          <w:tcPr>
            <w:tcW w:w="5058" w:type="dxa"/>
            <w:shd w:val="clear" w:color="auto" w:fill="auto"/>
          </w:tcPr>
          <w:p w:rsidR="00B86FBB" w:rsidRPr="005B6A0F" w:rsidP="006567BE" w14:paraId="26F1E2EC" w14:textId="77777777">
            <w:pPr>
              <w:autoSpaceDE w:val="0"/>
              <w:autoSpaceDN w:val="0"/>
              <w:adjustRightInd w:val="0"/>
              <w:rPr>
                <w:szCs w:val="24"/>
              </w:rPr>
            </w:pPr>
            <w:r w:rsidRPr="005B6A0F">
              <w:rPr>
                <w:szCs w:val="24"/>
              </w:rPr>
              <w:t>In the Matter of the Application of Ohio Power Company to Update its gridSMART Phase 2 Rider Rates.</w:t>
            </w:r>
          </w:p>
          <w:p w:rsidR="00B86FBB" w:rsidRPr="005B6A0F" w:rsidP="006567BE" w14:paraId="289B363A" w14:textId="77777777">
            <w:pPr>
              <w:autoSpaceDE w:val="0"/>
              <w:autoSpaceDN w:val="0"/>
              <w:adjustRightInd w:val="0"/>
              <w:rPr>
                <w:szCs w:val="24"/>
              </w:rPr>
            </w:pPr>
          </w:p>
        </w:tc>
        <w:tc>
          <w:tcPr>
            <w:tcW w:w="360" w:type="dxa"/>
            <w:shd w:val="clear" w:color="auto" w:fill="auto"/>
          </w:tcPr>
          <w:p w:rsidR="00B86FBB" w:rsidRPr="005B6A0F" w:rsidP="006567BE" w14:paraId="657C1547" w14:textId="77777777">
            <w:pPr>
              <w:pStyle w:val="HTMLPreformatted"/>
              <w:rPr>
                <w:rFonts w:ascii="Times New Roman" w:hAnsi="Times New Roman" w:cs="Times New Roman"/>
                <w:sz w:val="24"/>
                <w:szCs w:val="24"/>
              </w:rPr>
            </w:pPr>
            <w:r w:rsidRPr="005B6A0F">
              <w:rPr>
                <w:rFonts w:ascii="Times New Roman" w:hAnsi="Times New Roman" w:cs="Times New Roman"/>
                <w:sz w:val="24"/>
                <w:szCs w:val="24"/>
              </w:rPr>
              <w:t>)</w:t>
            </w:r>
          </w:p>
          <w:p w:rsidR="00B86FBB" w:rsidRPr="005B6A0F" w:rsidP="006567BE" w14:paraId="64492633" w14:textId="77777777">
            <w:pPr>
              <w:pStyle w:val="HTMLPreformatted"/>
              <w:rPr>
                <w:rFonts w:ascii="Times New Roman" w:hAnsi="Times New Roman" w:cs="Times New Roman"/>
                <w:sz w:val="24"/>
                <w:szCs w:val="24"/>
              </w:rPr>
            </w:pPr>
            <w:r w:rsidRPr="005B6A0F">
              <w:rPr>
                <w:rFonts w:ascii="Times New Roman" w:hAnsi="Times New Roman" w:cs="Times New Roman"/>
                <w:sz w:val="24"/>
                <w:szCs w:val="24"/>
              </w:rPr>
              <w:t>)</w:t>
            </w:r>
          </w:p>
          <w:p w:rsidR="00B86FBB" w:rsidRPr="005B6A0F" w:rsidP="006567BE" w14:paraId="654B5176" w14:textId="77777777">
            <w:pPr>
              <w:pStyle w:val="HTMLPreformatted"/>
              <w:rPr>
                <w:rFonts w:ascii="Times New Roman" w:hAnsi="Times New Roman" w:cs="Times New Roman"/>
                <w:sz w:val="24"/>
                <w:szCs w:val="24"/>
              </w:rPr>
            </w:pPr>
            <w:r w:rsidRPr="005B6A0F">
              <w:rPr>
                <w:rFonts w:ascii="Times New Roman" w:hAnsi="Times New Roman" w:cs="Times New Roman"/>
                <w:sz w:val="24"/>
                <w:szCs w:val="24"/>
              </w:rPr>
              <w:t>)</w:t>
            </w:r>
          </w:p>
          <w:p w:rsidR="00B86FBB" w:rsidRPr="005B6A0F" w:rsidP="006567BE" w14:paraId="1580FB07" w14:textId="77777777">
            <w:pPr>
              <w:pStyle w:val="HTMLPreformatted"/>
              <w:rPr>
                <w:rFonts w:ascii="Times New Roman" w:hAnsi="Times New Roman" w:cs="Times New Roman"/>
                <w:sz w:val="24"/>
                <w:szCs w:val="24"/>
              </w:rPr>
            </w:pPr>
          </w:p>
        </w:tc>
        <w:tc>
          <w:tcPr>
            <w:tcW w:w="4400" w:type="dxa"/>
            <w:shd w:val="clear" w:color="auto" w:fill="auto"/>
          </w:tcPr>
          <w:p w:rsidR="00B86FBB" w:rsidRPr="005B6A0F" w:rsidP="006567BE" w14:paraId="102B093F" w14:textId="77777777">
            <w:pPr>
              <w:pStyle w:val="HTMLPreformatted"/>
              <w:rPr>
                <w:rFonts w:ascii="Times New Roman" w:hAnsi="Times New Roman" w:cs="Times New Roman"/>
                <w:sz w:val="24"/>
                <w:szCs w:val="24"/>
              </w:rPr>
            </w:pPr>
          </w:p>
          <w:p w:rsidR="00B86FBB" w:rsidRPr="005B6A0F" w:rsidP="006567BE" w14:paraId="5E0E7739" w14:textId="77777777">
            <w:pPr>
              <w:rPr>
                <w:i/>
                <w:szCs w:val="24"/>
              </w:rPr>
            </w:pPr>
            <w:r w:rsidRPr="005B6A0F">
              <w:rPr>
                <w:szCs w:val="24"/>
              </w:rPr>
              <w:t>Case No. 19-1029-EL-RDR</w:t>
            </w:r>
          </w:p>
          <w:p w:rsidR="00B86FBB" w:rsidRPr="005B6A0F" w:rsidP="006567BE" w14:paraId="6C00AE88" w14:textId="77777777">
            <w:pPr>
              <w:pStyle w:val="HTMLPreformatted"/>
              <w:rPr>
                <w:rFonts w:ascii="Times New Roman" w:hAnsi="Times New Roman" w:cs="Times New Roman"/>
                <w:sz w:val="24"/>
                <w:szCs w:val="24"/>
              </w:rPr>
            </w:pPr>
          </w:p>
        </w:tc>
      </w:tr>
    </w:tbl>
    <w:p w:rsidR="00B86FBB" w:rsidRPr="005B6A0F" w:rsidP="00B86FBB" w14:paraId="0492E815" w14:textId="77777777">
      <w:pPr>
        <w:pStyle w:val="HTMLPreformatted"/>
        <w:pBdr>
          <w:top w:val="single" w:sz="12" w:space="1" w:color="auto"/>
        </w:pBdr>
        <w:rPr>
          <w:rFonts w:ascii="Times New Roman" w:hAnsi="Times New Roman" w:cs="Times New Roman"/>
          <w:sz w:val="24"/>
          <w:szCs w:val="24"/>
        </w:rPr>
      </w:pPr>
    </w:p>
    <w:p w:rsidR="00B86FBB" w:rsidRPr="005B6A0F" w:rsidP="00B86FBB" w14:paraId="12DE21B5" w14:textId="77777777">
      <w:pPr>
        <w:jc w:val="center"/>
        <w:rPr>
          <w:b/>
          <w:bCs/>
          <w:szCs w:val="24"/>
        </w:rPr>
      </w:pPr>
      <w:r w:rsidRPr="005B6A0F">
        <w:rPr>
          <w:b/>
          <w:bCs/>
          <w:szCs w:val="24"/>
        </w:rPr>
        <w:t>CONSUMER PROTECTION REPLY TO AEP’S COMMENTS TO THE STAFF’S REVIEW AND RECOMMENDATIONS</w:t>
      </w:r>
    </w:p>
    <w:p w:rsidR="00B86FBB" w:rsidRPr="005B6A0F" w:rsidP="00B86FBB" w14:paraId="6EBFD971" w14:textId="77777777">
      <w:pPr>
        <w:jc w:val="center"/>
        <w:rPr>
          <w:b/>
          <w:bCs/>
          <w:szCs w:val="24"/>
        </w:rPr>
      </w:pPr>
      <w:r w:rsidRPr="005B6A0F">
        <w:rPr>
          <w:b/>
          <w:bCs/>
          <w:szCs w:val="24"/>
        </w:rPr>
        <w:t>BY</w:t>
      </w:r>
    </w:p>
    <w:p w:rsidR="00B86FBB" w:rsidRPr="005B6A0F" w:rsidP="00B86FBB" w14:paraId="5105C933" w14:textId="77777777">
      <w:pPr>
        <w:jc w:val="center"/>
        <w:rPr>
          <w:b/>
          <w:bCs/>
          <w:szCs w:val="24"/>
        </w:rPr>
      </w:pPr>
      <w:r w:rsidRPr="005B6A0F">
        <w:rPr>
          <w:b/>
          <w:bCs/>
          <w:szCs w:val="24"/>
        </w:rPr>
        <w:t>OFFICE OF THE OHIO CONSUMERS’ COUNSEL</w:t>
      </w:r>
    </w:p>
    <w:p w:rsidR="00B86FBB" w:rsidRPr="005B6A0F" w:rsidP="00B86FBB" w14:paraId="66047AD3" w14:textId="77777777">
      <w:pPr>
        <w:pBdr>
          <w:bottom w:val="single" w:sz="12" w:space="1" w:color="auto"/>
        </w:pBdr>
        <w:tabs>
          <w:tab w:val="left" w:pos="4320"/>
        </w:tabs>
        <w:rPr>
          <w:szCs w:val="24"/>
        </w:rPr>
      </w:pPr>
    </w:p>
    <w:p w:rsidR="00B86FBB" w:rsidRPr="005B6A0F" w:rsidP="00B86FBB" w14:paraId="54E8CD90" w14:textId="77777777">
      <w:pPr>
        <w:spacing w:after="160" w:line="259" w:lineRule="auto"/>
        <w:rPr>
          <w:szCs w:val="24"/>
        </w:rPr>
      </w:pPr>
    </w:p>
    <w:p w:rsidR="00B86FBB" w:rsidRPr="005B6A0F" w14:paraId="3E2A02EC" w14:textId="0222F026">
      <w:pPr>
        <w:rPr>
          <w:rFonts w:eastAsia="Courier New"/>
          <w:b/>
          <w:bCs/>
          <w:szCs w:val="24"/>
        </w:rPr>
      </w:pPr>
    </w:p>
    <w:p w:rsidR="00B86FBB" w:rsidRPr="005B6A0F" w:rsidP="007C2976" w14:paraId="2C2BDC77" w14:textId="77777777">
      <w:pPr>
        <w:pStyle w:val="HTMLPreformatted"/>
        <w:jc w:val="center"/>
        <w:rPr>
          <w:rFonts w:ascii="Times New Roman" w:hAnsi="Times New Roman" w:cs="Times New Roman"/>
          <w:b/>
          <w:bCs/>
          <w:sz w:val="24"/>
          <w:szCs w:val="24"/>
        </w:rPr>
      </w:pPr>
    </w:p>
    <w:p w:rsidR="00B86FBB" w:rsidRPr="005B6A0F" w:rsidP="007C2976" w14:paraId="33E5F76C" w14:textId="77777777">
      <w:pPr>
        <w:pStyle w:val="HTMLPreformatted"/>
        <w:jc w:val="center"/>
        <w:rPr>
          <w:rFonts w:ascii="Times New Roman" w:hAnsi="Times New Roman" w:cs="Times New Roman"/>
          <w:b/>
          <w:bCs/>
          <w:sz w:val="24"/>
          <w:szCs w:val="24"/>
        </w:rPr>
      </w:pPr>
    </w:p>
    <w:p w:rsidR="00B86FBB" w:rsidRPr="005B6A0F" w:rsidP="00B86FBB" w14:paraId="1851C6A0" w14:textId="77777777">
      <w:pPr>
        <w:pStyle w:val="Footer"/>
        <w:tabs>
          <w:tab w:val="left" w:pos="4320"/>
        </w:tabs>
        <w:ind w:left="4320"/>
        <w:rPr>
          <w:sz w:val="24"/>
          <w:szCs w:val="24"/>
        </w:rPr>
      </w:pPr>
      <w:r w:rsidRPr="005B6A0F">
        <w:rPr>
          <w:sz w:val="24"/>
          <w:szCs w:val="24"/>
        </w:rPr>
        <w:t>Bruce Weston (#0016973)</w:t>
      </w:r>
    </w:p>
    <w:p w:rsidR="00B86FBB" w:rsidRPr="005B6A0F" w:rsidP="00B86FBB" w14:paraId="143D9A2E" w14:textId="77777777">
      <w:pPr>
        <w:pStyle w:val="ListParagraph"/>
        <w:tabs>
          <w:tab w:val="left" w:pos="4320"/>
        </w:tabs>
        <w:ind w:left="4320"/>
        <w:rPr>
          <w:szCs w:val="24"/>
        </w:rPr>
      </w:pPr>
      <w:r w:rsidRPr="005B6A0F">
        <w:rPr>
          <w:szCs w:val="24"/>
        </w:rPr>
        <w:t>Ohio Consumers’ Counsel</w:t>
      </w:r>
    </w:p>
    <w:p w:rsidR="00B86FBB" w:rsidRPr="005B6A0F" w:rsidP="00B86FBB" w14:paraId="1A509714" w14:textId="77777777">
      <w:pPr>
        <w:pStyle w:val="ListParagraph"/>
        <w:tabs>
          <w:tab w:val="left" w:pos="4320"/>
        </w:tabs>
        <w:ind w:left="4320"/>
        <w:rPr>
          <w:szCs w:val="24"/>
        </w:rPr>
      </w:pPr>
      <w:r w:rsidRPr="005B6A0F">
        <w:rPr>
          <w:szCs w:val="24"/>
        </w:rPr>
        <w:tab/>
      </w:r>
    </w:p>
    <w:p w:rsidR="00B86FBB" w:rsidRPr="005B6A0F" w:rsidP="00B86FBB" w14:paraId="1635A1C2" w14:textId="77777777">
      <w:pPr>
        <w:pStyle w:val="ListParagraph"/>
        <w:tabs>
          <w:tab w:val="left" w:pos="4320"/>
        </w:tabs>
        <w:ind w:left="4320"/>
        <w:rPr>
          <w:szCs w:val="24"/>
        </w:rPr>
      </w:pPr>
      <w:r w:rsidRPr="005B6A0F">
        <w:rPr>
          <w:szCs w:val="24"/>
        </w:rPr>
        <w:t>William J. Michael (0070921)</w:t>
      </w:r>
    </w:p>
    <w:p w:rsidR="00B86FBB" w:rsidRPr="005B6A0F" w:rsidP="00B86FBB" w14:paraId="228B516A" w14:textId="77777777">
      <w:pPr>
        <w:pStyle w:val="ListParagraph"/>
        <w:tabs>
          <w:tab w:val="left" w:pos="4320"/>
        </w:tabs>
        <w:ind w:left="4320"/>
        <w:rPr>
          <w:szCs w:val="24"/>
        </w:rPr>
      </w:pPr>
      <w:r w:rsidRPr="005B6A0F">
        <w:rPr>
          <w:szCs w:val="24"/>
        </w:rPr>
        <w:t>Counsel of Record</w:t>
      </w:r>
    </w:p>
    <w:p w:rsidR="00B86FBB" w:rsidRPr="005B6A0F" w:rsidP="00B86FBB" w14:paraId="55BF235A" w14:textId="77777777">
      <w:pPr>
        <w:pStyle w:val="ListParagraph"/>
        <w:tabs>
          <w:tab w:val="left" w:pos="4320"/>
        </w:tabs>
        <w:ind w:left="4320"/>
        <w:rPr>
          <w:szCs w:val="24"/>
        </w:rPr>
      </w:pPr>
      <w:r w:rsidRPr="005B6A0F">
        <w:rPr>
          <w:szCs w:val="24"/>
        </w:rPr>
        <w:t>Amy Botschner O’Brien (0074423)</w:t>
      </w:r>
    </w:p>
    <w:p w:rsidR="00B86FBB" w:rsidRPr="005B6A0F" w:rsidP="00B86FBB" w14:paraId="20BC175A" w14:textId="77777777">
      <w:pPr>
        <w:pStyle w:val="ListParagraph"/>
        <w:tabs>
          <w:tab w:val="left" w:pos="4320"/>
        </w:tabs>
        <w:ind w:left="4320"/>
        <w:rPr>
          <w:szCs w:val="24"/>
        </w:rPr>
      </w:pPr>
      <w:r w:rsidRPr="005B6A0F">
        <w:rPr>
          <w:szCs w:val="24"/>
        </w:rPr>
        <w:t>Assistant Consumers’ Counsel</w:t>
      </w:r>
    </w:p>
    <w:p w:rsidR="00B86FBB" w:rsidRPr="005B6A0F" w:rsidP="00B86FBB" w14:paraId="6AD8A17F" w14:textId="77777777">
      <w:pPr>
        <w:ind w:left="4320"/>
        <w:rPr>
          <w:b/>
          <w:szCs w:val="24"/>
        </w:rPr>
      </w:pPr>
    </w:p>
    <w:p w:rsidR="00B86FBB" w:rsidRPr="005B6A0F" w:rsidP="00B86FBB" w14:paraId="13B8821F" w14:textId="77777777">
      <w:pPr>
        <w:ind w:left="4320"/>
        <w:rPr>
          <w:b/>
          <w:szCs w:val="24"/>
        </w:rPr>
      </w:pPr>
      <w:r w:rsidRPr="005B6A0F">
        <w:rPr>
          <w:b/>
          <w:szCs w:val="24"/>
        </w:rPr>
        <w:t>Office of the Ohio Consumers’ Counsel</w:t>
      </w:r>
    </w:p>
    <w:p w:rsidR="00B86FBB" w:rsidRPr="005B6A0F" w:rsidP="00B86FBB" w14:paraId="286491D7" w14:textId="77777777">
      <w:pPr>
        <w:ind w:left="4320"/>
        <w:rPr>
          <w:szCs w:val="24"/>
        </w:rPr>
      </w:pPr>
      <w:r w:rsidRPr="005B6A0F">
        <w:rPr>
          <w:szCs w:val="24"/>
        </w:rPr>
        <w:t>65 East State Street, 7</w:t>
      </w:r>
      <w:r w:rsidRPr="005B6A0F">
        <w:rPr>
          <w:szCs w:val="24"/>
          <w:vertAlign w:val="superscript"/>
        </w:rPr>
        <w:t>th</w:t>
      </w:r>
      <w:r w:rsidRPr="005B6A0F">
        <w:rPr>
          <w:szCs w:val="24"/>
        </w:rPr>
        <w:t xml:space="preserve"> Floor</w:t>
      </w:r>
    </w:p>
    <w:p w:rsidR="00B86FBB" w:rsidRPr="005B6A0F" w:rsidP="00B86FBB" w14:paraId="353BAFE3" w14:textId="77777777">
      <w:pPr>
        <w:ind w:left="4320"/>
        <w:rPr>
          <w:szCs w:val="24"/>
        </w:rPr>
      </w:pPr>
      <w:r w:rsidRPr="005B6A0F">
        <w:rPr>
          <w:szCs w:val="24"/>
        </w:rPr>
        <w:t>Columbus, Ohio 43215</w:t>
      </w:r>
    </w:p>
    <w:p w:rsidR="00B86FBB" w:rsidRPr="005B6A0F" w:rsidP="00B86FBB" w14:paraId="4DD75594" w14:textId="77777777">
      <w:pPr>
        <w:pStyle w:val="ListParagraph"/>
        <w:autoSpaceDE w:val="0"/>
        <w:autoSpaceDN w:val="0"/>
        <w:adjustRightInd w:val="0"/>
        <w:ind w:left="4320"/>
        <w:rPr>
          <w:szCs w:val="24"/>
        </w:rPr>
      </w:pPr>
      <w:r w:rsidRPr="005B6A0F">
        <w:rPr>
          <w:szCs w:val="24"/>
        </w:rPr>
        <w:t>Telephone [Michael]:  (614) 466-1291</w:t>
      </w:r>
    </w:p>
    <w:p w:rsidR="00B86FBB" w:rsidRPr="005B6A0F" w:rsidP="00B86FBB" w14:paraId="58FAFEDB" w14:textId="77777777">
      <w:pPr>
        <w:pStyle w:val="ListParagraph"/>
        <w:autoSpaceDE w:val="0"/>
        <w:autoSpaceDN w:val="0"/>
        <w:adjustRightInd w:val="0"/>
        <w:ind w:left="4320"/>
        <w:rPr>
          <w:szCs w:val="24"/>
        </w:rPr>
      </w:pPr>
      <w:r w:rsidRPr="005B6A0F">
        <w:rPr>
          <w:szCs w:val="24"/>
        </w:rPr>
        <w:t>Telephone [Botschner O’Brien]:  (614) 466-9575</w:t>
      </w:r>
    </w:p>
    <w:p w:rsidR="00B86FBB" w:rsidRPr="005B6A0F" w:rsidP="00B86FBB" w14:paraId="30100D92" w14:textId="77777777">
      <w:pPr>
        <w:pStyle w:val="ListParagraph"/>
        <w:autoSpaceDE w:val="0"/>
        <w:autoSpaceDN w:val="0"/>
        <w:adjustRightInd w:val="0"/>
        <w:ind w:left="4320"/>
        <w:rPr>
          <w:rStyle w:val="Hyperlink"/>
          <w:szCs w:val="24"/>
        </w:rPr>
      </w:pPr>
      <w:hyperlink r:id="rId6" w:history="1">
        <w:r w:rsidRPr="005B6A0F" w:rsidR="00D21EDD">
          <w:rPr>
            <w:rStyle w:val="Hyperlink"/>
            <w:szCs w:val="24"/>
          </w:rPr>
          <w:t>William.michael@occ.ohio.gov</w:t>
        </w:r>
      </w:hyperlink>
    </w:p>
    <w:p w:rsidR="00B86FBB" w:rsidRPr="005B6A0F" w:rsidP="00B86FBB" w14:paraId="72E57719" w14:textId="77777777">
      <w:pPr>
        <w:pStyle w:val="ListParagraph"/>
        <w:autoSpaceDE w:val="0"/>
        <w:autoSpaceDN w:val="0"/>
        <w:adjustRightInd w:val="0"/>
        <w:ind w:left="4320"/>
        <w:rPr>
          <w:rStyle w:val="Hyperlink"/>
          <w:szCs w:val="24"/>
        </w:rPr>
      </w:pPr>
      <w:hyperlink r:id="rId7" w:history="1">
        <w:r w:rsidRPr="005B6A0F" w:rsidR="00D21EDD">
          <w:rPr>
            <w:rStyle w:val="Hyperlink"/>
            <w:szCs w:val="24"/>
          </w:rPr>
          <w:t>Amy.botschner.obrien@occ.ohio.gov</w:t>
        </w:r>
      </w:hyperlink>
    </w:p>
    <w:p w:rsidR="00B86FBB" w:rsidRPr="005B6A0F" w:rsidP="00B86FBB" w14:paraId="6816EAD9" w14:textId="36248245">
      <w:pPr>
        <w:rPr>
          <w:szCs w:val="24"/>
        </w:rPr>
      </w:pPr>
      <w:r w:rsidRPr="005B6A0F">
        <w:rPr>
          <w:szCs w:val="24"/>
        </w:rPr>
        <w:t>June 1</w:t>
      </w:r>
      <w:r w:rsidR="009907E5">
        <w:rPr>
          <w:szCs w:val="24"/>
        </w:rPr>
        <w:t>5</w:t>
      </w:r>
      <w:r w:rsidRPr="005B6A0F">
        <w:rPr>
          <w:szCs w:val="24"/>
        </w:rPr>
        <w:t>, 2021</w:t>
      </w:r>
      <w:r w:rsidRPr="005B6A0F">
        <w:rPr>
          <w:szCs w:val="24"/>
        </w:rPr>
        <w:tab/>
      </w:r>
      <w:r w:rsidRPr="005B6A0F">
        <w:rPr>
          <w:szCs w:val="24"/>
        </w:rPr>
        <w:tab/>
      </w:r>
      <w:r w:rsidRPr="005B6A0F">
        <w:rPr>
          <w:szCs w:val="24"/>
        </w:rPr>
        <w:tab/>
      </w:r>
      <w:r w:rsidRPr="005B6A0F">
        <w:rPr>
          <w:szCs w:val="24"/>
        </w:rPr>
        <w:tab/>
      </w:r>
      <w:r w:rsidRPr="005B6A0F">
        <w:rPr>
          <w:szCs w:val="24"/>
        </w:rPr>
        <w:tab/>
        <w:t>(Willing to accept service by e-mail)</w:t>
      </w:r>
    </w:p>
    <w:p w:rsidR="00B86FBB" w:rsidRPr="005B6A0F" w:rsidP="007C2976" w14:paraId="2F6C8449" w14:textId="77777777">
      <w:pPr>
        <w:pStyle w:val="HTMLPreformatted"/>
        <w:jc w:val="center"/>
        <w:rPr>
          <w:rFonts w:ascii="Times New Roman" w:hAnsi="Times New Roman" w:cs="Times New Roman"/>
          <w:b/>
          <w:bCs/>
          <w:sz w:val="24"/>
          <w:szCs w:val="24"/>
        </w:rPr>
      </w:pPr>
    </w:p>
    <w:p w:rsidR="00283758" w:rsidRPr="005B6A0F" w:rsidP="007C2976" w14:paraId="5E97008E" w14:textId="77777777">
      <w:pPr>
        <w:pStyle w:val="HTMLPreformatted"/>
        <w:jc w:val="center"/>
        <w:rPr>
          <w:rFonts w:ascii="Times New Roman" w:hAnsi="Times New Roman" w:cs="Times New Roman"/>
          <w:b/>
          <w:bCs/>
          <w:sz w:val="24"/>
          <w:szCs w:val="24"/>
        </w:rPr>
        <w:sectPr w:rsidSect="00485D67">
          <w:footerReference w:type="default" r:id="rId8"/>
          <w:pgSz w:w="12240" w:h="15840"/>
          <w:pgMar w:top="1440" w:right="1440" w:bottom="1440" w:left="1440" w:header="720" w:footer="720" w:gutter="0"/>
          <w:pgNumType w:start="2"/>
          <w:cols w:space="720"/>
          <w:docGrid w:linePitch="360"/>
        </w:sectPr>
      </w:pPr>
    </w:p>
    <w:p w:rsidR="00B86FBB" w:rsidRPr="005B6A0F" w:rsidP="004B32E0" w14:paraId="5B091C2B" w14:textId="77777777">
      <w:pPr>
        <w:pStyle w:val="HTMLPreformatted"/>
        <w:jc w:val="center"/>
        <w:rPr>
          <w:rFonts w:ascii="Times New Roman" w:hAnsi="Times New Roman" w:cs="Times New Roman"/>
          <w:b/>
          <w:bCs/>
          <w:sz w:val="24"/>
          <w:szCs w:val="24"/>
          <w:u w:val="single"/>
        </w:rPr>
      </w:pPr>
      <w:r w:rsidRPr="005B6A0F">
        <w:rPr>
          <w:rFonts w:ascii="Times New Roman" w:hAnsi="Times New Roman" w:cs="Times New Roman"/>
          <w:b/>
          <w:bCs/>
          <w:sz w:val="24"/>
          <w:szCs w:val="24"/>
          <w:u w:val="single"/>
        </w:rPr>
        <w:t>TABLE OF CONTENTS</w:t>
      </w:r>
    </w:p>
    <w:p w:rsidR="004B32E0" w:rsidRPr="005B6A0F" w:rsidP="004B32E0" w14:paraId="6699F597" w14:textId="77777777">
      <w:pPr>
        <w:pStyle w:val="HTMLPreformatted"/>
        <w:rPr>
          <w:rFonts w:ascii="Times New Roman" w:hAnsi="Times New Roman" w:cs="Times New Roman"/>
          <w:b/>
          <w:bCs/>
          <w:sz w:val="24"/>
          <w:szCs w:val="24"/>
        </w:rPr>
      </w:pPr>
    </w:p>
    <w:p w:rsidR="004B32E0" w:rsidRPr="005B6A0F" w:rsidP="004B32E0" w14:paraId="36CEE0A6" w14:textId="5D67B441">
      <w:pPr>
        <w:pStyle w:val="HTMLPreformatted"/>
        <w:rPr>
          <w:rFonts w:ascii="Times New Roman" w:hAnsi="Times New Roman" w:cs="Times New Roman"/>
          <w:b/>
          <w:bCs/>
          <w:sz w:val="24"/>
          <w:szCs w:val="24"/>
        </w:rPr>
      </w:pPr>
      <w:r w:rsidRPr="005B6A0F">
        <w:rPr>
          <w:rFonts w:ascii="Times New Roman" w:hAnsi="Times New Roman" w:cs="Times New Roman"/>
          <w:b/>
          <w:bCs/>
          <w:sz w:val="24"/>
          <w:szCs w:val="24"/>
        </w:rPr>
        <w:tab/>
      </w:r>
      <w:r w:rsidRPr="005B6A0F">
        <w:rPr>
          <w:rFonts w:ascii="Times New Roman" w:hAnsi="Times New Roman" w:cs="Times New Roman"/>
          <w:b/>
          <w:bCs/>
          <w:sz w:val="24"/>
          <w:szCs w:val="24"/>
        </w:rPr>
        <w:tab/>
      </w:r>
      <w:r w:rsidRPr="005B6A0F">
        <w:rPr>
          <w:rFonts w:ascii="Times New Roman" w:hAnsi="Times New Roman" w:cs="Times New Roman"/>
          <w:b/>
          <w:bCs/>
          <w:sz w:val="24"/>
          <w:szCs w:val="24"/>
        </w:rPr>
        <w:tab/>
      </w:r>
      <w:r w:rsidRPr="005B6A0F">
        <w:rPr>
          <w:rFonts w:ascii="Times New Roman" w:hAnsi="Times New Roman" w:cs="Times New Roman"/>
          <w:b/>
          <w:bCs/>
          <w:sz w:val="24"/>
          <w:szCs w:val="24"/>
        </w:rPr>
        <w:tab/>
      </w:r>
      <w:r w:rsidRPr="005B6A0F">
        <w:rPr>
          <w:rFonts w:ascii="Times New Roman" w:hAnsi="Times New Roman" w:cs="Times New Roman"/>
          <w:b/>
          <w:bCs/>
          <w:sz w:val="24"/>
          <w:szCs w:val="24"/>
        </w:rPr>
        <w:tab/>
      </w:r>
      <w:r w:rsidRPr="005B6A0F">
        <w:rPr>
          <w:rFonts w:ascii="Times New Roman" w:hAnsi="Times New Roman" w:cs="Times New Roman"/>
          <w:b/>
          <w:bCs/>
          <w:sz w:val="24"/>
          <w:szCs w:val="24"/>
        </w:rPr>
        <w:tab/>
      </w:r>
      <w:r w:rsidRPr="005B6A0F">
        <w:rPr>
          <w:rFonts w:ascii="Times New Roman" w:hAnsi="Times New Roman" w:cs="Times New Roman"/>
          <w:b/>
          <w:bCs/>
          <w:sz w:val="24"/>
          <w:szCs w:val="24"/>
        </w:rPr>
        <w:tab/>
      </w:r>
      <w:r w:rsidRPr="005B6A0F">
        <w:rPr>
          <w:rFonts w:ascii="Times New Roman" w:hAnsi="Times New Roman" w:cs="Times New Roman"/>
          <w:b/>
          <w:bCs/>
          <w:sz w:val="24"/>
          <w:szCs w:val="24"/>
        </w:rPr>
        <w:tab/>
      </w:r>
      <w:r w:rsidRPr="005B6A0F">
        <w:rPr>
          <w:rFonts w:ascii="Times New Roman" w:hAnsi="Times New Roman" w:cs="Times New Roman"/>
          <w:b/>
          <w:bCs/>
          <w:sz w:val="24"/>
          <w:szCs w:val="24"/>
        </w:rPr>
        <w:tab/>
      </w:r>
      <w:r w:rsidRPr="005B6A0F" w:rsidR="00283758">
        <w:rPr>
          <w:rFonts w:ascii="Times New Roman" w:hAnsi="Times New Roman" w:cs="Times New Roman"/>
          <w:b/>
          <w:bCs/>
          <w:sz w:val="24"/>
          <w:szCs w:val="24"/>
        </w:rPr>
        <w:t xml:space="preserve">       </w:t>
      </w:r>
      <w:r w:rsidRPr="005B6A0F">
        <w:rPr>
          <w:rFonts w:ascii="Times New Roman" w:hAnsi="Times New Roman" w:cs="Times New Roman"/>
          <w:b/>
          <w:bCs/>
          <w:sz w:val="24"/>
          <w:szCs w:val="24"/>
        </w:rPr>
        <w:t>PAGE</w:t>
      </w:r>
    </w:p>
    <w:p w:rsidR="004B32E0" w:rsidRPr="005B6A0F" w:rsidP="004B32E0" w14:paraId="741FBB65" w14:textId="77777777">
      <w:pPr>
        <w:pStyle w:val="HTMLPreformatted"/>
        <w:rPr>
          <w:rFonts w:ascii="Times New Roman" w:hAnsi="Times New Roman" w:cs="Times New Roman"/>
          <w:b/>
          <w:bCs/>
          <w:sz w:val="24"/>
          <w:szCs w:val="24"/>
        </w:rPr>
      </w:pPr>
    </w:p>
    <w:p w:rsidR="00D21EDD" w14:paraId="6463E094" w14:textId="2A968AAE">
      <w:pPr>
        <w:pStyle w:val="TOC1"/>
        <w:rPr>
          <w:rFonts w:asciiTheme="minorHAnsi" w:eastAsiaTheme="minorEastAsia" w:hAnsiTheme="minorHAnsi" w:cstheme="minorBidi"/>
          <w:caps w:val="0"/>
          <w:noProof/>
          <w:sz w:val="22"/>
          <w:szCs w:val="22"/>
        </w:rPr>
      </w:pPr>
      <w:r w:rsidRPr="005B6A0F">
        <w:rPr>
          <w:b/>
          <w:bCs/>
          <w:caps w:val="0"/>
          <w:szCs w:val="24"/>
        </w:rPr>
        <w:fldChar w:fldCharType="begin"/>
      </w:r>
      <w:r w:rsidRPr="005B6A0F">
        <w:rPr>
          <w:b/>
          <w:bCs/>
          <w:caps w:val="0"/>
          <w:szCs w:val="24"/>
        </w:rPr>
        <w:instrText xml:space="preserve"> TOC \o "1-3" \h \z \u </w:instrText>
      </w:r>
      <w:r w:rsidRPr="005B6A0F">
        <w:rPr>
          <w:b/>
          <w:bCs/>
          <w:caps w:val="0"/>
          <w:szCs w:val="24"/>
        </w:rPr>
        <w:fldChar w:fldCharType="separate"/>
      </w:r>
      <w:hyperlink w:anchor="_Toc74639599" w:history="1">
        <w:r w:rsidRPr="00212AC4">
          <w:rPr>
            <w:rStyle w:val="Hyperlink"/>
            <w:noProof/>
          </w:rPr>
          <w:t>I.</w:t>
        </w:r>
        <w:r>
          <w:rPr>
            <w:rFonts w:asciiTheme="minorHAnsi" w:eastAsiaTheme="minorEastAsia" w:hAnsiTheme="minorHAnsi" w:cstheme="minorBidi"/>
            <w:caps w:val="0"/>
            <w:noProof/>
            <w:sz w:val="22"/>
            <w:szCs w:val="22"/>
          </w:rPr>
          <w:tab/>
        </w:r>
        <w:r w:rsidRPr="00212AC4">
          <w:rPr>
            <w:rStyle w:val="Hyperlink"/>
            <w:noProof/>
          </w:rPr>
          <w:t>INTRODUCTION</w:t>
        </w:r>
        <w:r>
          <w:rPr>
            <w:noProof/>
            <w:webHidden/>
          </w:rPr>
          <w:tab/>
        </w:r>
        <w:r>
          <w:rPr>
            <w:noProof/>
            <w:webHidden/>
          </w:rPr>
          <w:fldChar w:fldCharType="begin"/>
        </w:r>
        <w:r>
          <w:rPr>
            <w:noProof/>
            <w:webHidden/>
          </w:rPr>
          <w:instrText xml:space="preserve"> PAGEREF _Toc74639599 \h </w:instrText>
        </w:r>
        <w:r>
          <w:rPr>
            <w:noProof/>
            <w:webHidden/>
          </w:rPr>
          <w:fldChar w:fldCharType="separate"/>
        </w:r>
        <w:r>
          <w:rPr>
            <w:noProof/>
            <w:webHidden/>
          </w:rPr>
          <w:t>1</w:t>
        </w:r>
        <w:r>
          <w:rPr>
            <w:noProof/>
            <w:webHidden/>
          </w:rPr>
          <w:fldChar w:fldCharType="end"/>
        </w:r>
      </w:hyperlink>
    </w:p>
    <w:p w:rsidR="00D21EDD" w14:paraId="66AB8580" w14:textId="0F26E017">
      <w:pPr>
        <w:pStyle w:val="TOC1"/>
        <w:rPr>
          <w:rFonts w:asciiTheme="minorHAnsi" w:eastAsiaTheme="minorEastAsia" w:hAnsiTheme="minorHAnsi" w:cstheme="minorBidi"/>
          <w:caps w:val="0"/>
          <w:noProof/>
          <w:sz w:val="22"/>
          <w:szCs w:val="22"/>
        </w:rPr>
      </w:pPr>
      <w:hyperlink w:anchor="_Toc74639600" w:history="1">
        <w:r w:rsidRPr="00212AC4">
          <w:rPr>
            <w:rStyle w:val="Hyperlink"/>
            <w:noProof/>
          </w:rPr>
          <w:t>II.</w:t>
        </w:r>
        <w:r>
          <w:rPr>
            <w:rFonts w:asciiTheme="minorHAnsi" w:eastAsiaTheme="minorEastAsia" w:hAnsiTheme="minorHAnsi" w:cstheme="minorBidi"/>
            <w:caps w:val="0"/>
            <w:noProof/>
            <w:sz w:val="22"/>
            <w:szCs w:val="22"/>
          </w:rPr>
          <w:tab/>
        </w:r>
        <w:r w:rsidRPr="00212AC4">
          <w:rPr>
            <w:rStyle w:val="Hyperlink"/>
            <w:noProof/>
          </w:rPr>
          <w:t>BACKGROUND</w:t>
        </w:r>
        <w:r>
          <w:rPr>
            <w:noProof/>
            <w:webHidden/>
          </w:rPr>
          <w:tab/>
        </w:r>
        <w:r>
          <w:rPr>
            <w:noProof/>
            <w:webHidden/>
          </w:rPr>
          <w:fldChar w:fldCharType="begin"/>
        </w:r>
        <w:r>
          <w:rPr>
            <w:noProof/>
            <w:webHidden/>
          </w:rPr>
          <w:instrText xml:space="preserve"> PAGEREF _Toc74639600 \h </w:instrText>
        </w:r>
        <w:r>
          <w:rPr>
            <w:noProof/>
            <w:webHidden/>
          </w:rPr>
          <w:fldChar w:fldCharType="separate"/>
        </w:r>
        <w:r>
          <w:rPr>
            <w:noProof/>
            <w:webHidden/>
          </w:rPr>
          <w:t>1</w:t>
        </w:r>
        <w:r>
          <w:rPr>
            <w:noProof/>
            <w:webHidden/>
          </w:rPr>
          <w:fldChar w:fldCharType="end"/>
        </w:r>
      </w:hyperlink>
    </w:p>
    <w:p w:rsidR="00D21EDD" w14:paraId="5D2D6361" w14:textId="10F1F116">
      <w:pPr>
        <w:pStyle w:val="TOC1"/>
        <w:rPr>
          <w:rFonts w:asciiTheme="minorHAnsi" w:eastAsiaTheme="minorEastAsia" w:hAnsiTheme="minorHAnsi" w:cstheme="minorBidi"/>
          <w:caps w:val="0"/>
          <w:noProof/>
          <w:sz w:val="22"/>
          <w:szCs w:val="22"/>
        </w:rPr>
      </w:pPr>
      <w:hyperlink w:anchor="_Toc74639601" w:history="1">
        <w:r w:rsidRPr="00212AC4">
          <w:rPr>
            <w:rStyle w:val="Hyperlink"/>
            <w:noProof/>
          </w:rPr>
          <w:t>III.</w:t>
        </w:r>
        <w:r>
          <w:rPr>
            <w:rFonts w:asciiTheme="minorHAnsi" w:eastAsiaTheme="minorEastAsia" w:hAnsiTheme="minorHAnsi" w:cstheme="minorBidi"/>
            <w:caps w:val="0"/>
            <w:noProof/>
            <w:sz w:val="22"/>
            <w:szCs w:val="22"/>
          </w:rPr>
          <w:tab/>
        </w:r>
        <w:r w:rsidRPr="00212AC4">
          <w:rPr>
            <w:rStyle w:val="Hyperlink"/>
            <w:noProof/>
          </w:rPr>
          <w:t>COMMENTS</w:t>
        </w:r>
        <w:r>
          <w:rPr>
            <w:noProof/>
            <w:webHidden/>
          </w:rPr>
          <w:tab/>
        </w:r>
        <w:r>
          <w:rPr>
            <w:noProof/>
            <w:webHidden/>
          </w:rPr>
          <w:fldChar w:fldCharType="begin"/>
        </w:r>
        <w:r>
          <w:rPr>
            <w:noProof/>
            <w:webHidden/>
          </w:rPr>
          <w:instrText xml:space="preserve"> PAGEREF _Toc74639601 \h </w:instrText>
        </w:r>
        <w:r>
          <w:rPr>
            <w:noProof/>
            <w:webHidden/>
          </w:rPr>
          <w:fldChar w:fldCharType="separate"/>
        </w:r>
        <w:r>
          <w:rPr>
            <w:noProof/>
            <w:webHidden/>
          </w:rPr>
          <w:t>2</w:t>
        </w:r>
        <w:r>
          <w:rPr>
            <w:noProof/>
            <w:webHidden/>
          </w:rPr>
          <w:fldChar w:fldCharType="end"/>
        </w:r>
      </w:hyperlink>
    </w:p>
    <w:p w:rsidR="00D21EDD" w14:paraId="314A5EF3" w14:textId="0B3E6E2F">
      <w:pPr>
        <w:pStyle w:val="TOC2"/>
        <w:tabs>
          <w:tab w:val="left" w:pos="1440"/>
        </w:tabs>
        <w:rPr>
          <w:rFonts w:asciiTheme="minorHAnsi" w:eastAsiaTheme="minorEastAsia" w:hAnsiTheme="minorHAnsi" w:cstheme="minorBidi"/>
          <w:noProof/>
          <w:sz w:val="22"/>
          <w:szCs w:val="22"/>
        </w:rPr>
      </w:pPr>
      <w:hyperlink w:anchor="_Toc74639602" w:history="1">
        <w:r w:rsidRPr="00212AC4">
          <w:rPr>
            <w:rStyle w:val="Hyperlink"/>
            <w:noProof/>
          </w:rPr>
          <w:t>A.</w:t>
        </w:r>
        <w:r>
          <w:rPr>
            <w:rFonts w:asciiTheme="minorHAnsi" w:eastAsiaTheme="minorEastAsia" w:hAnsiTheme="minorHAnsi" w:cstheme="minorBidi"/>
            <w:noProof/>
            <w:sz w:val="22"/>
            <w:szCs w:val="22"/>
          </w:rPr>
          <w:tab/>
        </w:r>
        <w:r w:rsidRPr="00212AC4">
          <w:rPr>
            <w:rStyle w:val="Hyperlink"/>
            <w:noProof/>
          </w:rPr>
          <w:t>To protect consumers, the PUCO should reject AEP Ohio’s gridSMART Phase III application until and unless it demonstrates that customers are obtaining the smart grid benefits promised under gridSMART Phase I and gridSMART Phase II.</w:t>
        </w:r>
        <w:r>
          <w:rPr>
            <w:noProof/>
            <w:webHidden/>
          </w:rPr>
          <w:tab/>
        </w:r>
        <w:r>
          <w:rPr>
            <w:noProof/>
            <w:webHidden/>
          </w:rPr>
          <w:fldChar w:fldCharType="begin"/>
        </w:r>
        <w:r>
          <w:rPr>
            <w:noProof/>
            <w:webHidden/>
          </w:rPr>
          <w:instrText xml:space="preserve"> PAGEREF _Toc74639602 \h </w:instrText>
        </w:r>
        <w:r>
          <w:rPr>
            <w:noProof/>
            <w:webHidden/>
          </w:rPr>
          <w:fldChar w:fldCharType="separate"/>
        </w:r>
        <w:r>
          <w:rPr>
            <w:noProof/>
            <w:webHidden/>
          </w:rPr>
          <w:t>2</w:t>
        </w:r>
        <w:r>
          <w:rPr>
            <w:noProof/>
            <w:webHidden/>
          </w:rPr>
          <w:fldChar w:fldCharType="end"/>
        </w:r>
      </w:hyperlink>
    </w:p>
    <w:p w:rsidR="00D21EDD" w14:paraId="0D295A89" w14:textId="5D23D23D">
      <w:pPr>
        <w:pStyle w:val="TOC3"/>
        <w:tabs>
          <w:tab w:val="left" w:pos="2160"/>
        </w:tabs>
        <w:rPr>
          <w:rFonts w:asciiTheme="minorHAnsi" w:eastAsiaTheme="minorEastAsia" w:hAnsiTheme="minorHAnsi" w:cstheme="minorBidi"/>
          <w:noProof/>
          <w:sz w:val="22"/>
          <w:szCs w:val="22"/>
        </w:rPr>
      </w:pPr>
      <w:hyperlink w:anchor="_Toc74639603" w:history="1">
        <w:r w:rsidRPr="00212AC4">
          <w:rPr>
            <w:rStyle w:val="Hyperlink"/>
            <w:noProof/>
          </w:rPr>
          <w:t>1.</w:t>
        </w:r>
        <w:r>
          <w:rPr>
            <w:rFonts w:asciiTheme="minorHAnsi" w:eastAsiaTheme="minorEastAsia" w:hAnsiTheme="minorHAnsi" w:cstheme="minorBidi"/>
            <w:noProof/>
            <w:sz w:val="22"/>
            <w:szCs w:val="22"/>
          </w:rPr>
          <w:tab/>
        </w:r>
        <w:r w:rsidRPr="00212AC4">
          <w:rPr>
            <w:rStyle w:val="Hyperlink"/>
            <w:noProof/>
          </w:rPr>
          <w:t>AEP Ohio’s progress (or lack thereof) on timely installing Distribution Automation Circuit Reconfiguration is hurting consumers.</w:t>
        </w:r>
        <w:r>
          <w:rPr>
            <w:noProof/>
            <w:webHidden/>
          </w:rPr>
          <w:tab/>
        </w:r>
        <w:r>
          <w:rPr>
            <w:noProof/>
            <w:webHidden/>
          </w:rPr>
          <w:fldChar w:fldCharType="begin"/>
        </w:r>
        <w:r>
          <w:rPr>
            <w:noProof/>
            <w:webHidden/>
          </w:rPr>
          <w:instrText xml:space="preserve"> PAGEREF _Toc74639603 \h </w:instrText>
        </w:r>
        <w:r>
          <w:rPr>
            <w:noProof/>
            <w:webHidden/>
          </w:rPr>
          <w:fldChar w:fldCharType="separate"/>
        </w:r>
        <w:r>
          <w:rPr>
            <w:noProof/>
            <w:webHidden/>
          </w:rPr>
          <w:t>3</w:t>
        </w:r>
        <w:r>
          <w:rPr>
            <w:noProof/>
            <w:webHidden/>
          </w:rPr>
          <w:fldChar w:fldCharType="end"/>
        </w:r>
      </w:hyperlink>
    </w:p>
    <w:p w:rsidR="00D21EDD" w14:paraId="0682ED79" w14:textId="779FF164">
      <w:pPr>
        <w:pStyle w:val="TOC3"/>
        <w:tabs>
          <w:tab w:val="left" w:pos="2160"/>
        </w:tabs>
        <w:rPr>
          <w:rFonts w:asciiTheme="minorHAnsi" w:eastAsiaTheme="minorEastAsia" w:hAnsiTheme="minorHAnsi" w:cstheme="minorBidi"/>
          <w:noProof/>
          <w:sz w:val="22"/>
          <w:szCs w:val="22"/>
        </w:rPr>
      </w:pPr>
      <w:hyperlink w:anchor="_Toc74639604" w:history="1">
        <w:r w:rsidRPr="00212AC4">
          <w:rPr>
            <w:rStyle w:val="Hyperlink"/>
            <w:noProof/>
          </w:rPr>
          <w:t>2.</w:t>
        </w:r>
        <w:r>
          <w:rPr>
            <w:rFonts w:asciiTheme="minorHAnsi" w:eastAsiaTheme="minorEastAsia" w:hAnsiTheme="minorHAnsi" w:cstheme="minorBidi"/>
            <w:noProof/>
            <w:sz w:val="22"/>
            <w:szCs w:val="22"/>
          </w:rPr>
          <w:tab/>
        </w:r>
        <w:r w:rsidRPr="00212AC4">
          <w:rPr>
            <w:rStyle w:val="Hyperlink"/>
            <w:noProof/>
          </w:rPr>
          <w:t>It is not in consumers’ interest to rush to install smart meters as part of gridSMART Phase III.</w:t>
        </w:r>
        <w:r>
          <w:rPr>
            <w:noProof/>
            <w:webHidden/>
          </w:rPr>
          <w:tab/>
        </w:r>
        <w:r>
          <w:rPr>
            <w:noProof/>
            <w:webHidden/>
          </w:rPr>
          <w:fldChar w:fldCharType="begin"/>
        </w:r>
        <w:r>
          <w:rPr>
            <w:noProof/>
            <w:webHidden/>
          </w:rPr>
          <w:instrText xml:space="preserve"> PAGEREF _Toc74639604 \h </w:instrText>
        </w:r>
        <w:r>
          <w:rPr>
            <w:noProof/>
            <w:webHidden/>
          </w:rPr>
          <w:fldChar w:fldCharType="separate"/>
        </w:r>
        <w:r>
          <w:rPr>
            <w:noProof/>
            <w:webHidden/>
          </w:rPr>
          <w:t>5</w:t>
        </w:r>
        <w:r>
          <w:rPr>
            <w:noProof/>
            <w:webHidden/>
          </w:rPr>
          <w:fldChar w:fldCharType="end"/>
        </w:r>
      </w:hyperlink>
    </w:p>
    <w:p w:rsidR="00D21EDD" w14:paraId="67DCFB2B" w14:textId="6CDBB0A6">
      <w:pPr>
        <w:pStyle w:val="TOC3"/>
        <w:tabs>
          <w:tab w:val="left" w:pos="2160"/>
        </w:tabs>
        <w:rPr>
          <w:rFonts w:asciiTheme="minorHAnsi" w:eastAsiaTheme="minorEastAsia" w:hAnsiTheme="minorHAnsi" w:cstheme="minorBidi"/>
          <w:noProof/>
          <w:sz w:val="22"/>
          <w:szCs w:val="22"/>
        </w:rPr>
      </w:pPr>
      <w:hyperlink w:anchor="_Toc74639605" w:history="1">
        <w:r w:rsidRPr="00212AC4">
          <w:rPr>
            <w:rStyle w:val="Hyperlink"/>
            <w:noProof/>
          </w:rPr>
          <w:t>3.</w:t>
        </w:r>
        <w:r>
          <w:rPr>
            <w:rFonts w:asciiTheme="minorHAnsi" w:eastAsiaTheme="minorEastAsia" w:hAnsiTheme="minorHAnsi" w:cstheme="minorBidi"/>
            <w:noProof/>
            <w:sz w:val="22"/>
            <w:szCs w:val="22"/>
          </w:rPr>
          <w:tab/>
        </w:r>
        <w:r w:rsidRPr="00212AC4">
          <w:rPr>
            <w:rStyle w:val="Hyperlink"/>
            <w:noProof/>
          </w:rPr>
          <w:t>While AEP Ohio has made substantial progress in deploying Volt-VAR technology as part of Phase II, consumer protection requires that a benefits assessment is necessary before continuing with deploying Volt-VAR as part of Phase III.</w:t>
        </w:r>
        <w:r>
          <w:rPr>
            <w:noProof/>
            <w:webHidden/>
          </w:rPr>
          <w:tab/>
        </w:r>
        <w:r>
          <w:rPr>
            <w:noProof/>
            <w:webHidden/>
          </w:rPr>
          <w:fldChar w:fldCharType="begin"/>
        </w:r>
        <w:r>
          <w:rPr>
            <w:noProof/>
            <w:webHidden/>
          </w:rPr>
          <w:instrText xml:space="preserve"> PAGEREF _Toc74639605 \h </w:instrText>
        </w:r>
        <w:r>
          <w:rPr>
            <w:noProof/>
            <w:webHidden/>
          </w:rPr>
          <w:fldChar w:fldCharType="separate"/>
        </w:r>
        <w:r>
          <w:rPr>
            <w:noProof/>
            <w:webHidden/>
          </w:rPr>
          <w:t>7</w:t>
        </w:r>
        <w:r>
          <w:rPr>
            <w:noProof/>
            <w:webHidden/>
          </w:rPr>
          <w:fldChar w:fldCharType="end"/>
        </w:r>
      </w:hyperlink>
    </w:p>
    <w:p w:rsidR="00D21EDD" w14:paraId="239C9403" w14:textId="1036C0E9">
      <w:pPr>
        <w:pStyle w:val="TOC2"/>
        <w:tabs>
          <w:tab w:val="left" w:pos="1440"/>
        </w:tabs>
        <w:rPr>
          <w:rFonts w:asciiTheme="minorHAnsi" w:eastAsiaTheme="minorEastAsia" w:hAnsiTheme="minorHAnsi" w:cstheme="minorBidi"/>
          <w:noProof/>
          <w:sz w:val="22"/>
          <w:szCs w:val="22"/>
        </w:rPr>
      </w:pPr>
      <w:hyperlink w:anchor="_Toc74639606" w:history="1">
        <w:r w:rsidRPr="00212AC4">
          <w:rPr>
            <w:rStyle w:val="Hyperlink"/>
            <w:noProof/>
          </w:rPr>
          <w:t>B.</w:t>
        </w:r>
        <w:r>
          <w:rPr>
            <w:rFonts w:asciiTheme="minorHAnsi" w:eastAsiaTheme="minorEastAsia" w:hAnsiTheme="minorHAnsi" w:cstheme="minorBidi"/>
            <w:noProof/>
            <w:sz w:val="22"/>
            <w:szCs w:val="22"/>
          </w:rPr>
          <w:tab/>
        </w:r>
        <w:r w:rsidRPr="00212AC4">
          <w:rPr>
            <w:rStyle w:val="Hyperlink"/>
            <w:noProof/>
          </w:rPr>
          <w:t>To protect consumers, the PUCO should require Staff to perform a review of AEP Ohio’s DACR technology to determine the underlying reasons for AEP Ohio’s lack of progress in expeditiously deploying this technology.</w:t>
        </w:r>
        <w:r>
          <w:rPr>
            <w:noProof/>
            <w:webHidden/>
          </w:rPr>
          <w:tab/>
        </w:r>
        <w:r>
          <w:rPr>
            <w:noProof/>
            <w:webHidden/>
          </w:rPr>
          <w:fldChar w:fldCharType="begin"/>
        </w:r>
        <w:r>
          <w:rPr>
            <w:noProof/>
            <w:webHidden/>
          </w:rPr>
          <w:instrText xml:space="preserve"> PAGEREF _Toc74639606 \h </w:instrText>
        </w:r>
        <w:r>
          <w:rPr>
            <w:noProof/>
            <w:webHidden/>
          </w:rPr>
          <w:fldChar w:fldCharType="separate"/>
        </w:r>
        <w:r>
          <w:rPr>
            <w:noProof/>
            <w:webHidden/>
          </w:rPr>
          <w:t>8</w:t>
        </w:r>
        <w:r>
          <w:rPr>
            <w:noProof/>
            <w:webHidden/>
          </w:rPr>
          <w:fldChar w:fldCharType="end"/>
        </w:r>
      </w:hyperlink>
    </w:p>
    <w:p w:rsidR="00D21EDD" w14:paraId="48E70670" w14:textId="756327DA">
      <w:pPr>
        <w:pStyle w:val="TOC2"/>
        <w:tabs>
          <w:tab w:val="left" w:pos="1440"/>
        </w:tabs>
        <w:rPr>
          <w:rFonts w:asciiTheme="minorHAnsi" w:eastAsiaTheme="minorEastAsia" w:hAnsiTheme="minorHAnsi" w:cstheme="minorBidi"/>
          <w:noProof/>
          <w:sz w:val="22"/>
          <w:szCs w:val="22"/>
        </w:rPr>
      </w:pPr>
      <w:hyperlink w:anchor="_Toc74639607" w:history="1">
        <w:r w:rsidRPr="00212AC4">
          <w:rPr>
            <w:rStyle w:val="Hyperlink"/>
            <w:noProof/>
          </w:rPr>
          <w:t>C.</w:t>
        </w:r>
        <w:r>
          <w:rPr>
            <w:rFonts w:asciiTheme="minorHAnsi" w:eastAsiaTheme="minorEastAsia" w:hAnsiTheme="minorHAnsi" w:cstheme="minorBidi"/>
            <w:noProof/>
            <w:sz w:val="22"/>
            <w:szCs w:val="22"/>
          </w:rPr>
          <w:tab/>
        </w:r>
        <w:r w:rsidRPr="00212AC4">
          <w:rPr>
            <w:rStyle w:val="Hyperlink"/>
            <w:noProof/>
          </w:rPr>
          <w:t>To protect consumers, the PUCO should accept Staff’s recommendation to remove $115,412 in O&amp;M expense and $546,225 in capital expense from the gridSMART Phase 2 charge related to employee financial incentives.</w:t>
        </w:r>
        <w:r>
          <w:rPr>
            <w:noProof/>
            <w:webHidden/>
          </w:rPr>
          <w:tab/>
        </w:r>
        <w:r>
          <w:rPr>
            <w:noProof/>
            <w:webHidden/>
          </w:rPr>
          <w:fldChar w:fldCharType="begin"/>
        </w:r>
        <w:r>
          <w:rPr>
            <w:noProof/>
            <w:webHidden/>
          </w:rPr>
          <w:instrText xml:space="preserve"> PAGEREF _Toc74639607 \h </w:instrText>
        </w:r>
        <w:r>
          <w:rPr>
            <w:noProof/>
            <w:webHidden/>
          </w:rPr>
          <w:fldChar w:fldCharType="separate"/>
        </w:r>
        <w:r>
          <w:rPr>
            <w:noProof/>
            <w:webHidden/>
          </w:rPr>
          <w:t>10</w:t>
        </w:r>
        <w:r>
          <w:rPr>
            <w:noProof/>
            <w:webHidden/>
          </w:rPr>
          <w:fldChar w:fldCharType="end"/>
        </w:r>
      </w:hyperlink>
    </w:p>
    <w:p w:rsidR="00D21EDD" w14:paraId="61EEDE3D" w14:textId="36BA5B42">
      <w:pPr>
        <w:pStyle w:val="TOC2"/>
        <w:tabs>
          <w:tab w:val="left" w:pos="1440"/>
        </w:tabs>
        <w:rPr>
          <w:rFonts w:asciiTheme="minorHAnsi" w:eastAsiaTheme="minorEastAsia" w:hAnsiTheme="minorHAnsi" w:cstheme="minorBidi"/>
          <w:noProof/>
          <w:sz w:val="22"/>
          <w:szCs w:val="22"/>
        </w:rPr>
      </w:pPr>
      <w:hyperlink w:anchor="_Toc74639608" w:history="1">
        <w:r w:rsidRPr="00212AC4">
          <w:rPr>
            <w:rStyle w:val="Hyperlink"/>
            <w:noProof/>
          </w:rPr>
          <w:t>D.</w:t>
        </w:r>
        <w:r>
          <w:rPr>
            <w:rFonts w:asciiTheme="minorHAnsi" w:eastAsiaTheme="minorEastAsia" w:hAnsiTheme="minorHAnsi" w:cstheme="minorBidi"/>
            <w:noProof/>
            <w:sz w:val="22"/>
            <w:szCs w:val="22"/>
          </w:rPr>
          <w:tab/>
        </w:r>
        <w:r w:rsidRPr="00212AC4">
          <w:rPr>
            <w:rStyle w:val="Hyperlink"/>
            <w:noProof/>
          </w:rPr>
          <w:t>To protect consumers, the PUCO should accept Staff’s recommendation to reduce the Smart Meter capital cost account by $8,222,874 to account for Smart Meters that AEP Ohio is holding in inventory for longer than three-months.</w:t>
        </w:r>
        <w:r>
          <w:rPr>
            <w:noProof/>
            <w:webHidden/>
          </w:rPr>
          <w:tab/>
        </w:r>
        <w:r>
          <w:rPr>
            <w:noProof/>
            <w:webHidden/>
          </w:rPr>
          <w:fldChar w:fldCharType="begin"/>
        </w:r>
        <w:r>
          <w:rPr>
            <w:noProof/>
            <w:webHidden/>
          </w:rPr>
          <w:instrText xml:space="preserve"> PAGEREF _Toc74639608 \h </w:instrText>
        </w:r>
        <w:r>
          <w:rPr>
            <w:noProof/>
            <w:webHidden/>
          </w:rPr>
          <w:fldChar w:fldCharType="separate"/>
        </w:r>
        <w:r>
          <w:rPr>
            <w:noProof/>
            <w:webHidden/>
          </w:rPr>
          <w:t>11</w:t>
        </w:r>
        <w:r>
          <w:rPr>
            <w:noProof/>
            <w:webHidden/>
          </w:rPr>
          <w:fldChar w:fldCharType="end"/>
        </w:r>
      </w:hyperlink>
    </w:p>
    <w:p w:rsidR="00D21EDD" w14:paraId="23D0A50D" w14:textId="431A5553">
      <w:pPr>
        <w:pStyle w:val="TOC2"/>
        <w:tabs>
          <w:tab w:val="left" w:pos="1440"/>
        </w:tabs>
        <w:rPr>
          <w:rFonts w:asciiTheme="minorHAnsi" w:eastAsiaTheme="minorEastAsia" w:hAnsiTheme="minorHAnsi" w:cstheme="minorBidi"/>
          <w:noProof/>
          <w:sz w:val="22"/>
          <w:szCs w:val="22"/>
        </w:rPr>
      </w:pPr>
      <w:hyperlink w:anchor="_Toc74639609" w:history="1">
        <w:r w:rsidRPr="00212AC4">
          <w:rPr>
            <w:rStyle w:val="Hyperlink"/>
            <w:noProof/>
          </w:rPr>
          <w:t>E.</w:t>
        </w:r>
        <w:r>
          <w:rPr>
            <w:rFonts w:asciiTheme="minorHAnsi" w:eastAsiaTheme="minorEastAsia" w:hAnsiTheme="minorHAnsi" w:cstheme="minorBidi"/>
            <w:noProof/>
            <w:sz w:val="22"/>
            <w:szCs w:val="22"/>
          </w:rPr>
          <w:tab/>
        </w:r>
        <w:r w:rsidRPr="00212AC4">
          <w:rPr>
            <w:rStyle w:val="Hyperlink"/>
            <w:noProof/>
          </w:rPr>
          <w:t>To protect consumers, the PUCO should order Staff to examine AEP Ohio Smart Meter failures to determine if failure rates are within acceptable standards and recommend ways to mitigate the cost on of premature failures.</w:t>
        </w:r>
        <w:r>
          <w:rPr>
            <w:noProof/>
            <w:webHidden/>
          </w:rPr>
          <w:tab/>
        </w:r>
        <w:r>
          <w:rPr>
            <w:noProof/>
            <w:webHidden/>
          </w:rPr>
          <w:fldChar w:fldCharType="begin"/>
        </w:r>
        <w:r>
          <w:rPr>
            <w:noProof/>
            <w:webHidden/>
          </w:rPr>
          <w:instrText xml:space="preserve"> PAGEREF _Toc74639609 \h </w:instrText>
        </w:r>
        <w:r>
          <w:rPr>
            <w:noProof/>
            <w:webHidden/>
          </w:rPr>
          <w:fldChar w:fldCharType="separate"/>
        </w:r>
        <w:r>
          <w:rPr>
            <w:noProof/>
            <w:webHidden/>
          </w:rPr>
          <w:t>13</w:t>
        </w:r>
        <w:r>
          <w:rPr>
            <w:noProof/>
            <w:webHidden/>
          </w:rPr>
          <w:fldChar w:fldCharType="end"/>
        </w:r>
      </w:hyperlink>
    </w:p>
    <w:p w:rsidR="00D21EDD" w14:paraId="1658A3DD" w14:textId="3FD9E19E">
      <w:pPr>
        <w:pStyle w:val="TOC1"/>
        <w:rPr>
          <w:rFonts w:asciiTheme="minorHAnsi" w:eastAsiaTheme="minorEastAsia" w:hAnsiTheme="minorHAnsi" w:cstheme="minorBidi"/>
          <w:caps w:val="0"/>
          <w:noProof/>
          <w:sz w:val="22"/>
          <w:szCs w:val="22"/>
        </w:rPr>
      </w:pPr>
      <w:hyperlink w:anchor="_Toc74639610" w:history="1">
        <w:r w:rsidRPr="00212AC4">
          <w:rPr>
            <w:rStyle w:val="Hyperlink"/>
            <w:noProof/>
          </w:rPr>
          <w:t>Iv.</w:t>
        </w:r>
        <w:r>
          <w:rPr>
            <w:rFonts w:asciiTheme="minorHAnsi" w:eastAsiaTheme="minorEastAsia" w:hAnsiTheme="minorHAnsi" w:cstheme="minorBidi"/>
            <w:caps w:val="0"/>
            <w:noProof/>
            <w:sz w:val="22"/>
            <w:szCs w:val="22"/>
          </w:rPr>
          <w:tab/>
        </w:r>
        <w:r w:rsidRPr="00212AC4">
          <w:rPr>
            <w:rStyle w:val="Hyperlink"/>
            <w:noProof/>
          </w:rPr>
          <w:t>CONCLUSION</w:t>
        </w:r>
        <w:r>
          <w:rPr>
            <w:noProof/>
            <w:webHidden/>
          </w:rPr>
          <w:tab/>
        </w:r>
        <w:r>
          <w:rPr>
            <w:noProof/>
            <w:webHidden/>
          </w:rPr>
          <w:fldChar w:fldCharType="begin"/>
        </w:r>
        <w:r>
          <w:rPr>
            <w:noProof/>
            <w:webHidden/>
          </w:rPr>
          <w:instrText xml:space="preserve"> PAGEREF _Toc74639610 \h </w:instrText>
        </w:r>
        <w:r>
          <w:rPr>
            <w:noProof/>
            <w:webHidden/>
          </w:rPr>
          <w:fldChar w:fldCharType="separate"/>
        </w:r>
        <w:r>
          <w:rPr>
            <w:noProof/>
            <w:webHidden/>
          </w:rPr>
          <w:t>14</w:t>
        </w:r>
        <w:r>
          <w:rPr>
            <w:noProof/>
            <w:webHidden/>
          </w:rPr>
          <w:fldChar w:fldCharType="end"/>
        </w:r>
      </w:hyperlink>
    </w:p>
    <w:p w:rsidR="005F357E" w:rsidRPr="005B6A0F" w:rsidP="00283758" w14:paraId="2E8FE5A3" w14:textId="61931B57">
      <w:pPr>
        <w:pStyle w:val="HTMLPreformatted"/>
        <w:jc w:val="center"/>
        <w:rPr>
          <w:rFonts w:ascii="Times New Roman" w:eastAsia="Times New Roman" w:hAnsi="Times New Roman" w:cs="Times New Roman"/>
          <w:b/>
          <w:bCs/>
          <w:caps/>
          <w:sz w:val="24"/>
          <w:szCs w:val="24"/>
        </w:rPr>
        <w:sectPr w:rsidSect="005F357E">
          <w:headerReference w:type="default" r:id="rId9"/>
          <w:footerReference w:type="default" r:id="rId10"/>
          <w:pgSz w:w="12240" w:h="15840"/>
          <w:pgMar w:top="1440" w:right="1440" w:bottom="1440" w:left="1440" w:header="720" w:footer="720" w:gutter="0"/>
          <w:pgNumType w:fmt="lowerRoman" w:start="1"/>
          <w:cols w:space="720"/>
          <w:docGrid w:linePitch="360"/>
        </w:sectPr>
      </w:pPr>
      <w:r w:rsidRPr="005B6A0F">
        <w:rPr>
          <w:rFonts w:ascii="Times New Roman" w:eastAsia="Times New Roman" w:hAnsi="Times New Roman" w:cs="Times New Roman"/>
          <w:b/>
          <w:bCs/>
          <w:caps/>
          <w:sz w:val="24"/>
          <w:szCs w:val="24"/>
        </w:rPr>
        <w:fldChar w:fldCharType="end"/>
      </w:r>
    </w:p>
    <w:p w:rsidR="007C2976" w:rsidRPr="005B6A0F" w:rsidP="00283758" w14:paraId="455B2DD7" w14:textId="329C3AFE">
      <w:pPr>
        <w:pStyle w:val="HTMLPreformatted"/>
        <w:jc w:val="center"/>
        <w:rPr>
          <w:rFonts w:ascii="Times New Roman" w:hAnsi="Times New Roman" w:cs="Times New Roman"/>
          <w:b/>
          <w:bCs/>
          <w:sz w:val="24"/>
          <w:szCs w:val="24"/>
        </w:rPr>
      </w:pPr>
      <w:r w:rsidRPr="005B6A0F">
        <w:rPr>
          <w:rFonts w:ascii="Times New Roman" w:hAnsi="Times New Roman" w:cs="Times New Roman"/>
          <w:b/>
          <w:bCs/>
          <w:sz w:val="24"/>
          <w:szCs w:val="24"/>
        </w:rPr>
        <w:t>BEFORE</w:t>
      </w:r>
    </w:p>
    <w:p w:rsidR="007C2976" w:rsidRPr="005B6A0F" w:rsidP="007C2976" w14:paraId="55FA7762" w14:textId="77777777">
      <w:pPr>
        <w:pStyle w:val="HTMLPreformatted"/>
        <w:jc w:val="center"/>
        <w:rPr>
          <w:rFonts w:ascii="Times New Roman" w:hAnsi="Times New Roman" w:cs="Times New Roman"/>
          <w:sz w:val="24"/>
          <w:szCs w:val="24"/>
        </w:rPr>
      </w:pPr>
      <w:r w:rsidRPr="005B6A0F">
        <w:rPr>
          <w:rFonts w:ascii="Times New Roman" w:hAnsi="Times New Roman" w:cs="Times New Roman"/>
          <w:b/>
          <w:bCs/>
          <w:sz w:val="24"/>
          <w:szCs w:val="24"/>
        </w:rPr>
        <w:t>THE PUBLIC UTILITIES COMMISSION OF OHIO</w:t>
      </w:r>
    </w:p>
    <w:p w:rsidR="007C2976" w:rsidRPr="005B6A0F" w:rsidP="007C2976" w14:paraId="04C2C21F" w14:textId="77777777">
      <w:pPr>
        <w:pStyle w:val="HTMLPreformatted"/>
        <w:rPr>
          <w:rFonts w:ascii="Times New Roman" w:hAnsi="Times New Roman" w:cs="Times New Roman"/>
          <w:sz w:val="24"/>
          <w:szCs w:val="24"/>
        </w:rPr>
      </w:pPr>
    </w:p>
    <w:tbl>
      <w:tblPr>
        <w:tblW w:w="9818" w:type="dxa"/>
        <w:tblLook w:val="01E0"/>
      </w:tblPr>
      <w:tblGrid>
        <w:gridCol w:w="5058"/>
        <w:gridCol w:w="360"/>
        <w:gridCol w:w="4400"/>
      </w:tblGrid>
      <w:tr w14:paraId="627E305C" w14:textId="77777777" w:rsidTr="00AC374D">
        <w:tblPrEx>
          <w:tblW w:w="9818" w:type="dxa"/>
          <w:tblLook w:val="01E0"/>
        </w:tblPrEx>
        <w:trPr>
          <w:trHeight w:val="807"/>
        </w:trPr>
        <w:tc>
          <w:tcPr>
            <w:tcW w:w="5058" w:type="dxa"/>
            <w:shd w:val="clear" w:color="auto" w:fill="auto"/>
          </w:tcPr>
          <w:p w:rsidR="00416920" w:rsidRPr="005B6A0F" w:rsidP="00416920" w14:paraId="3E9DD8BB" w14:textId="7548A1DD">
            <w:pPr>
              <w:autoSpaceDE w:val="0"/>
              <w:autoSpaceDN w:val="0"/>
              <w:adjustRightInd w:val="0"/>
              <w:rPr>
                <w:szCs w:val="24"/>
              </w:rPr>
            </w:pPr>
            <w:r w:rsidRPr="005B6A0F">
              <w:rPr>
                <w:szCs w:val="24"/>
              </w:rPr>
              <w:t xml:space="preserve">In the Matter of the Application of Ohio Power Company to Update its gridSMART Phase 2 Rider </w:t>
            </w:r>
            <w:r w:rsidRPr="005B6A0F" w:rsidR="008A2A7A">
              <w:rPr>
                <w:szCs w:val="24"/>
              </w:rPr>
              <w:t>R</w:t>
            </w:r>
            <w:r w:rsidRPr="005B6A0F">
              <w:rPr>
                <w:szCs w:val="24"/>
              </w:rPr>
              <w:t>ates.</w:t>
            </w:r>
          </w:p>
          <w:p w:rsidR="00416920" w:rsidRPr="005B6A0F" w:rsidP="00416920" w14:paraId="489063FC" w14:textId="77777777">
            <w:pPr>
              <w:autoSpaceDE w:val="0"/>
              <w:autoSpaceDN w:val="0"/>
              <w:adjustRightInd w:val="0"/>
              <w:rPr>
                <w:szCs w:val="24"/>
              </w:rPr>
            </w:pPr>
          </w:p>
        </w:tc>
        <w:tc>
          <w:tcPr>
            <w:tcW w:w="360" w:type="dxa"/>
            <w:shd w:val="clear" w:color="auto" w:fill="auto"/>
          </w:tcPr>
          <w:p w:rsidR="007C2976" w:rsidRPr="005B6A0F" w:rsidP="00C31A75" w14:paraId="6658A385" w14:textId="77777777">
            <w:pPr>
              <w:pStyle w:val="HTMLPreformatted"/>
              <w:rPr>
                <w:rFonts w:ascii="Times New Roman" w:hAnsi="Times New Roman" w:cs="Times New Roman"/>
                <w:sz w:val="24"/>
                <w:szCs w:val="24"/>
              </w:rPr>
            </w:pPr>
            <w:r w:rsidRPr="005B6A0F">
              <w:rPr>
                <w:rFonts w:ascii="Times New Roman" w:hAnsi="Times New Roman" w:cs="Times New Roman"/>
                <w:sz w:val="24"/>
                <w:szCs w:val="24"/>
              </w:rPr>
              <w:t>)</w:t>
            </w:r>
          </w:p>
          <w:p w:rsidR="007C2976" w:rsidRPr="005B6A0F" w:rsidP="00C31A75" w14:paraId="71861183" w14:textId="77777777">
            <w:pPr>
              <w:pStyle w:val="HTMLPreformatted"/>
              <w:rPr>
                <w:rFonts w:ascii="Times New Roman" w:hAnsi="Times New Roman" w:cs="Times New Roman"/>
                <w:sz w:val="24"/>
                <w:szCs w:val="24"/>
              </w:rPr>
            </w:pPr>
            <w:r w:rsidRPr="005B6A0F">
              <w:rPr>
                <w:rFonts w:ascii="Times New Roman" w:hAnsi="Times New Roman" w:cs="Times New Roman"/>
                <w:sz w:val="24"/>
                <w:szCs w:val="24"/>
              </w:rPr>
              <w:t>)</w:t>
            </w:r>
          </w:p>
          <w:p w:rsidR="00E46B01" w:rsidRPr="005B6A0F" w:rsidP="005D0029" w14:paraId="3F5AB385" w14:textId="77777777">
            <w:pPr>
              <w:pStyle w:val="HTMLPreformatted"/>
              <w:rPr>
                <w:rFonts w:ascii="Times New Roman" w:hAnsi="Times New Roman" w:cs="Times New Roman"/>
                <w:sz w:val="24"/>
                <w:szCs w:val="24"/>
              </w:rPr>
            </w:pPr>
            <w:r w:rsidRPr="005B6A0F">
              <w:rPr>
                <w:rFonts w:ascii="Times New Roman" w:hAnsi="Times New Roman" w:cs="Times New Roman"/>
                <w:sz w:val="24"/>
                <w:szCs w:val="24"/>
              </w:rPr>
              <w:t>)</w:t>
            </w:r>
          </w:p>
          <w:p w:rsidR="00974888" w:rsidRPr="005B6A0F" w:rsidP="005D0029" w14:paraId="15A5C292" w14:textId="77777777">
            <w:pPr>
              <w:pStyle w:val="HTMLPreformatted"/>
              <w:rPr>
                <w:rFonts w:ascii="Times New Roman" w:hAnsi="Times New Roman" w:cs="Times New Roman"/>
                <w:sz w:val="24"/>
                <w:szCs w:val="24"/>
              </w:rPr>
            </w:pPr>
          </w:p>
        </w:tc>
        <w:tc>
          <w:tcPr>
            <w:tcW w:w="4400" w:type="dxa"/>
            <w:shd w:val="clear" w:color="auto" w:fill="auto"/>
          </w:tcPr>
          <w:p w:rsidR="007C2976" w:rsidRPr="005B6A0F" w:rsidP="00C31A75" w14:paraId="132618EF" w14:textId="77777777">
            <w:pPr>
              <w:pStyle w:val="HTMLPreformatted"/>
              <w:rPr>
                <w:rFonts w:ascii="Times New Roman" w:hAnsi="Times New Roman" w:cs="Times New Roman"/>
                <w:sz w:val="24"/>
                <w:szCs w:val="24"/>
              </w:rPr>
            </w:pPr>
          </w:p>
          <w:p w:rsidR="007C2976" w:rsidRPr="005B6A0F" w:rsidP="00C31A75" w14:paraId="37973DA6" w14:textId="21AAB690">
            <w:pPr>
              <w:rPr>
                <w:i/>
                <w:szCs w:val="24"/>
              </w:rPr>
            </w:pPr>
            <w:r w:rsidRPr="005B6A0F">
              <w:rPr>
                <w:szCs w:val="24"/>
              </w:rPr>
              <w:t>Case No. 19-1029-EL-RDR</w:t>
            </w:r>
          </w:p>
          <w:p w:rsidR="00416920" w:rsidRPr="005B6A0F" w:rsidP="00C31A75" w14:paraId="4024E551" w14:textId="77777777">
            <w:pPr>
              <w:pStyle w:val="HTMLPreformatted"/>
              <w:rPr>
                <w:rFonts w:ascii="Times New Roman" w:hAnsi="Times New Roman" w:cs="Times New Roman"/>
                <w:sz w:val="24"/>
                <w:szCs w:val="24"/>
              </w:rPr>
            </w:pPr>
          </w:p>
        </w:tc>
      </w:tr>
    </w:tbl>
    <w:p w:rsidR="007C2976" w:rsidRPr="005B6A0F" w:rsidP="007C2976" w14:paraId="1E1234C2" w14:textId="77777777">
      <w:pPr>
        <w:pStyle w:val="HTMLPreformatted"/>
        <w:pBdr>
          <w:top w:val="single" w:sz="12" w:space="1" w:color="auto"/>
        </w:pBdr>
        <w:rPr>
          <w:rFonts w:ascii="Times New Roman" w:hAnsi="Times New Roman" w:cs="Times New Roman"/>
          <w:sz w:val="24"/>
          <w:szCs w:val="24"/>
        </w:rPr>
      </w:pPr>
    </w:p>
    <w:p w:rsidR="007C2976" w:rsidRPr="005B6A0F" w:rsidP="007C2976" w14:paraId="3B7EA934" w14:textId="4BC7A291">
      <w:pPr>
        <w:jc w:val="center"/>
        <w:rPr>
          <w:b/>
          <w:bCs/>
          <w:szCs w:val="24"/>
        </w:rPr>
      </w:pPr>
      <w:r w:rsidRPr="005B6A0F">
        <w:rPr>
          <w:b/>
          <w:bCs/>
          <w:szCs w:val="24"/>
        </w:rPr>
        <w:t xml:space="preserve">CONSUMER PROTECTION </w:t>
      </w:r>
      <w:r w:rsidRPr="005B6A0F" w:rsidR="00014BD8">
        <w:rPr>
          <w:b/>
          <w:bCs/>
          <w:szCs w:val="24"/>
        </w:rPr>
        <w:t>REPLY TO AEP’S COMMENTS TO THE STAFF’S REVIEW AND RECOMMENDATIONS</w:t>
      </w:r>
    </w:p>
    <w:p w:rsidR="007C2976" w:rsidRPr="005B6A0F" w:rsidP="007C2976" w14:paraId="052E089C" w14:textId="77777777">
      <w:pPr>
        <w:jc w:val="center"/>
        <w:rPr>
          <w:b/>
          <w:bCs/>
          <w:szCs w:val="24"/>
        </w:rPr>
      </w:pPr>
      <w:r w:rsidRPr="005B6A0F">
        <w:rPr>
          <w:b/>
          <w:bCs/>
          <w:szCs w:val="24"/>
        </w:rPr>
        <w:t>BY</w:t>
      </w:r>
    </w:p>
    <w:p w:rsidR="007C2976" w:rsidRPr="005B6A0F" w:rsidP="007C2976" w14:paraId="520CFE8B" w14:textId="6BC37218">
      <w:pPr>
        <w:jc w:val="center"/>
        <w:rPr>
          <w:b/>
          <w:bCs/>
          <w:szCs w:val="24"/>
        </w:rPr>
      </w:pPr>
      <w:r w:rsidRPr="005B6A0F">
        <w:rPr>
          <w:b/>
          <w:bCs/>
          <w:szCs w:val="24"/>
        </w:rPr>
        <w:t>OFFICE OF THE OHIO CONSUMERS’ COUNSEL</w:t>
      </w:r>
    </w:p>
    <w:p w:rsidR="007C2976" w:rsidRPr="005B6A0F" w:rsidP="007C2976" w14:paraId="578E0B56" w14:textId="77777777">
      <w:pPr>
        <w:pBdr>
          <w:bottom w:val="single" w:sz="12" w:space="1" w:color="auto"/>
        </w:pBdr>
        <w:tabs>
          <w:tab w:val="left" w:pos="4320"/>
        </w:tabs>
        <w:rPr>
          <w:szCs w:val="24"/>
        </w:rPr>
      </w:pPr>
    </w:p>
    <w:p w:rsidR="00D30CA6" w:rsidRPr="005B6A0F" w:rsidP="00D30CA6" w14:paraId="73FF4875" w14:textId="77777777">
      <w:pPr>
        <w:spacing w:after="160" w:line="259" w:lineRule="auto"/>
        <w:rPr>
          <w:szCs w:val="24"/>
        </w:rPr>
      </w:pPr>
    </w:p>
    <w:p w:rsidR="00D30CA6" w:rsidRPr="005B6A0F" w:rsidP="00D30CA6" w14:paraId="75DB5D7E" w14:textId="6DBF90F9">
      <w:pPr>
        <w:pStyle w:val="Heading1"/>
      </w:pPr>
      <w:bookmarkStart w:id="0" w:name="_Toc74639599"/>
      <w:r w:rsidRPr="005B6A0F">
        <w:t>I.</w:t>
      </w:r>
      <w:r w:rsidRPr="005B6A0F">
        <w:tab/>
        <w:t>INTRODUCTION</w:t>
      </w:r>
      <w:bookmarkEnd w:id="0"/>
    </w:p>
    <w:p w:rsidR="00930CA1" w:rsidRPr="005B6A0F" w:rsidP="00930CA1" w14:paraId="66CAADBF" w14:textId="21F14A2B">
      <w:pPr>
        <w:spacing w:line="480" w:lineRule="auto"/>
        <w:ind w:firstLine="720"/>
        <w:rPr>
          <w:szCs w:val="24"/>
        </w:rPr>
      </w:pPr>
      <w:r w:rsidRPr="005B6A0F">
        <w:rPr>
          <w:szCs w:val="24"/>
        </w:rPr>
        <w:t>AEP Ohio has charged consumers $36.5 million during 2019 for gridSMART Phase 2.</w:t>
      </w:r>
      <w:r>
        <w:rPr>
          <w:rStyle w:val="FootnoteReference"/>
          <w:szCs w:val="24"/>
        </w:rPr>
        <w:footnoteReference w:id="3"/>
      </w:r>
      <w:r w:rsidRPr="005B6A0F">
        <w:rPr>
          <w:szCs w:val="24"/>
        </w:rPr>
        <w:t xml:space="preserve">  The financial audit of AEP Ohio’s expenditures is crucial to consumer protection.  To protect consumers, the Office of the Ohio Consumers’ Counsel (“OCC”) appreciates the opportunity to provide the PUCO with these </w:t>
      </w:r>
      <w:r w:rsidRPr="005B6A0F" w:rsidR="000C5A42">
        <w:rPr>
          <w:szCs w:val="24"/>
        </w:rPr>
        <w:t xml:space="preserve">reply </w:t>
      </w:r>
      <w:r w:rsidRPr="005B6A0F">
        <w:rPr>
          <w:szCs w:val="24"/>
        </w:rPr>
        <w:t>comments to make sure that consumers pay only just and reasonable rates and get the benefits promised them by AEP Ohio.</w:t>
      </w:r>
    </w:p>
    <w:p w:rsidR="00930CA1" w:rsidRPr="005B6A0F" w:rsidP="00283758" w14:paraId="06FEE279" w14:textId="77777777">
      <w:pPr>
        <w:pStyle w:val="Heading1"/>
      </w:pPr>
      <w:bookmarkStart w:id="1" w:name="_Toc74639600"/>
      <w:r w:rsidRPr="005B6A0F">
        <w:t>II.</w:t>
      </w:r>
      <w:r w:rsidRPr="005B6A0F">
        <w:tab/>
        <w:t>BACKGROUND</w:t>
      </w:r>
      <w:bookmarkEnd w:id="1"/>
    </w:p>
    <w:p w:rsidR="00DC082F" w:rsidRPr="005B6A0F" w:rsidP="00B86FBB" w14:paraId="5C19EBEE" w14:textId="10A49125">
      <w:pPr>
        <w:spacing w:line="480" w:lineRule="auto"/>
        <w:ind w:firstLine="720"/>
        <w:rPr>
          <w:szCs w:val="24"/>
        </w:rPr>
      </w:pPr>
      <w:r w:rsidRPr="005B6A0F">
        <w:rPr>
          <w:szCs w:val="24"/>
        </w:rPr>
        <w:t xml:space="preserve">Under gridSMART Phase 2, AEP Ohio is deploying approximately 894,000 so-called “Smart Meters,” distribution circuit automation (“DACR”) on approximately 250 distribution </w:t>
      </w:r>
      <w:r w:rsidRPr="005B6A0F" w:rsidR="00B86FBB">
        <w:rPr>
          <w:szCs w:val="24"/>
        </w:rPr>
        <w:t xml:space="preserve"> </w:t>
      </w:r>
      <w:r w:rsidRPr="005B6A0F">
        <w:rPr>
          <w:szCs w:val="24"/>
        </w:rPr>
        <w:t>circuits, and Volt/VAR Optimization on 160 distribution circuits.</w:t>
      </w:r>
      <w:r>
        <w:rPr>
          <w:rStyle w:val="FootnoteReference"/>
          <w:szCs w:val="24"/>
        </w:rPr>
        <w:footnoteReference w:id="4"/>
      </w:r>
      <w:r w:rsidRPr="005B6A0F">
        <w:rPr>
          <w:szCs w:val="24"/>
        </w:rPr>
        <w:t xml:space="preserve"> </w:t>
      </w:r>
      <w:r w:rsidRPr="005B6A0F" w:rsidR="00BF3343">
        <w:rPr>
          <w:szCs w:val="24"/>
        </w:rPr>
        <w:t xml:space="preserve"> It is required</w:t>
      </w:r>
      <w:r w:rsidRPr="005B6A0F" w:rsidR="00050F22">
        <w:rPr>
          <w:szCs w:val="24"/>
        </w:rPr>
        <w:t xml:space="preserve"> </w:t>
      </w:r>
      <w:r w:rsidRPr="005B6A0F" w:rsidR="00BF3343">
        <w:rPr>
          <w:szCs w:val="24"/>
        </w:rPr>
        <w:t>to file quarterly updates with the PUCO regarding its gridSMART Phase 2 spend.</w:t>
      </w:r>
      <w:r>
        <w:rPr>
          <w:rStyle w:val="FootnoteReference"/>
          <w:szCs w:val="24"/>
        </w:rPr>
        <w:footnoteReference w:id="5"/>
      </w:r>
      <w:r w:rsidRPr="005B6A0F" w:rsidR="00BF3343">
        <w:rPr>
          <w:szCs w:val="24"/>
        </w:rPr>
        <w:t xml:space="preserve">  </w:t>
      </w:r>
    </w:p>
    <w:p w:rsidR="00D30CA6" w:rsidRPr="005B6A0F" w:rsidP="00D30CA6" w14:paraId="7B9EA727" w14:textId="121BF5B7">
      <w:pPr>
        <w:spacing w:line="480" w:lineRule="auto"/>
        <w:ind w:firstLine="720"/>
        <w:rPr>
          <w:szCs w:val="24"/>
        </w:rPr>
      </w:pPr>
      <w:r w:rsidRPr="005B6A0F">
        <w:rPr>
          <w:szCs w:val="24"/>
        </w:rPr>
        <w:t>AEP Ohio filed its fourth quarter 2019 update on January 28, 2020.</w:t>
      </w:r>
      <w:r>
        <w:rPr>
          <w:rStyle w:val="FootnoteReference"/>
          <w:szCs w:val="24"/>
        </w:rPr>
        <w:footnoteReference w:id="6"/>
      </w:r>
      <w:r w:rsidRPr="005B6A0F">
        <w:rPr>
          <w:szCs w:val="24"/>
        </w:rPr>
        <w:t xml:space="preserve">  </w:t>
      </w:r>
      <w:r w:rsidRPr="005B6A0F" w:rsidR="00BF3343">
        <w:rPr>
          <w:szCs w:val="24"/>
        </w:rPr>
        <w:t xml:space="preserve">The filing initiated a financial audit of the costs AEP Ohio incurred during 2019.  </w:t>
      </w:r>
      <w:r w:rsidRPr="005B6A0F">
        <w:rPr>
          <w:szCs w:val="24"/>
        </w:rPr>
        <w:t xml:space="preserve">The total AEP Ohio revenue requirement </w:t>
      </w:r>
      <w:r w:rsidRPr="005B6A0F" w:rsidR="00BF3343">
        <w:rPr>
          <w:szCs w:val="24"/>
        </w:rPr>
        <w:t xml:space="preserve">requested </w:t>
      </w:r>
      <w:r w:rsidRPr="005B6A0F">
        <w:rPr>
          <w:szCs w:val="24"/>
        </w:rPr>
        <w:t xml:space="preserve">across the four quarters </w:t>
      </w:r>
      <w:r w:rsidRPr="005B6A0F" w:rsidR="00DC082F">
        <w:rPr>
          <w:szCs w:val="24"/>
        </w:rPr>
        <w:t xml:space="preserve">in 2019 </w:t>
      </w:r>
      <w:r w:rsidRPr="005B6A0F" w:rsidR="00BF3343">
        <w:rPr>
          <w:szCs w:val="24"/>
        </w:rPr>
        <w:t>is</w:t>
      </w:r>
      <w:r w:rsidRPr="005B6A0F">
        <w:rPr>
          <w:szCs w:val="24"/>
        </w:rPr>
        <w:t xml:space="preserve"> approximately $36.5 million, including both operations and maintenance (“O&amp;M”) and capital costs </w:t>
      </w:r>
      <w:r w:rsidRPr="005B6A0F" w:rsidR="00BF3343">
        <w:rPr>
          <w:szCs w:val="24"/>
        </w:rPr>
        <w:t>for 2019</w:t>
      </w:r>
      <w:r w:rsidRPr="005B6A0F">
        <w:rPr>
          <w:szCs w:val="24"/>
        </w:rPr>
        <w:t>.</w:t>
      </w:r>
      <w:r>
        <w:rPr>
          <w:rStyle w:val="FootnoteReference"/>
          <w:szCs w:val="24"/>
        </w:rPr>
        <w:footnoteReference w:id="7"/>
      </w:r>
      <w:r w:rsidRPr="005B6A0F" w:rsidR="00BF3343">
        <w:rPr>
          <w:szCs w:val="24"/>
        </w:rPr>
        <w:t xml:space="preserve">  </w:t>
      </w:r>
    </w:p>
    <w:p w:rsidR="00D30CA6" w:rsidRPr="005B6A0F" w:rsidP="00D30CA6" w14:paraId="107F7117" w14:textId="7EA6B363">
      <w:pPr>
        <w:spacing w:line="480" w:lineRule="auto"/>
        <w:ind w:firstLine="720"/>
        <w:rPr>
          <w:szCs w:val="24"/>
        </w:rPr>
      </w:pPr>
      <w:r w:rsidRPr="005B6A0F">
        <w:rPr>
          <w:szCs w:val="24"/>
        </w:rPr>
        <w:t xml:space="preserve">In response to AEP Ohio’s filing, the PUCO Staff </w:t>
      </w:r>
      <w:r w:rsidRPr="005B6A0F" w:rsidR="00CA2F71">
        <w:rPr>
          <w:szCs w:val="24"/>
        </w:rPr>
        <w:t xml:space="preserve">(“Staff”) </w:t>
      </w:r>
      <w:r w:rsidRPr="005B6A0F">
        <w:rPr>
          <w:szCs w:val="24"/>
        </w:rPr>
        <w:t>filed a Review and Recommendation on December 2, 2020</w:t>
      </w:r>
      <w:r w:rsidRPr="005B6A0F" w:rsidR="00BF3343">
        <w:rPr>
          <w:szCs w:val="24"/>
        </w:rPr>
        <w:t xml:space="preserve"> (“Staff Review”)</w:t>
      </w:r>
      <w:r w:rsidRPr="005B6A0F">
        <w:rPr>
          <w:szCs w:val="24"/>
        </w:rPr>
        <w:t>.  Staff recommended total capital adjustments of approximately $8,932,278 and O&amp;M reductions of $681,831.</w:t>
      </w:r>
      <w:r>
        <w:rPr>
          <w:rStyle w:val="FootnoteReference"/>
          <w:szCs w:val="24"/>
        </w:rPr>
        <w:footnoteReference w:id="8"/>
      </w:r>
      <w:r w:rsidRPr="005B6A0F" w:rsidR="007A205E">
        <w:rPr>
          <w:szCs w:val="24"/>
        </w:rPr>
        <w:t xml:space="preserve">  </w:t>
      </w:r>
      <w:r w:rsidRPr="005B6A0F">
        <w:rPr>
          <w:szCs w:val="24"/>
        </w:rPr>
        <w:t xml:space="preserve">AEP Ohio filed comments </w:t>
      </w:r>
      <w:r w:rsidRPr="005B6A0F" w:rsidR="007A205E">
        <w:rPr>
          <w:szCs w:val="24"/>
        </w:rPr>
        <w:t xml:space="preserve">on the Staff Review </w:t>
      </w:r>
      <w:r w:rsidRPr="005B6A0F">
        <w:rPr>
          <w:szCs w:val="24"/>
        </w:rPr>
        <w:t>on February 5, 2021</w:t>
      </w:r>
      <w:r w:rsidRPr="005B6A0F" w:rsidR="007A205E">
        <w:rPr>
          <w:szCs w:val="24"/>
        </w:rPr>
        <w:t>.  AEP Ohio recommended</w:t>
      </w:r>
      <w:r w:rsidRPr="005B6A0F">
        <w:rPr>
          <w:szCs w:val="24"/>
        </w:rPr>
        <w:t xml:space="preserve"> that the PUCO accept some </w:t>
      </w:r>
      <w:r w:rsidRPr="005B6A0F" w:rsidR="007A205E">
        <w:rPr>
          <w:szCs w:val="24"/>
        </w:rPr>
        <w:t xml:space="preserve">Staff </w:t>
      </w:r>
      <w:r w:rsidRPr="005B6A0F" w:rsidR="00DC082F">
        <w:rPr>
          <w:szCs w:val="24"/>
        </w:rPr>
        <w:t>r</w:t>
      </w:r>
      <w:r w:rsidRPr="005B6A0F" w:rsidR="007A205E">
        <w:rPr>
          <w:szCs w:val="24"/>
        </w:rPr>
        <w:t>ecommendations bu</w:t>
      </w:r>
      <w:r w:rsidRPr="005B6A0F" w:rsidR="00DC082F">
        <w:rPr>
          <w:szCs w:val="24"/>
        </w:rPr>
        <w:t>t</w:t>
      </w:r>
      <w:r w:rsidRPr="005B6A0F" w:rsidR="007A205E">
        <w:rPr>
          <w:szCs w:val="24"/>
        </w:rPr>
        <w:t xml:space="preserve"> not others.</w:t>
      </w:r>
      <w:r>
        <w:rPr>
          <w:rStyle w:val="FootnoteReference"/>
          <w:szCs w:val="24"/>
        </w:rPr>
        <w:footnoteReference w:id="9"/>
      </w:r>
      <w:r w:rsidRPr="005B6A0F" w:rsidR="00DC082F">
        <w:rPr>
          <w:szCs w:val="24"/>
        </w:rPr>
        <w:t xml:space="preserve">  To protect consumers, the PUCO should accept  </w:t>
      </w:r>
      <w:r w:rsidRPr="005B6A0F" w:rsidR="00B105F8">
        <w:rPr>
          <w:szCs w:val="24"/>
        </w:rPr>
        <w:t xml:space="preserve">all </w:t>
      </w:r>
      <w:r w:rsidRPr="005B6A0F" w:rsidR="00DC082F">
        <w:rPr>
          <w:szCs w:val="24"/>
        </w:rPr>
        <w:t>Staff</w:t>
      </w:r>
      <w:r w:rsidRPr="005B6A0F" w:rsidR="00CA2F71">
        <w:rPr>
          <w:szCs w:val="24"/>
        </w:rPr>
        <w:t xml:space="preserve">’s recommendations </w:t>
      </w:r>
      <w:r w:rsidRPr="005B6A0F" w:rsidR="00DC082F">
        <w:rPr>
          <w:szCs w:val="24"/>
        </w:rPr>
        <w:t>and those of OCC, as described below.</w:t>
      </w:r>
      <w:r w:rsidRPr="005B6A0F">
        <w:rPr>
          <w:szCs w:val="24"/>
        </w:rPr>
        <w:t xml:space="preserve"> </w:t>
      </w:r>
    </w:p>
    <w:p w:rsidR="00D30CA6" w:rsidRPr="005B6A0F" w:rsidP="00D30CA6" w14:paraId="31B6C804" w14:textId="1845C12A">
      <w:pPr>
        <w:pStyle w:val="Heading1"/>
      </w:pPr>
      <w:bookmarkStart w:id="2" w:name="_Toc74639601"/>
      <w:r w:rsidRPr="005B6A0F">
        <w:t>II</w:t>
      </w:r>
      <w:r w:rsidRPr="005B6A0F" w:rsidR="007A205E">
        <w:t>I</w:t>
      </w:r>
      <w:r w:rsidRPr="005B6A0F">
        <w:t>.</w:t>
      </w:r>
      <w:r w:rsidRPr="005B6A0F">
        <w:tab/>
        <w:t>COMMENTS</w:t>
      </w:r>
      <w:bookmarkEnd w:id="2"/>
    </w:p>
    <w:p w:rsidR="00B86FBB" w:rsidRPr="005B6A0F" w:rsidP="004B32E0" w14:paraId="45B7D9AB" w14:textId="160A5990">
      <w:pPr>
        <w:pStyle w:val="Heading2"/>
        <w:rPr>
          <w:b w:val="0"/>
          <w:bCs/>
          <w:szCs w:val="24"/>
        </w:rPr>
      </w:pPr>
      <w:bookmarkStart w:id="3" w:name="_Toc74639602"/>
      <w:r w:rsidRPr="005B6A0F">
        <w:rPr>
          <w:szCs w:val="24"/>
        </w:rPr>
        <w:t>A.</w:t>
      </w:r>
      <w:r w:rsidRPr="005B6A0F">
        <w:rPr>
          <w:szCs w:val="24"/>
        </w:rPr>
        <w:tab/>
        <w:t>To protect consumers, the PUCO should reject AEP Ohio’s gridSMART Phase III application until and unless it demonstrates that customers are obtaining the smart grid benefits promised under gridSMART Phase I and gridSMART Phase II.</w:t>
      </w:r>
      <w:bookmarkEnd w:id="3"/>
    </w:p>
    <w:p w:rsidR="00B86FBB" w:rsidRPr="005B6A0F" w:rsidP="00B86FBB" w14:paraId="39266238" w14:textId="77777777">
      <w:pPr>
        <w:spacing w:line="480" w:lineRule="auto"/>
        <w:ind w:firstLine="720"/>
        <w:rPr>
          <w:szCs w:val="24"/>
        </w:rPr>
      </w:pPr>
      <w:r w:rsidRPr="005B6A0F">
        <w:rPr>
          <w:szCs w:val="24"/>
        </w:rPr>
        <w:t>While Ohioans’ health and financial well-being is suffering in the wake of the coronavirus pandemic, AEP Ohio is looking to spend another billion dollars on so-called smart grid technologies as part of its proposed gridSMART Phase III.</w:t>
      </w:r>
      <w:r>
        <w:rPr>
          <w:rStyle w:val="FootnoteReference"/>
          <w:szCs w:val="24"/>
        </w:rPr>
        <w:footnoteReference w:id="10"/>
      </w:r>
      <w:r w:rsidRPr="005B6A0F">
        <w:rPr>
          <w:szCs w:val="24"/>
        </w:rPr>
        <w:t xml:space="preserve"> The PUCO should not allow AEP Ohio to move forward on gridSMART Phase III unless and until Phases I and II are completed, and the PUCO has completed its review to determine AEP’s investments are used and useful and the costs were prudently incurred.</w:t>
      </w:r>
    </w:p>
    <w:p w:rsidR="00B86FBB" w:rsidRPr="005B6A0F" w:rsidP="00B86FBB" w14:paraId="1092C3CE" w14:textId="77777777">
      <w:pPr>
        <w:spacing w:line="480" w:lineRule="auto"/>
        <w:ind w:firstLine="720"/>
        <w:rPr>
          <w:szCs w:val="24"/>
        </w:rPr>
      </w:pPr>
      <w:r w:rsidRPr="005B6A0F">
        <w:rPr>
          <w:szCs w:val="24"/>
        </w:rPr>
        <w:t>AEP Ohio’s gridSMART Phase II was approved by the PUCO in February 2017.</w:t>
      </w:r>
      <w:r>
        <w:rPr>
          <w:rStyle w:val="FootnoteReference"/>
          <w:szCs w:val="24"/>
        </w:rPr>
        <w:footnoteReference w:id="11"/>
      </w:r>
      <w:r w:rsidRPr="005B6A0F">
        <w:rPr>
          <w:szCs w:val="24"/>
        </w:rPr>
        <w:t xml:space="preserve"> Costing consumers $516 million,</w:t>
      </w:r>
      <w:r>
        <w:rPr>
          <w:rStyle w:val="FootnoteReference"/>
          <w:szCs w:val="24"/>
        </w:rPr>
        <w:footnoteReference w:id="12"/>
      </w:r>
      <w:r w:rsidRPr="005B6A0F">
        <w:rPr>
          <w:szCs w:val="24"/>
        </w:rPr>
        <w:t xml:space="preserve"> Phase II expanded the deployment of smart grid technologies first started with the approximate $150 million gridSMART Phase I project that was funded by the Department of Energy (DOE) and customers.</w:t>
      </w:r>
      <w:r>
        <w:rPr>
          <w:rStyle w:val="FootnoteReference"/>
          <w:szCs w:val="24"/>
        </w:rPr>
        <w:footnoteReference w:id="13"/>
      </w:r>
      <w:r w:rsidRPr="005B6A0F">
        <w:rPr>
          <w:szCs w:val="24"/>
        </w:rPr>
        <w:t xml:space="preserve">  Under Phase II, AEP Ohio’s cost benefit analysis showed that the $516 million costs over 15 years was expected to provide well over a billion dollars in savings to customers.</w:t>
      </w:r>
      <w:r>
        <w:rPr>
          <w:rStyle w:val="FootnoteReference"/>
          <w:szCs w:val="24"/>
        </w:rPr>
        <w:footnoteReference w:id="14"/>
      </w:r>
      <w:r w:rsidRPr="005B6A0F">
        <w:rPr>
          <w:szCs w:val="24"/>
        </w:rPr>
        <w:t xml:space="preserve"> </w:t>
      </w:r>
    </w:p>
    <w:p w:rsidR="00B86FBB" w:rsidRPr="005B6A0F" w:rsidP="00B86FBB" w14:paraId="696E77EC" w14:textId="77777777">
      <w:pPr>
        <w:spacing w:line="480" w:lineRule="auto"/>
        <w:ind w:firstLine="720"/>
        <w:rPr>
          <w:szCs w:val="24"/>
        </w:rPr>
      </w:pPr>
      <w:r w:rsidRPr="005B6A0F">
        <w:rPr>
          <w:szCs w:val="24"/>
        </w:rPr>
        <w:t>For all of the different gridSMART deployment phases, DACR is the primary smart grid benefit that is intended to provide significant improvements in reliability through less frequent and shorter duration outages. In Phase II alone, DACR was purportedly expected to provide over a billion dollars in savings associated with avoided outages.</w:t>
      </w:r>
      <w:r>
        <w:rPr>
          <w:rStyle w:val="FootnoteReference"/>
          <w:szCs w:val="24"/>
        </w:rPr>
        <w:footnoteReference w:id="15"/>
      </w:r>
    </w:p>
    <w:p w:rsidR="00B86FBB" w:rsidRPr="005B6A0F" w:rsidP="004B32E0" w14:paraId="4DFB7A84" w14:textId="77777777">
      <w:pPr>
        <w:pStyle w:val="Heading3"/>
        <w:rPr>
          <w:rFonts w:ascii="Times New Roman" w:hAnsi="Times New Roman"/>
        </w:rPr>
      </w:pPr>
      <w:bookmarkStart w:id="4" w:name="_Toc49953920"/>
      <w:bookmarkStart w:id="5" w:name="_Toc50560064"/>
      <w:bookmarkStart w:id="6" w:name="_Toc74639603"/>
      <w:r w:rsidRPr="005B6A0F">
        <w:rPr>
          <w:rFonts w:ascii="Times New Roman" w:hAnsi="Times New Roman"/>
        </w:rPr>
        <w:t>1.</w:t>
      </w:r>
      <w:r w:rsidRPr="005B6A0F">
        <w:rPr>
          <w:rFonts w:ascii="Times New Roman" w:hAnsi="Times New Roman"/>
        </w:rPr>
        <w:tab/>
        <w:t>AEP Ohio’s progress (or lack thereof) on timely installing Distribution Automation Circuit Reconfiguration is hurting consumers.</w:t>
      </w:r>
      <w:bookmarkEnd w:id="4"/>
      <w:bookmarkEnd w:id="5"/>
      <w:bookmarkEnd w:id="6"/>
      <w:r w:rsidRPr="005B6A0F">
        <w:rPr>
          <w:rFonts w:ascii="Times New Roman" w:hAnsi="Times New Roman"/>
        </w:rPr>
        <w:t xml:space="preserve"> </w:t>
      </w:r>
    </w:p>
    <w:p w:rsidR="00B86FBB" w:rsidRPr="005B6A0F" w:rsidP="00B86FBB" w14:paraId="37ACE1B4" w14:textId="77777777">
      <w:pPr>
        <w:spacing w:line="480" w:lineRule="auto"/>
        <w:ind w:firstLine="720"/>
        <w:rPr>
          <w:szCs w:val="24"/>
        </w:rPr>
      </w:pPr>
      <w:r w:rsidRPr="005B6A0F">
        <w:rPr>
          <w:szCs w:val="24"/>
        </w:rPr>
        <w:t>While the gridSMART Phase II program went into effect over 3.5 years ago, AEP Ohio has made very little progress in deploying DACR. It was supposed to be fully deployed within 72 months of the PUCO’s approval of the Settlement.</w:t>
      </w:r>
      <w:r>
        <w:rPr>
          <w:rStyle w:val="FootnoteReference"/>
          <w:szCs w:val="24"/>
        </w:rPr>
        <w:footnoteReference w:id="16"/>
      </w:r>
      <w:r w:rsidRPr="005B6A0F">
        <w:rPr>
          <w:szCs w:val="24"/>
        </w:rPr>
        <w:t xml:space="preserve"> Yet in August 2020 (41 months into the deployment), only 11 circuits (or 4.4% of the total circuits) had actually been completed.</w:t>
      </w:r>
      <w:r>
        <w:rPr>
          <w:rStyle w:val="FootnoteReference"/>
          <w:szCs w:val="24"/>
        </w:rPr>
        <w:footnoteReference w:id="17"/>
      </w:r>
      <w:r w:rsidRPr="005B6A0F">
        <w:rPr>
          <w:szCs w:val="24"/>
        </w:rPr>
        <w:t xml:space="preserve"> And there have been very few outage events where these 11 circuits were available to help customers avoid outages.</w:t>
      </w:r>
      <w:r>
        <w:rPr>
          <w:rStyle w:val="FootnoteReference"/>
          <w:szCs w:val="24"/>
        </w:rPr>
        <w:footnoteReference w:id="18"/>
      </w:r>
      <w:r w:rsidRPr="005B6A0F">
        <w:rPr>
          <w:szCs w:val="24"/>
        </w:rPr>
        <w:t xml:space="preserve"> The deployment of DACR involves the installation of automated reclosures and other technologies at strategic locations on select circuits throughout the distribution system. Based on the location where a fault occurs that would result in customer outages, DACR will reroute electricity around the fault location to reduce the number of customers who experience an interruption. </w:t>
      </w:r>
    </w:p>
    <w:p w:rsidR="00B86FBB" w:rsidRPr="005B6A0F" w:rsidP="00B86FBB" w14:paraId="7E5B85F6" w14:textId="77777777">
      <w:pPr>
        <w:spacing w:line="480" w:lineRule="auto"/>
        <w:ind w:firstLine="720"/>
        <w:rPr>
          <w:szCs w:val="24"/>
        </w:rPr>
      </w:pPr>
      <w:r w:rsidRPr="005B6A0F">
        <w:rPr>
          <w:szCs w:val="24"/>
        </w:rPr>
        <w:t>But until and unless AEP Ohio prioritizes the deployment of DACR on the remaining 239 circuits, customers will not realize these reliability improvements and the financial benefits that DACR is supposed to provide. AEP Ohio’s lack of progress in deploying DACR is a contributing factor to why it failed to meet its minimum reliability performance standards in 2018</w:t>
      </w:r>
      <w:r>
        <w:rPr>
          <w:rStyle w:val="FootnoteReference"/>
          <w:szCs w:val="24"/>
        </w:rPr>
        <w:footnoteReference w:id="19"/>
      </w:r>
      <w:r w:rsidRPr="005B6A0F">
        <w:rPr>
          <w:szCs w:val="24"/>
        </w:rPr>
        <w:t xml:space="preserve"> and again in 2019.</w:t>
      </w:r>
      <w:r>
        <w:rPr>
          <w:rStyle w:val="FootnoteReference"/>
          <w:szCs w:val="24"/>
        </w:rPr>
        <w:footnoteReference w:id="20"/>
      </w:r>
      <w:r w:rsidRPr="005B6A0F">
        <w:rPr>
          <w:szCs w:val="24"/>
        </w:rPr>
        <w:t xml:space="preserve"> Had AEP Ohio prioritized the installation of DACR when the PUCO first approved the program in February 2017, far fewer customer interruptions and customer minutes interrupted would have occurred in 2018 and 2019. </w:t>
      </w:r>
    </w:p>
    <w:p w:rsidR="00B86FBB" w:rsidRPr="005B6A0F" w:rsidP="00B86FBB" w14:paraId="182F2AD3" w14:textId="77777777">
      <w:pPr>
        <w:spacing w:line="480" w:lineRule="auto"/>
        <w:ind w:firstLine="720"/>
        <w:rPr>
          <w:szCs w:val="24"/>
        </w:rPr>
      </w:pPr>
      <w:r w:rsidRPr="005B6A0F">
        <w:rPr>
          <w:szCs w:val="24"/>
        </w:rPr>
        <w:t xml:space="preserve">Given that the lions-share of the customer benefits from gridSMART Phase II are supposed to result from DACR, the PUCO should not approve a gridSMART Phase III deployment.  It should not do so, if ever, until the Phase II deployment is completed and a benefits assessment can be performed to evaluate if customers actually are obtaining all the reliability benefits that they were promised through DACR. </w:t>
      </w:r>
    </w:p>
    <w:p w:rsidR="00B86FBB" w:rsidRPr="005B6A0F" w:rsidP="00B86FBB" w14:paraId="648AAF40" w14:textId="77777777">
      <w:pPr>
        <w:spacing w:line="480" w:lineRule="auto"/>
        <w:ind w:firstLine="720"/>
        <w:rPr>
          <w:szCs w:val="24"/>
        </w:rPr>
      </w:pPr>
      <w:r w:rsidRPr="005B6A0F">
        <w:rPr>
          <w:szCs w:val="24"/>
        </w:rPr>
        <w:t>A benefits assessment is extremely important.  The DACR equipped circuits that were deployed under gridSMART Phase I are not performing as well as they were expected. Between 2015 and 2019, the DACR on Phase I circuits have had 179 opportunities to operate to help avoid customer interruptions and customer minutes interrupted during outage events.</w:t>
      </w:r>
      <w:r>
        <w:rPr>
          <w:rStyle w:val="FootnoteReference"/>
          <w:szCs w:val="24"/>
        </w:rPr>
        <w:footnoteReference w:id="21"/>
      </w:r>
      <w:r w:rsidRPr="005B6A0F">
        <w:rPr>
          <w:szCs w:val="24"/>
        </w:rPr>
        <w:t xml:space="preserve"> The DACR technology operated successfully during 136 of the outage events.</w:t>
      </w:r>
      <w:r>
        <w:rPr>
          <w:rStyle w:val="FootnoteReference"/>
          <w:szCs w:val="24"/>
        </w:rPr>
        <w:footnoteReference w:id="22"/>
      </w:r>
      <w:r w:rsidRPr="005B6A0F">
        <w:rPr>
          <w:szCs w:val="24"/>
        </w:rPr>
        <w:t xml:space="preserve"> But the DACR technology failed to reconfigure the circuit as expected during 43 of the outage events.</w:t>
      </w:r>
      <w:r>
        <w:rPr>
          <w:rStyle w:val="FootnoteReference"/>
          <w:szCs w:val="24"/>
        </w:rPr>
        <w:footnoteReference w:id="23"/>
      </w:r>
      <w:r w:rsidRPr="005B6A0F">
        <w:rPr>
          <w:szCs w:val="24"/>
        </w:rPr>
        <w:t xml:space="preserve"> A 76% success rate for the DACR Phase I circuits is well below what the PUCO should consider as an acceptable performance level. And the Phase II DACR deployment is not far enough long to determine if AEP Ohio has improved the performance.   </w:t>
      </w:r>
    </w:p>
    <w:p w:rsidR="00B86FBB" w:rsidRPr="005B6A0F" w:rsidP="00B86FBB" w14:paraId="377218D8" w14:textId="0356EC5F">
      <w:pPr>
        <w:spacing w:line="480" w:lineRule="auto"/>
        <w:ind w:firstLine="720"/>
        <w:rPr>
          <w:szCs w:val="24"/>
        </w:rPr>
      </w:pPr>
      <w:r w:rsidRPr="005B6A0F">
        <w:rPr>
          <w:szCs w:val="24"/>
        </w:rPr>
        <w:t xml:space="preserve">PUCO approval of gridSMART Phase III should not occur until the deployment of Phase II technologies are completed and the touted benefits are proven on most (if not all) of the DACR Phase II installations. Additionally, before the PUCO approves Phase III, AEP Ohio should be required to prove that the DACR technology is able to operate at a much higher performance level. Finally, approval of additional DACR equipped circuits now as part of gridSMART Phase III could serve to distract AEP Ohio from the work it needs to do to improve and prioritize deploying the Phase II circuits. </w:t>
      </w:r>
    </w:p>
    <w:p w:rsidR="00B86FBB" w:rsidRPr="005B6A0F" w:rsidP="004B32E0" w14:paraId="2F2FF435" w14:textId="587E25AA">
      <w:pPr>
        <w:pStyle w:val="Heading3"/>
        <w:rPr>
          <w:rFonts w:ascii="Times New Roman" w:hAnsi="Times New Roman"/>
        </w:rPr>
      </w:pPr>
      <w:bookmarkStart w:id="7" w:name="_Toc49953921"/>
      <w:bookmarkStart w:id="8" w:name="_Toc50560065"/>
      <w:bookmarkStart w:id="9" w:name="_Toc74639604"/>
      <w:r w:rsidRPr="005B6A0F">
        <w:rPr>
          <w:rFonts w:ascii="Times New Roman" w:hAnsi="Times New Roman"/>
        </w:rPr>
        <w:t>2.</w:t>
      </w:r>
      <w:r w:rsidRPr="005B6A0F">
        <w:rPr>
          <w:rFonts w:ascii="Times New Roman" w:hAnsi="Times New Roman"/>
        </w:rPr>
        <w:tab/>
        <w:t>It is not in consumers’ interest to rush to install smart meters as part of gridSMART Phase III.</w:t>
      </w:r>
      <w:bookmarkEnd w:id="7"/>
      <w:bookmarkEnd w:id="8"/>
      <w:bookmarkEnd w:id="9"/>
      <w:r w:rsidRPr="005B6A0F">
        <w:rPr>
          <w:rFonts w:ascii="Times New Roman" w:hAnsi="Times New Roman"/>
        </w:rPr>
        <w:t xml:space="preserve"> </w:t>
      </w:r>
    </w:p>
    <w:p w:rsidR="00B86FBB" w:rsidRPr="005B6A0F" w:rsidP="00B86FBB" w14:paraId="03211038" w14:textId="77777777">
      <w:pPr>
        <w:spacing w:line="480" w:lineRule="auto"/>
        <w:ind w:firstLine="720"/>
        <w:rPr>
          <w:szCs w:val="24"/>
        </w:rPr>
      </w:pPr>
      <w:r w:rsidRPr="005B6A0F">
        <w:rPr>
          <w:szCs w:val="24"/>
        </w:rPr>
        <w:t>Smart meters and the communications infrastructure that accompanies the meters allow for communications between AEP Ohio and its customers, reducing operating expenses, and additional customer rate alternatives.</w:t>
      </w:r>
      <w:r>
        <w:rPr>
          <w:rStyle w:val="FootnoteReference"/>
          <w:szCs w:val="24"/>
        </w:rPr>
        <w:footnoteReference w:id="24"/>
      </w:r>
      <w:r w:rsidRPr="005B6A0F">
        <w:rPr>
          <w:szCs w:val="24"/>
        </w:rPr>
        <w:t xml:space="preserve"> In the AEP Ohio gridSMART II cost benefit analysis, benefits associated with smart meters (such as reducing meter readings) was supposed to result in approximately $200 million in operational savings over 15 years.</w:t>
      </w:r>
      <w:r>
        <w:rPr>
          <w:rStyle w:val="FootnoteReference"/>
          <w:szCs w:val="24"/>
        </w:rPr>
        <w:footnoteReference w:id="25"/>
      </w:r>
      <w:r w:rsidRPr="005B6A0F">
        <w:rPr>
          <w:szCs w:val="24"/>
        </w:rPr>
        <w:t xml:space="preserve"> </w:t>
      </w:r>
    </w:p>
    <w:p w:rsidR="00B86FBB" w:rsidRPr="005B6A0F" w:rsidP="00B86FBB" w14:paraId="2677EFB0" w14:textId="77777777">
      <w:pPr>
        <w:spacing w:line="480" w:lineRule="auto"/>
        <w:ind w:firstLine="720"/>
        <w:rPr>
          <w:szCs w:val="24"/>
        </w:rPr>
      </w:pPr>
      <w:r w:rsidRPr="005B6A0F">
        <w:rPr>
          <w:szCs w:val="24"/>
        </w:rPr>
        <w:t>AEP Ohio has substantially completed deploying smart meters under gridSMART Phase II. Well over a million smart meters are now fully deployed. Until the operational savings from smart meters are reflected in new distribution bases rates, AEP Ohio is crediting a portion of the savings on an annual basis back to consumers through the gridSMART rider. The level of operational savings for gridSMART II in 2021 (and until new base rates are established) is approximately $8.4 million annually.</w:t>
      </w:r>
      <w:r>
        <w:rPr>
          <w:rStyle w:val="FootnoteReference"/>
          <w:szCs w:val="24"/>
        </w:rPr>
        <w:footnoteReference w:id="26"/>
      </w:r>
      <w:r w:rsidRPr="005B6A0F">
        <w:rPr>
          <w:szCs w:val="24"/>
        </w:rPr>
        <w:t xml:space="preserve"> This is well below the $200 million in benefits that AEP Ohio projected for smart meters in its cost benefit analysis and demonstrates why additional quantifiable benefits for consumers are needed.  </w:t>
      </w:r>
    </w:p>
    <w:p w:rsidR="00B86FBB" w:rsidRPr="005B6A0F" w:rsidP="00B86FBB" w14:paraId="62330762" w14:textId="77777777">
      <w:pPr>
        <w:spacing w:line="480" w:lineRule="auto"/>
        <w:ind w:firstLine="720"/>
        <w:rPr>
          <w:szCs w:val="24"/>
        </w:rPr>
      </w:pPr>
      <w:r w:rsidRPr="005B6A0F">
        <w:rPr>
          <w:szCs w:val="24"/>
        </w:rPr>
        <w:t>The level of operational savings in replacing the remaining non-smart meters under Phase III are expected to be much lower because there are not substantial meter reading and meter operations savings to be realized. According to AEP Ohio’s application, Phase III smart meter costs are projected at approximately $118 million and benefits are expected to be slightly above $40 million.</w:t>
      </w:r>
      <w:r>
        <w:rPr>
          <w:rStyle w:val="FootnoteReference"/>
          <w:szCs w:val="24"/>
        </w:rPr>
        <w:footnoteReference w:id="27"/>
      </w:r>
      <w:r w:rsidRPr="005B6A0F">
        <w:rPr>
          <w:szCs w:val="24"/>
        </w:rPr>
        <w:t xml:space="preserve">  For this reason, deploying additional smart meters under Phase III is unnecessary. Many of the non-smart meters deployed in the Phase III service area use Automated Meter Reading (“AMR”) technology that allows meter reads to be automatically performed on a monthly basis.</w:t>
      </w:r>
      <w:r>
        <w:rPr>
          <w:rStyle w:val="FootnoteReference"/>
          <w:szCs w:val="24"/>
        </w:rPr>
        <w:footnoteReference w:id="28"/>
      </w:r>
      <w:r w:rsidRPr="005B6A0F">
        <w:rPr>
          <w:szCs w:val="24"/>
        </w:rPr>
        <w:t xml:space="preserve"> Replacing these AMR meters with smart meters will not be as beneficial for Phase III customers until more applications are developed that take advantage of the capabilities of the Phase I and Phase II smart meters. </w:t>
      </w:r>
    </w:p>
    <w:p w:rsidR="00B86FBB" w:rsidRPr="005B6A0F" w:rsidP="004B32E0" w14:paraId="5AAF2047" w14:textId="77777777">
      <w:pPr>
        <w:pStyle w:val="Heading3"/>
        <w:rPr>
          <w:rFonts w:ascii="Times New Roman" w:hAnsi="Times New Roman"/>
          <w:b w:val="0"/>
        </w:rPr>
      </w:pPr>
      <w:bookmarkStart w:id="10" w:name="_Toc49953922"/>
      <w:bookmarkStart w:id="11" w:name="_Toc50560066"/>
      <w:bookmarkStart w:id="12" w:name="_Toc74639605"/>
      <w:r w:rsidRPr="005B6A0F">
        <w:rPr>
          <w:rFonts w:ascii="Times New Roman" w:hAnsi="Times New Roman"/>
        </w:rPr>
        <w:t>3.</w:t>
      </w:r>
      <w:r w:rsidRPr="005B6A0F">
        <w:rPr>
          <w:rFonts w:ascii="Times New Roman" w:hAnsi="Times New Roman"/>
        </w:rPr>
        <w:tab/>
        <w:t>While AEP Ohio has made substantial progress in deploying Volt-VAR technology as part of Phase II, consumer protection requires that a benefits assessment is necessary before continuing with deploying Volt-VAR as part of Phase III.</w:t>
      </w:r>
      <w:bookmarkEnd w:id="10"/>
      <w:bookmarkEnd w:id="11"/>
      <w:bookmarkEnd w:id="12"/>
      <w:r w:rsidRPr="005B6A0F">
        <w:rPr>
          <w:rFonts w:ascii="Times New Roman" w:hAnsi="Times New Roman"/>
        </w:rPr>
        <w:t xml:space="preserve"> </w:t>
      </w:r>
    </w:p>
    <w:p w:rsidR="00B86FBB" w:rsidRPr="005B6A0F" w:rsidP="00B86FBB" w14:paraId="50276152" w14:textId="77777777">
      <w:pPr>
        <w:spacing w:line="480" w:lineRule="auto"/>
        <w:ind w:firstLine="720"/>
        <w:rPr>
          <w:szCs w:val="24"/>
        </w:rPr>
      </w:pPr>
      <w:r w:rsidRPr="005B6A0F">
        <w:rPr>
          <w:szCs w:val="24"/>
        </w:rPr>
        <w:t>Between 2018 and 2020, AEP Ohio has installed VVO on 137 of the 160 circuits that it committed to install.</w:t>
      </w:r>
      <w:r>
        <w:rPr>
          <w:rStyle w:val="FootnoteReference"/>
          <w:szCs w:val="24"/>
        </w:rPr>
        <w:footnoteReference w:id="29"/>
      </w:r>
      <w:r w:rsidRPr="005B6A0F">
        <w:rPr>
          <w:szCs w:val="24"/>
        </w:rPr>
        <w:t xml:space="preserve"> VVO is an energy efficiency tool where voltages can be more accurately maintained and lowered across distribution circuits. This reduced energy consumption can help lower customers’ bills. AEP Ohio claims that customers stand to benefit by approximately $414 million from the approximately $323 million in costs associated with installing VVO on an additional 492 distribution circuits.</w:t>
      </w:r>
      <w:r>
        <w:rPr>
          <w:rStyle w:val="FootnoteReference"/>
          <w:szCs w:val="24"/>
        </w:rPr>
        <w:footnoteReference w:id="30"/>
      </w:r>
      <w:r w:rsidRPr="005B6A0F">
        <w:rPr>
          <w:szCs w:val="24"/>
        </w:rPr>
        <w:t xml:space="preserve"> </w:t>
      </w:r>
    </w:p>
    <w:p w:rsidR="005B6A0F" w:rsidRPr="005B6A0F" w:rsidP="005B6A0F" w14:paraId="0DA43B35" w14:textId="77777777">
      <w:pPr>
        <w:spacing w:line="480" w:lineRule="auto"/>
        <w:ind w:firstLine="720"/>
        <w:rPr>
          <w:szCs w:val="24"/>
        </w:rPr>
      </w:pPr>
      <w:r w:rsidRPr="005B6A0F">
        <w:rPr>
          <w:szCs w:val="24"/>
        </w:rPr>
        <w:t>Based on the gridSMART Phase II cost benefit analysis, VVO deployment on 160 circuits was intended to reduce energy consumption by approximately three percent and save customers $210 million over 15 years.</w:t>
      </w:r>
      <w:r>
        <w:rPr>
          <w:rStyle w:val="FootnoteReference"/>
          <w:szCs w:val="24"/>
        </w:rPr>
        <w:footnoteReference w:id="31"/>
      </w:r>
      <w:r w:rsidRPr="005B6A0F">
        <w:rPr>
          <w:szCs w:val="24"/>
        </w:rPr>
        <w:t xml:space="preserve"> But until and unless AEP Ohio completes the deployment of VVO on Phase II circuits and assesses the actual benefits customers are receiving, the PUCO should not approve an expansion of the number of circuits that are equipped with VVO technology as part of Phase III.  As evidenced in the complexity in designing Phase II circuits, energy reductions in the 3-4% range may not be sustainable or cost effective as VVO is deployed across more applications and more circuits.</w:t>
      </w:r>
      <w:r>
        <w:rPr>
          <w:rStyle w:val="FootnoteReference"/>
          <w:szCs w:val="24"/>
        </w:rPr>
        <w:footnoteReference w:id="32"/>
      </w:r>
    </w:p>
    <w:p w:rsidR="00B86FBB" w:rsidRPr="005B6A0F" w:rsidP="005B6A0F" w14:paraId="4A1E4933" w14:textId="37D1FB58">
      <w:pPr>
        <w:pStyle w:val="Heading2"/>
        <w:rPr>
          <w:szCs w:val="24"/>
        </w:rPr>
      </w:pPr>
      <w:bookmarkStart w:id="13" w:name="_Toc74639606"/>
      <w:r w:rsidRPr="005B6A0F">
        <w:rPr>
          <w:szCs w:val="24"/>
        </w:rPr>
        <w:t>B.</w:t>
      </w:r>
      <w:r w:rsidRPr="005B6A0F">
        <w:rPr>
          <w:szCs w:val="24"/>
        </w:rPr>
        <w:tab/>
        <w:t>To protect consumers, the PUCO should require Staff to perform a review of AEP Ohio’s DACR technology to determine the underlying reasons for AEP Ohio’s lack of progress in expeditiously deploying this technology.</w:t>
      </w:r>
      <w:bookmarkEnd w:id="13"/>
      <w:r w:rsidRPr="005B6A0F">
        <w:rPr>
          <w:szCs w:val="24"/>
        </w:rPr>
        <w:t xml:space="preserve"> </w:t>
      </w:r>
    </w:p>
    <w:p w:rsidR="00B86FBB" w:rsidRPr="005B6A0F" w:rsidP="00B86FBB" w14:paraId="06EAFAFA" w14:textId="77777777">
      <w:pPr>
        <w:autoSpaceDE w:val="0"/>
        <w:autoSpaceDN w:val="0"/>
        <w:adjustRightInd w:val="0"/>
        <w:spacing w:line="480" w:lineRule="auto"/>
        <w:ind w:firstLine="720"/>
        <w:rPr>
          <w:szCs w:val="24"/>
        </w:rPr>
      </w:pPr>
      <w:r w:rsidRPr="005B6A0F">
        <w:rPr>
          <w:szCs w:val="24"/>
        </w:rPr>
        <w:t>The gridSMART Phase 2 program includes deploying DACR technology on 250 circuits. DACR provides the capability to automatically reroute power around failure areas during certain outage events to reduce the number of customers who would otherwise be interrupted. AEP Ohio justified its gridSMART Phase 2 program based in part on over a billion dollars in estimated savings that were supposed to result from the DACR deployment.</w:t>
      </w:r>
      <w:r>
        <w:rPr>
          <w:rStyle w:val="FootnoteReference"/>
          <w:szCs w:val="24"/>
        </w:rPr>
        <w:footnoteReference w:id="33"/>
      </w:r>
      <w:r w:rsidRPr="005B6A0F">
        <w:rPr>
          <w:szCs w:val="24"/>
        </w:rPr>
        <w:t xml:space="preserve">           </w:t>
      </w:r>
    </w:p>
    <w:p w:rsidR="00B86FBB" w:rsidRPr="005B6A0F" w:rsidP="00B86FBB" w14:paraId="7FAB0D4D" w14:textId="77777777">
      <w:pPr>
        <w:autoSpaceDE w:val="0"/>
        <w:autoSpaceDN w:val="0"/>
        <w:adjustRightInd w:val="0"/>
        <w:spacing w:line="480" w:lineRule="auto"/>
        <w:ind w:firstLine="720"/>
        <w:rPr>
          <w:szCs w:val="24"/>
        </w:rPr>
      </w:pPr>
      <w:r w:rsidRPr="005B6A0F">
        <w:rPr>
          <w:szCs w:val="24"/>
        </w:rPr>
        <w:t>While the gridSMART Phase 2 program went into effect over 3.5 years ago, AEP Ohio has made very little progress in deploying DACR. It was supposed to be fully deployed within 72 months of the PUCO’s approval of the Settlement authorizing the program.</w:t>
      </w:r>
      <w:r>
        <w:rPr>
          <w:rStyle w:val="FootnoteReference"/>
          <w:szCs w:val="24"/>
        </w:rPr>
        <w:footnoteReference w:id="34"/>
      </w:r>
      <w:r w:rsidRPr="005B6A0F">
        <w:rPr>
          <w:szCs w:val="24"/>
        </w:rPr>
        <w:t>Yet through December 2019, AEP Ohio had managed to install DACR only a total of nine circuits (or 3.6% of the total circuits).</w:t>
      </w:r>
      <w:r>
        <w:rPr>
          <w:rStyle w:val="FootnoteReference"/>
          <w:szCs w:val="24"/>
        </w:rPr>
        <w:footnoteReference w:id="35"/>
      </w:r>
      <w:r w:rsidRPr="005B6A0F">
        <w:rPr>
          <w:szCs w:val="24"/>
        </w:rPr>
        <w:t xml:space="preserve"> And there have been only three outage events where these nine circuits were available to help customers avoid outages.</w:t>
      </w:r>
      <w:r>
        <w:rPr>
          <w:rStyle w:val="FootnoteReference"/>
          <w:szCs w:val="24"/>
        </w:rPr>
        <w:footnoteReference w:id="36"/>
      </w:r>
      <w:r w:rsidRPr="005B6A0F">
        <w:rPr>
          <w:szCs w:val="24"/>
        </w:rPr>
        <w:t xml:space="preserve"> Until and unless AEP Ohio prioritizes deploying DACR on the remaining 241 circuits, customers will not realize the reliability improvements and the financial benefits that DACR is intended to provide.</w:t>
      </w:r>
    </w:p>
    <w:p w:rsidR="00B86FBB" w:rsidRPr="005B6A0F" w:rsidP="00B86FBB" w14:paraId="602A43EC" w14:textId="77777777">
      <w:pPr>
        <w:autoSpaceDE w:val="0"/>
        <w:autoSpaceDN w:val="0"/>
        <w:adjustRightInd w:val="0"/>
        <w:spacing w:line="480" w:lineRule="auto"/>
        <w:ind w:firstLine="720"/>
        <w:rPr>
          <w:szCs w:val="24"/>
        </w:rPr>
      </w:pPr>
      <w:r w:rsidRPr="005B6A0F">
        <w:rPr>
          <w:szCs w:val="24"/>
        </w:rPr>
        <w:t>AEP Ohio’s lack of progress in deploying DACR is a contributing factor to why it failed to meet its minimum reliability performance standards in 2018</w:t>
      </w:r>
      <w:r>
        <w:rPr>
          <w:rStyle w:val="FootnoteReference"/>
          <w:szCs w:val="24"/>
        </w:rPr>
        <w:footnoteReference w:id="37"/>
      </w:r>
      <w:r w:rsidRPr="005B6A0F">
        <w:rPr>
          <w:szCs w:val="24"/>
        </w:rPr>
        <w:t>and again in 2019.</w:t>
      </w:r>
      <w:r>
        <w:rPr>
          <w:rStyle w:val="FootnoteReference"/>
          <w:szCs w:val="24"/>
        </w:rPr>
        <w:footnoteReference w:id="38"/>
      </w:r>
      <w:r w:rsidRPr="005B6A0F">
        <w:rPr>
          <w:szCs w:val="24"/>
        </w:rPr>
        <w:t xml:space="preserve"> Failing to meet the minimum reliability performance standards means that AEP Ohio customers are experiencing more interruptions and for longer durations of time despite the assurance of improved reliability through DACR. </w:t>
      </w:r>
    </w:p>
    <w:p w:rsidR="00B86FBB" w:rsidRPr="005B6A0F" w:rsidP="00B86FBB" w14:paraId="507CA5CD" w14:textId="77777777">
      <w:pPr>
        <w:autoSpaceDE w:val="0"/>
        <w:autoSpaceDN w:val="0"/>
        <w:adjustRightInd w:val="0"/>
        <w:spacing w:line="480" w:lineRule="auto"/>
        <w:ind w:firstLine="720"/>
        <w:rPr>
          <w:szCs w:val="24"/>
        </w:rPr>
      </w:pPr>
      <w:r w:rsidRPr="005B6A0F">
        <w:rPr>
          <w:szCs w:val="24"/>
        </w:rPr>
        <w:t>Had AEP Ohio prioritized installing DACR when the PUCO first approved the program in February 2017, almost half of the DACR deployments could have been completed by December 2019. And more importantly, had DACR been deployed on 125 circuits,  customers would have incurred fewer customer interruptions and customer minutes interrupted in 2018 and 2019. As illustration, for the three outage events that occurred in 2019 where DACR was used to reroute power during outages, over 400,000 customer minutes interrupted were avoided.</w:t>
      </w:r>
      <w:r>
        <w:rPr>
          <w:rStyle w:val="FootnoteReference"/>
          <w:szCs w:val="24"/>
        </w:rPr>
        <w:footnoteReference w:id="39"/>
      </w:r>
      <w:r w:rsidRPr="005B6A0F">
        <w:rPr>
          <w:szCs w:val="24"/>
        </w:rPr>
        <w:t xml:space="preserve"> If AEP Ohio had completed the DACR deployment on 125 circuits and there was an opportunity for DACR to be used on a third of those circuits, approximately 5.5 million customer minutes interrupted could have been avoided.  </w:t>
      </w:r>
    </w:p>
    <w:p w:rsidR="00B86FBB" w:rsidRPr="005B6A0F" w:rsidP="00B86FBB" w14:paraId="58F186FB" w14:textId="3814533F">
      <w:pPr>
        <w:spacing w:line="480" w:lineRule="auto"/>
        <w:ind w:firstLine="720"/>
        <w:rPr>
          <w:szCs w:val="24"/>
        </w:rPr>
      </w:pPr>
      <w:r w:rsidRPr="005B6A0F">
        <w:rPr>
          <w:szCs w:val="24"/>
        </w:rPr>
        <w:t>As part of the 2020 review of the gridSMART Phase 2 charge, the PUCO should require Staff to perform a review of the AEP Ohio’s gridSMART Phase 2 DACR deployment and determine the underlying causes for AEP Ohio’s lack of progress in deploying DACR.  Additionally, Staff should assess the impact of AEP Ohio’s delay in deploying DACR on the billion dollars in reliability savings that AEP Ohio projected in its cost benefit analysis.</w:t>
      </w:r>
      <w:r>
        <w:rPr>
          <w:rStyle w:val="FootnoteReference"/>
          <w:szCs w:val="24"/>
        </w:rPr>
        <w:footnoteReference w:id="40"/>
      </w:r>
      <w:r w:rsidRPr="005B6A0F">
        <w:rPr>
          <w:szCs w:val="24"/>
        </w:rPr>
        <w:t xml:space="preserve">  If the projected reliability savings are not being realized due to delay, the PUCO should protect consumers by deferring any charges for DACR until reliability savings are proven.  </w:t>
      </w:r>
    </w:p>
    <w:p w:rsidR="00D30CA6" w:rsidRPr="005B6A0F" w:rsidP="005F357E" w14:paraId="4C23FCDF" w14:textId="2B3FEAC3">
      <w:pPr>
        <w:pStyle w:val="Heading2"/>
        <w:rPr>
          <w:szCs w:val="24"/>
        </w:rPr>
      </w:pPr>
      <w:bookmarkStart w:id="14" w:name="_Toc74639607"/>
      <w:r w:rsidRPr="005B6A0F">
        <w:rPr>
          <w:szCs w:val="24"/>
        </w:rPr>
        <w:t>C.</w:t>
      </w:r>
      <w:r w:rsidRPr="005B6A0F">
        <w:rPr>
          <w:szCs w:val="24"/>
        </w:rPr>
        <w:tab/>
      </w:r>
      <w:r w:rsidRPr="005B6A0F" w:rsidR="007A205E">
        <w:rPr>
          <w:szCs w:val="24"/>
        </w:rPr>
        <w:t>To protect consumers, t</w:t>
      </w:r>
      <w:r w:rsidRPr="005B6A0F">
        <w:rPr>
          <w:szCs w:val="24"/>
        </w:rPr>
        <w:t>he PUCO should accept Staff</w:t>
      </w:r>
      <w:r w:rsidRPr="005B6A0F" w:rsidR="007A205E">
        <w:rPr>
          <w:szCs w:val="24"/>
        </w:rPr>
        <w:t>’s</w:t>
      </w:r>
      <w:r w:rsidRPr="005B6A0F">
        <w:rPr>
          <w:szCs w:val="24"/>
        </w:rPr>
        <w:t xml:space="preserve"> recommendation </w:t>
      </w:r>
      <w:r w:rsidRPr="005B6A0F" w:rsidR="007A205E">
        <w:rPr>
          <w:szCs w:val="24"/>
        </w:rPr>
        <w:t>to remove</w:t>
      </w:r>
      <w:r w:rsidRPr="005B6A0F">
        <w:rPr>
          <w:szCs w:val="24"/>
        </w:rPr>
        <w:t xml:space="preserve"> $115,412 in O&amp;M expense and $546,225 in capital expense from the </w:t>
      </w:r>
      <w:r w:rsidRPr="005B6A0F" w:rsidR="00073371">
        <w:rPr>
          <w:szCs w:val="24"/>
        </w:rPr>
        <w:t>gridSMART</w:t>
      </w:r>
      <w:r w:rsidRPr="005B6A0F">
        <w:rPr>
          <w:szCs w:val="24"/>
        </w:rPr>
        <w:t xml:space="preserve"> Phase 2 </w:t>
      </w:r>
      <w:r w:rsidRPr="005B6A0F" w:rsidR="00DC082F">
        <w:rPr>
          <w:szCs w:val="24"/>
        </w:rPr>
        <w:t>c</w:t>
      </w:r>
      <w:r w:rsidRPr="005B6A0F" w:rsidR="007A205E">
        <w:rPr>
          <w:szCs w:val="24"/>
        </w:rPr>
        <w:t>harge related to employee financial incentives</w:t>
      </w:r>
      <w:r w:rsidRPr="005B6A0F">
        <w:rPr>
          <w:szCs w:val="24"/>
        </w:rPr>
        <w:t>.</w:t>
      </w:r>
      <w:bookmarkEnd w:id="14"/>
    </w:p>
    <w:p w:rsidR="007A205E" w:rsidRPr="005B6A0F" w:rsidP="00D30CA6" w14:paraId="00D74F77" w14:textId="5BE413B0">
      <w:pPr>
        <w:spacing w:line="480" w:lineRule="auto"/>
        <w:ind w:firstLine="720"/>
        <w:rPr>
          <w:szCs w:val="24"/>
        </w:rPr>
      </w:pPr>
      <w:r w:rsidRPr="005B6A0F">
        <w:rPr>
          <w:szCs w:val="24"/>
        </w:rPr>
        <w:t xml:space="preserve">PUCO </w:t>
      </w:r>
      <w:r w:rsidRPr="005B6A0F" w:rsidR="00D30CA6">
        <w:rPr>
          <w:szCs w:val="24"/>
        </w:rPr>
        <w:t xml:space="preserve">Staff identified $115,412 in O&amp;M expense and $546,225 in capital costs related to financial incentives that AEP Ohio has </w:t>
      </w:r>
      <w:r w:rsidRPr="005B6A0F">
        <w:rPr>
          <w:szCs w:val="24"/>
        </w:rPr>
        <w:t xml:space="preserve">incorrectly </w:t>
      </w:r>
      <w:r w:rsidRPr="005B6A0F" w:rsidR="00D30CA6">
        <w:rPr>
          <w:szCs w:val="24"/>
        </w:rPr>
        <w:t xml:space="preserve">included in the </w:t>
      </w:r>
      <w:r w:rsidRPr="005B6A0F" w:rsidR="00073371">
        <w:rPr>
          <w:szCs w:val="24"/>
        </w:rPr>
        <w:t>gridSMART</w:t>
      </w:r>
      <w:r w:rsidRPr="005B6A0F" w:rsidR="00D30CA6">
        <w:rPr>
          <w:szCs w:val="24"/>
        </w:rPr>
        <w:t xml:space="preserve"> Phase 2 </w:t>
      </w:r>
      <w:r w:rsidRPr="005B6A0F" w:rsidR="00DC082F">
        <w:rPr>
          <w:szCs w:val="24"/>
        </w:rPr>
        <w:t>c</w:t>
      </w:r>
      <w:r w:rsidRPr="005B6A0F">
        <w:rPr>
          <w:szCs w:val="24"/>
        </w:rPr>
        <w:t>harge</w:t>
      </w:r>
      <w:r w:rsidRPr="005B6A0F" w:rsidR="00D30CA6">
        <w:rPr>
          <w:szCs w:val="24"/>
        </w:rPr>
        <w:t>.</w:t>
      </w:r>
      <w:r>
        <w:rPr>
          <w:rStyle w:val="FootnoteReference"/>
          <w:szCs w:val="24"/>
        </w:rPr>
        <w:footnoteReference w:id="41"/>
      </w:r>
      <w:r w:rsidRPr="005B6A0F" w:rsidR="00D30CA6">
        <w:rPr>
          <w:szCs w:val="24"/>
        </w:rPr>
        <w:t xml:space="preserve"> Staff explained that it does not support the collection of financial incentives based upon a utility company’s financial goals because it passes the costs associated with investor financial goals directly onto customers.</w:t>
      </w:r>
      <w:r>
        <w:rPr>
          <w:rStyle w:val="FootnoteReference"/>
          <w:szCs w:val="24"/>
        </w:rPr>
        <w:footnoteReference w:id="42"/>
      </w:r>
      <w:r w:rsidRPr="005B6A0F" w:rsidR="00D30CA6">
        <w:rPr>
          <w:szCs w:val="24"/>
        </w:rPr>
        <w:t xml:space="preserve"> In a recent PUCO </w:t>
      </w:r>
      <w:r w:rsidRPr="005B6A0F" w:rsidR="00F11CF7">
        <w:rPr>
          <w:szCs w:val="24"/>
        </w:rPr>
        <w:t>O</w:t>
      </w:r>
      <w:r w:rsidRPr="005B6A0F" w:rsidR="00D30CA6">
        <w:rPr>
          <w:szCs w:val="24"/>
        </w:rPr>
        <w:t xml:space="preserve">rder, the </w:t>
      </w:r>
      <w:r w:rsidRPr="005B6A0F">
        <w:rPr>
          <w:szCs w:val="24"/>
        </w:rPr>
        <w:t>PUCO</w:t>
      </w:r>
      <w:r w:rsidRPr="005B6A0F" w:rsidR="00D30CA6">
        <w:rPr>
          <w:szCs w:val="24"/>
        </w:rPr>
        <w:t xml:space="preserve"> found that </w:t>
      </w:r>
      <w:r w:rsidRPr="005B6A0F">
        <w:rPr>
          <w:szCs w:val="24"/>
        </w:rPr>
        <w:t>Staff</w:t>
      </w:r>
      <w:r w:rsidRPr="005B6A0F" w:rsidR="00D30CA6">
        <w:rPr>
          <w:szCs w:val="24"/>
        </w:rPr>
        <w:t xml:space="preserve"> appropriately excluded costs associated with financial incentives from being passed onto customers of another electric utility.</w:t>
      </w:r>
      <w:r>
        <w:rPr>
          <w:rStyle w:val="FootnoteReference"/>
          <w:szCs w:val="24"/>
        </w:rPr>
        <w:footnoteReference w:id="43"/>
      </w:r>
      <w:r w:rsidRPr="005B6A0F" w:rsidR="00D30CA6">
        <w:rPr>
          <w:szCs w:val="24"/>
        </w:rPr>
        <w:t xml:space="preserve"> </w:t>
      </w:r>
    </w:p>
    <w:p w:rsidR="00D30CA6" w:rsidRPr="005B6A0F" w:rsidP="00D30CA6" w14:paraId="1BA8D26D" w14:textId="0B513202">
      <w:pPr>
        <w:spacing w:line="480" w:lineRule="auto"/>
        <w:ind w:firstLine="720"/>
        <w:rPr>
          <w:szCs w:val="24"/>
        </w:rPr>
      </w:pPr>
      <w:r w:rsidRPr="005B6A0F">
        <w:rPr>
          <w:szCs w:val="24"/>
        </w:rPr>
        <w:t xml:space="preserve">AEP </w:t>
      </w:r>
      <w:r w:rsidRPr="005B6A0F" w:rsidR="00DC082F">
        <w:rPr>
          <w:szCs w:val="24"/>
        </w:rPr>
        <w:t xml:space="preserve">Ohio </w:t>
      </w:r>
      <w:r w:rsidRPr="005B6A0F" w:rsidR="00631967">
        <w:rPr>
          <w:szCs w:val="24"/>
        </w:rPr>
        <w:t>says</w:t>
      </w:r>
      <w:r w:rsidRPr="005B6A0F">
        <w:rPr>
          <w:szCs w:val="24"/>
        </w:rPr>
        <w:t xml:space="preserve"> that its employee compensation package includes base wages</w:t>
      </w:r>
      <w:r w:rsidRPr="005B6A0F" w:rsidR="007A205E">
        <w:rPr>
          <w:szCs w:val="24"/>
        </w:rPr>
        <w:t xml:space="preserve"> and</w:t>
      </w:r>
      <w:r w:rsidRPr="005B6A0F">
        <w:rPr>
          <w:szCs w:val="24"/>
        </w:rPr>
        <w:t xml:space="preserve"> short and long-term compensation </w:t>
      </w:r>
      <w:r w:rsidRPr="005B6A0F" w:rsidR="00631967">
        <w:rPr>
          <w:szCs w:val="24"/>
        </w:rPr>
        <w:t>as</w:t>
      </w:r>
      <w:r w:rsidRPr="005B6A0F">
        <w:rPr>
          <w:szCs w:val="24"/>
        </w:rPr>
        <w:t xml:space="preserve"> part of its incentive plan.</w:t>
      </w:r>
      <w:r>
        <w:rPr>
          <w:rStyle w:val="FootnoteReference"/>
          <w:szCs w:val="24"/>
        </w:rPr>
        <w:footnoteReference w:id="44"/>
      </w:r>
      <w:r w:rsidRPr="005B6A0F">
        <w:rPr>
          <w:szCs w:val="24"/>
        </w:rPr>
        <w:t xml:space="preserve"> AEP Ohio </w:t>
      </w:r>
      <w:r w:rsidRPr="005B6A0F" w:rsidR="00631967">
        <w:rPr>
          <w:szCs w:val="24"/>
        </w:rPr>
        <w:t xml:space="preserve">criticizes PUCO Staff’s analysis </w:t>
      </w:r>
      <w:r w:rsidRPr="005B6A0F">
        <w:rPr>
          <w:szCs w:val="24"/>
        </w:rPr>
        <w:t>of its incentive plan and lack of review of the financial metrics embedded in its incentive plan.</w:t>
      </w:r>
      <w:r>
        <w:rPr>
          <w:rStyle w:val="FootnoteReference"/>
          <w:szCs w:val="24"/>
        </w:rPr>
        <w:footnoteReference w:id="45"/>
      </w:r>
      <w:r w:rsidRPr="005B6A0F">
        <w:rPr>
          <w:szCs w:val="24"/>
        </w:rPr>
        <w:t xml:space="preserve">  AEP Ohio claims that it is not in customers</w:t>
      </w:r>
      <w:r w:rsidRPr="005B6A0F" w:rsidR="00631967">
        <w:rPr>
          <w:szCs w:val="24"/>
        </w:rPr>
        <w:t>’</w:t>
      </w:r>
      <w:r w:rsidRPr="005B6A0F">
        <w:rPr>
          <w:szCs w:val="24"/>
        </w:rPr>
        <w:t xml:space="preserve"> best interest to eliminate these financial incentives from the </w:t>
      </w:r>
      <w:r w:rsidRPr="005B6A0F" w:rsidR="00073371">
        <w:rPr>
          <w:szCs w:val="24"/>
        </w:rPr>
        <w:t>gridSMART</w:t>
      </w:r>
      <w:r w:rsidRPr="005B6A0F">
        <w:rPr>
          <w:szCs w:val="24"/>
        </w:rPr>
        <w:t xml:space="preserve"> Phase 2 </w:t>
      </w:r>
      <w:r w:rsidRPr="005B6A0F" w:rsidR="00DC082F">
        <w:rPr>
          <w:szCs w:val="24"/>
        </w:rPr>
        <w:t>c</w:t>
      </w:r>
      <w:r w:rsidRPr="005B6A0F" w:rsidR="00631967">
        <w:rPr>
          <w:szCs w:val="24"/>
        </w:rPr>
        <w:t>harge</w:t>
      </w:r>
      <w:r w:rsidRPr="005B6A0F">
        <w:rPr>
          <w:szCs w:val="24"/>
        </w:rPr>
        <w:t xml:space="preserve"> because it may impede </w:t>
      </w:r>
      <w:r w:rsidRPr="005B6A0F" w:rsidR="00631967">
        <w:rPr>
          <w:szCs w:val="24"/>
        </w:rPr>
        <w:t>its</w:t>
      </w:r>
      <w:r w:rsidRPr="005B6A0F">
        <w:rPr>
          <w:szCs w:val="24"/>
        </w:rPr>
        <w:t xml:space="preserve"> ability to attract and retain employees with the skills and experience needed to provide efficient and effective service to customers.</w:t>
      </w:r>
      <w:r>
        <w:rPr>
          <w:rStyle w:val="FootnoteReference"/>
          <w:szCs w:val="24"/>
        </w:rPr>
        <w:footnoteReference w:id="46"/>
      </w:r>
    </w:p>
    <w:p w:rsidR="00D30CA6" w:rsidRPr="005B6A0F" w:rsidP="00D30CA6" w14:paraId="369D6A27" w14:textId="776D2D0A">
      <w:pPr>
        <w:spacing w:line="480" w:lineRule="auto"/>
        <w:ind w:firstLine="720"/>
        <w:rPr>
          <w:szCs w:val="24"/>
        </w:rPr>
      </w:pPr>
      <w:r w:rsidRPr="005B6A0F">
        <w:rPr>
          <w:szCs w:val="24"/>
        </w:rPr>
        <w:t xml:space="preserve">OCC </w:t>
      </w:r>
      <w:r w:rsidRPr="005B6A0F" w:rsidR="000C5A42">
        <w:rPr>
          <w:szCs w:val="24"/>
        </w:rPr>
        <w:t>supports</w:t>
      </w:r>
      <w:r w:rsidRPr="005B6A0F" w:rsidR="00631967">
        <w:rPr>
          <w:szCs w:val="24"/>
        </w:rPr>
        <w:t xml:space="preserve"> </w:t>
      </w:r>
      <w:r w:rsidRPr="005B6A0F">
        <w:rPr>
          <w:szCs w:val="24"/>
        </w:rPr>
        <w:t>Staff</w:t>
      </w:r>
      <w:r w:rsidRPr="005B6A0F" w:rsidR="00631967">
        <w:rPr>
          <w:szCs w:val="24"/>
        </w:rPr>
        <w:t xml:space="preserve">’s recommendation to remove the financial incentives from AEP Ohio’s </w:t>
      </w:r>
      <w:r w:rsidRPr="005B6A0F" w:rsidR="00073371">
        <w:rPr>
          <w:szCs w:val="24"/>
        </w:rPr>
        <w:t>gridSMART</w:t>
      </w:r>
      <w:r w:rsidRPr="005B6A0F">
        <w:rPr>
          <w:szCs w:val="24"/>
        </w:rPr>
        <w:t xml:space="preserve"> </w:t>
      </w:r>
      <w:r w:rsidRPr="005B6A0F" w:rsidR="00DC082F">
        <w:rPr>
          <w:szCs w:val="24"/>
        </w:rPr>
        <w:t xml:space="preserve">Phase </w:t>
      </w:r>
      <w:r w:rsidRPr="005B6A0F">
        <w:rPr>
          <w:szCs w:val="24"/>
        </w:rPr>
        <w:t xml:space="preserve">2 </w:t>
      </w:r>
      <w:r w:rsidRPr="005B6A0F" w:rsidR="00DC082F">
        <w:rPr>
          <w:szCs w:val="24"/>
        </w:rPr>
        <w:t>c</w:t>
      </w:r>
      <w:r w:rsidRPr="005B6A0F" w:rsidR="00631967">
        <w:rPr>
          <w:szCs w:val="24"/>
        </w:rPr>
        <w:t>harge</w:t>
      </w:r>
      <w:r w:rsidRPr="005B6A0F">
        <w:rPr>
          <w:szCs w:val="24"/>
        </w:rPr>
        <w:t xml:space="preserve">. </w:t>
      </w:r>
      <w:r w:rsidRPr="005B6A0F" w:rsidR="00631967">
        <w:rPr>
          <w:szCs w:val="24"/>
        </w:rPr>
        <w:t xml:space="preserve"> Including</w:t>
      </w:r>
      <w:r w:rsidRPr="005B6A0F">
        <w:rPr>
          <w:szCs w:val="24"/>
        </w:rPr>
        <w:t xml:space="preserve"> financial incentives </w:t>
      </w:r>
      <w:r w:rsidRPr="005B6A0F" w:rsidR="00631967">
        <w:rPr>
          <w:szCs w:val="24"/>
        </w:rPr>
        <w:t>would result</w:t>
      </w:r>
      <w:r w:rsidRPr="005B6A0F">
        <w:rPr>
          <w:szCs w:val="24"/>
        </w:rPr>
        <w:t xml:space="preserve"> in customers paying unjust and unreasonable </w:t>
      </w:r>
      <w:r w:rsidRPr="005B6A0F" w:rsidR="00631967">
        <w:rPr>
          <w:szCs w:val="24"/>
        </w:rPr>
        <w:t xml:space="preserve">charges under the </w:t>
      </w:r>
      <w:r w:rsidRPr="005B6A0F" w:rsidR="00073371">
        <w:rPr>
          <w:szCs w:val="24"/>
        </w:rPr>
        <w:t>gridSMART</w:t>
      </w:r>
      <w:r w:rsidRPr="005B6A0F">
        <w:rPr>
          <w:szCs w:val="24"/>
        </w:rPr>
        <w:t xml:space="preserve"> Phase 2 </w:t>
      </w:r>
      <w:r w:rsidRPr="005B6A0F" w:rsidR="00DC082F">
        <w:rPr>
          <w:szCs w:val="24"/>
        </w:rPr>
        <w:t>c</w:t>
      </w:r>
      <w:r w:rsidRPr="005B6A0F" w:rsidR="00631967">
        <w:rPr>
          <w:szCs w:val="24"/>
        </w:rPr>
        <w:t>harge, contrary to law</w:t>
      </w:r>
      <w:r>
        <w:rPr>
          <w:rStyle w:val="FootnoteReference"/>
          <w:szCs w:val="24"/>
        </w:rPr>
        <w:footnoteReference w:id="47"/>
      </w:r>
      <w:r w:rsidRPr="005B6A0F" w:rsidR="00C835AC">
        <w:rPr>
          <w:szCs w:val="24"/>
        </w:rPr>
        <w:t xml:space="preserve"> and precedent.</w:t>
      </w:r>
      <w:r>
        <w:rPr>
          <w:rStyle w:val="FootnoteReference"/>
          <w:szCs w:val="24"/>
        </w:rPr>
        <w:footnoteReference w:id="48"/>
      </w:r>
      <w:r w:rsidRPr="005B6A0F">
        <w:rPr>
          <w:szCs w:val="24"/>
        </w:rPr>
        <w:t xml:space="preserve"> </w:t>
      </w:r>
      <w:r w:rsidRPr="005B6A0F" w:rsidR="00631967">
        <w:rPr>
          <w:szCs w:val="24"/>
        </w:rPr>
        <w:t xml:space="preserve"> Further, t</w:t>
      </w:r>
      <w:r w:rsidRPr="005B6A0F">
        <w:rPr>
          <w:szCs w:val="24"/>
        </w:rPr>
        <w:t xml:space="preserve">he </w:t>
      </w:r>
      <w:r w:rsidRPr="005B6A0F" w:rsidR="00073371">
        <w:rPr>
          <w:szCs w:val="24"/>
        </w:rPr>
        <w:t>gridSMART</w:t>
      </w:r>
      <w:r w:rsidRPr="005B6A0F">
        <w:rPr>
          <w:szCs w:val="24"/>
        </w:rPr>
        <w:t xml:space="preserve"> </w:t>
      </w:r>
      <w:r w:rsidRPr="005B6A0F" w:rsidR="00DC082F">
        <w:rPr>
          <w:szCs w:val="24"/>
        </w:rPr>
        <w:t xml:space="preserve">Phase </w:t>
      </w:r>
      <w:r w:rsidRPr="005B6A0F">
        <w:rPr>
          <w:szCs w:val="24"/>
        </w:rPr>
        <w:t xml:space="preserve">2 </w:t>
      </w:r>
      <w:r w:rsidRPr="005B6A0F" w:rsidR="00DC082F">
        <w:rPr>
          <w:szCs w:val="24"/>
        </w:rPr>
        <w:t>c</w:t>
      </w:r>
      <w:r w:rsidRPr="005B6A0F" w:rsidR="00631967">
        <w:rPr>
          <w:szCs w:val="24"/>
        </w:rPr>
        <w:t>harge</w:t>
      </w:r>
      <w:r w:rsidRPr="005B6A0F">
        <w:rPr>
          <w:szCs w:val="24"/>
        </w:rPr>
        <w:t xml:space="preserve"> provides AEP Ohio with the authority to greatly accelerate </w:t>
      </w:r>
      <w:r w:rsidRPr="005B6A0F" w:rsidR="00631967">
        <w:rPr>
          <w:szCs w:val="24"/>
        </w:rPr>
        <w:t>collecting</w:t>
      </w:r>
      <w:r w:rsidRPr="005B6A0F">
        <w:rPr>
          <w:szCs w:val="24"/>
        </w:rPr>
        <w:t xml:space="preserve"> a return on and of its capital investments with updates that are performed on a quarterly basis. </w:t>
      </w:r>
      <w:r w:rsidRPr="005B6A0F" w:rsidR="00631967">
        <w:rPr>
          <w:szCs w:val="24"/>
        </w:rPr>
        <w:t xml:space="preserve"> But it does </w:t>
      </w:r>
      <w:r w:rsidRPr="005B6A0F" w:rsidR="00631967">
        <w:rPr>
          <w:i/>
          <w:iCs/>
          <w:szCs w:val="24"/>
        </w:rPr>
        <w:t>not</w:t>
      </w:r>
      <w:r w:rsidRPr="005B6A0F" w:rsidR="00631967">
        <w:rPr>
          <w:szCs w:val="24"/>
        </w:rPr>
        <w:t xml:space="preserve"> provide</w:t>
      </w:r>
      <w:r w:rsidRPr="005B6A0F">
        <w:rPr>
          <w:szCs w:val="24"/>
        </w:rPr>
        <w:t xml:space="preserve"> AEP </w:t>
      </w:r>
      <w:r w:rsidRPr="005B6A0F" w:rsidR="00631967">
        <w:rPr>
          <w:szCs w:val="24"/>
        </w:rPr>
        <w:t xml:space="preserve">Ohio with the authority </w:t>
      </w:r>
      <w:r w:rsidRPr="005B6A0F">
        <w:rPr>
          <w:szCs w:val="24"/>
        </w:rPr>
        <w:t xml:space="preserve">to </w:t>
      </w:r>
      <w:r w:rsidRPr="005B6A0F" w:rsidR="00631967">
        <w:rPr>
          <w:szCs w:val="24"/>
        </w:rPr>
        <w:t>charge consumers for</w:t>
      </w:r>
      <w:r w:rsidRPr="005B6A0F">
        <w:rPr>
          <w:szCs w:val="24"/>
        </w:rPr>
        <w:t xml:space="preserve"> financial incentives</w:t>
      </w:r>
      <w:r w:rsidRPr="005B6A0F" w:rsidR="00B105F8">
        <w:rPr>
          <w:szCs w:val="24"/>
        </w:rPr>
        <w:t xml:space="preserve"> earned by its employees</w:t>
      </w:r>
      <w:r w:rsidRPr="005B6A0F">
        <w:rPr>
          <w:szCs w:val="24"/>
        </w:rPr>
        <w:t>.</w:t>
      </w:r>
      <w:r>
        <w:rPr>
          <w:rStyle w:val="FootnoteReference"/>
          <w:szCs w:val="24"/>
        </w:rPr>
        <w:footnoteReference w:id="49"/>
      </w:r>
      <w:r w:rsidRPr="005B6A0F">
        <w:rPr>
          <w:szCs w:val="24"/>
        </w:rPr>
        <w:t xml:space="preserve"> </w:t>
      </w:r>
    </w:p>
    <w:p w:rsidR="00D30CA6" w:rsidRPr="005B6A0F" w:rsidP="00D30CA6" w14:paraId="4FFE29BE" w14:textId="307B2A1E">
      <w:pPr>
        <w:spacing w:line="480" w:lineRule="auto"/>
        <w:ind w:firstLine="720"/>
        <w:rPr>
          <w:szCs w:val="24"/>
        </w:rPr>
      </w:pPr>
      <w:r w:rsidRPr="005B6A0F">
        <w:rPr>
          <w:szCs w:val="24"/>
        </w:rPr>
        <w:t xml:space="preserve">The PUCO should require AEP Ohio to exclude the $155,412 in O&amp;M expense and to remove $546,225 in capital costs from the 2019 </w:t>
      </w:r>
      <w:r w:rsidRPr="005B6A0F" w:rsidR="00073371">
        <w:rPr>
          <w:szCs w:val="24"/>
        </w:rPr>
        <w:t>gridSMART</w:t>
      </w:r>
      <w:r w:rsidRPr="005B6A0F">
        <w:rPr>
          <w:szCs w:val="24"/>
        </w:rPr>
        <w:t xml:space="preserve"> </w:t>
      </w:r>
      <w:r w:rsidRPr="005B6A0F" w:rsidR="00DC082F">
        <w:rPr>
          <w:szCs w:val="24"/>
        </w:rPr>
        <w:t xml:space="preserve">Phase </w:t>
      </w:r>
      <w:r w:rsidRPr="005B6A0F">
        <w:rPr>
          <w:szCs w:val="24"/>
        </w:rPr>
        <w:t xml:space="preserve">2 </w:t>
      </w:r>
      <w:r w:rsidRPr="005B6A0F" w:rsidR="00DC082F">
        <w:rPr>
          <w:szCs w:val="24"/>
        </w:rPr>
        <w:t>c</w:t>
      </w:r>
      <w:r w:rsidRPr="005B6A0F" w:rsidR="00C835AC">
        <w:rPr>
          <w:szCs w:val="24"/>
        </w:rPr>
        <w:t>harge</w:t>
      </w:r>
      <w:r w:rsidRPr="005B6A0F">
        <w:rPr>
          <w:szCs w:val="24"/>
        </w:rPr>
        <w:t xml:space="preserve"> as recommended by </w:t>
      </w:r>
      <w:r w:rsidRPr="005B6A0F" w:rsidR="00C835AC">
        <w:rPr>
          <w:szCs w:val="24"/>
        </w:rPr>
        <w:t xml:space="preserve"> </w:t>
      </w:r>
      <w:r w:rsidRPr="005B6A0F">
        <w:rPr>
          <w:szCs w:val="24"/>
        </w:rPr>
        <w:t>Staff</w:t>
      </w:r>
      <w:r w:rsidRPr="005B6A0F" w:rsidR="00C835AC">
        <w:rPr>
          <w:szCs w:val="24"/>
        </w:rPr>
        <w:t xml:space="preserve">.  As </w:t>
      </w:r>
      <w:r w:rsidRPr="005B6A0F" w:rsidR="002A2BBB">
        <w:rPr>
          <w:szCs w:val="24"/>
        </w:rPr>
        <w:t xml:space="preserve">additional </w:t>
      </w:r>
      <w:r w:rsidRPr="005B6A0F" w:rsidR="00C835AC">
        <w:rPr>
          <w:szCs w:val="24"/>
        </w:rPr>
        <w:t xml:space="preserve">protection of consumes, </w:t>
      </w:r>
      <w:r w:rsidRPr="005B6A0F" w:rsidR="002A2BBB">
        <w:rPr>
          <w:szCs w:val="24"/>
        </w:rPr>
        <w:t xml:space="preserve">OCC recommends that </w:t>
      </w:r>
      <w:r w:rsidRPr="005B6A0F">
        <w:rPr>
          <w:szCs w:val="24"/>
        </w:rPr>
        <w:t xml:space="preserve">the PUCO should require </w:t>
      </w:r>
      <w:r w:rsidRPr="005B6A0F" w:rsidR="00C835AC">
        <w:rPr>
          <w:szCs w:val="24"/>
        </w:rPr>
        <w:t xml:space="preserve"> </w:t>
      </w:r>
      <w:r w:rsidRPr="005B6A0F">
        <w:rPr>
          <w:szCs w:val="24"/>
        </w:rPr>
        <w:t xml:space="preserve">Staff to examine the </w:t>
      </w:r>
      <w:r w:rsidRPr="005B6A0F" w:rsidR="00073371">
        <w:rPr>
          <w:szCs w:val="24"/>
        </w:rPr>
        <w:t>gridSMART</w:t>
      </w:r>
      <w:r w:rsidRPr="005B6A0F">
        <w:rPr>
          <w:szCs w:val="24"/>
        </w:rPr>
        <w:t xml:space="preserve"> Phase 2 </w:t>
      </w:r>
      <w:r w:rsidRPr="005B6A0F" w:rsidR="00DC082F">
        <w:rPr>
          <w:szCs w:val="24"/>
        </w:rPr>
        <w:t>c</w:t>
      </w:r>
      <w:r w:rsidRPr="005B6A0F" w:rsidR="00C835AC">
        <w:rPr>
          <w:szCs w:val="24"/>
        </w:rPr>
        <w:t>harge</w:t>
      </w:r>
      <w:r w:rsidRPr="005B6A0F">
        <w:rPr>
          <w:szCs w:val="24"/>
        </w:rPr>
        <w:t xml:space="preserve"> since </w:t>
      </w:r>
      <w:r w:rsidRPr="005B6A0F" w:rsidR="00C835AC">
        <w:rPr>
          <w:szCs w:val="24"/>
        </w:rPr>
        <w:t>its inception</w:t>
      </w:r>
      <w:r w:rsidRPr="005B6A0F">
        <w:rPr>
          <w:szCs w:val="24"/>
        </w:rPr>
        <w:t xml:space="preserve"> to verify that financial incentives were not </w:t>
      </w:r>
      <w:r w:rsidRPr="005B6A0F" w:rsidR="00C835AC">
        <w:rPr>
          <w:szCs w:val="24"/>
        </w:rPr>
        <w:t>charged to consumers</w:t>
      </w:r>
      <w:r w:rsidRPr="005B6A0F">
        <w:rPr>
          <w:szCs w:val="24"/>
        </w:rPr>
        <w:t>.</w:t>
      </w:r>
      <w:r w:rsidRPr="005B6A0F" w:rsidR="002A2BBB">
        <w:rPr>
          <w:szCs w:val="24"/>
        </w:rPr>
        <w:t xml:space="preserve">  If they were, the PUCO should adjust AEP Ohio’s gridSMART Phase 2 revenue requirement in an equal amount to protect consumers. </w:t>
      </w:r>
      <w:r w:rsidRPr="005B6A0F">
        <w:rPr>
          <w:szCs w:val="24"/>
        </w:rPr>
        <w:t xml:space="preserve">    </w:t>
      </w:r>
    </w:p>
    <w:p w:rsidR="00D30CA6" w:rsidRPr="005B6A0F" w:rsidP="00D30CA6" w14:paraId="6494341D" w14:textId="6E0FE24D">
      <w:pPr>
        <w:pStyle w:val="Heading2"/>
        <w:rPr>
          <w:szCs w:val="24"/>
        </w:rPr>
      </w:pPr>
      <w:bookmarkStart w:id="15" w:name="_Toc74639608"/>
      <w:r w:rsidRPr="005B6A0F">
        <w:rPr>
          <w:szCs w:val="24"/>
        </w:rPr>
        <w:t>D.</w:t>
      </w:r>
      <w:r w:rsidRPr="005B6A0F">
        <w:rPr>
          <w:szCs w:val="24"/>
        </w:rPr>
        <w:tab/>
        <w:t>T</w:t>
      </w:r>
      <w:r w:rsidRPr="005B6A0F" w:rsidR="00C835AC">
        <w:rPr>
          <w:szCs w:val="24"/>
        </w:rPr>
        <w:t>o protect consumers, t</w:t>
      </w:r>
      <w:r w:rsidRPr="005B6A0F">
        <w:rPr>
          <w:szCs w:val="24"/>
        </w:rPr>
        <w:t>he PUCO should accept Staff</w:t>
      </w:r>
      <w:r w:rsidRPr="005B6A0F" w:rsidR="00C835AC">
        <w:rPr>
          <w:szCs w:val="24"/>
        </w:rPr>
        <w:t>’s</w:t>
      </w:r>
      <w:r w:rsidRPr="005B6A0F">
        <w:rPr>
          <w:szCs w:val="24"/>
        </w:rPr>
        <w:t xml:space="preserve"> recommendation </w:t>
      </w:r>
      <w:r w:rsidRPr="005B6A0F" w:rsidR="00C835AC">
        <w:rPr>
          <w:szCs w:val="24"/>
        </w:rPr>
        <w:t>to</w:t>
      </w:r>
      <w:r w:rsidRPr="005B6A0F">
        <w:rPr>
          <w:szCs w:val="24"/>
        </w:rPr>
        <w:t xml:space="preserve"> reduce the </w:t>
      </w:r>
      <w:r w:rsidRPr="005B6A0F" w:rsidR="00C835AC">
        <w:rPr>
          <w:szCs w:val="24"/>
        </w:rPr>
        <w:t>Smart Meter</w:t>
      </w:r>
      <w:r w:rsidRPr="005B6A0F">
        <w:rPr>
          <w:szCs w:val="24"/>
        </w:rPr>
        <w:t xml:space="preserve"> capital cost account by $8,222,874 to </w:t>
      </w:r>
      <w:r w:rsidRPr="005B6A0F" w:rsidR="00C835AC">
        <w:rPr>
          <w:szCs w:val="24"/>
        </w:rPr>
        <w:t>account for</w:t>
      </w:r>
      <w:r w:rsidRPr="005B6A0F">
        <w:rPr>
          <w:szCs w:val="24"/>
        </w:rPr>
        <w:t xml:space="preserve"> </w:t>
      </w:r>
      <w:r w:rsidRPr="005B6A0F" w:rsidR="00C835AC">
        <w:rPr>
          <w:szCs w:val="24"/>
        </w:rPr>
        <w:t>Smart Meters</w:t>
      </w:r>
      <w:r w:rsidRPr="005B6A0F">
        <w:rPr>
          <w:szCs w:val="24"/>
        </w:rPr>
        <w:t xml:space="preserve"> that AEP Ohio is holding in inventory for longer than three-months.</w:t>
      </w:r>
      <w:bookmarkEnd w:id="15"/>
      <w:r w:rsidRPr="005B6A0F">
        <w:rPr>
          <w:szCs w:val="24"/>
        </w:rPr>
        <w:t xml:space="preserve">  </w:t>
      </w:r>
    </w:p>
    <w:p w:rsidR="00D30CA6" w:rsidRPr="005B6A0F" w:rsidP="00D30CA6" w14:paraId="24A0316D" w14:textId="120AC49C">
      <w:pPr>
        <w:autoSpaceDE w:val="0"/>
        <w:autoSpaceDN w:val="0"/>
        <w:adjustRightInd w:val="0"/>
        <w:spacing w:line="480" w:lineRule="auto"/>
        <w:ind w:firstLine="720"/>
        <w:rPr>
          <w:szCs w:val="24"/>
        </w:rPr>
      </w:pPr>
      <w:r w:rsidRPr="005B6A0F">
        <w:rPr>
          <w:szCs w:val="24"/>
        </w:rPr>
        <w:t xml:space="preserve">The Staff </w:t>
      </w:r>
      <w:r w:rsidRPr="005B6A0F" w:rsidR="00C835AC">
        <w:rPr>
          <w:szCs w:val="24"/>
        </w:rPr>
        <w:t>Review</w:t>
      </w:r>
      <w:r w:rsidRPr="005B6A0F">
        <w:rPr>
          <w:szCs w:val="24"/>
        </w:rPr>
        <w:t xml:space="preserve"> found that AEP Ohio purchased and stored </w:t>
      </w:r>
      <w:r w:rsidRPr="005B6A0F" w:rsidR="00C835AC">
        <w:rPr>
          <w:szCs w:val="24"/>
        </w:rPr>
        <w:t>Smart Meters</w:t>
      </w:r>
      <w:r w:rsidRPr="005B6A0F">
        <w:rPr>
          <w:szCs w:val="24"/>
        </w:rPr>
        <w:t xml:space="preserve"> in inventory for a much longer period than permitted by the PUCO </w:t>
      </w:r>
      <w:r w:rsidRPr="005B6A0F" w:rsidR="00C835AC">
        <w:rPr>
          <w:szCs w:val="24"/>
        </w:rPr>
        <w:t>O</w:t>
      </w:r>
      <w:r w:rsidRPr="005B6A0F">
        <w:rPr>
          <w:szCs w:val="24"/>
        </w:rPr>
        <w:t xml:space="preserve">rder that approved the </w:t>
      </w:r>
      <w:r w:rsidRPr="005B6A0F" w:rsidR="00073371">
        <w:rPr>
          <w:szCs w:val="24"/>
        </w:rPr>
        <w:t>gridSMART</w:t>
      </w:r>
      <w:r w:rsidRPr="005B6A0F">
        <w:rPr>
          <w:szCs w:val="24"/>
        </w:rPr>
        <w:t xml:space="preserve"> Phase 2 </w:t>
      </w:r>
      <w:r w:rsidRPr="005B6A0F" w:rsidR="00DC082F">
        <w:rPr>
          <w:szCs w:val="24"/>
        </w:rPr>
        <w:t>c</w:t>
      </w:r>
      <w:r w:rsidRPr="005B6A0F" w:rsidR="00C835AC">
        <w:rPr>
          <w:szCs w:val="24"/>
        </w:rPr>
        <w:t>harge</w:t>
      </w:r>
      <w:r w:rsidRPr="005B6A0F">
        <w:rPr>
          <w:szCs w:val="24"/>
        </w:rPr>
        <w:t>.</w:t>
      </w:r>
      <w:r>
        <w:rPr>
          <w:rStyle w:val="FootnoteReference"/>
          <w:szCs w:val="24"/>
        </w:rPr>
        <w:footnoteReference w:id="50"/>
      </w:r>
      <w:r w:rsidRPr="005B6A0F">
        <w:rPr>
          <w:szCs w:val="24"/>
        </w:rPr>
        <w:t xml:space="preserve"> </w:t>
      </w:r>
      <w:r w:rsidRPr="005B6A0F" w:rsidR="00C835AC">
        <w:rPr>
          <w:szCs w:val="24"/>
        </w:rPr>
        <w:t xml:space="preserve"> </w:t>
      </w:r>
      <w:r w:rsidRPr="005B6A0F">
        <w:rPr>
          <w:szCs w:val="24"/>
        </w:rPr>
        <w:t xml:space="preserve">In that Order, the PUCO established clear guidelines regarding the amount of time that the new </w:t>
      </w:r>
      <w:r w:rsidRPr="005B6A0F" w:rsidR="00C835AC">
        <w:rPr>
          <w:szCs w:val="24"/>
        </w:rPr>
        <w:t>Smart Meters</w:t>
      </w:r>
      <w:r w:rsidRPr="005B6A0F">
        <w:rPr>
          <w:szCs w:val="24"/>
        </w:rPr>
        <w:t xml:space="preserve"> could be retained in inventory </w:t>
      </w:r>
      <w:r w:rsidRPr="005B6A0F" w:rsidR="000C5A42">
        <w:rPr>
          <w:szCs w:val="24"/>
        </w:rPr>
        <w:t xml:space="preserve">because </w:t>
      </w:r>
      <w:r w:rsidRPr="005B6A0F">
        <w:rPr>
          <w:szCs w:val="24"/>
        </w:rPr>
        <w:t xml:space="preserve">they are capitalized at the time they are purchased.  </w:t>
      </w:r>
      <w:r w:rsidRPr="005B6A0F" w:rsidR="00C835AC">
        <w:rPr>
          <w:szCs w:val="24"/>
        </w:rPr>
        <w:t>It states:</w:t>
      </w:r>
      <w:r w:rsidRPr="005B6A0F">
        <w:rPr>
          <w:szCs w:val="24"/>
        </w:rPr>
        <w:t xml:space="preserve"> “Because meters are capitalized at the time of purchase, the value of uninstalled </w:t>
      </w:r>
      <w:r w:rsidRPr="005B6A0F" w:rsidR="00073371">
        <w:rPr>
          <w:szCs w:val="24"/>
        </w:rPr>
        <w:t>gridSMART</w:t>
      </w:r>
      <w:r w:rsidRPr="005B6A0F">
        <w:rPr>
          <w:szCs w:val="24"/>
        </w:rPr>
        <w:t xml:space="preserve"> meters authorized for recovery through this Rider shall, on average, include only the aggregate supply necessary for approximately three months of meter deployment activity.  Uninstalled meters in excess of this limitation will not be eligible for recovery through any other rider.”</w:t>
      </w:r>
      <w:r>
        <w:rPr>
          <w:rStyle w:val="FootnoteReference"/>
          <w:szCs w:val="24"/>
        </w:rPr>
        <w:footnoteReference w:id="51"/>
      </w:r>
      <w:r w:rsidRPr="005B6A0F">
        <w:rPr>
          <w:szCs w:val="24"/>
        </w:rPr>
        <w:t xml:space="preserve"> </w:t>
      </w:r>
      <w:r w:rsidRPr="005B6A0F" w:rsidR="00C835AC">
        <w:rPr>
          <w:szCs w:val="24"/>
        </w:rPr>
        <w:t xml:space="preserve"> PUCO Staff found here that</w:t>
      </w:r>
      <w:r w:rsidRPr="005B6A0F">
        <w:rPr>
          <w:szCs w:val="24"/>
        </w:rPr>
        <w:t xml:space="preserve"> AEP Ohio is holding </w:t>
      </w:r>
      <w:r w:rsidRPr="005B6A0F" w:rsidR="00DC082F">
        <w:rPr>
          <w:szCs w:val="24"/>
        </w:rPr>
        <w:t>Smart Meters</w:t>
      </w:r>
      <w:r w:rsidRPr="005B6A0F">
        <w:rPr>
          <w:szCs w:val="24"/>
        </w:rPr>
        <w:t xml:space="preserve"> in inventory for an average duration of 128.62 days</w:t>
      </w:r>
      <w:r w:rsidRPr="005B6A0F" w:rsidR="00C835AC">
        <w:rPr>
          <w:szCs w:val="24"/>
        </w:rPr>
        <w:t xml:space="preserve"> – nearly 30 days longer than permissible</w:t>
      </w:r>
      <w:r w:rsidRPr="005B6A0F">
        <w:rPr>
          <w:szCs w:val="24"/>
        </w:rPr>
        <w:t>.</w:t>
      </w:r>
      <w:r>
        <w:rPr>
          <w:rStyle w:val="FootnoteReference"/>
          <w:szCs w:val="24"/>
        </w:rPr>
        <w:footnoteReference w:id="52"/>
      </w:r>
      <w:r w:rsidRPr="005B6A0F">
        <w:rPr>
          <w:szCs w:val="24"/>
        </w:rPr>
        <w:t xml:space="preserve">    </w:t>
      </w:r>
    </w:p>
    <w:p w:rsidR="00D30CA6" w:rsidRPr="005B6A0F" w:rsidP="00D30CA6" w14:paraId="5AF650C7" w14:textId="4D521D13">
      <w:pPr>
        <w:autoSpaceDE w:val="0"/>
        <w:autoSpaceDN w:val="0"/>
        <w:adjustRightInd w:val="0"/>
        <w:spacing w:line="480" w:lineRule="auto"/>
        <w:ind w:firstLine="720"/>
        <w:rPr>
          <w:szCs w:val="24"/>
        </w:rPr>
      </w:pPr>
      <w:r w:rsidRPr="005B6A0F">
        <w:rPr>
          <w:szCs w:val="24"/>
        </w:rPr>
        <w:t xml:space="preserve">AEP Ohio claims that there are exceptions </w:t>
      </w:r>
      <w:r w:rsidRPr="005B6A0F" w:rsidR="00C835AC">
        <w:rPr>
          <w:szCs w:val="24"/>
        </w:rPr>
        <w:t>to the requirement that Smart Meters can be held in inventory for only 90 days.</w:t>
      </w:r>
      <w:r>
        <w:rPr>
          <w:rStyle w:val="FootnoteReference"/>
          <w:szCs w:val="24"/>
        </w:rPr>
        <w:footnoteReference w:id="53"/>
      </w:r>
      <w:r w:rsidRPr="005B6A0F" w:rsidR="00C835AC">
        <w:rPr>
          <w:szCs w:val="24"/>
        </w:rPr>
        <w:t xml:space="preserve">  </w:t>
      </w:r>
      <w:r w:rsidRPr="005B6A0F">
        <w:rPr>
          <w:szCs w:val="24"/>
        </w:rPr>
        <w:t xml:space="preserve">AEP </w:t>
      </w:r>
      <w:r w:rsidRPr="005B6A0F" w:rsidR="00B12BE0">
        <w:rPr>
          <w:szCs w:val="24"/>
        </w:rPr>
        <w:t xml:space="preserve">Ohio </w:t>
      </w:r>
      <w:r w:rsidRPr="005B6A0F">
        <w:rPr>
          <w:szCs w:val="24"/>
        </w:rPr>
        <w:t xml:space="preserve">asserts that the meters are installed by contractors and that due to access and opt-out issues, </w:t>
      </w:r>
      <w:r w:rsidRPr="005B6A0F" w:rsidR="00B12BE0">
        <w:rPr>
          <w:szCs w:val="24"/>
        </w:rPr>
        <w:t>and</w:t>
      </w:r>
      <w:r w:rsidRPr="005B6A0F">
        <w:rPr>
          <w:szCs w:val="24"/>
        </w:rPr>
        <w:t xml:space="preserve"> routine maintenance, </w:t>
      </w:r>
      <w:r w:rsidRPr="005B6A0F" w:rsidR="00B12BE0">
        <w:rPr>
          <w:szCs w:val="24"/>
        </w:rPr>
        <w:t>Smart Meter</w:t>
      </w:r>
      <w:r w:rsidRPr="005B6A0F">
        <w:rPr>
          <w:szCs w:val="24"/>
        </w:rPr>
        <w:t xml:space="preserve"> inventory stock can be held for longer periods of time.</w:t>
      </w:r>
      <w:r>
        <w:rPr>
          <w:rStyle w:val="FootnoteReference"/>
          <w:szCs w:val="24"/>
        </w:rPr>
        <w:footnoteReference w:id="54"/>
      </w:r>
      <w:r w:rsidRPr="005B6A0F">
        <w:rPr>
          <w:szCs w:val="24"/>
        </w:rPr>
        <w:t xml:space="preserve"> AEP </w:t>
      </w:r>
      <w:r w:rsidRPr="005B6A0F" w:rsidR="00B12BE0">
        <w:rPr>
          <w:szCs w:val="24"/>
        </w:rPr>
        <w:t xml:space="preserve">Ohio </w:t>
      </w:r>
      <w:r w:rsidRPr="005B6A0F">
        <w:rPr>
          <w:szCs w:val="24"/>
        </w:rPr>
        <w:t>further clams that it would be difficult and expensive to track on a meter-to-meter basis the duration of time that meters are held in the inventory.</w:t>
      </w:r>
      <w:r>
        <w:rPr>
          <w:rStyle w:val="FootnoteReference"/>
          <w:szCs w:val="24"/>
        </w:rPr>
        <w:footnoteReference w:id="55"/>
      </w:r>
      <w:r w:rsidRPr="005B6A0F">
        <w:rPr>
          <w:szCs w:val="24"/>
        </w:rPr>
        <w:t xml:space="preserve"> </w:t>
      </w:r>
    </w:p>
    <w:p w:rsidR="00D30CA6" w:rsidRPr="005B6A0F" w:rsidP="00D30CA6" w14:paraId="44D6E748" w14:textId="422546A6">
      <w:pPr>
        <w:autoSpaceDE w:val="0"/>
        <w:autoSpaceDN w:val="0"/>
        <w:adjustRightInd w:val="0"/>
        <w:spacing w:line="480" w:lineRule="auto"/>
        <w:ind w:firstLine="720"/>
        <w:rPr>
          <w:szCs w:val="24"/>
        </w:rPr>
      </w:pPr>
      <w:r w:rsidRPr="005B6A0F">
        <w:rPr>
          <w:szCs w:val="24"/>
        </w:rPr>
        <w:t xml:space="preserve">Consumers should not be required to pay </w:t>
      </w:r>
      <w:r w:rsidRPr="005B6A0F" w:rsidR="00F03E2D">
        <w:rPr>
          <w:szCs w:val="24"/>
        </w:rPr>
        <w:t xml:space="preserve">AEP Ohio </w:t>
      </w:r>
      <w:r w:rsidRPr="005B6A0F">
        <w:rPr>
          <w:szCs w:val="24"/>
        </w:rPr>
        <w:t xml:space="preserve">for Smart Meters that are not used and useful, but merely sitting in a warehouse. </w:t>
      </w:r>
      <w:r w:rsidRPr="005B6A0F" w:rsidR="00FC055B">
        <w:rPr>
          <w:szCs w:val="24"/>
        </w:rPr>
        <w:t xml:space="preserve">Further, AEP Ohio has complete control over the timing of procuring Smart Meters, the quantity of Smart Meters purchased, and the contracting activities involved in installing Smart Meters.  It can track </w:t>
      </w:r>
      <w:r w:rsidRPr="005B6A0F" w:rsidR="005B25A0">
        <w:rPr>
          <w:szCs w:val="24"/>
        </w:rPr>
        <w:t>inventory. OCC</w:t>
      </w:r>
      <w:r w:rsidRPr="005B6A0F">
        <w:rPr>
          <w:szCs w:val="24"/>
        </w:rPr>
        <w:t xml:space="preserve"> recommends that the PUCO adopt Staff’s recommendation and require AEP Ohio to reduce the Smart Meter capital account by $8,222,874. </w:t>
      </w:r>
    </w:p>
    <w:p w:rsidR="00D30CA6" w:rsidRPr="005B6A0F" w:rsidP="00D30CA6" w14:paraId="01C62F62" w14:textId="57FA790B">
      <w:pPr>
        <w:pStyle w:val="Heading2"/>
        <w:rPr>
          <w:szCs w:val="24"/>
        </w:rPr>
      </w:pPr>
      <w:bookmarkStart w:id="16" w:name="_Toc74639609"/>
      <w:r w:rsidRPr="005B6A0F">
        <w:rPr>
          <w:szCs w:val="24"/>
        </w:rPr>
        <w:t>E.</w:t>
      </w:r>
      <w:r w:rsidRPr="005B6A0F">
        <w:rPr>
          <w:szCs w:val="24"/>
        </w:rPr>
        <w:tab/>
      </w:r>
      <w:r w:rsidRPr="005B6A0F" w:rsidR="00B12BE0">
        <w:rPr>
          <w:szCs w:val="24"/>
        </w:rPr>
        <w:t>To protect consumers, t</w:t>
      </w:r>
      <w:r w:rsidRPr="005B6A0F">
        <w:rPr>
          <w:szCs w:val="24"/>
        </w:rPr>
        <w:t>he PUCO</w:t>
      </w:r>
      <w:r w:rsidRPr="005B6A0F" w:rsidR="00B12BE0">
        <w:rPr>
          <w:szCs w:val="24"/>
        </w:rPr>
        <w:t xml:space="preserve"> should order </w:t>
      </w:r>
      <w:r w:rsidRPr="005B6A0F">
        <w:rPr>
          <w:szCs w:val="24"/>
        </w:rPr>
        <w:t xml:space="preserve">Staff </w:t>
      </w:r>
      <w:r w:rsidRPr="005B6A0F" w:rsidR="00B12BE0">
        <w:rPr>
          <w:szCs w:val="24"/>
        </w:rPr>
        <w:t>to</w:t>
      </w:r>
      <w:r w:rsidRPr="005B6A0F">
        <w:rPr>
          <w:szCs w:val="24"/>
        </w:rPr>
        <w:t xml:space="preserve"> examine AEP Ohio </w:t>
      </w:r>
      <w:r w:rsidRPr="005B6A0F" w:rsidR="00B12BE0">
        <w:rPr>
          <w:szCs w:val="24"/>
        </w:rPr>
        <w:t>Smart Meter</w:t>
      </w:r>
      <w:r w:rsidRPr="005B6A0F">
        <w:rPr>
          <w:szCs w:val="24"/>
        </w:rPr>
        <w:t xml:space="preserve"> failures to determine if failure rates are within acceptable standards and recommend ways to mitigate the cost </w:t>
      </w:r>
      <w:r w:rsidRPr="005B6A0F" w:rsidR="00B12BE0">
        <w:rPr>
          <w:szCs w:val="24"/>
        </w:rPr>
        <w:t>on of</w:t>
      </w:r>
      <w:r w:rsidRPr="005B6A0F">
        <w:rPr>
          <w:szCs w:val="24"/>
        </w:rPr>
        <w:t xml:space="preserve"> premature failures.</w:t>
      </w:r>
      <w:bookmarkEnd w:id="16"/>
      <w:r w:rsidRPr="005B6A0F">
        <w:rPr>
          <w:szCs w:val="24"/>
        </w:rPr>
        <w:t xml:space="preserve"> </w:t>
      </w:r>
    </w:p>
    <w:p w:rsidR="00FC055B" w:rsidRPr="005B6A0F" w:rsidP="00D30CA6" w14:paraId="64830882" w14:textId="02B26E0F">
      <w:pPr>
        <w:autoSpaceDE w:val="0"/>
        <w:autoSpaceDN w:val="0"/>
        <w:adjustRightInd w:val="0"/>
        <w:spacing w:line="480" w:lineRule="auto"/>
        <w:ind w:firstLine="720"/>
        <w:rPr>
          <w:szCs w:val="24"/>
        </w:rPr>
      </w:pPr>
      <w:r w:rsidRPr="005B6A0F">
        <w:rPr>
          <w:szCs w:val="24"/>
        </w:rPr>
        <w:t xml:space="preserve">Approximately </w:t>
      </w:r>
      <w:r w:rsidRPr="005B6A0F" w:rsidR="00DD475F">
        <w:rPr>
          <w:szCs w:val="24"/>
        </w:rPr>
        <w:t xml:space="preserve">6,251 </w:t>
      </w:r>
      <w:r w:rsidRPr="005B6A0F">
        <w:rPr>
          <w:szCs w:val="24"/>
        </w:rPr>
        <w:t xml:space="preserve">of the approximate </w:t>
      </w:r>
      <w:r w:rsidRPr="005B6A0F" w:rsidR="000C5A42">
        <w:rPr>
          <w:szCs w:val="24"/>
        </w:rPr>
        <w:t xml:space="preserve">one </w:t>
      </w:r>
      <w:r w:rsidRPr="005B6A0F" w:rsidR="00DD475F">
        <w:rPr>
          <w:szCs w:val="24"/>
        </w:rPr>
        <w:t xml:space="preserve">million </w:t>
      </w:r>
      <w:r w:rsidRPr="005B6A0F" w:rsidR="00B12BE0">
        <w:rPr>
          <w:szCs w:val="24"/>
        </w:rPr>
        <w:t>S</w:t>
      </w:r>
      <w:r w:rsidRPr="005B6A0F">
        <w:rPr>
          <w:szCs w:val="24"/>
        </w:rPr>
        <w:t xml:space="preserve">mart </w:t>
      </w:r>
      <w:r w:rsidRPr="005B6A0F" w:rsidR="00B12BE0">
        <w:rPr>
          <w:szCs w:val="24"/>
        </w:rPr>
        <w:t>M</w:t>
      </w:r>
      <w:r w:rsidRPr="005B6A0F">
        <w:rPr>
          <w:szCs w:val="24"/>
        </w:rPr>
        <w:t xml:space="preserve">eters installed by AEP Ohio failed </w:t>
      </w:r>
      <w:r w:rsidRPr="005B6A0F" w:rsidR="00DD475F">
        <w:rPr>
          <w:szCs w:val="24"/>
        </w:rPr>
        <w:t>between 2017 and 20</w:t>
      </w:r>
      <w:r w:rsidRPr="005B6A0F" w:rsidR="00EE1706">
        <w:rPr>
          <w:szCs w:val="24"/>
        </w:rPr>
        <w:t>19</w:t>
      </w:r>
      <w:r w:rsidRPr="005B6A0F" w:rsidR="00DD475F">
        <w:rPr>
          <w:szCs w:val="24"/>
        </w:rPr>
        <w:t xml:space="preserve"> </w:t>
      </w:r>
      <w:r w:rsidRPr="005B6A0F">
        <w:rPr>
          <w:szCs w:val="24"/>
        </w:rPr>
        <w:t>and required replacement.</w:t>
      </w:r>
      <w:r>
        <w:rPr>
          <w:rStyle w:val="FootnoteReference"/>
          <w:szCs w:val="24"/>
        </w:rPr>
        <w:footnoteReference w:id="56"/>
      </w:r>
      <w:r w:rsidRPr="005B6A0F">
        <w:rPr>
          <w:szCs w:val="24"/>
        </w:rPr>
        <w:t xml:space="preserve">  </w:t>
      </w:r>
      <w:r w:rsidRPr="005B6A0F" w:rsidR="0086427F">
        <w:rPr>
          <w:szCs w:val="24"/>
        </w:rPr>
        <w:t>Smart Meters are expensive</w:t>
      </w:r>
      <w:r w:rsidRPr="005B6A0F">
        <w:rPr>
          <w:szCs w:val="24"/>
        </w:rPr>
        <w:t>.  At</w:t>
      </w:r>
      <w:r w:rsidRPr="005B6A0F" w:rsidR="0086427F">
        <w:rPr>
          <w:szCs w:val="24"/>
        </w:rPr>
        <w:t xml:space="preserve"> a cost of $180 per meter as estimated under the gridS</w:t>
      </w:r>
      <w:r w:rsidRPr="005B6A0F" w:rsidR="005B25A0">
        <w:rPr>
          <w:szCs w:val="24"/>
        </w:rPr>
        <w:t>MART</w:t>
      </w:r>
      <w:r w:rsidRPr="005B6A0F" w:rsidR="0086427F">
        <w:rPr>
          <w:szCs w:val="24"/>
        </w:rPr>
        <w:t xml:space="preserve"> Phase 2 program,</w:t>
      </w:r>
      <w:r>
        <w:rPr>
          <w:rStyle w:val="FootnoteReference"/>
          <w:szCs w:val="24"/>
        </w:rPr>
        <w:footnoteReference w:id="57"/>
      </w:r>
      <w:r w:rsidRPr="005B6A0F" w:rsidR="0086427F">
        <w:rPr>
          <w:szCs w:val="24"/>
        </w:rPr>
        <w:t xml:space="preserve"> over $1.1 million has been spent solely for the purpose of replacing meters that failed prematurely. </w:t>
      </w:r>
      <w:r w:rsidRPr="005B6A0F">
        <w:rPr>
          <w:szCs w:val="24"/>
        </w:rPr>
        <w:t>A failure rate of approximately 0.</w:t>
      </w:r>
      <w:r w:rsidRPr="005B6A0F" w:rsidR="00DD475F">
        <w:rPr>
          <w:szCs w:val="24"/>
        </w:rPr>
        <w:t>63</w:t>
      </w:r>
      <w:r w:rsidRPr="005B6A0F">
        <w:rPr>
          <w:szCs w:val="24"/>
        </w:rPr>
        <w:t xml:space="preserve"> percent for </w:t>
      </w:r>
      <w:r w:rsidRPr="005B6A0F" w:rsidR="00B12BE0">
        <w:rPr>
          <w:szCs w:val="24"/>
        </w:rPr>
        <w:t>S</w:t>
      </w:r>
      <w:r w:rsidRPr="005B6A0F">
        <w:rPr>
          <w:szCs w:val="24"/>
        </w:rPr>
        <w:t xml:space="preserve">mart </w:t>
      </w:r>
      <w:r w:rsidRPr="005B6A0F" w:rsidR="00B12BE0">
        <w:rPr>
          <w:szCs w:val="24"/>
        </w:rPr>
        <w:t>M</w:t>
      </w:r>
      <w:r w:rsidRPr="005B6A0F">
        <w:rPr>
          <w:szCs w:val="24"/>
        </w:rPr>
        <w:t xml:space="preserve">eters seems excessive (and </w:t>
      </w:r>
      <w:r w:rsidRPr="005B6A0F" w:rsidR="007F25FD">
        <w:rPr>
          <w:szCs w:val="24"/>
        </w:rPr>
        <w:t xml:space="preserve">it </w:t>
      </w:r>
      <w:r w:rsidRPr="005B6A0F" w:rsidR="007F25FD">
        <w:rPr>
          <w:i/>
          <w:iCs/>
          <w:szCs w:val="24"/>
        </w:rPr>
        <w:t xml:space="preserve">is </w:t>
      </w:r>
      <w:r w:rsidRPr="005B6A0F">
        <w:rPr>
          <w:szCs w:val="24"/>
        </w:rPr>
        <w:t>costly</w:t>
      </w:r>
      <w:r w:rsidRPr="005B6A0F" w:rsidR="003835C2">
        <w:rPr>
          <w:szCs w:val="24"/>
        </w:rPr>
        <w:t xml:space="preserve"> to consumers</w:t>
      </w:r>
      <w:r w:rsidRPr="005B6A0F">
        <w:rPr>
          <w:szCs w:val="24"/>
        </w:rPr>
        <w:t xml:space="preserve">) and </w:t>
      </w:r>
      <w:r w:rsidRPr="005B6A0F" w:rsidR="00B12BE0">
        <w:rPr>
          <w:szCs w:val="24"/>
        </w:rPr>
        <w:t>suggests</w:t>
      </w:r>
      <w:r w:rsidRPr="005B6A0F">
        <w:rPr>
          <w:szCs w:val="24"/>
        </w:rPr>
        <w:t xml:space="preserve"> that even higher premature failure rates may occur in the coming years.</w:t>
      </w:r>
      <w:r>
        <w:rPr>
          <w:rStyle w:val="FootnoteReference"/>
          <w:szCs w:val="24"/>
        </w:rPr>
        <w:footnoteReference w:id="58"/>
      </w:r>
      <w:r w:rsidRPr="005B6A0F">
        <w:rPr>
          <w:szCs w:val="24"/>
        </w:rPr>
        <w:t xml:space="preserve"> </w:t>
      </w:r>
    </w:p>
    <w:p w:rsidR="00B12BE0" w:rsidRPr="005B6A0F" w:rsidP="00D30CA6" w14:paraId="351775CD" w14:textId="4451575F">
      <w:pPr>
        <w:autoSpaceDE w:val="0"/>
        <w:autoSpaceDN w:val="0"/>
        <w:adjustRightInd w:val="0"/>
        <w:spacing w:line="480" w:lineRule="auto"/>
        <w:ind w:firstLine="720"/>
        <w:rPr>
          <w:szCs w:val="24"/>
        </w:rPr>
      </w:pPr>
      <w:r w:rsidRPr="005B6A0F">
        <w:rPr>
          <w:szCs w:val="24"/>
        </w:rPr>
        <w:t xml:space="preserve">The accounting life of </w:t>
      </w:r>
      <w:r w:rsidRPr="005B6A0F" w:rsidR="00EE1706">
        <w:rPr>
          <w:szCs w:val="24"/>
        </w:rPr>
        <w:t>AEP Ohio</w:t>
      </w:r>
      <w:r w:rsidRPr="005B6A0F" w:rsidR="00FC055B">
        <w:rPr>
          <w:szCs w:val="24"/>
        </w:rPr>
        <w:t>’s</w:t>
      </w:r>
      <w:r w:rsidRPr="005B6A0F" w:rsidR="00EE1706">
        <w:rPr>
          <w:szCs w:val="24"/>
        </w:rPr>
        <w:t xml:space="preserve"> </w:t>
      </w:r>
      <w:r w:rsidRPr="005B6A0F" w:rsidR="00FC055B">
        <w:rPr>
          <w:szCs w:val="24"/>
        </w:rPr>
        <w:t>S</w:t>
      </w:r>
      <w:r w:rsidRPr="005B6A0F">
        <w:rPr>
          <w:szCs w:val="24"/>
        </w:rPr>
        <w:t xml:space="preserve">mart </w:t>
      </w:r>
      <w:r w:rsidRPr="005B6A0F" w:rsidR="00FC055B">
        <w:rPr>
          <w:szCs w:val="24"/>
        </w:rPr>
        <w:t>M</w:t>
      </w:r>
      <w:r w:rsidRPr="005B6A0F">
        <w:rPr>
          <w:szCs w:val="24"/>
        </w:rPr>
        <w:t xml:space="preserve">eters is </w:t>
      </w:r>
      <w:r w:rsidRPr="005B6A0F" w:rsidR="00CA2F71">
        <w:rPr>
          <w:szCs w:val="24"/>
        </w:rPr>
        <w:t xml:space="preserve">15 </w:t>
      </w:r>
      <w:r w:rsidRPr="005B6A0F">
        <w:rPr>
          <w:szCs w:val="24"/>
        </w:rPr>
        <w:t>years</w:t>
      </w:r>
      <w:r w:rsidRPr="005B6A0F" w:rsidR="00FC055B">
        <w:rPr>
          <w:szCs w:val="24"/>
        </w:rPr>
        <w:t>.</w:t>
      </w:r>
      <w:r w:rsidRPr="005B6A0F" w:rsidR="00EE1706">
        <w:rPr>
          <w:szCs w:val="24"/>
        </w:rPr>
        <w:t xml:space="preserve"> </w:t>
      </w:r>
      <w:r w:rsidRPr="005B6A0F" w:rsidR="005B25A0">
        <w:rPr>
          <w:szCs w:val="24"/>
        </w:rPr>
        <w:t>Earlier</w:t>
      </w:r>
      <w:r w:rsidRPr="005B6A0F" w:rsidR="00407A92">
        <w:rPr>
          <w:szCs w:val="24"/>
        </w:rPr>
        <w:t xml:space="preserve"> generations of Smart Meter’s accounting life was projected based on f</w:t>
      </w:r>
      <w:r w:rsidRPr="005B6A0F" w:rsidR="00D30CA6">
        <w:rPr>
          <w:szCs w:val="24"/>
        </w:rPr>
        <w:t>ailure rates of 0.5 percent</w:t>
      </w:r>
      <w:r w:rsidRPr="005B6A0F" w:rsidR="006D6BB2">
        <w:rPr>
          <w:szCs w:val="24"/>
        </w:rPr>
        <w:t>.</w:t>
      </w:r>
      <w:r>
        <w:rPr>
          <w:rStyle w:val="FootnoteReference"/>
          <w:szCs w:val="24"/>
        </w:rPr>
        <w:footnoteReference w:id="59"/>
      </w:r>
      <w:r w:rsidRPr="005B6A0F" w:rsidR="006D6BB2">
        <w:rPr>
          <w:szCs w:val="24"/>
        </w:rPr>
        <w:t xml:space="preserve"> </w:t>
      </w:r>
      <w:r w:rsidRPr="005B6A0F" w:rsidR="00D30CA6">
        <w:rPr>
          <w:szCs w:val="24"/>
        </w:rPr>
        <w:t xml:space="preserve"> </w:t>
      </w:r>
      <w:r w:rsidRPr="005B6A0F">
        <w:rPr>
          <w:szCs w:val="24"/>
        </w:rPr>
        <w:t xml:space="preserve">But </w:t>
      </w:r>
      <w:r w:rsidRPr="005B6A0F" w:rsidR="00407A92">
        <w:rPr>
          <w:szCs w:val="24"/>
        </w:rPr>
        <w:t>as noted above,</w:t>
      </w:r>
      <w:r w:rsidRPr="005B6A0F" w:rsidR="006D6BB2">
        <w:rPr>
          <w:szCs w:val="24"/>
        </w:rPr>
        <w:t xml:space="preserve"> AEP Ohio Smart Meter</w:t>
      </w:r>
      <w:r w:rsidRPr="005B6A0F" w:rsidR="007F25FD">
        <w:rPr>
          <w:szCs w:val="24"/>
        </w:rPr>
        <w:t>s’</w:t>
      </w:r>
      <w:r w:rsidRPr="005B6A0F" w:rsidR="006D6BB2">
        <w:rPr>
          <w:szCs w:val="24"/>
        </w:rPr>
        <w:t xml:space="preserve"> </w:t>
      </w:r>
      <w:r w:rsidRPr="005B6A0F" w:rsidR="00407A92">
        <w:rPr>
          <w:i/>
          <w:iCs/>
          <w:szCs w:val="24"/>
        </w:rPr>
        <w:t xml:space="preserve">actual </w:t>
      </w:r>
      <w:r w:rsidRPr="005B6A0F">
        <w:rPr>
          <w:szCs w:val="24"/>
        </w:rPr>
        <w:t>failure ra</w:t>
      </w:r>
      <w:r w:rsidRPr="005B6A0F" w:rsidR="00D30CA6">
        <w:rPr>
          <w:szCs w:val="24"/>
        </w:rPr>
        <w:t xml:space="preserve">tes </w:t>
      </w:r>
      <w:r w:rsidRPr="005B6A0F" w:rsidR="006D6BB2">
        <w:rPr>
          <w:szCs w:val="24"/>
        </w:rPr>
        <w:t>exceed the earlier projections</w:t>
      </w:r>
      <w:r w:rsidRPr="005B6A0F" w:rsidR="00407A92">
        <w:rPr>
          <w:szCs w:val="24"/>
        </w:rPr>
        <w:t>.  This</w:t>
      </w:r>
      <w:r w:rsidRPr="005B6A0F" w:rsidR="006D6BB2">
        <w:rPr>
          <w:szCs w:val="24"/>
        </w:rPr>
        <w:t xml:space="preserve"> indicate</w:t>
      </w:r>
      <w:r w:rsidRPr="005B6A0F" w:rsidR="00407A92">
        <w:rPr>
          <w:szCs w:val="24"/>
        </w:rPr>
        <w:t>s</w:t>
      </w:r>
      <w:r w:rsidRPr="005B6A0F" w:rsidR="006D6BB2">
        <w:rPr>
          <w:szCs w:val="24"/>
        </w:rPr>
        <w:t xml:space="preserve"> that despite </w:t>
      </w:r>
      <w:r w:rsidRPr="005B6A0F">
        <w:rPr>
          <w:szCs w:val="24"/>
        </w:rPr>
        <w:t xml:space="preserve">technological and </w:t>
      </w:r>
      <w:r w:rsidRPr="005B6A0F" w:rsidR="00D30CA6">
        <w:rPr>
          <w:szCs w:val="24"/>
        </w:rPr>
        <w:t>manufacturing improvements</w:t>
      </w:r>
      <w:r w:rsidRPr="005B6A0F" w:rsidR="006D6BB2">
        <w:rPr>
          <w:szCs w:val="24"/>
        </w:rPr>
        <w:t xml:space="preserve"> in the design of Smart Meters</w:t>
      </w:r>
      <w:r w:rsidRPr="005B6A0F" w:rsidR="0086427F">
        <w:rPr>
          <w:szCs w:val="24"/>
        </w:rPr>
        <w:t xml:space="preserve">, </w:t>
      </w:r>
      <w:r w:rsidRPr="005B6A0F" w:rsidR="006D6BB2">
        <w:rPr>
          <w:szCs w:val="24"/>
        </w:rPr>
        <w:t xml:space="preserve">a </w:t>
      </w:r>
      <w:r w:rsidRPr="005B6A0F" w:rsidR="00CA2F71">
        <w:rPr>
          <w:szCs w:val="24"/>
        </w:rPr>
        <w:t xml:space="preserve">15 </w:t>
      </w:r>
      <w:r w:rsidRPr="005B6A0F" w:rsidR="006D6BB2">
        <w:rPr>
          <w:szCs w:val="24"/>
        </w:rPr>
        <w:t xml:space="preserve">year accounting life could be a </w:t>
      </w:r>
      <w:r w:rsidRPr="005B6A0F" w:rsidR="00B105F8">
        <w:rPr>
          <w:szCs w:val="24"/>
        </w:rPr>
        <w:t>unlikely</w:t>
      </w:r>
      <w:r w:rsidRPr="005B6A0F" w:rsidR="00D30CA6">
        <w:rPr>
          <w:szCs w:val="24"/>
        </w:rPr>
        <w:t>.</w:t>
      </w:r>
      <w:r>
        <w:rPr>
          <w:rStyle w:val="FootnoteReference"/>
          <w:szCs w:val="24"/>
        </w:rPr>
        <w:footnoteReference w:id="60"/>
      </w:r>
      <w:r w:rsidRPr="005B6A0F" w:rsidR="00D30CA6">
        <w:rPr>
          <w:szCs w:val="24"/>
        </w:rPr>
        <w:t xml:space="preserve"> </w:t>
      </w:r>
    </w:p>
    <w:p w:rsidR="00D30CA6" w:rsidRPr="005B6A0F" w:rsidP="00D30CA6" w14:paraId="0B6493BB" w14:textId="7EC841F9">
      <w:pPr>
        <w:autoSpaceDE w:val="0"/>
        <w:autoSpaceDN w:val="0"/>
        <w:adjustRightInd w:val="0"/>
        <w:spacing w:line="480" w:lineRule="auto"/>
        <w:ind w:firstLine="720"/>
        <w:rPr>
          <w:szCs w:val="24"/>
        </w:rPr>
      </w:pPr>
      <w:r w:rsidRPr="005B6A0F">
        <w:rPr>
          <w:szCs w:val="24"/>
        </w:rPr>
        <w:t xml:space="preserve">The PUCO should require Staff to examine </w:t>
      </w:r>
      <w:r w:rsidRPr="005B6A0F" w:rsidR="00407A92">
        <w:rPr>
          <w:szCs w:val="24"/>
        </w:rPr>
        <w:t xml:space="preserve">Smart Meters’ </w:t>
      </w:r>
      <w:r w:rsidRPr="005B6A0F">
        <w:rPr>
          <w:szCs w:val="24"/>
        </w:rPr>
        <w:t xml:space="preserve">failure rate to determine what (if any) alternatives exist to reduce </w:t>
      </w:r>
      <w:r w:rsidRPr="005B6A0F" w:rsidR="00407A92">
        <w:rPr>
          <w:szCs w:val="24"/>
        </w:rPr>
        <w:t>it</w:t>
      </w:r>
      <w:r w:rsidRPr="005B6A0F">
        <w:rPr>
          <w:szCs w:val="24"/>
        </w:rPr>
        <w:t xml:space="preserve">. </w:t>
      </w:r>
      <w:r w:rsidRPr="005B6A0F" w:rsidR="005677C5">
        <w:rPr>
          <w:szCs w:val="24"/>
        </w:rPr>
        <w:t>Additionally</w:t>
      </w:r>
      <w:r w:rsidRPr="005B6A0F">
        <w:rPr>
          <w:szCs w:val="24"/>
        </w:rPr>
        <w:t xml:space="preserve">, Staff should examine AEP </w:t>
      </w:r>
      <w:r w:rsidRPr="005B6A0F" w:rsidR="005677C5">
        <w:rPr>
          <w:szCs w:val="24"/>
        </w:rPr>
        <w:t xml:space="preserve">Ohio’s </w:t>
      </w:r>
      <w:r w:rsidRPr="005B6A0F">
        <w:rPr>
          <w:szCs w:val="24"/>
        </w:rPr>
        <w:t xml:space="preserve">policies regarding </w:t>
      </w:r>
      <w:r w:rsidRPr="005B6A0F" w:rsidR="005677C5">
        <w:rPr>
          <w:szCs w:val="24"/>
        </w:rPr>
        <w:t>replacing</w:t>
      </w:r>
      <w:r w:rsidRPr="005B6A0F">
        <w:rPr>
          <w:szCs w:val="24"/>
        </w:rPr>
        <w:t xml:space="preserve"> prematurely failing </w:t>
      </w:r>
      <w:r w:rsidRPr="005B6A0F" w:rsidR="005677C5">
        <w:rPr>
          <w:szCs w:val="24"/>
        </w:rPr>
        <w:t>Smart Meters</w:t>
      </w:r>
      <w:r w:rsidRPr="005B6A0F">
        <w:rPr>
          <w:szCs w:val="24"/>
        </w:rPr>
        <w:t xml:space="preserve"> to establish a failure rate standard, determine </w:t>
      </w:r>
      <w:r w:rsidRPr="005B6A0F" w:rsidR="005677C5">
        <w:rPr>
          <w:szCs w:val="24"/>
        </w:rPr>
        <w:t>who is responsible for replacing prematurely failing meters</w:t>
      </w:r>
      <w:r w:rsidRPr="005B6A0F">
        <w:rPr>
          <w:szCs w:val="24"/>
        </w:rPr>
        <w:t xml:space="preserve">, and verify that consumers are protected from paying </w:t>
      </w:r>
      <w:r w:rsidRPr="005B6A0F" w:rsidR="005677C5">
        <w:rPr>
          <w:szCs w:val="24"/>
        </w:rPr>
        <w:t>for prematurely failing meters</w:t>
      </w:r>
      <w:r w:rsidRPr="005B6A0F" w:rsidR="00196B63">
        <w:rPr>
          <w:szCs w:val="24"/>
        </w:rPr>
        <w:t xml:space="preserve"> by determining if AEP Ohio has charged consumers for such meters (and adjust AEP Ohio’s revenue requirement downward if AEP Ohio has)</w:t>
      </w:r>
      <w:r w:rsidRPr="005B6A0F">
        <w:rPr>
          <w:szCs w:val="24"/>
        </w:rPr>
        <w:t xml:space="preserve">.          </w:t>
      </w:r>
    </w:p>
    <w:p w:rsidR="00D30CA6" w:rsidRPr="005B6A0F" w:rsidP="004B32E0" w14:paraId="4BA95EAD" w14:textId="777445F0">
      <w:pPr>
        <w:pStyle w:val="Heading1"/>
      </w:pPr>
      <w:bookmarkStart w:id="17" w:name="_Toc74639610"/>
      <w:r w:rsidRPr="005B6A0F">
        <w:t>I</w:t>
      </w:r>
      <w:r w:rsidRPr="005B6A0F" w:rsidR="005278B6">
        <w:t>v</w:t>
      </w:r>
      <w:r w:rsidRPr="005B6A0F">
        <w:t>.</w:t>
      </w:r>
      <w:r w:rsidRPr="005B6A0F">
        <w:tab/>
        <w:t>CONCLUSION</w:t>
      </w:r>
      <w:bookmarkEnd w:id="17"/>
    </w:p>
    <w:p w:rsidR="00B1620A" w:rsidRPr="005B6A0F" w:rsidP="00B1620A" w14:paraId="04CE3840" w14:textId="0F4BC3A9">
      <w:pPr>
        <w:spacing w:line="480" w:lineRule="auto"/>
        <w:rPr>
          <w:szCs w:val="24"/>
        </w:rPr>
      </w:pPr>
      <w:r w:rsidRPr="005B6A0F">
        <w:rPr>
          <w:szCs w:val="24"/>
        </w:rPr>
        <w:tab/>
        <w:t>To protect consumers, the PUCO should adopt the recommendations made by Staff and OCC regarding AEP Ohio’s gridSMART Phase 2 Charge.</w:t>
      </w:r>
    </w:p>
    <w:p w:rsidR="00014BD8" w:rsidRPr="005B6A0F" w14:paraId="01462F04" w14:textId="67F1CB22">
      <w:pPr>
        <w:rPr>
          <w:szCs w:val="24"/>
        </w:rPr>
      </w:pPr>
    </w:p>
    <w:p w:rsidR="00C17FB3" w:rsidRPr="005B6A0F" w:rsidP="00C17FB3" w14:paraId="4CC6BCEB" w14:textId="5113D7AF">
      <w:pPr>
        <w:ind w:left="3600" w:firstLine="720"/>
        <w:rPr>
          <w:szCs w:val="24"/>
        </w:rPr>
      </w:pPr>
      <w:r w:rsidRPr="005B6A0F">
        <w:rPr>
          <w:szCs w:val="24"/>
        </w:rPr>
        <w:t>Respectfully submitted,</w:t>
      </w:r>
    </w:p>
    <w:p w:rsidR="00C17FB3" w:rsidRPr="005B6A0F" w:rsidP="00C17FB3" w14:paraId="7F4A5EA1" w14:textId="77777777">
      <w:pPr>
        <w:pStyle w:val="Footer"/>
        <w:tabs>
          <w:tab w:val="left" w:pos="4320"/>
        </w:tabs>
        <w:ind w:left="4320"/>
        <w:rPr>
          <w:sz w:val="24"/>
          <w:szCs w:val="24"/>
        </w:rPr>
      </w:pPr>
    </w:p>
    <w:p w:rsidR="00C17FB3" w:rsidRPr="005B6A0F" w:rsidP="00C17FB3" w14:paraId="631D4FD4" w14:textId="77777777">
      <w:pPr>
        <w:pStyle w:val="Footer"/>
        <w:tabs>
          <w:tab w:val="left" w:pos="4320"/>
        </w:tabs>
        <w:ind w:left="4320"/>
        <w:rPr>
          <w:sz w:val="24"/>
          <w:szCs w:val="24"/>
        </w:rPr>
      </w:pPr>
      <w:r w:rsidRPr="005B6A0F">
        <w:rPr>
          <w:sz w:val="24"/>
          <w:szCs w:val="24"/>
        </w:rPr>
        <w:t>Bruce Weston (#0016973)</w:t>
      </w:r>
    </w:p>
    <w:p w:rsidR="00C17FB3" w:rsidRPr="005B6A0F" w:rsidP="00C17FB3" w14:paraId="768C7644" w14:textId="77777777">
      <w:pPr>
        <w:pStyle w:val="ListParagraph"/>
        <w:tabs>
          <w:tab w:val="left" w:pos="4320"/>
        </w:tabs>
        <w:ind w:left="4320"/>
        <w:rPr>
          <w:szCs w:val="24"/>
        </w:rPr>
      </w:pPr>
      <w:r w:rsidRPr="005B6A0F">
        <w:rPr>
          <w:szCs w:val="24"/>
        </w:rPr>
        <w:t>Ohio Consumers’ Counsel</w:t>
      </w:r>
    </w:p>
    <w:p w:rsidR="00C17FB3" w:rsidRPr="005B6A0F" w:rsidP="00C17FB3" w14:paraId="05A21162" w14:textId="77777777">
      <w:pPr>
        <w:pStyle w:val="ListParagraph"/>
        <w:tabs>
          <w:tab w:val="left" w:pos="4320"/>
        </w:tabs>
        <w:ind w:left="4320"/>
        <w:rPr>
          <w:szCs w:val="24"/>
        </w:rPr>
      </w:pPr>
      <w:r w:rsidRPr="005B6A0F">
        <w:rPr>
          <w:szCs w:val="24"/>
        </w:rPr>
        <w:tab/>
      </w:r>
    </w:p>
    <w:p w:rsidR="00C17FB3" w:rsidRPr="005B6A0F" w:rsidP="00C17FB3" w14:paraId="358187B0" w14:textId="77777777">
      <w:pPr>
        <w:pStyle w:val="ListParagraph"/>
        <w:tabs>
          <w:tab w:val="left" w:pos="4320"/>
        </w:tabs>
        <w:ind w:left="4320"/>
        <w:rPr>
          <w:szCs w:val="24"/>
        </w:rPr>
      </w:pPr>
      <w:r w:rsidRPr="005B6A0F">
        <w:rPr>
          <w:i/>
          <w:szCs w:val="24"/>
          <w:u w:val="single"/>
        </w:rPr>
        <w:t>/s/ William J. Michael</w:t>
      </w:r>
      <w:r w:rsidRPr="005B6A0F">
        <w:rPr>
          <w:szCs w:val="24"/>
        </w:rPr>
        <w:t>____</w:t>
      </w:r>
    </w:p>
    <w:p w:rsidR="00C17FB3" w:rsidRPr="005B6A0F" w:rsidP="00C17FB3" w14:paraId="453F2F6C" w14:textId="77777777">
      <w:pPr>
        <w:pStyle w:val="ListParagraph"/>
        <w:tabs>
          <w:tab w:val="left" w:pos="4320"/>
        </w:tabs>
        <w:ind w:left="4320"/>
        <w:rPr>
          <w:szCs w:val="24"/>
        </w:rPr>
      </w:pPr>
      <w:r w:rsidRPr="005B6A0F">
        <w:rPr>
          <w:szCs w:val="24"/>
        </w:rPr>
        <w:t>William J. Michael (0070921)</w:t>
      </w:r>
    </w:p>
    <w:p w:rsidR="00C17FB3" w:rsidRPr="005B6A0F" w:rsidP="00C17FB3" w14:paraId="240B1CD3" w14:textId="06DBB29E">
      <w:pPr>
        <w:pStyle w:val="ListParagraph"/>
        <w:tabs>
          <w:tab w:val="left" w:pos="4320"/>
        </w:tabs>
        <w:ind w:left="4320"/>
        <w:rPr>
          <w:szCs w:val="24"/>
        </w:rPr>
      </w:pPr>
      <w:r w:rsidRPr="005B6A0F">
        <w:rPr>
          <w:szCs w:val="24"/>
        </w:rPr>
        <w:t>Counsel of Record</w:t>
      </w:r>
    </w:p>
    <w:p w:rsidR="00424703" w:rsidRPr="005B6A0F" w:rsidP="00C17FB3" w14:paraId="356019DC" w14:textId="67EB0306">
      <w:pPr>
        <w:pStyle w:val="ListParagraph"/>
        <w:tabs>
          <w:tab w:val="left" w:pos="4320"/>
        </w:tabs>
        <w:ind w:left="4320"/>
        <w:rPr>
          <w:szCs w:val="24"/>
        </w:rPr>
      </w:pPr>
      <w:r w:rsidRPr="005B6A0F">
        <w:rPr>
          <w:szCs w:val="24"/>
        </w:rPr>
        <w:t>Amy Botschner O’Brien (0074423)</w:t>
      </w:r>
    </w:p>
    <w:p w:rsidR="00C17FB3" w:rsidRPr="005B6A0F" w:rsidP="00C17FB3" w14:paraId="595D9548" w14:textId="77777777">
      <w:pPr>
        <w:pStyle w:val="ListParagraph"/>
        <w:tabs>
          <w:tab w:val="left" w:pos="4320"/>
        </w:tabs>
        <w:ind w:left="4320"/>
        <w:rPr>
          <w:szCs w:val="24"/>
        </w:rPr>
      </w:pPr>
      <w:r w:rsidRPr="005B6A0F">
        <w:rPr>
          <w:szCs w:val="24"/>
        </w:rPr>
        <w:t>Assistant Consumers’ Counsel</w:t>
      </w:r>
    </w:p>
    <w:p w:rsidR="00C17FB3" w:rsidRPr="005B6A0F" w:rsidP="00C17FB3" w14:paraId="7634C1B2" w14:textId="77777777">
      <w:pPr>
        <w:ind w:left="4320"/>
        <w:rPr>
          <w:b/>
          <w:szCs w:val="24"/>
        </w:rPr>
      </w:pPr>
    </w:p>
    <w:p w:rsidR="00C17FB3" w:rsidRPr="005B6A0F" w:rsidP="00C17FB3" w14:paraId="60F7C1FF" w14:textId="77777777">
      <w:pPr>
        <w:ind w:left="4320"/>
        <w:rPr>
          <w:b/>
          <w:szCs w:val="24"/>
        </w:rPr>
      </w:pPr>
      <w:r w:rsidRPr="005B6A0F">
        <w:rPr>
          <w:b/>
          <w:szCs w:val="24"/>
        </w:rPr>
        <w:t>Office of the Ohio Consumers’ Counsel</w:t>
      </w:r>
    </w:p>
    <w:p w:rsidR="00C17FB3" w:rsidRPr="005B6A0F" w:rsidP="00C17FB3" w14:paraId="1BDA490D" w14:textId="77777777">
      <w:pPr>
        <w:ind w:left="4320"/>
        <w:rPr>
          <w:szCs w:val="24"/>
        </w:rPr>
      </w:pPr>
      <w:r w:rsidRPr="005B6A0F">
        <w:rPr>
          <w:szCs w:val="24"/>
        </w:rPr>
        <w:t>65 East State Street, 7</w:t>
      </w:r>
      <w:r w:rsidRPr="005B6A0F">
        <w:rPr>
          <w:szCs w:val="24"/>
          <w:vertAlign w:val="superscript"/>
        </w:rPr>
        <w:t>th</w:t>
      </w:r>
      <w:r w:rsidRPr="005B6A0F">
        <w:rPr>
          <w:szCs w:val="24"/>
        </w:rPr>
        <w:t xml:space="preserve"> Floor</w:t>
      </w:r>
    </w:p>
    <w:p w:rsidR="00C17FB3" w:rsidRPr="005B6A0F" w:rsidP="00C17FB3" w14:paraId="20314367" w14:textId="77777777">
      <w:pPr>
        <w:ind w:left="4320"/>
        <w:rPr>
          <w:szCs w:val="24"/>
        </w:rPr>
      </w:pPr>
      <w:r w:rsidRPr="005B6A0F">
        <w:rPr>
          <w:szCs w:val="24"/>
        </w:rPr>
        <w:t>Columbus, Ohio 43215</w:t>
      </w:r>
    </w:p>
    <w:p w:rsidR="00C17FB3" w:rsidRPr="005B6A0F" w:rsidP="00C17FB3" w14:paraId="1CF38B6E" w14:textId="38BD22F0">
      <w:pPr>
        <w:pStyle w:val="ListParagraph"/>
        <w:autoSpaceDE w:val="0"/>
        <w:autoSpaceDN w:val="0"/>
        <w:adjustRightInd w:val="0"/>
        <w:ind w:left="4320"/>
        <w:rPr>
          <w:szCs w:val="24"/>
        </w:rPr>
      </w:pPr>
      <w:r w:rsidRPr="005B6A0F">
        <w:rPr>
          <w:szCs w:val="24"/>
        </w:rPr>
        <w:t>Telephone [Michael]:  (614) 466-1291</w:t>
      </w:r>
    </w:p>
    <w:p w:rsidR="00424703" w:rsidRPr="005B6A0F" w:rsidP="00424703" w14:paraId="4815F575" w14:textId="6D2D9B57">
      <w:pPr>
        <w:pStyle w:val="ListParagraph"/>
        <w:autoSpaceDE w:val="0"/>
        <w:autoSpaceDN w:val="0"/>
        <w:adjustRightInd w:val="0"/>
        <w:ind w:left="4320"/>
        <w:rPr>
          <w:szCs w:val="24"/>
        </w:rPr>
      </w:pPr>
      <w:r w:rsidRPr="005B6A0F">
        <w:rPr>
          <w:szCs w:val="24"/>
        </w:rPr>
        <w:t>Telephone [Botschner O’Brien]:  (614) 466-9575</w:t>
      </w:r>
    </w:p>
    <w:p w:rsidR="00C17FB3" w:rsidRPr="005B6A0F" w:rsidP="00C17FB3" w14:paraId="4638B99A" w14:textId="33D8317A">
      <w:pPr>
        <w:pStyle w:val="ListParagraph"/>
        <w:autoSpaceDE w:val="0"/>
        <w:autoSpaceDN w:val="0"/>
        <w:adjustRightInd w:val="0"/>
        <w:ind w:left="4320"/>
        <w:rPr>
          <w:rStyle w:val="Hyperlink"/>
          <w:szCs w:val="24"/>
        </w:rPr>
      </w:pPr>
      <w:hyperlink r:id="rId6" w:history="1">
        <w:r w:rsidRPr="005B6A0F" w:rsidR="00376435">
          <w:rPr>
            <w:rStyle w:val="Hyperlink"/>
            <w:szCs w:val="24"/>
          </w:rPr>
          <w:t>William.michael@occ.ohio.gov</w:t>
        </w:r>
      </w:hyperlink>
    </w:p>
    <w:p w:rsidR="00424703" w:rsidRPr="005B6A0F" w:rsidP="00C17FB3" w14:paraId="07EEDCBB" w14:textId="108C2F1C">
      <w:pPr>
        <w:pStyle w:val="ListParagraph"/>
        <w:autoSpaceDE w:val="0"/>
        <w:autoSpaceDN w:val="0"/>
        <w:adjustRightInd w:val="0"/>
        <w:ind w:left="4320"/>
        <w:rPr>
          <w:rStyle w:val="Hyperlink"/>
          <w:szCs w:val="24"/>
        </w:rPr>
      </w:pPr>
      <w:hyperlink r:id="rId7" w:history="1">
        <w:r w:rsidRPr="005B6A0F" w:rsidR="00D21EDD">
          <w:rPr>
            <w:rStyle w:val="Hyperlink"/>
            <w:szCs w:val="24"/>
          </w:rPr>
          <w:t>Amy.botschner.obrien@occ.ohio.gov</w:t>
        </w:r>
      </w:hyperlink>
    </w:p>
    <w:p w:rsidR="00C17FB3" w:rsidRPr="005B6A0F" w:rsidP="00C17FB3" w14:paraId="09351D18" w14:textId="77777777">
      <w:pPr>
        <w:ind w:left="4320"/>
        <w:rPr>
          <w:szCs w:val="24"/>
        </w:rPr>
      </w:pPr>
      <w:r w:rsidRPr="005B6A0F">
        <w:rPr>
          <w:szCs w:val="24"/>
        </w:rPr>
        <w:t>(Willing to accept service by e-mail)</w:t>
      </w:r>
    </w:p>
    <w:p w:rsidR="00220105" w:rsidRPr="005B6A0F" w:rsidP="00220105" w14:paraId="424354C5" w14:textId="77777777">
      <w:pPr>
        <w:ind w:left="4320"/>
        <w:rPr>
          <w:szCs w:val="24"/>
        </w:rPr>
      </w:pPr>
    </w:p>
    <w:p w:rsidR="007C2976" w:rsidRPr="005B6A0F" w:rsidP="007C2976" w14:paraId="2C17DB2A" w14:textId="77777777">
      <w:pPr>
        <w:rPr>
          <w:szCs w:val="24"/>
        </w:rPr>
      </w:pPr>
      <w:r w:rsidRPr="005B6A0F">
        <w:rPr>
          <w:szCs w:val="24"/>
        </w:rPr>
        <w:tab/>
      </w:r>
      <w:r w:rsidRPr="005B6A0F">
        <w:rPr>
          <w:szCs w:val="24"/>
        </w:rPr>
        <w:tab/>
      </w:r>
      <w:r w:rsidRPr="005B6A0F">
        <w:rPr>
          <w:szCs w:val="24"/>
        </w:rPr>
        <w:tab/>
      </w:r>
      <w:r w:rsidRPr="005B6A0F">
        <w:rPr>
          <w:szCs w:val="24"/>
        </w:rPr>
        <w:tab/>
      </w:r>
      <w:r w:rsidRPr="005B6A0F">
        <w:rPr>
          <w:szCs w:val="24"/>
        </w:rPr>
        <w:tab/>
      </w:r>
      <w:r w:rsidRPr="005B6A0F">
        <w:rPr>
          <w:szCs w:val="24"/>
        </w:rPr>
        <w:tab/>
      </w:r>
    </w:p>
    <w:p w:rsidR="00685817" w:rsidRPr="005B6A0F" w:rsidP="007C2976" w14:paraId="2A3FACAE" w14:textId="77777777">
      <w:pPr>
        <w:jc w:val="center"/>
        <w:rPr>
          <w:b/>
          <w:bCs/>
          <w:szCs w:val="24"/>
          <w:u w:val="single"/>
        </w:rPr>
        <w:sectPr w:rsidSect="00283758">
          <w:pgSz w:w="12240" w:h="15840"/>
          <w:pgMar w:top="1440" w:right="1440" w:bottom="1440" w:left="1440" w:header="720" w:footer="720" w:gutter="0"/>
          <w:pgNumType w:start="1"/>
          <w:cols w:space="720"/>
          <w:docGrid w:linePitch="360"/>
        </w:sectPr>
      </w:pPr>
    </w:p>
    <w:p w:rsidR="007C2976" w:rsidRPr="005B6A0F" w:rsidP="007C2976" w14:paraId="67D0618E" w14:textId="77777777">
      <w:pPr>
        <w:jc w:val="center"/>
        <w:rPr>
          <w:b/>
          <w:bCs/>
          <w:szCs w:val="24"/>
          <w:u w:val="single"/>
        </w:rPr>
      </w:pPr>
      <w:r w:rsidRPr="005B6A0F">
        <w:rPr>
          <w:b/>
          <w:bCs/>
          <w:szCs w:val="24"/>
          <w:u w:val="single"/>
        </w:rPr>
        <w:t>CERTIFICATE OF SERVICE</w:t>
      </w:r>
    </w:p>
    <w:p w:rsidR="001A5E32" w:rsidRPr="005B6A0F" w:rsidP="007C2976" w14:paraId="403B7654" w14:textId="77777777">
      <w:pPr>
        <w:jc w:val="center"/>
        <w:rPr>
          <w:b/>
          <w:bCs/>
          <w:szCs w:val="24"/>
          <w:u w:val="single"/>
        </w:rPr>
      </w:pPr>
    </w:p>
    <w:p w:rsidR="007C2976" w:rsidRPr="005B6A0F" w:rsidP="00D0554D" w14:paraId="44374404" w14:textId="282C76BA">
      <w:pPr>
        <w:spacing w:line="480" w:lineRule="atLeast"/>
        <w:ind w:firstLine="720"/>
        <w:rPr>
          <w:szCs w:val="24"/>
        </w:rPr>
      </w:pPr>
      <w:r w:rsidRPr="005B6A0F">
        <w:rPr>
          <w:szCs w:val="24"/>
        </w:rPr>
        <w:t xml:space="preserve">I hereby certify that a copy of this </w:t>
      </w:r>
      <w:r w:rsidRPr="005B6A0F" w:rsidR="00014BD8">
        <w:rPr>
          <w:szCs w:val="24"/>
        </w:rPr>
        <w:t>Reply</w:t>
      </w:r>
      <w:r w:rsidRPr="005B6A0F">
        <w:rPr>
          <w:szCs w:val="24"/>
        </w:rPr>
        <w:t xml:space="preserve"> was served on the persons stated below via</w:t>
      </w:r>
      <w:r w:rsidRPr="005B6A0F">
        <w:rPr>
          <w:i/>
          <w:szCs w:val="24"/>
        </w:rPr>
        <w:t xml:space="preserve"> </w:t>
      </w:r>
      <w:r w:rsidRPr="005B6A0F">
        <w:rPr>
          <w:szCs w:val="24"/>
        </w:rPr>
        <w:t xml:space="preserve">electric transmission this </w:t>
      </w:r>
      <w:r w:rsidRPr="005B6A0F" w:rsidR="00B86FBB">
        <w:rPr>
          <w:szCs w:val="24"/>
        </w:rPr>
        <w:t>1</w:t>
      </w:r>
      <w:r w:rsidR="009907E5">
        <w:rPr>
          <w:szCs w:val="24"/>
        </w:rPr>
        <w:t>5</w:t>
      </w:r>
      <w:r w:rsidRPr="005B6A0F" w:rsidR="00B86FBB">
        <w:rPr>
          <w:szCs w:val="24"/>
          <w:vertAlign w:val="superscript"/>
        </w:rPr>
        <w:t>th</w:t>
      </w:r>
      <w:r w:rsidRPr="005B6A0F" w:rsidR="00B86FBB">
        <w:rPr>
          <w:szCs w:val="24"/>
        </w:rPr>
        <w:t xml:space="preserve"> </w:t>
      </w:r>
      <w:r w:rsidRPr="005B6A0F">
        <w:rPr>
          <w:szCs w:val="24"/>
        </w:rPr>
        <w:t xml:space="preserve">day of </w:t>
      </w:r>
      <w:r w:rsidRPr="005B6A0F" w:rsidR="00B86FBB">
        <w:rPr>
          <w:szCs w:val="24"/>
        </w:rPr>
        <w:t>June</w:t>
      </w:r>
      <w:r w:rsidRPr="005B6A0F">
        <w:rPr>
          <w:szCs w:val="24"/>
        </w:rPr>
        <w:t xml:space="preserve"> 202</w:t>
      </w:r>
      <w:r w:rsidRPr="005B6A0F" w:rsidR="00014BD8">
        <w:rPr>
          <w:szCs w:val="24"/>
        </w:rPr>
        <w:t>1</w:t>
      </w:r>
      <w:r w:rsidRPr="005B6A0F">
        <w:rPr>
          <w:szCs w:val="24"/>
        </w:rPr>
        <w:t>.</w:t>
      </w:r>
    </w:p>
    <w:p w:rsidR="007C2976" w:rsidRPr="005B6A0F" w:rsidP="007C2976" w14:paraId="17391C95" w14:textId="77777777">
      <w:pPr>
        <w:spacing w:line="480" w:lineRule="atLeast"/>
        <w:rPr>
          <w:szCs w:val="24"/>
        </w:rPr>
      </w:pPr>
    </w:p>
    <w:p w:rsidR="00C05D8D" w:rsidRPr="005B6A0F" w:rsidP="00C05D8D" w14:paraId="050A2C6A" w14:textId="7D638BE8">
      <w:pPr>
        <w:autoSpaceDE w:val="0"/>
        <w:autoSpaceDN w:val="0"/>
        <w:adjustRightInd w:val="0"/>
        <w:ind w:left="4320"/>
        <w:rPr>
          <w:i/>
          <w:szCs w:val="24"/>
        </w:rPr>
      </w:pPr>
      <w:r w:rsidRPr="005B6A0F">
        <w:rPr>
          <w:i/>
          <w:szCs w:val="24"/>
          <w:u w:val="single"/>
        </w:rPr>
        <w:t>/s/ William J. Michael</w:t>
      </w:r>
      <w:r w:rsidRPr="005B6A0F">
        <w:rPr>
          <w:i/>
          <w:szCs w:val="24"/>
          <w:u w:val="single"/>
        </w:rPr>
        <w:tab/>
      </w:r>
    </w:p>
    <w:p w:rsidR="007C2976" w:rsidRPr="005B6A0F" w:rsidP="00C05D8D" w14:paraId="72569F65" w14:textId="2A6E81B3">
      <w:pPr>
        <w:tabs>
          <w:tab w:val="left" w:pos="4320"/>
        </w:tabs>
        <w:ind w:left="4320"/>
        <w:rPr>
          <w:szCs w:val="24"/>
        </w:rPr>
      </w:pPr>
      <w:r w:rsidRPr="005B6A0F">
        <w:rPr>
          <w:szCs w:val="24"/>
        </w:rPr>
        <w:t>William J. Michael</w:t>
      </w:r>
      <w:r w:rsidRPr="005B6A0F">
        <w:rPr>
          <w:szCs w:val="24"/>
        </w:rPr>
        <w:br/>
        <w:t>Assistant Consumers’ Counsel</w:t>
      </w:r>
    </w:p>
    <w:p w:rsidR="007C2976" w:rsidRPr="005B6A0F" w:rsidP="007C2976" w14:paraId="002DCB13" w14:textId="77777777">
      <w:pPr>
        <w:pStyle w:val="CommentSubject"/>
        <w:rPr>
          <w:szCs w:val="24"/>
        </w:rPr>
      </w:pPr>
    </w:p>
    <w:p w:rsidR="00F10BFB" w:rsidRPr="005B6A0F" w:rsidP="00F10BFB" w14:paraId="77D4423C" w14:textId="77777777">
      <w:pPr>
        <w:pStyle w:val="CommentText"/>
        <w:rPr>
          <w:bCs/>
        </w:rPr>
      </w:pPr>
      <w:r w:rsidRPr="005B6A0F">
        <w:rPr>
          <w:bCs/>
        </w:rPr>
        <w:t>The PUCO’s e-filing system will electronically serve notice of the filing of this document on the following parties:</w:t>
      </w:r>
    </w:p>
    <w:p w:rsidR="00F10BFB" w:rsidRPr="005B6A0F" w:rsidP="00F10BFB" w14:paraId="24FDE9B1" w14:textId="77777777">
      <w:pPr>
        <w:pStyle w:val="CommentText"/>
        <w:rPr>
          <w:b/>
          <w:u w:val="single"/>
        </w:rPr>
      </w:pPr>
    </w:p>
    <w:p w:rsidR="00F10BFB" w:rsidRPr="005B6A0F" w:rsidP="004929E8" w14:paraId="3BFAF0C3" w14:textId="77777777">
      <w:pPr>
        <w:pStyle w:val="CommentText"/>
        <w:jc w:val="center"/>
        <w:rPr>
          <w:b/>
          <w:u w:val="single"/>
        </w:rPr>
      </w:pPr>
    </w:p>
    <w:p w:rsidR="004929E8" w:rsidRPr="005B6A0F" w:rsidP="004929E8" w14:paraId="24F32AEE" w14:textId="77777777">
      <w:pPr>
        <w:pStyle w:val="CommentText"/>
        <w:jc w:val="center"/>
        <w:rPr>
          <w:b/>
          <w:u w:val="single"/>
        </w:rPr>
      </w:pPr>
      <w:r w:rsidRPr="005B6A0F">
        <w:rPr>
          <w:b/>
          <w:u w:val="single"/>
        </w:rPr>
        <w:t>SERVICE LIST</w:t>
      </w:r>
    </w:p>
    <w:p w:rsidR="00F10BFB" w:rsidRPr="005B6A0F" w:rsidP="004929E8" w14:paraId="1FC2A7E2" w14:textId="77777777">
      <w:pPr>
        <w:pStyle w:val="CommentText"/>
        <w:jc w:val="center"/>
        <w:rPr>
          <w:b/>
          <w:u w:val="single"/>
        </w:rPr>
      </w:pPr>
    </w:p>
    <w:p w:rsidR="004929E8" w:rsidRPr="005B6A0F" w:rsidP="004929E8" w14:paraId="09AF3E28"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A4189BB" w14:textId="77777777" w:rsidTr="00F10BF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4929E8" w:rsidRPr="005B6A0F" w:rsidP="00BD5C15" w14:paraId="22F028B9" w14:textId="5B1AD24C">
            <w:pPr>
              <w:pStyle w:val="CommentText"/>
            </w:pPr>
            <w:hyperlink r:id="rId11" w:history="1">
              <w:r w:rsidRPr="005B6A0F" w:rsidR="00014BD8">
                <w:rPr>
                  <w:rStyle w:val="Hyperlink"/>
                </w:rPr>
                <w:t>Werner.margard@ohio</w:t>
              </w:r>
              <w:r w:rsidR="00A34DE4">
                <w:rPr>
                  <w:rStyle w:val="Hyperlink"/>
                </w:rPr>
                <w:t>AGO</w:t>
              </w:r>
              <w:r w:rsidRPr="005B6A0F" w:rsidR="00014BD8">
                <w:rPr>
                  <w:rStyle w:val="Hyperlink"/>
                </w:rPr>
                <w:t>.gov</w:t>
              </w:r>
            </w:hyperlink>
          </w:p>
          <w:p w:rsidR="004929E8" w:rsidRPr="005B6A0F" w:rsidP="00BD5C15" w14:paraId="725710C7" w14:textId="77777777">
            <w:pPr>
              <w:pStyle w:val="CommentText"/>
            </w:pPr>
          </w:p>
          <w:p w:rsidR="004929E8" w:rsidRPr="005B6A0F" w:rsidP="00BD5C15" w14:paraId="112B9EC1" w14:textId="77777777">
            <w:pPr>
              <w:pStyle w:val="CommentText"/>
            </w:pPr>
          </w:p>
          <w:p w:rsidR="004929E8" w:rsidRPr="005B6A0F" w:rsidP="00BD5C15" w14:paraId="5175FA59" w14:textId="77777777">
            <w:pPr>
              <w:pStyle w:val="CommentText"/>
            </w:pPr>
            <w:r w:rsidRPr="005B6A0F">
              <w:t>Attorney Examiners:</w:t>
            </w:r>
          </w:p>
          <w:p w:rsidR="004929E8" w:rsidRPr="005B6A0F" w:rsidP="00BD5C15" w14:paraId="361216ED" w14:textId="77777777">
            <w:pPr>
              <w:pStyle w:val="CommentText"/>
            </w:pPr>
          </w:p>
          <w:p w:rsidR="004929E8" w:rsidRPr="005B6A0F" w:rsidP="00BD5C15" w14:paraId="6F065FD5" w14:textId="77777777">
            <w:pPr>
              <w:pStyle w:val="CommentText"/>
            </w:pPr>
            <w:hyperlink r:id="rId12" w:history="1">
              <w:r w:rsidRPr="005B6A0F" w:rsidR="00C17FB3">
                <w:rPr>
                  <w:rStyle w:val="Hyperlink"/>
                </w:rPr>
                <w:t>Sarah.parrot@puco.ohio.gov</w:t>
              </w:r>
            </w:hyperlink>
          </w:p>
          <w:p w:rsidR="004929E8" w:rsidRPr="005B6A0F" w:rsidP="00BD5C15" w14:paraId="62975122" w14:textId="77777777">
            <w:pPr>
              <w:pStyle w:val="CommentText"/>
            </w:pPr>
            <w:hyperlink r:id="rId13" w:history="1">
              <w:r w:rsidRPr="005B6A0F" w:rsidR="00C17FB3">
                <w:rPr>
                  <w:rStyle w:val="Hyperlink"/>
                </w:rPr>
                <w:t>Greta.see@puco.ohio.gov</w:t>
              </w:r>
            </w:hyperlink>
          </w:p>
          <w:p w:rsidR="004929E8" w:rsidRPr="005B6A0F" w:rsidP="00BD5C15" w14:paraId="62106EC6" w14:textId="77777777">
            <w:pPr>
              <w:pStyle w:val="CommentText"/>
            </w:pPr>
          </w:p>
        </w:tc>
        <w:tc>
          <w:tcPr>
            <w:tcW w:w="4315" w:type="dxa"/>
          </w:tcPr>
          <w:p w:rsidR="004929E8" w:rsidRPr="005B6A0F" w:rsidP="004929E8" w14:paraId="2B769193" w14:textId="77777777">
            <w:pPr>
              <w:pStyle w:val="CommentText"/>
              <w:ind w:left="1422"/>
            </w:pPr>
            <w:hyperlink r:id="rId14" w:history="1">
              <w:r w:rsidRPr="005B6A0F" w:rsidR="00C17FB3">
                <w:rPr>
                  <w:rStyle w:val="Hyperlink"/>
                </w:rPr>
                <w:t>stnourse@aep.com</w:t>
              </w:r>
            </w:hyperlink>
          </w:p>
          <w:p w:rsidR="004929E8" w:rsidRPr="005B6A0F" w:rsidP="004929E8" w14:paraId="7EBB809A" w14:textId="77777777">
            <w:pPr>
              <w:pStyle w:val="CommentText"/>
            </w:pPr>
          </w:p>
        </w:tc>
      </w:tr>
    </w:tbl>
    <w:p w:rsidR="007C2976" w:rsidRPr="005B6A0F" w:rsidP="007C2976" w14:paraId="3F4DB974" w14:textId="77777777">
      <w:pPr>
        <w:pStyle w:val="CommentText"/>
      </w:pPr>
    </w:p>
    <w:p w:rsidR="00DC4006" w:rsidRPr="005B6A0F" w:rsidP="006D4270" w14:paraId="23D06DFC" w14:textId="77777777">
      <w:pPr>
        <w:pStyle w:val="CommentText"/>
        <w:rPr>
          <w:b/>
          <w:bCs/>
        </w:rPr>
      </w:pPr>
    </w:p>
    <w:sectPr w:rsidSect="00051CE2">
      <w:footerReference w:type="default" r:id="rId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758" w14:paraId="0D61F631" w14:textId="17D6CCC2">
    <w:pPr>
      <w:pStyle w:val="Footer"/>
      <w:jc w:val="center"/>
    </w:pPr>
  </w:p>
  <w:p w:rsidR="00485D67" w:rsidRPr="006D4270" w14:paraId="447D8A3D" w14:textId="77777777">
    <w:pPr>
      <w:pStyle w:val="Footer"/>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6558812"/>
      <w:docPartObj>
        <w:docPartGallery w:val="Page Numbers (Bottom of Page)"/>
        <w:docPartUnique/>
      </w:docPartObj>
    </w:sdtPr>
    <w:sdtEndPr>
      <w:rPr>
        <w:noProof/>
        <w:sz w:val="24"/>
        <w:szCs w:val="24"/>
      </w:rPr>
    </w:sdtEndPr>
    <w:sdtContent>
      <w:p w:rsidR="00D21EDD" w:rsidRPr="00D21EDD" w14:paraId="24C3A33C" w14:textId="15BA6563">
        <w:pPr>
          <w:pStyle w:val="Footer"/>
          <w:jc w:val="center"/>
          <w:rPr>
            <w:sz w:val="24"/>
            <w:szCs w:val="24"/>
          </w:rPr>
        </w:pPr>
        <w:r w:rsidRPr="00D21EDD">
          <w:rPr>
            <w:sz w:val="24"/>
            <w:szCs w:val="24"/>
          </w:rPr>
          <w:fldChar w:fldCharType="begin"/>
        </w:r>
        <w:r w:rsidRPr="00D21EDD">
          <w:rPr>
            <w:sz w:val="24"/>
            <w:szCs w:val="24"/>
          </w:rPr>
          <w:instrText xml:space="preserve"> PAGE   \* MERGEFORMAT </w:instrText>
        </w:r>
        <w:r w:rsidRPr="00D21EDD">
          <w:rPr>
            <w:sz w:val="24"/>
            <w:szCs w:val="24"/>
          </w:rPr>
          <w:fldChar w:fldCharType="separate"/>
        </w:r>
        <w:r w:rsidRPr="00D21EDD">
          <w:rPr>
            <w:noProof/>
            <w:sz w:val="24"/>
            <w:szCs w:val="24"/>
          </w:rPr>
          <w:t>2</w:t>
        </w:r>
        <w:r w:rsidRPr="00D21EDD">
          <w:rPr>
            <w:noProof/>
            <w:sz w:val="24"/>
            <w:szCs w:val="24"/>
          </w:rPr>
          <w:fldChar w:fldCharType="end"/>
        </w:r>
      </w:p>
    </w:sdtContent>
  </w:sdt>
  <w:p w:rsidR="00283758" w:rsidRPr="006D4270" w14:paraId="6D46AE15" w14:textId="77777777">
    <w:pPr>
      <w:pStyle w:val="Footer"/>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447475"/>
      <w:docPartObj>
        <w:docPartGallery w:val="Page Numbers (Bottom of Page)"/>
        <w:docPartUnique/>
      </w:docPartObj>
    </w:sdtPr>
    <w:sdtEndPr>
      <w:rPr>
        <w:noProof/>
        <w:sz w:val="24"/>
        <w:szCs w:val="24"/>
      </w:rPr>
    </w:sdtEndPr>
    <w:sdtContent>
      <w:p w:rsidR="00D21EDD" w:rsidRPr="00D21EDD" w14:paraId="7D39E6CB" w14:textId="178FABDB">
        <w:pPr>
          <w:pStyle w:val="Footer"/>
          <w:jc w:val="center"/>
          <w:rPr>
            <w:sz w:val="24"/>
            <w:szCs w:val="24"/>
          </w:rPr>
        </w:pPr>
        <w:r w:rsidRPr="00D21EDD">
          <w:rPr>
            <w:sz w:val="24"/>
            <w:szCs w:val="24"/>
          </w:rPr>
          <w:fldChar w:fldCharType="begin"/>
        </w:r>
        <w:r w:rsidRPr="00D21EDD">
          <w:rPr>
            <w:sz w:val="24"/>
            <w:szCs w:val="24"/>
          </w:rPr>
          <w:instrText xml:space="preserve"> PAGE   \* MERGEFORMAT </w:instrText>
        </w:r>
        <w:r w:rsidRPr="00D21EDD">
          <w:rPr>
            <w:sz w:val="24"/>
            <w:szCs w:val="24"/>
          </w:rPr>
          <w:fldChar w:fldCharType="separate"/>
        </w:r>
        <w:r w:rsidRPr="00D21EDD">
          <w:rPr>
            <w:noProof/>
            <w:sz w:val="24"/>
            <w:szCs w:val="24"/>
          </w:rPr>
          <w:t>2</w:t>
        </w:r>
        <w:r w:rsidRPr="00D21EDD">
          <w:rPr>
            <w:noProof/>
            <w:sz w:val="24"/>
            <w:szCs w:val="24"/>
          </w:rPr>
          <w:fldChar w:fldCharType="end"/>
        </w:r>
      </w:p>
    </w:sdtContent>
  </w:sdt>
  <w:p w:rsidR="00685817" w:rsidRPr="007D0DC4" w14:paraId="17A658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4704" w14:paraId="39668898" w14:textId="77777777">
      <w:r>
        <w:separator/>
      </w:r>
    </w:p>
  </w:footnote>
  <w:footnote w:type="continuationSeparator" w:id="1">
    <w:p w:rsidR="00124704" w14:paraId="7A205507" w14:textId="77777777">
      <w:r>
        <w:continuationSeparator/>
      </w:r>
    </w:p>
  </w:footnote>
  <w:footnote w:type="continuationNotice" w:id="2">
    <w:p w:rsidR="00124704" w14:paraId="303E4095" w14:textId="77777777"/>
  </w:footnote>
  <w:footnote w:id="3">
    <w:p w:rsidR="001C13EE" w:rsidRPr="005278B6" w:rsidP="005278B6" w14:paraId="4C328AC1" w14:textId="227CD058">
      <w:pPr>
        <w:pStyle w:val="FootnoteText"/>
        <w:spacing w:before="0" w:after="120"/>
      </w:pPr>
      <w:r w:rsidRPr="005278B6">
        <w:rPr>
          <w:rStyle w:val="FootnoteReference"/>
        </w:rPr>
        <w:footnoteRef/>
      </w:r>
      <w:r w:rsidRPr="005278B6">
        <w:t xml:space="preserve"> AEP Ohio’s gridSMART Phase 2 Update for the Fourth Quarter (January 28, 2020).</w:t>
      </w:r>
    </w:p>
  </w:footnote>
  <w:footnote w:id="4">
    <w:p w:rsidR="00050F22" w:rsidRPr="005278B6" w:rsidP="005278B6" w14:paraId="146F47A3" w14:textId="66506380">
      <w:pPr>
        <w:pStyle w:val="FootnoteText"/>
        <w:spacing w:before="0" w:after="120"/>
      </w:pPr>
      <w:r w:rsidRPr="005278B6">
        <w:rPr>
          <w:rStyle w:val="FootnoteReference"/>
        </w:rPr>
        <w:footnoteRef/>
      </w:r>
      <w:r w:rsidRPr="005278B6">
        <w:t xml:space="preserve"> </w:t>
      </w:r>
      <w:r w:rsidRPr="005278B6">
        <w:rPr>
          <w:i/>
          <w:iCs/>
        </w:rPr>
        <w:t xml:space="preserve">See, e.g., </w:t>
      </w:r>
      <w:r w:rsidRPr="005278B6">
        <w:t>Case No. 13-1939-EL-RDR, Stipulation and Recommendation (April 7, 2016) at 6.</w:t>
      </w:r>
    </w:p>
  </w:footnote>
  <w:footnote w:id="5">
    <w:p w:rsidR="00BF3343" w:rsidRPr="005278B6" w:rsidP="005278B6" w14:paraId="37D00F09" w14:textId="108281B5">
      <w:pPr>
        <w:pStyle w:val="FootnoteText"/>
        <w:spacing w:before="0" w:after="120"/>
      </w:pPr>
      <w:r w:rsidRPr="005278B6">
        <w:rPr>
          <w:rStyle w:val="FootnoteReference"/>
        </w:rPr>
        <w:footnoteRef/>
      </w:r>
      <w:r w:rsidRPr="005278B6">
        <w:t xml:space="preserve"> </w:t>
      </w:r>
      <w:r w:rsidRPr="005278B6">
        <w:rPr>
          <w:i/>
          <w:iCs/>
        </w:rPr>
        <w:t xml:space="preserve">See, e.g., </w:t>
      </w:r>
      <w:r w:rsidRPr="005278B6">
        <w:t>Case No. 13-1939-EL-RDR, Opinion and Order (February 1, 2017).</w:t>
      </w:r>
    </w:p>
  </w:footnote>
  <w:footnote w:id="6">
    <w:p w:rsidR="00930CA1" w:rsidRPr="005278B6" w:rsidP="005278B6" w14:paraId="6A62878F" w14:textId="77777777">
      <w:pPr>
        <w:pStyle w:val="FootnoteText"/>
        <w:spacing w:before="0" w:after="120"/>
      </w:pPr>
      <w:r w:rsidRPr="005278B6">
        <w:rPr>
          <w:rStyle w:val="FootnoteReference"/>
        </w:rPr>
        <w:footnoteRef/>
      </w:r>
      <w:r w:rsidRPr="005278B6">
        <w:t xml:space="preserve"> </w:t>
      </w:r>
      <w:r w:rsidRPr="005278B6">
        <w:rPr>
          <w:i/>
          <w:iCs/>
        </w:rPr>
        <w:t>See id.</w:t>
      </w:r>
    </w:p>
  </w:footnote>
  <w:footnote w:id="7">
    <w:p w:rsidR="00BF3343" w:rsidRPr="005278B6" w:rsidP="005278B6" w14:paraId="50289409" w14:textId="4A4A04C0">
      <w:pPr>
        <w:pStyle w:val="FootnoteText"/>
        <w:spacing w:before="0" w:after="120"/>
      </w:pPr>
      <w:r w:rsidRPr="005278B6">
        <w:rPr>
          <w:rStyle w:val="FootnoteReference"/>
        </w:rPr>
        <w:footnoteRef/>
      </w:r>
      <w:r w:rsidRPr="005278B6">
        <w:t xml:space="preserve"> </w:t>
      </w:r>
      <w:r w:rsidRPr="005278B6">
        <w:rPr>
          <w:i/>
          <w:iCs/>
        </w:rPr>
        <w:t xml:space="preserve">See </w:t>
      </w:r>
      <w:r w:rsidRPr="005278B6">
        <w:t xml:space="preserve">footnote 1, </w:t>
      </w:r>
      <w:r w:rsidRPr="005278B6">
        <w:rPr>
          <w:i/>
          <w:iCs/>
        </w:rPr>
        <w:t>supra</w:t>
      </w:r>
      <w:r w:rsidRPr="005278B6">
        <w:t>.</w:t>
      </w:r>
    </w:p>
  </w:footnote>
  <w:footnote w:id="8">
    <w:p w:rsidR="007A205E" w:rsidRPr="005278B6" w:rsidP="005278B6" w14:paraId="0B519E27" w14:textId="0752EAE6">
      <w:pPr>
        <w:pStyle w:val="FootnoteText"/>
        <w:spacing w:before="0" w:after="120"/>
      </w:pPr>
      <w:r w:rsidRPr="005278B6">
        <w:rPr>
          <w:rStyle w:val="FootnoteReference"/>
        </w:rPr>
        <w:footnoteRef/>
      </w:r>
      <w:r w:rsidRPr="005278B6">
        <w:t xml:space="preserve"> </w:t>
      </w:r>
      <w:r w:rsidRPr="005278B6">
        <w:rPr>
          <w:i/>
          <w:iCs/>
        </w:rPr>
        <w:t xml:space="preserve">See </w:t>
      </w:r>
      <w:r w:rsidRPr="005278B6">
        <w:t>Staff Review at 3-6.</w:t>
      </w:r>
    </w:p>
  </w:footnote>
  <w:footnote w:id="9">
    <w:p w:rsidR="007A205E" w:rsidRPr="005278B6" w:rsidP="005278B6" w14:paraId="4C76D15B" w14:textId="34E9C48B">
      <w:pPr>
        <w:pStyle w:val="FootnoteText"/>
        <w:spacing w:before="0" w:after="120"/>
      </w:pPr>
      <w:r w:rsidRPr="005278B6">
        <w:rPr>
          <w:rStyle w:val="FootnoteReference"/>
        </w:rPr>
        <w:footnoteRef/>
      </w:r>
      <w:r w:rsidRPr="005278B6">
        <w:t xml:space="preserve"> </w:t>
      </w:r>
      <w:r w:rsidRPr="005278B6">
        <w:rPr>
          <w:i/>
          <w:iCs/>
        </w:rPr>
        <w:t xml:space="preserve">See </w:t>
      </w:r>
      <w:r w:rsidRPr="005278B6">
        <w:t>AEP Ohio’s Comments (February 5, 2021).</w:t>
      </w:r>
    </w:p>
  </w:footnote>
  <w:footnote w:id="10">
    <w:p w:rsidR="00B86FBB" w:rsidRPr="005278B6" w:rsidP="005278B6" w14:paraId="690B6FAF" w14:textId="77777777">
      <w:pPr>
        <w:pStyle w:val="FootnoteText"/>
        <w:spacing w:before="0" w:after="120"/>
      </w:pPr>
      <w:r w:rsidRPr="005278B6">
        <w:rPr>
          <w:rStyle w:val="FootnoteReference"/>
        </w:rPr>
        <w:footnoteRef/>
      </w:r>
      <w:r w:rsidRPr="005278B6">
        <w:t xml:space="preserve"> </w:t>
      </w:r>
      <w:r w:rsidRPr="005278B6">
        <w:rPr>
          <w:i/>
          <w:iCs/>
        </w:rPr>
        <w:t xml:space="preserve">See </w:t>
      </w:r>
      <w:r w:rsidRPr="005278B6">
        <w:t xml:space="preserve">Case No. 19-1475-EL-RDR, Application; Direct Testimony of Scott S. Osterholt, Exhibit SSO-3 (July 26, 2019) at 20 (“Osterholt Direct”). </w:t>
      </w:r>
    </w:p>
  </w:footnote>
  <w:footnote w:id="11">
    <w:p w:rsidR="00B86FBB" w:rsidRPr="005278B6" w:rsidP="005278B6" w14:paraId="76C87386" w14:textId="3CA95A94">
      <w:pPr>
        <w:pStyle w:val="FootnoteText"/>
        <w:spacing w:before="0" w:after="120"/>
      </w:pPr>
      <w:r w:rsidRPr="005278B6">
        <w:rPr>
          <w:rStyle w:val="FootnoteReference"/>
        </w:rPr>
        <w:footnoteRef/>
      </w:r>
      <w:r w:rsidRPr="005278B6">
        <w:t xml:space="preserve"> </w:t>
      </w:r>
      <w:r w:rsidRPr="005278B6">
        <w:rPr>
          <w:i/>
          <w:iCs/>
        </w:rPr>
        <w:t xml:space="preserve">In the Matter of the Application of Ohio Power Company to Initiate Phase 2 of its GridSmart Project and to Establish the GridSmart Phase 2 Rider, </w:t>
      </w:r>
      <w:r w:rsidRPr="005278B6">
        <w:t xml:space="preserve">Case </w:t>
      </w:r>
      <w:r w:rsidR="005F357E">
        <w:t xml:space="preserve">No. </w:t>
      </w:r>
      <w:r w:rsidRPr="005278B6">
        <w:t>13-1939-EL-RDR</w:t>
      </w:r>
      <w:r w:rsidRPr="005278B6">
        <w:rPr>
          <w:i/>
          <w:iCs/>
        </w:rPr>
        <w:t xml:space="preserve">, </w:t>
      </w:r>
      <w:r w:rsidRPr="005278B6">
        <w:t>Opinion and Order (February 1, 2017)</w:t>
      </w:r>
      <w:r w:rsidRPr="005278B6">
        <w:rPr>
          <w:i/>
          <w:iCs/>
        </w:rPr>
        <w:t xml:space="preserve">. </w:t>
      </w:r>
    </w:p>
  </w:footnote>
  <w:footnote w:id="12">
    <w:p w:rsidR="00B86FBB" w:rsidRPr="005278B6" w:rsidP="005278B6" w14:paraId="0304CB8D" w14:textId="59123EED">
      <w:pPr>
        <w:pStyle w:val="FootnoteText"/>
        <w:spacing w:before="0" w:after="120"/>
      </w:pPr>
      <w:r w:rsidRPr="005278B6">
        <w:rPr>
          <w:rStyle w:val="FootnoteReference"/>
        </w:rPr>
        <w:footnoteRef/>
      </w:r>
      <w:r w:rsidRPr="005278B6">
        <w:t xml:space="preserve"> Case </w:t>
      </w:r>
      <w:r w:rsidR="005F357E">
        <w:t xml:space="preserve">No. </w:t>
      </w:r>
      <w:r w:rsidRPr="005278B6">
        <w:t>13-1939-EL-RDR, Direct Testimony of Scott Osterholt, Exhibit SSO-1 (April 20, 2016) at 9 (“Osterholt Testimony”).</w:t>
      </w:r>
    </w:p>
  </w:footnote>
  <w:footnote w:id="13">
    <w:p w:rsidR="00B86FBB" w:rsidRPr="005278B6" w:rsidP="005278B6" w14:paraId="6A019B0A" w14:textId="77777777">
      <w:pPr>
        <w:pStyle w:val="FootnoteText"/>
        <w:spacing w:before="0" w:after="120"/>
      </w:pPr>
      <w:r w:rsidRPr="005278B6">
        <w:rPr>
          <w:rStyle w:val="FootnoteReference"/>
        </w:rPr>
        <w:footnoteRef/>
      </w:r>
      <w:r w:rsidRPr="005278B6">
        <w:t xml:space="preserve"> </w:t>
      </w:r>
      <w:r w:rsidRPr="005278B6">
        <w:rPr>
          <w:i/>
          <w:iCs/>
        </w:rPr>
        <w:t>Id.</w:t>
      </w:r>
    </w:p>
  </w:footnote>
  <w:footnote w:id="14">
    <w:p w:rsidR="00B86FBB" w:rsidRPr="005278B6" w:rsidP="005278B6" w14:paraId="5AA5BF07" w14:textId="77777777">
      <w:pPr>
        <w:pStyle w:val="FootnoteText"/>
        <w:spacing w:before="0" w:after="120"/>
      </w:pPr>
      <w:r w:rsidRPr="005278B6">
        <w:rPr>
          <w:rStyle w:val="FootnoteReference"/>
        </w:rPr>
        <w:footnoteRef/>
      </w:r>
      <w:r w:rsidRPr="005278B6">
        <w:t xml:space="preserve"> </w:t>
      </w:r>
      <w:r w:rsidRPr="005278B6">
        <w:rPr>
          <w:i/>
          <w:iCs/>
        </w:rPr>
        <w:t>Id</w:t>
      </w:r>
      <w:r w:rsidRPr="005278B6">
        <w:t>.</w:t>
      </w:r>
    </w:p>
  </w:footnote>
  <w:footnote w:id="15">
    <w:p w:rsidR="00B86FBB" w:rsidRPr="005278B6" w:rsidP="005278B6" w14:paraId="239E4BB5" w14:textId="77777777">
      <w:pPr>
        <w:pStyle w:val="FootnoteText"/>
        <w:spacing w:before="0" w:after="120"/>
      </w:pPr>
      <w:r w:rsidRPr="005278B6">
        <w:rPr>
          <w:rStyle w:val="FootnoteReference"/>
        </w:rPr>
        <w:footnoteRef/>
      </w:r>
      <w:r w:rsidRPr="005278B6">
        <w:t xml:space="preserve"> Osterholt Testimony at 9. </w:t>
      </w:r>
    </w:p>
  </w:footnote>
  <w:footnote w:id="16">
    <w:p w:rsidR="00B86FBB" w:rsidRPr="005278B6" w:rsidP="005278B6" w14:paraId="0ACB2245" w14:textId="4604F90A">
      <w:pPr>
        <w:pStyle w:val="FootnoteText"/>
        <w:spacing w:before="0" w:after="120"/>
      </w:pPr>
      <w:r w:rsidRPr="005278B6">
        <w:rPr>
          <w:rStyle w:val="FootnoteReference"/>
        </w:rPr>
        <w:footnoteRef/>
      </w:r>
      <w:r w:rsidRPr="005278B6">
        <w:t xml:space="preserve"> Case </w:t>
      </w:r>
      <w:r w:rsidR="005F357E">
        <w:t xml:space="preserve">No. </w:t>
      </w:r>
      <w:r w:rsidRPr="005278B6">
        <w:t>13-1939-EL-RDR, Opinion and Order at 8.</w:t>
      </w:r>
    </w:p>
  </w:footnote>
  <w:footnote w:id="17">
    <w:p w:rsidR="00B86FBB" w:rsidRPr="005278B6" w:rsidP="005278B6" w14:paraId="2DEE576E" w14:textId="77777777">
      <w:pPr>
        <w:pStyle w:val="FootnoteText"/>
        <w:spacing w:before="0" w:after="120"/>
      </w:pPr>
      <w:r w:rsidRPr="005278B6">
        <w:rPr>
          <w:rStyle w:val="FootnoteReference"/>
        </w:rPr>
        <w:footnoteRef/>
      </w:r>
      <w:r w:rsidRPr="005278B6">
        <w:t xml:space="preserve"> Smart Grid Phase 2 Collaborative (August 6, 2020).</w:t>
      </w:r>
    </w:p>
  </w:footnote>
  <w:footnote w:id="18">
    <w:p w:rsidR="00B86FBB" w:rsidRPr="005278B6" w:rsidP="005278B6" w14:paraId="2B9CF0CD" w14:textId="77777777">
      <w:pPr>
        <w:pStyle w:val="FootnoteText"/>
        <w:spacing w:before="0" w:after="120"/>
      </w:pPr>
      <w:r w:rsidRPr="005278B6">
        <w:rPr>
          <w:rStyle w:val="FootnoteReference"/>
        </w:rPr>
        <w:footnoteRef/>
      </w:r>
      <w:r w:rsidRPr="005278B6">
        <w:t xml:space="preserve"> </w:t>
      </w:r>
      <w:r w:rsidRPr="005278B6">
        <w:rPr>
          <w:i/>
          <w:iCs/>
        </w:rPr>
        <w:t>Id</w:t>
      </w:r>
      <w:r w:rsidRPr="005278B6">
        <w:t>.</w:t>
      </w:r>
    </w:p>
  </w:footnote>
  <w:footnote w:id="19">
    <w:p w:rsidR="00B86FBB" w:rsidRPr="005278B6" w:rsidP="005278B6" w14:paraId="3ECEBA25" w14:textId="20C1099B">
      <w:pPr>
        <w:pStyle w:val="FootnoteText"/>
        <w:spacing w:before="0" w:after="120"/>
      </w:pPr>
      <w:r w:rsidRPr="005278B6">
        <w:rPr>
          <w:rStyle w:val="FootnoteReference"/>
        </w:rPr>
        <w:footnoteRef/>
      </w:r>
      <w:r w:rsidRPr="005278B6">
        <w:t xml:space="preserve"> Case </w:t>
      </w:r>
      <w:r w:rsidR="005F357E">
        <w:t xml:space="preserve">No. </w:t>
      </w:r>
      <w:r w:rsidRPr="005278B6">
        <w:t>19-0992-EL-ESS, Annual Distribution Reliability Report (March 29, 2019) at 2 (AEP Ohio failed to meet both the System Average Interruption Frequency Index (“SAIFI”) and the Customer Average Interruption Duration Index (“CAIDI”)).</w:t>
      </w:r>
    </w:p>
  </w:footnote>
  <w:footnote w:id="20">
    <w:p w:rsidR="00B86FBB" w:rsidRPr="005278B6" w:rsidP="005278B6" w14:paraId="1BC7F6D5" w14:textId="6B57309F">
      <w:pPr>
        <w:pStyle w:val="FootnoteText"/>
        <w:spacing w:before="0" w:after="120"/>
      </w:pPr>
      <w:r w:rsidRPr="005278B6">
        <w:rPr>
          <w:rStyle w:val="FootnoteReference"/>
        </w:rPr>
        <w:footnoteRef/>
      </w:r>
      <w:r w:rsidRPr="005278B6">
        <w:t xml:space="preserve"> Case </w:t>
      </w:r>
      <w:r w:rsidR="005F357E">
        <w:t xml:space="preserve">No. </w:t>
      </w:r>
      <w:r w:rsidRPr="005278B6">
        <w:t xml:space="preserve">20-0992-EL-ESS, Annual Distribution Reliability Report (March 31, 2020) at 2 (AEP Ohio failed to meet the SAIFI standard). </w:t>
      </w:r>
    </w:p>
  </w:footnote>
  <w:footnote w:id="21">
    <w:p w:rsidR="00B86FBB" w:rsidRPr="005278B6" w:rsidP="005278B6" w14:paraId="6155179A" w14:textId="5D7A2BD4">
      <w:pPr>
        <w:pStyle w:val="FootnoteText"/>
        <w:spacing w:before="0" w:after="120"/>
      </w:pPr>
      <w:r w:rsidRPr="005278B6">
        <w:rPr>
          <w:rStyle w:val="FootnoteReference"/>
        </w:rPr>
        <w:footnoteRef/>
      </w:r>
      <w:r w:rsidRPr="005278B6">
        <w:t xml:space="preserve"> Case </w:t>
      </w:r>
      <w:r w:rsidR="005F357E">
        <w:t xml:space="preserve">No. </w:t>
      </w:r>
      <w:r w:rsidRPr="005278B6">
        <w:t>20-1111-EL-ESS, OCC INT-01-007.</w:t>
      </w:r>
    </w:p>
  </w:footnote>
  <w:footnote w:id="22">
    <w:p w:rsidR="00B86FBB" w:rsidRPr="005278B6" w:rsidP="005278B6" w14:paraId="18776110" w14:textId="77777777">
      <w:pPr>
        <w:pStyle w:val="FootnoteText"/>
        <w:spacing w:before="0" w:after="120"/>
      </w:pPr>
      <w:r w:rsidRPr="005278B6">
        <w:rPr>
          <w:rStyle w:val="FootnoteReference"/>
        </w:rPr>
        <w:footnoteRef/>
      </w:r>
      <w:r w:rsidRPr="005278B6">
        <w:t xml:space="preserve"> </w:t>
      </w:r>
      <w:r w:rsidRPr="005278B6">
        <w:rPr>
          <w:i/>
          <w:iCs/>
        </w:rPr>
        <w:t>Id</w:t>
      </w:r>
      <w:r w:rsidRPr="005278B6">
        <w:t>.</w:t>
      </w:r>
    </w:p>
  </w:footnote>
  <w:footnote w:id="23">
    <w:p w:rsidR="00B86FBB" w:rsidRPr="005278B6" w:rsidP="005278B6" w14:paraId="36D36ECA" w14:textId="77777777">
      <w:pPr>
        <w:pStyle w:val="FootnoteText"/>
        <w:spacing w:before="0" w:after="120"/>
      </w:pPr>
      <w:r w:rsidRPr="005278B6">
        <w:rPr>
          <w:rStyle w:val="FootnoteReference"/>
        </w:rPr>
        <w:footnoteRef/>
      </w:r>
      <w:r w:rsidRPr="005278B6">
        <w:t xml:space="preserve"> </w:t>
      </w:r>
      <w:r w:rsidRPr="005278B6">
        <w:rPr>
          <w:i/>
          <w:iCs/>
        </w:rPr>
        <w:t>Id</w:t>
      </w:r>
      <w:r w:rsidRPr="005278B6">
        <w:t>.</w:t>
      </w:r>
    </w:p>
  </w:footnote>
  <w:footnote w:id="24">
    <w:p w:rsidR="00B86FBB" w:rsidRPr="005278B6" w:rsidP="005278B6" w14:paraId="684E1C43" w14:textId="77777777">
      <w:pPr>
        <w:pStyle w:val="FootnoteText"/>
        <w:spacing w:before="0" w:after="120"/>
      </w:pPr>
      <w:r w:rsidRPr="005278B6">
        <w:rPr>
          <w:rStyle w:val="FootnoteReference"/>
        </w:rPr>
        <w:footnoteRef/>
      </w:r>
      <w:r w:rsidRPr="005278B6">
        <w:t xml:space="preserve"> Osterholt Direct at 24.</w:t>
      </w:r>
    </w:p>
  </w:footnote>
  <w:footnote w:id="25">
    <w:p w:rsidR="00B86FBB" w:rsidRPr="005278B6" w:rsidP="005278B6" w14:paraId="179F313A" w14:textId="77777777">
      <w:pPr>
        <w:pStyle w:val="FootnoteText"/>
        <w:spacing w:before="0" w:after="120"/>
      </w:pPr>
      <w:r w:rsidRPr="005278B6">
        <w:rPr>
          <w:rStyle w:val="FootnoteReference"/>
        </w:rPr>
        <w:footnoteRef/>
      </w:r>
      <w:r w:rsidRPr="005278B6">
        <w:t xml:space="preserve"> Osterholt Testimony, Exhibit SSO-1 at 9. </w:t>
      </w:r>
    </w:p>
  </w:footnote>
  <w:footnote w:id="26">
    <w:p w:rsidR="00B86FBB" w:rsidRPr="005278B6" w:rsidP="005278B6" w14:paraId="51302D59" w14:textId="37560F67">
      <w:pPr>
        <w:pStyle w:val="FootnoteText"/>
        <w:spacing w:before="0" w:after="120"/>
      </w:pPr>
      <w:r w:rsidRPr="005278B6">
        <w:rPr>
          <w:rStyle w:val="FootnoteReference"/>
        </w:rPr>
        <w:footnoteRef/>
      </w:r>
      <w:r w:rsidRPr="005278B6">
        <w:t xml:space="preserve"> Case </w:t>
      </w:r>
      <w:r w:rsidR="005F357E">
        <w:t xml:space="preserve">No. </w:t>
      </w:r>
      <w:r w:rsidRPr="005278B6">
        <w:t>18-1618-EL-RDR, Finding and Order (November 21, 2019) at 7.</w:t>
      </w:r>
    </w:p>
  </w:footnote>
  <w:footnote w:id="27">
    <w:p w:rsidR="00B86FBB" w:rsidRPr="005278B6" w:rsidP="005278B6" w14:paraId="4048A0C6" w14:textId="77777777">
      <w:pPr>
        <w:pStyle w:val="FootnoteText"/>
        <w:spacing w:before="0" w:after="120"/>
      </w:pPr>
      <w:r w:rsidRPr="005278B6">
        <w:rPr>
          <w:rStyle w:val="FootnoteReference"/>
        </w:rPr>
        <w:footnoteRef/>
      </w:r>
      <w:r w:rsidRPr="005278B6">
        <w:t xml:space="preserve"> Osterholt Testimony, Exhibit SSO-3, at 19.</w:t>
      </w:r>
    </w:p>
  </w:footnote>
  <w:footnote w:id="28">
    <w:p w:rsidR="00B86FBB" w:rsidRPr="005278B6" w:rsidP="005278B6" w14:paraId="3D4CA5EB" w14:textId="77777777">
      <w:pPr>
        <w:pStyle w:val="FootnoteText"/>
        <w:spacing w:before="0" w:after="120"/>
      </w:pPr>
      <w:r w:rsidRPr="005278B6">
        <w:rPr>
          <w:rStyle w:val="FootnoteReference"/>
        </w:rPr>
        <w:footnoteRef/>
      </w:r>
      <w:r w:rsidRPr="005278B6">
        <w:t xml:space="preserve"> </w:t>
      </w:r>
      <w:r w:rsidRPr="005278B6">
        <w:rPr>
          <w:i/>
          <w:iCs/>
        </w:rPr>
        <w:t>Id.</w:t>
      </w:r>
      <w:r w:rsidRPr="005278B6">
        <w:t xml:space="preserve"> at 22.</w:t>
      </w:r>
    </w:p>
  </w:footnote>
  <w:footnote w:id="29">
    <w:p w:rsidR="00B86FBB" w:rsidRPr="005278B6" w:rsidP="005278B6" w14:paraId="408607FB" w14:textId="77777777">
      <w:pPr>
        <w:pStyle w:val="FootnoteText"/>
        <w:spacing w:before="0" w:after="120"/>
      </w:pPr>
      <w:r w:rsidRPr="005278B6">
        <w:rPr>
          <w:rStyle w:val="FootnoteReference"/>
        </w:rPr>
        <w:footnoteRef/>
      </w:r>
      <w:r w:rsidRPr="005278B6">
        <w:t xml:space="preserve"> Grid Smart Collaborative Presentation (August 6, 2020).</w:t>
      </w:r>
    </w:p>
  </w:footnote>
  <w:footnote w:id="30">
    <w:p w:rsidR="00B86FBB" w:rsidRPr="005278B6" w:rsidP="005278B6" w14:paraId="70ECF954" w14:textId="77777777">
      <w:pPr>
        <w:pStyle w:val="FootnoteText"/>
        <w:spacing w:before="0" w:after="120"/>
      </w:pPr>
      <w:r w:rsidRPr="005278B6">
        <w:rPr>
          <w:rStyle w:val="FootnoteReference"/>
        </w:rPr>
        <w:footnoteRef/>
      </w:r>
      <w:r w:rsidRPr="005278B6">
        <w:t xml:space="preserve"> Osterholt Direct, Exhibit 3 at 16.</w:t>
      </w:r>
    </w:p>
  </w:footnote>
  <w:footnote w:id="31">
    <w:p w:rsidR="00B86FBB" w:rsidRPr="005278B6" w:rsidP="005278B6" w14:paraId="4E2600DA" w14:textId="77777777">
      <w:pPr>
        <w:pStyle w:val="FootnoteText"/>
        <w:spacing w:before="0" w:after="120"/>
      </w:pPr>
      <w:r w:rsidRPr="005278B6">
        <w:rPr>
          <w:rStyle w:val="FootnoteReference"/>
        </w:rPr>
        <w:footnoteRef/>
      </w:r>
      <w:r w:rsidRPr="005278B6">
        <w:t xml:space="preserve"> Case No. 13-1939-EL-RDR, Application, Attachment 1 at 6 (September 13, 2013).  </w:t>
      </w:r>
    </w:p>
  </w:footnote>
  <w:footnote w:id="32">
    <w:p w:rsidR="00B86FBB" w:rsidRPr="005278B6" w:rsidP="005278B6" w14:paraId="22FB966B" w14:textId="77777777">
      <w:pPr>
        <w:pStyle w:val="FootnoteText"/>
        <w:spacing w:before="0" w:after="120"/>
      </w:pPr>
      <w:r w:rsidRPr="005278B6">
        <w:rPr>
          <w:rStyle w:val="FootnoteReference"/>
        </w:rPr>
        <w:footnoteRef/>
      </w:r>
      <w:r w:rsidRPr="005278B6">
        <w:t xml:space="preserve"> https://www.power-grid.com/2015/08/20/determining-the-impacts-of-volt-var-optimization-a-tale-of-two-approaches/#gref.</w:t>
      </w:r>
    </w:p>
  </w:footnote>
  <w:footnote w:id="33">
    <w:p w:rsidR="00B86FBB" w:rsidRPr="005278B6" w:rsidP="005278B6" w14:paraId="5E06A619" w14:textId="77777777">
      <w:pPr>
        <w:pStyle w:val="FootnoteText"/>
        <w:spacing w:before="0" w:after="120"/>
      </w:pPr>
      <w:r w:rsidRPr="005278B6">
        <w:rPr>
          <w:rStyle w:val="FootnoteReference"/>
        </w:rPr>
        <w:footnoteRef/>
      </w:r>
      <w:r w:rsidRPr="005278B6">
        <w:t xml:space="preserve"> Case No. 13-1939-EL-RDR, Application Attachment C (September 13, 2013).</w:t>
      </w:r>
    </w:p>
  </w:footnote>
  <w:footnote w:id="34">
    <w:p w:rsidR="00B86FBB" w:rsidRPr="005278B6" w:rsidP="005278B6" w14:paraId="401EEC17" w14:textId="77777777">
      <w:pPr>
        <w:pStyle w:val="FootnoteText"/>
        <w:spacing w:before="0" w:after="120"/>
      </w:pPr>
      <w:r w:rsidRPr="005278B6">
        <w:rPr>
          <w:rStyle w:val="FootnoteReference"/>
        </w:rPr>
        <w:footnoteRef/>
      </w:r>
      <w:r w:rsidRPr="005278B6">
        <w:t xml:space="preserve"> Case No. 13-1939-EL-RDR, Opinion and Order (February 1, 2017) at 8.</w:t>
      </w:r>
    </w:p>
  </w:footnote>
  <w:footnote w:id="35">
    <w:p w:rsidR="00B86FBB" w:rsidRPr="005278B6" w:rsidP="005278B6" w14:paraId="7D54147B" w14:textId="77777777">
      <w:pPr>
        <w:pStyle w:val="FootnoteText"/>
        <w:spacing w:before="0" w:after="120"/>
      </w:pPr>
      <w:r w:rsidRPr="005278B6">
        <w:rPr>
          <w:rStyle w:val="FootnoteReference"/>
        </w:rPr>
        <w:footnoteRef/>
      </w:r>
      <w:r w:rsidRPr="005278B6">
        <w:t xml:space="preserve"> GridSMART Phase 2 Fourth Quarter Update, Attachment 3 Non-financial Metrics (January 28, 2020). </w:t>
      </w:r>
    </w:p>
  </w:footnote>
  <w:footnote w:id="36">
    <w:p w:rsidR="00B86FBB" w:rsidRPr="005278B6" w:rsidP="005278B6" w14:paraId="1DA2A2A1" w14:textId="77777777">
      <w:pPr>
        <w:pStyle w:val="FootnoteText"/>
        <w:spacing w:before="0" w:after="120"/>
      </w:pPr>
      <w:r w:rsidRPr="005278B6">
        <w:rPr>
          <w:rStyle w:val="FootnoteReference"/>
        </w:rPr>
        <w:footnoteRef/>
      </w:r>
      <w:r w:rsidRPr="005278B6">
        <w:t xml:space="preserve"> </w:t>
      </w:r>
      <w:r w:rsidRPr="005278B6">
        <w:rPr>
          <w:i/>
          <w:iCs/>
        </w:rPr>
        <w:t>Id</w:t>
      </w:r>
      <w:r w:rsidRPr="005278B6">
        <w:t>.</w:t>
      </w:r>
    </w:p>
  </w:footnote>
  <w:footnote w:id="37">
    <w:p w:rsidR="00B86FBB" w:rsidRPr="005278B6" w:rsidP="005278B6" w14:paraId="0345BC5B" w14:textId="677C8CE8">
      <w:pPr>
        <w:pStyle w:val="FootnoteText"/>
        <w:spacing w:before="0" w:after="120"/>
      </w:pPr>
      <w:r w:rsidRPr="005278B6">
        <w:rPr>
          <w:rStyle w:val="FootnoteReference"/>
        </w:rPr>
        <w:footnoteRef/>
      </w:r>
      <w:r w:rsidRPr="005278B6">
        <w:t xml:space="preserve"> </w:t>
      </w:r>
      <w:r w:rsidRPr="005278B6">
        <w:rPr>
          <w:i/>
          <w:iCs/>
        </w:rPr>
        <w:t>See</w:t>
      </w:r>
      <w:r w:rsidRPr="005278B6">
        <w:t xml:space="preserve"> Case </w:t>
      </w:r>
      <w:r w:rsidR="005F357E">
        <w:t xml:space="preserve">No. </w:t>
      </w:r>
      <w:r w:rsidRPr="005278B6">
        <w:t xml:space="preserve">19-992-EL-ESS (March 29, 2019). </w:t>
      </w:r>
    </w:p>
  </w:footnote>
  <w:footnote w:id="38">
    <w:p w:rsidR="00B86FBB" w:rsidRPr="005278B6" w:rsidP="005278B6" w14:paraId="25579593" w14:textId="04910EF2">
      <w:pPr>
        <w:pStyle w:val="FootnoteText"/>
        <w:spacing w:before="0" w:after="120"/>
      </w:pPr>
      <w:r w:rsidRPr="005278B6">
        <w:rPr>
          <w:rStyle w:val="FootnoteReference"/>
        </w:rPr>
        <w:footnoteRef/>
      </w:r>
      <w:r w:rsidRPr="005278B6">
        <w:t xml:space="preserve"> </w:t>
      </w:r>
      <w:r w:rsidRPr="005278B6">
        <w:rPr>
          <w:i/>
          <w:iCs/>
        </w:rPr>
        <w:t>See</w:t>
      </w:r>
      <w:r w:rsidRPr="005278B6">
        <w:t xml:space="preserve"> Case </w:t>
      </w:r>
      <w:r w:rsidR="005F357E">
        <w:t xml:space="preserve">No. </w:t>
      </w:r>
      <w:r w:rsidRPr="005278B6">
        <w:t>20-992-EL-ESS (March 30, 2020).</w:t>
      </w:r>
    </w:p>
  </w:footnote>
  <w:footnote w:id="39">
    <w:p w:rsidR="00B86FBB" w:rsidRPr="005278B6" w:rsidP="005278B6" w14:paraId="2C11E9D2" w14:textId="77777777">
      <w:pPr>
        <w:pStyle w:val="FootnoteText"/>
        <w:spacing w:before="0" w:after="120"/>
      </w:pPr>
      <w:r w:rsidRPr="005278B6">
        <w:rPr>
          <w:rStyle w:val="FootnoteReference"/>
        </w:rPr>
        <w:footnoteRef/>
      </w:r>
      <w:r w:rsidRPr="005278B6">
        <w:t xml:space="preserve"> GridSMART Phase 2 Fourth Quarter Update, Attachment 3 Non-financial Metrics (January 28, 2020).</w:t>
      </w:r>
    </w:p>
  </w:footnote>
  <w:footnote w:id="40">
    <w:p w:rsidR="00B86FBB" w:rsidRPr="005278B6" w:rsidP="005278B6" w14:paraId="4643D75C" w14:textId="0E2733C6">
      <w:pPr>
        <w:pStyle w:val="FootnoteText"/>
        <w:spacing w:before="0" w:after="120"/>
      </w:pPr>
      <w:r w:rsidRPr="005278B6">
        <w:rPr>
          <w:rStyle w:val="FootnoteReference"/>
        </w:rPr>
        <w:footnoteRef/>
      </w:r>
      <w:r w:rsidRPr="005278B6">
        <w:t xml:space="preserve"> Case </w:t>
      </w:r>
      <w:r w:rsidR="005F357E">
        <w:t xml:space="preserve">No. </w:t>
      </w:r>
      <w:r w:rsidRPr="005278B6">
        <w:t>13-1939-EL-RDR, Application, Attachment C (September 13, 2013).</w:t>
      </w:r>
    </w:p>
  </w:footnote>
  <w:footnote w:id="41">
    <w:p w:rsidR="007A205E" w:rsidRPr="005278B6" w:rsidP="005278B6" w14:paraId="49A2589B" w14:textId="6198C3D4">
      <w:pPr>
        <w:pStyle w:val="FootnoteText"/>
        <w:spacing w:before="0" w:after="120"/>
      </w:pPr>
      <w:r w:rsidRPr="005278B6">
        <w:rPr>
          <w:rStyle w:val="FootnoteReference"/>
        </w:rPr>
        <w:footnoteRef/>
      </w:r>
      <w:r w:rsidRPr="005278B6">
        <w:t xml:space="preserve"> </w:t>
      </w:r>
      <w:r w:rsidRPr="005278B6">
        <w:rPr>
          <w:i/>
          <w:iCs/>
        </w:rPr>
        <w:t xml:space="preserve">See </w:t>
      </w:r>
      <w:r w:rsidRPr="005278B6">
        <w:t>Staff Review at 4.</w:t>
      </w:r>
    </w:p>
  </w:footnote>
  <w:footnote w:id="42">
    <w:p w:rsidR="007A205E" w:rsidRPr="005278B6" w:rsidP="005278B6" w14:paraId="77559821" w14:textId="38703BF1">
      <w:pPr>
        <w:pStyle w:val="FootnoteText"/>
        <w:spacing w:before="0" w:after="120"/>
        <w:rPr>
          <w:i/>
          <w:iCs/>
        </w:rPr>
      </w:pPr>
      <w:r w:rsidRPr="005278B6">
        <w:rPr>
          <w:rStyle w:val="FootnoteReference"/>
        </w:rPr>
        <w:footnoteRef/>
      </w:r>
      <w:r w:rsidRPr="005278B6">
        <w:t xml:space="preserve"> </w:t>
      </w:r>
      <w:r w:rsidRPr="005278B6">
        <w:rPr>
          <w:i/>
          <w:iCs/>
        </w:rPr>
        <w:t>See id.</w:t>
      </w:r>
    </w:p>
  </w:footnote>
  <w:footnote w:id="43">
    <w:p w:rsidR="00D30CA6" w:rsidRPr="005278B6" w:rsidP="005278B6" w14:paraId="3BA1EF62" w14:textId="0AF588A6">
      <w:pPr>
        <w:pStyle w:val="FootnoteText"/>
        <w:spacing w:before="0" w:after="120"/>
      </w:pPr>
      <w:r w:rsidRPr="005278B6">
        <w:rPr>
          <w:rStyle w:val="FootnoteReference"/>
        </w:rPr>
        <w:footnoteRef/>
      </w:r>
      <w:r w:rsidRPr="005278B6">
        <w:t xml:space="preserve"> Case </w:t>
      </w:r>
      <w:r w:rsidR="005F357E">
        <w:t xml:space="preserve">No. </w:t>
      </w:r>
      <w:r w:rsidRPr="005278B6">
        <w:t xml:space="preserve">16-664-EL-RDR, Finding and Order (May 15, 2019) at 6. </w:t>
      </w:r>
    </w:p>
  </w:footnote>
  <w:footnote w:id="44">
    <w:p w:rsidR="007A205E" w:rsidRPr="005278B6" w:rsidP="005278B6" w14:paraId="7E9419FC" w14:textId="34E7B774">
      <w:pPr>
        <w:pStyle w:val="FootnoteText"/>
        <w:spacing w:before="0" w:after="120"/>
      </w:pPr>
      <w:r w:rsidRPr="005278B6">
        <w:rPr>
          <w:rStyle w:val="FootnoteReference"/>
        </w:rPr>
        <w:footnoteRef/>
      </w:r>
      <w:r w:rsidRPr="005278B6">
        <w:t xml:space="preserve"> </w:t>
      </w:r>
      <w:r w:rsidRPr="005278B6">
        <w:rPr>
          <w:i/>
          <w:iCs/>
        </w:rPr>
        <w:t xml:space="preserve">See </w:t>
      </w:r>
      <w:r w:rsidRPr="005278B6">
        <w:t>AEP Ohio’s Comments at 2-3.</w:t>
      </w:r>
    </w:p>
  </w:footnote>
  <w:footnote w:id="45">
    <w:p w:rsidR="00631967" w:rsidRPr="005278B6" w:rsidP="005278B6" w14:paraId="10C5D8D8" w14:textId="2406EC77">
      <w:pPr>
        <w:pStyle w:val="FootnoteText"/>
        <w:spacing w:before="0" w:after="120"/>
        <w:rPr>
          <w:i/>
          <w:iCs/>
        </w:rPr>
      </w:pPr>
      <w:r w:rsidRPr="005278B6">
        <w:rPr>
          <w:rStyle w:val="FootnoteReference"/>
        </w:rPr>
        <w:footnoteRef/>
      </w:r>
      <w:r w:rsidRPr="005278B6">
        <w:t xml:space="preserve"> </w:t>
      </w:r>
      <w:r w:rsidRPr="005278B6">
        <w:rPr>
          <w:i/>
          <w:iCs/>
        </w:rPr>
        <w:t>See id.</w:t>
      </w:r>
    </w:p>
  </w:footnote>
  <w:footnote w:id="46">
    <w:p w:rsidR="00631967" w:rsidRPr="005278B6" w:rsidP="005278B6" w14:paraId="1240891D" w14:textId="6757E205">
      <w:pPr>
        <w:pStyle w:val="FootnoteText"/>
        <w:spacing w:before="0" w:after="120"/>
        <w:rPr>
          <w:i/>
          <w:iCs/>
        </w:rPr>
      </w:pPr>
      <w:r w:rsidRPr="005278B6">
        <w:rPr>
          <w:rStyle w:val="FootnoteReference"/>
        </w:rPr>
        <w:footnoteRef/>
      </w:r>
      <w:r w:rsidRPr="005278B6">
        <w:t xml:space="preserve"> </w:t>
      </w:r>
      <w:r w:rsidRPr="005278B6">
        <w:rPr>
          <w:i/>
          <w:iCs/>
        </w:rPr>
        <w:t>See id.</w:t>
      </w:r>
    </w:p>
  </w:footnote>
  <w:footnote w:id="47">
    <w:p w:rsidR="00631967" w:rsidRPr="005278B6" w:rsidP="005278B6" w14:paraId="0505942F" w14:textId="00756A0F">
      <w:pPr>
        <w:pStyle w:val="FootnoteText"/>
        <w:spacing w:before="0" w:after="120"/>
      </w:pPr>
      <w:r w:rsidRPr="005278B6">
        <w:rPr>
          <w:rStyle w:val="FootnoteReference"/>
        </w:rPr>
        <w:footnoteRef/>
      </w:r>
      <w:r w:rsidRPr="005278B6">
        <w:t xml:space="preserve"> R.C. 4905.22.</w:t>
      </w:r>
    </w:p>
  </w:footnote>
  <w:footnote w:id="48">
    <w:p w:rsidR="00C835AC" w:rsidRPr="005278B6" w:rsidP="005278B6" w14:paraId="0E7B4A4C" w14:textId="1EE6712C">
      <w:pPr>
        <w:pStyle w:val="FootnoteText"/>
        <w:spacing w:before="0" w:after="120"/>
      </w:pPr>
      <w:r w:rsidRPr="005278B6">
        <w:rPr>
          <w:rStyle w:val="FootnoteReference"/>
        </w:rPr>
        <w:footnoteRef/>
      </w:r>
      <w:r w:rsidRPr="005278B6">
        <w:t xml:space="preserve"> </w:t>
      </w:r>
      <w:r w:rsidRPr="005278B6">
        <w:rPr>
          <w:i/>
          <w:iCs/>
        </w:rPr>
        <w:t xml:space="preserve">See </w:t>
      </w:r>
      <w:r w:rsidRPr="005278B6">
        <w:t xml:space="preserve">footnote 9, </w:t>
      </w:r>
      <w:r w:rsidRPr="005278B6">
        <w:rPr>
          <w:i/>
          <w:iCs/>
        </w:rPr>
        <w:t>supra</w:t>
      </w:r>
      <w:r w:rsidRPr="005278B6">
        <w:t>.</w:t>
      </w:r>
    </w:p>
  </w:footnote>
  <w:footnote w:id="49">
    <w:p w:rsidR="00631967" w:rsidRPr="005278B6" w:rsidP="005278B6" w14:paraId="1C57119E" w14:textId="75C20EF2">
      <w:pPr>
        <w:pStyle w:val="FootnoteText"/>
        <w:spacing w:before="0" w:after="120"/>
      </w:pPr>
      <w:r w:rsidRPr="005278B6">
        <w:rPr>
          <w:rStyle w:val="FootnoteReference"/>
        </w:rPr>
        <w:footnoteRef/>
      </w:r>
      <w:r w:rsidRPr="005278B6">
        <w:t xml:space="preserve"> </w:t>
      </w:r>
      <w:r w:rsidRPr="005278B6">
        <w:rPr>
          <w:i/>
          <w:iCs/>
        </w:rPr>
        <w:t xml:space="preserve">See </w:t>
      </w:r>
      <w:r w:rsidRPr="005278B6">
        <w:t xml:space="preserve">footnote 2, </w:t>
      </w:r>
      <w:r w:rsidRPr="005278B6">
        <w:rPr>
          <w:i/>
          <w:iCs/>
        </w:rPr>
        <w:t>supra</w:t>
      </w:r>
      <w:r w:rsidRPr="005278B6">
        <w:t>.</w:t>
      </w:r>
    </w:p>
  </w:footnote>
  <w:footnote w:id="50">
    <w:p w:rsidR="00D30CA6" w:rsidRPr="005278B6" w:rsidP="005278B6" w14:paraId="4E6968F4" w14:textId="502220DE">
      <w:pPr>
        <w:pStyle w:val="FootnoteText"/>
        <w:spacing w:before="0" w:after="120"/>
      </w:pPr>
      <w:r w:rsidRPr="005278B6">
        <w:rPr>
          <w:rStyle w:val="FootnoteReference"/>
        </w:rPr>
        <w:footnoteRef/>
      </w:r>
      <w:r w:rsidRPr="005278B6">
        <w:t xml:space="preserve"> Case </w:t>
      </w:r>
      <w:r w:rsidR="005F357E">
        <w:t xml:space="preserve">No. </w:t>
      </w:r>
      <w:r w:rsidRPr="005278B6">
        <w:t>13-1939-EL-RDR, Opinion and Order (February 1, 2017) at 13.</w:t>
      </w:r>
    </w:p>
  </w:footnote>
  <w:footnote w:id="51">
    <w:p w:rsidR="00050F22" w:rsidRPr="005278B6" w:rsidP="005278B6" w14:paraId="433571DD" w14:textId="5CDAB691">
      <w:pPr>
        <w:pStyle w:val="FootnoteText"/>
        <w:spacing w:before="0" w:after="120"/>
      </w:pPr>
      <w:r w:rsidRPr="005278B6">
        <w:rPr>
          <w:rStyle w:val="FootnoteReference"/>
        </w:rPr>
        <w:footnoteRef/>
      </w:r>
      <w:r w:rsidRPr="005278B6">
        <w:t xml:space="preserve"> </w:t>
      </w:r>
      <w:r w:rsidRPr="005278B6">
        <w:rPr>
          <w:i/>
          <w:iCs/>
        </w:rPr>
        <w:t>Id</w:t>
      </w:r>
      <w:r w:rsidRPr="005278B6">
        <w:t>.</w:t>
      </w:r>
    </w:p>
  </w:footnote>
  <w:footnote w:id="52">
    <w:p w:rsidR="00C835AC" w:rsidRPr="005278B6" w:rsidP="005278B6" w14:paraId="22415DAF" w14:textId="008411D5">
      <w:pPr>
        <w:pStyle w:val="FootnoteText"/>
        <w:spacing w:before="0" w:after="120"/>
      </w:pPr>
      <w:r w:rsidRPr="005278B6">
        <w:rPr>
          <w:rStyle w:val="FootnoteReference"/>
        </w:rPr>
        <w:footnoteRef/>
      </w:r>
      <w:r w:rsidRPr="005278B6">
        <w:t xml:space="preserve"> </w:t>
      </w:r>
      <w:r w:rsidRPr="005278B6">
        <w:rPr>
          <w:i/>
          <w:iCs/>
        </w:rPr>
        <w:t xml:space="preserve">See </w:t>
      </w:r>
      <w:r w:rsidRPr="005278B6">
        <w:t>Staff Review at 5.</w:t>
      </w:r>
    </w:p>
  </w:footnote>
  <w:footnote w:id="53">
    <w:p w:rsidR="00C835AC" w:rsidRPr="005278B6" w:rsidP="005278B6" w14:paraId="6AE7D108" w14:textId="1B4A02DD">
      <w:pPr>
        <w:pStyle w:val="FootnoteText"/>
        <w:spacing w:before="0" w:after="120"/>
      </w:pPr>
      <w:r w:rsidRPr="005278B6">
        <w:rPr>
          <w:rStyle w:val="FootnoteReference"/>
        </w:rPr>
        <w:footnoteRef/>
      </w:r>
      <w:r w:rsidRPr="005278B6">
        <w:t xml:space="preserve"> </w:t>
      </w:r>
      <w:r w:rsidRPr="005278B6">
        <w:rPr>
          <w:i/>
          <w:iCs/>
        </w:rPr>
        <w:t xml:space="preserve">See </w:t>
      </w:r>
      <w:r w:rsidRPr="005278B6">
        <w:t>AEP Ohio’s Comments at 6-9.</w:t>
      </w:r>
    </w:p>
  </w:footnote>
  <w:footnote w:id="54">
    <w:p w:rsidR="00B12BE0" w:rsidRPr="005278B6" w:rsidP="005278B6" w14:paraId="49716894" w14:textId="23F44F93">
      <w:pPr>
        <w:pStyle w:val="FootnoteText"/>
        <w:spacing w:before="0" w:after="120"/>
        <w:rPr>
          <w:i/>
          <w:iCs/>
        </w:rPr>
      </w:pPr>
      <w:r w:rsidRPr="005278B6">
        <w:rPr>
          <w:rStyle w:val="FootnoteReference"/>
        </w:rPr>
        <w:footnoteRef/>
      </w:r>
      <w:r w:rsidRPr="005278B6">
        <w:t xml:space="preserve"> </w:t>
      </w:r>
      <w:r w:rsidRPr="005278B6">
        <w:rPr>
          <w:i/>
          <w:iCs/>
        </w:rPr>
        <w:t>See id.</w:t>
      </w:r>
    </w:p>
  </w:footnote>
  <w:footnote w:id="55">
    <w:p w:rsidR="00B12BE0" w:rsidRPr="005278B6" w:rsidP="005278B6" w14:paraId="742F0D34" w14:textId="258CA8A1">
      <w:pPr>
        <w:pStyle w:val="FootnoteText"/>
        <w:spacing w:before="0" w:after="120"/>
        <w:rPr>
          <w:i/>
          <w:iCs/>
        </w:rPr>
      </w:pPr>
      <w:r w:rsidRPr="005278B6">
        <w:rPr>
          <w:rStyle w:val="FootnoteReference"/>
        </w:rPr>
        <w:footnoteRef/>
      </w:r>
      <w:r w:rsidRPr="005278B6">
        <w:t xml:space="preserve"> </w:t>
      </w:r>
      <w:r w:rsidRPr="005278B6">
        <w:rPr>
          <w:i/>
          <w:iCs/>
        </w:rPr>
        <w:t>See id.</w:t>
      </w:r>
    </w:p>
  </w:footnote>
  <w:footnote w:id="56">
    <w:p w:rsidR="0086427F" w:rsidRPr="005278B6" w:rsidP="005278B6" w14:paraId="2BF93A70" w14:textId="0AE7A4C1">
      <w:pPr>
        <w:pStyle w:val="FootnoteText"/>
        <w:spacing w:before="0" w:after="120"/>
      </w:pPr>
      <w:r w:rsidRPr="005278B6">
        <w:rPr>
          <w:rStyle w:val="FootnoteReference"/>
        </w:rPr>
        <w:footnoteRef/>
      </w:r>
      <w:r w:rsidRPr="005278B6">
        <w:t xml:space="preserve"> </w:t>
      </w:r>
      <w:r w:rsidRPr="005278B6">
        <w:rPr>
          <w:i/>
          <w:iCs/>
        </w:rPr>
        <w:t xml:space="preserve">See </w:t>
      </w:r>
      <w:r w:rsidRPr="005278B6" w:rsidR="00407A92">
        <w:rPr>
          <w:i/>
          <w:iCs/>
        </w:rPr>
        <w:t>i</w:t>
      </w:r>
      <w:r w:rsidRPr="005278B6">
        <w:rPr>
          <w:i/>
          <w:iCs/>
        </w:rPr>
        <w:t>d</w:t>
      </w:r>
      <w:r w:rsidRPr="005278B6">
        <w:t xml:space="preserve">. Attachment 3, Certified Smart Meter Failures. </w:t>
      </w:r>
    </w:p>
  </w:footnote>
  <w:footnote w:id="57">
    <w:p w:rsidR="0086427F" w:rsidRPr="005278B6" w:rsidP="005278B6" w14:paraId="61FFB136" w14:textId="0DC05CD2">
      <w:pPr>
        <w:pStyle w:val="FootnoteText"/>
        <w:spacing w:before="0" w:after="120"/>
      </w:pPr>
      <w:r w:rsidRPr="005278B6">
        <w:rPr>
          <w:rStyle w:val="FootnoteReference"/>
        </w:rPr>
        <w:footnoteRef/>
      </w:r>
      <w:r w:rsidRPr="005278B6">
        <w:t xml:space="preserve"> Case </w:t>
      </w:r>
      <w:r w:rsidR="005F357E">
        <w:t xml:space="preserve">No. </w:t>
      </w:r>
      <w:r w:rsidRPr="005278B6">
        <w:t>13-1939-EL-RDR, Application, Attachment A (September 13, 2013) at 8.</w:t>
      </w:r>
    </w:p>
  </w:footnote>
  <w:footnote w:id="58">
    <w:p w:rsidR="00D30CA6" w:rsidRPr="005278B6" w:rsidP="005278B6" w14:paraId="3CEC3720" w14:textId="77777777">
      <w:pPr>
        <w:pStyle w:val="FootnoteText"/>
        <w:spacing w:before="0" w:after="120"/>
      </w:pPr>
      <w:r w:rsidRPr="005278B6">
        <w:rPr>
          <w:rStyle w:val="FootnoteReference"/>
        </w:rPr>
        <w:footnoteRef/>
      </w:r>
      <w:r w:rsidRPr="005278B6">
        <w:t xml:space="preserve"> </w:t>
      </w:r>
      <w:hyperlink r:id="rId1" w:history="1">
        <w:r w:rsidRPr="005278B6">
          <w:rPr>
            <w:rStyle w:val="Hyperlink"/>
          </w:rPr>
          <w:t>Security Risks and Technology Obsolescence Reduce Smart Meter Expected Lifetimes | Smart Grid Awareness</w:t>
        </w:r>
      </w:hyperlink>
    </w:p>
  </w:footnote>
  <w:footnote w:id="59">
    <w:p w:rsidR="006D6BB2" w:rsidRPr="005278B6" w:rsidP="005278B6" w14:paraId="45D4BF78" w14:textId="0E49A83F">
      <w:pPr>
        <w:pStyle w:val="FootnoteText"/>
        <w:spacing w:before="0" w:after="120"/>
      </w:pPr>
      <w:r w:rsidRPr="005278B6">
        <w:rPr>
          <w:rStyle w:val="FootnoteReference"/>
        </w:rPr>
        <w:footnoteRef/>
      </w:r>
      <w:r w:rsidRPr="005278B6">
        <w:t xml:space="preserve"> https://www.elstersolutions.com/assets/downloads/20-Questions.pdf</w:t>
      </w:r>
    </w:p>
  </w:footnote>
  <w:footnote w:id="60">
    <w:p w:rsidR="006D6BB2" w:rsidRPr="005278B6" w:rsidP="005278B6" w14:paraId="5253632C" w14:textId="0E984F48">
      <w:pPr>
        <w:pStyle w:val="FootnoteText"/>
        <w:spacing w:before="0" w:after="120"/>
      </w:pPr>
      <w:r w:rsidRPr="005278B6">
        <w:rPr>
          <w:rStyle w:val="FootnoteReference"/>
        </w:rPr>
        <w:footnoteRef/>
      </w:r>
      <w:r w:rsidRPr="005278B6">
        <w:t xml:space="preserve"> </w:t>
      </w:r>
      <w:r w:rsidRPr="005278B6">
        <w:rPr>
          <w:i/>
          <w:iCs/>
        </w:rPr>
        <w:t>See</w:t>
      </w:r>
      <w:r w:rsidRPr="005278B6">
        <w:t xml:space="preserve"> </w:t>
      </w:r>
      <w:r w:rsidRPr="005278B6" w:rsidR="00407A92">
        <w:t>footnote</w:t>
      </w:r>
      <w:r w:rsidRPr="005278B6">
        <w:t xml:space="preserve"> 2</w:t>
      </w:r>
      <w:r w:rsidRPr="005278B6" w:rsidR="00502281">
        <w:t>5</w:t>
      </w:r>
      <w:r w:rsidRPr="005278B6" w:rsidR="001F2C6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758" w14:paraId="62BF33A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77F53"/>
    <w:multiLevelType w:val="hybridMultilevel"/>
    <w:tmpl w:val="7714BC6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93072DD"/>
    <w:multiLevelType w:val="hybridMultilevel"/>
    <w:tmpl w:val="4C7A4F9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DB84E02"/>
    <w:multiLevelType w:val="hybridMultilevel"/>
    <w:tmpl w:val="C54EB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7957386"/>
    <w:multiLevelType w:val="hybridMultilevel"/>
    <w:tmpl w:val="785CD22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E4"/>
    <w:rsid w:val="00014BD8"/>
    <w:rsid w:val="00025EAF"/>
    <w:rsid w:val="00031FE7"/>
    <w:rsid w:val="00033203"/>
    <w:rsid w:val="00050F22"/>
    <w:rsid w:val="00051CE2"/>
    <w:rsid w:val="00066196"/>
    <w:rsid w:val="00073371"/>
    <w:rsid w:val="000B783F"/>
    <w:rsid w:val="000C5A42"/>
    <w:rsid w:val="000E7680"/>
    <w:rsid w:val="0011221F"/>
    <w:rsid w:val="00124704"/>
    <w:rsid w:val="00134F7F"/>
    <w:rsid w:val="0018169F"/>
    <w:rsid w:val="00196B63"/>
    <w:rsid w:val="001A4969"/>
    <w:rsid w:val="001A5E32"/>
    <w:rsid w:val="001C13EE"/>
    <w:rsid w:val="001C16E8"/>
    <w:rsid w:val="001C6121"/>
    <w:rsid w:val="001F2C68"/>
    <w:rsid w:val="0020317B"/>
    <w:rsid w:val="00212AC4"/>
    <w:rsid w:val="00220105"/>
    <w:rsid w:val="002554BF"/>
    <w:rsid w:val="00257118"/>
    <w:rsid w:val="00272D9B"/>
    <w:rsid w:val="00283758"/>
    <w:rsid w:val="002A2BBB"/>
    <w:rsid w:val="002A4C6C"/>
    <w:rsid w:val="002F16F1"/>
    <w:rsid w:val="00313F17"/>
    <w:rsid w:val="003177B6"/>
    <w:rsid w:val="00363626"/>
    <w:rsid w:val="00372D93"/>
    <w:rsid w:val="00376435"/>
    <w:rsid w:val="003835C2"/>
    <w:rsid w:val="003B1753"/>
    <w:rsid w:val="003C1C26"/>
    <w:rsid w:val="003C5EE5"/>
    <w:rsid w:val="003E0CD1"/>
    <w:rsid w:val="003F4482"/>
    <w:rsid w:val="00407A92"/>
    <w:rsid w:val="00410107"/>
    <w:rsid w:val="00416920"/>
    <w:rsid w:val="00424703"/>
    <w:rsid w:val="00485D67"/>
    <w:rsid w:val="00491CA3"/>
    <w:rsid w:val="004929E8"/>
    <w:rsid w:val="00497BA4"/>
    <w:rsid w:val="004B32E0"/>
    <w:rsid w:val="00502281"/>
    <w:rsid w:val="005176AB"/>
    <w:rsid w:val="005278B6"/>
    <w:rsid w:val="005645AB"/>
    <w:rsid w:val="005677C5"/>
    <w:rsid w:val="00570281"/>
    <w:rsid w:val="00583174"/>
    <w:rsid w:val="00583FCA"/>
    <w:rsid w:val="005B25A0"/>
    <w:rsid w:val="005B6A0F"/>
    <w:rsid w:val="005C339F"/>
    <w:rsid w:val="005D0029"/>
    <w:rsid w:val="005F357E"/>
    <w:rsid w:val="00631967"/>
    <w:rsid w:val="006567BE"/>
    <w:rsid w:val="006666DA"/>
    <w:rsid w:val="00685817"/>
    <w:rsid w:val="006909CB"/>
    <w:rsid w:val="006D4270"/>
    <w:rsid w:val="006D6BB2"/>
    <w:rsid w:val="00710E80"/>
    <w:rsid w:val="007521EC"/>
    <w:rsid w:val="007829EE"/>
    <w:rsid w:val="007A13EE"/>
    <w:rsid w:val="007A205E"/>
    <w:rsid w:val="007A53BA"/>
    <w:rsid w:val="007C2976"/>
    <w:rsid w:val="007D0DC4"/>
    <w:rsid w:val="007D1110"/>
    <w:rsid w:val="007E1921"/>
    <w:rsid w:val="007E5250"/>
    <w:rsid w:val="007F25FD"/>
    <w:rsid w:val="00852EF3"/>
    <w:rsid w:val="0086427F"/>
    <w:rsid w:val="00891342"/>
    <w:rsid w:val="008A2A7A"/>
    <w:rsid w:val="008E4F49"/>
    <w:rsid w:val="00900488"/>
    <w:rsid w:val="00901393"/>
    <w:rsid w:val="0091432F"/>
    <w:rsid w:val="00914899"/>
    <w:rsid w:val="00930CA1"/>
    <w:rsid w:val="00947572"/>
    <w:rsid w:val="009740A3"/>
    <w:rsid w:val="00974888"/>
    <w:rsid w:val="009907E5"/>
    <w:rsid w:val="009A1B5B"/>
    <w:rsid w:val="009B0BD6"/>
    <w:rsid w:val="009B56DD"/>
    <w:rsid w:val="00A15268"/>
    <w:rsid w:val="00A34DE4"/>
    <w:rsid w:val="00A417F1"/>
    <w:rsid w:val="00A619A1"/>
    <w:rsid w:val="00A630E4"/>
    <w:rsid w:val="00A76884"/>
    <w:rsid w:val="00A93B8E"/>
    <w:rsid w:val="00AC4D46"/>
    <w:rsid w:val="00AD381D"/>
    <w:rsid w:val="00AE7D20"/>
    <w:rsid w:val="00B105F8"/>
    <w:rsid w:val="00B12BE0"/>
    <w:rsid w:val="00B1620A"/>
    <w:rsid w:val="00B46EC3"/>
    <w:rsid w:val="00B738D5"/>
    <w:rsid w:val="00B86FBB"/>
    <w:rsid w:val="00BC56A9"/>
    <w:rsid w:val="00BD5C15"/>
    <w:rsid w:val="00BF3343"/>
    <w:rsid w:val="00C05D8D"/>
    <w:rsid w:val="00C17FB3"/>
    <w:rsid w:val="00C22230"/>
    <w:rsid w:val="00C31A75"/>
    <w:rsid w:val="00C835AC"/>
    <w:rsid w:val="00CA2F71"/>
    <w:rsid w:val="00CA4139"/>
    <w:rsid w:val="00CD5512"/>
    <w:rsid w:val="00CE0972"/>
    <w:rsid w:val="00D0554D"/>
    <w:rsid w:val="00D21EDD"/>
    <w:rsid w:val="00D30CA6"/>
    <w:rsid w:val="00D635D2"/>
    <w:rsid w:val="00DA4BFC"/>
    <w:rsid w:val="00DB3171"/>
    <w:rsid w:val="00DC082F"/>
    <w:rsid w:val="00DC4006"/>
    <w:rsid w:val="00DD475F"/>
    <w:rsid w:val="00E46B01"/>
    <w:rsid w:val="00ED0722"/>
    <w:rsid w:val="00ED5A4E"/>
    <w:rsid w:val="00EE1706"/>
    <w:rsid w:val="00F03E2D"/>
    <w:rsid w:val="00F10BFB"/>
    <w:rsid w:val="00F11CF7"/>
    <w:rsid w:val="00F272CB"/>
    <w:rsid w:val="00F540A6"/>
    <w:rsid w:val="00F72C5D"/>
    <w:rsid w:val="00F93C5F"/>
    <w:rsid w:val="00FC055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autoRedefine/>
    <w:qFormat/>
    <w:rsid w:val="004B32E0"/>
    <w:pPr>
      <w:keepNext/>
      <w:spacing w:after="240"/>
      <w:ind w:left="720" w:hanging="720"/>
      <w:outlineLvl w:val="0"/>
    </w:pPr>
    <w:rPr>
      <w:b/>
      <w:caps/>
      <w:szCs w:val="24"/>
    </w:rPr>
  </w:style>
  <w:style w:type="paragraph" w:styleId="Heading2">
    <w:name w:val="heading 2"/>
    <w:basedOn w:val="Normal"/>
    <w:next w:val="Normal"/>
    <w:autoRedefine/>
    <w:qFormat/>
    <w:rsid w:val="00D30CA6"/>
    <w:pPr>
      <w:keepNext/>
      <w:spacing w:after="240"/>
      <w:ind w:left="1440" w:hanging="720"/>
      <w:outlineLvl w:val="1"/>
    </w:pPr>
    <w:rPr>
      <w:b/>
    </w:rPr>
  </w:style>
  <w:style w:type="paragraph" w:styleId="Heading3">
    <w:name w:val="heading 3"/>
    <w:basedOn w:val="Normal"/>
    <w:next w:val="Normal"/>
    <w:link w:val="Heading3Char"/>
    <w:autoRedefine/>
    <w:unhideWhenUsed/>
    <w:qFormat/>
    <w:rsid w:val="004B32E0"/>
    <w:pPr>
      <w:keepNext/>
      <w:keepLines/>
      <w:spacing w:after="240"/>
      <w:ind w:left="2160" w:hanging="720"/>
      <w:outlineLvl w:val="2"/>
    </w:pPr>
    <w:rPr>
      <w:rFonts w:ascii="Times New Roman Bold" w:hAnsi="Times New Roman Bold"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uiPriority w:val="99"/>
    <w:rsid w:val="007C2976"/>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7C2976"/>
    <w:pPr>
      <w:spacing w:before="120"/>
    </w:pPr>
    <w:rPr>
      <w:sz w:val="20"/>
    </w:rPr>
  </w:style>
  <w:style w:type="character" w:styleId="FootnoteReference">
    <w:name w:val="footnote reference"/>
    <w:aliases w:val="o"/>
    <w:uiPriority w:val="99"/>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aliases w:val="Footnote Text Cha Char1,Footnote Text Char Char4 Char Char1,Footnote Text Char Char4 Char1 Char Char Char1,Footnote Text Char2 Char1,Footnote Text Char4 Char Char1,Footnote Text Char4 Char1 Char Char Char1"/>
    <w:link w:val="FootnoteText"/>
    <w:uiPriority w:val="99"/>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semiHidden/>
    <w:locked/>
    <w:rsid w:val="00E46B01"/>
    <w:rPr>
      <w:lang w:val="en-US" w:eastAsia="en-US" w:bidi="ar-SA"/>
    </w:rPr>
  </w:style>
  <w:style w:type="character" w:customStyle="1" w:styleId="UnresolvedMention2">
    <w:name w:val="Unresolved Mention2"/>
    <w:basedOn w:val="DefaultParagraphFont"/>
    <w:uiPriority w:val="99"/>
    <w:semiHidden/>
    <w:unhideWhenUsed/>
    <w:rsid w:val="006D4270"/>
    <w:rPr>
      <w:color w:val="808080"/>
      <w:shd w:val="clear" w:color="auto" w:fill="E6E6E6"/>
    </w:rPr>
  </w:style>
  <w:style w:type="character" w:customStyle="1" w:styleId="UnresolvedMention3">
    <w:name w:val="Unresolved Mention3"/>
    <w:basedOn w:val="DefaultParagraphFont"/>
    <w:rsid w:val="00ED723F"/>
    <w:rPr>
      <w:color w:val="605E5C"/>
      <w:shd w:val="clear" w:color="auto" w:fill="E1DFDD"/>
    </w:rPr>
  </w:style>
  <w:style w:type="paragraph" w:styleId="ListParagraph">
    <w:name w:val="List Paragraph"/>
    <w:basedOn w:val="Normal"/>
    <w:uiPriority w:val="34"/>
    <w:qFormat/>
    <w:rsid w:val="00610F89"/>
    <w:pPr>
      <w:ind w:left="720"/>
      <w:contextualSpacing/>
    </w:pPr>
  </w:style>
  <w:style w:type="character" w:customStyle="1" w:styleId="CommentTextChar">
    <w:name w:val="Comment Text Char"/>
    <w:basedOn w:val="DefaultParagraphFont"/>
    <w:link w:val="CommentText"/>
    <w:rsid w:val="004929E8"/>
    <w:rPr>
      <w:sz w:val="24"/>
      <w:szCs w:val="24"/>
    </w:rPr>
  </w:style>
  <w:style w:type="character" w:customStyle="1" w:styleId="UnresolvedMention4">
    <w:name w:val="Unresolved Mention4"/>
    <w:basedOn w:val="DefaultParagraphFont"/>
    <w:rsid w:val="00014BD8"/>
    <w:rPr>
      <w:color w:val="605E5C"/>
      <w:shd w:val="clear" w:color="auto" w:fill="E1DFDD"/>
    </w:rPr>
  </w:style>
  <w:style w:type="character" w:customStyle="1" w:styleId="Heading3Char">
    <w:name w:val="Heading 3 Char"/>
    <w:basedOn w:val="DefaultParagraphFont"/>
    <w:link w:val="Heading3"/>
    <w:rsid w:val="004B32E0"/>
    <w:rPr>
      <w:rFonts w:ascii="Times New Roman Bold" w:hAnsi="Times New Roman Bold" w:eastAsiaTheme="majorEastAsia"/>
      <w:b/>
      <w:sz w:val="24"/>
      <w:szCs w:val="24"/>
    </w:rPr>
  </w:style>
  <w:style w:type="paragraph" w:styleId="TOC1">
    <w:name w:val="toc 1"/>
    <w:basedOn w:val="Normal"/>
    <w:next w:val="Normal"/>
    <w:autoRedefine/>
    <w:uiPriority w:val="39"/>
    <w:unhideWhenUsed/>
    <w:qFormat/>
    <w:rsid w:val="004B32E0"/>
    <w:pPr>
      <w:tabs>
        <w:tab w:val="decimal" w:leader="dot" w:pos="9360"/>
      </w:tabs>
      <w:spacing w:after="240"/>
      <w:ind w:left="720" w:hanging="720"/>
    </w:pPr>
    <w:rPr>
      <w:caps/>
    </w:rPr>
  </w:style>
  <w:style w:type="paragraph" w:styleId="TOC2">
    <w:name w:val="toc 2"/>
    <w:basedOn w:val="Normal"/>
    <w:next w:val="Normal"/>
    <w:autoRedefine/>
    <w:uiPriority w:val="39"/>
    <w:unhideWhenUsed/>
    <w:qFormat/>
    <w:rsid w:val="004B32E0"/>
    <w:pPr>
      <w:tabs>
        <w:tab w:val="decimal" w:leader="dot" w:pos="9360"/>
      </w:tabs>
      <w:spacing w:after="240"/>
      <w:ind w:left="1440" w:hanging="720"/>
    </w:pPr>
  </w:style>
  <w:style w:type="paragraph" w:styleId="TOC3">
    <w:name w:val="toc 3"/>
    <w:basedOn w:val="Normal"/>
    <w:next w:val="Normal"/>
    <w:autoRedefine/>
    <w:uiPriority w:val="39"/>
    <w:unhideWhenUsed/>
    <w:qFormat/>
    <w:rsid w:val="004B32E0"/>
    <w:pPr>
      <w:tabs>
        <w:tab w:val="decimal" w:leader="dot" w:pos="936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Werner.margard@ohioattorneygeneral.gov" TargetMode="External" /><Relationship Id="rId12" Type="http://schemas.openxmlformats.org/officeDocument/2006/relationships/hyperlink" Target="mailto:Sarah.parrot@puco.ohio.gov" TargetMode="External" /><Relationship Id="rId13" Type="http://schemas.openxmlformats.org/officeDocument/2006/relationships/hyperlink" Target="mailto:Greta.see@puco.ohio.gov" TargetMode="External" /><Relationship Id="rId14" Type="http://schemas.openxmlformats.org/officeDocument/2006/relationships/hyperlink" Target="mailto:stnourse@aep.com" TargetMode="Externa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y.botschner.obrien@occ.ohio.gov" TargetMode="External" /><Relationship Id="rId8" Type="http://schemas.openxmlformats.org/officeDocument/2006/relationships/footer" Target="footer1.xm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smartgridawareness.org/2018/09/25/technology-obsolescence-reduces-smart-meter-lifetim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13D3-5CBD-40E6-A415-DE45570E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3686</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Reply to AEP Comments - 4th quarter update 19-1029 w/dfs  (00151110.DOCX;1)</vt:lpstr>
    </vt:vector>
  </TitlesOfParts>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2021-06-15T12:55:34Z</dcterms:created>
  <dcterms:modified xsi:type="dcterms:W3CDTF">2021-06-15T12:55:34Z</dcterms:modified>
</cp:coreProperties>
</file>