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bookmarkStart w:id="0" w:name="_GoBack"/>
      <w:bookmarkEnd w:id="0"/>
      <w:r w:rsidRPr="008241D3">
        <w:rPr>
          <w:rFonts w:ascii="Times New Roman" w:eastAsia="Times New Roman" w:hAnsi="Times New Roman" w:cs="Times New Roman"/>
          <w:b/>
          <w:sz w:val="24"/>
          <w:szCs w:val="20"/>
        </w:rPr>
        <w:t>BEFORE</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THE PUBLIC UTILITIES COMMISSION OF OHIO</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p>
    <w:tbl>
      <w:tblPr>
        <w:tblW w:w="9092" w:type="dxa"/>
        <w:tblLook w:val="01E0" w:firstRow="1" w:lastRow="1" w:firstColumn="1" w:lastColumn="1" w:noHBand="0" w:noVBand="0"/>
      </w:tblPr>
      <w:tblGrid>
        <w:gridCol w:w="4332"/>
        <w:gridCol w:w="360"/>
        <w:gridCol w:w="4400"/>
      </w:tblGrid>
      <w:tr w:rsidR="008241D3" w:rsidRPr="008241D3" w:rsidTr="00486594">
        <w:trPr>
          <w:trHeight w:val="807"/>
        </w:trPr>
        <w:tc>
          <w:tcPr>
            <w:tcW w:w="4332" w:type="dxa"/>
            <w:shd w:val="clear" w:color="auto" w:fill="auto"/>
          </w:tcPr>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Authority to  Establish a Standard Service Offer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Pursuant to §4928.143, Revised Code,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Form of an Electric Security Plan.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Approval of </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Certain Accounting Authority. </w:t>
            </w:r>
          </w:p>
          <w:p w:rsidR="008241D3" w:rsidRPr="008241D3" w:rsidRDefault="008241D3" w:rsidP="008241D3">
            <w:pPr>
              <w:spacing w:after="0" w:line="240" w:lineRule="auto"/>
              <w:rPr>
                <w:rFonts w:ascii="Times New Roman" w:eastAsia="Times New Roman" w:hAnsi="Times New Roman" w:cs="Times New Roman"/>
                <w:sz w:val="24"/>
                <w:szCs w:val="24"/>
              </w:rPr>
            </w:pPr>
          </w:p>
        </w:tc>
        <w:tc>
          <w:tcPr>
            <w:tcW w:w="360" w:type="dxa"/>
            <w:shd w:val="clear" w:color="auto" w:fill="auto"/>
          </w:tcPr>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p>
        </w:tc>
        <w:tc>
          <w:tcPr>
            <w:tcW w:w="4400" w:type="dxa"/>
            <w:shd w:val="clear" w:color="auto" w:fill="auto"/>
          </w:tcPr>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13-2385-EL-SSO</w:t>
            </w: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13-2386-EL-AAM</w:t>
            </w:r>
          </w:p>
        </w:tc>
      </w:tr>
    </w:tbl>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Default="008241D3" w:rsidP="008241D3">
      <w:pPr>
        <w:pBdr>
          <w:top w:val="single" w:sz="4" w:space="1" w:color="auto"/>
        </w:pBdr>
        <w:jc w:val="center"/>
        <w:rPr>
          <w:b/>
        </w:rPr>
      </w:pP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MEMORANDUM CONTRA</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OHIO POWER COMPANY’S APPLICATION FOR REHEARING</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BY</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THE OFFICE OF THE OHIO CONSUMERS’ COUNSEL</w:t>
      </w:r>
    </w:p>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8241D3" w:rsidRDefault="008241D3" w:rsidP="008241D3">
      <w:pPr>
        <w:tabs>
          <w:tab w:val="left" w:pos="0"/>
          <w:tab w:val="left" w:pos="720"/>
        </w:tabs>
        <w:spacing w:after="0" w:line="240" w:lineRule="auto"/>
        <w:rPr>
          <w:rFonts w:ascii="Times New Roman" w:eastAsia="Times New Roman" w:hAnsi="Times New Roman" w:cs="Times New Roman"/>
          <w:b/>
          <w:sz w:val="24"/>
          <w:szCs w:val="20"/>
        </w:rPr>
      </w:pPr>
    </w:p>
    <w:p w:rsidR="008241D3" w:rsidRPr="008241D3" w:rsidRDefault="008241D3" w:rsidP="008241D3">
      <w:pPr>
        <w:tabs>
          <w:tab w:val="left" w:pos="0"/>
          <w:tab w:val="left" w:pos="720"/>
        </w:tabs>
        <w:spacing w:after="0" w:line="480" w:lineRule="auto"/>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ab/>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BRUCE J. WESTON</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CONSUMERS’ COUNSEL</w:t>
      </w: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Maureen R. Grady, Counsel of Record</w:t>
      </w: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(Reg. No. 0020847)</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Joseph P. Serio</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(Reg. No. 0036959)</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Assistant Consumers’ Counsel</w:t>
      </w:r>
    </w:p>
    <w:p w:rsidR="008241D3" w:rsidRPr="008241D3" w:rsidRDefault="008241D3" w:rsidP="008241D3">
      <w:pPr>
        <w:spacing w:after="0" w:line="240" w:lineRule="auto"/>
        <w:ind w:left="4320"/>
        <w:rPr>
          <w:rFonts w:ascii="Times New Roman" w:eastAsia="Times New Roman" w:hAnsi="Times New Roman" w:cs="Times New Roman"/>
          <w:b/>
          <w:sz w:val="24"/>
          <w:szCs w:val="24"/>
        </w:rPr>
      </w:pPr>
    </w:p>
    <w:p w:rsidR="008241D3" w:rsidRPr="008241D3" w:rsidRDefault="008241D3" w:rsidP="008241D3">
      <w:pPr>
        <w:spacing w:after="0" w:line="240" w:lineRule="auto"/>
        <w:ind w:left="4320"/>
        <w:rPr>
          <w:rFonts w:ascii="Times New Roman" w:eastAsia="Times New Roman" w:hAnsi="Times New Roman" w:cs="Times New Roman"/>
          <w:b/>
          <w:sz w:val="24"/>
          <w:szCs w:val="24"/>
        </w:rPr>
      </w:pPr>
      <w:r w:rsidRPr="008241D3">
        <w:rPr>
          <w:rFonts w:ascii="Times New Roman" w:eastAsia="Times New Roman" w:hAnsi="Times New Roman" w:cs="Times New Roman"/>
          <w:b/>
          <w:sz w:val="24"/>
          <w:szCs w:val="24"/>
        </w:rPr>
        <w:t>Office of the Ohio Consumers’ Counsel</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10 West Broad Street, Suite 1800</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Columbus, Ohio 43215-3485</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(614) 466-9567 – Grady </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(614) 466-9565 – Serio</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r>
      <w:hyperlink r:id="rId8" w:history="1">
        <w:r w:rsidRPr="008241D3">
          <w:rPr>
            <w:rFonts w:ascii="Times New Roman" w:eastAsia="Times New Roman" w:hAnsi="Times New Roman" w:cs="Times New Roman"/>
            <w:color w:val="0000FF"/>
            <w:sz w:val="24"/>
            <w:szCs w:val="24"/>
            <w:u w:val="single"/>
          </w:rPr>
          <w:t>Maureen.grady@occ.ohio.gov</w:t>
        </w:r>
      </w:hyperlink>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(will accept service via email)</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r>
      <w:hyperlink r:id="rId9" w:history="1">
        <w:r w:rsidRPr="008241D3">
          <w:rPr>
            <w:rFonts w:ascii="Times New Roman" w:eastAsia="Times New Roman" w:hAnsi="Times New Roman" w:cs="Times New Roman"/>
            <w:color w:val="0000FF"/>
            <w:sz w:val="24"/>
            <w:szCs w:val="24"/>
            <w:u w:val="single"/>
          </w:rPr>
          <w:t>Joseph.serio@occ.ohio.gov</w:t>
        </w:r>
      </w:hyperlink>
    </w:p>
    <w:p w:rsidR="008241D3" w:rsidRDefault="006E19F7" w:rsidP="00824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9, 2015</w:t>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04756A">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(will accept service via email)</w:t>
      </w:r>
    </w:p>
    <w:p w:rsidR="00F515BC" w:rsidRDefault="00F515BC" w:rsidP="008241D3">
      <w:pPr>
        <w:tabs>
          <w:tab w:val="left" w:pos="0"/>
          <w:tab w:val="left" w:pos="720"/>
        </w:tabs>
        <w:spacing w:after="0" w:line="240" w:lineRule="auto"/>
        <w:jc w:val="center"/>
        <w:rPr>
          <w:rFonts w:ascii="Times New Roman" w:eastAsia="Times New Roman" w:hAnsi="Times New Roman" w:cs="Times New Roman"/>
          <w:sz w:val="24"/>
          <w:szCs w:val="24"/>
        </w:rPr>
        <w:sectPr w:rsidR="00F515BC" w:rsidSect="001E177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F515BC" w:rsidRPr="00F515BC"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sidRPr="00F515BC">
        <w:rPr>
          <w:rFonts w:ascii="Times New Roman" w:eastAsia="Times New Roman" w:hAnsi="Times New Roman" w:cs="Times New Roman"/>
          <w:b/>
          <w:sz w:val="24"/>
          <w:szCs w:val="24"/>
        </w:rPr>
        <w:lastRenderedPageBreak/>
        <w:t>TABLE OF CONTENTS</w:t>
      </w:r>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F515BC" w:rsidRPr="00F515BC"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15BC">
        <w:rPr>
          <w:rFonts w:ascii="Times New Roman" w:eastAsia="Times New Roman" w:hAnsi="Times New Roman" w:cs="Times New Roman"/>
          <w:b/>
          <w:sz w:val="24"/>
          <w:szCs w:val="24"/>
        </w:rPr>
        <w:t>PAGE</w:t>
      </w:r>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B601E3" w:rsidRDefault="00F515BC">
      <w:pPr>
        <w:pStyle w:val="TOC1"/>
        <w:rPr>
          <w:rFonts w:asciiTheme="minorHAnsi" w:eastAsiaTheme="minorEastAsia" w:hAnsiTheme="minorHAnsi"/>
          <w:caps w:val="0"/>
          <w:noProof/>
          <w:sz w:val="22"/>
        </w:rPr>
      </w:pPr>
      <w:r>
        <w:rPr>
          <w:rFonts w:eastAsia="Times New Roman" w:cs="Times New Roman"/>
          <w:szCs w:val="24"/>
        </w:rPr>
        <w:fldChar w:fldCharType="begin"/>
      </w:r>
      <w:r>
        <w:rPr>
          <w:rFonts w:eastAsia="Times New Roman" w:cs="Times New Roman"/>
          <w:szCs w:val="24"/>
        </w:rPr>
        <w:instrText xml:space="preserve"> TOC \o "1-4" \h \z \u </w:instrText>
      </w:r>
      <w:r>
        <w:rPr>
          <w:rFonts w:eastAsia="Times New Roman" w:cs="Times New Roman"/>
          <w:szCs w:val="24"/>
        </w:rPr>
        <w:fldChar w:fldCharType="separate"/>
      </w:r>
      <w:hyperlink w:anchor="_Toc424222975" w:history="1">
        <w:r w:rsidR="00B601E3" w:rsidRPr="0011457C">
          <w:rPr>
            <w:rStyle w:val="Hyperlink"/>
            <w:noProof/>
          </w:rPr>
          <w:t>I.</w:t>
        </w:r>
        <w:r w:rsidR="00B601E3">
          <w:rPr>
            <w:rFonts w:asciiTheme="minorHAnsi" w:eastAsiaTheme="minorEastAsia" w:hAnsiTheme="minorHAnsi"/>
            <w:caps w:val="0"/>
            <w:noProof/>
            <w:sz w:val="22"/>
          </w:rPr>
          <w:tab/>
        </w:r>
        <w:r w:rsidR="00B601E3" w:rsidRPr="0011457C">
          <w:rPr>
            <w:rStyle w:val="Hyperlink"/>
            <w:noProof/>
          </w:rPr>
          <w:t>INTRODUCTION</w:t>
        </w:r>
        <w:r w:rsidR="00B601E3">
          <w:rPr>
            <w:noProof/>
            <w:webHidden/>
          </w:rPr>
          <w:tab/>
        </w:r>
        <w:r w:rsidR="00B601E3">
          <w:rPr>
            <w:noProof/>
            <w:webHidden/>
          </w:rPr>
          <w:fldChar w:fldCharType="begin"/>
        </w:r>
        <w:r w:rsidR="00B601E3">
          <w:rPr>
            <w:noProof/>
            <w:webHidden/>
          </w:rPr>
          <w:instrText xml:space="preserve"> PAGEREF _Toc424222975 \h </w:instrText>
        </w:r>
        <w:r w:rsidR="00B601E3">
          <w:rPr>
            <w:noProof/>
            <w:webHidden/>
          </w:rPr>
        </w:r>
        <w:r w:rsidR="00B601E3">
          <w:rPr>
            <w:noProof/>
            <w:webHidden/>
          </w:rPr>
          <w:fldChar w:fldCharType="separate"/>
        </w:r>
        <w:r w:rsidR="004952FF">
          <w:rPr>
            <w:noProof/>
            <w:webHidden/>
          </w:rPr>
          <w:t>1</w:t>
        </w:r>
        <w:r w:rsidR="00B601E3">
          <w:rPr>
            <w:noProof/>
            <w:webHidden/>
          </w:rPr>
          <w:fldChar w:fldCharType="end"/>
        </w:r>
      </w:hyperlink>
    </w:p>
    <w:p w:rsidR="00B601E3" w:rsidRDefault="00C41D37">
      <w:pPr>
        <w:pStyle w:val="TOC1"/>
        <w:rPr>
          <w:rFonts w:asciiTheme="minorHAnsi" w:eastAsiaTheme="minorEastAsia" w:hAnsiTheme="minorHAnsi"/>
          <w:caps w:val="0"/>
          <w:noProof/>
          <w:sz w:val="22"/>
        </w:rPr>
      </w:pPr>
      <w:hyperlink w:anchor="_Toc424222976" w:history="1">
        <w:r w:rsidR="00B601E3" w:rsidRPr="0011457C">
          <w:rPr>
            <w:rStyle w:val="Hyperlink"/>
            <w:noProof/>
          </w:rPr>
          <w:t xml:space="preserve">II. </w:t>
        </w:r>
        <w:r w:rsidR="00B601E3">
          <w:rPr>
            <w:rFonts w:asciiTheme="minorHAnsi" w:eastAsiaTheme="minorEastAsia" w:hAnsiTheme="minorHAnsi"/>
            <w:caps w:val="0"/>
            <w:noProof/>
            <w:sz w:val="22"/>
          </w:rPr>
          <w:tab/>
        </w:r>
        <w:r w:rsidR="00B601E3" w:rsidRPr="0011457C">
          <w:rPr>
            <w:rStyle w:val="Hyperlink"/>
            <w:noProof/>
          </w:rPr>
          <w:t>ARGUMENT</w:t>
        </w:r>
        <w:r w:rsidR="00B601E3">
          <w:rPr>
            <w:noProof/>
            <w:webHidden/>
          </w:rPr>
          <w:tab/>
        </w:r>
        <w:r w:rsidR="00B601E3">
          <w:rPr>
            <w:noProof/>
            <w:webHidden/>
          </w:rPr>
          <w:fldChar w:fldCharType="begin"/>
        </w:r>
        <w:r w:rsidR="00B601E3">
          <w:rPr>
            <w:noProof/>
            <w:webHidden/>
          </w:rPr>
          <w:instrText xml:space="preserve"> PAGEREF _Toc424222976 \h </w:instrText>
        </w:r>
        <w:r w:rsidR="00B601E3">
          <w:rPr>
            <w:noProof/>
            <w:webHidden/>
          </w:rPr>
        </w:r>
        <w:r w:rsidR="00B601E3">
          <w:rPr>
            <w:noProof/>
            <w:webHidden/>
          </w:rPr>
          <w:fldChar w:fldCharType="separate"/>
        </w:r>
        <w:r w:rsidR="004952FF">
          <w:rPr>
            <w:noProof/>
            <w:webHidden/>
          </w:rPr>
          <w:t>1</w:t>
        </w:r>
        <w:r w:rsidR="00B601E3">
          <w:rPr>
            <w:noProof/>
            <w:webHidden/>
          </w:rPr>
          <w:fldChar w:fldCharType="end"/>
        </w:r>
      </w:hyperlink>
    </w:p>
    <w:p w:rsidR="00B601E3" w:rsidRDefault="00C41D37">
      <w:pPr>
        <w:pStyle w:val="TOC2"/>
        <w:tabs>
          <w:tab w:val="left" w:pos="1440"/>
        </w:tabs>
        <w:rPr>
          <w:rFonts w:asciiTheme="minorHAnsi" w:eastAsiaTheme="minorEastAsia" w:hAnsiTheme="minorHAnsi"/>
          <w:noProof/>
          <w:sz w:val="22"/>
        </w:rPr>
      </w:pPr>
      <w:hyperlink w:anchor="_Toc424222977" w:history="1">
        <w:r w:rsidR="00B601E3" w:rsidRPr="0011457C">
          <w:rPr>
            <w:rStyle w:val="Hyperlink"/>
            <w:noProof/>
          </w:rPr>
          <w:t>A.</w:t>
        </w:r>
        <w:r w:rsidR="00B601E3">
          <w:rPr>
            <w:rFonts w:asciiTheme="minorHAnsi" w:eastAsiaTheme="minorEastAsia" w:hAnsiTheme="minorHAnsi"/>
            <w:noProof/>
            <w:sz w:val="22"/>
          </w:rPr>
          <w:tab/>
        </w:r>
        <w:r w:rsidR="00B601E3" w:rsidRPr="0011457C">
          <w:rPr>
            <w:rStyle w:val="Hyperlink"/>
            <w:noProof/>
          </w:rPr>
          <w:t>The Utility’s request does not meet the standards for rehearing, but rather seeks PUCO clarification.</w:t>
        </w:r>
        <w:r w:rsidR="00B601E3">
          <w:rPr>
            <w:noProof/>
            <w:webHidden/>
          </w:rPr>
          <w:tab/>
        </w:r>
        <w:r w:rsidR="00B601E3">
          <w:rPr>
            <w:noProof/>
            <w:webHidden/>
          </w:rPr>
          <w:fldChar w:fldCharType="begin"/>
        </w:r>
        <w:r w:rsidR="00B601E3">
          <w:rPr>
            <w:noProof/>
            <w:webHidden/>
          </w:rPr>
          <w:instrText xml:space="preserve"> PAGEREF _Toc424222977 \h </w:instrText>
        </w:r>
        <w:r w:rsidR="00B601E3">
          <w:rPr>
            <w:noProof/>
            <w:webHidden/>
          </w:rPr>
        </w:r>
        <w:r w:rsidR="00B601E3">
          <w:rPr>
            <w:noProof/>
            <w:webHidden/>
          </w:rPr>
          <w:fldChar w:fldCharType="separate"/>
        </w:r>
        <w:r w:rsidR="004952FF">
          <w:rPr>
            <w:noProof/>
            <w:webHidden/>
          </w:rPr>
          <w:t>1</w:t>
        </w:r>
        <w:r w:rsidR="00B601E3">
          <w:rPr>
            <w:noProof/>
            <w:webHidden/>
          </w:rPr>
          <w:fldChar w:fldCharType="end"/>
        </w:r>
      </w:hyperlink>
    </w:p>
    <w:p w:rsidR="00B601E3" w:rsidRDefault="00C41D37">
      <w:pPr>
        <w:pStyle w:val="TOC2"/>
        <w:tabs>
          <w:tab w:val="left" w:pos="1440"/>
        </w:tabs>
        <w:rPr>
          <w:rFonts w:asciiTheme="minorHAnsi" w:eastAsiaTheme="minorEastAsia" w:hAnsiTheme="minorHAnsi"/>
          <w:noProof/>
          <w:sz w:val="22"/>
        </w:rPr>
      </w:pPr>
      <w:hyperlink w:anchor="_Toc424222978" w:history="1">
        <w:r w:rsidR="00B601E3" w:rsidRPr="0011457C">
          <w:rPr>
            <w:rStyle w:val="Hyperlink"/>
            <w:noProof/>
          </w:rPr>
          <w:t>B.</w:t>
        </w:r>
        <w:r w:rsidR="00B601E3">
          <w:rPr>
            <w:rFonts w:asciiTheme="minorHAnsi" w:eastAsiaTheme="minorEastAsia" w:hAnsiTheme="minorHAnsi"/>
            <w:noProof/>
            <w:sz w:val="22"/>
          </w:rPr>
          <w:tab/>
        </w:r>
        <w:r w:rsidR="00B601E3" w:rsidRPr="0011457C">
          <w:rPr>
            <w:rStyle w:val="Hyperlink"/>
            <w:noProof/>
          </w:rPr>
          <w:t>The PUCO already adjusted the Distribution Investment Rider (“DIR”) Revenue Caps to include adequate growth.</w:t>
        </w:r>
        <w:r w:rsidR="00B601E3">
          <w:rPr>
            <w:noProof/>
            <w:webHidden/>
          </w:rPr>
          <w:tab/>
        </w:r>
        <w:r w:rsidR="00B601E3">
          <w:rPr>
            <w:noProof/>
            <w:webHidden/>
          </w:rPr>
          <w:fldChar w:fldCharType="begin"/>
        </w:r>
        <w:r w:rsidR="00B601E3">
          <w:rPr>
            <w:noProof/>
            <w:webHidden/>
          </w:rPr>
          <w:instrText xml:space="preserve"> PAGEREF _Toc424222978 \h </w:instrText>
        </w:r>
        <w:r w:rsidR="00B601E3">
          <w:rPr>
            <w:noProof/>
            <w:webHidden/>
          </w:rPr>
        </w:r>
        <w:r w:rsidR="00B601E3">
          <w:rPr>
            <w:noProof/>
            <w:webHidden/>
          </w:rPr>
          <w:fldChar w:fldCharType="separate"/>
        </w:r>
        <w:r w:rsidR="004952FF">
          <w:rPr>
            <w:noProof/>
            <w:webHidden/>
          </w:rPr>
          <w:t>3</w:t>
        </w:r>
        <w:r w:rsidR="00B601E3">
          <w:rPr>
            <w:noProof/>
            <w:webHidden/>
          </w:rPr>
          <w:fldChar w:fldCharType="end"/>
        </w:r>
      </w:hyperlink>
    </w:p>
    <w:p w:rsidR="00B601E3" w:rsidRDefault="00C41D37">
      <w:pPr>
        <w:pStyle w:val="TOC3"/>
        <w:tabs>
          <w:tab w:val="left" w:pos="2160"/>
        </w:tabs>
        <w:rPr>
          <w:rFonts w:asciiTheme="minorHAnsi" w:eastAsiaTheme="minorEastAsia" w:hAnsiTheme="minorHAnsi"/>
          <w:noProof/>
          <w:sz w:val="22"/>
        </w:rPr>
      </w:pPr>
      <w:hyperlink w:anchor="_Toc424222979" w:history="1">
        <w:r w:rsidR="00B601E3" w:rsidRPr="0011457C">
          <w:rPr>
            <w:rStyle w:val="Hyperlink"/>
            <w:noProof/>
          </w:rPr>
          <w:t>1.</w:t>
        </w:r>
        <w:r w:rsidR="00B601E3">
          <w:rPr>
            <w:rFonts w:asciiTheme="minorHAnsi" w:eastAsiaTheme="minorEastAsia" w:hAnsiTheme="minorHAnsi"/>
            <w:noProof/>
            <w:sz w:val="22"/>
          </w:rPr>
          <w:tab/>
        </w:r>
        <w:r w:rsidR="00B601E3" w:rsidRPr="0011457C">
          <w:rPr>
            <w:rStyle w:val="Hyperlink"/>
            <w:noProof/>
          </w:rPr>
          <w:t>The DIR Revenue Caps include a three percent growth rate.</w:t>
        </w:r>
        <w:r w:rsidR="00B601E3">
          <w:rPr>
            <w:noProof/>
            <w:webHidden/>
          </w:rPr>
          <w:tab/>
        </w:r>
        <w:r w:rsidR="00B601E3">
          <w:rPr>
            <w:noProof/>
            <w:webHidden/>
          </w:rPr>
          <w:fldChar w:fldCharType="begin"/>
        </w:r>
        <w:r w:rsidR="00B601E3">
          <w:rPr>
            <w:noProof/>
            <w:webHidden/>
          </w:rPr>
          <w:instrText xml:space="preserve"> PAGEREF _Toc424222979 \h </w:instrText>
        </w:r>
        <w:r w:rsidR="00B601E3">
          <w:rPr>
            <w:noProof/>
            <w:webHidden/>
          </w:rPr>
        </w:r>
        <w:r w:rsidR="00B601E3">
          <w:rPr>
            <w:noProof/>
            <w:webHidden/>
          </w:rPr>
          <w:fldChar w:fldCharType="separate"/>
        </w:r>
        <w:r w:rsidR="004952FF">
          <w:rPr>
            <w:noProof/>
            <w:webHidden/>
          </w:rPr>
          <w:t>3</w:t>
        </w:r>
        <w:r w:rsidR="00B601E3">
          <w:rPr>
            <w:noProof/>
            <w:webHidden/>
          </w:rPr>
          <w:fldChar w:fldCharType="end"/>
        </w:r>
      </w:hyperlink>
    </w:p>
    <w:p w:rsidR="00B601E3" w:rsidRDefault="00C41D37">
      <w:pPr>
        <w:pStyle w:val="TOC2"/>
        <w:tabs>
          <w:tab w:val="left" w:pos="1440"/>
        </w:tabs>
        <w:rPr>
          <w:rFonts w:asciiTheme="minorHAnsi" w:eastAsiaTheme="minorEastAsia" w:hAnsiTheme="minorHAnsi"/>
          <w:noProof/>
          <w:sz w:val="22"/>
        </w:rPr>
      </w:pPr>
      <w:hyperlink w:anchor="_Toc424222980" w:history="1">
        <w:r w:rsidR="00B601E3" w:rsidRPr="0011457C">
          <w:rPr>
            <w:rStyle w:val="Hyperlink"/>
            <w:noProof/>
          </w:rPr>
          <w:t>C.</w:t>
        </w:r>
        <w:r w:rsidR="00B601E3">
          <w:rPr>
            <w:rFonts w:asciiTheme="minorHAnsi" w:eastAsiaTheme="minorEastAsia" w:hAnsiTheme="minorHAnsi"/>
            <w:noProof/>
            <w:sz w:val="22"/>
          </w:rPr>
          <w:tab/>
        </w:r>
        <w:r w:rsidR="00B601E3" w:rsidRPr="0011457C">
          <w:rPr>
            <w:rStyle w:val="Hyperlink"/>
            <w:noProof/>
          </w:rPr>
          <w:t>The PUCO should strike AEP Ohio’s reference to information that is not part of the record.</w:t>
        </w:r>
        <w:r w:rsidR="00B601E3">
          <w:rPr>
            <w:noProof/>
            <w:webHidden/>
          </w:rPr>
          <w:tab/>
        </w:r>
        <w:r w:rsidR="00B601E3">
          <w:rPr>
            <w:noProof/>
            <w:webHidden/>
          </w:rPr>
          <w:fldChar w:fldCharType="begin"/>
        </w:r>
        <w:r w:rsidR="00B601E3">
          <w:rPr>
            <w:noProof/>
            <w:webHidden/>
          </w:rPr>
          <w:instrText xml:space="preserve"> PAGEREF _Toc424222980 \h </w:instrText>
        </w:r>
        <w:r w:rsidR="00B601E3">
          <w:rPr>
            <w:noProof/>
            <w:webHidden/>
          </w:rPr>
        </w:r>
        <w:r w:rsidR="00B601E3">
          <w:rPr>
            <w:noProof/>
            <w:webHidden/>
          </w:rPr>
          <w:fldChar w:fldCharType="separate"/>
        </w:r>
        <w:r w:rsidR="004952FF">
          <w:rPr>
            <w:noProof/>
            <w:webHidden/>
          </w:rPr>
          <w:t>6</w:t>
        </w:r>
        <w:r w:rsidR="00B601E3">
          <w:rPr>
            <w:noProof/>
            <w:webHidden/>
          </w:rPr>
          <w:fldChar w:fldCharType="end"/>
        </w:r>
      </w:hyperlink>
    </w:p>
    <w:p w:rsidR="00B601E3" w:rsidRDefault="00C41D37">
      <w:pPr>
        <w:pStyle w:val="TOC2"/>
        <w:tabs>
          <w:tab w:val="left" w:pos="1440"/>
        </w:tabs>
        <w:rPr>
          <w:rFonts w:asciiTheme="minorHAnsi" w:eastAsiaTheme="minorEastAsia" w:hAnsiTheme="minorHAnsi"/>
          <w:noProof/>
          <w:sz w:val="22"/>
        </w:rPr>
      </w:pPr>
      <w:hyperlink w:anchor="_Toc424222981" w:history="1">
        <w:r w:rsidR="00B601E3" w:rsidRPr="0011457C">
          <w:rPr>
            <w:rStyle w:val="Hyperlink"/>
            <w:noProof/>
          </w:rPr>
          <w:t>D.</w:t>
        </w:r>
        <w:r w:rsidR="00B601E3">
          <w:rPr>
            <w:rFonts w:asciiTheme="minorHAnsi" w:eastAsiaTheme="minorEastAsia" w:hAnsiTheme="minorHAnsi"/>
            <w:noProof/>
            <w:sz w:val="22"/>
          </w:rPr>
          <w:tab/>
        </w:r>
        <w:r w:rsidR="00B601E3" w:rsidRPr="0011457C">
          <w:rPr>
            <w:rStyle w:val="Hyperlink"/>
            <w:noProof/>
          </w:rPr>
          <w:t>It was reasonable for the PUCO to delegate certain Purchase of Receivables issues to the working group.</w:t>
        </w:r>
        <w:r w:rsidR="00B601E3">
          <w:rPr>
            <w:noProof/>
            <w:webHidden/>
          </w:rPr>
          <w:tab/>
        </w:r>
        <w:r w:rsidR="00B601E3">
          <w:rPr>
            <w:noProof/>
            <w:webHidden/>
          </w:rPr>
          <w:fldChar w:fldCharType="begin"/>
        </w:r>
        <w:r w:rsidR="00B601E3">
          <w:rPr>
            <w:noProof/>
            <w:webHidden/>
          </w:rPr>
          <w:instrText xml:space="preserve"> PAGEREF _Toc424222981 \h </w:instrText>
        </w:r>
        <w:r w:rsidR="00B601E3">
          <w:rPr>
            <w:noProof/>
            <w:webHidden/>
          </w:rPr>
        </w:r>
        <w:r w:rsidR="00B601E3">
          <w:rPr>
            <w:noProof/>
            <w:webHidden/>
          </w:rPr>
          <w:fldChar w:fldCharType="separate"/>
        </w:r>
        <w:r w:rsidR="004952FF">
          <w:rPr>
            <w:noProof/>
            <w:webHidden/>
          </w:rPr>
          <w:t>9</w:t>
        </w:r>
        <w:r w:rsidR="00B601E3">
          <w:rPr>
            <w:noProof/>
            <w:webHidden/>
          </w:rPr>
          <w:fldChar w:fldCharType="end"/>
        </w:r>
      </w:hyperlink>
    </w:p>
    <w:p w:rsidR="00B601E3" w:rsidRDefault="00C41D37">
      <w:pPr>
        <w:pStyle w:val="TOC1"/>
        <w:rPr>
          <w:rFonts w:asciiTheme="minorHAnsi" w:eastAsiaTheme="minorEastAsia" w:hAnsiTheme="minorHAnsi"/>
          <w:caps w:val="0"/>
          <w:noProof/>
          <w:sz w:val="22"/>
        </w:rPr>
      </w:pPr>
      <w:hyperlink w:anchor="_Toc424222982" w:history="1">
        <w:r w:rsidR="00B601E3" w:rsidRPr="0011457C">
          <w:rPr>
            <w:rStyle w:val="Hyperlink"/>
            <w:noProof/>
          </w:rPr>
          <w:t>III.</w:t>
        </w:r>
        <w:r w:rsidR="00B601E3">
          <w:rPr>
            <w:rFonts w:asciiTheme="minorHAnsi" w:eastAsiaTheme="minorEastAsia" w:hAnsiTheme="minorHAnsi"/>
            <w:caps w:val="0"/>
            <w:noProof/>
            <w:sz w:val="22"/>
          </w:rPr>
          <w:tab/>
        </w:r>
        <w:r w:rsidR="00B601E3" w:rsidRPr="0011457C">
          <w:rPr>
            <w:rStyle w:val="Hyperlink"/>
            <w:noProof/>
          </w:rPr>
          <w:t>CONCLUSION</w:t>
        </w:r>
        <w:r w:rsidR="00B601E3">
          <w:rPr>
            <w:noProof/>
            <w:webHidden/>
          </w:rPr>
          <w:tab/>
        </w:r>
        <w:r w:rsidR="00B601E3">
          <w:rPr>
            <w:noProof/>
            <w:webHidden/>
          </w:rPr>
          <w:fldChar w:fldCharType="begin"/>
        </w:r>
        <w:r w:rsidR="00B601E3">
          <w:rPr>
            <w:noProof/>
            <w:webHidden/>
          </w:rPr>
          <w:instrText xml:space="preserve"> PAGEREF _Toc424222982 \h </w:instrText>
        </w:r>
        <w:r w:rsidR="00B601E3">
          <w:rPr>
            <w:noProof/>
            <w:webHidden/>
          </w:rPr>
        </w:r>
        <w:r w:rsidR="00B601E3">
          <w:rPr>
            <w:noProof/>
            <w:webHidden/>
          </w:rPr>
          <w:fldChar w:fldCharType="separate"/>
        </w:r>
        <w:r w:rsidR="004952FF">
          <w:rPr>
            <w:noProof/>
            <w:webHidden/>
          </w:rPr>
          <w:t>11</w:t>
        </w:r>
        <w:r w:rsidR="00B601E3">
          <w:rPr>
            <w:noProof/>
            <w:webHidden/>
          </w:rPr>
          <w:fldChar w:fldCharType="end"/>
        </w:r>
      </w:hyperlink>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sectPr w:rsidR="00F515BC" w:rsidSect="00F515BC">
          <w:headerReference w:type="default" r:id="rId16"/>
          <w:footerReference w:type="default" r:id="rId17"/>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sz w:val="24"/>
          <w:szCs w:val="24"/>
        </w:rPr>
        <w:fldChar w:fldCharType="end"/>
      </w:r>
    </w:p>
    <w:p w:rsidR="008241D3" w:rsidRPr="008241D3" w:rsidRDefault="008241D3" w:rsidP="00F515BC">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lastRenderedPageBreak/>
        <w:t>BEFORE</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THE PUBLIC UTILITIES COMMISSION OF OHIO</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p>
    <w:tbl>
      <w:tblPr>
        <w:tblW w:w="9092" w:type="dxa"/>
        <w:tblLook w:val="01E0" w:firstRow="1" w:lastRow="1" w:firstColumn="1" w:lastColumn="1" w:noHBand="0" w:noVBand="0"/>
      </w:tblPr>
      <w:tblGrid>
        <w:gridCol w:w="4332"/>
        <w:gridCol w:w="360"/>
        <w:gridCol w:w="4400"/>
      </w:tblGrid>
      <w:tr w:rsidR="008241D3" w:rsidRPr="008241D3" w:rsidTr="00486594">
        <w:trPr>
          <w:trHeight w:val="807"/>
        </w:trPr>
        <w:tc>
          <w:tcPr>
            <w:tcW w:w="4332" w:type="dxa"/>
            <w:shd w:val="clear" w:color="auto" w:fill="auto"/>
          </w:tcPr>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Authority to  Establish a Standard Service Offer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Pursuant to §4928.143, Revised Code,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Form of an Electric Security Plan.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Approval of </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Certain Accounting Authority. </w:t>
            </w:r>
          </w:p>
          <w:p w:rsidR="008241D3" w:rsidRPr="008241D3" w:rsidRDefault="008241D3" w:rsidP="00486594">
            <w:pPr>
              <w:spacing w:after="0" w:line="240" w:lineRule="auto"/>
              <w:rPr>
                <w:rFonts w:ascii="Times New Roman" w:eastAsia="Times New Roman" w:hAnsi="Times New Roman" w:cs="Times New Roman"/>
                <w:sz w:val="24"/>
                <w:szCs w:val="24"/>
              </w:rPr>
            </w:pPr>
          </w:p>
        </w:tc>
        <w:tc>
          <w:tcPr>
            <w:tcW w:w="360" w:type="dxa"/>
            <w:shd w:val="clear" w:color="auto" w:fill="auto"/>
          </w:tcPr>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p>
        </w:tc>
        <w:tc>
          <w:tcPr>
            <w:tcW w:w="4400" w:type="dxa"/>
            <w:shd w:val="clear" w:color="auto" w:fill="auto"/>
          </w:tcPr>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13-2385-EL-SSO</w:t>
            </w: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13-2386-EL-AAM</w:t>
            </w:r>
          </w:p>
        </w:tc>
      </w:tr>
    </w:tbl>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Default="008241D3" w:rsidP="008241D3">
      <w:pPr>
        <w:pBdr>
          <w:top w:val="single" w:sz="4" w:space="1" w:color="auto"/>
        </w:pBdr>
        <w:spacing w:after="0" w:line="240" w:lineRule="auto"/>
        <w:jc w:val="center"/>
        <w:rPr>
          <w:rFonts w:ascii="Times New Roman" w:hAnsi="Times New Roman" w:cs="Times New Roman"/>
          <w:b/>
          <w:sz w:val="24"/>
          <w:szCs w:val="24"/>
        </w:rPr>
      </w:pPr>
    </w:p>
    <w:p w:rsidR="008241D3" w:rsidRDefault="008241D3" w:rsidP="008241D3">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MEMORANDUM CONTRA</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OHIO POWER COMPANY’S APPLICATION FOR REHEARING</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BY</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THE OFFICE OF THE OHIO CONSUMERS’ COUNSEL</w:t>
      </w:r>
    </w:p>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8241D3" w:rsidRDefault="008241D3" w:rsidP="008241D3">
      <w:pPr>
        <w:tabs>
          <w:tab w:val="left" w:pos="0"/>
          <w:tab w:val="left" w:pos="720"/>
        </w:tabs>
        <w:spacing w:after="0" w:line="240" w:lineRule="auto"/>
        <w:rPr>
          <w:rFonts w:ascii="Times New Roman" w:eastAsia="Times New Roman" w:hAnsi="Times New Roman" w:cs="Times New Roman"/>
          <w:b/>
          <w:sz w:val="24"/>
          <w:szCs w:val="20"/>
        </w:rPr>
      </w:pPr>
    </w:p>
    <w:p w:rsidR="008241D3" w:rsidRDefault="001F2FB7" w:rsidP="006E19F7">
      <w:pPr>
        <w:pStyle w:val="Heading1"/>
      </w:pPr>
      <w:bookmarkStart w:id="1" w:name="_Toc424222975"/>
      <w:r>
        <w:t>I.</w:t>
      </w:r>
      <w:r>
        <w:tab/>
      </w:r>
      <w:r w:rsidR="008241D3">
        <w:t>INTRODUCTION</w:t>
      </w:r>
      <w:bookmarkEnd w:id="1"/>
    </w:p>
    <w:p w:rsidR="001F2FB7" w:rsidRPr="003F53A5" w:rsidRDefault="003F53A5" w:rsidP="00573F20">
      <w:pPr>
        <w:spacing w:line="480" w:lineRule="auto"/>
        <w:rPr>
          <w:rFonts w:ascii="Times New Roman" w:hAnsi="Times New Roman" w:cs="Times New Roman"/>
          <w:sz w:val="24"/>
          <w:szCs w:val="24"/>
        </w:rPr>
      </w:pPr>
      <w:r>
        <w:tab/>
      </w:r>
      <w:r>
        <w:rPr>
          <w:rFonts w:ascii="Times New Roman" w:hAnsi="Times New Roman" w:cs="Times New Roman"/>
          <w:sz w:val="24"/>
          <w:szCs w:val="24"/>
        </w:rPr>
        <w:t>The Office of the Ohio Consumers’ Counsel (“OCC”) files this Memorandum Contra the Ohio Power Company’s (“Utility”</w:t>
      </w:r>
      <w:r w:rsidR="00136508">
        <w:rPr>
          <w:rFonts w:ascii="Times New Roman" w:hAnsi="Times New Roman" w:cs="Times New Roman"/>
          <w:sz w:val="24"/>
          <w:szCs w:val="24"/>
        </w:rPr>
        <w:t>,</w:t>
      </w:r>
      <w:r>
        <w:rPr>
          <w:rFonts w:ascii="Times New Roman" w:hAnsi="Times New Roman" w:cs="Times New Roman"/>
          <w:sz w:val="24"/>
          <w:szCs w:val="24"/>
        </w:rPr>
        <w:t xml:space="preserve"> “Ohio Power”</w:t>
      </w:r>
      <w:r w:rsidR="00017F94">
        <w:rPr>
          <w:rFonts w:ascii="Times New Roman" w:hAnsi="Times New Roman" w:cs="Times New Roman"/>
          <w:sz w:val="24"/>
          <w:szCs w:val="24"/>
        </w:rPr>
        <w:t>,</w:t>
      </w:r>
      <w:r>
        <w:rPr>
          <w:rFonts w:ascii="Times New Roman" w:hAnsi="Times New Roman" w:cs="Times New Roman"/>
          <w:sz w:val="24"/>
          <w:szCs w:val="24"/>
        </w:rPr>
        <w:t xml:space="preserve"> or “AEP”) Application for Rehearing</w:t>
      </w:r>
      <w:r w:rsidR="00A75997">
        <w:rPr>
          <w:rFonts w:ascii="Times New Roman" w:hAnsi="Times New Roman" w:cs="Times New Roman"/>
          <w:sz w:val="24"/>
          <w:szCs w:val="24"/>
        </w:rPr>
        <w:t>. OCC</w:t>
      </w:r>
      <w:r>
        <w:rPr>
          <w:rFonts w:ascii="Times New Roman" w:hAnsi="Times New Roman" w:cs="Times New Roman"/>
          <w:sz w:val="24"/>
          <w:szCs w:val="24"/>
        </w:rPr>
        <w:t xml:space="preserve"> oppose</w:t>
      </w:r>
      <w:r w:rsidR="00573F20">
        <w:rPr>
          <w:rFonts w:ascii="Times New Roman" w:hAnsi="Times New Roman" w:cs="Times New Roman"/>
          <w:sz w:val="24"/>
          <w:szCs w:val="24"/>
        </w:rPr>
        <w:t xml:space="preserve">s, inter alia, </w:t>
      </w:r>
      <w:r>
        <w:rPr>
          <w:rFonts w:ascii="Times New Roman" w:hAnsi="Times New Roman" w:cs="Times New Roman"/>
          <w:sz w:val="24"/>
          <w:szCs w:val="24"/>
        </w:rPr>
        <w:t xml:space="preserve">the Utility’s attempt </w:t>
      </w:r>
      <w:r w:rsidR="00A75997">
        <w:rPr>
          <w:rFonts w:ascii="Times New Roman" w:hAnsi="Times New Roman" w:cs="Times New Roman"/>
          <w:sz w:val="24"/>
          <w:szCs w:val="24"/>
        </w:rPr>
        <w:t xml:space="preserve">to undo portions of </w:t>
      </w:r>
      <w:r w:rsidR="00573F20">
        <w:rPr>
          <w:rFonts w:ascii="Times New Roman" w:hAnsi="Times New Roman" w:cs="Times New Roman"/>
          <w:sz w:val="24"/>
          <w:szCs w:val="24"/>
        </w:rPr>
        <w:t xml:space="preserve">the Public Utilities Commission of Ohio’s </w:t>
      </w:r>
      <w:r w:rsidR="00097B3E">
        <w:rPr>
          <w:rFonts w:ascii="Times New Roman" w:hAnsi="Times New Roman" w:cs="Times New Roman"/>
          <w:sz w:val="24"/>
          <w:szCs w:val="24"/>
        </w:rPr>
        <w:t xml:space="preserve">(“PUCO”) </w:t>
      </w:r>
      <w:r w:rsidR="00573F20">
        <w:rPr>
          <w:rFonts w:ascii="Times New Roman" w:hAnsi="Times New Roman" w:cs="Times New Roman"/>
          <w:sz w:val="24"/>
          <w:szCs w:val="24"/>
        </w:rPr>
        <w:t xml:space="preserve">decision that protect </w:t>
      </w:r>
      <w:r w:rsidR="00017F94">
        <w:rPr>
          <w:rFonts w:ascii="Times New Roman" w:hAnsi="Times New Roman" w:cs="Times New Roman"/>
          <w:sz w:val="24"/>
          <w:szCs w:val="24"/>
        </w:rPr>
        <w:t xml:space="preserve">consumers </w:t>
      </w:r>
      <w:r w:rsidR="00573F20">
        <w:rPr>
          <w:rFonts w:ascii="Times New Roman" w:hAnsi="Times New Roman" w:cs="Times New Roman"/>
          <w:sz w:val="24"/>
          <w:szCs w:val="24"/>
        </w:rPr>
        <w:t xml:space="preserve">by placing </w:t>
      </w:r>
      <w:r w:rsidR="00097B3E">
        <w:rPr>
          <w:rFonts w:ascii="Times New Roman" w:hAnsi="Times New Roman" w:cs="Times New Roman"/>
          <w:sz w:val="24"/>
          <w:szCs w:val="24"/>
        </w:rPr>
        <w:t xml:space="preserve">limits </w:t>
      </w:r>
      <w:r w:rsidR="00573F20">
        <w:rPr>
          <w:rFonts w:ascii="Times New Roman" w:hAnsi="Times New Roman" w:cs="Times New Roman"/>
          <w:sz w:val="24"/>
          <w:szCs w:val="24"/>
        </w:rPr>
        <w:t xml:space="preserve">on </w:t>
      </w:r>
      <w:r w:rsidR="00097B3E">
        <w:rPr>
          <w:rFonts w:ascii="Times New Roman" w:hAnsi="Times New Roman" w:cs="Times New Roman"/>
          <w:sz w:val="24"/>
          <w:szCs w:val="24"/>
        </w:rPr>
        <w:t xml:space="preserve">how much customers pay for </w:t>
      </w:r>
      <w:r w:rsidR="00573F20">
        <w:rPr>
          <w:rFonts w:ascii="Times New Roman" w:hAnsi="Times New Roman" w:cs="Times New Roman"/>
          <w:sz w:val="24"/>
          <w:szCs w:val="24"/>
        </w:rPr>
        <w:t>distribution investment</w:t>
      </w:r>
      <w:r w:rsidR="00097B3E">
        <w:rPr>
          <w:rFonts w:ascii="Times New Roman" w:hAnsi="Times New Roman" w:cs="Times New Roman"/>
          <w:sz w:val="24"/>
          <w:szCs w:val="24"/>
        </w:rPr>
        <w:t xml:space="preserve">. </w:t>
      </w:r>
      <w:r w:rsidR="00EA6493">
        <w:rPr>
          <w:rFonts w:ascii="Times New Roman" w:hAnsi="Times New Roman" w:cs="Times New Roman"/>
          <w:sz w:val="24"/>
          <w:szCs w:val="24"/>
        </w:rPr>
        <w:t>AEP’s Application f</w:t>
      </w:r>
      <w:r w:rsidR="00A75997">
        <w:rPr>
          <w:rFonts w:ascii="Times New Roman" w:hAnsi="Times New Roman" w:cs="Times New Roman"/>
          <w:sz w:val="24"/>
          <w:szCs w:val="24"/>
        </w:rPr>
        <w:t>or Rehearing should be denied.</w:t>
      </w:r>
    </w:p>
    <w:p w:rsidR="005C5D3D" w:rsidRDefault="005C5D3D" w:rsidP="006A0B13">
      <w:pPr>
        <w:pStyle w:val="Heading1"/>
      </w:pPr>
      <w:bookmarkStart w:id="2" w:name="_Toc424222976"/>
      <w:r>
        <w:t xml:space="preserve">II. </w:t>
      </w:r>
      <w:r w:rsidR="006E19F7">
        <w:tab/>
      </w:r>
      <w:r>
        <w:t>ARGUMENT</w:t>
      </w:r>
      <w:bookmarkEnd w:id="2"/>
    </w:p>
    <w:p w:rsidR="00655801" w:rsidRDefault="006A0B13" w:rsidP="006A0B13">
      <w:pPr>
        <w:pStyle w:val="Heading2"/>
      </w:pPr>
      <w:bookmarkStart w:id="3" w:name="_Toc424222977"/>
      <w:r>
        <w:t>A.</w:t>
      </w:r>
      <w:r>
        <w:tab/>
      </w:r>
      <w:r w:rsidR="00655801">
        <w:t>The Utility’s request does not meet the standards for rehearing, but rather seeks PUCO clarification.</w:t>
      </w:r>
      <w:bookmarkEnd w:id="3"/>
    </w:p>
    <w:p w:rsidR="00655801" w:rsidRPr="00AA7E10" w:rsidRDefault="00AA7E10" w:rsidP="00AA7E10">
      <w:pPr>
        <w:pStyle w:val="BodyTextIndent3"/>
        <w:spacing w:line="480" w:lineRule="auto"/>
        <w:rPr>
          <w:szCs w:val="24"/>
        </w:rPr>
      </w:pPr>
      <w:r w:rsidRPr="00AA7E10">
        <w:t xml:space="preserve">AEP does not claim that the PUCO’s decision was unlawful or unreasonable in any respect. Instead, AEP Ohio claims that the Commission “mistakenly indicated that the newly established DIR annual revenue caps reflect a 3-4% growth rate” and the </w:t>
      </w:r>
      <w:r w:rsidRPr="00AA7E10">
        <w:lastRenderedPageBreak/>
        <w:t>PUCO “should further adjust the annual revenue caps on rehearing to match its stated intention.”</w:t>
      </w:r>
      <w:r w:rsidR="00655801" w:rsidRPr="00AA7E10">
        <w:rPr>
          <w:rStyle w:val="FootnoteReference"/>
          <w:color w:val="000000"/>
          <w:szCs w:val="24"/>
        </w:rPr>
        <w:footnoteReference w:id="1"/>
      </w:r>
      <w:r w:rsidR="00655801" w:rsidRPr="00AA7E10">
        <w:rPr>
          <w:color w:val="000000"/>
          <w:szCs w:val="24"/>
        </w:rPr>
        <w:t xml:space="preserve"> This is an inappropriate purpose for applications for rehearing under R.C.</w:t>
      </w:r>
      <w:r w:rsidR="00655801" w:rsidRPr="00655801">
        <w:rPr>
          <w:color w:val="000000"/>
          <w:szCs w:val="24"/>
        </w:rPr>
        <w:t xml:space="preserve"> 4903.10 and does not conform to the PUCO rules.</w:t>
      </w:r>
    </w:p>
    <w:p w:rsidR="00655801" w:rsidRPr="00655801" w:rsidRDefault="00655801" w:rsidP="00655801">
      <w:pPr>
        <w:autoSpaceDE w:val="0"/>
        <w:autoSpaceDN w:val="0"/>
        <w:adjustRightInd w:val="0"/>
        <w:spacing w:after="0" w:line="480" w:lineRule="auto"/>
        <w:ind w:firstLine="720"/>
        <w:rPr>
          <w:rFonts w:ascii="Times New Roman" w:eastAsia="Calibri" w:hAnsi="Times New Roman" w:cs="Times New Roman"/>
          <w:sz w:val="24"/>
          <w:szCs w:val="24"/>
        </w:rPr>
      </w:pPr>
      <w:r w:rsidRPr="00655801">
        <w:rPr>
          <w:rFonts w:ascii="Times New Roman" w:eastAsia="Calibri" w:hAnsi="Times New Roman" w:cs="Times New Roman"/>
          <w:sz w:val="24"/>
          <w:szCs w:val="24"/>
        </w:rPr>
        <w:t>Ohio law provides that, within thirty days after issuance of an order from the PUCO, “any party who has entered an appearance in person or by counsel in the proceeding may apply for rehearing in respect to any matters determined in the proceeding.”</w:t>
      </w:r>
      <w:r w:rsidRPr="00655801">
        <w:rPr>
          <w:rFonts w:ascii="Times New Roman" w:hAnsi="Times New Roman" w:cs="Times New Roman"/>
          <w:sz w:val="24"/>
          <w:szCs w:val="24"/>
          <w:vertAlign w:val="superscript"/>
        </w:rPr>
        <w:footnoteReference w:id="2"/>
      </w:r>
      <w:r>
        <w:rPr>
          <w:rFonts w:ascii="Times New Roman" w:eastAsia="Calibri" w:hAnsi="Times New Roman" w:cs="Times New Roman"/>
          <w:sz w:val="24"/>
          <w:szCs w:val="24"/>
        </w:rPr>
        <w:t xml:space="preserve"> </w:t>
      </w:r>
      <w:r w:rsidRPr="00655801">
        <w:rPr>
          <w:rFonts w:ascii="Times New Roman" w:eastAsia="Calibri" w:hAnsi="Times New Roman" w:cs="Times New Roman"/>
          <w:sz w:val="24"/>
          <w:szCs w:val="24"/>
        </w:rPr>
        <w:t xml:space="preserve">Further, the application for rehearing “shall set forth </w:t>
      </w:r>
      <w:r w:rsidRPr="00655801">
        <w:rPr>
          <w:rFonts w:ascii="Times New Roman" w:eastAsia="Calibri" w:hAnsi="Times New Roman" w:cs="Times New Roman"/>
          <w:i/>
          <w:sz w:val="24"/>
          <w:szCs w:val="24"/>
        </w:rPr>
        <w:t>specifically</w:t>
      </w:r>
      <w:r w:rsidRPr="00655801">
        <w:rPr>
          <w:rFonts w:ascii="Times New Roman" w:eastAsia="Calibri" w:hAnsi="Times New Roman" w:cs="Times New Roman"/>
          <w:sz w:val="24"/>
          <w:szCs w:val="24"/>
        </w:rPr>
        <w:t xml:space="preserve"> the ground or grounds on which the applicant considers </w:t>
      </w:r>
      <w:r w:rsidRPr="00655801">
        <w:rPr>
          <w:rFonts w:ascii="Times New Roman" w:eastAsia="Calibri" w:hAnsi="Times New Roman" w:cs="Times New Roman"/>
          <w:i/>
          <w:sz w:val="24"/>
          <w:szCs w:val="24"/>
        </w:rPr>
        <w:t>the order to be unreasonable or unlawful</w:t>
      </w:r>
      <w:r w:rsidRPr="00655801">
        <w:rPr>
          <w:rFonts w:ascii="Times New Roman" w:eastAsia="Calibri" w:hAnsi="Times New Roman" w:cs="Times New Roman"/>
          <w:sz w:val="24"/>
          <w:szCs w:val="24"/>
        </w:rPr>
        <w:t>.”</w:t>
      </w:r>
      <w:r w:rsidRPr="00655801">
        <w:rPr>
          <w:rFonts w:ascii="Times New Roman" w:hAnsi="Times New Roman" w:cs="Times New Roman"/>
          <w:sz w:val="24"/>
          <w:szCs w:val="24"/>
          <w:vertAlign w:val="superscript"/>
        </w:rPr>
        <w:footnoteReference w:id="3"/>
      </w:r>
      <w:r>
        <w:rPr>
          <w:rFonts w:ascii="Times New Roman" w:eastAsia="Calibri" w:hAnsi="Times New Roman" w:cs="Times New Roman"/>
          <w:sz w:val="24"/>
          <w:szCs w:val="24"/>
        </w:rPr>
        <w:t xml:space="preserve"> </w:t>
      </w:r>
      <w:r w:rsidRPr="00655801">
        <w:rPr>
          <w:rFonts w:ascii="Times New Roman" w:hAnsi="Times New Roman" w:cs="Times New Roman"/>
          <w:sz w:val="24"/>
          <w:szCs w:val="24"/>
        </w:rPr>
        <w:t>Ohio Adm. Code 4901-1-35 mirrors this requirement.</w:t>
      </w:r>
    </w:p>
    <w:p w:rsidR="00655801" w:rsidRPr="00655801" w:rsidRDefault="00655801" w:rsidP="00655801">
      <w:pPr>
        <w:autoSpaceDE w:val="0"/>
        <w:autoSpaceDN w:val="0"/>
        <w:adjustRightInd w:val="0"/>
        <w:spacing w:after="0" w:line="480" w:lineRule="auto"/>
        <w:ind w:firstLine="720"/>
        <w:rPr>
          <w:rFonts w:ascii="Times New Roman" w:eastAsia="Calibri" w:hAnsi="Times New Roman" w:cs="Times New Roman"/>
          <w:sz w:val="24"/>
          <w:szCs w:val="24"/>
        </w:rPr>
      </w:pPr>
      <w:r w:rsidRPr="00655801">
        <w:rPr>
          <w:rFonts w:ascii="Times New Roman" w:eastAsia="Calibri" w:hAnsi="Times New Roman" w:cs="Times New Roman"/>
          <w:sz w:val="24"/>
          <w:szCs w:val="24"/>
        </w:rPr>
        <w:t>The Supreme Court of Ohio and the PUCO have determined that an application for rehearing does not comply with R.C. 4903.10 if the application does not specify the grounds on which the PUCO’s order is unlawful or un</w:t>
      </w:r>
      <w:r>
        <w:rPr>
          <w:rFonts w:ascii="Times New Roman" w:eastAsia="Calibri" w:hAnsi="Times New Roman" w:cs="Times New Roman"/>
          <w:sz w:val="24"/>
          <w:szCs w:val="24"/>
        </w:rPr>
        <w:t xml:space="preserve">reasonable. </w:t>
      </w:r>
      <w:r w:rsidRPr="00655801">
        <w:rPr>
          <w:rFonts w:ascii="Times New Roman" w:hAnsi="Times New Roman" w:cs="Times New Roman"/>
          <w:sz w:val="24"/>
          <w:szCs w:val="24"/>
        </w:rPr>
        <w:t>The Court has held that “when an appellant’s grounds for rehearing fail to specifically allege in what respect the PUCO’s order was unreasonable or unlawful, the requirements of R.C. 4903.10 have not been met.”</w:t>
      </w:r>
      <w:r w:rsidRPr="00655801">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Pr="00655801">
        <w:rPr>
          <w:rFonts w:ascii="Times New Roman" w:hAnsi="Times New Roman" w:cs="Times New Roman"/>
          <w:sz w:val="24"/>
          <w:szCs w:val="24"/>
        </w:rPr>
        <w:t>The Court has further mandated that there be “strict compliance with such specificity requirement.”</w:t>
      </w:r>
      <w:r w:rsidRPr="00655801">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w:t>
      </w:r>
      <w:r w:rsidRPr="00655801">
        <w:rPr>
          <w:rFonts w:ascii="Times New Roman" w:hAnsi="Times New Roman" w:cs="Times New Roman"/>
          <w:sz w:val="24"/>
          <w:szCs w:val="24"/>
        </w:rPr>
        <w:t xml:space="preserve">The AEP Application </w:t>
      </w:r>
      <w:r>
        <w:rPr>
          <w:rFonts w:ascii="Times New Roman" w:hAnsi="Times New Roman" w:cs="Times New Roman"/>
          <w:sz w:val="24"/>
          <w:szCs w:val="24"/>
        </w:rPr>
        <w:t xml:space="preserve">for Rehearing </w:t>
      </w:r>
      <w:r w:rsidRPr="00655801">
        <w:rPr>
          <w:rFonts w:ascii="Times New Roman" w:hAnsi="Times New Roman" w:cs="Times New Roman"/>
          <w:sz w:val="24"/>
          <w:szCs w:val="24"/>
        </w:rPr>
        <w:t>does not meet the specificity required by R.C. 4903.10 and should be dismissed.</w:t>
      </w:r>
    </w:p>
    <w:p w:rsidR="00655801" w:rsidRPr="00655801" w:rsidRDefault="00655801" w:rsidP="00655801">
      <w:pPr>
        <w:pStyle w:val="BodyTextIndent3"/>
        <w:spacing w:line="480" w:lineRule="auto"/>
        <w:rPr>
          <w:szCs w:val="24"/>
        </w:rPr>
      </w:pPr>
      <w:r w:rsidRPr="00655801">
        <w:rPr>
          <w:szCs w:val="24"/>
        </w:rPr>
        <w:t>In addition, the PUCO eliminated motions for clarification of PUCO orders in 2008.</w:t>
      </w:r>
      <w:r w:rsidRPr="00655801">
        <w:rPr>
          <w:rStyle w:val="FootnoteReference"/>
          <w:szCs w:val="24"/>
        </w:rPr>
        <w:footnoteReference w:id="6"/>
      </w:r>
      <w:r w:rsidRPr="00655801">
        <w:rPr>
          <w:szCs w:val="24"/>
        </w:rPr>
        <w:t xml:space="preserve"> AEP’s Application for Rehearing is not a proper application for rehearing, and hence the PUCO should not issue the clarification sought in the Joint Application.</w:t>
      </w:r>
    </w:p>
    <w:p w:rsidR="005C5D3D" w:rsidRPr="00547C15" w:rsidRDefault="00655801" w:rsidP="006E19F7">
      <w:pPr>
        <w:pStyle w:val="Heading2"/>
      </w:pPr>
      <w:bookmarkStart w:id="4" w:name="_Toc424222978"/>
      <w:r>
        <w:t>B</w:t>
      </w:r>
      <w:r w:rsidR="006E19F7">
        <w:t>.</w:t>
      </w:r>
      <w:r w:rsidR="006E19F7">
        <w:tab/>
      </w:r>
      <w:r w:rsidR="005C5D3D" w:rsidRPr="00547C15">
        <w:t>The PUCO already adjusted the D</w:t>
      </w:r>
      <w:r>
        <w:t xml:space="preserve">istribution </w:t>
      </w:r>
      <w:r w:rsidR="005C5D3D" w:rsidRPr="00547C15">
        <w:t>I</w:t>
      </w:r>
      <w:r>
        <w:t xml:space="preserve">nvestment </w:t>
      </w:r>
      <w:r w:rsidR="005C5D3D" w:rsidRPr="00547C15">
        <w:t>R</w:t>
      </w:r>
      <w:r>
        <w:t>ider (“DIR”)</w:t>
      </w:r>
      <w:r w:rsidR="005C5D3D" w:rsidRPr="00547C15">
        <w:t xml:space="preserve"> Revenue Caps to include adequate </w:t>
      </w:r>
      <w:r w:rsidR="005C5D3D">
        <w:t>growth.</w:t>
      </w:r>
      <w:bookmarkEnd w:id="4"/>
    </w:p>
    <w:p w:rsidR="005C5D3D" w:rsidRPr="00DD0127" w:rsidRDefault="006E19F7" w:rsidP="006E19F7">
      <w:pPr>
        <w:pStyle w:val="Heading3"/>
      </w:pPr>
      <w:bookmarkStart w:id="5" w:name="_Toc424222979"/>
      <w:r>
        <w:t>1.</w:t>
      </w:r>
      <w:r>
        <w:tab/>
      </w:r>
      <w:r w:rsidR="005C5D3D" w:rsidRPr="00DD0127">
        <w:t xml:space="preserve">The DIR Revenue Caps include a </w:t>
      </w:r>
      <w:r w:rsidR="00017F94">
        <w:t>three percent</w:t>
      </w:r>
      <w:r w:rsidR="005C5D3D" w:rsidRPr="00DD0127">
        <w:t xml:space="preserve"> growth rate.</w:t>
      </w:r>
      <w:bookmarkEnd w:id="5"/>
    </w:p>
    <w:p w:rsidR="005C5D3D" w:rsidRDefault="005C5D3D" w:rsidP="005C5D3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Despite the objections of OCC and other parties, in its Entry on Rehearing, the PUCO increased the DIR revenue caps and the amounts that customers have to pay for reliable service to include significant growth from year to year during the term of the ESP period.</w:t>
      </w:r>
      <w:r>
        <w:rPr>
          <w:rStyle w:val="FootnoteReference"/>
          <w:rFonts w:ascii="Times New Roman" w:hAnsi="Times New Roman" w:cs="Times New Roman"/>
          <w:sz w:val="24"/>
          <w:szCs w:val="24"/>
        </w:rPr>
        <w:footnoteReference w:id="7"/>
      </w:r>
    </w:p>
    <w:p w:rsidR="005C5D3D" w:rsidRDefault="005C5D3D" w:rsidP="00A759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initially approved DIR revenue caps of $124 million in 2016, $146.2 million in 2017, $170 million in 2018 and $103 million for the partial year of 2018.</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w:t>
      </w:r>
      <w:r w:rsidR="00017F94">
        <w:rPr>
          <w:rFonts w:ascii="Times New Roman" w:hAnsi="Times New Roman" w:cs="Times New Roman"/>
          <w:sz w:val="24"/>
          <w:szCs w:val="24"/>
        </w:rPr>
        <w:t xml:space="preserve">its </w:t>
      </w:r>
      <w:r>
        <w:rPr>
          <w:rFonts w:ascii="Times New Roman" w:hAnsi="Times New Roman" w:cs="Times New Roman"/>
          <w:sz w:val="24"/>
          <w:szCs w:val="24"/>
        </w:rPr>
        <w:t>Entry on Rehearing the PUCO increased the DIR revenue caps by $21 million for 2015 from $124 to $145, $18.8 million for 2016 from $146.2 to $165.</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AA7E10">
        <w:rPr>
          <w:rFonts w:ascii="Times New Roman" w:hAnsi="Times New Roman" w:cs="Times New Roman"/>
          <w:sz w:val="24"/>
          <w:szCs w:val="24"/>
        </w:rPr>
        <w:t>As a result of this change, AEP’s customers who already pay the highest electric rates in the state</w:t>
      </w:r>
      <w:r w:rsidR="00AA7E10">
        <w:rPr>
          <w:rStyle w:val="FootnoteReference"/>
          <w:rFonts w:ascii="Times New Roman" w:hAnsi="Times New Roman" w:cs="Times New Roman"/>
          <w:sz w:val="24"/>
          <w:szCs w:val="24"/>
        </w:rPr>
        <w:footnoteReference w:id="10"/>
      </w:r>
      <w:r w:rsidR="00AA7E10">
        <w:rPr>
          <w:rFonts w:ascii="Times New Roman" w:hAnsi="Times New Roman" w:cs="Times New Roman"/>
          <w:sz w:val="24"/>
          <w:szCs w:val="24"/>
        </w:rPr>
        <w:t xml:space="preserve"> will have to pay even higher rates in the future. </w:t>
      </w:r>
      <w:r>
        <w:rPr>
          <w:rFonts w:ascii="Times New Roman" w:hAnsi="Times New Roman" w:cs="Times New Roman"/>
          <w:sz w:val="24"/>
          <w:szCs w:val="24"/>
        </w:rPr>
        <w:t xml:space="preserve">The PUCO explained this adjustment by stating that “it was not the </w:t>
      </w:r>
      <w:r w:rsidR="00136508">
        <w:rPr>
          <w:rFonts w:ascii="Times New Roman" w:hAnsi="Times New Roman" w:cs="Times New Roman"/>
          <w:sz w:val="24"/>
          <w:szCs w:val="24"/>
        </w:rPr>
        <w:t>[PUCO’s]</w:t>
      </w:r>
      <w:r>
        <w:rPr>
          <w:rFonts w:ascii="Times New Roman" w:hAnsi="Times New Roman" w:cs="Times New Roman"/>
          <w:sz w:val="24"/>
          <w:szCs w:val="24"/>
        </w:rPr>
        <w:t xml:space="preserve"> intent to provide for no growth in the annual cap from 2014 to 2015.</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5C5D3D" w:rsidRDefault="005C5D3D" w:rsidP="005C5D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adjustment from the O</w:t>
      </w:r>
      <w:r w:rsidR="00136508">
        <w:rPr>
          <w:rFonts w:ascii="Times New Roman" w:hAnsi="Times New Roman" w:cs="Times New Roman"/>
          <w:sz w:val="24"/>
          <w:szCs w:val="24"/>
        </w:rPr>
        <w:t>pinion and</w:t>
      </w:r>
      <w:r>
        <w:rPr>
          <w:rFonts w:ascii="Times New Roman" w:hAnsi="Times New Roman" w:cs="Times New Roman"/>
          <w:sz w:val="24"/>
          <w:szCs w:val="24"/>
        </w:rPr>
        <w:t xml:space="preserve"> O</w:t>
      </w:r>
      <w:r w:rsidR="00136508">
        <w:rPr>
          <w:rFonts w:ascii="Times New Roman" w:hAnsi="Times New Roman" w:cs="Times New Roman"/>
          <w:sz w:val="24"/>
          <w:szCs w:val="24"/>
        </w:rPr>
        <w:t>rder (“O&amp;O”)</w:t>
      </w:r>
      <w:r>
        <w:rPr>
          <w:rFonts w:ascii="Times New Roman" w:hAnsi="Times New Roman" w:cs="Times New Roman"/>
          <w:sz w:val="24"/>
          <w:szCs w:val="24"/>
        </w:rPr>
        <w:t xml:space="preserve"> to the Entry on Rehearing</w:t>
      </w:r>
      <w:r w:rsidR="00136508">
        <w:rPr>
          <w:rFonts w:ascii="Times New Roman" w:hAnsi="Times New Roman" w:cs="Times New Roman"/>
          <w:sz w:val="24"/>
          <w:szCs w:val="24"/>
        </w:rPr>
        <w:t xml:space="preserve"> (“EoR”)</w:t>
      </w:r>
      <w:r>
        <w:rPr>
          <w:rFonts w:ascii="Times New Roman" w:hAnsi="Times New Roman" w:cs="Times New Roman"/>
          <w:sz w:val="24"/>
          <w:szCs w:val="24"/>
        </w:rPr>
        <w:t xml:space="preserve"> represents a significant increase as noted below:</w:t>
      </w:r>
    </w:p>
    <w:p w:rsidR="006A0B13" w:rsidRDefault="006A0B13" w:rsidP="006A0B13">
      <w:pPr>
        <w:spacing w:after="0" w:line="240" w:lineRule="auto"/>
        <w:ind w:firstLine="720"/>
        <w:rPr>
          <w:rFonts w:ascii="Times New Roman" w:hAnsi="Times New Roman" w:cs="Times New Roman"/>
          <w:sz w:val="24"/>
          <w:szCs w:val="24"/>
        </w:rPr>
      </w:pPr>
    </w:p>
    <w:p w:rsidR="005C5D3D" w:rsidRDefault="005C5D3D" w:rsidP="00A75997">
      <w:pPr>
        <w:spacing w:after="0"/>
        <w:rPr>
          <w:rFonts w:ascii="Times New Roman" w:hAnsi="Times New Roman" w:cs="Times New Roman"/>
          <w:sz w:val="24"/>
          <w:szCs w:val="24"/>
          <w:u w:val="single"/>
        </w:rPr>
      </w:pPr>
      <w:r w:rsidRPr="00547C15">
        <w:rPr>
          <w:rFonts w:ascii="Times New Roman" w:hAnsi="Times New Roman" w:cs="Times New Roman"/>
          <w:sz w:val="24"/>
          <w:szCs w:val="24"/>
          <w:u w:val="single"/>
        </w:rPr>
        <w:t>Year</w:t>
      </w:r>
      <w:r>
        <w:rPr>
          <w:rFonts w:ascii="Times New Roman" w:hAnsi="Times New Roman" w:cs="Times New Roman"/>
          <w:sz w:val="24"/>
          <w:szCs w:val="24"/>
        </w:rPr>
        <w:tab/>
      </w:r>
      <w:r w:rsidRPr="00547C15">
        <w:rPr>
          <w:rFonts w:ascii="Times New Roman" w:hAnsi="Times New Roman" w:cs="Times New Roman"/>
          <w:sz w:val="24"/>
          <w:szCs w:val="24"/>
          <w:u w:val="single"/>
        </w:rPr>
        <w:t>O&amp;O Revenue Caps</w:t>
      </w:r>
      <w:r>
        <w:rPr>
          <w:rFonts w:ascii="Times New Roman" w:hAnsi="Times New Roman" w:cs="Times New Roman"/>
          <w:sz w:val="24"/>
          <w:szCs w:val="24"/>
        </w:rPr>
        <w:tab/>
      </w:r>
      <w:r w:rsidRPr="00547C15">
        <w:rPr>
          <w:rFonts w:ascii="Times New Roman" w:hAnsi="Times New Roman" w:cs="Times New Roman"/>
          <w:sz w:val="24"/>
          <w:szCs w:val="24"/>
          <w:u w:val="single"/>
        </w:rPr>
        <w:t>EoR Revenue Caps</w:t>
      </w:r>
      <w:r>
        <w:rPr>
          <w:rFonts w:ascii="Times New Roman" w:hAnsi="Times New Roman" w:cs="Times New Roman"/>
          <w:sz w:val="24"/>
          <w:szCs w:val="24"/>
        </w:rPr>
        <w:tab/>
      </w:r>
      <w:r>
        <w:rPr>
          <w:rFonts w:ascii="Times New Roman" w:hAnsi="Times New Roman" w:cs="Times New Roman"/>
          <w:sz w:val="24"/>
          <w:szCs w:val="24"/>
          <w:u w:val="single"/>
        </w:rPr>
        <w:t>$ Increase</w:t>
      </w:r>
      <w:r>
        <w:rPr>
          <w:rStyle w:val="FootnoteReference"/>
          <w:rFonts w:ascii="Times New Roman" w:hAnsi="Times New Roman" w:cs="Times New Roman"/>
          <w:sz w:val="24"/>
          <w:szCs w:val="24"/>
          <w:u w:val="single"/>
        </w:rPr>
        <w:footnoteReference w:id="12"/>
      </w:r>
      <w:r>
        <w:rPr>
          <w:rFonts w:ascii="Times New Roman" w:hAnsi="Times New Roman" w:cs="Times New Roman"/>
          <w:sz w:val="24"/>
          <w:szCs w:val="24"/>
        </w:rPr>
        <w:tab/>
      </w:r>
      <w:r w:rsidR="00A75997">
        <w:rPr>
          <w:rFonts w:ascii="Times New Roman" w:hAnsi="Times New Roman" w:cs="Times New Roman"/>
          <w:sz w:val="24"/>
          <w:szCs w:val="24"/>
        </w:rPr>
        <w:t xml:space="preserve">    </w:t>
      </w:r>
      <w:r>
        <w:rPr>
          <w:rFonts w:ascii="Times New Roman" w:hAnsi="Times New Roman" w:cs="Times New Roman"/>
          <w:sz w:val="24"/>
          <w:szCs w:val="24"/>
          <w:u w:val="single"/>
        </w:rPr>
        <w:t>%</w:t>
      </w:r>
      <w:r w:rsidRPr="00547C15">
        <w:rPr>
          <w:rFonts w:ascii="Times New Roman" w:hAnsi="Times New Roman" w:cs="Times New Roman"/>
          <w:sz w:val="24"/>
          <w:szCs w:val="24"/>
          <w:u w:val="single"/>
        </w:rPr>
        <w:t xml:space="preserve"> Increase</w:t>
      </w:r>
      <w:r>
        <w:rPr>
          <w:rStyle w:val="FootnoteReference"/>
          <w:rFonts w:ascii="Times New Roman" w:hAnsi="Times New Roman" w:cs="Times New Roman"/>
          <w:sz w:val="24"/>
          <w:szCs w:val="24"/>
          <w:u w:val="single"/>
        </w:rPr>
        <w:footnoteReference w:id="13"/>
      </w:r>
    </w:p>
    <w:p w:rsidR="006E19F7" w:rsidRDefault="006E19F7" w:rsidP="00A75997">
      <w:pPr>
        <w:spacing w:after="0"/>
        <w:rPr>
          <w:rFonts w:ascii="Times New Roman" w:hAnsi="Times New Roman" w:cs="Times New Roman"/>
          <w:sz w:val="24"/>
          <w:szCs w:val="24"/>
        </w:rPr>
      </w:pPr>
    </w:p>
    <w:p w:rsidR="005C5D3D" w:rsidRDefault="00A75997" w:rsidP="00A75997">
      <w:pPr>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r>
      <w:r w:rsidR="00655801">
        <w:rPr>
          <w:rFonts w:ascii="Times New Roman" w:hAnsi="Times New Roman" w:cs="Times New Roman"/>
          <w:sz w:val="24"/>
          <w:szCs w:val="24"/>
        </w:rPr>
        <w:t>$124 million</w:t>
      </w:r>
      <w:r w:rsidR="00655801">
        <w:rPr>
          <w:rFonts w:ascii="Times New Roman" w:hAnsi="Times New Roman" w:cs="Times New Roman"/>
          <w:sz w:val="24"/>
          <w:szCs w:val="24"/>
        </w:rPr>
        <w:tab/>
        <w:t xml:space="preserve">     $</w:t>
      </w:r>
      <w:r>
        <w:rPr>
          <w:rFonts w:ascii="Times New Roman" w:hAnsi="Times New Roman" w:cs="Times New Roman"/>
          <w:sz w:val="24"/>
          <w:szCs w:val="24"/>
        </w:rPr>
        <w:t>145</w:t>
      </w:r>
      <w:r w:rsidR="00655801">
        <w:rPr>
          <w:rFonts w:ascii="Times New Roman" w:hAnsi="Times New Roman" w:cs="Times New Roman"/>
          <w:sz w:val="24"/>
          <w:szCs w:val="24"/>
        </w:rPr>
        <w:t xml:space="preserve"> million</w:t>
      </w:r>
      <w:r w:rsidR="00655801">
        <w:rPr>
          <w:rFonts w:ascii="Times New Roman" w:hAnsi="Times New Roman" w:cs="Times New Roman"/>
          <w:sz w:val="24"/>
          <w:szCs w:val="24"/>
        </w:rPr>
        <w:tab/>
        <w:t xml:space="preserve">  $</w:t>
      </w:r>
      <w:r>
        <w:rPr>
          <w:rFonts w:ascii="Times New Roman" w:hAnsi="Times New Roman" w:cs="Times New Roman"/>
          <w:sz w:val="24"/>
          <w:szCs w:val="24"/>
        </w:rPr>
        <w:t xml:space="preserve">21 </w:t>
      </w:r>
      <w:r w:rsidR="005C5D3D">
        <w:rPr>
          <w:rFonts w:ascii="Times New Roman" w:hAnsi="Times New Roman" w:cs="Times New Roman"/>
          <w:sz w:val="24"/>
          <w:szCs w:val="24"/>
        </w:rPr>
        <w:t>million</w:t>
      </w:r>
      <w:r w:rsidR="005C5D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C5D3D">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801">
        <w:rPr>
          <w:rFonts w:ascii="Times New Roman" w:hAnsi="Times New Roman" w:cs="Times New Roman"/>
          <w:sz w:val="24"/>
          <w:szCs w:val="24"/>
        </w:rPr>
        <w:t xml:space="preserve">  16.9</w:t>
      </w:r>
    </w:p>
    <w:p w:rsidR="005C5D3D" w:rsidRDefault="00A75997" w:rsidP="00A75997">
      <w:pPr>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sidR="00655801">
        <w:rPr>
          <w:rFonts w:ascii="Times New Roman" w:hAnsi="Times New Roman" w:cs="Times New Roman"/>
          <w:sz w:val="24"/>
          <w:szCs w:val="24"/>
        </w:rPr>
        <w:t>$146.2million</w:t>
      </w:r>
      <w:r w:rsidR="00655801">
        <w:rPr>
          <w:rFonts w:ascii="Times New Roman" w:hAnsi="Times New Roman" w:cs="Times New Roman"/>
          <w:sz w:val="24"/>
          <w:szCs w:val="24"/>
        </w:rPr>
        <w:tab/>
        <w:t xml:space="preserve">     $</w:t>
      </w:r>
      <w:r>
        <w:rPr>
          <w:rFonts w:ascii="Times New Roman" w:hAnsi="Times New Roman" w:cs="Times New Roman"/>
          <w:sz w:val="24"/>
          <w:szCs w:val="24"/>
        </w:rPr>
        <w:t>165</w:t>
      </w:r>
      <w:r w:rsidR="00655801">
        <w:rPr>
          <w:rFonts w:ascii="Times New Roman" w:hAnsi="Times New Roman" w:cs="Times New Roman"/>
          <w:sz w:val="24"/>
          <w:szCs w:val="24"/>
        </w:rPr>
        <w:t xml:space="preserve"> million</w:t>
      </w:r>
      <w:r w:rsidR="00655801">
        <w:rPr>
          <w:rFonts w:ascii="Times New Roman" w:hAnsi="Times New Roman" w:cs="Times New Roman"/>
          <w:sz w:val="24"/>
          <w:szCs w:val="24"/>
        </w:rPr>
        <w:tab/>
        <w:t xml:space="preserve">  $</w:t>
      </w:r>
      <w:r w:rsidR="005C5D3D">
        <w:rPr>
          <w:rFonts w:ascii="Times New Roman" w:hAnsi="Times New Roman" w:cs="Times New Roman"/>
          <w:sz w:val="24"/>
          <w:szCs w:val="24"/>
        </w:rPr>
        <w:t>18.8 million</w:t>
      </w:r>
      <w:r w:rsidR="005C5D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55801">
        <w:rPr>
          <w:rFonts w:ascii="Times New Roman" w:hAnsi="Times New Roman" w:cs="Times New Roman"/>
          <w:sz w:val="24"/>
          <w:szCs w:val="24"/>
        </w:rPr>
        <w:t xml:space="preserve"> 12.85</w:t>
      </w:r>
    </w:p>
    <w:p w:rsidR="005C5D3D" w:rsidRDefault="00A75997" w:rsidP="00A75997">
      <w:pPr>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00655801">
        <w:rPr>
          <w:rFonts w:ascii="Times New Roman" w:hAnsi="Times New Roman" w:cs="Times New Roman"/>
          <w:sz w:val="24"/>
          <w:szCs w:val="24"/>
        </w:rPr>
        <w:t>$</w:t>
      </w:r>
      <w:r>
        <w:rPr>
          <w:rFonts w:ascii="Times New Roman" w:hAnsi="Times New Roman" w:cs="Times New Roman"/>
          <w:sz w:val="24"/>
          <w:szCs w:val="24"/>
        </w:rPr>
        <w:t>170</w:t>
      </w:r>
      <w:r w:rsidR="00655801">
        <w:rPr>
          <w:rFonts w:ascii="Times New Roman" w:hAnsi="Times New Roman" w:cs="Times New Roman"/>
          <w:sz w:val="24"/>
          <w:szCs w:val="24"/>
        </w:rPr>
        <w:t xml:space="preserve"> million</w:t>
      </w:r>
      <w:r w:rsidR="00655801">
        <w:rPr>
          <w:rFonts w:ascii="Times New Roman" w:hAnsi="Times New Roman" w:cs="Times New Roman"/>
          <w:sz w:val="24"/>
          <w:szCs w:val="24"/>
        </w:rPr>
        <w:tab/>
        <w:t xml:space="preserve">     $</w:t>
      </w:r>
      <w:r>
        <w:rPr>
          <w:rFonts w:ascii="Times New Roman" w:hAnsi="Times New Roman" w:cs="Times New Roman"/>
          <w:sz w:val="24"/>
          <w:szCs w:val="24"/>
        </w:rPr>
        <w:t>185</w:t>
      </w:r>
      <w:r w:rsidR="00655801">
        <w:rPr>
          <w:rFonts w:ascii="Times New Roman" w:hAnsi="Times New Roman" w:cs="Times New Roman"/>
          <w:sz w:val="24"/>
          <w:szCs w:val="24"/>
        </w:rPr>
        <w:t xml:space="preserve"> million</w:t>
      </w:r>
      <w:r w:rsidR="00655801">
        <w:rPr>
          <w:rFonts w:ascii="Times New Roman" w:hAnsi="Times New Roman" w:cs="Times New Roman"/>
          <w:sz w:val="24"/>
          <w:szCs w:val="24"/>
        </w:rPr>
        <w:tab/>
        <w:t xml:space="preserve">  $</w:t>
      </w:r>
      <w:r>
        <w:rPr>
          <w:rFonts w:ascii="Times New Roman" w:hAnsi="Times New Roman" w:cs="Times New Roman"/>
          <w:sz w:val="24"/>
          <w:szCs w:val="24"/>
        </w:rPr>
        <w:t xml:space="preserve">15 </w:t>
      </w:r>
      <w:r w:rsidR="005C5D3D">
        <w:rPr>
          <w:rFonts w:ascii="Times New Roman" w:hAnsi="Times New Roman" w:cs="Times New Roman"/>
          <w:sz w:val="24"/>
          <w:szCs w:val="24"/>
        </w:rPr>
        <w:t xml:space="preserve">million </w:t>
      </w:r>
      <w:r w:rsidR="005C5D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55801">
        <w:rPr>
          <w:rFonts w:ascii="Times New Roman" w:hAnsi="Times New Roman" w:cs="Times New Roman"/>
          <w:sz w:val="24"/>
          <w:szCs w:val="24"/>
        </w:rPr>
        <w:t xml:space="preserve">  8.8</w:t>
      </w:r>
    </w:p>
    <w:p w:rsidR="00B601E3" w:rsidRDefault="00B601E3" w:rsidP="00B601E3">
      <w:pPr>
        <w:spacing w:line="240" w:lineRule="auto"/>
        <w:rPr>
          <w:rFonts w:ascii="Times New Roman" w:hAnsi="Times New Roman" w:cs="Times New Roman"/>
          <w:sz w:val="24"/>
          <w:szCs w:val="24"/>
        </w:rPr>
      </w:pPr>
    </w:p>
    <w:p w:rsidR="005C5D3D" w:rsidRDefault="005C5D3D" w:rsidP="005C5D3D">
      <w:pPr>
        <w:spacing w:line="480" w:lineRule="auto"/>
        <w:rPr>
          <w:rFonts w:ascii="Times New Roman" w:hAnsi="Times New Roman" w:cs="Times New Roman"/>
          <w:sz w:val="24"/>
          <w:szCs w:val="24"/>
        </w:rPr>
      </w:pPr>
      <w:r>
        <w:rPr>
          <w:rFonts w:ascii="Times New Roman" w:hAnsi="Times New Roman" w:cs="Times New Roman"/>
          <w:sz w:val="24"/>
          <w:szCs w:val="24"/>
        </w:rPr>
        <w:t>Moreover, not only d</w:t>
      </w:r>
      <w:r w:rsidR="00655801">
        <w:rPr>
          <w:rFonts w:ascii="Times New Roman" w:hAnsi="Times New Roman" w:cs="Times New Roman"/>
          <w:sz w:val="24"/>
          <w:szCs w:val="24"/>
        </w:rPr>
        <w:t>id the PUCO increase the total</w:t>
      </w:r>
      <w:r>
        <w:rPr>
          <w:rFonts w:ascii="Times New Roman" w:hAnsi="Times New Roman" w:cs="Times New Roman"/>
          <w:sz w:val="24"/>
          <w:szCs w:val="24"/>
        </w:rPr>
        <w:t xml:space="preserve"> annual revenue cap </w:t>
      </w:r>
      <w:r w:rsidR="00136508">
        <w:rPr>
          <w:rFonts w:ascii="Times New Roman" w:hAnsi="Times New Roman" w:cs="Times New Roman"/>
          <w:sz w:val="24"/>
          <w:szCs w:val="24"/>
        </w:rPr>
        <w:t xml:space="preserve">amounts </w:t>
      </w:r>
      <w:r w:rsidR="00A75997">
        <w:rPr>
          <w:rFonts w:ascii="Times New Roman" w:hAnsi="Times New Roman" w:cs="Times New Roman"/>
          <w:sz w:val="24"/>
          <w:szCs w:val="24"/>
        </w:rPr>
        <w:t xml:space="preserve">for the DIR </w:t>
      </w:r>
      <w:r w:rsidR="00655801">
        <w:rPr>
          <w:rFonts w:ascii="Times New Roman" w:hAnsi="Times New Roman" w:cs="Times New Roman"/>
          <w:sz w:val="24"/>
          <w:szCs w:val="24"/>
        </w:rPr>
        <w:t xml:space="preserve">for the ESP period </w:t>
      </w:r>
      <w:r w:rsidR="00655801" w:rsidRPr="00AA7E10">
        <w:rPr>
          <w:rFonts w:ascii="Times New Roman" w:hAnsi="Times New Roman" w:cs="Times New Roman"/>
          <w:sz w:val="24"/>
          <w:szCs w:val="24"/>
        </w:rPr>
        <w:t>by $</w:t>
      </w:r>
      <w:r w:rsidR="00AA7E10" w:rsidRPr="00AA7E10">
        <w:rPr>
          <w:rFonts w:ascii="Times New Roman" w:hAnsi="Times New Roman" w:cs="Times New Roman"/>
          <w:sz w:val="24"/>
          <w:szCs w:val="24"/>
        </w:rPr>
        <w:t>3</w:t>
      </w:r>
      <w:r w:rsidR="00655801" w:rsidRPr="00AA7E10">
        <w:rPr>
          <w:rFonts w:ascii="Times New Roman" w:hAnsi="Times New Roman" w:cs="Times New Roman"/>
          <w:sz w:val="24"/>
          <w:szCs w:val="24"/>
        </w:rPr>
        <w:t>7.8 million</w:t>
      </w:r>
      <w:r w:rsidRPr="00AA7E10">
        <w:rPr>
          <w:rFonts w:ascii="Times New Roman" w:hAnsi="Times New Roman" w:cs="Times New Roman"/>
          <w:sz w:val="24"/>
          <w:szCs w:val="24"/>
        </w:rPr>
        <w:t>, but</w:t>
      </w:r>
      <w:r>
        <w:rPr>
          <w:rFonts w:ascii="Times New Roman" w:hAnsi="Times New Roman" w:cs="Times New Roman"/>
          <w:sz w:val="24"/>
          <w:szCs w:val="24"/>
        </w:rPr>
        <w:t xml:space="preserve"> the Entry on Rehearing also allowed for significant increases for DIR spending for each year of the ESP as noted below:</w:t>
      </w:r>
    </w:p>
    <w:p w:rsidR="005C5D3D" w:rsidRPr="00547C15" w:rsidRDefault="005C5D3D" w:rsidP="00A75997">
      <w:pPr>
        <w:rPr>
          <w:rFonts w:ascii="Times New Roman" w:hAnsi="Times New Roman" w:cs="Times New Roman"/>
          <w:sz w:val="24"/>
          <w:szCs w:val="24"/>
          <w:u w:val="single"/>
        </w:rPr>
      </w:pPr>
      <w:r w:rsidRPr="00547C15">
        <w:rPr>
          <w:rFonts w:ascii="Times New Roman" w:hAnsi="Times New Roman" w:cs="Times New Roman"/>
          <w:sz w:val="24"/>
          <w:szCs w:val="24"/>
          <w:u w:val="single"/>
        </w:rPr>
        <w:t>2015</w:t>
      </w:r>
      <w:r>
        <w:rPr>
          <w:rFonts w:ascii="Times New Roman" w:hAnsi="Times New Roman" w:cs="Times New Roman"/>
          <w:sz w:val="24"/>
          <w:szCs w:val="24"/>
          <w:u w:val="single"/>
        </w:rPr>
        <w:t xml:space="preserve"> DIR Rev.</w:t>
      </w:r>
      <w:r w:rsidRPr="00547C15">
        <w:rPr>
          <w:rFonts w:ascii="Times New Roman" w:hAnsi="Times New Roman" w:cs="Times New Roman"/>
          <w:sz w:val="24"/>
          <w:szCs w:val="24"/>
          <w:u w:val="single"/>
        </w:rPr>
        <w:t xml:space="preserve"> Cap</w:t>
      </w:r>
      <w:r>
        <w:rPr>
          <w:rFonts w:ascii="Times New Roman" w:hAnsi="Times New Roman" w:cs="Times New Roman"/>
          <w:sz w:val="24"/>
          <w:szCs w:val="24"/>
        </w:rPr>
        <w:tab/>
      </w:r>
      <w:r w:rsidRPr="00547C15">
        <w:rPr>
          <w:rFonts w:ascii="Times New Roman" w:hAnsi="Times New Roman" w:cs="Times New Roman"/>
          <w:sz w:val="24"/>
          <w:szCs w:val="24"/>
          <w:u w:val="single"/>
        </w:rPr>
        <w:t xml:space="preserve">2016 </w:t>
      </w:r>
      <w:r>
        <w:rPr>
          <w:rFonts w:ascii="Times New Roman" w:hAnsi="Times New Roman" w:cs="Times New Roman"/>
          <w:sz w:val="24"/>
          <w:szCs w:val="24"/>
          <w:u w:val="single"/>
        </w:rPr>
        <w:t>DIR Rev.</w:t>
      </w:r>
      <w:r w:rsidRPr="00547C15">
        <w:rPr>
          <w:rFonts w:ascii="Times New Roman" w:hAnsi="Times New Roman" w:cs="Times New Roman"/>
          <w:sz w:val="24"/>
          <w:szCs w:val="24"/>
          <w:u w:val="single"/>
        </w:rPr>
        <w:t xml:space="preserve"> Cap</w:t>
      </w:r>
      <w:r>
        <w:rPr>
          <w:rFonts w:ascii="Times New Roman" w:hAnsi="Times New Roman" w:cs="Times New Roman"/>
          <w:sz w:val="24"/>
          <w:szCs w:val="24"/>
        </w:rPr>
        <w:tab/>
      </w:r>
      <w:r>
        <w:rPr>
          <w:rFonts w:ascii="Times New Roman" w:hAnsi="Times New Roman" w:cs="Times New Roman"/>
          <w:sz w:val="24"/>
          <w:szCs w:val="24"/>
          <w:u w:val="single"/>
        </w:rPr>
        <w:t>$ Increase</w:t>
      </w:r>
      <w:r>
        <w:rPr>
          <w:rFonts w:ascii="Times New Roman" w:hAnsi="Times New Roman" w:cs="Times New Roman"/>
          <w:sz w:val="24"/>
          <w:szCs w:val="24"/>
        </w:rPr>
        <w:tab/>
      </w:r>
      <w:r>
        <w:rPr>
          <w:rFonts w:ascii="Times New Roman" w:hAnsi="Times New Roman" w:cs="Times New Roman"/>
          <w:sz w:val="24"/>
          <w:szCs w:val="24"/>
          <w:u w:val="single"/>
        </w:rPr>
        <w:t>%</w:t>
      </w:r>
      <w:r w:rsidRPr="00547C15">
        <w:rPr>
          <w:rFonts w:ascii="Times New Roman" w:hAnsi="Times New Roman" w:cs="Times New Roman"/>
          <w:sz w:val="24"/>
          <w:szCs w:val="24"/>
          <w:u w:val="single"/>
        </w:rPr>
        <w:t xml:space="preserve"> Increase</w:t>
      </w:r>
      <w:r w:rsidR="00A75997">
        <w:rPr>
          <w:rFonts w:ascii="Times New Roman" w:hAnsi="Times New Roman" w:cs="Times New Roman"/>
          <w:sz w:val="24"/>
          <w:szCs w:val="24"/>
          <w:u w:val="single"/>
        </w:rPr>
        <w:t xml:space="preserve"> </w:t>
      </w:r>
      <w:r>
        <w:rPr>
          <w:rFonts w:ascii="Times New Roman" w:hAnsi="Times New Roman" w:cs="Times New Roman"/>
          <w:sz w:val="24"/>
          <w:szCs w:val="24"/>
          <w:u w:val="single"/>
        </w:rPr>
        <w:t>2015 to 2016</w:t>
      </w:r>
      <w:r>
        <w:rPr>
          <w:rStyle w:val="FootnoteReference"/>
          <w:rFonts w:ascii="Times New Roman" w:hAnsi="Times New Roman" w:cs="Times New Roman"/>
          <w:sz w:val="24"/>
          <w:szCs w:val="24"/>
          <w:u w:val="single"/>
        </w:rPr>
        <w:footnoteReference w:id="14"/>
      </w:r>
    </w:p>
    <w:p w:rsidR="005C5D3D" w:rsidRDefault="00604B8F" w:rsidP="00A75997">
      <w:pPr>
        <w:rPr>
          <w:rFonts w:ascii="Times New Roman" w:hAnsi="Times New Roman" w:cs="Times New Roman"/>
          <w:sz w:val="24"/>
          <w:szCs w:val="24"/>
        </w:rPr>
      </w:pPr>
      <w:r>
        <w:rPr>
          <w:rFonts w:ascii="Times New Roman" w:hAnsi="Times New Roman" w:cs="Times New Roman"/>
          <w:sz w:val="24"/>
          <w:szCs w:val="24"/>
        </w:rPr>
        <w:t>$</w:t>
      </w:r>
      <w:r w:rsidR="005C5D3D">
        <w:rPr>
          <w:rFonts w:ascii="Times New Roman" w:hAnsi="Times New Roman" w:cs="Times New Roman"/>
          <w:sz w:val="24"/>
          <w:szCs w:val="24"/>
        </w:rPr>
        <w:t>145</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sidR="00A75997">
        <w:rPr>
          <w:rFonts w:ascii="Times New Roman" w:hAnsi="Times New Roman" w:cs="Times New Roman"/>
          <w:sz w:val="24"/>
          <w:szCs w:val="24"/>
        </w:rPr>
        <w:tab/>
        <w:t xml:space="preserve">      </w:t>
      </w:r>
      <w:r>
        <w:rPr>
          <w:rFonts w:ascii="Times New Roman" w:hAnsi="Times New Roman" w:cs="Times New Roman"/>
          <w:sz w:val="24"/>
          <w:szCs w:val="24"/>
        </w:rPr>
        <w:t>$</w:t>
      </w:r>
      <w:r w:rsidR="005C5D3D">
        <w:rPr>
          <w:rFonts w:ascii="Times New Roman" w:hAnsi="Times New Roman" w:cs="Times New Roman"/>
          <w:sz w:val="24"/>
          <w:szCs w:val="24"/>
        </w:rPr>
        <w:t>165</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Pr>
          <w:rFonts w:ascii="Times New Roman" w:hAnsi="Times New Roman" w:cs="Times New Roman"/>
          <w:sz w:val="24"/>
          <w:szCs w:val="24"/>
        </w:rPr>
        <w:t>$</w:t>
      </w:r>
      <w:r w:rsidR="005C5D3D">
        <w:rPr>
          <w:rFonts w:ascii="Times New Roman" w:hAnsi="Times New Roman" w:cs="Times New Roman"/>
          <w:sz w:val="24"/>
          <w:szCs w:val="24"/>
        </w:rPr>
        <w:t>20</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sidR="00A75997">
        <w:rPr>
          <w:rFonts w:ascii="Times New Roman" w:hAnsi="Times New Roman" w:cs="Times New Roman"/>
          <w:sz w:val="24"/>
          <w:szCs w:val="24"/>
        </w:rPr>
        <w:tab/>
      </w:r>
      <w:r w:rsidR="005C5D3D">
        <w:rPr>
          <w:rFonts w:ascii="Times New Roman" w:hAnsi="Times New Roman" w:cs="Times New Roman"/>
          <w:sz w:val="24"/>
          <w:szCs w:val="24"/>
        </w:rPr>
        <w:t>13.79</w:t>
      </w:r>
    </w:p>
    <w:p w:rsidR="005C5D3D" w:rsidRPr="00547C15" w:rsidRDefault="005C5D3D" w:rsidP="00A75997">
      <w:pPr>
        <w:rPr>
          <w:rFonts w:ascii="Times New Roman" w:hAnsi="Times New Roman" w:cs="Times New Roman"/>
          <w:sz w:val="24"/>
          <w:szCs w:val="24"/>
          <w:u w:val="single"/>
        </w:rPr>
      </w:pPr>
      <w:r>
        <w:rPr>
          <w:rFonts w:ascii="Times New Roman" w:hAnsi="Times New Roman" w:cs="Times New Roman"/>
          <w:sz w:val="24"/>
          <w:szCs w:val="24"/>
          <w:u w:val="single"/>
        </w:rPr>
        <w:t>2016 DIR Rev.</w:t>
      </w:r>
      <w:r w:rsidRPr="00547C15">
        <w:rPr>
          <w:rFonts w:ascii="Times New Roman" w:hAnsi="Times New Roman" w:cs="Times New Roman"/>
          <w:sz w:val="24"/>
          <w:szCs w:val="24"/>
          <w:u w:val="single"/>
        </w:rPr>
        <w:t xml:space="preserve"> Cap</w:t>
      </w:r>
      <w:r>
        <w:rPr>
          <w:rFonts w:ascii="Times New Roman" w:hAnsi="Times New Roman" w:cs="Times New Roman"/>
          <w:sz w:val="24"/>
          <w:szCs w:val="24"/>
        </w:rPr>
        <w:tab/>
      </w:r>
      <w:r>
        <w:rPr>
          <w:rFonts w:ascii="Times New Roman" w:hAnsi="Times New Roman" w:cs="Times New Roman"/>
          <w:sz w:val="24"/>
          <w:szCs w:val="24"/>
          <w:u w:val="single"/>
        </w:rPr>
        <w:t>2017</w:t>
      </w:r>
      <w:r w:rsidRPr="00547C15">
        <w:rPr>
          <w:rFonts w:ascii="Times New Roman" w:hAnsi="Times New Roman" w:cs="Times New Roman"/>
          <w:sz w:val="24"/>
          <w:szCs w:val="24"/>
          <w:u w:val="single"/>
        </w:rPr>
        <w:t xml:space="preserve"> </w:t>
      </w:r>
      <w:r>
        <w:rPr>
          <w:rFonts w:ascii="Times New Roman" w:hAnsi="Times New Roman" w:cs="Times New Roman"/>
          <w:sz w:val="24"/>
          <w:szCs w:val="24"/>
          <w:u w:val="single"/>
        </w:rPr>
        <w:t>DIR Rev.</w:t>
      </w:r>
      <w:r w:rsidRPr="00547C15">
        <w:rPr>
          <w:rFonts w:ascii="Times New Roman" w:hAnsi="Times New Roman" w:cs="Times New Roman"/>
          <w:sz w:val="24"/>
          <w:szCs w:val="24"/>
          <w:u w:val="single"/>
        </w:rPr>
        <w:t xml:space="preserve"> Cap</w:t>
      </w:r>
      <w:r>
        <w:rPr>
          <w:rFonts w:ascii="Times New Roman" w:hAnsi="Times New Roman" w:cs="Times New Roman"/>
          <w:sz w:val="24"/>
          <w:szCs w:val="24"/>
        </w:rPr>
        <w:tab/>
      </w:r>
      <w:r>
        <w:rPr>
          <w:rFonts w:ascii="Times New Roman" w:hAnsi="Times New Roman" w:cs="Times New Roman"/>
          <w:sz w:val="24"/>
          <w:szCs w:val="24"/>
          <w:u w:val="single"/>
        </w:rPr>
        <w:t>$ Increase</w:t>
      </w:r>
      <w:r>
        <w:rPr>
          <w:rFonts w:ascii="Times New Roman" w:hAnsi="Times New Roman" w:cs="Times New Roman"/>
          <w:sz w:val="24"/>
          <w:szCs w:val="24"/>
        </w:rPr>
        <w:tab/>
      </w:r>
      <w:r w:rsidR="00A75997">
        <w:rPr>
          <w:rFonts w:ascii="Times New Roman" w:hAnsi="Times New Roman" w:cs="Times New Roman"/>
          <w:sz w:val="24"/>
          <w:szCs w:val="24"/>
          <w:u w:val="single"/>
        </w:rPr>
        <w:t>% Increase</w:t>
      </w:r>
      <w:r>
        <w:rPr>
          <w:rFonts w:ascii="Times New Roman" w:hAnsi="Times New Roman" w:cs="Times New Roman"/>
          <w:sz w:val="24"/>
          <w:szCs w:val="24"/>
          <w:u w:val="single"/>
        </w:rPr>
        <w:t xml:space="preserve"> 2016 to 2017</w:t>
      </w:r>
      <w:r>
        <w:rPr>
          <w:rStyle w:val="FootnoteReference"/>
          <w:rFonts w:ascii="Times New Roman" w:hAnsi="Times New Roman" w:cs="Times New Roman"/>
          <w:sz w:val="24"/>
          <w:szCs w:val="24"/>
          <w:u w:val="single"/>
        </w:rPr>
        <w:footnoteReference w:id="15"/>
      </w:r>
    </w:p>
    <w:p w:rsidR="005C5D3D" w:rsidRDefault="00604B8F" w:rsidP="00A75997">
      <w:pPr>
        <w:rPr>
          <w:rFonts w:ascii="Times New Roman" w:hAnsi="Times New Roman" w:cs="Times New Roman"/>
          <w:sz w:val="24"/>
          <w:szCs w:val="24"/>
        </w:rPr>
      </w:pPr>
      <w:r>
        <w:rPr>
          <w:rFonts w:ascii="Times New Roman" w:hAnsi="Times New Roman" w:cs="Times New Roman"/>
          <w:sz w:val="24"/>
          <w:szCs w:val="24"/>
        </w:rPr>
        <w:t>$</w:t>
      </w:r>
      <w:r w:rsidR="005C5D3D">
        <w:rPr>
          <w:rFonts w:ascii="Times New Roman" w:hAnsi="Times New Roman" w:cs="Times New Roman"/>
          <w:sz w:val="24"/>
          <w:szCs w:val="24"/>
        </w:rPr>
        <w:t>165</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sidR="00A75997">
        <w:rPr>
          <w:rFonts w:ascii="Times New Roman" w:hAnsi="Times New Roman" w:cs="Times New Roman"/>
          <w:sz w:val="24"/>
          <w:szCs w:val="24"/>
        </w:rPr>
        <w:tab/>
        <w:t xml:space="preserve">      </w:t>
      </w:r>
      <w:r>
        <w:rPr>
          <w:rFonts w:ascii="Times New Roman" w:hAnsi="Times New Roman" w:cs="Times New Roman"/>
          <w:sz w:val="24"/>
          <w:szCs w:val="24"/>
        </w:rPr>
        <w:t>$</w:t>
      </w:r>
      <w:r w:rsidR="005C5D3D">
        <w:rPr>
          <w:rFonts w:ascii="Times New Roman" w:hAnsi="Times New Roman" w:cs="Times New Roman"/>
          <w:sz w:val="24"/>
          <w:szCs w:val="24"/>
        </w:rPr>
        <w:t>185</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Pr>
          <w:rFonts w:ascii="Times New Roman" w:hAnsi="Times New Roman" w:cs="Times New Roman"/>
          <w:sz w:val="24"/>
          <w:szCs w:val="24"/>
        </w:rPr>
        <w:t>$</w:t>
      </w:r>
      <w:r w:rsidR="005C5D3D">
        <w:rPr>
          <w:rFonts w:ascii="Times New Roman" w:hAnsi="Times New Roman" w:cs="Times New Roman"/>
          <w:sz w:val="24"/>
          <w:szCs w:val="24"/>
        </w:rPr>
        <w:t>20</w:t>
      </w:r>
      <w:r>
        <w:rPr>
          <w:rFonts w:ascii="Times New Roman" w:hAnsi="Times New Roman" w:cs="Times New Roman"/>
          <w:sz w:val="24"/>
          <w:szCs w:val="24"/>
        </w:rPr>
        <w:t xml:space="preserve"> million</w:t>
      </w:r>
      <w:r w:rsidR="00A75997">
        <w:rPr>
          <w:rFonts w:ascii="Times New Roman" w:hAnsi="Times New Roman" w:cs="Times New Roman"/>
          <w:sz w:val="24"/>
          <w:szCs w:val="24"/>
        </w:rPr>
        <w:tab/>
      </w:r>
      <w:r w:rsidR="00A75997">
        <w:rPr>
          <w:rFonts w:ascii="Times New Roman" w:hAnsi="Times New Roman" w:cs="Times New Roman"/>
          <w:sz w:val="24"/>
          <w:szCs w:val="24"/>
        </w:rPr>
        <w:tab/>
      </w:r>
      <w:r w:rsidR="005C5D3D">
        <w:rPr>
          <w:rFonts w:ascii="Times New Roman" w:hAnsi="Times New Roman" w:cs="Times New Roman"/>
          <w:sz w:val="24"/>
          <w:szCs w:val="24"/>
        </w:rPr>
        <w:t>12.12</w:t>
      </w:r>
    </w:p>
    <w:p w:rsidR="00B601E3" w:rsidRDefault="005C5D3D" w:rsidP="00B601E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5D3D" w:rsidRDefault="005C5D3D" w:rsidP="00B60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setting the DIR revenue caps at these levels in the Entry on Rehearing, the PUCO concluded that:</w:t>
      </w:r>
    </w:p>
    <w:p w:rsidR="005C5D3D" w:rsidRDefault="005C5D3D" w:rsidP="006E19F7">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We find that the adjusted caps shall reflect annual growth in the DIR, as a percentage of </w:t>
      </w:r>
      <w:r w:rsidRPr="00A75997">
        <w:rPr>
          <w:rFonts w:ascii="Times New Roman" w:hAnsi="Times New Roman" w:cs="Times New Roman"/>
          <w:i/>
          <w:sz w:val="24"/>
          <w:szCs w:val="24"/>
        </w:rPr>
        <w:t>customer base distribution charges,</w:t>
      </w:r>
      <w:r>
        <w:rPr>
          <w:rFonts w:ascii="Times New Roman" w:hAnsi="Times New Roman" w:cs="Times New Roman"/>
          <w:sz w:val="24"/>
          <w:szCs w:val="24"/>
        </w:rPr>
        <w:t xml:space="preserve"> of three to four percent, which was our objective in modifying the DIR annual revenue caps proposed by AEP Ohio for the ESP 3 term so that they more closely track the progression from the ESP 2 Case.</w:t>
      </w:r>
      <w:r>
        <w:rPr>
          <w:rStyle w:val="FootnoteReference"/>
          <w:rFonts w:ascii="Times New Roman" w:hAnsi="Times New Roman" w:cs="Times New Roman"/>
          <w:sz w:val="24"/>
          <w:szCs w:val="24"/>
        </w:rPr>
        <w:footnoteReference w:id="16"/>
      </w:r>
    </w:p>
    <w:p w:rsidR="005C5D3D" w:rsidRPr="00547C15" w:rsidRDefault="005C5D3D" w:rsidP="005C5D3D">
      <w:pPr>
        <w:autoSpaceDE w:val="0"/>
        <w:autoSpaceDN w:val="0"/>
        <w:adjustRightInd w:val="0"/>
        <w:spacing w:after="0" w:line="240" w:lineRule="auto"/>
        <w:ind w:right="1440"/>
        <w:rPr>
          <w:rFonts w:ascii="Times New Roman" w:hAnsi="Times New Roman" w:cs="Times New Roman"/>
          <w:sz w:val="24"/>
          <w:szCs w:val="24"/>
        </w:rPr>
      </w:pPr>
    </w:p>
    <w:p w:rsidR="00CB1B1A"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4B8F">
        <w:rPr>
          <w:rFonts w:ascii="Times New Roman" w:hAnsi="Times New Roman" w:cs="Times New Roman"/>
          <w:sz w:val="24"/>
          <w:szCs w:val="24"/>
        </w:rPr>
        <w:t xml:space="preserve">In its </w:t>
      </w:r>
      <w:r w:rsidR="00136508">
        <w:rPr>
          <w:rFonts w:ascii="Times New Roman" w:hAnsi="Times New Roman" w:cs="Times New Roman"/>
          <w:sz w:val="24"/>
          <w:szCs w:val="24"/>
        </w:rPr>
        <w:t>A</w:t>
      </w:r>
      <w:r w:rsidR="00604B8F">
        <w:rPr>
          <w:rFonts w:ascii="Times New Roman" w:hAnsi="Times New Roman" w:cs="Times New Roman"/>
          <w:sz w:val="24"/>
          <w:szCs w:val="24"/>
        </w:rPr>
        <w:t xml:space="preserve">pplication for </w:t>
      </w:r>
      <w:r w:rsidR="00136508">
        <w:rPr>
          <w:rFonts w:ascii="Times New Roman" w:hAnsi="Times New Roman" w:cs="Times New Roman"/>
          <w:sz w:val="24"/>
          <w:szCs w:val="24"/>
        </w:rPr>
        <w:t>R</w:t>
      </w:r>
      <w:r w:rsidR="00604B8F">
        <w:rPr>
          <w:rFonts w:ascii="Times New Roman" w:hAnsi="Times New Roman" w:cs="Times New Roman"/>
          <w:sz w:val="24"/>
          <w:szCs w:val="24"/>
        </w:rPr>
        <w:t xml:space="preserve">ehearing, </w:t>
      </w:r>
      <w:r>
        <w:rPr>
          <w:rFonts w:ascii="Times New Roman" w:hAnsi="Times New Roman" w:cs="Times New Roman"/>
          <w:sz w:val="24"/>
          <w:szCs w:val="24"/>
        </w:rPr>
        <w:t xml:space="preserve">AEP Ohio </w:t>
      </w:r>
      <w:r w:rsidR="00604B8F">
        <w:rPr>
          <w:rFonts w:ascii="Times New Roman" w:hAnsi="Times New Roman" w:cs="Times New Roman"/>
          <w:sz w:val="24"/>
          <w:szCs w:val="24"/>
        </w:rPr>
        <w:t xml:space="preserve">once again seeks to increase the amount of money being collected from customers for the </w:t>
      </w:r>
      <w:r w:rsidR="00017F94">
        <w:rPr>
          <w:rFonts w:ascii="Times New Roman" w:hAnsi="Times New Roman" w:cs="Times New Roman"/>
          <w:sz w:val="24"/>
          <w:szCs w:val="24"/>
        </w:rPr>
        <w:t>DIR</w:t>
      </w:r>
      <w:r w:rsidR="00A75997">
        <w:rPr>
          <w:rFonts w:ascii="Times New Roman" w:hAnsi="Times New Roman" w:cs="Times New Roman"/>
          <w:sz w:val="24"/>
          <w:szCs w:val="24"/>
        </w:rPr>
        <w:t>.</w:t>
      </w:r>
      <w:r w:rsidR="00604B8F">
        <w:rPr>
          <w:rFonts w:ascii="Times New Roman" w:hAnsi="Times New Roman" w:cs="Times New Roman"/>
          <w:sz w:val="24"/>
          <w:szCs w:val="24"/>
        </w:rPr>
        <w:t xml:space="preserve"> </w:t>
      </w:r>
      <w:r w:rsidR="00F77108">
        <w:rPr>
          <w:rFonts w:ascii="Times New Roman" w:hAnsi="Times New Roman" w:cs="Times New Roman"/>
          <w:sz w:val="24"/>
          <w:szCs w:val="24"/>
        </w:rPr>
        <w:t xml:space="preserve">This time around AEP </w:t>
      </w:r>
      <w:r w:rsidR="00136508">
        <w:rPr>
          <w:rFonts w:ascii="Times New Roman" w:hAnsi="Times New Roman" w:cs="Times New Roman"/>
          <w:sz w:val="24"/>
          <w:szCs w:val="24"/>
        </w:rPr>
        <w:t>requests</w:t>
      </w:r>
      <w:r w:rsidR="00F77108">
        <w:rPr>
          <w:rFonts w:ascii="Times New Roman" w:hAnsi="Times New Roman" w:cs="Times New Roman"/>
          <w:sz w:val="24"/>
          <w:szCs w:val="24"/>
        </w:rPr>
        <w:t xml:space="preserve"> </w:t>
      </w:r>
      <w:r w:rsidR="00017F94">
        <w:rPr>
          <w:rFonts w:ascii="Times New Roman" w:hAnsi="Times New Roman" w:cs="Times New Roman"/>
          <w:sz w:val="24"/>
          <w:szCs w:val="24"/>
        </w:rPr>
        <w:t xml:space="preserve">that </w:t>
      </w:r>
      <w:r w:rsidR="00F77108">
        <w:rPr>
          <w:rFonts w:ascii="Times New Roman" w:hAnsi="Times New Roman" w:cs="Times New Roman"/>
          <w:sz w:val="24"/>
          <w:szCs w:val="24"/>
        </w:rPr>
        <w:t>the PUCO to approve an additional $23 to $86 million of customer funding over th</w:t>
      </w:r>
      <w:r w:rsidR="00A75997">
        <w:rPr>
          <w:rFonts w:ascii="Times New Roman" w:hAnsi="Times New Roman" w:cs="Times New Roman"/>
          <w:sz w:val="24"/>
          <w:szCs w:val="24"/>
        </w:rPr>
        <w:t xml:space="preserve">e term of the ESP for the DIR. </w:t>
      </w:r>
      <w:r w:rsidR="00604B8F">
        <w:rPr>
          <w:rFonts w:ascii="Times New Roman" w:hAnsi="Times New Roman" w:cs="Times New Roman"/>
          <w:sz w:val="24"/>
          <w:szCs w:val="24"/>
        </w:rPr>
        <w:t xml:space="preserve">AEP </w:t>
      </w:r>
      <w:r>
        <w:rPr>
          <w:rFonts w:ascii="Times New Roman" w:hAnsi="Times New Roman" w:cs="Times New Roman"/>
          <w:sz w:val="24"/>
          <w:szCs w:val="24"/>
        </w:rPr>
        <w:t>argues that the increase</w:t>
      </w:r>
      <w:r w:rsidR="00604B8F">
        <w:rPr>
          <w:rFonts w:ascii="Times New Roman" w:hAnsi="Times New Roman" w:cs="Times New Roman"/>
          <w:sz w:val="24"/>
          <w:szCs w:val="24"/>
        </w:rPr>
        <w:t xml:space="preserve">d collection from customers that the PUCO ordered in the Entry on </w:t>
      </w:r>
      <w:r w:rsidR="00604B8F" w:rsidRPr="00AA7E10">
        <w:rPr>
          <w:rFonts w:ascii="Times New Roman" w:hAnsi="Times New Roman" w:cs="Times New Roman"/>
          <w:sz w:val="24"/>
          <w:szCs w:val="24"/>
        </w:rPr>
        <w:t xml:space="preserve">Rehearing </w:t>
      </w:r>
      <w:r w:rsidR="00655801" w:rsidRPr="00AA7E10">
        <w:rPr>
          <w:rFonts w:ascii="Times New Roman" w:hAnsi="Times New Roman" w:cs="Times New Roman"/>
          <w:sz w:val="24"/>
          <w:szCs w:val="24"/>
        </w:rPr>
        <w:t>($</w:t>
      </w:r>
      <w:r w:rsidR="00AA7E10" w:rsidRPr="00AA7E10">
        <w:rPr>
          <w:rFonts w:ascii="Times New Roman" w:hAnsi="Times New Roman" w:cs="Times New Roman"/>
          <w:sz w:val="24"/>
          <w:szCs w:val="24"/>
        </w:rPr>
        <w:t>3</w:t>
      </w:r>
      <w:r w:rsidR="00655801" w:rsidRPr="00AA7E10">
        <w:rPr>
          <w:rFonts w:ascii="Times New Roman" w:hAnsi="Times New Roman" w:cs="Times New Roman"/>
          <w:sz w:val="24"/>
          <w:szCs w:val="24"/>
        </w:rPr>
        <w:t>7.8</w:t>
      </w:r>
      <w:r w:rsidR="00A75997" w:rsidRPr="00AA7E10">
        <w:rPr>
          <w:rFonts w:ascii="Times New Roman" w:hAnsi="Times New Roman" w:cs="Times New Roman"/>
          <w:sz w:val="24"/>
          <w:szCs w:val="24"/>
        </w:rPr>
        <w:t xml:space="preserve"> </w:t>
      </w:r>
      <w:r w:rsidR="00F77108" w:rsidRPr="00AA7E10">
        <w:rPr>
          <w:rFonts w:ascii="Times New Roman" w:hAnsi="Times New Roman" w:cs="Times New Roman"/>
          <w:sz w:val="24"/>
          <w:szCs w:val="24"/>
        </w:rPr>
        <w:t>million)</w:t>
      </w:r>
      <w:r w:rsidR="00F77108">
        <w:rPr>
          <w:rFonts w:ascii="Times New Roman" w:hAnsi="Times New Roman" w:cs="Times New Roman"/>
          <w:sz w:val="24"/>
          <w:szCs w:val="24"/>
        </w:rPr>
        <w:t xml:space="preserve"> </w:t>
      </w:r>
      <w:r w:rsidR="00A75997">
        <w:rPr>
          <w:rFonts w:ascii="Times New Roman" w:hAnsi="Times New Roman" w:cs="Times New Roman"/>
          <w:sz w:val="24"/>
          <w:szCs w:val="24"/>
        </w:rPr>
        <w:t xml:space="preserve">is still not enough. </w:t>
      </w:r>
      <w:r w:rsidR="00604B8F">
        <w:rPr>
          <w:rFonts w:ascii="Times New Roman" w:hAnsi="Times New Roman" w:cs="Times New Roman"/>
          <w:sz w:val="24"/>
          <w:szCs w:val="24"/>
        </w:rPr>
        <w:t>AEP argues that</w:t>
      </w:r>
      <w:r w:rsidR="00655801">
        <w:rPr>
          <w:rFonts w:ascii="Times New Roman" w:hAnsi="Times New Roman" w:cs="Times New Roman"/>
          <w:sz w:val="24"/>
          <w:szCs w:val="24"/>
        </w:rPr>
        <w:t xml:space="preserve"> despite this increase</w:t>
      </w:r>
      <w:r w:rsidR="00604B8F">
        <w:rPr>
          <w:rFonts w:ascii="Times New Roman" w:hAnsi="Times New Roman" w:cs="Times New Roman"/>
          <w:sz w:val="24"/>
          <w:szCs w:val="24"/>
        </w:rPr>
        <w:t xml:space="preserve"> </w:t>
      </w:r>
      <w:r w:rsidR="00655801">
        <w:rPr>
          <w:rFonts w:ascii="Times New Roman" w:hAnsi="Times New Roman" w:cs="Times New Roman"/>
          <w:sz w:val="24"/>
          <w:szCs w:val="24"/>
        </w:rPr>
        <w:t xml:space="preserve">in </w:t>
      </w:r>
      <w:r w:rsidR="00604B8F">
        <w:rPr>
          <w:rFonts w:ascii="Times New Roman" w:hAnsi="Times New Roman" w:cs="Times New Roman"/>
          <w:sz w:val="24"/>
          <w:szCs w:val="24"/>
        </w:rPr>
        <w:t>the amount of money that ca</w:t>
      </w:r>
      <w:r w:rsidR="00655801">
        <w:rPr>
          <w:rFonts w:ascii="Times New Roman" w:hAnsi="Times New Roman" w:cs="Times New Roman"/>
          <w:sz w:val="24"/>
          <w:szCs w:val="24"/>
        </w:rPr>
        <w:t>n be collected from customers</w:t>
      </w:r>
      <w:r w:rsidR="00A75997">
        <w:rPr>
          <w:rFonts w:ascii="Times New Roman" w:hAnsi="Times New Roman" w:cs="Times New Roman"/>
          <w:sz w:val="24"/>
          <w:szCs w:val="24"/>
        </w:rPr>
        <w:t xml:space="preserve"> the PUCO nonetheless</w:t>
      </w:r>
      <w:r>
        <w:rPr>
          <w:rFonts w:ascii="Times New Roman" w:hAnsi="Times New Roman" w:cs="Times New Roman"/>
          <w:sz w:val="24"/>
          <w:szCs w:val="24"/>
        </w:rPr>
        <w:t xml:space="preserve"> did not provide for </w:t>
      </w:r>
      <w:r w:rsidR="00017F94">
        <w:rPr>
          <w:rFonts w:ascii="Times New Roman" w:hAnsi="Times New Roman" w:cs="Times New Roman"/>
          <w:sz w:val="24"/>
          <w:szCs w:val="24"/>
        </w:rPr>
        <w:t>three to four percent</w:t>
      </w:r>
      <w:r>
        <w:rPr>
          <w:rFonts w:ascii="Times New Roman" w:hAnsi="Times New Roman" w:cs="Times New Roman"/>
          <w:sz w:val="24"/>
          <w:szCs w:val="24"/>
        </w:rPr>
        <w:t xml:space="preserve"> annual growth</w:t>
      </w:r>
      <w:r w:rsidR="00CB1B1A">
        <w:rPr>
          <w:rFonts w:ascii="Times New Roman" w:hAnsi="Times New Roman" w:cs="Times New Roman"/>
          <w:sz w:val="24"/>
          <w:szCs w:val="24"/>
        </w:rPr>
        <w:t>, that it committed to when it approved the DIR</w:t>
      </w:r>
      <w:r w:rsidR="00A75997">
        <w:rPr>
          <w:rFonts w:ascii="Times New Roman" w:hAnsi="Times New Roman" w:cs="Times New Roman"/>
          <w:sz w:val="24"/>
          <w:szCs w:val="24"/>
        </w:rPr>
        <w:t>.</w:t>
      </w:r>
    </w:p>
    <w:p w:rsidR="005C5D3D" w:rsidRDefault="005C5D3D" w:rsidP="00A75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Ohio is </w:t>
      </w:r>
      <w:r w:rsidR="00CB1B1A">
        <w:rPr>
          <w:rFonts w:ascii="Times New Roman" w:hAnsi="Times New Roman" w:cs="Times New Roman"/>
          <w:sz w:val="24"/>
          <w:szCs w:val="24"/>
        </w:rPr>
        <w:t xml:space="preserve">factually </w:t>
      </w:r>
      <w:r>
        <w:rPr>
          <w:rFonts w:ascii="Times New Roman" w:hAnsi="Times New Roman" w:cs="Times New Roman"/>
          <w:sz w:val="24"/>
          <w:szCs w:val="24"/>
        </w:rPr>
        <w:t>wrong. The</w:t>
      </w:r>
      <w:r w:rsidR="00A75997">
        <w:rPr>
          <w:rFonts w:ascii="Times New Roman" w:hAnsi="Times New Roman" w:cs="Times New Roman"/>
          <w:sz w:val="24"/>
          <w:szCs w:val="24"/>
        </w:rPr>
        <w:t xml:space="preserve"> PUCO did include </w:t>
      </w:r>
      <w:r w:rsidR="00CB1B1A">
        <w:rPr>
          <w:rFonts w:ascii="Times New Roman" w:hAnsi="Times New Roman" w:cs="Times New Roman"/>
          <w:sz w:val="24"/>
          <w:szCs w:val="24"/>
        </w:rPr>
        <w:t>a</w:t>
      </w:r>
      <w:r>
        <w:rPr>
          <w:rFonts w:ascii="Times New Roman" w:hAnsi="Times New Roman" w:cs="Times New Roman"/>
          <w:sz w:val="24"/>
          <w:szCs w:val="24"/>
        </w:rPr>
        <w:t xml:space="preserve"> </w:t>
      </w:r>
      <w:r w:rsidR="00017F94">
        <w:rPr>
          <w:rFonts w:ascii="Times New Roman" w:hAnsi="Times New Roman" w:cs="Times New Roman"/>
          <w:sz w:val="24"/>
          <w:szCs w:val="24"/>
        </w:rPr>
        <w:t>three to four percent</w:t>
      </w:r>
      <w:r>
        <w:rPr>
          <w:rFonts w:ascii="Times New Roman" w:hAnsi="Times New Roman" w:cs="Times New Roman"/>
          <w:sz w:val="24"/>
          <w:szCs w:val="24"/>
        </w:rPr>
        <w:t xml:space="preserve"> growth </w:t>
      </w:r>
      <w:r w:rsidR="00CB1B1A">
        <w:rPr>
          <w:rFonts w:ascii="Times New Roman" w:hAnsi="Times New Roman" w:cs="Times New Roman"/>
          <w:sz w:val="24"/>
          <w:szCs w:val="24"/>
        </w:rPr>
        <w:t xml:space="preserve">in customer funding for the DIR </w:t>
      </w:r>
      <w:r>
        <w:rPr>
          <w:rFonts w:ascii="Times New Roman" w:hAnsi="Times New Roman" w:cs="Times New Roman"/>
          <w:sz w:val="24"/>
          <w:szCs w:val="24"/>
        </w:rPr>
        <w:t>from 2015 to 2016 and 2017 as set forth below:</w:t>
      </w:r>
    </w:p>
    <w:p w:rsidR="005C5D3D" w:rsidRDefault="005C5D3D" w:rsidP="006E19F7">
      <w:pPr>
        <w:spacing w:after="0" w:line="240" w:lineRule="auto"/>
        <w:rPr>
          <w:rFonts w:ascii="Times New Roman" w:hAnsi="Times New Roman" w:cs="Times New Roman"/>
          <w:sz w:val="24"/>
          <w:szCs w:val="24"/>
        </w:rPr>
      </w:pPr>
    </w:p>
    <w:p w:rsidR="005C5D3D" w:rsidRDefault="005C5D3D" w:rsidP="005C5D3D">
      <w:pPr>
        <w:spacing w:after="0" w:line="480" w:lineRule="auto"/>
        <w:rPr>
          <w:rFonts w:ascii="Times New Roman" w:hAnsi="Times New Roman" w:cs="Times New Roman"/>
          <w:sz w:val="24"/>
          <w:szCs w:val="24"/>
        </w:rPr>
      </w:pPr>
      <w:r w:rsidRPr="00547C15">
        <w:rPr>
          <w:rFonts w:ascii="Times New Roman" w:hAnsi="Times New Roman" w:cs="Times New Roman"/>
          <w:sz w:val="24"/>
          <w:szCs w:val="24"/>
          <w:u w:val="single"/>
        </w:rPr>
        <w:t>Year</w:t>
      </w:r>
      <w:r w:rsidR="00A75997">
        <w:rPr>
          <w:rFonts w:ascii="Times New Roman" w:hAnsi="Times New Roman" w:cs="Times New Roman"/>
          <w:sz w:val="24"/>
          <w:szCs w:val="24"/>
        </w:rPr>
        <w:tab/>
        <w:t xml:space="preserve">  </w:t>
      </w:r>
      <w:r w:rsidR="00A75997">
        <w:rPr>
          <w:rFonts w:ascii="Times New Roman" w:hAnsi="Times New Roman" w:cs="Times New Roman"/>
          <w:sz w:val="24"/>
          <w:szCs w:val="24"/>
          <w:u w:val="single"/>
        </w:rPr>
        <w:t>Base D</w:t>
      </w:r>
      <w:r>
        <w:rPr>
          <w:rFonts w:ascii="Times New Roman" w:hAnsi="Times New Roman" w:cs="Times New Roman"/>
          <w:sz w:val="24"/>
          <w:szCs w:val="24"/>
        </w:rPr>
        <w:tab/>
      </w:r>
      <w:r w:rsidR="00A75997">
        <w:rPr>
          <w:rFonts w:ascii="Times New Roman" w:hAnsi="Times New Roman" w:cs="Times New Roman"/>
          <w:sz w:val="24"/>
          <w:szCs w:val="24"/>
        </w:rPr>
        <w:t xml:space="preserve">   </w:t>
      </w:r>
      <w:r w:rsidRPr="00547C15">
        <w:rPr>
          <w:rFonts w:ascii="Times New Roman" w:hAnsi="Times New Roman" w:cs="Times New Roman"/>
          <w:sz w:val="24"/>
          <w:szCs w:val="24"/>
          <w:u w:val="single"/>
        </w:rPr>
        <w:t>DIR Cap</w:t>
      </w:r>
      <w:r>
        <w:rPr>
          <w:rFonts w:ascii="Times New Roman" w:hAnsi="Times New Roman" w:cs="Times New Roman"/>
          <w:sz w:val="24"/>
          <w:szCs w:val="24"/>
        </w:rPr>
        <w:tab/>
      </w:r>
      <w:r w:rsidR="00A75997">
        <w:rPr>
          <w:rFonts w:ascii="Times New Roman" w:hAnsi="Times New Roman" w:cs="Times New Roman"/>
          <w:sz w:val="24"/>
          <w:szCs w:val="24"/>
        </w:rPr>
        <w:t xml:space="preserve"> </w:t>
      </w:r>
      <w:r w:rsidRPr="00547C15">
        <w:rPr>
          <w:rFonts w:ascii="Times New Roman" w:hAnsi="Times New Roman" w:cs="Times New Roman"/>
          <w:sz w:val="24"/>
          <w:szCs w:val="24"/>
          <w:u w:val="single"/>
        </w:rPr>
        <w:t>DIR Cap/Base D</w:t>
      </w:r>
      <w:r>
        <w:rPr>
          <w:rFonts w:ascii="Times New Roman" w:hAnsi="Times New Roman" w:cs="Times New Roman"/>
          <w:sz w:val="24"/>
          <w:szCs w:val="24"/>
        </w:rPr>
        <w:tab/>
      </w:r>
      <w:r>
        <w:rPr>
          <w:rFonts w:ascii="Times New Roman" w:hAnsi="Times New Roman" w:cs="Times New Roman"/>
          <w:sz w:val="24"/>
          <w:szCs w:val="24"/>
          <w:u w:val="single"/>
        </w:rPr>
        <w:t>DIR Cap</w:t>
      </w:r>
      <w:r w:rsidRPr="00547C15">
        <w:rPr>
          <w:rFonts w:ascii="Times New Roman" w:hAnsi="Times New Roman" w:cs="Times New Roman"/>
          <w:sz w:val="24"/>
          <w:szCs w:val="24"/>
          <w:u w:val="single"/>
        </w:rPr>
        <w:t xml:space="preserve"> %</w:t>
      </w:r>
      <w:r>
        <w:rPr>
          <w:rFonts w:ascii="Times New Roman" w:hAnsi="Times New Roman" w:cs="Times New Roman"/>
          <w:sz w:val="24"/>
          <w:szCs w:val="24"/>
        </w:rPr>
        <w:tab/>
      </w:r>
      <w:r w:rsidRPr="00547C15">
        <w:rPr>
          <w:rFonts w:ascii="Times New Roman" w:hAnsi="Times New Roman" w:cs="Times New Roman"/>
          <w:sz w:val="24"/>
          <w:szCs w:val="24"/>
          <w:u w:val="single"/>
        </w:rPr>
        <w:t>% increase</w:t>
      </w:r>
    </w:p>
    <w:p w:rsidR="005C5D3D"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A75997">
        <w:rPr>
          <w:rFonts w:ascii="Times New Roman" w:hAnsi="Times New Roman" w:cs="Times New Roman"/>
          <w:sz w:val="24"/>
          <w:szCs w:val="24"/>
        </w:rPr>
        <w:t>015</w:t>
      </w:r>
      <w:r w:rsidR="00A75997">
        <w:rPr>
          <w:rFonts w:ascii="Times New Roman" w:hAnsi="Times New Roman" w:cs="Times New Roman"/>
          <w:sz w:val="24"/>
          <w:szCs w:val="24"/>
        </w:rPr>
        <w:tab/>
      </w:r>
      <w:r w:rsidR="00CB1B1A">
        <w:rPr>
          <w:rFonts w:ascii="Times New Roman" w:hAnsi="Times New Roman" w:cs="Times New Roman"/>
          <w:sz w:val="24"/>
          <w:szCs w:val="24"/>
        </w:rPr>
        <w:t>$</w:t>
      </w:r>
      <w:r w:rsidR="00A75997">
        <w:rPr>
          <w:rFonts w:ascii="Times New Roman" w:hAnsi="Times New Roman" w:cs="Times New Roman"/>
          <w:sz w:val="24"/>
          <w:szCs w:val="24"/>
        </w:rPr>
        <w:t xml:space="preserve">642 </w:t>
      </w:r>
      <w:r w:rsidR="00CB1B1A">
        <w:rPr>
          <w:rFonts w:ascii="Times New Roman" w:hAnsi="Times New Roman" w:cs="Times New Roman"/>
          <w:sz w:val="24"/>
          <w:szCs w:val="24"/>
        </w:rPr>
        <w:t>million</w:t>
      </w:r>
      <w:r w:rsidR="00A75997">
        <w:rPr>
          <w:rFonts w:ascii="Times New Roman" w:hAnsi="Times New Roman" w:cs="Times New Roman"/>
          <w:sz w:val="24"/>
          <w:szCs w:val="24"/>
        </w:rPr>
        <w:tab/>
        <w:t xml:space="preserve"> </w:t>
      </w:r>
      <w:r w:rsidR="00CB1B1A">
        <w:rPr>
          <w:rFonts w:ascii="Times New Roman" w:hAnsi="Times New Roman" w:cs="Times New Roman"/>
          <w:sz w:val="24"/>
          <w:szCs w:val="24"/>
        </w:rPr>
        <w:t>$</w:t>
      </w:r>
      <w:r>
        <w:rPr>
          <w:rFonts w:ascii="Times New Roman" w:hAnsi="Times New Roman" w:cs="Times New Roman"/>
          <w:sz w:val="24"/>
          <w:szCs w:val="24"/>
        </w:rPr>
        <w:t>145</w:t>
      </w:r>
      <w:r w:rsidR="00A75997">
        <w:rPr>
          <w:rFonts w:ascii="Times New Roman" w:hAnsi="Times New Roman" w:cs="Times New Roman"/>
          <w:sz w:val="24"/>
          <w:szCs w:val="24"/>
        </w:rPr>
        <w:t xml:space="preserve"> </w:t>
      </w:r>
      <w:r w:rsidR="00CB1B1A">
        <w:rPr>
          <w:rFonts w:ascii="Times New Roman" w:hAnsi="Times New Roman" w:cs="Times New Roman"/>
          <w:sz w:val="24"/>
          <w:szCs w:val="24"/>
        </w:rPr>
        <w:t>million</w:t>
      </w:r>
      <w:r w:rsidR="00A75997">
        <w:rPr>
          <w:rFonts w:ascii="Times New Roman" w:hAnsi="Times New Roman" w:cs="Times New Roman"/>
          <w:sz w:val="24"/>
          <w:szCs w:val="24"/>
        </w:rPr>
        <w:tab/>
        <w:t xml:space="preserve">    145/642</w:t>
      </w:r>
      <w:r w:rsidR="00A75997">
        <w:rPr>
          <w:rFonts w:ascii="Times New Roman" w:hAnsi="Times New Roman" w:cs="Times New Roman"/>
          <w:sz w:val="24"/>
          <w:szCs w:val="24"/>
        </w:rPr>
        <w:tab/>
      </w:r>
      <w:r w:rsidR="00A75997">
        <w:rPr>
          <w:rFonts w:ascii="Times New Roman" w:hAnsi="Times New Roman" w:cs="Times New Roman"/>
          <w:sz w:val="24"/>
          <w:szCs w:val="24"/>
        </w:rPr>
        <w:tab/>
        <w:t xml:space="preserve">   22.6%</w:t>
      </w:r>
      <w:r w:rsidR="00A75997">
        <w:rPr>
          <w:rFonts w:ascii="Times New Roman" w:hAnsi="Times New Roman" w:cs="Times New Roman"/>
          <w:sz w:val="24"/>
          <w:szCs w:val="24"/>
        </w:rPr>
        <w:tab/>
        <w:t xml:space="preserve">   3</w:t>
      </w:r>
      <w:r>
        <w:rPr>
          <w:rFonts w:ascii="Times New Roman" w:hAnsi="Times New Roman" w:cs="Times New Roman"/>
          <w:sz w:val="24"/>
          <w:szCs w:val="24"/>
        </w:rPr>
        <w:t>.1%</w:t>
      </w:r>
      <w:r>
        <w:rPr>
          <w:rStyle w:val="FootnoteReference"/>
          <w:rFonts w:ascii="Times New Roman" w:hAnsi="Times New Roman" w:cs="Times New Roman"/>
          <w:sz w:val="24"/>
          <w:szCs w:val="24"/>
        </w:rPr>
        <w:footnoteReference w:id="17"/>
      </w:r>
    </w:p>
    <w:p w:rsidR="005C5D3D" w:rsidRDefault="00A75997"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00CB1B1A">
        <w:rPr>
          <w:rFonts w:ascii="Times New Roman" w:hAnsi="Times New Roman" w:cs="Times New Roman"/>
          <w:sz w:val="24"/>
          <w:szCs w:val="24"/>
        </w:rPr>
        <w:t>$</w:t>
      </w:r>
      <w:r>
        <w:rPr>
          <w:rFonts w:ascii="Times New Roman" w:hAnsi="Times New Roman" w:cs="Times New Roman"/>
          <w:sz w:val="24"/>
          <w:szCs w:val="24"/>
        </w:rPr>
        <w:t xml:space="preserve">642 </w:t>
      </w:r>
      <w:r w:rsidR="00CB1B1A">
        <w:rPr>
          <w:rFonts w:ascii="Times New Roman" w:hAnsi="Times New Roman" w:cs="Times New Roman"/>
          <w:sz w:val="24"/>
          <w:szCs w:val="24"/>
        </w:rPr>
        <w:t>million</w:t>
      </w:r>
      <w:r>
        <w:rPr>
          <w:rFonts w:ascii="Times New Roman" w:hAnsi="Times New Roman" w:cs="Times New Roman"/>
          <w:sz w:val="24"/>
          <w:szCs w:val="24"/>
        </w:rPr>
        <w:tab/>
        <w:t xml:space="preserve"> </w:t>
      </w:r>
      <w:r w:rsidR="00CB1B1A">
        <w:rPr>
          <w:rFonts w:ascii="Times New Roman" w:hAnsi="Times New Roman" w:cs="Times New Roman"/>
          <w:sz w:val="24"/>
          <w:szCs w:val="24"/>
        </w:rPr>
        <w:t>$</w:t>
      </w:r>
      <w:r>
        <w:rPr>
          <w:rFonts w:ascii="Times New Roman" w:hAnsi="Times New Roman" w:cs="Times New Roman"/>
          <w:sz w:val="24"/>
          <w:szCs w:val="24"/>
        </w:rPr>
        <w:t>165</w:t>
      </w:r>
      <w:r w:rsidR="00CB1B1A">
        <w:rPr>
          <w:rFonts w:ascii="Times New Roman" w:hAnsi="Times New Roman" w:cs="Times New Roman"/>
          <w:sz w:val="24"/>
          <w:szCs w:val="24"/>
        </w:rPr>
        <w:t xml:space="preserve"> million</w:t>
      </w:r>
      <w:r>
        <w:rPr>
          <w:rFonts w:ascii="Times New Roman" w:hAnsi="Times New Roman" w:cs="Times New Roman"/>
          <w:sz w:val="24"/>
          <w:szCs w:val="24"/>
        </w:rPr>
        <w:tab/>
        <w:t xml:space="preserve">    165/642</w:t>
      </w:r>
      <w:r>
        <w:rPr>
          <w:rFonts w:ascii="Times New Roman" w:hAnsi="Times New Roman" w:cs="Times New Roman"/>
          <w:sz w:val="24"/>
          <w:szCs w:val="24"/>
        </w:rPr>
        <w:tab/>
      </w:r>
      <w:r>
        <w:rPr>
          <w:rFonts w:ascii="Times New Roman" w:hAnsi="Times New Roman" w:cs="Times New Roman"/>
          <w:sz w:val="24"/>
          <w:szCs w:val="24"/>
        </w:rPr>
        <w:tab/>
        <w:t xml:space="preserve">   25.7%</w:t>
      </w:r>
      <w:r>
        <w:rPr>
          <w:rFonts w:ascii="Times New Roman" w:hAnsi="Times New Roman" w:cs="Times New Roman"/>
          <w:sz w:val="24"/>
          <w:szCs w:val="24"/>
        </w:rPr>
        <w:tab/>
        <w:t xml:space="preserve">   </w:t>
      </w:r>
      <w:r w:rsidR="005C5D3D">
        <w:rPr>
          <w:rFonts w:ascii="Times New Roman" w:hAnsi="Times New Roman" w:cs="Times New Roman"/>
          <w:sz w:val="24"/>
          <w:szCs w:val="24"/>
        </w:rPr>
        <w:t>3.1%</w:t>
      </w:r>
      <w:r w:rsidR="005C5D3D">
        <w:rPr>
          <w:rStyle w:val="FootnoteReference"/>
          <w:rFonts w:ascii="Times New Roman" w:hAnsi="Times New Roman" w:cs="Times New Roman"/>
          <w:sz w:val="24"/>
          <w:szCs w:val="24"/>
        </w:rPr>
        <w:footnoteReference w:id="18"/>
      </w:r>
    </w:p>
    <w:p w:rsidR="005C5D3D" w:rsidRDefault="00A75997"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CB1B1A">
        <w:rPr>
          <w:rFonts w:ascii="Times New Roman" w:hAnsi="Times New Roman" w:cs="Times New Roman"/>
          <w:sz w:val="24"/>
          <w:szCs w:val="24"/>
        </w:rPr>
        <w:t>$</w:t>
      </w:r>
      <w:r>
        <w:rPr>
          <w:rFonts w:ascii="Times New Roman" w:hAnsi="Times New Roman" w:cs="Times New Roman"/>
          <w:sz w:val="24"/>
          <w:szCs w:val="24"/>
        </w:rPr>
        <w:t xml:space="preserve">642 </w:t>
      </w:r>
      <w:r w:rsidR="00CB1B1A">
        <w:rPr>
          <w:rFonts w:ascii="Times New Roman" w:hAnsi="Times New Roman" w:cs="Times New Roman"/>
          <w:sz w:val="24"/>
          <w:szCs w:val="24"/>
        </w:rPr>
        <w:t>million</w:t>
      </w:r>
      <w:r>
        <w:rPr>
          <w:rFonts w:ascii="Times New Roman" w:hAnsi="Times New Roman" w:cs="Times New Roman"/>
          <w:sz w:val="24"/>
          <w:szCs w:val="24"/>
        </w:rPr>
        <w:tab/>
        <w:t xml:space="preserve"> </w:t>
      </w:r>
      <w:r w:rsidR="00CB1B1A">
        <w:rPr>
          <w:rFonts w:ascii="Times New Roman" w:hAnsi="Times New Roman" w:cs="Times New Roman"/>
          <w:sz w:val="24"/>
          <w:szCs w:val="24"/>
        </w:rPr>
        <w:t>$</w:t>
      </w:r>
      <w:r>
        <w:rPr>
          <w:rFonts w:ascii="Times New Roman" w:hAnsi="Times New Roman" w:cs="Times New Roman"/>
          <w:sz w:val="24"/>
          <w:szCs w:val="24"/>
        </w:rPr>
        <w:t xml:space="preserve">185 </w:t>
      </w:r>
      <w:r w:rsidR="00CB1B1A">
        <w:rPr>
          <w:rFonts w:ascii="Times New Roman" w:hAnsi="Times New Roman" w:cs="Times New Roman"/>
          <w:sz w:val="24"/>
          <w:szCs w:val="24"/>
        </w:rPr>
        <w:t>million</w:t>
      </w:r>
      <w:r>
        <w:rPr>
          <w:rFonts w:ascii="Times New Roman" w:hAnsi="Times New Roman" w:cs="Times New Roman"/>
          <w:sz w:val="24"/>
          <w:szCs w:val="24"/>
        </w:rPr>
        <w:tab/>
        <w:t xml:space="preserve">    185/642</w:t>
      </w:r>
      <w:r>
        <w:rPr>
          <w:rFonts w:ascii="Times New Roman" w:hAnsi="Times New Roman" w:cs="Times New Roman"/>
          <w:sz w:val="24"/>
          <w:szCs w:val="24"/>
        </w:rPr>
        <w:tab/>
      </w:r>
      <w:r>
        <w:rPr>
          <w:rFonts w:ascii="Times New Roman" w:hAnsi="Times New Roman" w:cs="Times New Roman"/>
          <w:sz w:val="24"/>
          <w:szCs w:val="24"/>
        </w:rPr>
        <w:tab/>
        <w:t xml:space="preserve">  </w:t>
      </w:r>
      <w:r w:rsidR="005C5D3D">
        <w:rPr>
          <w:rFonts w:ascii="Times New Roman" w:hAnsi="Times New Roman" w:cs="Times New Roman"/>
          <w:sz w:val="24"/>
          <w:szCs w:val="24"/>
        </w:rPr>
        <w:t xml:space="preserve"> 28.8%</w:t>
      </w:r>
    </w:p>
    <w:p w:rsidR="00B601E3" w:rsidRDefault="00B601E3" w:rsidP="00B601E3">
      <w:pPr>
        <w:spacing w:after="0" w:line="240" w:lineRule="auto"/>
        <w:rPr>
          <w:rFonts w:ascii="Times New Roman" w:hAnsi="Times New Roman" w:cs="Times New Roman"/>
          <w:sz w:val="24"/>
          <w:szCs w:val="24"/>
        </w:rPr>
      </w:pPr>
    </w:p>
    <w:p w:rsidR="00871021" w:rsidRDefault="00CB1B1A"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PUCO measured the growth in the DIR caps from </w:t>
      </w:r>
      <w:r w:rsidR="00871021">
        <w:rPr>
          <w:rFonts w:ascii="Times New Roman" w:hAnsi="Times New Roman" w:cs="Times New Roman"/>
          <w:sz w:val="24"/>
          <w:szCs w:val="24"/>
        </w:rPr>
        <w:t xml:space="preserve">“customer </w:t>
      </w:r>
      <w:r>
        <w:rPr>
          <w:rFonts w:ascii="Times New Roman" w:hAnsi="Times New Roman" w:cs="Times New Roman"/>
          <w:sz w:val="24"/>
          <w:szCs w:val="24"/>
        </w:rPr>
        <w:t>base distribution revenues</w:t>
      </w:r>
      <w:r w:rsidR="00871021">
        <w:rPr>
          <w:rFonts w:ascii="Times New Roman" w:hAnsi="Times New Roman" w:cs="Times New Roman"/>
          <w:sz w:val="24"/>
          <w:szCs w:val="24"/>
        </w:rPr>
        <w:t>”</w:t>
      </w:r>
      <w:r w:rsidR="00A75997">
        <w:rPr>
          <w:rFonts w:ascii="Times New Roman" w:hAnsi="Times New Roman" w:cs="Times New Roman"/>
          <w:sz w:val="24"/>
          <w:szCs w:val="24"/>
        </w:rPr>
        <w:t xml:space="preserve"> </w:t>
      </w:r>
      <w:r w:rsidR="00655801">
        <w:rPr>
          <w:rFonts w:ascii="Times New Roman" w:hAnsi="Times New Roman" w:cs="Times New Roman"/>
          <w:sz w:val="24"/>
          <w:szCs w:val="24"/>
        </w:rPr>
        <w:t>-- $642 million.</w:t>
      </w:r>
    </w:p>
    <w:p w:rsidR="00B601E3" w:rsidRDefault="00B601E3">
      <w:pPr>
        <w:rPr>
          <w:rFonts w:ascii="Times New Roman" w:hAnsi="Times New Roman" w:cs="Times New Roman"/>
          <w:sz w:val="24"/>
          <w:szCs w:val="24"/>
        </w:rPr>
      </w:pPr>
      <w:r>
        <w:rPr>
          <w:rFonts w:ascii="Times New Roman" w:hAnsi="Times New Roman" w:cs="Times New Roman"/>
          <w:sz w:val="24"/>
          <w:szCs w:val="24"/>
        </w:rPr>
        <w:br w:type="page"/>
      </w:r>
    </w:p>
    <w:p w:rsidR="00871021" w:rsidRDefault="00F77108" w:rsidP="00A75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appears to suggest that the growth in DIR should be measured </w:t>
      </w:r>
      <w:r w:rsidR="00871021">
        <w:rPr>
          <w:rFonts w:ascii="Times New Roman" w:hAnsi="Times New Roman" w:cs="Times New Roman"/>
          <w:sz w:val="24"/>
          <w:szCs w:val="24"/>
        </w:rPr>
        <w:t>from the “total distribution revenue” which reflects</w:t>
      </w:r>
      <w:r w:rsidR="003C5DFB">
        <w:rPr>
          <w:rFonts w:ascii="Times New Roman" w:hAnsi="Times New Roman" w:cs="Times New Roman"/>
          <w:sz w:val="24"/>
          <w:szCs w:val="24"/>
        </w:rPr>
        <w:t>”</w:t>
      </w:r>
      <w:r w:rsidR="00871021">
        <w:rPr>
          <w:rFonts w:ascii="Times New Roman" w:hAnsi="Times New Roman" w:cs="Times New Roman"/>
          <w:sz w:val="24"/>
          <w:szCs w:val="24"/>
        </w:rPr>
        <w:t xml:space="preserve"> customer base distribution revenues</w:t>
      </w:r>
      <w:r w:rsidR="003C5DFB">
        <w:rPr>
          <w:rFonts w:ascii="Times New Roman" w:hAnsi="Times New Roman" w:cs="Times New Roman"/>
          <w:sz w:val="24"/>
          <w:szCs w:val="24"/>
        </w:rPr>
        <w:t>”</w:t>
      </w:r>
      <w:r w:rsidR="00871021">
        <w:rPr>
          <w:rFonts w:ascii="Times New Roman" w:hAnsi="Times New Roman" w:cs="Times New Roman"/>
          <w:sz w:val="24"/>
          <w:szCs w:val="24"/>
        </w:rPr>
        <w:t xml:space="preserve"> plus the added revenue from the annual DIR caps.</w:t>
      </w:r>
      <w:r w:rsidR="003C5DFB">
        <w:rPr>
          <w:rStyle w:val="FootnoteReference"/>
          <w:rFonts w:ascii="Times New Roman" w:hAnsi="Times New Roman" w:cs="Times New Roman"/>
          <w:sz w:val="24"/>
          <w:szCs w:val="24"/>
        </w:rPr>
        <w:footnoteReference w:id="19"/>
      </w:r>
      <w:r w:rsidR="00871021">
        <w:rPr>
          <w:rFonts w:ascii="Times New Roman" w:hAnsi="Times New Roman" w:cs="Times New Roman"/>
          <w:sz w:val="24"/>
          <w:szCs w:val="24"/>
        </w:rPr>
        <w:t xml:space="preserve"> In other words AEP is seeking a </w:t>
      </w:r>
      <w:r w:rsidR="00017F94">
        <w:rPr>
          <w:rFonts w:ascii="Times New Roman" w:hAnsi="Times New Roman" w:cs="Times New Roman"/>
          <w:sz w:val="24"/>
          <w:szCs w:val="24"/>
        </w:rPr>
        <w:t>three to four percent</w:t>
      </w:r>
      <w:r w:rsidR="00871021">
        <w:rPr>
          <w:rFonts w:ascii="Times New Roman" w:hAnsi="Times New Roman" w:cs="Times New Roman"/>
          <w:sz w:val="24"/>
          <w:szCs w:val="24"/>
        </w:rPr>
        <w:t xml:space="preserve"> increase </w:t>
      </w:r>
      <w:r w:rsidR="00017F94">
        <w:rPr>
          <w:rFonts w:ascii="Times New Roman" w:hAnsi="Times New Roman" w:cs="Times New Roman"/>
          <w:sz w:val="24"/>
          <w:szCs w:val="24"/>
        </w:rPr>
        <w:t>above</w:t>
      </w:r>
      <w:r w:rsidR="00871021">
        <w:rPr>
          <w:rFonts w:ascii="Times New Roman" w:hAnsi="Times New Roman" w:cs="Times New Roman"/>
          <w:sz w:val="24"/>
          <w:szCs w:val="24"/>
        </w:rPr>
        <w:t xml:space="preserve"> “custome</w:t>
      </w:r>
      <w:r w:rsidR="00655801">
        <w:rPr>
          <w:rFonts w:ascii="Times New Roman" w:hAnsi="Times New Roman" w:cs="Times New Roman"/>
          <w:sz w:val="24"/>
          <w:szCs w:val="24"/>
        </w:rPr>
        <w:t xml:space="preserve">r base distribution revenues.” </w:t>
      </w:r>
      <w:r w:rsidR="00871021">
        <w:rPr>
          <w:rFonts w:ascii="Times New Roman" w:hAnsi="Times New Roman" w:cs="Times New Roman"/>
          <w:sz w:val="24"/>
          <w:szCs w:val="24"/>
        </w:rPr>
        <w:t xml:space="preserve">This </w:t>
      </w:r>
      <w:r w:rsidR="003C5DFB">
        <w:rPr>
          <w:rFonts w:ascii="Times New Roman" w:hAnsi="Times New Roman" w:cs="Times New Roman"/>
          <w:sz w:val="24"/>
          <w:szCs w:val="24"/>
        </w:rPr>
        <w:t xml:space="preserve">would </w:t>
      </w:r>
      <w:r w:rsidR="00871021">
        <w:rPr>
          <w:rFonts w:ascii="Times New Roman" w:hAnsi="Times New Roman" w:cs="Times New Roman"/>
          <w:sz w:val="24"/>
          <w:szCs w:val="24"/>
        </w:rPr>
        <w:t>a</w:t>
      </w:r>
      <w:r w:rsidR="003C5DFB">
        <w:rPr>
          <w:rFonts w:ascii="Times New Roman" w:hAnsi="Times New Roman" w:cs="Times New Roman"/>
          <w:sz w:val="24"/>
          <w:szCs w:val="24"/>
        </w:rPr>
        <w:t>llow</w:t>
      </w:r>
      <w:r w:rsidR="00871021">
        <w:rPr>
          <w:rFonts w:ascii="Times New Roman" w:hAnsi="Times New Roman" w:cs="Times New Roman"/>
          <w:sz w:val="24"/>
          <w:szCs w:val="24"/>
        </w:rPr>
        <w:t xml:space="preserve"> AEP to collect even greater amounts of money from customers.  </w:t>
      </w:r>
    </w:p>
    <w:p w:rsidR="005C5D3D" w:rsidRDefault="00871021" w:rsidP="00A75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PUCO specifically tied the </w:t>
      </w:r>
      <w:r w:rsidR="00017F94">
        <w:rPr>
          <w:rFonts w:ascii="Times New Roman" w:hAnsi="Times New Roman" w:cs="Times New Roman"/>
          <w:sz w:val="24"/>
          <w:szCs w:val="24"/>
        </w:rPr>
        <w:t>three to four percent</w:t>
      </w:r>
      <w:r>
        <w:rPr>
          <w:rFonts w:ascii="Times New Roman" w:hAnsi="Times New Roman" w:cs="Times New Roman"/>
          <w:sz w:val="24"/>
          <w:szCs w:val="24"/>
        </w:rPr>
        <w:t xml:space="preserve"> increase to “customer base distribution charges” not “total distribution revenues.”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3C5DFB">
        <w:rPr>
          <w:rFonts w:ascii="Times New Roman" w:hAnsi="Times New Roman" w:cs="Times New Roman"/>
          <w:sz w:val="24"/>
          <w:szCs w:val="24"/>
        </w:rPr>
        <w:t>The PUCO should enforce its findings on rehearing, which limits the increase to custo</w:t>
      </w:r>
      <w:r w:rsidR="00A75997">
        <w:rPr>
          <w:rFonts w:ascii="Times New Roman" w:hAnsi="Times New Roman" w:cs="Times New Roman"/>
          <w:sz w:val="24"/>
          <w:szCs w:val="24"/>
        </w:rPr>
        <w:t>mer base distribution charges.</w:t>
      </w:r>
      <w:r w:rsidR="003C5DFB">
        <w:rPr>
          <w:rFonts w:ascii="Times New Roman" w:hAnsi="Times New Roman" w:cs="Times New Roman"/>
          <w:sz w:val="24"/>
          <w:szCs w:val="24"/>
        </w:rPr>
        <w:t xml:space="preserve"> T</w:t>
      </w:r>
      <w:r w:rsidR="005C5D3D">
        <w:rPr>
          <w:rFonts w:ascii="Times New Roman" w:hAnsi="Times New Roman" w:cs="Times New Roman"/>
          <w:sz w:val="24"/>
          <w:szCs w:val="24"/>
        </w:rPr>
        <w:t xml:space="preserve">he PUCO should reject AEP Ohio’s Application for Rehearing. </w:t>
      </w:r>
    </w:p>
    <w:p w:rsidR="005C5D3D" w:rsidRPr="00DD0127" w:rsidRDefault="00655801" w:rsidP="006E19F7">
      <w:pPr>
        <w:pStyle w:val="Heading2"/>
      </w:pPr>
      <w:bookmarkStart w:id="6" w:name="_Toc424222980"/>
      <w:r>
        <w:t>C</w:t>
      </w:r>
      <w:r w:rsidR="006E19F7">
        <w:t>.</w:t>
      </w:r>
      <w:r w:rsidR="006E19F7">
        <w:tab/>
      </w:r>
      <w:r w:rsidR="005C5D3D" w:rsidRPr="00DD0127">
        <w:t xml:space="preserve">The PUCO should strike AEP Ohio’s reference to information </w:t>
      </w:r>
      <w:r w:rsidR="005C5D3D">
        <w:t xml:space="preserve">that is </w:t>
      </w:r>
      <w:r w:rsidR="005C5D3D" w:rsidRPr="00DD0127">
        <w:t>not part of the record.</w:t>
      </w:r>
      <w:bookmarkEnd w:id="6"/>
    </w:p>
    <w:p w:rsidR="005C5D3D"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5DFB">
        <w:rPr>
          <w:rFonts w:ascii="Times New Roman" w:hAnsi="Times New Roman" w:cs="Times New Roman"/>
          <w:sz w:val="24"/>
          <w:szCs w:val="24"/>
        </w:rPr>
        <w:t xml:space="preserve">In trying to convince the PUCO that it needs to collect more money from customers for its distribution investment, AEP Ohio complains again </w:t>
      </w:r>
      <w:r>
        <w:rPr>
          <w:rFonts w:ascii="Times New Roman" w:hAnsi="Times New Roman" w:cs="Times New Roman"/>
          <w:sz w:val="24"/>
          <w:szCs w:val="24"/>
        </w:rPr>
        <w:t>that the DIR revenue caps are not sufficient enough to avoid system reliability being negatively impacted.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AEP Ohio specifically identifies the Underground Network Risk Mitigation Project (“UNRMP”) as a part of the DIR spending that has already been undertaken.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Utility notes that the capital budget for the UNRMP was approved in May of 2014.</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AEP Ohio claims that the UNRMP is being fully implemented going forward.</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AEP Ohio implies that system reliability would be threatened without the additional $86 million in DIR spending </w:t>
      </w:r>
      <w:r w:rsidR="003C5DFB">
        <w:rPr>
          <w:rFonts w:ascii="Times New Roman" w:hAnsi="Times New Roman" w:cs="Times New Roman"/>
          <w:sz w:val="24"/>
          <w:szCs w:val="24"/>
        </w:rPr>
        <w:t xml:space="preserve">it is seeking on rehearing </w:t>
      </w:r>
      <w:r>
        <w:rPr>
          <w:rFonts w:ascii="Times New Roman" w:hAnsi="Times New Roman" w:cs="Times New Roman"/>
          <w:sz w:val="24"/>
          <w:szCs w:val="24"/>
        </w:rPr>
        <w:t>because programs like the UNRMP would not be funded.</w:t>
      </w:r>
      <w:r>
        <w:rPr>
          <w:rStyle w:val="FootnoteReference"/>
          <w:rFonts w:ascii="Times New Roman" w:hAnsi="Times New Roman" w:cs="Times New Roman"/>
          <w:sz w:val="24"/>
          <w:szCs w:val="24"/>
        </w:rPr>
        <w:footnoteReference w:id="25"/>
      </w:r>
    </w:p>
    <w:p w:rsidR="005C5D3D"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5DFB">
        <w:rPr>
          <w:rFonts w:ascii="Times New Roman" w:hAnsi="Times New Roman" w:cs="Times New Roman"/>
          <w:sz w:val="24"/>
          <w:szCs w:val="24"/>
        </w:rPr>
        <w:t>There are two problems with AEP</w:t>
      </w:r>
      <w:r w:rsidR="00A75997">
        <w:rPr>
          <w:rFonts w:ascii="Times New Roman" w:hAnsi="Times New Roman" w:cs="Times New Roman"/>
          <w:sz w:val="24"/>
          <w:szCs w:val="24"/>
        </w:rPr>
        <w:t>’s claims.</w:t>
      </w:r>
      <w:r w:rsidR="003C5DFB">
        <w:rPr>
          <w:rFonts w:ascii="Times New Roman" w:hAnsi="Times New Roman" w:cs="Times New Roman"/>
          <w:sz w:val="24"/>
          <w:szCs w:val="24"/>
        </w:rPr>
        <w:t xml:space="preserve"> First, there</w:t>
      </w:r>
      <w:r>
        <w:rPr>
          <w:rFonts w:ascii="Times New Roman" w:hAnsi="Times New Roman" w:cs="Times New Roman"/>
          <w:sz w:val="24"/>
          <w:szCs w:val="24"/>
        </w:rPr>
        <w:t xml:space="preserve"> is nothing in the record of this case </w:t>
      </w:r>
      <w:r w:rsidR="003C5DFB">
        <w:rPr>
          <w:rFonts w:ascii="Times New Roman" w:hAnsi="Times New Roman" w:cs="Times New Roman"/>
          <w:sz w:val="24"/>
          <w:szCs w:val="24"/>
        </w:rPr>
        <w:t xml:space="preserve">that </w:t>
      </w:r>
      <w:r w:rsidR="00FA37F2">
        <w:rPr>
          <w:rFonts w:ascii="Times New Roman" w:hAnsi="Times New Roman" w:cs="Times New Roman"/>
          <w:sz w:val="24"/>
          <w:szCs w:val="24"/>
        </w:rPr>
        <w:t xml:space="preserve">identifies any specific distribution </w:t>
      </w:r>
      <w:r>
        <w:rPr>
          <w:rFonts w:ascii="Times New Roman" w:hAnsi="Times New Roman" w:cs="Times New Roman"/>
          <w:sz w:val="24"/>
          <w:szCs w:val="24"/>
        </w:rPr>
        <w:t xml:space="preserve">projects </w:t>
      </w:r>
      <w:r w:rsidR="00017F94">
        <w:rPr>
          <w:rFonts w:ascii="Times New Roman" w:hAnsi="Times New Roman" w:cs="Times New Roman"/>
          <w:sz w:val="24"/>
          <w:szCs w:val="24"/>
        </w:rPr>
        <w:t xml:space="preserve">that </w:t>
      </w:r>
      <w:r w:rsidR="00655801">
        <w:rPr>
          <w:rFonts w:ascii="Times New Roman" w:hAnsi="Times New Roman" w:cs="Times New Roman"/>
          <w:sz w:val="24"/>
          <w:szCs w:val="24"/>
        </w:rPr>
        <w:t>might not be pursued if AEP</w:t>
      </w:r>
      <w:r w:rsidR="00FA37F2">
        <w:rPr>
          <w:rFonts w:ascii="Times New Roman" w:hAnsi="Times New Roman" w:cs="Times New Roman"/>
          <w:sz w:val="24"/>
          <w:szCs w:val="24"/>
        </w:rPr>
        <w:t xml:space="preserve"> does not get its requested additional </w:t>
      </w:r>
      <w:r w:rsidR="00A75997">
        <w:rPr>
          <w:rFonts w:ascii="Times New Roman" w:hAnsi="Times New Roman" w:cs="Times New Roman"/>
          <w:sz w:val="24"/>
          <w:szCs w:val="24"/>
        </w:rPr>
        <w:t>funds.</w:t>
      </w:r>
      <w:r w:rsidR="00FA37F2">
        <w:rPr>
          <w:rFonts w:ascii="Times New Roman" w:hAnsi="Times New Roman" w:cs="Times New Roman"/>
          <w:sz w:val="24"/>
          <w:szCs w:val="24"/>
        </w:rPr>
        <w:t xml:space="preserve"> The PUCO should not accept as evidence any such claim made in a pleading filed at this stage in the game, when the record has bee</w:t>
      </w:r>
      <w:r w:rsidR="00A75997">
        <w:rPr>
          <w:rFonts w:ascii="Times New Roman" w:hAnsi="Times New Roman" w:cs="Times New Roman"/>
          <w:sz w:val="24"/>
          <w:szCs w:val="24"/>
        </w:rPr>
        <w:t xml:space="preserve">n closed for quite some time. </w:t>
      </w:r>
      <w:r w:rsidR="00FA37F2">
        <w:rPr>
          <w:rFonts w:ascii="Times New Roman" w:hAnsi="Times New Roman" w:cs="Times New Roman"/>
          <w:sz w:val="24"/>
          <w:szCs w:val="24"/>
        </w:rPr>
        <w:t>Second,</w:t>
      </w:r>
      <w:r w:rsidR="00A75997">
        <w:rPr>
          <w:rFonts w:ascii="Times New Roman" w:hAnsi="Times New Roman" w:cs="Times New Roman"/>
          <w:sz w:val="24"/>
          <w:szCs w:val="24"/>
        </w:rPr>
        <w:t xml:space="preserve"> </w:t>
      </w:r>
      <w:r w:rsidR="00FA37F2">
        <w:rPr>
          <w:rFonts w:ascii="Times New Roman" w:hAnsi="Times New Roman" w:cs="Times New Roman"/>
          <w:sz w:val="24"/>
          <w:szCs w:val="24"/>
        </w:rPr>
        <w:t xml:space="preserve">the PUCO should reject AEP’s inappropriate attempt to supplement the record through an application for rehearing..  </w:t>
      </w:r>
      <w:r>
        <w:rPr>
          <w:rFonts w:ascii="Times New Roman" w:hAnsi="Times New Roman" w:cs="Times New Roman"/>
          <w:sz w:val="24"/>
          <w:szCs w:val="24"/>
        </w:rPr>
        <w:t xml:space="preserve">. </w:t>
      </w:r>
    </w:p>
    <w:p w:rsidR="005C5D3D" w:rsidRPr="00547C15"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5801">
        <w:rPr>
          <w:rFonts w:ascii="Times New Roman" w:hAnsi="Times New Roman" w:cs="Times New Roman"/>
          <w:sz w:val="24"/>
          <w:szCs w:val="24"/>
        </w:rPr>
        <w:t>AEP</w:t>
      </w:r>
      <w:r w:rsidR="00A75997">
        <w:rPr>
          <w:rFonts w:ascii="Times New Roman" w:hAnsi="Times New Roman" w:cs="Times New Roman"/>
          <w:sz w:val="24"/>
          <w:szCs w:val="24"/>
        </w:rPr>
        <w:t>’s mention of the UNRMP</w:t>
      </w:r>
      <w:r>
        <w:rPr>
          <w:rFonts w:ascii="Times New Roman" w:hAnsi="Times New Roman" w:cs="Times New Roman"/>
          <w:sz w:val="24"/>
          <w:szCs w:val="24"/>
        </w:rPr>
        <w:t xml:space="preserve"> is beyond the record </w:t>
      </w:r>
      <w:r w:rsidR="00A75997">
        <w:rPr>
          <w:rFonts w:ascii="Times New Roman" w:hAnsi="Times New Roman" w:cs="Times New Roman"/>
          <w:sz w:val="24"/>
          <w:szCs w:val="24"/>
        </w:rPr>
        <w:t>in this case as the UNRMP</w:t>
      </w:r>
      <w:r>
        <w:rPr>
          <w:rFonts w:ascii="Times New Roman" w:hAnsi="Times New Roman" w:cs="Times New Roman"/>
          <w:sz w:val="24"/>
          <w:szCs w:val="24"/>
        </w:rPr>
        <w:t xml:space="preserve"> was not part of the Utility’s Application and should not be considered as part of the PUCO’s deliberation. The PUCO should strike the portion of the Utility’s Application </w:t>
      </w:r>
      <w:r w:rsidRPr="00547C15">
        <w:rPr>
          <w:rFonts w:ascii="Times New Roman" w:hAnsi="Times New Roman" w:cs="Times New Roman"/>
          <w:sz w:val="24"/>
          <w:szCs w:val="24"/>
        </w:rPr>
        <w:t>for Rehearing on page 16</w:t>
      </w:r>
      <w:r>
        <w:rPr>
          <w:rFonts w:ascii="Times New Roman" w:hAnsi="Times New Roman" w:cs="Times New Roman"/>
          <w:sz w:val="24"/>
          <w:szCs w:val="24"/>
        </w:rPr>
        <w:t>,</w:t>
      </w:r>
      <w:r w:rsidRPr="00547C15">
        <w:rPr>
          <w:rFonts w:ascii="Times New Roman" w:hAnsi="Times New Roman" w:cs="Times New Roman"/>
          <w:sz w:val="24"/>
          <w:szCs w:val="24"/>
        </w:rPr>
        <w:t xml:space="preserve"> line 12 beginning with the words “An example” and ending on page 17</w:t>
      </w:r>
      <w:r>
        <w:rPr>
          <w:rFonts w:ascii="Times New Roman" w:hAnsi="Times New Roman" w:cs="Times New Roman"/>
          <w:sz w:val="24"/>
          <w:szCs w:val="24"/>
        </w:rPr>
        <w:t>,</w:t>
      </w:r>
      <w:r w:rsidRPr="00547C15">
        <w:rPr>
          <w:rFonts w:ascii="Times New Roman" w:hAnsi="Times New Roman" w:cs="Times New Roman"/>
          <w:sz w:val="24"/>
          <w:szCs w:val="24"/>
        </w:rPr>
        <w:t xml:space="preserve"> line 7 ending with the words “DIR caps</w:t>
      </w:r>
      <w:r>
        <w:rPr>
          <w:rFonts w:ascii="Times New Roman" w:hAnsi="Times New Roman" w:cs="Times New Roman"/>
          <w:sz w:val="24"/>
          <w:szCs w:val="24"/>
        </w:rPr>
        <w:t>.</w:t>
      </w:r>
      <w:r w:rsidR="00A75997">
        <w:rPr>
          <w:rFonts w:ascii="Times New Roman" w:hAnsi="Times New Roman" w:cs="Times New Roman"/>
          <w:sz w:val="24"/>
          <w:szCs w:val="24"/>
        </w:rPr>
        <w:t>” The discussion about the UNRMP</w:t>
      </w:r>
      <w:r w:rsidRPr="00547C15">
        <w:rPr>
          <w:rFonts w:ascii="Times New Roman" w:hAnsi="Times New Roman" w:cs="Times New Roman"/>
          <w:sz w:val="24"/>
          <w:szCs w:val="24"/>
        </w:rPr>
        <w:t xml:space="preserve"> is not evidence nor is it properly part of the record. It cannot be relied upon by the PUCO as a basis to make a decision on DIR spending caps. This information was not offered as part of the Utility’s direct or rebuttal case. The material was not made available for any party to cross-examine at the evidentiary hearing</w:t>
      </w:r>
      <w:r>
        <w:rPr>
          <w:rFonts w:ascii="Times New Roman" w:hAnsi="Times New Roman" w:cs="Times New Roman"/>
          <w:sz w:val="24"/>
          <w:szCs w:val="24"/>
        </w:rPr>
        <w:t xml:space="preserve">. </w:t>
      </w:r>
      <w:r w:rsidRPr="00547C15">
        <w:rPr>
          <w:rFonts w:ascii="Times New Roman" w:hAnsi="Times New Roman" w:cs="Times New Roman"/>
          <w:sz w:val="24"/>
          <w:szCs w:val="24"/>
        </w:rPr>
        <w:t xml:space="preserve">To consider the material submitted now would be highly prejudicial to OCC and other intervenors in this case. </w:t>
      </w:r>
    </w:p>
    <w:p w:rsidR="005C5D3D" w:rsidRPr="00547C15" w:rsidRDefault="005C5D3D" w:rsidP="005C5D3D">
      <w:pPr>
        <w:spacing w:after="0" w:line="480" w:lineRule="auto"/>
        <w:ind w:firstLine="720"/>
        <w:rPr>
          <w:rFonts w:ascii="Times New Roman" w:hAnsi="Times New Roman" w:cs="Times New Roman"/>
          <w:sz w:val="24"/>
          <w:szCs w:val="24"/>
        </w:rPr>
      </w:pPr>
      <w:r w:rsidRPr="00547C15">
        <w:rPr>
          <w:rFonts w:ascii="Times New Roman" w:hAnsi="Times New Roman" w:cs="Times New Roman"/>
          <w:sz w:val="24"/>
          <w:szCs w:val="24"/>
        </w:rPr>
        <w:t xml:space="preserve">The PUCO is required under R.C. 4903.09 to make its “findings of fact and written opinions” with regard to the record of </w:t>
      </w:r>
      <w:r>
        <w:rPr>
          <w:rFonts w:ascii="Times New Roman" w:hAnsi="Times New Roman" w:cs="Times New Roman"/>
          <w:sz w:val="24"/>
          <w:szCs w:val="24"/>
        </w:rPr>
        <w:t xml:space="preserve">the case. </w:t>
      </w:r>
      <w:r w:rsidRPr="00547C15">
        <w:rPr>
          <w:rFonts w:ascii="Times New Roman" w:hAnsi="Times New Roman" w:cs="Times New Roman"/>
          <w:sz w:val="24"/>
          <w:szCs w:val="24"/>
        </w:rPr>
        <w:t xml:space="preserve">The evidentiary hearing </w:t>
      </w:r>
      <w:r>
        <w:rPr>
          <w:rFonts w:ascii="Times New Roman" w:hAnsi="Times New Roman" w:cs="Times New Roman"/>
          <w:sz w:val="24"/>
          <w:szCs w:val="24"/>
        </w:rPr>
        <w:t>provided the Utility with an ample</w:t>
      </w:r>
      <w:r w:rsidRPr="00547C15">
        <w:rPr>
          <w:rFonts w:ascii="Times New Roman" w:hAnsi="Times New Roman" w:cs="Times New Roman"/>
          <w:sz w:val="24"/>
          <w:szCs w:val="24"/>
        </w:rPr>
        <w:t xml:space="preserve"> opportunity to adduce </w:t>
      </w:r>
      <w:r>
        <w:rPr>
          <w:rFonts w:ascii="Times New Roman" w:hAnsi="Times New Roman" w:cs="Times New Roman"/>
          <w:sz w:val="24"/>
          <w:szCs w:val="24"/>
        </w:rPr>
        <w:t>such evidence,</w:t>
      </w:r>
      <w:r w:rsidRPr="00547C15">
        <w:rPr>
          <w:rFonts w:ascii="Times New Roman" w:hAnsi="Times New Roman" w:cs="Times New Roman"/>
          <w:sz w:val="24"/>
          <w:szCs w:val="24"/>
        </w:rPr>
        <w:t xml:space="preserve"> through the “testimony and … exhibits…” referenced in R.C. 4903.09. The Utility</w:t>
      </w:r>
      <w:r>
        <w:rPr>
          <w:rFonts w:ascii="Times New Roman" w:hAnsi="Times New Roman" w:cs="Times New Roman"/>
          <w:sz w:val="24"/>
          <w:szCs w:val="24"/>
        </w:rPr>
        <w:t xml:space="preserve">’s </w:t>
      </w:r>
      <w:r w:rsidRPr="00547C15">
        <w:rPr>
          <w:rFonts w:ascii="Times New Roman" w:hAnsi="Times New Roman" w:cs="Times New Roman"/>
          <w:sz w:val="24"/>
          <w:szCs w:val="24"/>
        </w:rPr>
        <w:t xml:space="preserve">Application for Rehearing is not an appropriate opportunity to present </w:t>
      </w:r>
      <w:r>
        <w:rPr>
          <w:rFonts w:ascii="Times New Roman" w:hAnsi="Times New Roman" w:cs="Times New Roman"/>
          <w:sz w:val="24"/>
          <w:szCs w:val="24"/>
        </w:rPr>
        <w:t xml:space="preserve">new </w:t>
      </w:r>
      <w:r w:rsidRPr="00547C15">
        <w:rPr>
          <w:rFonts w:ascii="Times New Roman" w:hAnsi="Times New Roman" w:cs="Times New Roman"/>
          <w:sz w:val="24"/>
          <w:szCs w:val="24"/>
        </w:rPr>
        <w:t xml:space="preserve">material to the PUCO as though it were </w:t>
      </w:r>
      <w:r w:rsidR="00655801">
        <w:rPr>
          <w:rFonts w:ascii="Times New Roman" w:hAnsi="Times New Roman" w:cs="Times New Roman"/>
          <w:sz w:val="24"/>
          <w:szCs w:val="24"/>
        </w:rPr>
        <w:t xml:space="preserve">evidence. AEP </w:t>
      </w:r>
      <w:r w:rsidRPr="00547C15">
        <w:rPr>
          <w:rFonts w:ascii="Times New Roman" w:hAnsi="Times New Roman" w:cs="Times New Roman"/>
          <w:sz w:val="24"/>
          <w:szCs w:val="24"/>
        </w:rPr>
        <w:t>provided no explanation of why this material was not presented in the course o</w:t>
      </w:r>
      <w:r>
        <w:rPr>
          <w:rFonts w:ascii="Times New Roman" w:hAnsi="Times New Roman" w:cs="Times New Roman"/>
          <w:sz w:val="24"/>
          <w:szCs w:val="24"/>
        </w:rPr>
        <w:t>f the evidentiary hearing</w:t>
      </w:r>
      <w:r w:rsidRPr="00547C15">
        <w:rPr>
          <w:rFonts w:ascii="Times New Roman" w:hAnsi="Times New Roman" w:cs="Times New Roman"/>
          <w:sz w:val="24"/>
          <w:szCs w:val="24"/>
        </w:rPr>
        <w:t>. No explanation could possibly justify the Utility</w:t>
      </w:r>
      <w:r>
        <w:rPr>
          <w:rFonts w:ascii="Times New Roman" w:hAnsi="Times New Roman" w:cs="Times New Roman"/>
          <w:sz w:val="24"/>
          <w:szCs w:val="24"/>
        </w:rPr>
        <w:t>’s</w:t>
      </w:r>
      <w:r w:rsidRPr="00547C15">
        <w:rPr>
          <w:rFonts w:ascii="Times New Roman" w:hAnsi="Times New Roman" w:cs="Times New Roman"/>
          <w:sz w:val="24"/>
          <w:szCs w:val="24"/>
        </w:rPr>
        <w:t xml:space="preserve"> </w:t>
      </w:r>
      <w:r w:rsidR="00A75997">
        <w:rPr>
          <w:rFonts w:ascii="Times New Roman" w:hAnsi="Times New Roman" w:cs="Times New Roman"/>
          <w:sz w:val="24"/>
          <w:szCs w:val="24"/>
        </w:rPr>
        <w:t>unique</w:t>
      </w:r>
      <w:r>
        <w:rPr>
          <w:rFonts w:ascii="Times New Roman" w:hAnsi="Times New Roman" w:cs="Times New Roman"/>
          <w:sz w:val="24"/>
          <w:szCs w:val="24"/>
        </w:rPr>
        <w:t xml:space="preserve"> and inappropriate tactic. </w:t>
      </w:r>
      <w:r w:rsidRPr="00547C15">
        <w:rPr>
          <w:rFonts w:ascii="Times New Roman" w:hAnsi="Times New Roman" w:cs="Times New Roman"/>
          <w:sz w:val="24"/>
          <w:szCs w:val="24"/>
        </w:rPr>
        <w:t>The material could have been introduc</w:t>
      </w:r>
      <w:r>
        <w:rPr>
          <w:rFonts w:ascii="Times New Roman" w:hAnsi="Times New Roman" w:cs="Times New Roman"/>
          <w:sz w:val="24"/>
          <w:szCs w:val="24"/>
        </w:rPr>
        <w:t>ed at the hearing and was not.</w:t>
      </w:r>
    </w:p>
    <w:p w:rsidR="005C5D3D" w:rsidRPr="00547C15" w:rsidRDefault="005C5D3D" w:rsidP="005C5D3D">
      <w:pPr>
        <w:spacing w:after="0" w:line="480" w:lineRule="auto"/>
        <w:ind w:firstLine="720"/>
        <w:rPr>
          <w:rFonts w:ascii="Times New Roman" w:hAnsi="Times New Roman" w:cs="Times New Roman"/>
          <w:sz w:val="24"/>
          <w:szCs w:val="24"/>
        </w:rPr>
      </w:pPr>
      <w:r w:rsidRPr="00547C15">
        <w:rPr>
          <w:rFonts w:ascii="Times New Roman" w:hAnsi="Times New Roman" w:cs="Times New Roman"/>
          <w:sz w:val="24"/>
          <w:szCs w:val="24"/>
        </w:rPr>
        <w:t xml:space="preserve">The PUCO has recognized that “it is improper to rely on claims in the </w:t>
      </w:r>
      <w:r w:rsidRPr="00547C15">
        <w:rPr>
          <w:rStyle w:val="term"/>
          <w:rFonts w:ascii="Times New Roman" w:hAnsi="Times New Roman"/>
        </w:rPr>
        <w:t>brief</w:t>
      </w:r>
      <w:r w:rsidRPr="00547C15">
        <w:rPr>
          <w:rFonts w:ascii="Times New Roman" w:hAnsi="Times New Roman" w:cs="Times New Roman"/>
          <w:sz w:val="24"/>
          <w:szCs w:val="24"/>
        </w:rPr>
        <w:t xml:space="preserve"> which are unsupported by evidence within the </w:t>
      </w:r>
      <w:r w:rsidRPr="00547C15">
        <w:rPr>
          <w:rStyle w:val="term"/>
          <w:rFonts w:ascii="Times New Roman" w:hAnsi="Times New Roman"/>
        </w:rPr>
        <w:t>record.”</w:t>
      </w:r>
      <w:bookmarkStart w:id="7" w:name="_Ref329856983"/>
      <w:r w:rsidRPr="00547C15">
        <w:rPr>
          <w:rStyle w:val="FootnoteReference"/>
          <w:rFonts w:ascii="Times New Roman" w:hAnsi="Times New Roman" w:cs="Times New Roman"/>
          <w:sz w:val="24"/>
          <w:szCs w:val="24"/>
        </w:rPr>
        <w:footnoteReference w:id="26"/>
      </w:r>
      <w:bookmarkEnd w:id="7"/>
      <w:r>
        <w:rPr>
          <w:rStyle w:val="term"/>
          <w:rFonts w:ascii="Times New Roman" w:hAnsi="Times New Roman"/>
        </w:rPr>
        <w:t xml:space="preserve"> </w:t>
      </w:r>
      <w:r w:rsidRPr="00547C15">
        <w:rPr>
          <w:rStyle w:val="term"/>
          <w:rFonts w:ascii="Times New Roman" w:hAnsi="Times New Roman"/>
        </w:rPr>
        <w:t>The PUCO has also ruled that “[d]</w:t>
      </w:r>
      <w:r w:rsidRPr="00547C15">
        <w:rPr>
          <w:rFonts w:ascii="Times New Roman" w:hAnsi="Times New Roman" w:cs="Times New Roman"/>
          <w:sz w:val="24"/>
          <w:szCs w:val="24"/>
        </w:rPr>
        <w:t>ocuments that are not part of the record, and that were not designated a late-filed exhibit at hearing, cannot be attached to a brief, or filed after a hearing, and thereby be made a part of the record.”</w:t>
      </w:r>
      <w:r w:rsidRPr="00547C15">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547C15">
        <w:rPr>
          <w:rFonts w:ascii="Times New Roman" w:hAnsi="Times New Roman" w:cs="Times New Roman"/>
          <w:sz w:val="24"/>
          <w:szCs w:val="24"/>
        </w:rPr>
        <w:t>The PUCO has determined that such documents are “hearsay, not excused by any exception to the rules of evidence governing hearsay, and [are] inadmissible as evidence.”</w:t>
      </w:r>
      <w:r w:rsidRPr="00547C15">
        <w:rPr>
          <w:rStyle w:val="FootnoteReference"/>
          <w:rFonts w:ascii="Times New Roman" w:hAnsi="Times New Roman" w:cs="Times New Roman"/>
          <w:sz w:val="24"/>
          <w:szCs w:val="24"/>
        </w:rPr>
        <w:footnoteReference w:id="28"/>
      </w:r>
    </w:p>
    <w:p w:rsidR="00FA37F2" w:rsidRDefault="005C5D3D"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37F2">
        <w:rPr>
          <w:rFonts w:ascii="Times New Roman" w:hAnsi="Times New Roman" w:cs="Times New Roman"/>
          <w:sz w:val="24"/>
          <w:szCs w:val="24"/>
        </w:rPr>
        <w:t>And, use of the anecdo</w:t>
      </w:r>
      <w:r w:rsidR="00A75997">
        <w:rPr>
          <w:rFonts w:ascii="Times New Roman" w:hAnsi="Times New Roman" w:cs="Times New Roman"/>
          <w:sz w:val="24"/>
          <w:szCs w:val="24"/>
        </w:rPr>
        <w:t xml:space="preserve">tal information is misleading. </w:t>
      </w:r>
      <w:r w:rsidR="00FA37F2">
        <w:rPr>
          <w:rFonts w:ascii="Times New Roman" w:hAnsi="Times New Roman" w:cs="Times New Roman"/>
          <w:sz w:val="24"/>
          <w:szCs w:val="24"/>
        </w:rPr>
        <w:t>T</w:t>
      </w:r>
      <w:r w:rsidR="00A75997">
        <w:rPr>
          <w:rFonts w:ascii="Times New Roman" w:hAnsi="Times New Roman" w:cs="Times New Roman"/>
          <w:sz w:val="24"/>
          <w:szCs w:val="24"/>
        </w:rPr>
        <w:t>h</w:t>
      </w:r>
      <w:r>
        <w:rPr>
          <w:rFonts w:ascii="Times New Roman" w:hAnsi="Times New Roman" w:cs="Times New Roman"/>
          <w:sz w:val="24"/>
          <w:szCs w:val="24"/>
        </w:rPr>
        <w:t xml:space="preserve">e Utility’s 2015 DIR Work Plan as filed in Case No. 14-2275-EL-UNC does not include any spending for the </w:t>
      </w:r>
      <w:r w:rsidRPr="00AA7E10">
        <w:rPr>
          <w:rFonts w:ascii="Times New Roman" w:hAnsi="Times New Roman" w:cs="Times New Roman"/>
          <w:sz w:val="24"/>
          <w:szCs w:val="24"/>
        </w:rPr>
        <w:t>UNRMP.</w:t>
      </w:r>
      <w:r w:rsidRPr="00AA7E10">
        <w:rPr>
          <w:rStyle w:val="FootnoteReference"/>
          <w:rFonts w:ascii="Times New Roman" w:hAnsi="Times New Roman" w:cs="Times New Roman"/>
          <w:sz w:val="24"/>
          <w:szCs w:val="24"/>
        </w:rPr>
        <w:footnoteReference w:id="29"/>
      </w:r>
      <w:r w:rsidR="00A75997" w:rsidRPr="00AA7E10">
        <w:rPr>
          <w:rFonts w:ascii="Times New Roman" w:hAnsi="Times New Roman" w:cs="Times New Roman"/>
          <w:sz w:val="24"/>
          <w:szCs w:val="24"/>
        </w:rPr>
        <w:t xml:space="preserve"> This me</w:t>
      </w:r>
      <w:r w:rsidR="00655801" w:rsidRPr="00AA7E10">
        <w:rPr>
          <w:rFonts w:ascii="Times New Roman" w:hAnsi="Times New Roman" w:cs="Times New Roman"/>
          <w:sz w:val="24"/>
          <w:szCs w:val="24"/>
        </w:rPr>
        <w:t xml:space="preserve">ans that </w:t>
      </w:r>
      <w:r w:rsidR="00AA7E10" w:rsidRPr="00AA7E10">
        <w:rPr>
          <w:rFonts w:ascii="Times New Roman" w:hAnsi="Times New Roman" w:cs="Times New Roman"/>
          <w:sz w:val="24"/>
          <w:szCs w:val="24"/>
        </w:rPr>
        <w:t>the U</w:t>
      </w:r>
      <w:r w:rsidR="00655801" w:rsidRPr="00AA7E10">
        <w:rPr>
          <w:rFonts w:ascii="Times New Roman" w:hAnsi="Times New Roman" w:cs="Times New Roman"/>
          <w:sz w:val="24"/>
          <w:szCs w:val="24"/>
        </w:rPr>
        <w:t>tility’s claim is not supported by its own DIR Work Plan.</w:t>
      </w:r>
    </w:p>
    <w:p w:rsidR="005C5D3D" w:rsidRDefault="005C5D3D" w:rsidP="00A75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all of these reasons, the PUCO should strike </w:t>
      </w:r>
      <w:r w:rsidR="00017F94">
        <w:rPr>
          <w:rFonts w:ascii="Times New Roman" w:hAnsi="Times New Roman" w:cs="Times New Roman"/>
          <w:sz w:val="24"/>
          <w:szCs w:val="24"/>
        </w:rPr>
        <w:t xml:space="preserve">the aforementioned </w:t>
      </w:r>
      <w:r>
        <w:rPr>
          <w:rFonts w:ascii="Times New Roman" w:hAnsi="Times New Roman" w:cs="Times New Roman"/>
          <w:sz w:val="24"/>
          <w:szCs w:val="24"/>
        </w:rPr>
        <w:t xml:space="preserve">portions of </w:t>
      </w:r>
      <w:r w:rsidR="00A75997">
        <w:rPr>
          <w:rFonts w:ascii="Times New Roman" w:hAnsi="Times New Roman" w:cs="Times New Roman"/>
          <w:sz w:val="24"/>
          <w:szCs w:val="24"/>
        </w:rPr>
        <w:t>the U</w:t>
      </w:r>
      <w:r>
        <w:rPr>
          <w:rFonts w:ascii="Times New Roman" w:hAnsi="Times New Roman" w:cs="Times New Roman"/>
          <w:sz w:val="24"/>
          <w:szCs w:val="24"/>
        </w:rPr>
        <w:t>tility’s Application</w:t>
      </w:r>
      <w:r w:rsidR="00655801">
        <w:rPr>
          <w:rFonts w:ascii="Times New Roman" w:hAnsi="Times New Roman" w:cs="Times New Roman"/>
          <w:sz w:val="24"/>
          <w:szCs w:val="24"/>
        </w:rPr>
        <w:t xml:space="preserve"> for Rehearing and deny AEP</w:t>
      </w:r>
      <w:r>
        <w:rPr>
          <w:rFonts w:ascii="Times New Roman" w:hAnsi="Times New Roman" w:cs="Times New Roman"/>
          <w:sz w:val="24"/>
          <w:szCs w:val="24"/>
        </w:rPr>
        <w:t xml:space="preserve">’s Application for Rehearing. </w:t>
      </w:r>
    </w:p>
    <w:p w:rsidR="005C5D3D" w:rsidRDefault="00655801" w:rsidP="006E19F7">
      <w:pPr>
        <w:pStyle w:val="Heading2"/>
      </w:pPr>
      <w:bookmarkStart w:id="8" w:name="_Toc424222981"/>
      <w:r>
        <w:rPr>
          <w:rStyle w:val="Heading2Char"/>
        </w:rPr>
        <w:t>D</w:t>
      </w:r>
      <w:r w:rsidR="005C5D3D" w:rsidRPr="00DD0127">
        <w:t>.</w:t>
      </w:r>
      <w:r w:rsidR="005C5D3D" w:rsidRPr="00DD0127">
        <w:tab/>
        <w:t xml:space="preserve">It was reasonable for the PUCO to delegate </w:t>
      </w:r>
      <w:r w:rsidR="005C5D3D">
        <w:t xml:space="preserve">certain Purchase of Receivables </w:t>
      </w:r>
      <w:r w:rsidR="005C5D3D" w:rsidRPr="00DD0127">
        <w:t>issues to the working group.</w:t>
      </w:r>
      <w:bookmarkEnd w:id="8"/>
    </w:p>
    <w:p w:rsidR="005C5D3D" w:rsidRDefault="00655801"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b/>
        <w:t>AEP</w:t>
      </w:r>
      <w:r w:rsidR="005C5D3D">
        <w:rPr>
          <w:rFonts w:ascii="Times New Roman" w:hAnsi="Times New Roman" w:cs="Times New Roman"/>
          <w:sz w:val="24"/>
          <w:szCs w:val="24"/>
        </w:rPr>
        <w:t xml:space="preserve"> filed for Rehearing of the PUCO’s decision to delegate aspects of the Purchase of Receivables (“POR”) discussion to a subset of the Market Development Working Group (“MDWG”)</w:t>
      </w:r>
      <w:r w:rsidR="00017F94">
        <w:rPr>
          <w:rFonts w:ascii="Times New Roman" w:hAnsi="Times New Roman" w:cs="Times New Roman"/>
          <w:sz w:val="24"/>
          <w:szCs w:val="24"/>
        </w:rPr>
        <w:t>, which</w:t>
      </w:r>
      <w:r w:rsidR="005C5D3D">
        <w:rPr>
          <w:rFonts w:ascii="Times New Roman" w:hAnsi="Times New Roman" w:cs="Times New Roman"/>
          <w:sz w:val="24"/>
          <w:szCs w:val="24"/>
        </w:rPr>
        <w:t xml:space="preserve"> was initially established by the PUCO as part of its investigation of the competitive retail electric market.</w:t>
      </w:r>
      <w:r w:rsidR="005C5D3D">
        <w:rPr>
          <w:rStyle w:val="FootnoteReference"/>
          <w:rFonts w:ascii="Times New Roman" w:hAnsi="Times New Roman" w:cs="Times New Roman"/>
          <w:sz w:val="24"/>
          <w:szCs w:val="24"/>
        </w:rPr>
        <w:footnoteReference w:id="30"/>
      </w:r>
      <w:r w:rsidR="005C5D3D">
        <w:rPr>
          <w:rFonts w:ascii="Times New Roman" w:hAnsi="Times New Roman" w:cs="Times New Roman"/>
          <w:sz w:val="24"/>
          <w:szCs w:val="24"/>
        </w:rPr>
        <w:t xml:space="preserve"> The PUCO addressed this matter in its Entry on Rehearing where the PUCO rejected the Utility’s argument:</w:t>
      </w:r>
    </w:p>
    <w:p w:rsidR="005C5D3D" w:rsidRDefault="005C5D3D" w:rsidP="006E19F7">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We find that our deferral of the implementation details to a future proceeding is a proper next step and well within the bounds of our discretion. As the Ohio Supreme Court has recognized, the Commission is vested with broad discretion to manage its dockets, including the discretion to decide how, in light of its internal organization and docket considerations, it may best proceed to manage and expedite the orderly flow of its business. Duff v. Pub. Util. Comm., 56 Ohio St.2d 367, 384 N.E.2d 264 (1978); Toledo Coalition for Safe Energy v. Pub. Util. Comm., 69 Ohio St.2d 559, 433 N.E.2d 212 (1982). We, therefore, find no error in our decision to address the implementation details in a future case and AEP Ohio’s request for rehearing should be denied.</w:t>
      </w:r>
    </w:p>
    <w:p w:rsidR="005C5D3D" w:rsidRDefault="005C5D3D" w:rsidP="005C5D3D">
      <w:pPr>
        <w:autoSpaceDE w:val="0"/>
        <w:autoSpaceDN w:val="0"/>
        <w:adjustRightInd w:val="0"/>
        <w:spacing w:after="0" w:line="240" w:lineRule="auto"/>
        <w:ind w:left="1440" w:right="1440"/>
        <w:rPr>
          <w:rFonts w:ascii="Times New Roman" w:hAnsi="Times New Roman" w:cs="Times New Roman"/>
          <w:sz w:val="24"/>
          <w:szCs w:val="24"/>
        </w:rPr>
      </w:pPr>
    </w:p>
    <w:p w:rsidR="005C5D3D" w:rsidRDefault="00655801" w:rsidP="005C5D3D">
      <w:pPr>
        <w:spacing w:after="0" w:line="480" w:lineRule="auto"/>
        <w:rPr>
          <w:rFonts w:ascii="Times New Roman" w:hAnsi="Times New Roman" w:cs="Times New Roman"/>
          <w:sz w:val="24"/>
          <w:szCs w:val="24"/>
        </w:rPr>
      </w:pPr>
      <w:r>
        <w:rPr>
          <w:rFonts w:ascii="Times New Roman" w:hAnsi="Times New Roman" w:cs="Times New Roman"/>
          <w:sz w:val="24"/>
          <w:szCs w:val="24"/>
        </w:rPr>
        <w:t>AEP</w:t>
      </w:r>
      <w:r w:rsidR="005C5D3D">
        <w:rPr>
          <w:rFonts w:ascii="Times New Roman" w:hAnsi="Times New Roman" w:cs="Times New Roman"/>
          <w:sz w:val="24"/>
          <w:szCs w:val="24"/>
        </w:rPr>
        <w:t xml:space="preserve"> has presented no new arguments to demonstrate that the PUCO’s decision to delegate certain issues to the MDWG was unreasonable or unlawful. </w:t>
      </w:r>
    </w:p>
    <w:p w:rsidR="005C5D3D" w:rsidRDefault="005C5D3D" w:rsidP="005C5D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despite this </w:t>
      </w:r>
      <w:r w:rsidR="00655801">
        <w:rPr>
          <w:rFonts w:ascii="Times New Roman" w:hAnsi="Times New Roman" w:cs="Times New Roman"/>
          <w:sz w:val="24"/>
          <w:szCs w:val="24"/>
        </w:rPr>
        <w:t>definitive declaration, AEP</w:t>
      </w:r>
      <w:r>
        <w:rPr>
          <w:rFonts w:ascii="Times New Roman" w:hAnsi="Times New Roman" w:cs="Times New Roman"/>
          <w:sz w:val="24"/>
          <w:szCs w:val="24"/>
        </w:rPr>
        <w:t xml:space="preserve"> filed another Application for Rehearing arguing that “there may be reason to visit some of the findings the Commission relied on in its orders.”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Utility further argued that the PUCO should grant rehearing to permit the subgroup to “raise whatever issues necessary”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Utility’s request is nothing more than an additional attack of the aspects of the POR that the PUCO has already decided. Among those are significant customer protections such as: only permit commodity-related charges to be included in the POR</w:t>
      </w:r>
      <w:r w:rsidR="00017F94">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not allowing the Utility to disconnect customers for nonpayment of CRES charges</w:t>
      </w:r>
      <w:r w:rsidR="00017F94">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and not implementing a late payment fee.</w:t>
      </w:r>
      <w:r>
        <w:rPr>
          <w:rStyle w:val="FootnoteReference"/>
          <w:rFonts w:ascii="Times New Roman" w:hAnsi="Times New Roman" w:cs="Times New Roman"/>
          <w:sz w:val="24"/>
          <w:szCs w:val="24"/>
        </w:rPr>
        <w:footnoteReference w:id="35"/>
      </w:r>
    </w:p>
    <w:p w:rsidR="005C5D3D" w:rsidRDefault="005C5D3D" w:rsidP="005C5D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has clearly stated its position on the limitation of only commodity-related charges being included in AEP Ohio’s POR.</w:t>
      </w:r>
    </w:p>
    <w:p w:rsidR="005C5D3D" w:rsidRDefault="005C5D3D" w:rsidP="006E19F7">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The Commission expressly stated, in the ESP 3 Order, that only commodity related charges may be included in AEP Ohio’s POR program. ESP 3 Order at 80. To the extent that it is necessary to do so, the Commission clarifies that commodity related charges means charges that are directly tied to the actual cost of generation and does not include early termination fees, which are not a necessary component of generation service.</w:t>
      </w:r>
      <w:r>
        <w:rPr>
          <w:rStyle w:val="FootnoteReference"/>
          <w:rFonts w:ascii="Times New Roman" w:hAnsi="Times New Roman" w:cs="Times New Roman"/>
          <w:sz w:val="24"/>
          <w:szCs w:val="24"/>
        </w:rPr>
        <w:footnoteReference w:id="36"/>
      </w:r>
    </w:p>
    <w:p w:rsidR="005C5D3D" w:rsidRDefault="005C5D3D" w:rsidP="005C5D3D">
      <w:pPr>
        <w:autoSpaceDE w:val="0"/>
        <w:autoSpaceDN w:val="0"/>
        <w:adjustRightInd w:val="0"/>
        <w:spacing w:after="0" w:line="240" w:lineRule="auto"/>
        <w:rPr>
          <w:rFonts w:ascii="Times New Roman" w:hAnsi="Times New Roman" w:cs="Times New Roman"/>
          <w:sz w:val="24"/>
          <w:szCs w:val="24"/>
        </w:rPr>
      </w:pPr>
    </w:p>
    <w:p w:rsidR="005C5D3D" w:rsidRDefault="005C5D3D" w:rsidP="005C5D3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Similarly, the PUCO has concluded that R.C. 4928.10(D)(3) prohibits disconnection for non-payment of CRES-related charges. Regarding any waiver of the prohibition, the PUCO stated, “the consumer protections afforded by the statute would be defeated if CRES receivables are simply reclassified as a non-competitive retail service under the POR program.</w:t>
      </w:r>
    </w:p>
    <w:p w:rsidR="005C5D3D" w:rsidRDefault="005C5D3D" w:rsidP="005C5D3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Finally, the PUCO has determined that the merits of a late payment charge for residential customers should be addressed in a distribution base rate case,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and thus not as part of the MDWG.</w:t>
      </w:r>
    </w:p>
    <w:p w:rsidR="005C5D3D" w:rsidRDefault="005C5D3D" w:rsidP="00A7599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has ruled that these protections are important and they should not be reconsidered as part of the MDWG. Instead, the PUCO should reiterate that the MDWG should focus on POR program rules, calculation of the discount rate, implementation and maintenance costs, collection rates and procedures, and the timing and other mechanics of the process by which the Utility will purchase receivables from CRES providers as set forth in the Opinion and Order</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and Entry on Rehearing.</w:t>
      </w:r>
      <w:r>
        <w:rPr>
          <w:rStyle w:val="FootnoteReference"/>
          <w:rFonts w:ascii="Times New Roman" w:hAnsi="Times New Roman" w:cs="Times New Roman"/>
          <w:sz w:val="24"/>
          <w:szCs w:val="24"/>
        </w:rPr>
        <w:footnoteReference w:id="39"/>
      </w:r>
      <w:r w:rsidR="00A75997">
        <w:rPr>
          <w:rFonts w:ascii="Times New Roman" w:hAnsi="Times New Roman" w:cs="Times New Roman"/>
          <w:sz w:val="24"/>
          <w:szCs w:val="24"/>
        </w:rPr>
        <w:t xml:space="preserve"> </w:t>
      </w:r>
      <w:r w:rsidR="0091213E">
        <w:rPr>
          <w:rFonts w:ascii="Times New Roman" w:hAnsi="Times New Roman" w:cs="Times New Roman"/>
          <w:sz w:val="24"/>
          <w:szCs w:val="24"/>
        </w:rPr>
        <w:t>The PUCO’s finding was well within its broad discretionary authority</w:t>
      </w:r>
      <w:r w:rsidR="00A75997">
        <w:rPr>
          <w:rFonts w:ascii="Times New Roman" w:hAnsi="Times New Roman" w:cs="Times New Roman"/>
          <w:sz w:val="24"/>
          <w:szCs w:val="24"/>
        </w:rPr>
        <w:t xml:space="preserve"> to manage its dockets. </w:t>
      </w:r>
      <w:r w:rsidR="0091213E">
        <w:rPr>
          <w:rFonts w:ascii="Times New Roman" w:hAnsi="Times New Roman" w:cs="Times New Roman"/>
          <w:sz w:val="24"/>
          <w:szCs w:val="24"/>
        </w:rPr>
        <w:t>There was nothing unreason</w:t>
      </w:r>
      <w:r w:rsidR="00A75997">
        <w:rPr>
          <w:rFonts w:ascii="Times New Roman" w:hAnsi="Times New Roman" w:cs="Times New Roman"/>
          <w:sz w:val="24"/>
          <w:szCs w:val="24"/>
        </w:rPr>
        <w:t>able about the PUCO’s approach. Rehearing should be denied.</w:t>
      </w:r>
    </w:p>
    <w:p w:rsidR="006E19F7" w:rsidRDefault="006E19F7" w:rsidP="006E19F7">
      <w:pPr>
        <w:autoSpaceDE w:val="0"/>
        <w:autoSpaceDN w:val="0"/>
        <w:adjustRightInd w:val="0"/>
        <w:spacing w:after="0" w:line="240" w:lineRule="auto"/>
        <w:ind w:firstLine="720"/>
        <w:rPr>
          <w:rFonts w:ascii="Times New Roman" w:hAnsi="Times New Roman" w:cs="Times New Roman"/>
          <w:sz w:val="24"/>
          <w:szCs w:val="24"/>
        </w:rPr>
      </w:pPr>
    </w:p>
    <w:p w:rsidR="008241D3" w:rsidRPr="003E795C" w:rsidRDefault="001F2FB7" w:rsidP="006E19F7">
      <w:pPr>
        <w:pStyle w:val="Heading1"/>
      </w:pPr>
      <w:bookmarkStart w:id="9" w:name="_Toc424222982"/>
      <w:r w:rsidRPr="003E795C">
        <w:t>III.</w:t>
      </w:r>
      <w:r w:rsidRPr="003E795C">
        <w:tab/>
      </w:r>
      <w:r w:rsidR="008241D3" w:rsidRPr="003E795C">
        <w:t>CONCLUSION</w:t>
      </w:r>
      <w:bookmarkEnd w:id="9"/>
    </w:p>
    <w:p w:rsidR="005F270C" w:rsidRDefault="000637D0" w:rsidP="00437F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AEP’s Application for rehearing should be rejected in large part, as explained above. Otherwise customers will be charged even higher rates for service, when </w:t>
      </w:r>
      <w:r w:rsidR="00AA7E10">
        <w:rPr>
          <w:rFonts w:ascii="Times New Roman" w:eastAsia="Times New Roman" w:hAnsi="Times New Roman" w:cs="Times New Roman"/>
          <w:sz w:val="24"/>
          <w:szCs w:val="24"/>
        </w:rPr>
        <w:t xml:space="preserve">AEP </w:t>
      </w:r>
      <w:r w:rsidR="00017F94">
        <w:rPr>
          <w:rFonts w:ascii="Times New Roman" w:eastAsia="Times New Roman" w:hAnsi="Times New Roman" w:cs="Times New Roman"/>
          <w:sz w:val="24"/>
          <w:szCs w:val="24"/>
        </w:rPr>
        <w:t xml:space="preserve">already has the highest rates in the state </w:t>
      </w:r>
      <w:r w:rsidR="006A0B13">
        <w:rPr>
          <w:rFonts w:ascii="Times New Roman" w:eastAsia="Times New Roman" w:hAnsi="Times New Roman" w:cs="Times New Roman"/>
          <w:sz w:val="24"/>
          <w:szCs w:val="24"/>
        </w:rPr>
        <w:t>and among the highest in the country.</w:t>
      </w:r>
      <w:r w:rsidRPr="006A0B13">
        <w:rPr>
          <w:rStyle w:val="FootnoteReference"/>
          <w:rFonts w:ascii="Times New Roman" w:eastAsia="Times New Roman" w:hAnsi="Times New Roman" w:cs="Times New Roman"/>
          <w:sz w:val="24"/>
          <w:szCs w:val="24"/>
        </w:rPr>
        <w:footnoteReference w:id="40"/>
      </w:r>
    </w:p>
    <w:p w:rsidR="008241D3" w:rsidRPr="008241D3" w:rsidRDefault="00B601E3" w:rsidP="00B601E3">
      <w:pPr>
        <w:ind w:left="3600" w:firstLine="720"/>
        <w:rPr>
          <w:rFonts w:ascii="Times New Roman" w:hAnsi="Times New Roman" w:cs="Times New Roman"/>
          <w:sz w:val="24"/>
          <w:szCs w:val="24"/>
        </w:rPr>
      </w:pPr>
      <w:r>
        <w:rPr>
          <w:rFonts w:ascii="Times New Roman" w:hAnsi="Times New Roman" w:cs="Times New Roman"/>
          <w:sz w:val="24"/>
          <w:szCs w:val="24"/>
        </w:rPr>
        <w:t>R</w:t>
      </w:r>
      <w:r w:rsidR="008241D3" w:rsidRPr="008241D3">
        <w:rPr>
          <w:rFonts w:ascii="Times New Roman" w:hAnsi="Times New Roman" w:cs="Times New Roman"/>
          <w:sz w:val="24"/>
          <w:szCs w:val="24"/>
        </w:rPr>
        <w:t>espectfully submitted,</w:t>
      </w:r>
    </w:p>
    <w:p w:rsidR="008241D3" w:rsidRPr="008241D3" w:rsidRDefault="008241D3" w:rsidP="008241D3">
      <w:pPr>
        <w:pStyle w:val="Footer"/>
        <w:tabs>
          <w:tab w:val="clear" w:pos="8640"/>
          <w:tab w:val="left" w:pos="4320"/>
        </w:tabs>
        <w:ind w:left="4320"/>
      </w:pPr>
    </w:p>
    <w:p w:rsidR="008241D3" w:rsidRPr="008241D3" w:rsidRDefault="008241D3" w:rsidP="008241D3">
      <w:pPr>
        <w:pStyle w:val="Footer"/>
        <w:tabs>
          <w:tab w:val="clear" w:pos="8640"/>
          <w:tab w:val="left" w:pos="4320"/>
        </w:tabs>
        <w:ind w:left="4320"/>
      </w:pPr>
      <w:r w:rsidRPr="008241D3">
        <w:t>BRUCE J. WESTON</w:t>
      </w:r>
    </w:p>
    <w:p w:rsidR="008241D3" w:rsidRPr="008241D3" w:rsidRDefault="008241D3" w:rsidP="008241D3">
      <w:pPr>
        <w:pStyle w:val="Footer"/>
        <w:tabs>
          <w:tab w:val="clear" w:pos="8640"/>
          <w:tab w:val="left" w:pos="4320"/>
        </w:tabs>
        <w:ind w:left="4320"/>
      </w:pPr>
      <w:r w:rsidRPr="008241D3">
        <w:t>OHIO CONSUMERS’ COUNSEL</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r>
    </w:p>
    <w:p w:rsidR="008241D3" w:rsidRPr="008241D3" w:rsidRDefault="008241D3" w:rsidP="008241D3">
      <w:pPr>
        <w:tabs>
          <w:tab w:val="left" w:pos="4320"/>
        </w:tabs>
        <w:spacing w:after="0" w:line="240" w:lineRule="auto"/>
        <w:rPr>
          <w:rFonts w:ascii="Times New Roman" w:hAnsi="Times New Roman" w:cs="Times New Roman"/>
          <w:i/>
          <w:sz w:val="24"/>
          <w:szCs w:val="24"/>
          <w:u w:val="single"/>
        </w:rPr>
      </w:pPr>
      <w:r w:rsidRPr="008241D3">
        <w:rPr>
          <w:rFonts w:ascii="Times New Roman" w:hAnsi="Times New Roman" w:cs="Times New Roman"/>
          <w:i/>
          <w:sz w:val="24"/>
          <w:szCs w:val="24"/>
        </w:rPr>
        <w:tab/>
      </w:r>
      <w:r w:rsidRPr="008241D3">
        <w:rPr>
          <w:rFonts w:ascii="Times New Roman" w:hAnsi="Times New Roman" w:cs="Times New Roman"/>
          <w:i/>
          <w:sz w:val="24"/>
          <w:szCs w:val="24"/>
          <w:u w:val="single"/>
        </w:rPr>
        <w:t>/s/ Maureen R. Grady</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Maureen R. Grady, Counsel of Record</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(Reg. No. 0020847)</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Joseph P. Serio</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(Reg. No. 0036959)</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Assistant Consumers’ Counsel</w:t>
      </w:r>
    </w:p>
    <w:p w:rsidR="008241D3" w:rsidRPr="008241D3" w:rsidRDefault="008241D3" w:rsidP="008241D3">
      <w:pPr>
        <w:spacing w:after="0" w:line="240" w:lineRule="auto"/>
        <w:ind w:left="4320"/>
        <w:rPr>
          <w:rFonts w:ascii="Times New Roman" w:hAnsi="Times New Roman" w:cs="Times New Roman"/>
          <w:b/>
          <w:sz w:val="24"/>
          <w:szCs w:val="24"/>
        </w:rPr>
      </w:pPr>
    </w:p>
    <w:p w:rsidR="008241D3" w:rsidRPr="008241D3" w:rsidRDefault="008241D3" w:rsidP="008241D3">
      <w:pPr>
        <w:spacing w:after="0" w:line="240" w:lineRule="auto"/>
        <w:ind w:left="4320"/>
        <w:rPr>
          <w:rFonts w:ascii="Times New Roman" w:hAnsi="Times New Roman" w:cs="Times New Roman"/>
          <w:b/>
          <w:sz w:val="24"/>
          <w:szCs w:val="24"/>
        </w:rPr>
      </w:pPr>
      <w:r w:rsidRPr="008241D3">
        <w:rPr>
          <w:rFonts w:ascii="Times New Roman" w:hAnsi="Times New Roman" w:cs="Times New Roman"/>
          <w:b/>
          <w:sz w:val="24"/>
          <w:szCs w:val="24"/>
        </w:rPr>
        <w:t>Office of the Ohio Consumers’ Counsel</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10 West Broad Street, Suite 1800</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Columbus, Ohio 43215-3485</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 xml:space="preserve">(614) 466-9567 – Grady </w:t>
      </w:r>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t>(614) 466-9565 – Serio</w:t>
      </w:r>
    </w:p>
    <w:p w:rsidR="008241D3" w:rsidRPr="008241D3" w:rsidRDefault="00C41D37" w:rsidP="008241D3">
      <w:pPr>
        <w:spacing w:after="0" w:line="240" w:lineRule="auto"/>
        <w:ind w:left="3600" w:firstLine="720"/>
        <w:rPr>
          <w:rFonts w:ascii="Times New Roman" w:hAnsi="Times New Roman" w:cs="Times New Roman"/>
          <w:sz w:val="24"/>
          <w:szCs w:val="24"/>
        </w:rPr>
      </w:pPr>
      <w:hyperlink r:id="rId18" w:history="1">
        <w:r w:rsidR="008241D3" w:rsidRPr="008241D3">
          <w:rPr>
            <w:rStyle w:val="Hyperlink"/>
            <w:rFonts w:ascii="Times New Roman" w:hAnsi="Times New Roman" w:cs="Times New Roman"/>
            <w:sz w:val="24"/>
            <w:szCs w:val="24"/>
          </w:rPr>
          <w:t>Maureen.grady@occ.ohio.gov</w:t>
        </w:r>
      </w:hyperlink>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t>(will accept service via email)</w:t>
      </w:r>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r>
      <w:hyperlink r:id="rId19" w:history="1">
        <w:r w:rsidRPr="008241D3">
          <w:rPr>
            <w:rStyle w:val="Hyperlink"/>
            <w:rFonts w:ascii="Times New Roman" w:hAnsi="Times New Roman" w:cs="Times New Roman"/>
            <w:sz w:val="24"/>
            <w:szCs w:val="24"/>
          </w:rPr>
          <w:t>Joseph.serio@occ.ohio.gov</w:t>
        </w:r>
      </w:hyperlink>
    </w:p>
    <w:p w:rsidR="008241D3" w:rsidRPr="008241D3" w:rsidRDefault="008241D3" w:rsidP="008241D3">
      <w:pPr>
        <w:spacing w:after="0" w:line="240" w:lineRule="auto"/>
        <w:ind w:left="3600" w:firstLine="720"/>
        <w:rPr>
          <w:rFonts w:ascii="Times New Roman" w:hAnsi="Times New Roman" w:cs="Times New Roman"/>
          <w:sz w:val="24"/>
          <w:szCs w:val="24"/>
        </w:rPr>
      </w:pPr>
      <w:r w:rsidRPr="008241D3">
        <w:rPr>
          <w:rFonts w:ascii="Times New Roman" w:hAnsi="Times New Roman" w:cs="Times New Roman"/>
          <w:sz w:val="24"/>
          <w:szCs w:val="24"/>
        </w:rPr>
        <w:t>(will accept service via email)</w:t>
      </w:r>
    </w:p>
    <w:p w:rsidR="008241D3" w:rsidRPr="008241D3" w:rsidRDefault="008241D3" w:rsidP="008241D3">
      <w:pPr>
        <w:spacing w:after="0" w:line="240" w:lineRule="auto"/>
        <w:jc w:val="center"/>
        <w:rPr>
          <w:rFonts w:ascii="Times New Roman" w:hAnsi="Times New Roman" w:cs="Times New Roman"/>
          <w:sz w:val="24"/>
          <w:szCs w:val="24"/>
        </w:rPr>
      </w:pPr>
      <w:r w:rsidRPr="008241D3">
        <w:rPr>
          <w:rFonts w:ascii="Times New Roman" w:eastAsia="Times New Roman" w:hAnsi="Times New Roman" w:cs="Times New Roman"/>
          <w:sz w:val="24"/>
          <w:szCs w:val="24"/>
        </w:rPr>
        <w:br w:type="page"/>
      </w:r>
      <w:r w:rsidRPr="008241D3">
        <w:rPr>
          <w:rFonts w:ascii="Times New Roman" w:hAnsi="Times New Roman" w:cs="Times New Roman"/>
          <w:b/>
          <w:bCs/>
          <w:sz w:val="24"/>
          <w:szCs w:val="24"/>
        </w:rPr>
        <w:t>CERTIFICATE OF SERVICE</w:t>
      </w:r>
    </w:p>
    <w:p w:rsidR="008241D3" w:rsidRPr="008241D3" w:rsidRDefault="008241D3" w:rsidP="008241D3">
      <w:pPr>
        <w:spacing w:before="240" w:line="480" w:lineRule="auto"/>
        <w:ind w:firstLine="720"/>
        <w:rPr>
          <w:rFonts w:ascii="Times New Roman" w:hAnsi="Times New Roman" w:cs="Times New Roman"/>
          <w:sz w:val="24"/>
          <w:szCs w:val="24"/>
        </w:rPr>
      </w:pPr>
      <w:r w:rsidRPr="008241D3">
        <w:rPr>
          <w:rFonts w:ascii="Times New Roman" w:hAnsi="Times New Roman" w:cs="Times New Roman"/>
          <w:sz w:val="24"/>
          <w:szCs w:val="24"/>
        </w:rPr>
        <w:t>I hereby certify that a copy of the foregoing</w:t>
      </w:r>
      <w:r w:rsidRPr="008241D3">
        <w:rPr>
          <w:rFonts w:ascii="Times New Roman" w:hAnsi="Times New Roman" w:cs="Times New Roman"/>
          <w:b/>
          <w:sz w:val="24"/>
          <w:szCs w:val="24"/>
        </w:rPr>
        <w:t xml:space="preserve"> </w:t>
      </w:r>
      <w:r w:rsidRPr="008241D3">
        <w:rPr>
          <w:rFonts w:ascii="Times New Roman" w:hAnsi="Times New Roman" w:cs="Times New Roman"/>
          <w:sz w:val="24"/>
          <w:szCs w:val="24"/>
        </w:rPr>
        <w:t>Memo Contra</w:t>
      </w:r>
      <w:r>
        <w:rPr>
          <w:rFonts w:ascii="Times New Roman" w:hAnsi="Times New Roman" w:cs="Times New Roman"/>
          <w:b/>
          <w:sz w:val="24"/>
          <w:szCs w:val="24"/>
        </w:rPr>
        <w:t xml:space="preserve"> </w:t>
      </w:r>
      <w:r w:rsidR="00F515BC" w:rsidRPr="00F515BC">
        <w:rPr>
          <w:rFonts w:ascii="Times New Roman" w:hAnsi="Times New Roman" w:cs="Times New Roman"/>
          <w:sz w:val="24"/>
          <w:szCs w:val="24"/>
        </w:rPr>
        <w:t>AEP Ohio</w:t>
      </w:r>
      <w:r w:rsidR="00F515BC">
        <w:rPr>
          <w:rFonts w:ascii="Times New Roman" w:hAnsi="Times New Roman" w:cs="Times New Roman"/>
          <w:sz w:val="24"/>
          <w:szCs w:val="24"/>
        </w:rPr>
        <w:t>’s</w:t>
      </w:r>
      <w:r w:rsidR="00F515BC">
        <w:rPr>
          <w:rFonts w:ascii="Times New Roman" w:hAnsi="Times New Roman" w:cs="Times New Roman"/>
          <w:b/>
          <w:sz w:val="24"/>
          <w:szCs w:val="24"/>
        </w:rPr>
        <w:t xml:space="preserve"> </w:t>
      </w:r>
      <w:r w:rsidRPr="008241D3">
        <w:rPr>
          <w:rFonts w:ascii="Times New Roman" w:hAnsi="Times New Roman" w:cs="Times New Roman"/>
          <w:sz w:val="24"/>
          <w:szCs w:val="24"/>
        </w:rPr>
        <w:t>Application for Rehearing by</w:t>
      </w:r>
      <w:r w:rsidRPr="008241D3">
        <w:rPr>
          <w:rFonts w:ascii="Times New Roman" w:hAnsi="Times New Roman" w:cs="Times New Roman"/>
          <w:b/>
          <w:sz w:val="24"/>
          <w:szCs w:val="24"/>
        </w:rPr>
        <w:t xml:space="preserve"> </w:t>
      </w:r>
      <w:r w:rsidRPr="008241D3">
        <w:rPr>
          <w:rFonts w:ascii="Times New Roman" w:hAnsi="Times New Roman" w:cs="Times New Roman"/>
          <w:bCs/>
          <w:sz w:val="24"/>
          <w:szCs w:val="24"/>
        </w:rPr>
        <w:t>the Office of the Ohio Consumers’ Counsel</w:t>
      </w:r>
      <w:r w:rsidRPr="008241D3">
        <w:rPr>
          <w:rFonts w:ascii="Times New Roman" w:hAnsi="Times New Roman" w:cs="Times New Roman"/>
          <w:sz w:val="24"/>
          <w:szCs w:val="24"/>
        </w:rPr>
        <w:t xml:space="preserve"> was served via electronic transmission, to the persons listed below, on this </w:t>
      </w:r>
      <w:r w:rsidR="006E19F7">
        <w:rPr>
          <w:rFonts w:ascii="Times New Roman" w:hAnsi="Times New Roman" w:cs="Times New Roman"/>
          <w:sz w:val="24"/>
          <w:szCs w:val="24"/>
        </w:rPr>
        <w:t>9</w:t>
      </w:r>
      <w:r w:rsidR="003608AA">
        <w:rPr>
          <w:rFonts w:ascii="Times New Roman" w:hAnsi="Times New Roman" w:cs="Times New Roman"/>
          <w:sz w:val="24"/>
          <w:szCs w:val="24"/>
        </w:rPr>
        <w:t>th</w:t>
      </w:r>
      <w:r w:rsidRPr="008241D3">
        <w:rPr>
          <w:rFonts w:ascii="Times New Roman" w:hAnsi="Times New Roman" w:cs="Times New Roman"/>
          <w:sz w:val="24"/>
          <w:szCs w:val="24"/>
        </w:rPr>
        <w:t xml:space="preserve"> day of </w:t>
      </w:r>
      <w:r w:rsidR="006E19F7">
        <w:rPr>
          <w:rFonts w:ascii="Times New Roman" w:hAnsi="Times New Roman" w:cs="Times New Roman"/>
          <w:sz w:val="24"/>
          <w:szCs w:val="24"/>
        </w:rPr>
        <w:t>July,</w:t>
      </w:r>
      <w:r w:rsidRPr="008241D3">
        <w:rPr>
          <w:rFonts w:ascii="Times New Roman" w:hAnsi="Times New Roman" w:cs="Times New Roman"/>
          <w:sz w:val="24"/>
          <w:szCs w:val="24"/>
        </w:rPr>
        <w:t xml:space="preserve"> 2015.</w:t>
      </w:r>
    </w:p>
    <w:p w:rsidR="008241D3" w:rsidRPr="008241D3" w:rsidRDefault="008241D3" w:rsidP="008241D3">
      <w:pPr>
        <w:tabs>
          <w:tab w:val="left" w:pos="1440"/>
          <w:tab w:val="left" w:pos="2016"/>
        </w:tabs>
        <w:spacing w:line="480" w:lineRule="atLeast"/>
        <w:rPr>
          <w:rFonts w:ascii="Times New Roman" w:hAnsi="Times New Roman" w:cs="Times New Roman"/>
          <w:sz w:val="24"/>
          <w:szCs w:val="24"/>
        </w:rPr>
      </w:pPr>
    </w:p>
    <w:p w:rsidR="008241D3" w:rsidRPr="008241D3" w:rsidRDefault="008241D3" w:rsidP="008241D3">
      <w:pPr>
        <w:tabs>
          <w:tab w:val="left" w:pos="4320"/>
        </w:tabs>
        <w:spacing w:after="0" w:line="240" w:lineRule="auto"/>
        <w:rPr>
          <w:rFonts w:ascii="Times New Roman" w:hAnsi="Times New Roman" w:cs="Times New Roman"/>
          <w:sz w:val="24"/>
          <w:szCs w:val="24"/>
          <w:u w:val="single"/>
        </w:rPr>
      </w:pPr>
      <w:r w:rsidRPr="008241D3">
        <w:rPr>
          <w:rFonts w:ascii="Times New Roman" w:hAnsi="Times New Roman" w:cs="Times New Roman"/>
          <w:sz w:val="24"/>
          <w:szCs w:val="24"/>
        </w:rPr>
        <w:tab/>
      </w:r>
      <w:r w:rsidRPr="008241D3">
        <w:rPr>
          <w:rFonts w:ascii="Times New Roman" w:hAnsi="Times New Roman" w:cs="Times New Roman"/>
          <w:sz w:val="24"/>
          <w:szCs w:val="24"/>
          <w:u w:val="single"/>
        </w:rPr>
        <w:t>/s/ Maureen R. Grady                                    </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Maureen R. Grady</w:t>
      </w:r>
    </w:p>
    <w:p w:rsidR="008241D3" w:rsidRPr="008241D3" w:rsidRDefault="008241D3" w:rsidP="008241D3">
      <w:pPr>
        <w:pStyle w:val="Footer"/>
        <w:tabs>
          <w:tab w:val="clear" w:pos="8640"/>
          <w:tab w:val="left" w:pos="4320"/>
        </w:tabs>
      </w:pPr>
      <w:r w:rsidRPr="008241D3">
        <w:tab/>
        <w:t>Assistant Consumers’ Counsel</w:t>
      </w:r>
    </w:p>
    <w:p w:rsidR="008241D3" w:rsidRPr="008241D3" w:rsidRDefault="008241D3" w:rsidP="008241D3">
      <w:pPr>
        <w:pStyle w:val="Footer"/>
        <w:tabs>
          <w:tab w:val="clear" w:pos="8640"/>
          <w:tab w:val="left" w:pos="4320"/>
        </w:tabs>
      </w:pPr>
    </w:p>
    <w:p w:rsidR="008241D3" w:rsidRPr="008241D3" w:rsidRDefault="008241D3" w:rsidP="008241D3">
      <w:pPr>
        <w:pStyle w:val="Footer"/>
        <w:tabs>
          <w:tab w:val="clear" w:pos="8640"/>
          <w:tab w:val="left" w:pos="4320"/>
        </w:tabs>
        <w:jc w:val="center"/>
        <w:rPr>
          <w:b/>
          <w:bCs/>
        </w:rPr>
      </w:pPr>
      <w:r w:rsidRPr="008241D3">
        <w:rPr>
          <w:b/>
          <w:bCs/>
        </w:rPr>
        <w:t>SERVICE LIST</w:t>
      </w:r>
    </w:p>
    <w:p w:rsidR="008241D3" w:rsidRPr="008241D3" w:rsidRDefault="008241D3" w:rsidP="008241D3">
      <w:pPr>
        <w:pStyle w:val="Footer"/>
        <w:tabs>
          <w:tab w:val="clear" w:pos="8640"/>
          <w:tab w:val="left" w:pos="4320"/>
        </w:tabs>
        <w:jc w:val="center"/>
        <w:rPr>
          <w:b/>
          <w:bCs/>
        </w:rPr>
      </w:pPr>
    </w:p>
    <w:tbl>
      <w:tblPr>
        <w:tblW w:w="0" w:type="auto"/>
        <w:tblLook w:val="01E0" w:firstRow="1" w:lastRow="1" w:firstColumn="1" w:lastColumn="1" w:noHBand="0" w:noVBand="0"/>
      </w:tblPr>
      <w:tblGrid>
        <w:gridCol w:w="4428"/>
        <w:gridCol w:w="4428"/>
      </w:tblGrid>
      <w:tr w:rsidR="008241D3" w:rsidRPr="008241D3" w:rsidTr="00486594">
        <w:tc>
          <w:tcPr>
            <w:tcW w:w="4428" w:type="dxa"/>
          </w:tcPr>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bCs/>
                <w:color w:val="0000FF"/>
                <w:sz w:val="24"/>
                <w:szCs w:val="24"/>
                <w:u w:val="single"/>
              </w:rPr>
              <w:t>Katie.johnson@puc.state.oh.us</w:t>
            </w:r>
          </w:p>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bCs/>
                <w:color w:val="0000FF"/>
                <w:sz w:val="24"/>
                <w:szCs w:val="24"/>
                <w:u w:val="single"/>
              </w:rPr>
              <w:t>Werner.margard@puc.state.oh.us</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sam@mwncmh.com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fdarr@mwncmh.com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mpritchard@mwncmh.com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Philip.Sineneng@ThompsonHine.com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ricks@ohanet.org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tobrien@bricker.com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dborchers@bricker.com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Rocco.dascenzo@duke-energy.com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Elizabeth.watts@duke-energy.com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BarthRoyer@aol.com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dboehm@BKLlawfirm.com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mkurtz@BKLlawfirm.com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jkylercohn@BKLlawfirm.com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myurick@taftlaw.com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zkravitz@taftlaw.com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tdougherty@theOEC.org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msmalz@ohiopovertylaw.org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mhpetricoff@vorys.com</w:t>
            </w:r>
          </w:p>
          <w:p w:rsidR="008241D3" w:rsidRPr="008241D3" w:rsidRDefault="008241D3" w:rsidP="008241D3">
            <w:pPr>
              <w:spacing w:after="0" w:line="240" w:lineRule="auto"/>
              <w:rPr>
                <w:rFonts w:ascii="Times New Roman" w:hAnsi="Times New Roman" w:cs="Times New Roman"/>
                <w:sz w:val="24"/>
                <w:szCs w:val="24"/>
              </w:rPr>
            </w:pPr>
            <w:r w:rsidRPr="008241D3">
              <w:rPr>
                <w:rFonts w:ascii="Times New Roman" w:eastAsia="Calibri" w:hAnsi="Times New Roman" w:cs="Times New Roman"/>
                <w:color w:val="0000FF"/>
                <w:sz w:val="24"/>
                <w:szCs w:val="24"/>
                <w:u w:val="single"/>
              </w:rPr>
              <w:t>glpetrucci@vorys.com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Stephanie.Chmiel@ThompsonHine.com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swilliams@nrdc.org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tsiwo@bricker.com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sz w:val="24"/>
                <w:szCs w:val="24"/>
              </w:rPr>
              <w:t>Attorney Examiner:</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p>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color w:val="0000FF"/>
                <w:sz w:val="24"/>
                <w:szCs w:val="24"/>
                <w:u w:val="single"/>
              </w:rPr>
              <w:t>Sarah.parrot@puc.state.oh.us</w:t>
            </w:r>
          </w:p>
        </w:tc>
        <w:tc>
          <w:tcPr>
            <w:tcW w:w="4428" w:type="dxa"/>
          </w:tcPr>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stnourse@aep.com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mjsatterwhite@aep.com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dconway@porterwright.com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Bojko@carpenterlipps.com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Mohler@carpenterlipps.com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haydenm@firstenergycorp.com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jmcdermott@firstenergycorp.com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scasto@firstenergycorp.com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whitt@whitt-sturtevant.com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campbell@whitt-sturtevant.com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williams@whitt-sturtevant.com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vparisi@igsenergy.com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lfriedeman@igsenergy.com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mswhite@igsenergy.com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Gary.A.Jeffries@dom.com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Judi.sobecki@aes.com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cmooney@ohiopartners.org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cloucas@ohiopartners.org</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jfinnigan@edf.org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joseph.clark@directenergy.com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NMcDaniel@elpc.org</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lhawrot@spilmanlaw.com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dwilliamson@spilmanlaw.com</w:t>
            </w:r>
          </w:p>
          <w:p w:rsidR="008241D3" w:rsidRPr="008241D3" w:rsidRDefault="008241D3" w:rsidP="008241D3">
            <w:pPr>
              <w:spacing w:after="0" w:line="240" w:lineRule="auto"/>
              <w:rPr>
                <w:rFonts w:ascii="Times New Roman" w:hAnsi="Times New Roman" w:cs="Times New Roman"/>
                <w:sz w:val="24"/>
                <w:szCs w:val="24"/>
              </w:rPr>
            </w:pPr>
            <w:r w:rsidRPr="008241D3">
              <w:rPr>
                <w:rFonts w:ascii="Times New Roman" w:hAnsi="Times New Roman" w:cs="Times New Roman"/>
                <w:color w:val="0000FF"/>
                <w:sz w:val="24"/>
                <w:szCs w:val="24"/>
                <w:u w:val="single"/>
              </w:rPr>
              <w:t>tshadrick@spilmanlaw.com</w:t>
            </w:r>
          </w:p>
          <w:p w:rsidR="008241D3" w:rsidRPr="008241D3" w:rsidRDefault="008241D3" w:rsidP="008241D3">
            <w:pPr>
              <w:spacing w:after="0" w:line="240" w:lineRule="auto"/>
              <w:rPr>
                <w:rFonts w:ascii="Times New Roman" w:eastAsia="Calibri" w:hAnsi="Times New Roman" w:cs="Times New Roman"/>
                <w:bCs/>
                <w:color w:val="0000FF"/>
                <w:sz w:val="24"/>
                <w:szCs w:val="24"/>
                <w:u w:val="single"/>
              </w:rPr>
            </w:pPr>
            <w:r w:rsidRPr="008241D3">
              <w:rPr>
                <w:rFonts w:ascii="Times New Roman" w:eastAsia="Calibri" w:hAnsi="Times New Roman" w:cs="Times New Roman"/>
                <w:bCs/>
                <w:color w:val="0000FF"/>
                <w:sz w:val="24"/>
                <w:szCs w:val="24"/>
                <w:u w:val="single"/>
              </w:rPr>
              <w:t>gpoulos@enernoc.com</w:t>
            </w:r>
          </w:p>
          <w:p w:rsidR="008241D3" w:rsidRPr="008241D3" w:rsidRDefault="008241D3" w:rsidP="008241D3">
            <w:pPr>
              <w:spacing w:after="0" w:line="240" w:lineRule="auto"/>
              <w:rPr>
                <w:rFonts w:ascii="Times New Roman" w:eastAsia="Calibri" w:hAnsi="Times New Roman" w:cs="Times New Roman"/>
                <w:bCs/>
                <w:color w:val="0000FF"/>
                <w:sz w:val="24"/>
                <w:szCs w:val="24"/>
                <w:u w:val="single"/>
              </w:rPr>
            </w:pPr>
            <w:r w:rsidRPr="008241D3">
              <w:rPr>
                <w:rFonts w:ascii="Times New Roman" w:eastAsia="Calibri" w:hAnsi="Times New Roman" w:cs="Times New Roman"/>
                <w:bCs/>
                <w:color w:val="0000FF"/>
                <w:sz w:val="24"/>
                <w:szCs w:val="24"/>
                <w:u w:val="single"/>
              </w:rPr>
              <w:t>Schmidt@sppgrp.com</w:t>
            </w:r>
          </w:p>
          <w:p w:rsidR="008241D3" w:rsidRPr="008241D3" w:rsidRDefault="008241D3" w:rsidP="008241D3">
            <w:pPr>
              <w:spacing w:after="0" w:line="240" w:lineRule="auto"/>
              <w:rPr>
                <w:rFonts w:ascii="Times New Roman" w:eastAsia="Calibri" w:hAnsi="Times New Roman" w:cs="Times New Roman"/>
                <w:bCs/>
                <w:sz w:val="24"/>
                <w:szCs w:val="24"/>
              </w:rPr>
            </w:pPr>
          </w:p>
        </w:tc>
      </w:tr>
    </w:tbl>
    <w:p w:rsidR="00C67C33" w:rsidRPr="008241D3" w:rsidRDefault="00C67C33">
      <w:pPr>
        <w:rPr>
          <w:rFonts w:ascii="Times New Roman" w:hAnsi="Times New Roman" w:cs="Times New Roman"/>
          <w:sz w:val="24"/>
          <w:szCs w:val="24"/>
        </w:rPr>
      </w:pPr>
    </w:p>
    <w:sectPr w:rsidR="00C67C33" w:rsidRPr="008241D3" w:rsidSect="00F515BC">
      <w:head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07" w:rsidRDefault="00936107" w:rsidP="00A950AD">
      <w:pPr>
        <w:spacing w:after="0" w:line="240" w:lineRule="auto"/>
      </w:pPr>
      <w:r>
        <w:separator/>
      </w:r>
    </w:p>
  </w:endnote>
  <w:endnote w:type="continuationSeparator" w:id="0">
    <w:p w:rsidR="00936107" w:rsidRDefault="00936107" w:rsidP="00A9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FF" w:rsidRDefault="0049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FB" w:rsidRDefault="003C5DFB">
    <w:pPr>
      <w:pStyle w:val="Footer"/>
      <w:jc w:val="center"/>
    </w:pPr>
  </w:p>
  <w:p w:rsidR="003C5DFB" w:rsidRDefault="003C5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FF" w:rsidRDefault="004952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17681"/>
      <w:docPartObj>
        <w:docPartGallery w:val="Page Numbers (Bottom of Page)"/>
        <w:docPartUnique/>
      </w:docPartObj>
    </w:sdtPr>
    <w:sdtEndPr>
      <w:rPr>
        <w:noProof/>
      </w:rPr>
    </w:sdtEndPr>
    <w:sdtContent>
      <w:p w:rsidR="003C5DFB" w:rsidRDefault="003C5DFB">
        <w:pPr>
          <w:pStyle w:val="Footer"/>
          <w:jc w:val="center"/>
        </w:pPr>
        <w:r>
          <w:fldChar w:fldCharType="begin"/>
        </w:r>
        <w:r>
          <w:instrText xml:space="preserve"> PAGE   \* MERGEFORMAT </w:instrText>
        </w:r>
        <w:r>
          <w:fldChar w:fldCharType="separate"/>
        </w:r>
        <w:r w:rsidR="00C41D37">
          <w:rPr>
            <w:noProof/>
          </w:rPr>
          <w:t>i</w:t>
        </w:r>
        <w:r>
          <w:rPr>
            <w:noProof/>
          </w:rPr>
          <w:fldChar w:fldCharType="end"/>
        </w:r>
      </w:p>
    </w:sdtContent>
  </w:sdt>
  <w:p w:rsidR="003C5DFB" w:rsidRDefault="003C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07" w:rsidRDefault="00936107" w:rsidP="00A950AD">
      <w:pPr>
        <w:spacing w:after="0" w:line="240" w:lineRule="auto"/>
      </w:pPr>
      <w:r>
        <w:separator/>
      </w:r>
    </w:p>
  </w:footnote>
  <w:footnote w:type="continuationSeparator" w:id="0">
    <w:p w:rsidR="00936107" w:rsidRDefault="00936107" w:rsidP="00A950AD">
      <w:pPr>
        <w:spacing w:after="0" w:line="240" w:lineRule="auto"/>
      </w:pPr>
      <w:r>
        <w:continuationSeparator/>
      </w:r>
    </w:p>
  </w:footnote>
  <w:footnote w:id="1">
    <w:p w:rsidR="00655801" w:rsidRPr="00655801" w:rsidRDefault="00655801"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w:t>
      </w:r>
      <w:r>
        <w:rPr>
          <w:rFonts w:ascii="Times New Roman" w:hAnsi="Times New Roman" w:cs="Times New Roman"/>
        </w:rPr>
        <w:t xml:space="preserve">AEP Application for Rehearing at </w:t>
      </w:r>
      <w:r w:rsidR="00AA7E10">
        <w:rPr>
          <w:rFonts w:ascii="Times New Roman" w:hAnsi="Times New Roman" w:cs="Times New Roman"/>
        </w:rPr>
        <w:t>16.</w:t>
      </w:r>
    </w:p>
  </w:footnote>
  <w:footnote w:id="2">
    <w:p w:rsidR="00655801" w:rsidRPr="00655801" w:rsidRDefault="00655801"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R.C. 4903.10.</w:t>
      </w:r>
    </w:p>
  </w:footnote>
  <w:footnote w:id="3">
    <w:p w:rsidR="00655801" w:rsidRPr="00655801" w:rsidRDefault="00655801"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R.C. 4903.10(B). </w:t>
      </w:r>
    </w:p>
  </w:footnote>
  <w:footnote w:id="4">
    <w:p w:rsidR="00655801" w:rsidRPr="00655801" w:rsidRDefault="00655801"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i/>
        </w:rPr>
        <w:t xml:space="preserve"> Discount Cellular, Inc., et al.  v. Pub. Util. Comm.</w:t>
      </w:r>
      <w:r w:rsidRPr="00655801">
        <w:rPr>
          <w:rFonts w:ascii="Times New Roman" w:hAnsi="Times New Roman" w:cs="Times New Roman"/>
        </w:rPr>
        <w:t>, 112 Ohio St. 3d 360, 375, 2007-Ohio-53, 59 (citations omitted).</w:t>
      </w:r>
    </w:p>
  </w:footnote>
  <w:footnote w:id="5">
    <w:p w:rsidR="00655801" w:rsidRPr="00655801" w:rsidRDefault="00655801" w:rsidP="00655801">
      <w:pPr>
        <w:spacing w:after="120"/>
        <w:rPr>
          <w:rFonts w:ascii="Times New Roman" w:hAnsi="Times New Roman" w:cs="Times New Roman"/>
          <w:sz w:val="20"/>
          <w:szCs w:val="20"/>
        </w:rPr>
      </w:pPr>
      <w:r w:rsidRPr="00655801">
        <w:rPr>
          <w:rStyle w:val="FootnoteReference"/>
          <w:rFonts w:ascii="Times New Roman" w:hAnsi="Times New Roman" w:cs="Times New Roman"/>
          <w:sz w:val="20"/>
          <w:szCs w:val="20"/>
        </w:rPr>
        <w:footnoteRef/>
      </w:r>
      <w:r w:rsidRPr="00655801">
        <w:rPr>
          <w:rFonts w:ascii="Times New Roman" w:hAnsi="Times New Roman" w:cs="Times New Roman"/>
          <w:i/>
          <w:sz w:val="20"/>
          <w:szCs w:val="20"/>
        </w:rPr>
        <w:t xml:space="preserve"> Office of Consumers’ Counsel v. Public Util. Comm. </w:t>
      </w:r>
      <w:r w:rsidRPr="00655801">
        <w:rPr>
          <w:rFonts w:ascii="Times New Roman" w:hAnsi="Times New Roman" w:cs="Times New Roman"/>
          <w:sz w:val="20"/>
          <w:szCs w:val="20"/>
        </w:rPr>
        <w:t>(1994), 70 Ohio St. 3d 244, 247-248 (citations omitted).  See also</w:t>
      </w:r>
      <w:r w:rsidRPr="00655801">
        <w:rPr>
          <w:rFonts w:ascii="Times New Roman" w:hAnsi="Times New Roman" w:cs="Times New Roman"/>
          <w:i/>
          <w:sz w:val="20"/>
          <w:szCs w:val="20"/>
        </w:rPr>
        <w:t xml:space="preserve"> Discount Cellular, </w:t>
      </w:r>
      <w:r w:rsidRPr="00655801">
        <w:rPr>
          <w:rFonts w:ascii="Times New Roman" w:hAnsi="Times New Roman" w:cs="Times New Roman"/>
          <w:sz w:val="20"/>
          <w:szCs w:val="20"/>
        </w:rPr>
        <w:t>112 Ohio St. 3d at 375 (stating that “[W]e have strictly construed the specificity test set forth in R.C. 4903.10.”).</w:t>
      </w:r>
    </w:p>
  </w:footnote>
  <w:footnote w:id="6">
    <w:p w:rsidR="00655801" w:rsidRPr="00655801" w:rsidRDefault="00655801"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w:t>
      </w:r>
      <w:r w:rsidRPr="00655801">
        <w:rPr>
          <w:rFonts w:ascii="Times New Roman" w:hAnsi="Times New Roman" w:cs="Times New Roman"/>
          <w:i/>
        </w:rPr>
        <w:t>In the Matter of the Review of Chapters 4901-1, 4901-3, and 4901-9 of the Ohio Administrative Code</w:t>
      </w:r>
      <w:r w:rsidRPr="00655801">
        <w:rPr>
          <w:rFonts w:ascii="Times New Roman" w:hAnsi="Times New Roman" w:cs="Times New Roman"/>
        </w:rPr>
        <w:t>, Case No. 06-685-AU-ORD, Finding and Order (December 6, 2008) at 55-56.</w:t>
      </w:r>
    </w:p>
  </w:footnote>
  <w:footnote w:id="7">
    <w:p w:rsidR="003C5DFB" w:rsidRPr="00655801" w:rsidRDefault="003C5DFB" w:rsidP="00655801">
      <w:pPr>
        <w:spacing w:after="120"/>
        <w:rPr>
          <w:rFonts w:ascii="Times New Roman" w:hAnsi="Times New Roman" w:cs="Times New Roman"/>
          <w:sz w:val="20"/>
          <w:szCs w:val="20"/>
        </w:rPr>
      </w:pPr>
      <w:r w:rsidRPr="00655801">
        <w:rPr>
          <w:rStyle w:val="FootnoteReference"/>
          <w:rFonts w:ascii="Times New Roman" w:hAnsi="Times New Roman" w:cs="Times New Roman"/>
          <w:sz w:val="20"/>
          <w:szCs w:val="20"/>
        </w:rPr>
        <w:footnoteRef/>
      </w:r>
      <w:r w:rsidRPr="00655801">
        <w:rPr>
          <w:rFonts w:ascii="Times New Roman" w:hAnsi="Times New Roman" w:cs="Times New Roman"/>
          <w:sz w:val="20"/>
          <w:szCs w:val="20"/>
        </w:rPr>
        <w:t xml:space="preserve"> </w:t>
      </w:r>
      <w:r w:rsidR="00655801">
        <w:rPr>
          <w:rFonts w:ascii="Times New Roman" w:hAnsi="Times New Roman" w:cs="Times New Roman"/>
          <w:sz w:val="20"/>
          <w:szCs w:val="20"/>
        </w:rPr>
        <w:t>ESP 3 Entry on Rehearing at 24 (May 28, 2015).</w:t>
      </w:r>
    </w:p>
  </w:footnote>
  <w:footnote w:id="8">
    <w:p w:rsidR="003C5DFB" w:rsidRPr="00655801" w:rsidRDefault="003C5DFB"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ESP 3 Opinion and Order at 41 (February 25, 2015).</w:t>
      </w:r>
    </w:p>
  </w:footnote>
  <w:footnote w:id="9">
    <w:p w:rsidR="003C5DFB" w:rsidRPr="00655801" w:rsidRDefault="003C5DFB" w:rsidP="00655801">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ESP 3 Entry on Rehearing at 24 (May 28, 2015).</w:t>
      </w:r>
    </w:p>
  </w:footnote>
  <w:footnote w:id="10">
    <w:p w:rsidR="00AA7E10" w:rsidRPr="00AA7E10" w:rsidRDefault="00AA7E10" w:rsidP="00AA7E10">
      <w:pPr>
        <w:pStyle w:val="FootnoteText"/>
        <w:spacing w:after="120"/>
        <w:rPr>
          <w:rFonts w:ascii="Times New Roman" w:hAnsi="Times New Roman" w:cs="Times New Roman"/>
        </w:rPr>
      </w:pPr>
      <w:r w:rsidRPr="00AA7E10">
        <w:rPr>
          <w:rStyle w:val="FootnoteReference"/>
          <w:rFonts w:ascii="Times New Roman" w:hAnsi="Times New Roman" w:cs="Times New Roman"/>
        </w:rPr>
        <w:footnoteRef/>
      </w:r>
      <w:r w:rsidRPr="00AA7E10">
        <w:rPr>
          <w:rFonts w:ascii="Times New Roman" w:hAnsi="Times New Roman" w:cs="Times New Roman"/>
        </w:rPr>
        <w:t xml:space="preserve"> OCC Ex. </w:t>
      </w:r>
      <w:r>
        <w:rPr>
          <w:rFonts w:ascii="Times New Roman" w:hAnsi="Times New Roman" w:cs="Times New Roman"/>
        </w:rPr>
        <w:t xml:space="preserve">11 (Williams Direct) at 13. </w:t>
      </w:r>
    </w:p>
  </w:footnote>
  <w:footnote w:id="11">
    <w:p w:rsidR="003C5DFB" w:rsidRPr="00655801" w:rsidRDefault="003C5DFB" w:rsidP="00AA7E10">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ESP 3 Entry on Rehearing at 24 (May 28, 2015).</w:t>
      </w:r>
    </w:p>
  </w:footnote>
  <w:footnote w:id="12">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Represents the Entry on Rehearing (</w:t>
      </w:r>
      <w:r>
        <w:rPr>
          <w:rFonts w:ascii="Times New Roman" w:hAnsi="Times New Roman" w:cs="Times New Roman"/>
        </w:rPr>
        <w:t>“E</w:t>
      </w:r>
      <w:r w:rsidRPr="00547C15">
        <w:rPr>
          <w:rFonts w:ascii="Times New Roman" w:hAnsi="Times New Roman" w:cs="Times New Roman"/>
        </w:rPr>
        <w:t xml:space="preserve">oR”) DIR revenue cap </w:t>
      </w:r>
      <w:r>
        <w:rPr>
          <w:rFonts w:ascii="Times New Roman" w:hAnsi="Times New Roman" w:cs="Times New Roman"/>
        </w:rPr>
        <w:t xml:space="preserve">amount </w:t>
      </w:r>
      <w:r w:rsidRPr="00547C15">
        <w:rPr>
          <w:rFonts w:ascii="Times New Roman" w:hAnsi="Times New Roman" w:cs="Times New Roman"/>
        </w:rPr>
        <w:t>minus the Opinion and Order (“O&amp;O”) DIR revenue cap</w:t>
      </w:r>
      <w:r>
        <w:rPr>
          <w:rFonts w:ascii="Times New Roman" w:hAnsi="Times New Roman" w:cs="Times New Roman"/>
        </w:rPr>
        <w:t xml:space="preserve"> amount</w:t>
      </w:r>
      <w:r w:rsidRPr="00547C15">
        <w:rPr>
          <w:rFonts w:ascii="Times New Roman" w:hAnsi="Times New Roman" w:cs="Times New Roman"/>
        </w:rPr>
        <w:t>.</w:t>
      </w:r>
    </w:p>
  </w:footnote>
  <w:footnote w:id="13">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Represents the difference between the EoR DIR revenue cap </w:t>
      </w:r>
      <w:r>
        <w:rPr>
          <w:rFonts w:ascii="Times New Roman" w:hAnsi="Times New Roman" w:cs="Times New Roman"/>
        </w:rPr>
        <w:t xml:space="preserve">amount </w:t>
      </w:r>
      <w:r w:rsidRPr="00547C15">
        <w:rPr>
          <w:rFonts w:ascii="Times New Roman" w:hAnsi="Times New Roman" w:cs="Times New Roman"/>
        </w:rPr>
        <w:t xml:space="preserve">and the O&amp; O DIR revenue cap </w:t>
      </w:r>
      <w:r>
        <w:rPr>
          <w:rFonts w:ascii="Times New Roman" w:hAnsi="Times New Roman" w:cs="Times New Roman"/>
        </w:rPr>
        <w:t xml:space="preserve">amount </w:t>
      </w:r>
      <w:r w:rsidRPr="00547C15">
        <w:rPr>
          <w:rFonts w:ascii="Times New Roman" w:hAnsi="Times New Roman" w:cs="Times New Roman"/>
        </w:rPr>
        <w:t>divided by the O&amp;O DIR revenue cap</w:t>
      </w:r>
      <w:r>
        <w:rPr>
          <w:rFonts w:ascii="Times New Roman" w:hAnsi="Times New Roman" w:cs="Times New Roman"/>
        </w:rPr>
        <w:t xml:space="preserve"> amount</w:t>
      </w:r>
      <w:r w:rsidRPr="00547C15">
        <w:rPr>
          <w:rFonts w:ascii="Times New Roman" w:hAnsi="Times New Roman" w:cs="Times New Roman"/>
        </w:rPr>
        <w:t>.</w:t>
      </w:r>
    </w:p>
  </w:footnote>
  <w:footnote w:id="14">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Represents the difference between 2015 and 2016 DIR revenue cap</w:t>
      </w:r>
      <w:r>
        <w:rPr>
          <w:rFonts w:ascii="Times New Roman" w:hAnsi="Times New Roman" w:cs="Times New Roman"/>
        </w:rPr>
        <w:t xml:space="preserve"> amount</w:t>
      </w:r>
      <w:r w:rsidRPr="00547C15">
        <w:rPr>
          <w:rFonts w:ascii="Times New Roman" w:hAnsi="Times New Roman" w:cs="Times New Roman"/>
        </w:rPr>
        <w:t>s divided by the 2015 DIR revenue cap</w:t>
      </w:r>
      <w:r>
        <w:rPr>
          <w:rFonts w:ascii="Times New Roman" w:hAnsi="Times New Roman" w:cs="Times New Roman"/>
        </w:rPr>
        <w:t xml:space="preserve"> amount</w:t>
      </w:r>
      <w:r w:rsidRPr="00547C15">
        <w:rPr>
          <w:rFonts w:ascii="Times New Roman" w:hAnsi="Times New Roman" w:cs="Times New Roman"/>
        </w:rPr>
        <w:t>.</w:t>
      </w:r>
    </w:p>
  </w:footnote>
  <w:footnote w:id="15">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Represents the difference between 2016 and 2017 DIR revenue cap</w:t>
      </w:r>
      <w:r>
        <w:rPr>
          <w:rFonts w:ascii="Times New Roman" w:hAnsi="Times New Roman" w:cs="Times New Roman"/>
        </w:rPr>
        <w:t xml:space="preserve"> amounts </w:t>
      </w:r>
      <w:r w:rsidRPr="00547C15">
        <w:rPr>
          <w:rFonts w:ascii="Times New Roman" w:hAnsi="Times New Roman" w:cs="Times New Roman"/>
        </w:rPr>
        <w:t>s divided by the 2016 DIR revenue cap</w:t>
      </w:r>
      <w:r>
        <w:rPr>
          <w:rFonts w:ascii="Times New Roman" w:hAnsi="Times New Roman" w:cs="Times New Roman"/>
        </w:rPr>
        <w:t xml:space="preserve"> amount</w:t>
      </w:r>
      <w:r w:rsidRPr="00547C15">
        <w:rPr>
          <w:rFonts w:ascii="Times New Roman" w:hAnsi="Times New Roman" w:cs="Times New Roman"/>
        </w:rPr>
        <w:t>.</w:t>
      </w:r>
    </w:p>
  </w:footnote>
  <w:footnote w:id="16">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E</w:t>
      </w:r>
      <w:r>
        <w:rPr>
          <w:rFonts w:ascii="Times New Roman" w:hAnsi="Times New Roman" w:cs="Times New Roman"/>
        </w:rPr>
        <w:t>SP 3 E</w:t>
      </w:r>
      <w:r w:rsidRPr="00547C15">
        <w:rPr>
          <w:rFonts w:ascii="Times New Roman" w:hAnsi="Times New Roman" w:cs="Times New Roman"/>
        </w:rPr>
        <w:t>ntry on Rehearing at 24</w:t>
      </w:r>
      <w:r>
        <w:rPr>
          <w:rFonts w:ascii="Times New Roman" w:hAnsi="Times New Roman" w:cs="Times New Roman"/>
        </w:rPr>
        <w:t xml:space="preserve"> (May 28, 2015)</w:t>
      </w:r>
      <w:r w:rsidRPr="00547C15">
        <w:rPr>
          <w:rFonts w:ascii="Times New Roman" w:hAnsi="Times New Roman" w:cs="Times New Roman"/>
        </w:rPr>
        <w:t>.</w:t>
      </w:r>
    </w:p>
  </w:footnote>
  <w:footnote w:id="17">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For 2016</w:t>
      </w:r>
      <w:r>
        <w:rPr>
          <w:rFonts w:ascii="Times New Roman" w:hAnsi="Times New Roman" w:cs="Times New Roman"/>
        </w:rPr>
        <w:t>,</w:t>
      </w:r>
      <w:r w:rsidRPr="00547C15">
        <w:rPr>
          <w:rFonts w:ascii="Times New Roman" w:hAnsi="Times New Roman" w:cs="Times New Roman"/>
        </w:rPr>
        <w:t xml:space="preserve"> the DIR Cap % of 25.7 minus the 2015 DIR Cap% of 22.6 results in an annual increase of 3.1%.</w:t>
      </w:r>
    </w:p>
  </w:footnote>
  <w:footnote w:id="18">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w:t>
      </w:r>
      <w:r>
        <w:rPr>
          <w:rFonts w:ascii="Times New Roman" w:hAnsi="Times New Roman" w:cs="Times New Roman"/>
        </w:rPr>
        <w:t>For 2017,</w:t>
      </w:r>
      <w:r w:rsidRPr="00547C15">
        <w:rPr>
          <w:rFonts w:ascii="Times New Roman" w:hAnsi="Times New Roman" w:cs="Times New Roman"/>
        </w:rPr>
        <w:t xml:space="preserve"> the DIR Cap % of</w:t>
      </w:r>
      <w:r>
        <w:rPr>
          <w:rFonts w:ascii="Times New Roman" w:hAnsi="Times New Roman" w:cs="Times New Roman"/>
        </w:rPr>
        <w:t xml:space="preserve"> 28.8</w:t>
      </w:r>
      <w:r w:rsidRPr="00547C15">
        <w:rPr>
          <w:rFonts w:ascii="Times New Roman" w:hAnsi="Times New Roman" w:cs="Times New Roman"/>
        </w:rPr>
        <w:t xml:space="preserve"> </w:t>
      </w:r>
      <w:r>
        <w:rPr>
          <w:rFonts w:ascii="Times New Roman" w:hAnsi="Times New Roman" w:cs="Times New Roman"/>
        </w:rPr>
        <w:t>minus the 2016 DIR Cap% of 25.7</w:t>
      </w:r>
      <w:r w:rsidRPr="00547C15">
        <w:rPr>
          <w:rFonts w:ascii="Times New Roman" w:hAnsi="Times New Roman" w:cs="Times New Roman"/>
        </w:rPr>
        <w:t xml:space="preserve"> results in an annual increase of 3.1%.</w:t>
      </w:r>
    </w:p>
  </w:footnote>
  <w:footnote w:id="19">
    <w:p w:rsidR="003C5DFB" w:rsidRPr="00A75997" w:rsidRDefault="003C5DFB" w:rsidP="00A75997">
      <w:pPr>
        <w:pStyle w:val="FootnoteText"/>
        <w:spacing w:after="120"/>
        <w:rPr>
          <w:rFonts w:ascii="Times New Roman" w:hAnsi="Times New Roman" w:cs="Times New Roman"/>
        </w:rPr>
      </w:pPr>
      <w:r w:rsidRPr="00A75997">
        <w:rPr>
          <w:rStyle w:val="FootnoteReference"/>
          <w:rFonts w:ascii="Times New Roman" w:hAnsi="Times New Roman" w:cs="Times New Roman"/>
        </w:rPr>
        <w:footnoteRef/>
      </w:r>
      <w:r w:rsidRPr="00A75997">
        <w:rPr>
          <w:rFonts w:ascii="Times New Roman" w:hAnsi="Times New Roman" w:cs="Times New Roman"/>
        </w:rPr>
        <w:t xml:space="preserve"> AEP Ap</w:t>
      </w:r>
      <w:r w:rsidR="00655801">
        <w:rPr>
          <w:rFonts w:ascii="Times New Roman" w:hAnsi="Times New Roman" w:cs="Times New Roman"/>
        </w:rPr>
        <w:t>plication for Rehearing at 15.</w:t>
      </w:r>
    </w:p>
  </w:footnote>
  <w:footnote w:id="20">
    <w:p w:rsidR="003C5DFB" w:rsidRPr="00A75997" w:rsidRDefault="003C5DFB" w:rsidP="00A75997">
      <w:pPr>
        <w:pStyle w:val="FootnoteText"/>
        <w:spacing w:after="120"/>
        <w:rPr>
          <w:rFonts w:ascii="Times New Roman" w:hAnsi="Times New Roman" w:cs="Times New Roman"/>
        </w:rPr>
      </w:pPr>
      <w:r w:rsidRPr="00A75997">
        <w:rPr>
          <w:rStyle w:val="FootnoteReference"/>
          <w:rFonts w:ascii="Times New Roman" w:hAnsi="Times New Roman" w:cs="Times New Roman"/>
        </w:rPr>
        <w:footnoteRef/>
      </w:r>
      <w:r w:rsidRPr="00A75997">
        <w:rPr>
          <w:rFonts w:ascii="Times New Roman" w:hAnsi="Times New Roman" w:cs="Times New Roman"/>
        </w:rPr>
        <w:t xml:space="preserve">ESP 3 Entry on Rehearing at 24 (May 28, 2015). </w:t>
      </w:r>
    </w:p>
  </w:footnote>
  <w:footnote w:id="21">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00655801">
        <w:rPr>
          <w:rFonts w:ascii="Times New Roman" w:hAnsi="Times New Roman" w:cs="Times New Roman"/>
        </w:rPr>
        <w:t xml:space="preserve"> AEP</w:t>
      </w:r>
      <w:r w:rsidRPr="00547C15">
        <w:rPr>
          <w:rFonts w:ascii="Times New Roman" w:hAnsi="Times New Roman" w:cs="Times New Roman"/>
        </w:rPr>
        <w:t xml:space="preserve"> Application for Rehearing at 16. </w:t>
      </w:r>
    </w:p>
  </w:footnote>
  <w:footnote w:id="22">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00655801">
        <w:rPr>
          <w:rFonts w:ascii="Times New Roman" w:hAnsi="Times New Roman" w:cs="Times New Roman"/>
        </w:rPr>
        <w:t xml:space="preserve"> AEP</w:t>
      </w:r>
      <w:r w:rsidRPr="00547C15">
        <w:rPr>
          <w:rFonts w:ascii="Times New Roman" w:hAnsi="Times New Roman" w:cs="Times New Roman"/>
        </w:rPr>
        <w:t xml:space="preserve"> Application for Rehearing at 16. </w:t>
      </w:r>
    </w:p>
  </w:footnote>
  <w:footnote w:id="23">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00655801">
        <w:rPr>
          <w:rFonts w:ascii="Times New Roman" w:hAnsi="Times New Roman" w:cs="Times New Roman"/>
        </w:rPr>
        <w:t xml:space="preserve"> AEP</w:t>
      </w:r>
      <w:r>
        <w:rPr>
          <w:rFonts w:ascii="Times New Roman" w:hAnsi="Times New Roman" w:cs="Times New Roman"/>
        </w:rPr>
        <w:t xml:space="preserve"> A</w:t>
      </w:r>
      <w:r w:rsidRPr="00547C15">
        <w:rPr>
          <w:rFonts w:ascii="Times New Roman" w:hAnsi="Times New Roman" w:cs="Times New Roman"/>
        </w:rPr>
        <w:t xml:space="preserve">pplication for Rehearing at 16. </w:t>
      </w:r>
    </w:p>
  </w:footnote>
  <w:footnote w:id="24">
    <w:p w:rsidR="003C5DFB" w:rsidRPr="00655801" w:rsidRDefault="003C5DFB" w:rsidP="005C5D3D">
      <w:pPr>
        <w:pStyle w:val="FootnoteText"/>
        <w:spacing w:after="120"/>
        <w:rPr>
          <w:rFonts w:ascii="Times New Roman" w:hAnsi="Times New Roman" w:cs="Times New Roman"/>
        </w:rPr>
      </w:pPr>
      <w:r w:rsidRPr="00655801">
        <w:rPr>
          <w:rStyle w:val="FootnoteReference"/>
          <w:rFonts w:ascii="Times New Roman" w:hAnsi="Times New Roman" w:cs="Times New Roman"/>
        </w:rPr>
        <w:footnoteRef/>
      </w:r>
      <w:r w:rsidRPr="00655801">
        <w:rPr>
          <w:rFonts w:ascii="Times New Roman" w:hAnsi="Times New Roman" w:cs="Times New Roman"/>
        </w:rPr>
        <w:t xml:space="preserve"> </w:t>
      </w:r>
      <w:r w:rsidR="00655801">
        <w:rPr>
          <w:rFonts w:ascii="Times New Roman" w:hAnsi="Times New Roman" w:cs="Times New Roman"/>
        </w:rPr>
        <w:t>AEP</w:t>
      </w:r>
      <w:r w:rsidRPr="00655801">
        <w:rPr>
          <w:rFonts w:ascii="Times New Roman" w:hAnsi="Times New Roman" w:cs="Times New Roman"/>
        </w:rPr>
        <w:t xml:space="preserve"> Application for Rehearing at 16.</w:t>
      </w:r>
    </w:p>
  </w:footnote>
  <w:footnote w:id="25">
    <w:p w:rsidR="003C5DFB" w:rsidRPr="00AA7E10" w:rsidRDefault="003C5DFB" w:rsidP="005C5D3D">
      <w:pPr>
        <w:pStyle w:val="FootnoteText"/>
        <w:rPr>
          <w:rFonts w:ascii="Times New Roman" w:hAnsi="Times New Roman" w:cs="Times New Roman"/>
        </w:rPr>
      </w:pPr>
      <w:r w:rsidRPr="00AA7E10">
        <w:rPr>
          <w:rStyle w:val="FootnoteReference"/>
          <w:rFonts w:ascii="Times New Roman" w:hAnsi="Times New Roman" w:cs="Times New Roman"/>
        </w:rPr>
        <w:footnoteRef/>
      </w:r>
      <w:r w:rsidRPr="00AA7E10">
        <w:rPr>
          <w:rFonts w:ascii="Times New Roman" w:hAnsi="Times New Roman" w:cs="Times New Roman"/>
        </w:rPr>
        <w:t xml:space="preserve"> </w:t>
      </w:r>
      <w:r w:rsidR="00655801" w:rsidRPr="00AA7E10">
        <w:rPr>
          <w:rFonts w:ascii="Times New Roman" w:hAnsi="Times New Roman" w:cs="Times New Roman"/>
        </w:rPr>
        <w:t>AEP</w:t>
      </w:r>
      <w:r w:rsidRPr="00AA7E10">
        <w:rPr>
          <w:rFonts w:ascii="Times New Roman" w:hAnsi="Times New Roman" w:cs="Times New Roman"/>
        </w:rPr>
        <w:t xml:space="preserve"> Application for Rehearing at 16.</w:t>
      </w:r>
    </w:p>
  </w:footnote>
  <w:footnote w:id="26">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See Case No. 11-346-EL-SSO, Opinion and Order (December 14, 2011) at 16-17.</w:t>
      </w:r>
    </w:p>
  </w:footnote>
  <w:footnote w:id="27">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w:t>
      </w:r>
      <w:r w:rsidRPr="00547C15">
        <w:rPr>
          <w:rFonts w:ascii="Times New Roman" w:hAnsi="Times New Roman" w:cs="Times New Roman"/>
          <w:i/>
          <w:iCs/>
        </w:rPr>
        <w:t>In the Matter of FAF, Inc., Notice of Apparent Violation and Intent to Assess Forfeiture,</w:t>
      </w:r>
      <w:r w:rsidRPr="00547C15">
        <w:rPr>
          <w:rFonts w:ascii="Times New Roman" w:hAnsi="Times New Roman" w:cs="Times New Roman"/>
        </w:rPr>
        <w:t xml:space="preserve"> Case No. 06-786-TR-CVF, Opinion and Order (November 21, 2006) (“</w:t>
      </w:r>
      <w:r w:rsidRPr="00547C15">
        <w:rPr>
          <w:rFonts w:ascii="Times New Roman" w:hAnsi="Times New Roman" w:cs="Times New Roman"/>
          <w:i/>
        </w:rPr>
        <w:t>FAF Order</w:t>
      </w:r>
      <w:r w:rsidRPr="00547C15">
        <w:rPr>
          <w:rFonts w:ascii="Times New Roman" w:hAnsi="Times New Roman" w:cs="Times New Roman"/>
        </w:rPr>
        <w:t>”) at 3.</w:t>
      </w:r>
    </w:p>
  </w:footnote>
  <w:footnote w:id="28">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823B37">
        <w:rPr>
          <w:rFonts w:ascii="Times New Roman" w:hAnsi="Times New Roman" w:cs="Times New Roman"/>
          <w:i/>
          <w:iCs/>
        </w:rPr>
        <w:t xml:space="preserve"> </w:t>
      </w:r>
      <w:r w:rsidRPr="00547C15">
        <w:rPr>
          <w:rFonts w:ascii="Times New Roman" w:hAnsi="Times New Roman" w:cs="Times New Roman"/>
          <w:i/>
          <w:iCs/>
        </w:rPr>
        <w:t>In the Matter of FAF, Inc., Notice of Apparent Violation and Intent to Assess Forfeiture,</w:t>
      </w:r>
      <w:r w:rsidRPr="00547C15">
        <w:rPr>
          <w:rFonts w:ascii="Times New Roman" w:hAnsi="Times New Roman" w:cs="Times New Roman"/>
        </w:rPr>
        <w:t xml:space="preserve"> Case No. 06-786-TR-CVF, Opinion and Order (November 21, 2006) (“</w:t>
      </w:r>
      <w:r w:rsidRPr="00547C15">
        <w:rPr>
          <w:rFonts w:ascii="Times New Roman" w:hAnsi="Times New Roman" w:cs="Times New Roman"/>
          <w:i/>
        </w:rPr>
        <w:t>FAF Order</w:t>
      </w:r>
      <w:r w:rsidRPr="00547C15">
        <w:rPr>
          <w:rFonts w:ascii="Times New Roman" w:hAnsi="Times New Roman" w:cs="Times New Roman"/>
        </w:rPr>
        <w:t>”) at 3.</w:t>
      </w:r>
    </w:p>
  </w:footnote>
  <w:footnote w:id="29">
    <w:p w:rsidR="003C5DFB" w:rsidRPr="00547C15" w:rsidRDefault="003C5DFB" w:rsidP="005C5D3D">
      <w:pPr>
        <w:pStyle w:val="FootnoteText"/>
        <w:spacing w:after="120"/>
        <w:rPr>
          <w:rFonts w:ascii="Times New Roman" w:hAnsi="Times New Roman" w:cs="Times New Roman"/>
        </w:rPr>
      </w:pPr>
      <w:r w:rsidRPr="00547C15">
        <w:rPr>
          <w:rStyle w:val="FootnoteReference"/>
          <w:rFonts w:ascii="Times New Roman" w:hAnsi="Times New Roman" w:cs="Times New Roman"/>
        </w:rPr>
        <w:footnoteRef/>
      </w:r>
      <w:r w:rsidRPr="00547C15">
        <w:rPr>
          <w:rFonts w:ascii="Times New Roman" w:hAnsi="Times New Roman" w:cs="Times New Roman"/>
        </w:rPr>
        <w:t xml:space="preserve"> The PUCO should take administrative notice of the AEP Ohio 2015 DIR Work Plan filed by the U</w:t>
      </w:r>
      <w:r>
        <w:rPr>
          <w:rFonts w:ascii="Times New Roman" w:hAnsi="Times New Roman" w:cs="Times New Roman"/>
        </w:rPr>
        <w:t xml:space="preserve">tility on December 15, 2014 </w:t>
      </w:r>
      <w:r w:rsidRPr="00547C15">
        <w:rPr>
          <w:rFonts w:ascii="Times New Roman" w:hAnsi="Times New Roman" w:cs="Times New Roman"/>
        </w:rPr>
        <w:t xml:space="preserve">in Case No. 14-2275-EL-UNC. </w:t>
      </w:r>
    </w:p>
  </w:footnote>
  <w:footnote w:id="30">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Pr>
          <w:rFonts w:ascii="Times New Roman" w:hAnsi="Times New Roman" w:cs="Times New Roman"/>
        </w:rPr>
        <w:t xml:space="preserve"> </w:t>
      </w:r>
      <w:r w:rsidRPr="00DD0127">
        <w:rPr>
          <w:rFonts w:ascii="Times New Roman" w:hAnsi="Times New Roman" w:cs="Times New Roman"/>
          <w:i/>
        </w:rPr>
        <w:t>In the Matter of the Commission’s Investigation of Ohio’s Retail Electric Service</w:t>
      </w:r>
      <w:r>
        <w:rPr>
          <w:rFonts w:ascii="Times New Roman" w:hAnsi="Times New Roman" w:cs="Times New Roman"/>
        </w:rPr>
        <w:t xml:space="preserve"> Market, Case No. 12-3151-El-COI, Finding and Order at 6 (March 26, 2014).</w:t>
      </w:r>
    </w:p>
  </w:footnote>
  <w:footnote w:id="31">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sidR="00655801">
        <w:rPr>
          <w:rFonts w:ascii="Times New Roman" w:hAnsi="Times New Roman" w:cs="Times New Roman"/>
        </w:rPr>
        <w:t xml:space="preserve"> AEP</w:t>
      </w:r>
      <w:r w:rsidRPr="00DD0127">
        <w:rPr>
          <w:rFonts w:ascii="Times New Roman" w:hAnsi="Times New Roman" w:cs="Times New Roman"/>
        </w:rPr>
        <w:t xml:space="preserve"> Application for Rehearing at 18. </w:t>
      </w:r>
    </w:p>
  </w:footnote>
  <w:footnote w:id="32">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sidR="00655801">
        <w:rPr>
          <w:rFonts w:ascii="Times New Roman" w:hAnsi="Times New Roman" w:cs="Times New Roman"/>
        </w:rPr>
        <w:t xml:space="preserve"> AEP</w:t>
      </w:r>
      <w:r w:rsidRPr="00DD0127">
        <w:rPr>
          <w:rFonts w:ascii="Times New Roman" w:hAnsi="Times New Roman" w:cs="Times New Roman"/>
        </w:rPr>
        <w:t xml:space="preserve"> Application for Rehearing at 18.</w:t>
      </w:r>
    </w:p>
  </w:footnote>
  <w:footnote w:id="33">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sidRPr="00DD0127">
        <w:rPr>
          <w:rFonts w:ascii="Times New Roman" w:hAnsi="Times New Roman" w:cs="Times New Roman"/>
        </w:rPr>
        <w:t xml:space="preserve"> E</w:t>
      </w:r>
      <w:r>
        <w:rPr>
          <w:rFonts w:ascii="Times New Roman" w:hAnsi="Times New Roman" w:cs="Times New Roman"/>
        </w:rPr>
        <w:t>SP 3 E</w:t>
      </w:r>
      <w:r w:rsidRPr="00DD0127">
        <w:rPr>
          <w:rFonts w:ascii="Times New Roman" w:hAnsi="Times New Roman" w:cs="Times New Roman"/>
        </w:rPr>
        <w:t>ntry on Rehearing at 37</w:t>
      </w:r>
      <w:r>
        <w:rPr>
          <w:rFonts w:ascii="Times New Roman" w:hAnsi="Times New Roman" w:cs="Times New Roman"/>
        </w:rPr>
        <w:t xml:space="preserve"> (May 28, 2015)</w:t>
      </w:r>
      <w:r w:rsidRPr="00DD0127">
        <w:rPr>
          <w:rFonts w:ascii="Times New Roman" w:hAnsi="Times New Roman" w:cs="Times New Roman"/>
        </w:rPr>
        <w:t xml:space="preserve">. </w:t>
      </w:r>
    </w:p>
  </w:footnote>
  <w:footnote w:id="34">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sidRPr="00DD0127">
        <w:rPr>
          <w:rFonts w:ascii="Times New Roman" w:hAnsi="Times New Roman" w:cs="Times New Roman"/>
        </w:rPr>
        <w:t xml:space="preserve"> </w:t>
      </w:r>
      <w:r>
        <w:rPr>
          <w:rFonts w:ascii="Times New Roman" w:hAnsi="Times New Roman" w:cs="Times New Roman"/>
        </w:rPr>
        <w:t>ESP 3 Entry on Rehearing at 43 (May 28, 2015).</w:t>
      </w:r>
    </w:p>
  </w:footnote>
  <w:footnote w:id="35">
    <w:p w:rsidR="003C5DFB" w:rsidRPr="00823B37" w:rsidRDefault="003C5DFB" w:rsidP="005C5D3D">
      <w:pPr>
        <w:pStyle w:val="FootnoteText"/>
        <w:spacing w:after="120"/>
        <w:rPr>
          <w:rFonts w:ascii="Times New Roman" w:hAnsi="Times New Roman" w:cs="Times New Roman"/>
        </w:rPr>
      </w:pPr>
      <w:r w:rsidRPr="00823B37">
        <w:rPr>
          <w:rStyle w:val="FootnoteReference"/>
          <w:rFonts w:ascii="Times New Roman" w:hAnsi="Times New Roman" w:cs="Times New Roman"/>
        </w:rPr>
        <w:footnoteRef/>
      </w:r>
      <w:r w:rsidRPr="00823B37">
        <w:rPr>
          <w:rFonts w:ascii="Times New Roman" w:hAnsi="Times New Roman" w:cs="Times New Roman"/>
        </w:rPr>
        <w:t xml:space="preserve"> ESP 3 Entry on Rehearing at 43 (May 28, 2015).</w:t>
      </w:r>
    </w:p>
  </w:footnote>
  <w:footnote w:id="36">
    <w:p w:rsidR="003C5DFB" w:rsidRPr="00823B37" w:rsidRDefault="003C5DFB" w:rsidP="005C5D3D">
      <w:pPr>
        <w:pStyle w:val="FootnoteText"/>
        <w:spacing w:after="120"/>
        <w:rPr>
          <w:rFonts w:ascii="Times New Roman" w:hAnsi="Times New Roman" w:cs="Times New Roman"/>
        </w:rPr>
      </w:pPr>
      <w:r w:rsidRPr="00823B37">
        <w:rPr>
          <w:rStyle w:val="FootnoteReference"/>
          <w:rFonts w:ascii="Times New Roman" w:hAnsi="Times New Roman" w:cs="Times New Roman"/>
        </w:rPr>
        <w:footnoteRef/>
      </w:r>
      <w:r w:rsidRPr="00823B37">
        <w:rPr>
          <w:rFonts w:ascii="Times New Roman" w:hAnsi="Times New Roman" w:cs="Times New Roman"/>
        </w:rPr>
        <w:t xml:space="preserve"> ESP 3 Entry on Rehearing at 37 (May 28, 2015). </w:t>
      </w:r>
    </w:p>
  </w:footnote>
  <w:footnote w:id="37">
    <w:p w:rsidR="003C5DFB" w:rsidRPr="00823B37" w:rsidRDefault="003C5DFB" w:rsidP="005C5D3D">
      <w:pPr>
        <w:pStyle w:val="FootnoteText"/>
        <w:spacing w:after="120"/>
        <w:rPr>
          <w:rFonts w:ascii="Times New Roman" w:hAnsi="Times New Roman" w:cs="Times New Roman"/>
        </w:rPr>
      </w:pPr>
      <w:r w:rsidRPr="00823B37">
        <w:rPr>
          <w:rStyle w:val="FootnoteReference"/>
          <w:rFonts w:ascii="Times New Roman" w:hAnsi="Times New Roman" w:cs="Times New Roman"/>
        </w:rPr>
        <w:footnoteRef/>
      </w:r>
      <w:r w:rsidRPr="00823B37">
        <w:rPr>
          <w:rFonts w:ascii="Times New Roman" w:hAnsi="Times New Roman" w:cs="Times New Roman"/>
        </w:rPr>
        <w:t xml:space="preserve"> ESP 3 Entry on Rehearing at 43 (May 28, 2015).</w:t>
      </w:r>
    </w:p>
  </w:footnote>
  <w:footnote w:id="38">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sidRPr="00DD0127">
        <w:rPr>
          <w:rFonts w:ascii="Times New Roman" w:hAnsi="Times New Roman" w:cs="Times New Roman"/>
        </w:rPr>
        <w:t xml:space="preserve"> ESP 3 Opinion and Order at 80-81</w:t>
      </w:r>
      <w:r>
        <w:rPr>
          <w:rFonts w:ascii="Times New Roman" w:hAnsi="Times New Roman" w:cs="Times New Roman"/>
        </w:rPr>
        <w:t xml:space="preserve"> (February 5, 2015)</w:t>
      </w:r>
      <w:r w:rsidRPr="00DD0127">
        <w:rPr>
          <w:rFonts w:ascii="Times New Roman" w:hAnsi="Times New Roman" w:cs="Times New Roman"/>
        </w:rPr>
        <w:t>.</w:t>
      </w:r>
    </w:p>
  </w:footnote>
  <w:footnote w:id="39">
    <w:p w:rsidR="003C5DFB" w:rsidRPr="00DD0127" w:rsidRDefault="003C5DFB" w:rsidP="005C5D3D">
      <w:pPr>
        <w:pStyle w:val="FootnoteText"/>
        <w:spacing w:after="120"/>
        <w:rPr>
          <w:rFonts w:ascii="Times New Roman" w:hAnsi="Times New Roman" w:cs="Times New Roman"/>
        </w:rPr>
      </w:pPr>
      <w:r w:rsidRPr="00DD0127">
        <w:rPr>
          <w:rStyle w:val="FootnoteReference"/>
          <w:rFonts w:ascii="Times New Roman" w:hAnsi="Times New Roman" w:cs="Times New Roman"/>
        </w:rPr>
        <w:footnoteRef/>
      </w:r>
      <w:r>
        <w:rPr>
          <w:rFonts w:ascii="Times New Roman" w:hAnsi="Times New Roman" w:cs="Times New Roman"/>
        </w:rPr>
        <w:t xml:space="preserve"> ESP 3 Entry on Rehearing at 36</w:t>
      </w:r>
      <w:r w:rsidRPr="00DD0127">
        <w:rPr>
          <w:rFonts w:ascii="Times New Roman" w:hAnsi="Times New Roman" w:cs="Times New Roman"/>
        </w:rPr>
        <w:t xml:space="preserve"> (May 28, 2015).</w:t>
      </w:r>
    </w:p>
  </w:footnote>
  <w:footnote w:id="40">
    <w:p w:rsidR="003C5DFB" w:rsidRPr="001E3FD5" w:rsidRDefault="003C5DFB"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w:t>
      </w:r>
      <w:r w:rsidR="006A0B13" w:rsidRPr="00AA7E10">
        <w:rPr>
          <w:rFonts w:ascii="Times New Roman" w:hAnsi="Times New Roman" w:cs="Times New Roman"/>
        </w:rPr>
        <w:t xml:space="preserve">OCC Ex. </w:t>
      </w:r>
      <w:r w:rsidR="006A0B13">
        <w:rPr>
          <w:rFonts w:ascii="Times New Roman" w:hAnsi="Times New Roman" w:cs="Times New Roman"/>
        </w:rPr>
        <w:t>11 (Williams Direct)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FF" w:rsidRDefault="00495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FF" w:rsidRDefault="00495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FF" w:rsidRDefault="00495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FB" w:rsidRDefault="003C5D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FB" w:rsidRDefault="003C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1C01BA"/>
    <w:lvl w:ilvl="0">
      <w:start w:val="1"/>
      <w:numFmt w:val="decimal"/>
      <w:lvlText w:val="%1."/>
      <w:lvlJc w:val="left"/>
      <w:pPr>
        <w:tabs>
          <w:tab w:val="num" w:pos="1080"/>
        </w:tabs>
        <w:ind w:left="1080" w:hanging="360"/>
      </w:pPr>
    </w:lvl>
  </w:abstractNum>
  <w:abstractNum w:abstractNumId="1">
    <w:nsid w:val="FFFFFF7F"/>
    <w:multiLevelType w:val="singleLevel"/>
    <w:tmpl w:val="40F8C7AE"/>
    <w:lvl w:ilvl="0">
      <w:start w:val="1"/>
      <w:numFmt w:val="decimal"/>
      <w:lvlText w:val="%1."/>
      <w:lvlJc w:val="left"/>
      <w:pPr>
        <w:tabs>
          <w:tab w:val="num" w:pos="720"/>
        </w:tabs>
        <w:ind w:left="720" w:hanging="360"/>
      </w:pPr>
    </w:lvl>
  </w:abstractNum>
  <w:abstractNum w:abstractNumId="2">
    <w:nsid w:val="FFFFFF80"/>
    <w:multiLevelType w:val="singleLevel"/>
    <w:tmpl w:val="9DB23BA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1C820B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47457C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0884D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24BFF8"/>
    <w:lvl w:ilvl="0">
      <w:start w:val="1"/>
      <w:numFmt w:val="decimal"/>
      <w:lvlText w:val="%1."/>
      <w:lvlJc w:val="left"/>
      <w:pPr>
        <w:tabs>
          <w:tab w:val="num" w:pos="360"/>
        </w:tabs>
        <w:ind w:left="360" w:hanging="360"/>
      </w:pPr>
    </w:lvl>
  </w:abstractNum>
  <w:abstractNum w:abstractNumId="7">
    <w:nsid w:val="FFFFFF89"/>
    <w:multiLevelType w:val="singleLevel"/>
    <w:tmpl w:val="B118537E"/>
    <w:lvl w:ilvl="0">
      <w:start w:val="1"/>
      <w:numFmt w:val="bullet"/>
      <w:lvlText w:val=""/>
      <w:lvlJc w:val="left"/>
      <w:pPr>
        <w:tabs>
          <w:tab w:val="num" w:pos="360"/>
        </w:tabs>
        <w:ind w:left="360" w:hanging="360"/>
      </w:pPr>
      <w:rPr>
        <w:rFonts w:ascii="Symbol" w:hAnsi="Symbol" w:hint="default"/>
      </w:rPr>
    </w:lvl>
  </w:abstractNum>
  <w:abstractNum w:abstractNumId="8">
    <w:nsid w:val="059D0B40"/>
    <w:multiLevelType w:val="hybridMultilevel"/>
    <w:tmpl w:val="8316520E"/>
    <w:lvl w:ilvl="0" w:tplc="EBCE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6B6FB7"/>
    <w:multiLevelType w:val="hybridMultilevel"/>
    <w:tmpl w:val="5ECE6732"/>
    <w:lvl w:ilvl="0" w:tplc="10225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B4A09"/>
    <w:multiLevelType w:val="hybridMultilevel"/>
    <w:tmpl w:val="16CACA5C"/>
    <w:lvl w:ilvl="0" w:tplc="FE2E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D3F2F"/>
    <w:multiLevelType w:val="hybridMultilevel"/>
    <w:tmpl w:val="84A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C3ED9"/>
    <w:multiLevelType w:val="hybridMultilevel"/>
    <w:tmpl w:val="EE18975E"/>
    <w:lvl w:ilvl="0" w:tplc="81340E18">
      <w:start w:val="1"/>
      <w:numFmt w:val="upperLetter"/>
      <w:lvlText w:val="%1."/>
      <w:lvlJc w:val="left"/>
      <w:pPr>
        <w:ind w:left="45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6A024C"/>
    <w:multiLevelType w:val="hybridMultilevel"/>
    <w:tmpl w:val="0E90E9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5345B"/>
    <w:multiLevelType w:val="hybridMultilevel"/>
    <w:tmpl w:val="2B7CA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07597"/>
    <w:multiLevelType w:val="hybridMultilevel"/>
    <w:tmpl w:val="A34299EE"/>
    <w:lvl w:ilvl="0" w:tplc="F72AC0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F9594B"/>
    <w:multiLevelType w:val="hybridMultilevel"/>
    <w:tmpl w:val="C4AEBE2A"/>
    <w:lvl w:ilvl="0" w:tplc="F83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880E56"/>
    <w:multiLevelType w:val="hybridMultilevel"/>
    <w:tmpl w:val="859A0360"/>
    <w:lvl w:ilvl="0" w:tplc="D36A4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6E0297"/>
    <w:multiLevelType w:val="hybridMultilevel"/>
    <w:tmpl w:val="096A63D4"/>
    <w:lvl w:ilvl="0" w:tplc="0F30249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8B01AF4"/>
    <w:multiLevelType w:val="hybridMultilevel"/>
    <w:tmpl w:val="877C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55F41"/>
    <w:multiLevelType w:val="hybridMultilevel"/>
    <w:tmpl w:val="61927F4A"/>
    <w:lvl w:ilvl="0" w:tplc="512EA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C3C85"/>
    <w:multiLevelType w:val="hybridMultilevel"/>
    <w:tmpl w:val="131ED53E"/>
    <w:lvl w:ilvl="0" w:tplc="A162A9CA">
      <w:start w:val="2"/>
      <w:numFmt w:val="decimal"/>
      <w:lvlText w:val="%1."/>
      <w:lvlJc w:val="left"/>
      <w:pPr>
        <w:ind w:left="1800" w:hanging="360"/>
      </w:pPr>
      <w:rPr>
        <w:rFonts w:hint="default"/>
      </w:rPr>
    </w:lvl>
    <w:lvl w:ilvl="1" w:tplc="51D839AE" w:tentative="1">
      <w:start w:val="1"/>
      <w:numFmt w:val="lowerLetter"/>
      <w:lvlText w:val="%2."/>
      <w:lvlJc w:val="left"/>
      <w:pPr>
        <w:ind w:left="2520" w:hanging="360"/>
      </w:pPr>
    </w:lvl>
    <w:lvl w:ilvl="2" w:tplc="141241BC" w:tentative="1">
      <w:start w:val="1"/>
      <w:numFmt w:val="lowerRoman"/>
      <w:lvlText w:val="%3."/>
      <w:lvlJc w:val="right"/>
      <w:pPr>
        <w:ind w:left="3240" w:hanging="180"/>
      </w:pPr>
    </w:lvl>
    <w:lvl w:ilvl="3" w:tplc="550ABD02" w:tentative="1">
      <w:start w:val="1"/>
      <w:numFmt w:val="decimal"/>
      <w:lvlText w:val="%4."/>
      <w:lvlJc w:val="left"/>
      <w:pPr>
        <w:ind w:left="3960" w:hanging="360"/>
      </w:pPr>
    </w:lvl>
    <w:lvl w:ilvl="4" w:tplc="79C86D42" w:tentative="1">
      <w:start w:val="1"/>
      <w:numFmt w:val="lowerLetter"/>
      <w:lvlText w:val="%5."/>
      <w:lvlJc w:val="left"/>
      <w:pPr>
        <w:ind w:left="4680" w:hanging="360"/>
      </w:pPr>
    </w:lvl>
    <w:lvl w:ilvl="5" w:tplc="1AE2B548" w:tentative="1">
      <w:start w:val="1"/>
      <w:numFmt w:val="lowerRoman"/>
      <w:lvlText w:val="%6."/>
      <w:lvlJc w:val="right"/>
      <w:pPr>
        <w:ind w:left="5400" w:hanging="180"/>
      </w:pPr>
    </w:lvl>
    <w:lvl w:ilvl="6" w:tplc="2B0CD230" w:tentative="1">
      <w:start w:val="1"/>
      <w:numFmt w:val="decimal"/>
      <w:lvlText w:val="%7."/>
      <w:lvlJc w:val="left"/>
      <w:pPr>
        <w:ind w:left="6120" w:hanging="360"/>
      </w:pPr>
    </w:lvl>
    <w:lvl w:ilvl="7" w:tplc="331E6F06" w:tentative="1">
      <w:start w:val="1"/>
      <w:numFmt w:val="lowerLetter"/>
      <w:lvlText w:val="%8."/>
      <w:lvlJc w:val="left"/>
      <w:pPr>
        <w:ind w:left="6840" w:hanging="360"/>
      </w:pPr>
    </w:lvl>
    <w:lvl w:ilvl="8" w:tplc="A768F386" w:tentative="1">
      <w:start w:val="1"/>
      <w:numFmt w:val="lowerRoman"/>
      <w:lvlText w:val="%9."/>
      <w:lvlJc w:val="right"/>
      <w:pPr>
        <w:ind w:left="7560" w:hanging="180"/>
      </w:pPr>
    </w:lvl>
  </w:abstractNum>
  <w:abstractNum w:abstractNumId="22">
    <w:nsid w:val="69E95612"/>
    <w:multiLevelType w:val="hybridMultilevel"/>
    <w:tmpl w:val="74D476A0"/>
    <w:lvl w:ilvl="0" w:tplc="5ABC4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E41D1B"/>
    <w:multiLevelType w:val="hybridMultilevel"/>
    <w:tmpl w:val="3E1057A0"/>
    <w:lvl w:ilvl="0" w:tplc="B91E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22"/>
  </w:num>
  <w:num w:numId="11">
    <w:abstractNumId w:val="14"/>
  </w:num>
  <w:num w:numId="12">
    <w:abstractNumId w:val="13"/>
  </w:num>
  <w:num w:numId="13">
    <w:abstractNumId w:val="10"/>
  </w:num>
  <w:num w:numId="14">
    <w:abstractNumId w:val="23"/>
  </w:num>
  <w:num w:numId="15">
    <w:abstractNumId w:val="19"/>
  </w:num>
  <w:num w:numId="16">
    <w:abstractNumId w:val="9"/>
  </w:num>
  <w:num w:numId="17">
    <w:abstractNumId w:val="16"/>
  </w:num>
  <w:num w:numId="18">
    <w:abstractNumId w:val="17"/>
  </w:num>
  <w:num w:numId="19">
    <w:abstractNumId w:val="11"/>
  </w:num>
  <w:num w:numId="20">
    <w:abstractNumId w:val="21"/>
  </w:num>
  <w:num w:numId="21">
    <w:abstractNumId w:val="12"/>
  </w:num>
  <w:num w:numId="22">
    <w:abstractNumId w:val="15"/>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D3"/>
    <w:rsid w:val="00017F94"/>
    <w:rsid w:val="0002342A"/>
    <w:rsid w:val="0004756A"/>
    <w:rsid w:val="000611BC"/>
    <w:rsid w:val="000637D0"/>
    <w:rsid w:val="00072B95"/>
    <w:rsid w:val="000939AD"/>
    <w:rsid w:val="00097B3E"/>
    <w:rsid w:val="000E4E3E"/>
    <w:rsid w:val="00136508"/>
    <w:rsid w:val="001423B3"/>
    <w:rsid w:val="00154067"/>
    <w:rsid w:val="00156ACC"/>
    <w:rsid w:val="001C3878"/>
    <w:rsid w:val="001D34DD"/>
    <w:rsid w:val="001E1778"/>
    <w:rsid w:val="001E3FD5"/>
    <w:rsid w:val="001F2FB7"/>
    <w:rsid w:val="001F5916"/>
    <w:rsid w:val="00204222"/>
    <w:rsid w:val="002215C7"/>
    <w:rsid w:val="002838AB"/>
    <w:rsid w:val="002D67ED"/>
    <w:rsid w:val="0031284B"/>
    <w:rsid w:val="003504AC"/>
    <w:rsid w:val="003608AA"/>
    <w:rsid w:val="0036231A"/>
    <w:rsid w:val="003C5DFB"/>
    <w:rsid w:val="003E795C"/>
    <w:rsid w:val="003F3B13"/>
    <w:rsid w:val="003F53A5"/>
    <w:rsid w:val="00402C0F"/>
    <w:rsid w:val="00407AE7"/>
    <w:rsid w:val="00437F1F"/>
    <w:rsid w:val="004836A3"/>
    <w:rsid w:val="00486594"/>
    <w:rsid w:val="004952FF"/>
    <w:rsid w:val="004D6142"/>
    <w:rsid w:val="004F4332"/>
    <w:rsid w:val="00504C9E"/>
    <w:rsid w:val="00573F20"/>
    <w:rsid w:val="005C31A0"/>
    <w:rsid w:val="005C5D3D"/>
    <w:rsid w:val="005E4BFF"/>
    <w:rsid w:val="005F270C"/>
    <w:rsid w:val="00604B8F"/>
    <w:rsid w:val="0060738F"/>
    <w:rsid w:val="00620631"/>
    <w:rsid w:val="00655801"/>
    <w:rsid w:val="00683E6B"/>
    <w:rsid w:val="006A0B13"/>
    <w:rsid w:val="006A287A"/>
    <w:rsid w:val="006E19F7"/>
    <w:rsid w:val="00702C0C"/>
    <w:rsid w:val="007044D9"/>
    <w:rsid w:val="00786858"/>
    <w:rsid w:val="007C275B"/>
    <w:rsid w:val="007F7ECA"/>
    <w:rsid w:val="0082218E"/>
    <w:rsid w:val="008241D3"/>
    <w:rsid w:val="00845C66"/>
    <w:rsid w:val="00871021"/>
    <w:rsid w:val="008C013A"/>
    <w:rsid w:val="00903B7B"/>
    <w:rsid w:val="0091213E"/>
    <w:rsid w:val="00936107"/>
    <w:rsid w:val="009B4D59"/>
    <w:rsid w:val="009E409D"/>
    <w:rsid w:val="00A05A3F"/>
    <w:rsid w:val="00A14D3B"/>
    <w:rsid w:val="00A3099F"/>
    <w:rsid w:val="00A35639"/>
    <w:rsid w:val="00A52E24"/>
    <w:rsid w:val="00A54B08"/>
    <w:rsid w:val="00A75997"/>
    <w:rsid w:val="00A950AD"/>
    <w:rsid w:val="00AA7E10"/>
    <w:rsid w:val="00AC10D9"/>
    <w:rsid w:val="00AD0293"/>
    <w:rsid w:val="00B252A5"/>
    <w:rsid w:val="00B601E3"/>
    <w:rsid w:val="00B7635C"/>
    <w:rsid w:val="00BB3273"/>
    <w:rsid w:val="00C00399"/>
    <w:rsid w:val="00C41D37"/>
    <w:rsid w:val="00C57579"/>
    <w:rsid w:val="00C6281A"/>
    <w:rsid w:val="00C67C33"/>
    <w:rsid w:val="00C74E66"/>
    <w:rsid w:val="00C96EEC"/>
    <w:rsid w:val="00CB1B1A"/>
    <w:rsid w:val="00CE1C6C"/>
    <w:rsid w:val="00D21D30"/>
    <w:rsid w:val="00D55761"/>
    <w:rsid w:val="00DD0B1A"/>
    <w:rsid w:val="00E11018"/>
    <w:rsid w:val="00E46008"/>
    <w:rsid w:val="00E54EA2"/>
    <w:rsid w:val="00EA6493"/>
    <w:rsid w:val="00EB446E"/>
    <w:rsid w:val="00EB5942"/>
    <w:rsid w:val="00EE114E"/>
    <w:rsid w:val="00EF49DC"/>
    <w:rsid w:val="00F34979"/>
    <w:rsid w:val="00F426C9"/>
    <w:rsid w:val="00F515BC"/>
    <w:rsid w:val="00F77108"/>
    <w:rsid w:val="00F9372E"/>
    <w:rsid w:val="00FA16FD"/>
    <w:rsid w:val="00FA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437F1F"/>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437F1F"/>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437F1F"/>
    <w:rPr>
      <w:rFonts w:ascii="Times New Roman Bold" w:eastAsiaTheme="majorEastAsia" w:hAnsi="Times New Roman Bold" w:cstheme="majorBidi"/>
      <w:b/>
      <w:bCs/>
      <w:sz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nhideWhenUsed/>
    <w:rsid w:val="00A950AD"/>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437F1F"/>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437F1F"/>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437F1F"/>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437F1F"/>
    <w:rPr>
      <w:rFonts w:ascii="Times New Roman Bold" w:eastAsiaTheme="majorEastAsia" w:hAnsi="Times New Roman Bold" w:cstheme="majorBidi"/>
      <w:b/>
      <w:bCs/>
      <w:sz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nhideWhenUsed/>
    <w:rsid w:val="00A950AD"/>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437F1F"/>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grady@occ.ohio.gov" TargetMode="External"/><Relationship Id="rId13" Type="http://schemas.openxmlformats.org/officeDocument/2006/relationships/footer" Target="footer2.xml"/><Relationship Id="rId18" Type="http://schemas.openxmlformats.org/officeDocument/2006/relationships/hyperlink" Target="mailto:Maureen.grady@occ.ohio.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Joseph.serio@occ.ohio.gov" TargetMode="Externa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15670</Characters>
  <Application>Microsoft Office Word</Application>
  <DocSecurity>0</DocSecurity>
  <Lines>419</Lines>
  <Paragraphs>197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2015-04-06T19:53:00Z</cp:lastPrinted>
  <dcterms:created xsi:type="dcterms:W3CDTF">2015-07-09T20:37:00Z</dcterms:created>
  <dcterms:modified xsi:type="dcterms:W3CDTF">2015-07-09T20:37:00Z</dcterms:modified>
  <cp:category> </cp:category>
  <cp:contentStatus> </cp:contentStatus>
</cp:coreProperties>
</file>