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8E" w:rsidRPr="00C12B6A" w:rsidRDefault="00023A77" w:rsidP="00023A77">
      <w:pPr>
        <w:pStyle w:val="BodyText"/>
        <w:ind w:firstLine="0"/>
        <w:jc w:val="center"/>
        <w:rPr>
          <w:b/>
        </w:rPr>
      </w:pPr>
      <w:r w:rsidRPr="00C12B6A">
        <w:rPr>
          <w:b/>
        </w:rPr>
        <w:t>BEFORE THE</w:t>
      </w:r>
    </w:p>
    <w:p w:rsidR="00023A77" w:rsidRPr="00C12B6A" w:rsidRDefault="00023A77" w:rsidP="00023A77">
      <w:pPr>
        <w:pStyle w:val="BodyText"/>
        <w:ind w:firstLine="0"/>
        <w:jc w:val="center"/>
        <w:rPr>
          <w:b/>
        </w:rPr>
      </w:pPr>
      <w:r w:rsidRPr="00C12B6A">
        <w:rPr>
          <w:b/>
        </w:rPr>
        <w:t>PUBLIC UTILITIES COMMISSION OF OHIO</w:t>
      </w:r>
    </w:p>
    <w:p w:rsidR="00530B23" w:rsidRPr="00C12B6A" w:rsidRDefault="00530B23" w:rsidP="00530B23">
      <w:pPr>
        <w:spacing w:after="240"/>
        <w:jc w:val="cen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96"/>
        <w:gridCol w:w="4492"/>
      </w:tblGrid>
      <w:tr w:rsidR="00530B23" w:rsidRPr="00C12B6A" w:rsidTr="00FE0FFD">
        <w:tc>
          <w:tcPr>
            <w:tcW w:w="4788" w:type="dxa"/>
          </w:tcPr>
          <w:p w:rsidR="00530B23" w:rsidRPr="00C12B6A" w:rsidRDefault="00530B23" w:rsidP="00530B23">
            <w:pPr>
              <w:rPr>
                <w:b/>
              </w:rPr>
            </w:pPr>
            <w:r w:rsidRPr="00C12B6A">
              <w:rPr>
                <w:b/>
              </w:rPr>
              <w:t xml:space="preserve">In the Matter of the Application of the Ohio Edison Company, The Cleveland Electric Illuminating Company and the Toledo Edison Company for Authority to Provide for a Standard Service Offer Pursuant to </w:t>
            </w:r>
            <w:proofErr w:type="spellStart"/>
            <w:r w:rsidRPr="00C12B6A">
              <w:rPr>
                <w:b/>
              </w:rPr>
              <w:t>R.C</w:t>
            </w:r>
            <w:proofErr w:type="spellEnd"/>
            <w:r w:rsidRPr="00C12B6A">
              <w:rPr>
                <w:b/>
              </w:rPr>
              <w:t>. 4928.143 in the form of an Electric Security Plan</w:t>
            </w:r>
          </w:p>
        </w:tc>
        <w:tc>
          <w:tcPr>
            <w:tcW w:w="296" w:type="dxa"/>
          </w:tcPr>
          <w:p w:rsidR="00530B23" w:rsidRPr="00C12B6A" w:rsidRDefault="00530B23" w:rsidP="00530B23">
            <w:pPr>
              <w:jc w:val="center"/>
              <w:rPr>
                <w:b/>
              </w:rPr>
            </w:pPr>
            <w:r w:rsidRPr="00C12B6A">
              <w:rPr>
                <w:b/>
              </w:rPr>
              <w:t>)</w:t>
            </w:r>
          </w:p>
          <w:p w:rsidR="00530B23" w:rsidRPr="00C12B6A" w:rsidRDefault="00530B23" w:rsidP="00530B23">
            <w:pPr>
              <w:rPr>
                <w:b/>
              </w:rPr>
            </w:pPr>
            <w:r w:rsidRPr="00C12B6A">
              <w:rPr>
                <w:b/>
              </w:rPr>
              <w:t>)</w:t>
            </w:r>
          </w:p>
          <w:p w:rsidR="00530B23" w:rsidRPr="00C12B6A" w:rsidRDefault="00530B23" w:rsidP="00530B23">
            <w:pPr>
              <w:rPr>
                <w:b/>
              </w:rPr>
            </w:pPr>
            <w:r w:rsidRPr="00C12B6A">
              <w:rPr>
                <w:b/>
              </w:rPr>
              <w:t>)</w:t>
            </w:r>
          </w:p>
          <w:p w:rsidR="00530B23" w:rsidRPr="00C12B6A" w:rsidRDefault="00530B23" w:rsidP="00530B23">
            <w:pPr>
              <w:rPr>
                <w:b/>
              </w:rPr>
            </w:pPr>
            <w:r w:rsidRPr="00C12B6A">
              <w:rPr>
                <w:b/>
              </w:rPr>
              <w:t>)</w:t>
            </w:r>
          </w:p>
          <w:p w:rsidR="00530B23" w:rsidRPr="00C12B6A" w:rsidRDefault="00530B23" w:rsidP="00530B23">
            <w:pPr>
              <w:rPr>
                <w:b/>
              </w:rPr>
            </w:pPr>
            <w:r w:rsidRPr="00C12B6A">
              <w:rPr>
                <w:b/>
              </w:rPr>
              <w:t>)</w:t>
            </w:r>
          </w:p>
          <w:p w:rsidR="00530B23" w:rsidRPr="00C12B6A" w:rsidRDefault="00530B23" w:rsidP="00530B23">
            <w:pPr>
              <w:rPr>
                <w:b/>
              </w:rPr>
            </w:pPr>
            <w:r w:rsidRPr="00C12B6A">
              <w:rPr>
                <w:b/>
              </w:rPr>
              <w:t>)</w:t>
            </w:r>
          </w:p>
          <w:p w:rsidR="00530B23" w:rsidRPr="00C12B6A" w:rsidRDefault="00530B23" w:rsidP="00530B23">
            <w:pPr>
              <w:rPr>
                <w:b/>
              </w:rPr>
            </w:pPr>
            <w:r w:rsidRPr="00C12B6A">
              <w:rPr>
                <w:b/>
              </w:rPr>
              <w:t>)</w:t>
            </w:r>
          </w:p>
        </w:tc>
        <w:tc>
          <w:tcPr>
            <w:tcW w:w="4492" w:type="dxa"/>
          </w:tcPr>
          <w:p w:rsidR="00530B23" w:rsidRPr="00C12B6A" w:rsidRDefault="00530B23" w:rsidP="00530B23">
            <w:pPr>
              <w:rPr>
                <w:b/>
              </w:rPr>
            </w:pPr>
          </w:p>
          <w:p w:rsidR="00530B23" w:rsidRPr="00C12B6A" w:rsidRDefault="00530B23" w:rsidP="00530B23">
            <w:pPr>
              <w:rPr>
                <w:b/>
              </w:rPr>
            </w:pPr>
          </w:p>
          <w:p w:rsidR="00530B23" w:rsidRPr="00C12B6A" w:rsidRDefault="00530B23" w:rsidP="00530B23">
            <w:pPr>
              <w:rPr>
                <w:b/>
              </w:rPr>
            </w:pPr>
            <w:r w:rsidRPr="00C12B6A">
              <w:rPr>
                <w:b/>
              </w:rPr>
              <w:t xml:space="preserve">            Case No. 14-1297-EL-</w:t>
            </w:r>
            <w:proofErr w:type="spellStart"/>
            <w:r w:rsidRPr="00C12B6A">
              <w:rPr>
                <w:b/>
              </w:rPr>
              <w:t>SSO</w:t>
            </w:r>
            <w:proofErr w:type="spellEnd"/>
          </w:p>
        </w:tc>
      </w:tr>
    </w:tbl>
    <w:p w:rsidR="00530B23" w:rsidRPr="00C12B6A" w:rsidRDefault="00530B23" w:rsidP="00530B23">
      <w:pPr>
        <w:spacing w:after="240"/>
        <w:jc w:val="center"/>
      </w:pPr>
    </w:p>
    <w:p w:rsidR="00023A77" w:rsidRPr="00C12B6A" w:rsidRDefault="00F77B70" w:rsidP="000D16EE">
      <w:pPr>
        <w:pStyle w:val="BodyText"/>
        <w:ind w:firstLine="0"/>
        <w:jc w:val="center"/>
        <w:rPr>
          <w:b/>
        </w:rPr>
      </w:pPr>
      <w:r w:rsidRPr="00C12B6A">
        <w:rPr>
          <w:b/>
        </w:rPr>
        <w:t xml:space="preserve">REPLY </w:t>
      </w:r>
      <w:r w:rsidR="00C955DC" w:rsidRPr="00C12B6A">
        <w:rPr>
          <w:b/>
        </w:rPr>
        <w:t xml:space="preserve">MEMORANDUM IN SUPPORT OF </w:t>
      </w:r>
      <w:r w:rsidR="000D16EE" w:rsidRPr="00C12B6A">
        <w:rPr>
          <w:b/>
        </w:rPr>
        <w:t xml:space="preserve">MOTION TO </w:t>
      </w:r>
      <w:r w:rsidR="00A07E26" w:rsidRPr="00C12B6A">
        <w:rPr>
          <w:b/>
        </w:rPr>
        <w:t>INTERVENE</w:t>
      </w:r>
      <w:r w:rsidR="008E402D" w:rsidRPr="00C12B6A">
        <w:rPr>
          <w:b/>
        </w:rPr>
        <w:t xml:space="preserve"> OUT OF TIME</w:t>
      </w:r>
    </w:p>
    <w:p w:rsidR="00F77B70" w:rsidRPr="00C12B6A" w:rsidRDefault="00F77B70" w:rsidP="000D16EE">
      <w:pPr>
        <w:pStyle w:val="BodyText"/>
        <w:ind w:firstLine="0"/>
        <w:jc w:val="center"/>
        <w:rPr>
          <w:b/>
        </w:rPr>
      </w:pPr>
      <w:r w:rsidRPr="00C12B6A">
        <w:rPr>
          <w:b/>
        </w:rPr>
        <w:t xml:space="preserve">OF </w:t>
      </w:r>
      <w:proofErr w:type="spellStart"/>
      <w:r w:rsidRPr="00C12B6A">
        <w:rPr>
          <w:b/>
        </w:rPr>
        <w:t>CPV</w:t>
      </w:r>
      <w:proofErr w:type="spellEnd"/>
      <w:r w:rsidRPr="00C12B6A">
        <w:rPr>
          <w:b/>
        </w:rPr>
        <w:t xml:space="preserve"> SHORE, LLC</w:t>
      </w:r>
    </w:p>
    <w:p w:rsidR="000D16EE" w:rsidRPr="00C12B6A" w:rsidRDefault="000D16EE" w:rsidP="000D16EE">
      <w:pPr>
        <w:pStyle w:val="BodyText"/>
        <w:ind w:firstLine="0"/>
      </w:pPr>
    </w:p>
    <w:p w:rsidR="00712C7B" w:rsidRPr="00C12B6A" w:rsidRDefault="00B36C07" w:rsidP="002D0A75">
      <w:pPr>
        <w:pStyle w:val="BodyText"/>
        <w:spacing w:line="480" w:lineRule="auto"/>
        <w:ind w:firstLine="0"/>
      </w:pPr>
      <w:r w:rsidRPr="00C12B6A">
        <w:tab/>
      </w:r>
      <w:r w:rsidR="007220C4" w:rsidRPr="00C12B6A">
        <w:t xml:space="preserve">Pursuant to Rule 4901-1-12(B)(2) of the Ohio Administrative Code, </w:t>
      </w:r>
      <w:proofErr w:type="spellStart"/>
      <w:r w:rsidR="000D6880" w:rsidRPr="00C12B6A">
        <w:t>CPV</w:t>
      </w:r>
      <w:proofErr w:type="spellEnd"/>
      <w:r w:rsidR="000D6880" w:rsidRPr="00C12B6A">
        <w:t xml:space="preserve"> Shore, LLC (“</w:t>
      </w:r>
      <w:proofErr w:type="spellStart"/>
      <w:r w:rsidR="000D6880" w:rsidRPr="00C12B6A">
        <w:t>CPV</w:t>
      </w:r>
      <w:proofErr w:type="spellEnd"/>
      <w:r w:rsidR="000D6880" w:rsidRPr="00C12B6A">
        <w:t xml:space="preserve"> </w:t>
      </w:r>
      <w:r w:rsidR="00F336D9" w:rsidRPr="00C12B6A">
        <w:t>Shore”) responds herein to the M</w:t>
      </w:r>
      <w:r w:rsidR="000D6880" w:rsidRPr="00C12B6A">
        <w:t xml:space="preserve">emorandum </w:t>
      </w:r>
      <w:r w:rsidR="007220C4" w:rsidRPr="00C12B6A">
        <w:t xml:space="preserve">Contra </w:t>
      </w:r>
      <w:proofErr w:type="spellStart"/>
      <w:r w:rsidR="007220C4" w:rsidRPr="00C12B6A">
        <w:t>CPV</w:t>
      </w:r>
      <w:proofErr w:type="spellEnd"/>
      <w:r w:rsidR="007220C4" w:rsidRPr="00C12B6A">
        <w:t xml:space="preserve"> Shore’s M</w:t>
      </w:r>
      <w:r w:rsidR="000D6880" w:rsidRPr="00C12B6A">
        <w:t xml:space="preserve">otion to </w:t>
      </w:r>
      <w:r w:rsidR="007220C4" w:rsidRPr="00C12B6A">
        <w:t>I</w:t>
      </w:r>
      <w:r w:rsidR="000D6880" w:rsidRPr="00C12B6A">
        <w:t>nterve</w:t>
      </w:r>
      <w:r w:rsidR="00F336D9" w:rsidRPr="00C12B6A">
        <w:t xml:space="preserve">ne </w:t>
      </w:r>
      <w:r w:rsidR="007220C4" w:rsidRPr="00C12B6A">
        <w:t xml:space="preserve">(“Memorandum”) </w:t>
      </w:r>
      <w:r w:rsidR="00F336D9" w:rsidRPr="00C12B6A">
        <w:t xml:space="preserve">that was filed </w:t>
      </w:r>
      <w:r w:rsidR="007220C4" w:rsidRPr="00C12B6A">
        <w:t xml:space="preserve">on January 27, 2015 </w:t>
      </w:r>
      <w:r w:rsidR="000D6880" w:rsidRPr="00C12B6A">
        <w:t>by Ohio Edison</w:t>
      </w:r>
      <w:r w:rsidR="00B84080" w:rsidRPr="00C12B6A">
        <w:t xml:space="preserve"> Company</w:t>
      </w:r>
      <w:r w:rsidR="000D6880" w:rsidRPr="00C12B6A">
        <w:t>, the Cleveland Electric Illuminating Company and the Toledo Edison Company (together, “FirstEnergy” or the “Companies”).</w:t>
      </w:r>
    </w:p>
    <w:p w:rsidR="000D6880" w:rsidRPr="00C12B6A" w:rsidRDefault="000D6880" w:rsidP="002D0A75">
      <w:pPr>
        <w:pStyle w:val="BodyText"/>
        <w:spacing w:line="480" w:lineRule="auto"/>
        <w:ind w:firstLine="0"/>
      </w:pPr>
      <w:r w:rsidRPr="00C12B6A">
        <w:tab/>
      </w:r>
      <w:r w:rsidR="00F336D9" w:rsidRPr="00C12B6A">
        <w:t xml:space="preserve">The Companies raise three objections to </w:t>
      </w:r>
      <w:proofErr w:type="spellStart"/>
      <w:r w:rsidR="00F336D9" w:rsidRPr="00C12B6A">
        <w:t>CPV</w:t>
      </w:r>
      <w:proofErr w:type="spellEnd"/>
      <w:r w:rsidR="00F336D9" w:rsidRPr="00C12B6A">
        <w:t xml:space="preserve"> Shore’s intervention.  First, they claim that </w:t>
      </w:r>
      <w:proofErr w:type="spellStart"/>
      <w:r w:rsidR="00F336D9" w:rsidRPr="00C12B6A">
        <w:t>CPV</w:t>
      </w:r>
      <w:proofErr w:type="spellEnd"/>
      <w:r w:rsidR="00F336D9" w:rsidRPr="00C12B6A">
        <w:t xml:space="preserve"> Shore’s interests are “adequately represented” by other parties to this proceeding and that </w:t>
      </w:r>
      <w:proofErr w:type="spellStart"/>
      <w:r w:rsidR="00F336D9" w:rsidRPr="00C12B6A">
        <w:t>CPV</w:t>
      </w:r>
      <w:proofErr w:type="spellEnd"/>
      <w:r w:rsidR="00F336D9" w:rsidRPr="00C12B6A">
        <w:t xml:space="preserve"> Shore’s participation in the docket would </w:t>
      </w:r>
      <w:r w:rsidR="000D26F1" w:rsidRPr="00C12B6A">
        <w:t xml:space="preserve">therefore </w:t>
      </w:r>
      <w:r w:rsidR="00F336D9" w:rsidRPr="00C12B6A">
        <w:t xml:space="preserve">be “superfluous and duplicative.”  </w:t>
      </w:r>
      <w:proofErr w:type="gramStart"/>
      <w:r w:rsidR="00F336D9" w:rsidRPr="00C12B6A">
        <w:t>Memorandum at 1.</w:t>
      </w:r>
      <w:proofErr w:type="gramEnd"/>
      <w:r w:rsidR="00F336D9" w:rsidRPr="00C12B6A">
        <w:t xml:space="preserve">  </w:t>
      </w:r>
      <w:r w:rsidR="00D7148C" w:rsidRPr="00C12B6A">
        <w:t>T</w:t>
      </w:r>
      <w:r w:rsidR="00D772A0" w:rsidRPr="00C12B6A">
        <w:t xml:space="preserve">he parties </w:t>
      </w:r>
      <w:r w:rsidR="000D26F1" w:rsidRPr="00C12B6A">
        <w:t>named by the Companies in no way</w:t>
      </w:r>
      <w:r w:rsidR="00D7148C" w:rsidRPr="00C12B6A">
        <w:t>, however,</w:t>
      </w:r>
      <w:r w:rsidR="000D26F1" w:rsidRPr="00C12B6A">
        <w:t xml:space="preserve"> represent </w:t>
      </w:r>
      <w:proofErr w:type="spellStart"/>
      <w:r w:rsidR="000D26F1" w:rsidRPr="00C12B6A">
        <w:t>CPV</w:t>
      </w:r>
      <w:proofErr w:type="spellEnd"/>
      <w:r w:rsidR="000D26F1" w:rsidRPr="00C12B6A">
        <w:t xml:space="preserve"> Shore’s interests, and </w:t>
      </w:r>
      <w:r w:rsidR="00D772A0" w:rsidRPr="00C12B6A">
        <w:t xml:space="preserve">are in fact directly adverse </w:t>
      </w:r>
      <w:r w:rsidR="00DE298D" w:rsidRPr="00C12B6A">
        <w:t xml:space="preserve">in other proceedings </w:t>
      </w:r>
      <w:r w:rsidR="00D772A0" w:rsidRPr="00C12B6A">
        <w:t xml:space="preserve">to </w:t>
      </w:r>
      <w:proofErr w:type="spellStart"/>
      <w:r w:rsidR="00D772A0" w:rsidRPr="00C12B6A">
        <w:t>CPV</w:t>
      </w:r>
      <w:proofErr w:type="spellEnd"/>
      <w:r w:rsidR="00D772A0" w:rsidRPr="00C12B6A">
        <w:t xml:space="preserve"> Shore (and others) on the very topic as to which </w:t>
      </w:r>
      <w:proofErr w:type="spellStart"/>
      <w:r w:rsidR="00D772A0" w:rsidRPr="00C12B6A">
        <w:t>CPV</w:t>
      </w:r>
      <w:proofErr w:type="spellEnd"/>
      <w:r w:rsidR="00D772A0" w:rsidRPr="00C12B6A">
        <w:t xml:space="preserve"> </w:t>
      </w:r>
      <w:r w:rsidR="00DC20F5" w:rsidRPr="00C12B6A">
        <w:t xml:space="preserve">Shore </w:t>
      </w:r>
      <w:r w:rsidR="00D772A0" w:rsidRPr="00C12B6A">
        <w:t>moved to intervene</w:t>
      </w:r>
      <w:r w:rsidR="00D7148C" w:rsidRPr="00C12B6A">
        <w:t>, i.e.</w:t>
      </w:r>
      <w:r w:rsidR="00D772A0" w:rsidRPr="00C12B6A">
        <w:t xml:space="preserve"> the ability of States to support the development or continued operation of power plants through state-authorized, long-term contracts.</w:t>
      </w:r>
    </w:p>
    <w:p w:rsidR="00D772A0" w:rsidRPr="00C12B6A" w:rsidRDefault="00D772A0" w:rsidP="002D0A75">
      <w:pPr>
        <w:pStyle w:val="BodyText"/>
        <w:spacing w:line="480" w:lineRule="auto"/>
        <w:ind w:firstLine="0"/>
      </w:pPr>
      <w:r w:rsidRPr="00C12B6A">
        <w:tab/>
        <w:t xml:space="preserve">Second, the Companies </w:t>
      </w:r>
      <w:r w:rsidR="000D26F1" w:rsidRPr="00C12B6A">
        <w:t xml:space="preserve">dispute </w:t>
      </w:r>
      <w:proofErr w:type="spellStart"/>
      <w:r w:rsidR="000D26F1" w:rsidRPr="00C12B6A">
        <w:t>CPV</w:t>
      </w:r>
      <w:proofErr w:type="spellEnd"/>
      <w:r w:rsidR="000D26F1" w:rsidRPr="00C12B6A">
        <w:t xml:space="preserve"> Shore’s basis for intervening out of time.  As set forth in its original motion, and more fully in this pleading, </w:t>
      </w:r>
      <w:proofErr w:type="spellStart"/>
      <w:r w:rsidR="0096213B" w:rsidRPr="00C12B6A">
        <w:t>CPV</w:t>
      </w:r>
      <w:proofErr w:type="spellEnd"/>
      <w:r w:rsidR="0096213B" w:rsidRPr="00C12B6A">
        <w:t xml:space="preserve"> Shore’s basis for intervening out of time</w:t>
      </w:r>
      <w:r w:rsidR="000D26F1" w:rsidRPr="00C12B6A">
        <w:t xml:space="preserve"> </w:t>
      </w:r>
      <w:r w:rsidR="0096213B" w:rsidRPr="00C12B6A">
        <w:t>is more than justified by exceptional circumstances.  The t</w:t>
      </w:r>
      <w:r w:rsidR="000D26F1" w:rsidRPr="00C12B6A">
        <w:t xml:space="preserve">iming of </w:t>
      </w:r>
      <w:proofErr w:type="spellStart"/>
      <w:r w:rsidR="000D26F1" w:rsidRPr="00C12B6A">
        <w:t>CPV</w:t>
      </w:r>
      <w:proofErr w:type="spellEnd"/>
      <w:r w:rsidR="000D26F1" w:rsidRPr="00C12B6A">
        <w:t xml:space="preserve"> Shore’s </w:t>
      </w:r>
      <w:r w:rsidR="007220C4" w:rsidRPr="00C12B6A">
        <w:lastRenderedPageBreak/>
        <w:t>Motion to I</w:t>
      </w:r>
      <w:r w:rsidR="000D26F1" w:rsidRPr="00C12B6A">
        <w:t>nterven</w:t>
      </w:r>
      <w:r w:rsidR="007220C4" w:rsidRPr="00C12B6A">
        <w:t>e</w:t>
      </w:r>
      <w:r w:rsidR="000D26F1" w:rsidRPr="00C12B6A">
        <w:t xml:space="preserve"> was determined</w:t>
      </w:r>
      <w:r w:rsidR="007220C4" w:rsidRPr="00C12B6A">
        <w:t>,</w:t>
      </w:r>
      <w:r w:rsidR="000D26F1" w:rsidRPr="00C12B6A">
        <w:t xml:space="preserve"> in large part</w:t>
      </w:r>
      <w:r w:rsidR="007220C4" w:rsidRPr="00C12B6A">
        <w:t>,</w:t>
      </w:r>
      <w:r w:rsidR="000D26F1" w:rsidRPr="00C12B6A">
        <w:t xml:space="preserve"> by the progress of two related lawsuits, both of which </w:t>
      </w:r>
      <w:r w:rsidR="0096213B" w:rsidRPr="00C12B6A">
        <w:t xml:space="preserve">raise legal issues relevant to the Companies’ application, and which </w:t>
      </w:r>
      <w:proofErr w:type="gramStart"/>
      <w:r w:rsidR="000D26F1" w:rsidRPr="00C12B6A">
        <w:t>are the subject</w:t>
      </w:r>
      <w:proofErr w:type="gramEnd"/>
      <w:r w:rsidR="000D26F1" w:rsidRPr="00C12B6A">
        <w:t xml:space="preserve"> of recently filed petitions for </w:t>
      </w:r>
      <w:r w:rsidR="000D26F1" w:rsidRPr="00C12B6A">
        <w:rPr>
          <w:i/>
        </w:rPr>
        <w:t>certiorari</w:t>
      </w:r>
      <w:r w:rsidR="000D26F1" w:rsidRPr="00C12B6A">
        <w:t xml:space="preserve"> before the United States</w:t>
      </w:r>
      <w:r w:rsidR="006C56D3" w:rsidRPr="00C12B6A">
        <w:t xml:space="preserve"> Supreme Court.</w:t>
      </w:r>
      <w:r w:rsidR="0096213B" w:rsidRPr="00C12B6A">
        <w:t xml:space="preserve">  </w:t>
      </w:r>
    </w:p>
    <w:p w:rsidR="006C56D3" w:rsidRPr="00C12B6A" w:rsidRDefault="006C56D3" w:rsidP="002D0A75">
      <w:pPr>
        <w:pStyle w:val="BodyText"/>
        <w:spacing w:line="480" w:lineRule="auto"/>
        <w:ind w:firstLine="0"/>
      </w:pPr>
      <w:r w:rsidRPr="00C12B6A">
        <w:tab/>
        <w:t xml:space="preserve">Finally, the Companies argue that they “are not seeking Commission approval for the proposed wholesale purchased power transaction with which </w:t>
      </w:r>
      <w:proofErr w:type="spellStart"/>
      <w:r w:rsidRPr="00C12B6A">
        <w:t>CPV</w:t>
      </w:r>
      <w:proofErr w:type="spellEnd"/>
      <w:r w:rsidRPr="00C12B6A">
        <w:t xml:space="preserve"> is ostensibly concerned.”  </w:t>
      </w:r>
      <w:proofErr w:type="gramStart"/>
      <w:r w:rsidRPr="00C12B6A">
        <w:t>Memorandum at 1.</w:t>
      </w:r>
      <w:proofErr w:type="gramEnd"/>
      <w:r w:rsidRPr="00C12B6A">
        <w:t xml:space="preserve">  </w:t>
      </w:r>
      <w:r w:rsidR="00D7148C" w:rsidRPr="00C12B6A">
        <w:t>T</w:t>
      </w:r>
      <w:r w:rsidRPr="00C12B6A">
        <w:t>he Companies</w:t>
      </w:r>
      <w:r w:rsidR="00D7148C" w:rsidRPr="00C12B6A">
        <w:t>, however,</w:t>
      </w:r>
      <w:r w:rsidRPr="00C12B6A">
        <w:t xml:space="preserve"> are seeking Commission approval of </w:t>
      </w:r>
      <w:r w:rsidR="00EE6CEE" w:rsidRPr="00C12B6A">
        <w:t>an Economic Stability Program, including Retail Rate Stability Rider RRS (“Rider RRS”</w:t>
      </w:r>
      <w:proofErr w:type="gramStart"/>
      <w:r w:rsidR="00EE6CEE" w:rsidRPr="00C12B6A">
        <w:t>)</w:t>
      </w:r>
      <w:r w:rsidR="00DC20F5" w:rsidRPr="00C12B6A">
        <w:t>,</w:t>
      </w:r>
      <w:r w:rsidR="00EE6CEE" w:rsidRPr="00C12B6A">
        <w:t xml:space="preserve"> that</w:t>
      </w:r>
      <w:proofErr w:type="gramEnd"/>
      <w:r w:rsidR="00EE6CEE" w:rsidRPr="00C12B6A">
        <w:t xml:space="preserve"> </w:t>
      </w:r>
      <w:r w:rsidR="008A0886" w:rsidRPr="00C12B6A">
        <w:t>would authorize</w:t>
      </w:r>
      <w:r w:rsidR="00EE6CEE" w:rsidRPr="00C12B6A">
        <w:t xml:space="preserve"> the Companies to “</w:t>
      </w:r>
      <w:proofErr w:type="spellStart"/>
      <w:r w:rsidR="00EE6CEE" w:rsidRPr="00C12B6A">
        <w:t>acquir</w:t>
      </w:r>
      <w:proofErr w:type="spellEnd"/>
      <w:r w:rsidR="00EE6CEE" w:rsidRPr="00C12B6A">
        <w:t xml:space="preserve">[e] the generation output of specified generation plants through a purchased power transaction,” with Ohio ratepayers subsidizing the costs of those agreements.  </w:t>
      </w:r>
      <w:proofErr w:type="gramStart"/>
      <w:r w:rsidR="00EE6CEE" w:rsidRPr="00C12B6A">
        <w:t>Application at 9</w:t>
      </w:r>
      <w:r w:rsidR="008A0886" w:rsidRPr="00C12B6A">
        <w:t>.</w:t>
      </w:r>
      <w:proofErr w:type="gramEnd"/>
      <w:r w:rsidR="008A0886" w:rsidRPr="00C12B6A">
        <w:t xml:space="preserve">  The fact that the Companies have yet to seek approval of a particular form of power contract is irrelevant to the Companies</w:t>
      </w:r>
      <w:r w:rsidR="00D7148C" w:rsidRPr="00C12B6A">
        <w:t>’ broader objective in this case of obtaining</w:t>
      </w:r>
      <w:r w:rsidR="008A0886" w:rsidRPr="00C12B6A">
        <w:t xml:space="preserve"> the Commission’s approval to proceed with </w:t>
      </w:r>
      <w:r w:rsidR="00DE298D" w:rsidRPr="00C12B6A">
        <w:t xml:space="preserve">just </w:t>
      </w:r>
      <w:r w:rsidR="008A0886" w:rsidRPr="00C12B6A">
        <w:t>such an arrangement.</w:t>
      </w:r>
    </w:p>
    <w:p w:rsidR="008A0886" w:rsidRPr="00C12B6A" w:rsidRDefault="008A0886" w:rsidP="002D0A75">
      <w:pPr>
        <w:pStyle w:val="BodyText"/>
        <w:spacing w:line="480" w:lineRule="auto"/>
        <w:ind w:firstLine="0"/>
      </w:pPr>
      <w:r w:rsidRPr="00C12B6A">
        <w:tab/>
      </w:r>
      <w:proofErr w:type="spellStart"/>
      <w:r w:rsidRPr="00C12B6A">
        <w:t>CPV</w:t>
      </w:r>
      <w:proofErr w:type="spellEnd"/>
      <w:r w:rsidRPr="00C12B6A">
        <w:t xml:space="preserve"> Shore’s interest</w:t>
      </w:r>
      <w:r w:rsidR="002217E6" w:rsidRPr="00C12B6A">
        <w:t xml:space="preserve"> in seeing certain issues associated with the Companies’ Rider RRS appropriately addressed</w:t>
      </w:r>
      <w:r w:rsidRPr="00C12B6A">
        <w:t xml:space="preserve"> </w:t>
      </w:r>
      <w:r w:rsidR="001F0057" w:rsidRPr="00C12B6A">
        <w:t>is</w:t>
      </w:r>
      <w:r w:rsidRPr="00C12B6A">
        <w:t xml:space="preserve"> not adequately represented by other parties to this proceeding.  Its participation in this docket will accordingly serve the public interest</w:t>
      </w:r>
      <w:r w:rsidR="002217E6" w:rsidRPr="00C12B6A">
        <w:t xml:space="preserve"> and</w:t>
      </w:r>
      <w:r w:rsidR="001F0057" w:rsidRPr="00C12B6A">
        <w:t>,</w:t>
      </w:r>
      <w:r w:rsidR="002217E6" w:rsidRPr="00C12B6A">
        <w:t xml:space="preserve"> as discussed in its Motion to Intervene and herein, </w:t>
      </w:r>
      <w:proofErr w:type="spellStart"/>
      <w:r w:rsidR="002217E6" w:rsidRPr="00C12B6A">
        <w:t>CPV</w:t>
      </w:r>
      <w:proofErr w:type="spellEnd"/>
      <w:r w:rsidR="002217E6" w:rsidRPr="00C12B6A">
        <w:t xml:space="preserve"> Shore</w:t>
      </w:r>
      <w:r w:rsidRPr="00C12B6A">
        <w:t xml:space="preserve"> meets the Commission’s standard for granting such intervention.  </w:t>
      </w:r>
      <w:proofErr w:type="spellStart"/>
      <w:r w:rsidR="002217E6" w:rsidRPr="00C12B6A">
        <w:t>CPV</w:t>
      </w:r>
      <w:proofErr w:type="spellEnd"/>
      <w:r w:rsidR="002217E6" w:rsidRPr="00C12B6A">
        <w:t xml:space="preserve"> Shore agrees to take the record in this proceeding as it exists on the date of its Motion to Intervene, </w:t>
      </w:r>
      <w:r w:rsidR="00D7148C" w:rsidRPr="00C12B6A">
        <w:t xml:space="preserve">therefore </w:t>
      </w:r>
      <w:r w:rsidRPr="00C12B6A">
        <w:t xml:space="preserve">neither the Companies nor other parties to the proceeding will be harmed by </w:t>
      </w:r>
      <w:proofErr w:type="spellStart"/>
      <w:r w:rsidRPr="00C12B6A">
        <w:t>CPV</w:t>
      </w:r>
      <w:proofErr w:type="spellEnd"/>
      <w:r w:rsidRPr="00C12B6A">
        <w:t xml:space="preserve"> Shore’s </w:t>
      </w:r>
      <w:r w:rsidR="00EA722D" w:rsidRPr="00C12B6A">
        <w:t xml:space="preserve">presence in the docket.  </w:t>
      </w:r>
      <w:r w:rsidR="002217E6" w:rsidRPr="00C12B6A">
        <w:t xml:space="preserve">Therefore, </w:t>
      </w:r>
      <w:proofErr w:type="spellStart"/>
      <w:r w:rsidR="00EA722D" w:rsidRPr="00C12B6A">
        <w:t>CPV</w:t>
      </w:r>
      <w:proofErr w:type="spellEnd"/>
      <w:r w:rsidR="00EA722D" w:rsidRPr="00C12B6A">
        <w:t xml:space="preserve"> Shore respectfully asks the Commission to grant its motion.</w:t>
      </w:r>
    </w:p>
    <w:p w:rsidR="00EA722D" w:rsidRPr="00C12B6A" w:rsidRDefault="00EA722D" w:rsidP="00EA722D">
      <w:pPr>
        <w:pStyle w:val="Heading2"/>
        <w:rPr>
          <w:u w:val="single"/>
        </w:rPr>
      </w:pPr>
      <w:proofErr w:type="spellStart"/>
      <w:r w:rsidRPr="00C12B6A">
        <w:rPr>
          <w:u w:val="single"/>
        </w:rPr>
        <w:t>CPV</w:t>
      </w:r>
      <w:proofErr w:type="spellEnd"/>
      <w:r w:rsidRPr="00C12B6A">
        <w:rPr>
          <w:u w:val="single"/>
        </w:rPr>
        <w:t xml:space="preserve"> Shore’s interests are not represented by other parties to this proceeding.</w:t>
      </w:r>
    </w:p>
    <w:p w:rsidR="003853F5" w:rsidRPr="00C12B6A" w:rsidRDefault="00EA722D" w:rsidP="00EA722D">
      <w:pPr>
        <w:pStyle w:val="NoSpacing"/>
        <w:spacing w:line="480" w:lineRule="auto"/>
      </w:pPr>
      <w:r w:rsidRPr="00C12B6A">
        <w:tab/>
        <w:t xml:space="preserve">As set forth in its motion, </w:t>
      </w:r>
      <w:proofErr w:type="spellStart"/>
      <w:r w:rsidRPr="00C12B6A">
        <w:t>CPV</w:t>
      </w:r>
      <w:proofErr w:type="spellEnd"/>
      <w:r w:rsidRPr="00C12B6A">
        <w:t xml:space="preserve"> Shore is constructing a 725 MW combined-cycle natural gas plant to be located in Woodbridge, New Jersey</w:t>
      </w:r>
      <w:r w:rsidR="00995A8E" w:rsidRPr="00C12B6A">
        <w:t xml:space="preserve">.  </w:t>
      </w:r>
      <w:r w:rsidR="00AD1D57" w:rsidRPr="00C12B6A">
        <w:t xml:space="preserve">That plant, which will commence commercial operation </w:t>
      </w:r>
      <w:r w:rsidR="00D7148C" w:rsidRPr="00C12B6A">
        <w:t xml:space="preserve">within </w:t>
      </w:r>
      <w:r w:rsidR="00AD1D57" w:rsidRPr="00C12B6A">
        <w:t xml:space="preserve">a year, will sell </w:t>
      </w:r>
      <w:r w:rsidR="00672EA6" w:rsidRPr="00C12B6A">
        <w:t xml:space="preserve">wholesale </w:t>
      </w:r>
      <w:r w:rsidR="00AD1D57" w:rsidRPr="00C12B6A">
        <w:t xml:space="preserve">electricity into the </w:t>
      </w:r>
      <w:proofErr w:type="spellStart"/>
      <w:r w:rsidR="00AD1D57" w:rsidRPr="00C12B6A">
        <w:t>PJM</w:t>
      </w:r>
      <w:proofErr w:type="spellEnd"/>
      <w:r w:rsidR="002217E6" w:rsidRPr="00C12B6A">
        <w:t xml:space="preserve"> markets</w:t>
      </w:r>
      <w:r w:rsidR="00AD1D57" w:rsidRPr="00C12B6A">
        <w:t xml:space="preserve">, </w:t>
      </w:r>
      <w:r w:rsidR="00672EA6" w:rsidRPr="00C12B6A">
        <w:t xml:space="preserve">as the Companies </w:t>
      </w:r>
      <w:r w:rsidR="00BA5C30" w:rsidRPr="00C12B6A">
        <w:t xml:space="preserve">also </w:t>
      </w:r>
      <w:r w:rsidR="00672EA6" w:rsidRPr="00C12B6A">
        <w:t>propose to do under the instan</w:t>
      </w:r>
      <w:r w:rsidR="00B82DE1" w:rsidRPr="00C12B6A">
        <w:t xml:space="preserve">t Economic Stability Program.  </w:t>
      </w:r>
      <w:r w:rsidR="00121F83" w:rsidRPr="00C12B6A">
        <w:t xml:space="preserve">However, </w:t>
      </w:r>
      <w:proofErr w:type="spellStart"/>
      <w:r w:rsidR="003853F5" w:rsidRPr="00C12B6A">
        <w:t>CPV</w:t>
      </w:r>
      <w:proofErr w:type="spellEnd"/>
      <w:r w:rsidR="003853F5" w:rsidRPr="00C12B6A">
        <w:t xml:space="preserve"> Shore, unlike the Companies, will receive all of its revenues from sales into the </w:t>
      </w:r>
      <w:proofErr w:type="spellStart"/>
      <w:r w:rsidR="003853F5" w:rsidRPr="00C12B6A">
        <w:t>PJM</w:t>
      </w:r>
      <w:proofErr w:type="spellEnd"/>
      <w:r w:rsidR="003853F5" w:rsidRPr="00C12B6A">
        <w:t xml:space="preserve"> wholesale market; by contrast, the Companies’ revenue stream from generation assets that enter into power purchase agreements pursuant to Rider RRS of the Economic Stability Program will be established pursuant to those agreements</w:t>
      </w:r>
      <w:r w:rsidR="003C45A0" w:rsidRPr="00C12B6A">
        <w:t xml:space="preserve">, with “the costs and revenues [to be] netted” against </w:t>
      </w:r>
      <w:proofErr w:type="spellStart"/>
      <w:r w:rsidR="003C45A0" w:rsidRPr="00C12B6A">
        <w:t>PJM</w:t>
      </w:r>
      <w:proofErr w:type="spellEnd"/>
      <w:r w:rsidR="003C45A0" w:rsidRPr="00C12B6A">
        <w:t xml:space="preserve"> revenues and either charged to or rebated </w:t>
      </w:r>
      <w:r w:rsidR="00BA5C30" w:rsidRPr="00C12B6A">
        <w:t xml:space="preserve">back </w:t>
      </w:r>
      <w:r w:rsidR="003C45A0" w:rsidRPr="00C12B6A">
        <w:t>to retail customers through a non-</w:t>
      </w:r>
      <w:proofErr w:type="spellStart"/>
      <w:r w:rsidR="003C45A0" w:rsidRPr="00C12B6A">
        <w:t>bypassable</w:t>
      </w:r>
      <w:proofErr w:type="spellEnd"/>
      <w:r w:rsidR="003C45A0" w:rsidRPr="00C12B6A">
        <w:t xml:space="preserve"> adjustment mechanism.</w:t>
      </w:r>
      <w:r w:rsidR="00453476" w:rsidRPr="00C12B6A">
        <w:t xml:space="preserve">  </w:t>
      </w:r>
      <w:proofErr w:type="spellStart"/>
      <w:r w:rsidR="00453476" w:rsidRPr="00C12B6A">
        <w:t>CPV</w:t>
      </w:r>
      <w:proofErr w:type="spellEnd"/>
      <w:r w:rsidR="00453476" w:rsidRPr="00C12B6A">
        <w:t xml:space="preserve"> Shore, therefore, seeks to intervene because as a participant in the </w:t>
      </w:r>
      <w:proofErr w:type="spellStart"/>
      <w:r w:rsidR="00453476" w:rsidRPr="00C12B6A">
        <w:t>PJM</w:t>
      </w:r>
      <w:proofErr w:type="spellEnd"/>
      <w:r w:rsidR="00453476" w:rsidRPr="00C12B6A">
        <w:t xml:space="preserve"> markets, </w:t>
      </w:r>
      <w:r w:rsidR="00FC0597" w:rsidRPr="00C12B6A">
        <w:t xml:space="preserve">it </w:t>
      </w:r>
      <w:r w:rsidR="00453476" w:rsidRPr="00C12B6A">
        <w:t>may b</w:t>
      </w:r>
      <w:r w:rsidR="00FC0597" w:rsidRPr="00C12B6A">
        <w:t xml:space="preserve">e affected by the Commission’s decision on the </w:t>
      </w:r>
      <w:r w:rsidR="00453476" w:rsidRPr="00C12B6A">
        <w:t>Companies’ Rider RRS.</w:t>
      </w:r>
    </w:p>
    <w:p w:rsidR="00C71C9B" w:rsidRPr="00C12B6A" w:rsidRDefault="00BA5C30" w:rsidP="00EA722D">
      <w:pPr>
        <w:pStyle w:val="NoSpacing"/>
        <w:spacing w:line="480" w:lineRule="auto"/>
      </w:pPr>
      <w:r w:rsidRPr="00C12B6A">
        <w:tab/>
      </w:r>
      <w:proofErr w:type="spellStart"/>
      <w:r w:rsidRPr="00C12B6A">
        <w:t>CPV</w:t>
      </w:r>
      <w:proofErr w:type="spellEnd"/>
      <w:r w:rsidRPr="00C12B6A">
        <w:t xml:space="preserve"> Shore began developing </w:t>
      </w:r>
      <w:r w:rsidR="00CA0BE6" w:rsidRPr="00C12B6A">
        <w:t>its New Jersey plant under an arrangement similar to the one proposed by the Companies in this docket.  As a successful bidder in a state competitive procurement overseen by the New Jersey Board of Public Utilities (“</w:t>
      </w:r>
      <w:proofErr w:type="spellStart"/>
      <w:r w:rsidR="00CA0BE6" w:rsidRPr="00C12B6A">
        <w:t>NJBPU</w:t>
      </w:r>
      <w:proofErr w:type="spellEnd"/>
      <w:r w:rsidR="00CA0BE6" w:rsidRPr="00C12B6A">
        <w:t>”), it entered into long-term contracts for differences with the state’s four investor-owned utilities.  Those contracts</w:t>
      </w:r>
      <w:r w:rsidR="00C71C9B" w:rsidRPr="00C12B6A">
        <w:t xml:space="preserve"> would have accomplished essentially what the contracts </w:t>
      </w:r>
      <w:r w:rsidR="005A0F80" w:rsidRPr="00C12B6A">
        <w:t xml:space="preserve">facilitated by Rider RRS </w:t>
      </w:r>
      <w:r w:rsidR="00C71C9B" w:rsidRPr="00C12B6A">
        <w:t>proposed herein by the Companies would</w:t>
      </w:r>
      <w:r w:rsidR="00121F83" w:rsidRPr="00C12B6A">
        <w:t>, i.e.</w:t>
      </w:r>
      <w:r w:rsidR="00C71C9B" w:rsidRPr="00C12B6A">
        <w:t xml:space="preserve"> pay the generator a fixed contractual payment (in </w:t>
      </w:r>
      <w:proofErr w:type="spellStart"/>
      <w:r w:rsidR="00C71C9B" w:rsidRPr="00C12B6A">
        <w:t>CPV</w:t>
      </w:r>
      <w:proofErr w:type="spellEnd"/>
      <w:r w:rsidR="00C71C9B" w:rsidRPr="00C12B6A">
        <w:t xml:space="preserve"> Shore’s case, based on its successful competitive bid) that would be netted against revenues earned in the </w:t>
      </w:r>
      <w:proofErr w:type="spellStart"/>
      <w:r w:rsidR="00C71C9B" w:rsidRPr="00C12B6A">
        <w:t>PJM</w:t>
      </w:r>
      <w:proofErr w:type="spellEnd"/>
      <w:r w:rsidR="00C71C9B" w:rsidRPr="00C12B6A">
        <w:t xml:space="preserve"> wholesale markets.</w:t>
      </w:r>
    </w:p>
    <w:p w:rsidR="00BA5C30" w:rsidRPr="00C12B6A" w:rsidRDefault="00C71C9B" w:rsidP="00EA722D">
      <w:pPr>
        <w:pStyle w:val="NoSpacing"/>
        <w:spacing w:line="480" w:lineRule="auto"/>
      </w:pPr>
      <w:r w:rsidRPr="00C12B6A">
        <w:tab/>
        <w:t>What ensued demonstrates conclusively why the generators and trade associations whom the Companies characterize as “more than adequately represent[</w:t>
      </w:r>
      <w:proofErr w:type="spellStart"/>
      <w:r w:rsidRPr="00C12B6A">
        <w:t>ing</w:t>
      </w:r>
      <w:proofErr w:type="spellEnd"/>
      <w:r w:rsidRPr="00C12B6A">
        <w:t xml:space="preserve">]” </w:t>
      </w:r>
      <w:proofErr w:type="spellStart"/>
      <w:r w:rsidRPr="00C12B6A">
        <w:t>CPV</w:t>
      </w:r>
      <w:proofErr w:type="spellEnd"/>
      <w:r w:rsidRPr="00C12B6A">
        <w:t xml:space="preserve"> Shore’</w:t>
      </w:r>
      <w:r w:rsidR="007F3915" w:rsidRPr="00C12B6A">
        <w:t xml:space="preserve">s interests in this docket in fact </w:t>
      </w:r>
      <w:r w:rsidR="008E58F6" w:rsidRPr="00C12B6A">
        <w:t xml:space="preserve">are </w:t>
      </w:r>
      <w:r w:rsidR="007F3915" w:rsidRPr="00C12B6A">
        <w:t>do</w:t>
      </w:r>
      <w:r w:rsidR="008E58F6" w:rsidRPr="00C12B6A">
        <w:t>ing</w:t>
      </w:r>
      <w:r w:rsidR="007F3915" w:rsidRPr="00C12B6A">
        <w:t xml:space="preserve"> nothing of the sort.  </w:t>
      </w:r>
      <w:r w:rsidR="00672420" w:rsidRPr="00C12B6A">
        <w:t xml:space="preserve">Indeed, these entities are directly adverse to </w:t>
      </w:r>
      <w:proofErr w:type="spellStart"/>
      <w:r w:rsidR="00672420" w:rsidRPr="00C12B6A">
        <w:t>CPV</w:t>
      </w:r>
      <w:proofErr w:type="spellEnd"/>
      <w:r w:rsidR="00672420" w:rsidRPr="00C12B6A">
        <w:t xml:space="preserve"> Shore and its affiliates in </w:t>
      </w:r>
      <w:r w:rsidR="007352D6" w:rsidRPr="00C12B6A">
        <w:t>lawsuits filed in</w:t>
      </w:r>
      <w:r w:rsidR="00220723" w:rsidRPr="00C12B6A">
        <w:t xml:space="preserve"> </w:t>
      </w:r>
      <w:r w:rsidR="00672420" w:rsidRPr="00C12B6A">
        <w:t xml:space="preserve">New Jersey and Maryland.  </w:t>
      </w:r>
      <w:r w:rsidR="007F3915" w:rsidRPr="00C12B6A">
        <w:t xml:space="preserve">Exelon </w:t>
      </w:r>
      <w:r w:rsidR="00DC7CA7" w:rsidRPr="00C12B6A">
        <w:t xml:space="preserve">and others (including member companies of both </w:t>
      </w:r>
      <w:proofErr w:type="spellStart"/>
      <w:r w:rsidR="00DC7CA7" w:rsidRPr="00C12B6A">
        <w:t>PJM</w:t>
      </w:r>
      <w:proofErr w:type="spellEnd"/>
      <w:r w:rsidR="00DC7CA7" w:rsidRPr="00C12B6A">
        <w:t xml:space="preserve"> Power Providers Group (“</w:t>
      </w:r>
      <w:proofErr w:type="spellStart"/>
      <w:r w:rsidR="00DC7CA7" w:rsidRPr="00C12B6A">
        <w:t>P3</w:t>
      </w:r>
      <w:proofErr w:type="spellEnd"/>
      <w:r w:rsidR="00DC7CA7" w:rsidRPr="00C12B6A">
        <w:t>”) and the Electric Power Supply Association (“</w:t>
      </w:r>
      <w:proofErr w:type="spellStart"/>
      <w:r w:rsidR="00DC7CA7" w:rsidRPr="00C12B6A">
        <w:t>EPSA</w:t>
      </w:r>
      <w:proofErr w:type="spellEnd"/>
      <w:r w:rsidR="00DC7CA7" w:rsidRPr="00C12B6A">
        <w:t>”)</w:t>
      </w:r>
      <w:r w:rsidR="00672420" w:rsidRPr="00C12B6A">
        <w:t xml:space="preserve">) in fact </w:t>
      </w:r>
      <w:r w:rsidR="007F3915" w:rsidRPr="00C12B6A">
        <w:t>sue</w:t>
      </w:r>
      <w:r w:rsidR="00672420" w:rsidRPr="00C12B6A">
        <w:t>d</w:t>
      </w:r>
      <w:r w:rsidR="007F3915" w:rsidRPr="00C12B6A">
        <w:t xml:space="preserve"> the </w:t>
      </w:r>
      <w:proofErr w:type="spellStart"/>
      <w:r w:rsidR="007F3915" w:rsidRPr="00C12B6A">
        <w:t>NJBPU</w:t>
      </w:r>
      <w:proofErr w:type="spellEnd"/>
      <w:r w:rsidR="007F3915" w:rsidRPr="00C12B6A">
        <w:t xml:space="preserve">, asking the federal district court to nullify </w:t>
      </w:r>
      <w:proofErr w:type="spellStart"/>
      <w:r w:rsidR="007F3915" w:rsidRPr="00C12B6A">
        <w:t>CPV</w:t>
      </w:r>
      <w:proofErr w:type="spellEnd"/>
      <w:r w:rsidR="007F3915" w:rsidRPr="00C12B6A">
        <w:t xml:space="preserve"> Shore’s contracts (and other contracts authorized by the </w:t>
      </w:r>
      <w:proofErr w:type="spellStart"/>
      <w:r w:rsidR="007F3915" w:rsidRPr="00C12B6A">
        <w:t>NJBPU</w:t>
      </w:r>
      <w:proofErr w:type="spellEnd"/>
      <w:r w:rsidR="007F3915" w:rsidRPr="00C12B6A">
        <w:t xml:space="preserve"> in the same solicitation) as unc</w:t>
      </w:r>
      <w:r w:rsidR="00DC7CA7" w:rsidRPr="00C12B6A">
        <w:t>onstitutional.  T</w:t>
      </w:r>
      <w:r w:rsidR="007F3915" w:rsidRPr="00C12B6A">
        <w:t xml:space="preserve">he district court ultimately granted the relief that Exelon sought; that judgment was affirmed </w:t>
      </w:r>
      <w:r w:rsidR="00A05207" w:rsidRPr="00C12B6A">
        <w:t xml:space="preserve">by the Third </w:t>
      </w:r>
      <w:r w:rsidR="007352D6" w:rsidRPr="00C12B6A">
        <w:t xml:space="preserve">Circuit </w:t>
      </w:r>
      <w:r w:rsidR="00A05207" w:rsidRPr="00C12B6A">
        <w:t xml:space="preserve">Court of Appeals, and is currently the subject of a petition for </w:t>
      </w:r>
      <w:r w:rsidR="00A05207" w:rsidRPr="00C12B6A">
        <w:rPr>
          <w:i/>
        </w:rPr>
        <w:t>certiorari</w:t>
      </w:r>
      <w:r w:rsidR="00A05207" w:rsidRPr="00C12B6A">
        <w:t xml:space="preserve"> before the United States Supreme Court.</w:t>
      </w:r>
      <w:r w:rsidR="00A05207" w:rsidRPr="00C12B6A">
        <w:rPr>
          <w:rStyle w:val="FootnoteReference"/>
        </w:rPr>
        <w:footnoteReference w:id="2"/>
      </w:r>
    </w:p>
    <w:p w:rsidR="00F60A82" w:rsidRPr="00C12B6A" w:rsidRDefault="00DC7CA7" w:rsidP="00EA722D">
      <w:pPr>
        <w:pStyle w:val="NoSpacing"/>
        <w:spacing w:line="480" w:lineRule="auto"/>
      </w:pPr>
      <w:r w:rsidRPr="00C12B6A">
        <w:tab/>
      </w:r>
      <w:proofErr w:type="spellStart"/>
      <w:r w:rsidRPr="00C12B6A">
        <w:t>P3</w:t>
      </w:r>
      <w:proofErr w:type="spellEnd"/>
      <w:r w:rsidRPr="00C12B6A">
        <w:t xml:space="preserve"> and </w:t>
      </w:r>
      <w:proofErr w:type="spellStart"/>
      <w:r w:rsidRPr="00C12B6A">
        <w:t>EPSA</w:t>
      </w:r>
      <w:proofErr w:type="spellEnd"/>
      <w:r w:rsidRPr="00C12B6A">
        <w:t xml:space="preserve"> have </w:t>
      </w:r>
      <w:r w:rsidR="002E1DC9" w:rsidRPr="00C12B6A">
        <w:t xml:space="preserve">likewise taken positions </w:t>
      </w:r>
      <w:r w:rsidR="00D04441" w:rsidRPr="00C12B6A">
        <w:t>with respect to</w:t>
      </w:r>
      <w:r w:rsidRPr="00C12B6A">
        <w:t xml:space="preserve"> </w:t>
      </w:r>
      <w:r w:rsidR="00C054BD" w:rsidRPr="00C12B6A">
        <w:t>the very types of long-term contracts that are proposed herein by the Companies</w:t>
      </w:r>
      <w:r w:rsidR="002E1DC9" w:rsidRPr="00C12B6A">
        <w:t xml:space="preserve"> that are directly adverse to </w:t>
      </w:r>
      <w:proofErr w:type="spellStart"/>
      <w:r w:rsidR="002E1DC9" w:rsidRPr="00C12B6A">
        <w:t>CPV</w:t>
      </w:r>
      <w:proofErr w:type="spellEnd"/>
      <w:r w:rsidR="002E1DC9" w:rsidRPr="00C12B6A">
        <w:t xml:space="preserve"> Shore</w:t>
      </w:r>
      <w:r w:rsidR="00C054BD" w:rsidRPr="00C12B6A">
        <w:t xml:space="preserve"> and its affiliates in the Third and Fourth Circuit</w:t>
      </w:r>
      <w:r w:rsidR="002E1DC9" w:rsidRPr="00C12B6A">
        <w:t>, and with respect to the resulting</w:t>
      </w:r>
      <w:r w:rsidR="00C054BD" w:rsidRPr="00C12B6A">
        <w:t xml:space="preserve"> decisions that are currently before the Supreme Court on petitions for </w:t>
      </w:r>
      <w:r w:rsidR="00C054BD" w:rsidRPr="00C12B6A">
        <w:rPr>
          <w:i/>
        </w:rPr>
        <w:t>certiorari</w:t>
      </w:r>
      <w:r w:rsidR="00C054BD" w:rsidRPr="00C12B6A">
        <w:t>.</w:t>
      </w:r>
      <w:r w:rsidR="00DE5B89" w:rsidRPr="00C12B6A">
        <w:rPr>
          <w:rStyle w:val="FootnoteReference"/>
        </w:rPr>
        <w:footnoteReference w:id="3"/>
      </w:r>
      <w:r w:rsidR="00C054BD" w:rsidRPr="00C12B6A">
        <w:t xml:space="preserve">  For example, </w:t>
      </w:r>
      <w:proofErr w:type="spellStart"/>
      <w:r w:rsidR="00DE5B89" w:rsidRPr="00C12B6A">
        <w:t>EPSA’s</w:t>
      </w:r>
      <w:proofErr w:type="spellEnd"/>
      <w:r w:rsidR="00DE5B89" w:rsidRPr="00C12B6A">
        <w:t xml:space="preserve"> </w:t>
      </w:r>
      <w:r w:rsidR="00DE5B89" w:rsidRPr="00C12B6A">
        <w:rPr>
          <w:i/>
        </w:rPr>
        <w:t>amicus curiae</w:t>
      </w:r>
      <w:r w:rsidR="00DE5B89" w:rsidRPr="00C12B6A">
        <w:t xml:space="preserve"> brief</w:t>
      </w:r>
      <w:r w:rsidR="00DE5B89" w:rsidRPr="00C12B6A">
        <w:rPr>
          <w:rStyle w:val="FootnoteReference"/>
        </w:rPr>
        <w:footnoteReference w:id="4"/>
      </w:r>
      <w:r w:rsidR="00DE5B89" w:rsidRPr="00C12B6A">
        <w:t xml:space="preserve"> filed in </w:t>
      </w:r>
      <w:r w:rsidR="001A4415" w:rsidRPr="00C12B6A">
        <w:t xml:space="preserve">the Fourth Circuit in </w:t>
      </w:r>
      <w:proofErr w:type="spellStart"/>
      <w:r w:rsidR="00DE5B89" w:rsidRPr="00C12B6A">
        <w:rPr>
          <w:i/>
        </w:rPr>
        <w:t>PPL</w:t>
      </w:r>
      <w:proofErr w:type="spellEnd"/>
      <w:r w:rsidR="00DE5B89" w:rsidRPr="00C12B6A">
        <w:rPr>
          <w:i/>
        </w:rPr>
        <w:t xml:space="preserve"> v. </w:t>
      </w:r>
      <w:proofErr w:type="spellStart"/>
      <w:r w:rsidR="00DE5B89" w:rsidRPr="00C12B6A">
        <w:rPr>
          <w:i/>
        </w:rPr>
        <w:t>Nazarian</w:t>
      </w:r>
      <w:proofErr w:type="spellEnd"/>
      <w:r w:rsidR="00DE5B89" w:rsidRPr="00C12B6A">
        <w:rPr>
          <w:i/>
        </w:rPr>
        <w:t xml:space="preserve"> </w:t>
      </w:r>
      <w:r w:rsidR="001A4415" w:rsidRPr="00C12B6A">
        <w:t xml:space="preserve">urged the court to affirm the unconstitutionality of a Maryland procurement that awarded a long-term contract to </w:t>
      </w:r>
      <w:proofErr w:type="spellStart"/>
      <w:r w:rsidR="001A4415" w:rsidRPr="00C12B6A">
        <w:t>CPV</w:t>
      </w:r>
      <w:proofErr w:type="spellEnd"/>
      <w:r w:rsidR="001A4415" w:rsidRPr="00C12B6A">
        <w:t xml:space="preserve"> Maryland, an affiliate of </w:t>
      </w:r>
      <w:proofErr w:type="spellStart"/>
      <w:r w:rsidR="001A4415" w:rsidRPr="00C12B6A">
        <w:t>CPV</w:t>
      </w:r>
      <w:proofErr w:type="spellEnd"/>
      <w:r w:rsidR="001A4415" w:rsidRPr="00C12B6A">
        <w:t xml:space="preserve"> Shore, arguing that “compensating one generator, </w:t>
      </w:r>
      <w:proofErr w:type="spellStart"/>
      <w:r w:rsidR="001A4415" w:rsidRPr="00C12B6A">
        <w:t>CPV</w:t>
      </w:r>
      <w:proofErr w:type="spellEnd"/>
      <w:r w:rsidR="001A4415" w:rsidRPr="00C12B6A">
        <w:t>, for the energy and ca</w:t>
      </w:r>
      <w:r w:rsidR="00371B76" w:rsidRPr="00C12B6A">
        <w:t>pacity it sells in the [</w:t>
      </w:r>
      <w:proofErr w:type="spellStart"/>
      <w:r w:rsidR="00371B76" w:rsidRPr="00C12B6A">
        <w:t>PJM</w:t>
      </w:r>
      <w:proofErr w:type="spellEnd"/>
      <w:r w:rsidR="002E1DC9" w:rsidRPr="00C12B6A">
        <w:t xml:space="preserve"> markets</w:t>
      </w:r>
      <w:r w:rsidR="00371B76" w:rsidRPr="00C12B6A">
        <w:t xml:space="preserve">] . . . at a price that differs from the market clearing price set through the processes approved by FERC . . . impermissibly invades a field that Congress exclusively reserved to FERC” and “impermissibly conflicts with federal law by interfering with the FERC-approved market rules that govern </w:t>
      </w:r>
      <w:proofErr w:type="spellStart"/>
      <w:r w:rsidR="00371B76" w:rsidRPr="00C12B6A">
        <w:t>PJM’s</w:t>
      </w:r>
      <w:proofErr w:type="spellEnd"/>
      <w:r w:rsidR="00371B76" w:rsidRPr="00C12B6A">
        <w:t xml:space="preserve"> energy and capacity markets.”</w:t>
      </w:r>
      <w:r w:rsidR="005F4665" w:rsidRPr="00C12B6A">
        <w:rPr>
          <w:rStyle w:val="FootnoteReference"/>
        </w:rPr>
        <w:footnoteReference w:id="5"/>
      </w:r>
      <w:r w:rsidR="00371B76" w:rsidRPr="00C12B6A">
        <w:t xml:space="preserve">    </w:t>
      </w:r>
    </w:p>
    <w:p w:rsidR="00A05207" w:rsidRPr="00C12B6A" w:rsidRDefault="00F60A82" w:rsidP="00EA722D">
      <w:pPr>
        <w:pStyle w:val="NoSpacing"/>
        <w:spacing w:line="480" w:lineRule="auto"/>
      </w:pPr>
      <w:r w:rsidRPr="00C12B6A">
        <w:tab/>
      </w:r>
      <w:r w:rsidR="00371B76" w:rsidRPr="00C12B6A">
        <w:t xml:space="preserve">Similarly, </w:t>
      </w:r>
      <w:proofErr w:type="spellStart"/>
      <w:r w:rsidR="00371B76" w:rsidRPr="00C12B6A">
        <w:t>P3</w:t>
      </w:r>
      <w:proofErr w:type="spellEnd"/>
      <w:r w:rsidR="00371B76" w:rsidRPr="00C12B6A">
        <w:t xml:space="preserve"> filed four pleadings before the Maryland Public Service Commission (“</w:t>
      </w:r>
      <w:proofErr w:type="spellStart"/>
      <w:r w:rsidR="00371B76" w:rsidRPr="00C12B6A">
        <w:t>MPSC</w:t>
      </w:r>
      <w:proofErr w:type="spellEnd"/>
      <w:r w:rsidR="00371B76" w:rsidRPr="00C12B6A">
        <w:t xml:space="preserve">”) in the administrative docket that was collaterally attacked in federal court contesting both the </w:t>
      </w:r>
      <w:r w:rsidR="002B7E28" w:rsidRPr="00C12B6A">
        <w:t xml:space="preserve">legality </w:t>
      </w:r>
      <w:r w:rsidR="00371B76" w:rsidRPr="00C12B6A">
        <w:t xml:space="preserve">and the wisdom of awarding long-term contracts to bidders seeking to meet that State’s reliability objectives.  </w:t>
      </w:r>
      <w:proofErr w:type="spellStart"/>
      <w:r w:rsidR="002B7E28" w:rsidRPr="00C12B6A">
        <w:t>P3</w:t>
      </w:r>
      <w:proofErr w:type="spellEnd"/>
      <w:r w:rsidR="002B7E28" w:rsidRPr="00C12B6A">
        <w:t xml:space="preserve"> argued that awarding su</w:t>
      </w:r>
      <w:r w:rsidR="005131E2" w:rsidRPr="00C12B6A">
        <w:t>ch contract</w:t>
      </w:r>
      <w:r w:rsidR="00963B48">
        <w:t xml:space="preserve"> w</w:t>
      </w:r>
      <w:bookmarkStart w:id="0" w:name="_GoBack"/>
      <w:bookmarkEnd w:id="0"/>
      <w:r w:rsidR="00963B48">
        <w:t>as</w:t>
      </w:r>
      <w:r w:rsidR="005131E2" w:rsidRPr="00C12B6A">
        <w:t xml:space="preserve"> “neither necessary in the short-run, nor beneficial in the long run,” and would “lead to uneconomic development and thus higher costs to consumers over time” and “chill investments that would promote reliability.”</w:t>
      </w:r>
      <w:r w:rsidR="008E3595" w:rsidRPr="00C12B6A">
        <w:rPr>
          <w:rStyle w:val="FootnoteReference"/>
        </w:rPr>
        <w:footnoteReference w:id="6"/>
      </w:r>
    </w:p>
    <w:p w:rsidR="005131E2" w:rsidRPr="00C12B6A" w:rsidRDefault="005131E2" w:rsidP="00EA722D">
      <w:pPr>
        <w:pStyle w:val="NoSpacing"/>
        <w:spacing w:line="480" w:lineRule="auto"/>
      </w:pPr>
      <w:r w:rsidRPr="00C12B6A">
        <w:tab/>
        <w:t xml:space="preserve">Far from “adequately representing” </w:t>
      </w:r>
      <w:proofErr w:type="spellStart"/>
      <w:r w:rsidRPr="00C12B6A">
        <w:t>CPV</w:t>
      </w:r>
      <w:proofErr w:type="spellEnd"/>
      <w:r w:rsidRPr="00C12B6A">
        <w:t xml:space="preserve"> Shore’s interests, Exelon, </w:t>
      </w:r>
      <w:proofErr w:type="spellStart"/>
      <w:r w:rsidRPr="00C12B6A">
        <w:t>EPSA</w:t>
      </w:r>
      <w:proofErr w:type="spellEnd"/>
      <w:r w:rsidRPr="00C12B6A">
        <w:t xml:space="preserve"> and </w:t>
      </w:r>
      <w:proofErr w:type="spellStart"/>
      <w:r w:rsidRPr="00C12B6A">
        <w:t>P3</w:t>
      </w:r>
      <w:proofErr w:type="spellEnd"/>
      <w:r w:rsidRPr="00C12B6A">
        <w:t xml:space="preserve"> have advocated positions in these cases that are diametrically opposed to those of </w:t>
      </w:r>
      <w:proofErr w:type="spellStart"/>
      <w:r w:rsidRPr="00C12B6A">
        <w:t>CPV</w:t>
      </w:r>
      <w:proofErr w:type="spellEnd"/>
      <w:r w:rsidRPr="00C12B6A">
        <w:t xml:space="preserve"> Shore.  These entities do not and cannot represent </w:t>
      </w:r>
      <w:proofErr w:type="spellStart"/>
      <w:r w:rsidRPr="00C12B6A">
        <w:t>CPV</w:t>
      </w:r>
      <w:proofErr w:type="spellEnd"/>
      <w:r w:rsidRPr="00C12B6A">
        <w:t xml:space="preserve"> Shore’s interests, and the Companies’ arguments in this regard should be rejected outright by the Commission.</w:t>
      </w:r>
    </w:p>
    <w:p w:rsidR="005131E2" w:rsidRPr="00C12B6A" w:rsidRDefault="00E33612" w:rsidP="00E33612">
      <w:pPr>
        <w:rPr>
          <w:u w:val="single"/>
        </w:rPr>
      </w:pPr>
      <w:r w:rsidRPr="00C12B6A">
        <w:tab/>
        <w:t>B.</w:t>
      </w:r>
      <w:r w:rsidRPr="00C12B6A">
        <w:tab/>
      </w:r>
      <w:proofErr w:type="spellStart"/>
      <w:r w:rsidR="00F216FA" w:rsidRPr="00C12B6A">
        <w:rPr>
          <w:u w:val="single"/>
        </w:rPr>
        <w:t>CPV</w:t>
      </w:r>
      <w:proofErr w:type="spellEnd"/>
      <w:r w:rsidR="00F216FA" w:rsidRPr="00C12B6A">
        <w:rPr>
          <w:u w:val="single"/>
        </w:rPr>
        <w:t xml:space="preserve"> Shore’s late intervention should b</w:t>
      </w:r>
      <w:r w:rsidRPr="00C12B6A">
        <w:rPr>
          <w:u w:val="single"/>
        </w:rPr>
        <w:t xml:space="preserve">e </w:t>
      </w:r>
      <w:r w:rsidR="00F216FA" w:rsidRPr="00C12B6A">
        <w:rPr>
          <w:u w:val="single"/>
        </w:rPr>
        <w:t>a</w:t>
      </w:r>
      <w:r w:rsidRPr="00C12B6A">
        <w:rPr>
          <w:u w:val="single"/>
        </w:rPr>
        <w:t xml:space="preserve">llowed </w:t>
      </w:r>
      <w:r w:rsidR="00F216FA" w:rsidRPr="00C12B6A">
        <w:rPr>
          <w:u w:val="single"/>
        </w:rPr>
        <w:t>b</w:t>
      </w:r>
      <w:r w:rsidRPr="00C12B6A">
        <w:rPr>
          <w:u w:val="single"/>
        </w:rPr>
        <w:t xml:space="preserve">ecause of the </w:t>
      </w:r>
      <w:r w:rsidR="00F216FA" w:rsidRPr="00C12B6A">
        <w:rPr>
          <w:u w:val="single"/>
        </w:rPr>
        <w:t>s</w:t>
      </w:r>
      <w:r w:rsidRPr="00C12B6A">
        <w:rPr>
          <w:u w:val="single"/>
        </w:rPr>
        <w:t xml:space="preserve">tatus of </w:t>
      </w:r>
      <w:r w:rsidR="00F216FA" w:rsidRPr="00C12B6A">
        <w:rPr>
          <w:u w:val="single"/>
        </w:rPr>
        <w:t>t</w:t>
      </w:r>
      <w:r w:rsidRPr="00C12B6A">
        <w:rPr>
          <w:u w:val="single"/>
        </w:rPr>
        <w:t xml:space="preserve">wo </w:t>
      </w:r>
      <w:r w:rsidR="00F216FA" w:rsidRPr="00C12B6A">
        <w:rPr>
          <w:u w:val="single"/>
        </w:rPr>
        <w:t>c</w:t>
      </w:r>
      <w:r w:rsidRPr="00C12B6A">
        <w:rPr>
          <w:u w:val="single"/>
        </w:rPr>
        <w:t xml:space="preserve">ases </w:t>
      </w:r>
      <w:r w:rsidR="00F216FA" w:rsidRPr="00C12B6A">
        <w:rPr>
          <w:u w:val="single"/>
        </w:rPr>
        <w:t>c</w:t>
      </w:r>
      <w:r w:rsidRPr="00C12B6A">
        <w:rPr>
          <w:u w:val="single"/>
        </w:rPr>
        <w:t xml:space="preserve">urrently </w:t>
      </w:r>
      <w:r w:rsidR="00F216FA" w:rsidRPr="00C12B6A">
        <w:rPr>
          <w:u w:val="single"/>
        </w:rPr>
        <w:t>p</w:t>
      </w:r>
      <w:r w:rsidRPr="00C12B6A">
        <w:rPr>
          <w:u w:val="single"/>
        </w:rPr>
        <w:t xml:space="preserve">ending </w:t>
      </w:r>
      <w:r w:rsidR="002071EB" w:rsidRPr="00C12B6A">
        <w:rPr>
          <w:u w:val="single"/>
        </w:rPr>
        <w:t xml:space="preserve">on petitions for </w:t>
      </w:r>
      <w:r w:rsidR="002071EB" w:rsidRPr="00C12B6A">
        <w:rPr>
          <w:i/>
          <w:u w:val="single"/>
        </w:rPr>
        <w:t>certiorari</w:t>
      </w:r>
      <w:r w:rsidR="002071EB" w:rsidRPr="00C12B6A">
        <w:rPr>
          <w:u w:val="single"/>
        </w:rPr>
        <w:t xml:space="preserve"> </w:t>
      </w:r>
      <w:r w:rsidR="00F216FA" w:rsidRPr="00C12B6A">
        <w:rPr>
          <w:u w:val="single"/>
        </w:rPr>
        <w:t>b</w:t>
      </w:r>
      <w:r w:rsidRPr="00C12B6A">
        <w:rPr>
          <w:u w:val="single"/>
        </w:rPr>
        <w:t>efore the United States Supreme Court.</w:t>
      </w:r>
    </w:p>
    <w:p w:rsidR="00E33612" w:rsidRPr="00C12B6A" w:rsidRDefault="00E33612" w:rsidP="00E33612">
      <w:pPr>
        <w:rPr>
          <w:u w:val="single"/>
        </w:rPr>
      </w:pPr>
    </w:p>
    <w:p w:rsidR="00F216FA" w:rsidRPr="00C12B6A" w:rsidRDefault="00561708" w:rsidP="00561708">
      <w:pPr>
        <w:pStyle w:val="NoSpacing"/>
        <w:spacing w:line="480" w:lineRule="auto"/>
      </w:pPr>
      <w:r w:rsidRPr="00C12B6A">
        <w:tab/>
      </w:r>
      <w:r w:rsidR="004657AA">
        <w:t>T</w:t>
      </w:r>
      <w:r w:rsidRPr="00C12B6A">
        <w:t xml:space="preserve">he Companies </w:t>
      </w:r>
      <w:r w:rsidR="00121F83" w:rsidRPr="00C12B6A">
        <w:t xml:space="preserve">wrongly </w:t>
      </w:r>
      <w:r w:rsidRPr="00C12B6A">
        <w:t xml:space="preserve">dispute both the relevancy of the Third and Fourth Circuit decisions </w:t>
      </w:r>
      <w:r w:rsidR="00D04441" w:rsidRPr="00C12B6A">
        <w:t xml:space="preserve">that are </w:t>
      </w:r>
      <w:r w:rsidRPr="00C12B6A">
        <w:t xml:space="preserve">currently before the United States Supreme Court on petitions for </w:t>
      </w:r>
      <w:r w:rsidRPr="00C12B6A">
        <w:rPr>
          <w:i/>
        </w:rPr>
        <w:t>certiorari</w:t>
      </w:r>
      <w:r w:rsidRPr="00C12B6A">
        <w:t xml:space="preserve">, </w:t>
      </w:r>
      <w:proofErr w:type="gramStart"/>
      <w:r w:rsidRPr="00C12B6A">
        <w:t>and</w:t>
      </w:r>
      <w:proofErr w:type="gramEnd"/>
      <w:r w:rsidRPr="00C12B6A">
        <w:t xml:space="preserve"> the appropriateness of granting </w:t>
      </w:r>
      <w:proofErr w:type="spellStart"/>
      <w:r w:rsidRPr="00C12B6A">
        <w:t>CPV</w:t>
      </w:r>
      <w:proofErr w:type="spellEnd"/>
      <w:r w:rsidRPr="00C12B6A">
        <w:t xml:space="preserve"> Shore’s motion for late intervention based on the pendency of those petitions</w:t>
      </w:r>
      <w:r w:rsidR="00121F83" w:rsidRPr="00C12B6A">
        <w:t>.</w:t>
      </w:r>
    </w:p>
    <w:p w:rsidR="00561708" w:rsidRPr="00C12B6A" w:rsidRDefault="00561708" w:rsidP="00561708">
      <w:pPr>
        <w:pStyle w:val="NoSpacing"/>
        <w:spacing w:line="480" w:lineRule="auto"/>
      </w:pPr>
      <w:r w:rsidRPr="00C12B6A">
        <w:tab/>
      </w:r>
      <w:r w:rsidR="003827D5" w:rsidRPr="00C12B6A">
        <w:t xml:space="preserve">The circuit court cases are directly relevant to the question raised by the Companies’ request for authority to enter into long-term contracts to support generation assets that will sell into the </w:t>
      </w:r>
      <w:proofErr w:type="spellStart"/>
      <w:r w:rsidR="003827D5" w:rsidRPr="00C12B6A">
        <w:t>PJM</w:t>
      </w:r>
      <w:proofErr w:type="spellEnd"/>
      <w:r w:rsidR="003827D5" w:rsidRPr="00C12B6A">
        <w:t xml:space="preserve"> wholesale markets.  That question is </w:t>
      </w:r>
      <w:r w:rsidR="0006325E" w:rsidRPr="00C12B6A">
        <w:t xml:space="preserve">also </w:t>
      </w:r>
      <w:r w:rsidR="003827D5" w:rsidRPr="00C12B6A">
        <w:t xml:space="preserve">at the heart of both cases, which address whether or how such resources may participate in the FERC-regulated </w:t>
      </w:r>
      <w:proofErr w:type="spellStart"/>
      <w:r w:rsidR="003827D5" w:rsidRPr="00C12B6A">
        <w:t>PJM</w:t>
      </w:r>
      <w:proofErr w:type="spellEnd"/>
      <w:r w:rsidR="003827D5" w:rsidRPr="00C12B6A">
        <w:t xml:space="preserve"> market and </w:t>
      </w:r>
      <w:r w:rsidR="001D2335" w:rsidRPr="00C12B6A">
        <w:t xml:space="preserve">at the same time </w:t>
      </w:r>
      <w:r w:rsidR="003827D5" w:rsidRPr="00C12B6A">
        <w:t xml:space="preserve">receive additional revenues (or rebate revenues that exceed the </w:t>
      </w:r>
      <w:proofErr w:type="spellStart"/>
      <w:r w:rsidR="003827D5" w:rsidRPr="00C12B6A">
        <w:t>PJM</w:t>
      </w:r>
      <w:proofErr w:type="spellEnd"/>
      <w:r w:rsidR="003827D5" w:rsidRPr="00C12B6A">
        <w:t xml:space="preserve"> price) through long-term agreements supported ultimately by retail ratepayers.  </w:t>
      </w:r>
      <w:r w:rsidR="005A30C1" w:rsidRPr="00C12B6A">
        <w:t>While the Companies state</w:t>
      </w:r>
      <w:r w:rsidR="00121F83" w:rsidRPr="00C12B6A">
        <w:t xml:space="preserve">, </w:t>
      </w:r>
      <w:r w:rsidR="005A30C1" w:rsidRPr="00C12B6A">
        <w:t>with no substantiation</w:t>
      </w:r>
      <w:r w:rsidR="00121F83" w:rsidRPr="00C12B6A">
        <w:t>,</w:t>
      </w:r>
      <w:r w:rsidR="005A30C1" w:rsidRPr="00C12B6A">
        <w:t xml:space="preserve"> that these cases “have no bearing on the present matter,” Memorandum at 8, the Companies’ propos</w:t>
      </w:r>
      <w:r w:rsidR="00D04441" w:rsidRPr="00C12B6A">
        <w:t>al</w:t>
      </w:r>
      <w:r w:rsidR="005A30C1" w:rsidRPr="00C12B6A">
        <w:t xml:space="preserve"> raise</w:t>
      </w:r>
      <w:r w:rsidR="00D04441" w:rsidRPr="00C12B6A">
        <w:t>s many of</w:t>
      </w:r>
      <w:r w:rsidR="005A30C1" w:rsidRPr="00C12B6A">
        <w:t xml:space="preserve"> the same </w:t>
      </w:r>
      <w:r w:rsidR="00D04441" w:rsidRPr="00C12B6A">
        <w:t xml:space="preserve">issues </w:t>
      </w:r>
      <w:r w:rsidR="005A30C1" w:rsidRPr="00C12B6A">
        <w:t xml:space="preserve">that </w:t>
      </w:r>
      <w:r w:rsidR="00D04441" w:rsidRPr="00C12B6A">
        <w:t>are</w:t>
      </w:r>
      <w:r w:rsidR="005A30C1" w:rsidRPr="00C12B6A">
        <w:t xml:space="preserve"> currently pending before the Supreme Court.</w:t>
      </w:r>
    </w:p>
    <w:p w:rsidR="005A30C1" w:rsidRPr="00C12B6A" w:rsidRDefault="005A30C1" w:rsidP="00561708">
      <w:pPr>
        <w:pStyle w:val="NoSpacing"/>
        <w:spacing w:line="480" w:lineRule="auto"/>
      </w:pPr>
      <w:r w:rsidRPr="00C12B6A">
        <w:tab/>
        <w:t xml:space="preserve">Notwithstanding the Companies’ suggestion that there are “clear distinctions between those </w:t>
      </w:r>
      <w:r w:rsidR="001D2335" w:rsidRPr="00C12B6A">
        <w:t xml:space="preserve">cases </w:t>
      </w:r>
      <w:r w:rsidRPr="00C12B6A">
        <w:t xml:space="preserve">and this one,” Memorandum at 7, </w:t>
      </w:r>
      <w:r w:rsidR="002071EB" w:rsidRPr="00C12B6A">
        <w:t xml:space="preserve">those distinctions </w:t>
      </w:r>
      <w:proofErr w:type="gramStart"/>
      <w:r w:rsidRPr="00C12B6A">
        <w:t>are</w:t>
      </w:r>
      <w:proofErr w:type="gramEnd"/>
      <w:r w:rsidRPr="00C12B6A">
        <w:t xml:space="preserve"> by no means clear to, among others, the National Association of Regulatory Commissioners (“</w:t>
      </w:r>
      <w:proofErr w:type="spellStart"/>
      <w:r w:rsidRPr="00C12B6A">
        <w:t>NARUC</w:t>
      </w:r>
      <w:proofErr w:type="spellEnd"/>
      <w:r w:rsidRPr="00C12B6A">
        <w:t xml:space="preserve">”), of which this Commission is a member.  </w:t>
      </w:r>
      <w:proofErr w:type="spellStart"/>
      <w:r w:rsidRPr="00C12B6A">
        <w:t>NARUC</w:t>
      </w:r>
      <w:proofErr w:type="spellEnd"/>
      <w:r w:rsidRPr="00C12B6A">
        <w:t xml:space="preserve"> filed </w:t>
      </w:r>
      <w:r w:rsidRPr="00C12B6A">
        <w:rPr>
          <w:i/>
        </w:rPr>
        <w:t>amicus curiae</w:t>
      </w:r>
      <w:r w:rsidRPr="00C12B6A">
        <w:t xml:space="preserve"> briefs in support of New Jersey and Maryland in these </w:t>
      </w:r>
      <w:r w:rsidR="00D04441" w:rsidRPr="00C12B6A">
        <w:t>petitions for</w:t>
      </w:r>
      <w:r w:rsidR="00D04441" w:rsidRPr="00C12B6A">
        <w:rPr>
          <w:i/>
        </w:rPr>
        <w:t xml:space="preserve"> certiorari</w:t>
      </w:r>
      <w:r w:rsidRPr="00C12B6A">
        <w:t xml:space="preserve">, </w:t>
      </w:r>
      <w:r w:rsidR="00E85C11" w:rsidRPr="00C12B6A">
        <w:t>arguing that “</w:t>
      </w:r>
      <w:r w:rsidR="00802733" w:rsidRPr="00C12B6A">
        <w:t>[</w:t>
      </w:r>
      <w:proofErr w:type="spellStart"/>
      <w:r w:rsidR="00802733" w:rsidRPr="00C12B6A">
        <w:rPr>
          <w:i/>
        </w:rPr>
        <w:t>i</w:t>
      </w:r>
      <w:proofErr w:type="spellEnd"/>
      <w:r w:rsidR="00802733" w:rsidRPr="00C12B6A">
        <w:t>]</w:t>
      </w:r>
      <w:r w:rsidR="00E85C11" w:rsidRPr="00C12B6A">
        <w:rPr>
          <w:i/>
        </w:rPr>
        <w:t>f the decisions below stand, they can only significantly undermine State authority to ensure reliable electric service and invite countless inefficient lawsuits over related State programs that have a similar impact</w:t>
      </w:r>
      <w:r w:rsidR="00815E13" w:rsidRPr="00C12B6A">
        <w:rPr>
          <w:i/>
        </w:rPr>
        <w:t>.</w:t>
      </w:r>
      <w:r w:rsidR="00E85C11" w:rsidRPr="00C12B6A">
        <w:t>”</w:t>
      </w:r>
      <w:r w:rsidR="00815E13" w:rsidRPr="00C12B6A">
        <w:rPr>
          <w:rStyle w:val="FootnoteReference"/>
        </w:rPr>
        <w:footnoteReference w:id="7"/>
      </w:r>
      <w:r w:rsidR="00E85C11" w:rsidRPr="00C12B6A">
        <w:t xml:space="preserve">  </w:t>
      </w:r>
    </w:p>
    <w:p w:rsidR="00864461" w:rsidRPr="00C12B6A" w:rsidRDefault="00E85C11" w:rsidP="00561708">
      <w:pPr>
        <w:pStyle w:val="NoSpacing"/>
        <w:spacing w:line="480" w:lineRule="auto"/>
      </w:pPr>
      <w:r w:rsidRPr="00C12B6A">
        <w:tab/>
        <w:t xml:space="preserve">The timeline for consideration of the </w:t>
      </w:r>
      <w:r w:rsidR="00D04441" w:rsidRPr="00C12B6A">
        <w:t>petitions for</w:t>
      </w:r>
      <w:r w:rsidR="00D04441" w:rsidRPr="00C12B6A">
        <w:rPr>
          <w:i/>
        </w:rPr>
        <w:t xml:space="preserve"> certiorari</w:t>
      </w:r>
      <w:r w:rsidRPr="00C12B6A">
        <w:t xml:space="preserve">, as shown </w:t>
      </w:r>
      <w:r w:rsidR="00135C78" w:rsidRPr="00C12B6A">
        <w:t>in the attached Appendix A</w:t>
      </w:r>
      <w:r w:rsidRPr="00C12B6A">
        <w:t xml:space="preserve">, underscores </w:t>
      </w:r>
      <w:r w:rsidR="002071EB" w:rsidRPr="00C12B6A">
        <w:t xml:space="preserve">the reasons for </w:t>
      </w:r>
      <w:proofErr w:type="spellStart"/>
      <w:r w:rsidR="002071EB" w:rsidRPr="00C12B6A">
        <w:t>CPV</w:t>
      </w:r>
      <w:proofErr w:type="spellEnd"/>
      <w:r w:rsidR="002071EB" w:rsidRPr="00C12B6A">
        <w:t xml:space="preserve"> Shore’s </w:t>
      </w:r>
      <w:r w:rsidR="00D04441" w:rsidRPr="00C12B6A">
        <w:t>motion to intervene out of time</w:t>
      </w:r>
      <w:r w:rsidR="002071EB" w:rsidRPr="00C12B6A">
        <w:t xml:space="preserve">.  The States, </w:t>
      </w:r>
      <w:proofErr w:type="spellStart"/>
      <w:r w:rsidR="002071EB" w:rsidRPr="00C12B6A">
        <w:t>CPV</w:t>
      </w:r>
      <w:proofErr w:type="spellEnd"/>
      <w:r w:rsidR="001D2335" w:rsidRPr="00C12B6A">
        <w:t xml:space="preserve">, </w:t>
      </w:r>
      <w:proofErr w:type="spellStart"/>
      <w:r w:rsidR="001D2335" w:rsidRPr="00C12B6A">
        <w:t>NARUC</w:t>
      </w:r>
      <w:proofErr w:type="spellEnd"/>
      <w:r w:rsidR="002071EB" w:rsidRPr="00C12B6A">
        <w:t xml:space="preserve"> and numerous</w:t>
      </w:r>
      <w:r w:rsidR="001D2335" w:rsidRPr="00C12B6A">
        <w:t xml:space="preserve"> other</w:t>
      </w:r>
      <w:r w:rsidR="002071EB" w:rsidRPr="00C12B6A">
        <w:t xml:space="preserve"> </w:t>
      </w:r>
      <w:r w:rsidR="002071EB" w:rsidRPr="00C12B6A">
        <w:rPr>
          <w:i/>
        </w:rPr>
        <w:t>amici curiae</w:t>
      </w:r>
      <w:r w:rsidR="001D2335" w:rsidRPr="00C12B6A">
        <w:rPr>
          <w:i/>
        </w:rPr>
        <w:t xml:space="preserve"> </w:t>
      </w:r>
      <w:r w:rsidR="00DE1CBA" w:rsidRPr="00C12B6A">
        <w:t xml:space="preserve">recently </w:t>
      </w:r>
      <w:r w:rsidR="001D2335" w:rsidRPr="00C12B6A">
        <w:t xml:space="preserve">filed their initial briefs.  Briefs in opposition to the </w:t>
      </w:r>
      <w:r w:rsidR="00802733" w:rsidRPr="00C12B6A">
        <w:rPr>
          <w:i/>
        </w:rPr>
        <w:t>certiorari</w:t>
      </w:r>
      <w:r w:rsidR="001D2335" w:rsidRPr="00C12B6A">
        <w:t xml:space="preserve"> petition are due on February </w:t>
      </w:r>
      <w:r w:rsidR="00815E13" w:rsidRPr="00C12B6A">
        <w:t>11</w:t>
      </w:r>
      <w:r w:rsidR="001D2335" w:rsidRPr="00C12B6A">
        <w:t xml:space="preserve">, </w:t>
      </w:r>
      <w:r w:rsidR="00815E13" w:rsidRPr="00C12B6A">
        <w:t xml:space="preserve">2015, </w:t>
      </w:r>
      <w:r w:rsidR="001D2335" w:rsidRPr="00C12B6A">
        <w:t xml:space="preserve">and reply briefs are due on February </w:t>
      </w:r>
      <w:r w:rsidR="00815E13" w:rsidRPr="00C12B6A">
        <w:t>25, 2015</w:t>
      </w:r>
      <w:r w:rsidR="001D2335" w:rsidRPr="00C12B6A">
        <w:t xml:space="preserve">.  The petitions are unlikely to be taken by the Court until late in the year.  In short, these are live, pending disputes that should provide </w:t>
      </w:r>
      <w:r w:rsidR="007B19E2" w:rsidRPr="00C12B6A">
        <w:t xml:space="preserve">some </w:t>
      </w:r>
      <w:r w:rsidR="001D2335" w:rsidRPr="00C12B6A">
        <w:t xml:space="preserve">clarity to all stakeholders in the </w:t>
      </w:r>
      <w:proofErr w:type="spellStart"/>
      <w:r w:rsidR="001D2335" w:rsidRPr="00C12B6A">
        <w:t>PJM</w:t>
      </w:r>
      <w:proofErr w:type="spellEnd"/>
      <w:r w:rsidR="001D2335" w:rsidRPr="00C12B6A">
        <w:t xml:space="preserve"> as to </w:t>
      </w:r>
      <w:r w:rsidR="007B19E2" w:rsidRPr="00C12B6A">
        <w:t xml:space="preserve">permissible forms of State support for generation that participates in the </w:t>
      </w:r>
      <w:proofErr w:type="spellStart"/>
      <w:r w:rsidR="007B19E2" w:rsidRPr="00C12B6A">
        <w:t>PJM</w:t>
      </w:r>
      <w:proofErr w:type="spellEnd"/>
      <w:r w:rsidR="007B19E2" w:rsidRPr="00C12B6A">
        <w:t xml:space="preserve"> markets – even if </w:t>
      </w:r>
      <w:r w:rsidR="00D04441" w:rsidRPr="00C12B6A">
        <w:t>the petitions for</w:t>
      </w:r>
      <w:r w:rsidR="00D04441" w:rsidRPr="00C12B6A">
        <w:rPr>
          <w:i/>
        </w:rPr>
        <w:t xml:space="preserve"> certiorari</w:t>
      </w:r>
      <w:r w:rsidR="007B19E2" w:rsidRPr="00C12B6A">
        <w:t xml:space="preserve"> </w:t>
      </w:r>
      <w:r w:rsidR="00D04441" w:rsidRPr="00C12B6A">
        <w:t>are</w:t>
      </w:r>
      <w:r w:rsidR="007B19E2" w:rsidRPr="00C12B6A">
        <w:t xml:space="preserve"> denied.  </w:t>
      </w:r>
      <w:r w:rsidR="00802733" w:rsidRPr="00C12B6A">
        <w:t>T</w:t>
      </w:r>
      <w:r w:rsidR="007B19E2" w:rsidRPr="00C12B6A">
        <w:t xml:space="preserve">he schedule for these petitions was amended several times since the instant docket opened up: first in light of the substantial time gap between the issuance of the Fourth and Third Circuit opinions, and later in order to accommodate the parties’ schedules.  </w:t>
      </w:r>
      <w:r w:rsidR="00864461" w:rsidRPr="00C12B6A">
        <w:t xml:space="preserve">Since the States’ decisions to </w:t>
      </w:r>
      <w:r w:rsidR="008E046E" w:rsidRPr="00C12B6A">
        <w:t>petition for</w:t>
      </w:r>
      <w:r w:rsidR="00864461" w:rsidRPr="00C12B6A">
        <w:t xml:space="preserve"> </w:t>
      </w:r>
      <w:r w:rsidR="00864461" w:rsidRPr="00C12B6A">
        <w:rPr>
          <w:i/>
        </w:rPr>
        <w:t>cert</w:t>
      </w:r>
      <w:r w:rsidR="008E046E" w:rsidRPr="00C12B6A">
        <w:rPr>
          <w:i/>
        </w:rPr>
        <w:t>iorari</w:t>
      </w:r>
      <w:r w:rsidR="00864461" w:rsidRPr="00C12B6A">
        <w:t xml:space="preserve"> in these cases came late in the year, and the schedule was fluid until quite recently, </w:t>
      </w:r>
      <w:proofErr w:type="spellStart"/>
      <w:r w:rsidR="00864461" w:rsidRPr="00C12B6A">
        <w:t>CPV</w:t>
      </w:r>
      <w:proofErr w:type="spellEnd"/>
      <w:r w:rsidR="00864461" w:rsidRPr="00C12B6A">
        <w:t xml:space="preserve"> Shore</w:t>
      </w:r>
      <w:r w:rsidR="008E046E" w:rsidRPr="00C12B6A">
        <w:t>’s interest in</w:t>
      </w:r>
      <w:r w:rsidR="00864461" w:rsidRPr="00C12B6A">
        <w:t xml:space="preserve"> the instant </w:t>
      </w:r>
      <w:r w:rsidR="008E046E" w:rsidRPr="00C12B6A">
        <w:t xml:space="preserve">proceeding was unclear.  </w:t>
      </w:r>
      <w:r w:rsidR="00802733" w:rsidRPr="00C12B6A">
        <w:t>W</w:t>
      </w:r>
      <w:r w:rsidR="00864461" w:rsidRPr="00C12B6A">
        <w:t xml:space="preserve">ith the schedule now resolved, </w:t>
      </w:r>
      <w:proofErr w:type="spellStart"/>
      <w:r w:rsidR="00864461" w:rsidRPr="00C12B6A">
        <w:t>CPV</w:t>
      </w:r>
      <w:proofErr w:type="spellEnd"/>
      <w:r w:rsidR="00864461" w:rsidRPr="00C12B6A">
        <w:t xml:space="preserve"> Shore believes that it will be in a position to “contribute to full development and equitable resolution of the factual issues,” Rule 4901-1-11(b</w:t>
      </w:r>
      <w:proofErr w:type="gramStart"/>
      <w:r w:rsidR="00864461" w:rsidRPr="00C12B6A">
        <w:t>)(</w:t>
      </w:r>
      <w:proofErr w:type="gramEnd"/>
      <w:r w:rsidR="00864461" w:rsidRPr="00C12B6A">
        <w:t>4).</w:t>
      </w:r>
    </w:p>
    <w:p w:rsidR="00E85C11" w:rsidRPr="00C12B6A" w:rsidRDefault="007B19E2" w:rsidP="00864461">
      <w:pPr>
        <w:pStyle w:val="NoSpacing"/>
      </w:pPr>
      <w:r w:rsidRPr="00C12B6A">
        <w:t xml:space="preserve"> </w:t>
      </w:r>
      <w:r w:rsidR="00864461" w:rsidRPr="00C12B6A">
        <w:tab/>
        <w:t>3.</w:t>
      </w:r>
      <w:r w:rsidR="00864461" w:rsidRPr="00C12B6A">
        <w:tab/>
      </w:r>
      <w:proofErr w:type="spellStart"/>
      <w:r w:rsidR="003B2DC6" w:rsidRPr="00C12B6A">
        <w:rPr>
          <w:u w:val="single"/>
        </w:rPr>
        <w:t>CPV</w:t>
      </w:r>
      <w:proofErr w:type="spellEnd"/>
      <w:r w:rsidR="003B2DC6" w:rsidRPr="00C12B6A">
        <w:rPr>
          <w:u w:val="single"/>
        </w:rPr>
        <w:t xml:space="preserve"> Shore has a “real and substantial interest in this proceeding.”</w:t>
      </w:r>
    </w:p>
    <w:p w:rsidR="003B2DC6" w:rsidRPr="00C12B6A" w:rsidRDefault="003B2DC6" w:rsidP="00864461">
      <w:pPr>
        <w:pStyle w:val="NoSpacing"/>
      </w:pPr>
    </w:p>
    <w:p w:rsidR="00713498" w:rsidRPr="00C12B6A" w:rsidRDefault="003B2DC6" w:rsidP="000375B8">
      <w:pPr>
        <w:spacing w:line="480" w:lineRule="auto"/>
      </w:pPr>
      <w:r w:rsidRPr="00C12B6A">
        <w:tab/>
      </w:r>
      <w:r w:rsidR="000375B8" w:rsidRPr="00C12B6A">
        <w:t xml:space="preserve">The Companies’ final argument is that </w:t>
      </w:r>
      <w:proofErr w:type="spellStart"/>
      <w:r w:rsidR="000375B8" w:rsidRPr="00C12B6A">
        <w:t>CPV</w:t>
      </w:r>
      <w:proofErr w:type="spellEnd"/>
      <w:r w:rsidR="000375B8" w:rsidRPr="00C12B6A">
        <w:t xml:space="preserve"> Shore lacks a “real and substantial interest” in this docket because the actual form of power purchase agreement that the Companies would utilize “is not under consideration here” and would in any event “</w:t>
      </w:r>
      <w:proofErr w:type="gramStart"/>
      <w:r w:rsidR="000375B8" w:rsidRPr="00C12B6A">
        <w:t>fall[</w:t>
      </w:r>
      <w:proofErr w:type="gramEnd"/>
      <w:r w:rsidR="000375B8" w:rsidRPr="00C12B6A">
        <w:t xml:space="preserve">..] </w:t>
      </w:r>
      <w:proofErr w:type="gramStart"/>
      <w:r w:rsidR="000375B8" w:rsidRPr="00C12B6A">
        <w:t>under</w:t>
      </w:r>
      <w:proofErr w:type="gramEnd"/>
      <w:r w:rsidR="000375B8" w:rsidRPr="00C12B6A">
        <w:t xml:space="preserve"> the exclusive jurisdiction of the FERC because the proposed </w:t>
      </w:r>
      <w:r w:rsidR="00713498" w:rsidRPr="00C12B6A">
        <w:t xml:space="preserve">transaction would involve the sale of electricity at wholesale.”  </w:t>
      </w:r>
      <w:proofErr w:type="gramStart"/>
      <w:r w:rsidR="00713498" w:rsidRPr="00C12B6A">
        <w:t>Memorandum at 9.</w:t>
      </w:r>
      <w:proofErr w:type="gramEnd"/>
      <w:r w:rsidR="00713498" w:rsidRPr="00C12B6A">
        <w:t xml:space="preserve">  </w:t>
      </w:r>
    </w:p>
    <w:p w:rsidR="003B2DC6" w:rsidRPr="00C12B6A" w:rsidRDefault="00713498" w:rsidP="000375B8">
      <w:pPr>
        <w:spacing w:line="480" w:lineRule="auto"/>
      </w:pPr>
      <w:r w:rsidRPr="00C12B6A">
        <w:tab/>
        <w:t xml:space="preserve">This argument elevates form over substance.  The Companies are seeking the Commission’s approval to enter into a form of agreement that it has not yet filed with the Commission.  Since these agreements would, as proposed, be backstopped by Ohio retail ratepayers, the Companies cannot proceed down this path without the Commission’s approval.  </w:t>
      </w:r>
      <w:r w:rsidR="00802733" w:rsidRPr="00C12B6A">
        <w:t>I</w:t>
      </w:r>
      <w:r w:rsidRPr="00C12B6A">
        <w:t xml:space="preserve">f the Commission </w:t>
      </w:r>
      <w:r w:rsidR="00B46869" w:rsidRPr="00C12B6A">
        <w:t xml:space="preserve">indeed approves the Companies’ </w:t>
      </w:r>
      <w:r w:rsidR="009B3830" w:rsidRPr="00C12B6A">
        <w:t>request, the Companies indicate</w:t>
      </w:r>
      <w:r w:rsidR="00B46869" w:rsidRPr="00C12B6A">
        <w:t xml:space="preserve"> that they would file the as yet undisclosed contracts with FERC, and not the Commission, since they would fall under FERC’s “exclusive jurisdiction.”</w:t>
      </w:r>
      <w:r w:rsidR="00B46869" w:rsidRPr="00C12B6A">
        <w:rPr>
          <w:rStyle w:val="FootnoteReference"/>
        </w:rPr>
        <w:footnoteReference w:id="8"/>
      </w:r>
      <w:r w:rsidR="009B3830" w:rsidRPr="00C12B6A">
        <w:t xml:space="preserve">  For this reason, </w:t>
      </w:r>
      <w:proofErr w:type="spellStart"/>
      <w:r w:rsidR="009B3830" w:rsidRPr="00C12B6A">
        <w:t>CPV</w:t>
      </w:r>
      <w:proofErr w:type="spellEnd"/>
      <w:r w:rsidR="009B3830" w:rsidRPr="00C12B6A">
        <w:t xml:space="preserve"> Shore’s participation in the </w:t>
      </w:r>
      <w:r w:rsidR="008E046E" w:rsidRPr="00C12B6A">
        <w:t xml:space="preserve">proceeding </w:t>
      </w:r>
      <w:r w:rsidR="009B3830" w:rsidRPr="00C12B6A">
        <w:t xml:space="preserve">is in fact needed at this time </w:t>
      </w:r>
      <w:r w:rsidR="00802733" w:rsidRPr="00C12B6A">
        <w:t>because</w:t>
      </w:r>
      <w:r w:rsidR="009B3830" w:rsidRPr="00C12B6A">
        <w:t xml:space="preserve">, by the Companies’ own admission, there will be no future opportunity to address the issue: if the Commission approves Rider RRS, the horse will have left the barn, the Companies will proceed to FERC, and </w:t>
      </w:r>
      <w:proofErr w:type="spellStart"/>
      <w:r w:rsidR="009B3830" w:rsidRPr="00C12B6A">
        <w:t>CPV</w:t>
      </w:r>
      <w:proofErr w:type="spellEnd"/>
      <w:r w:rsidR="009B3830" w:rsidRPr="00C12B6A">
        <w:t xml:space="preserve"> Shore will be denied the chance to address the legality and appropriateness of what the Companies have proposed.</w:t>
      </w:r>
    </w:p>
    <w:p w:rsidR="00A07E26" w:rsidRPr="00C12B6A" w:rsidRDefault="00A07E26" w:rsidP="00A07E26">
      <w:pPr>
        <w:pStyle w:val="BodyText"/>
        <w:spacing w:line="480" w:lineRule="auto"/>
        <w:ind w:firstLine="0"/>
      </w:pPr>
      <w:r w:rsidRPr="00C12B6A">
        <w:tab/>
        <w:t xml:space="preserve">WHEREFORE, </w:t>
      </w:r>
      <w:proofErr w:type="spellStart"/>
      <w:r w:rsidRPr="00C12B6A">
        <w:t>CPV</w:t>
      </w:r>
      <w:proofErr w:type="spellEnd"/>
      <w:r w:rsidRPr="00C12B6A">
        <w:t xml:space="preserve"> Shore respectfully requests that its Motion to Intervene </w:t>
      </w:r>
      <w:proofErr w:type="gramStart"/>
      <w:r w:rsidR="004B5999" w:rsidRPr="00C12B6A">
        <w:t>Out</w:t>
      </w:r>
      <w:proofErr w:type="gramEnd"/>
      <w:r w:rsidR="004B5999" w:rsidRPr="00C12B6A">
        <w:t xml:space="preserve"> of Time </w:t>
      </w:r>
      <w:r w:rsidRPr="00C12B6A">
        <w:t>be granted</w:t>
      </w:r>
      <w:r w:rsidR="0045210D" w:rsidRPr="00C12B6A">
        <w:t xml:space="preserve"> and that it be made a full party of record in this proceeding</w:t>
      </w:r>
      <w:r w:rsidRPr="00C12B6A">
        <w:t>.</w:t>
      </w:r>
    </w:p>
    <w:p w:rsidR="008E402D" w:rsidRPr="00C12B6A" w:rsidRDefault="008E402D" w:rsidP="00A07E26">
      <w:pPr>
        <w:pStyle w:val="BodyText"/>
        <w:spacing w:line="480" w:lineRule="auto"/>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7E26" w:rsidRPr="00C12B6A" w:rsidTr="00B8364B">
        <w:tc>
          <w:tcPr>
            <w:tcW w:w="4788" w:type="dxa"/>
          </w:tcPr>
          <w:p w:rsidR="00A07E26" w:rsidRPr="00C12B6A" w:rsidRDefault="00712C7B" w:rsidP="00B8364B">
            <w:pPr>
              <w:pStyle w:val="BodyText"/>
              <w:ind w:firstLine="0"/>
            </w:pPr>
            <w:r w:rsidRPr="00C12B6A">
              <w:t xml:space="preserve">Dated: </w:t>
            </w:r>
            <w:r w:rsidR="009B3830" w:rsidRPr="00C12B6A">
              <w:t>February 3</w:t>
            </w:r>
            <w:r w:rsidRPr="00C12B6A">
              <w:t>, 2015</w:t>
            </w:r>
          </w:p>
          <w:p w:rsidR="00B8364B" w:rsidRPr="00C12B6A" w:rsidRDefault="00B8364B" w:rsidP="00B8364B">
            <w:pPr>
              <w:pStyle w:val="BodyText"/>
              <w:ind w:firstLine="0"/>
            </w:pPr>
          </w:p>
          <w:p w:rsidR="00B8364B" w:rsidRPr="00C12B6A" w:rsidRDefault="00B8364B" w:rsidP="00B8364B">
            <w:pPr>
              <w:pStyle w:val="BodyText"/>
              <w:ind w:firstLine="0"/>
            </w:pPr>
          </w:p>
          <w:p w:rsidR="00B8364B" w:rsidRPr="00C12B6A" w:rsidRDefault="00B8364B" w:rsidP="00B8364B">
            <w:pPr>
              <w:pStyle w:val="BodyText"/>
              <w:ind w:firstLine="0"/>
            </w:pPr>
          </w:p>
          <w:p w:rsidR="00B8364B" w:rsidRPr="00C12B6A" w:rsidRDefault="00B8364B" w:rsidP="00B8364B">
            <w:pPr>
              <w:pStyle w:val="BodyText"/>
              <w:ind w:firstLine="0"/>
            </w:pPr>
          </w:p>
          <w:p w:rsidR="00B8364B" w:rsidRPr="00C12B6A" w:rsidRDefault="00B8364B" w:rsidP="00B8364B">
            <w:pPr>
              <w:pStyle w:val="BodyText"/>
              <w:ind w:firstLine="0"/>
            </w:pPr>
          </w:p>
          <w:p w:rsidR="00B8364B" w:rsidRPr="00C12B6A" w:rsidRDefault="00B8364B" w:rsidP="00B8364B">
            <w:pPr>
              <w:pStyle w:val="BodyText"/>
              <w:ind w:firstLine="0"/>
            </w:pPr>
          </w:p>
          <w:p w:rsidR="00B8364B" w:rsidRPr="00C12B6A" w:rsidRDefault="00B8364B" w:rsidP="00B8364B">
            <w:pPr>
              <w:pStyle w:val="BodyText"/>
              <w:ind w:firstLine="0"/>
            </w:pPr>
          </w:p>
          <w:p w:rsidR="00B8364B" w:rsidRPr="00C12B6A" w:rsidRDefault="00B8364B" w:rsidP="00B8364B">
            <w:pPr>
              <w:pStyle w:val="BodyText"/>
              <w:ind w:firstLine="0"/>
            </w:pPr>
          </w:p>
          <w:p w:rsidR="00B8364B" w:rsidRPr="00C12B6A" w:rsidRDefault="00B8364B" w:rsidP="00B8364B">
            <w:pPr>
              <w:pStyle w:val="BodyText"/>
              <w:ind w:firstLine="0"/>
            </w:pPr>
          </w:p>
          <w:p w:rsidR="00C955DC" w:rsidRPr="00C12B6A" w:rsidRDefault="00C955DC" w:rsidP="00B8364B">
            <w:pPr>
              <w:pStyle w:val="BodyText"/>
              <w:ind w:firstLine="0"/>
            </w:pPr>
          </w:p>
          <w:p w:rsidR="00C955DC" w:rsidRPr="00C12B6A" w:rsidRDefault="00C955DC" w:rsidP="00B8364B">
            <w:pPr>
              <w:pStyle w:val="BodyText"/>
              <w:ind w:firstLine="0"/>
            </w:pPr>
          </w:p>
          <w:p w:rsidR="00B8364B" w:rsidRPr="00C12B6A" w:rsidRDefault="00B8364B" w:rsidP="00B8364B">
            <w:pPr>
              <w:pStyle w:val="BodyText"/>
              <w:ind w:firstLine="0"/>
            </w:pPr>
          </w:p>
          <w:p w:rsidR="00C12B6A" w:rsidRDefault="00C12B6A" w:rsidP="00B8364B">
            <w:pPr>
              <w:pStyle w:val="BodyText"/>
              <w:ind w:firstLine="0"/>
            </w:pPr>
          </w:p>
          <w:p w:rsidR="00B8364B" w:rsidRPr="00C12B6A" w:rsidRDefault="00B8364B" w:rsidP="00B8364B">
            <w:pPr>
              <w:pStyle w:val="BodyText"/>
              <w:ind w:firstLine="0"/>
            </w:pPr>
            <w:r w:rsidRPr="00C12B6A">
              <w:t>*</w:t>
            </w:r>
            <w:r w:rsidRPr="00C12B6A">
              <w:rPr>
                <w:i/>
              </w:rPr>
              <w:t xml:space="preserve">Pro </w:t>
            </w:r>
            <w:proofErr w:type="spellStart"/>
            <w:r w:rsidRPr="00C12B6A">
              <w:rPr>
                <w:i/>
              </w:rPr>
              <w:t>hac</w:t>
            </w:r>
            <w:proofErr w:type="spellEnd"/>
            <w:r w:rsidRPr="00C12B6A">
              <w:rPr>
                <w:i/>
              </w:rPr>
              <w:t xml:space="preserve"> vice</w:t>
            </w:r>
            <w:r w:rsidRPr="00C12B6A">
              <w:t xml:space="preserve"> motion pending</w:t>
            </w:r>
          </w:p>
        </w:tc>
        <w:tc>
          <w:tcPr>
            <w:tcW w:w="4788" w:type="dxa"/>
          </w:tcPr>
          <w:p w:rsidR="00A07E26" w:rsidRPr="00C12B6A" w:rsidRDefault="00A07E26" w:rsidP="00B8364B">
            <w:pPr>
              <w:pStyle w:val="BodyText"/>
              <w:ind w:firstLine="0"/>
            </w:pPr>
            <w:r w:rsidRPr="00C12B6A">
              <w:t>Respectfully submitted,</w:t>
            </w:r>
          </w:p>
          <w:p w:rsidR="00A07E26" w:rsidRPr="00C12B6A" w:rsidRDefault="00A07E26" w:rsidP="00B8364B">
            <w:pPr>
              <w:pStyle w:val="BodyText"/>
              <w:ind w:firstLine="0"/>
            </w:pPr>
          </w:p>
          <w:p w:rsidR="00712C7B" w:rsidRPr="00C12B6A" w:rsidRDefault="00712C7B" w:rsidP="00B8364B">
            <w:pPr>
              <w:pStyle w:val="BodyText"/>
              <w:ind w:firstLine="0"/>
            </w:pPr>
          </w:p>
          <w:p w:rsidR="00A07E26" w:rsidRPr="00C12B6A" w:rsidRDefault="00FA5110" w:rsidP="00B8364B">
            <w:pPr>
              <w:pStyle w:val="BodyText"/>
              <w:ind w:firstLine="0"/>
              <w:rPr>
                <w:u w:val="single"/>
              </w:rPr>
            </w:pPr>
            <w:r w:rsidRPr="00C12B6A">
              <w:rPr>
                <w:u w:val="single"/>
              </w:rPr>
              <w:t>______________________</w:t>
            </w:r>
          </w:p>
          <w:p w:rsidR="00A07E26" w:rsidRPr="00C12B6A" w:rsidRDefault="00A07E26" w:rsidP="00B8364B">
            <w:pPr>
              <w:pStyle w:val="BodyText"/>
              <w:ind w:firstLine="0"/>
            </w:pPr>
            <w:r w:rsidRPr="00C12B6A">
              <w:t>Daniel W. Wolff</w:t>
            </w:r>
            <w:r w:rsidR="00B8364B" w:rsidRPr="00C12B6A">
              <w:t xml:space="preserve"> (#0074168)</w:t>
            </w:r>
          </w:p>
          <w:p w:rsidR="00B8364B" w:rsidRPr="00C12B6A" w:rsidRDefault="00B8364B" w:rsidP="00B8364B">
            <w:pPr>
              <w:pStyle w:val="BodyText"/>
              <w:ind w:firstLine="0"/>
            </w:pPr>
            <w:r w:rsidRPr="00C12B6A">
              <w:t>R</w:t>
            </w:r>
            <w:r w:rsidR="00EE0179" w:rsidRPr="00C12B6A">
              <w:t>ichard Lehfeldt* (</w:t>
            </w:r>
            <w:proofErr w:type="spellStart"/>
            <w:r w:rsidR="00EE0179" w:rsidRPr="00C12B6A">
              <w:t>PHV</w:t>
            </w:r>
            <w:proofErr w:type="spellEnd"/>
            <w:r w:rsidR="00EE0179" w:rsidRPr="00C12B6A">
              <w:t xml:space="preserve"> #2651-2015</w:t>
            </w:r>
            <w:r w:rsidRPr="00C12B6A">
              <w:t>)</w:t>
            </w:r>
          </w:p>
          <w:p w:rsidR="00A07E26" w:rsidRPr="00C12B6A" w:rsidRDefault="00A07E26" w:rsidP="00B8364B">
            <w:pPr>
              <w:pStyle w:val="BodyText"/>
              <w:ind w:firstLine="0"/>
            </w:pPr>
            <w:r w:rsidRPr="00C12B6A">
              <w:t>Crowell &amp; Moring LLP</w:t>
            </w:r>
          </w:p>
          <w:p w:rsidR="00A07E26" w:rsidRPr="00C12B6A" w:rsidRDefault="00A07E26" w:rsidP="00B8364B">
            <w:pPr>
              <w:pStyle w:val="BodyText"/>
              <w:ind w:firstLine="0"/>
            </w:pPr>
            <w:r w:rsidRPr="00C12B6A">
              <w:t>1001 Pennsylvania Ave., N.W.</w:t>
            </w:r>
          </w:p>
          <w:p w:rsidR="00A07E26" w:rsidRPr="00C12B6A" w:rsidRDefault="00A07E26" w:rsidP="00B8364B">
            <w:pPr>
              <w:pStyle w:val="BodyText"/>
              <w:ind w:firstLine="0"/>
            </w:pPr>
            <w:r w:rsidRPr="00C12B6A">
              <w:t>Washington, DC  20004</w:t>
            </w:r>
          </w:p>
          <w:p w:rsidR="00A07E26" w:rsidRPr="00C12B6A" w:rsidRDefault="00A07E26" w:rsidP="00B8364B">
            <w:pPr>
              <w:pStyle w:val="BodyText"/>
              <w:ind w:firstLine="0"/>
            </w:pPr>
            <w:r w:rsidRPr="00C12B6A">
              <w:t>Tel: (202) 624-2621</w:t>
            </w:r>
          </w:p>
          <w:p w:rsidR="00A07E26" w:rsidRPr="00C12B6A" w:rsidRDefault="00A07E26" w:rsidP="00B8364B">
            <w:pPr>
              <w:pStyle w:val="BodyText"/>
              <w:ind w:firstLine="0"/>
            </w:pPr>
            <w:r w:rsidRPr="00C12B6A">
              <w:t>Fax: (202) 624-5116</w:t>
            </w:r>
          </w:p>
          <w:p w:rsidR="00C955DC" w:rsidRPr="00C12B6A" w:rsidRDefault="00C955DC" w:rsidP="00B8364B">
            <w:pPr>
              <w:pStyle w:val="BodyText"/>
              <w:ind w:firstLine="0"/>
            </w:pPr>
            <w:r w:rsidRPr="00C12B6A">
              <w:t>dwolff@crowell.com</w:t>
            </w:r>
          </w:p>
          <w:p w:rsidR="00C955DC" w:rsidRPr="00C12B6A" w:rsidRDefault="00C955DC" w:rsidP="00B8364B">
            <w:pPr>
              <w:pStyle w:val="BodyText"/>
              <w:ind w:firstLine="0"/>
            </w:pPr>
            <w:r w:rsidRPr="00C12B6A">
              <w:t>rlehfeldt@crowell.com</w:t>
            </w:r>
          </w:p>
          <w:p w:rsidR="00A07E26" w:rsidRPr="00C12B6A" w:rsidRDefault="00A07E26" w:rsidP="00B8364B">
            <w:pPr>
              <w:pStyle w:val="BodyText"/>
              <w:ind w:firstLine="0"/>
            </w:pPr>
          </w:p>
          <w:p w:rsidR="00A07E26" w:rsidRPr="00C12B6A" w:rsidRDefault="00A07E26" w:rsidP="00B8364B">
            <w:pPr>
              <w:pStyle w:val="BodyText"/>
              <w:ind w:firstLine="0"/>
              <w:rPr>
                <w:i/>
              </w:rPr>
            </w:pPr>
            <w:r w:rsidRPr="00C12B6A">
              <w:rPr>
                <w:i/>
              </w:rPr>
              <w:t xml:space="preserve">Counsel for </w:t>
            </w:r>
            <w:proofErr w:type="spellStart"/>
            <w:r w:rsidRPr="00C12B6A">
              <w:rPr>
                <w:i/>
              </w:rPr>
              <w:t>CPV</w:t>
            </w:r>
            <w:proofErr w:type="spellEnd"/>
            <w:r w:rsidRPr="00C12B6A">
              <w:rPr>
                <w:i/>
              </w:rPr>
              <w:t xml:space="preserve"> Shore, LLC</w:t>
            </w:r>
          </w:p>
        </w:tc>
      </w:tr>
    </w:tbl>
    <w:p w:rsidR="000D16EE" w:rsidRPr="00C12B6A" w:rsidRDefault="000D16EE" w:rsidP="009B3830">
      <w:pPr>
        <w:pStyle w:val="BodyText"/>
        <w:spacing w:line="480" w:lineRule="auto"/>
        <w:ind w:firstLine="0"/>
      </w:pPr>
    </w:p>
    <w:sectPr w:rsidR="000D16EE" w:rsidRPr="00C12B6A">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77" w:rsidRDefault="00023A77" w:rsidP="000B75D1">
      <w:r>
        <w:separator/>
      </w:r>
    </w:p>
  </w:endnote>
  <w:endnote w:type="continuationSeparator" w:id="0">
    <w:p w:rsidR="00023A77" w:rsidRDefault="00023A77" w:rsidP="000B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8A" w:rsidRDefault="004B5999">
    <w:pPr>
      <w:pStyle w:val="DocID"/>
      <w:jc w:val="center"/>
      <w:rPr>
        <w:noProof/>
      </w:rPr>
    </w:pPr>
    <w:r>
      <w:fldChar w:fldCharType="begin"/>
    </w:r>
    <w:r>
      <w:instrText xml:space="preserve"> PAGE   \* MERGEFORMAT </w:instrText>
    </w:r>
    <w:r>
      <w:fldChar w:fldCharType="separate"/>
    </w:r>
    <w:r w:rsidR="00FA0E0F">
      <w:rPr>
        <w:noProof/>
      </w:rPr>
      <w:t>1</w:t>
    </w:r>
    <w:r>
      <w:rPr>
        <w:noProof/>
      </w:rPr>
      <w:fldChar w:fldCharType="end"/>
    </w:r>
  </w:p>
  <w:p w:rsidR="00FE5738" w:rsidRDefault="00FE5738" w:rsidP="005551D1">
    <w:pPr>
      <w:pStyle w:val="DocID"/>
    </w:pPr>
  </w:p>
  <w:p w:rsidR="0012427A" w:rsidRPr="0012427A" w:rsidRDefault="0012427A" w:rsidP="0012427A">
    <w:pPr>
      <w:pStyle w:val="DocID"/>
    </w:pPr>
    <w:r>
      <w:fldChar w:fldCharType="begin"/>
    </w:r>
    <w:r>
      <w:instrText xml:space="preserve"> IF </w:instrText>
    </w:r>
    <w:r>
      <w:fldChar w:fldCharType="begin"/>
    </w:r>
    <w:r>
      <w:instrText xml:space="preserve"> 1 </w:instrText>
    </w:r>
    <w:r>
      <w:fldChar w:fldCharType="end"/>
    </w:r>
    <w:r>
      <w:instrText xml:space="preserve"> = </w:instrText>
    </w:r>
    <w:r>
      <w:fldChar w:fldCharType="begin"/>
    </w:r>
    <w:r>
      <w:instrText xml:space="preserve"> 1 </w:instrText>
    </w:r>
    <w:r>
      <w:fldChar w:fldCharType="end"/>
    </w:r>
    <w:r>
      <w:instrText xml:space="preserve"> </w:instrText>
    </w:r>
    <w:fldSimple w:instr=" DOCPROPERTY &quot;DocID&quot; ">
      <w:r w:rsidR="00FA0E0F">
        <w:instrText>DCACTIVE-30460918.3</w:instrText>
      </w:r>
    </w:fldSimple>
    <w:r>
      <w:fldChar w:fldCharType="separate"/>
    </w:r>
    <w:r w:rsidR="00FA0E0F">
      <w:rPr>
        <w:noProof/>
      </w:rPr>
      <w:t>DCACTIVE-30460918.3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77" w:rsidRDefault="00023A77" w:rsidP="000B75D1">
      <w:r>
        <w:separator/>
      </w:r>
    </w:p>
  </w:footnote>
  <w:footnote w:type="continuationSeparator" w:id="0">
    <w:p w:rsidR="00023A77" w:rsidRPr="000B75D1" w:rsidRDefault="00023A77" w:rsidP="000B75D1">
      <w:pPr>
        <w:pStyle w:val="Footer"/>
      </w:pPr>
      <w:r>
        <w:t>________________________</w:t>
      </w:r>
    </w:p>
  </w:footnote>
  <w:footnote w:type="continuationNotice" w:id="1">
    <w:p w:rsidR="00023A77" w:rsidRPr="000B75D1" w:rsidRDefault="00023A77" w:rsidP="000B75D1">
      <w:pPr>
        <w:pStyle w:val="Footer"/>
      </w:pPr>
      <w:r>
        <w:t>(Continued...)</w:t>
      </w:r>
    </w:p>
  </w:footnote>
  <w:footnote w:id="2">
    <w:p w:rsidR="00A05207" w:rsidRDefault="00A05207" w:rsidP="00714A9E">
      <w:pPr>
        <w:pStyle w:val="FootnoteText"/>
        <w:spacing w:after="120"/>
        <w:ind w:firstLine="0"/>
      </w:pPr>
      <w:r>
        <w:rPr>
          <w:rStyle w:val="FootnoteReference"/>
        </w:rPr>
        <w:footnoteRef/>
      </w:r>
      <w:r w:rsidRPr="007352D6">
        <w:t xml:space="preserve"> </w:t>
      </w:r>
      <w:proofErr w:type="spellStart"/>
      <w:r w:rsidR="007352D6" w:rsidRPr="007352D6">
        <w:rPr>
          <w:i/>
        </w:rPr>
        <w:t>PPL</w:t>
      </w:r>
      <w:proofErr w:type="spellEnd"/>
      <w:r w:rsidR="007352D6" w:rsidRPr="007352D6">
        <w:rPr>
          <w:i/>
        </w:rPr>
        <w:t xml:space="preserve"> </w:t>
      </w:r>
      <w:proofErr w:type="spellStart"/>
      <w:r w:rsidR="007352D6" w:rsidRPr="007352D6">
        <w:rPr>
          <w:i/>
        </w:rPr>
        <w:t>EnergyPlus</w:t>
      </w:r>
      <w:proofErr w:type="spellEnd"/>
      <w:r w:rsidR="007352D6" w:rsidRPr="007352D6">
        <w:rPr>
          <w:i/>
        </w:rPr>
        <w:t>, LLC v. Solomon</w:t>
      </w:r>
      <w:r w:rsidR="007352D6" w:rsidRPr="007352D6">
        <w:t>,</w:t>
      </w:r>
      <w:r w:rsidR="00C20361">
        <w:t xml:space="preserve"> 977 </w:t>
      </w:r>
      <w:proofErr w:type="spellStart"/>
      <w:r w:rsidR="00C20361">
        <w:t>F.Supp.2d</w:t>
      </w:r>
      <w:proofErr w:type="spellEnd"/>
      <w:r w:rsidR="00C20361">
        <w:t xml:space="preserve"> 372 (</w:t>
      </w:r>
      <w:proofErr w:type="spellStart"/>
      <w:r w:rsidR="00C20361">
        <w:t>D.N.J</w:t>
      </w:r>
      <w:proofErr w:type="spellEnd"/>
      <w:r w:rsidR="00C20361">
        <w:t xml:space="preserve">. 2013), </w:t>
      </w:r>
      <w:proofErr w:type="spellStart"/>
      <w:r w:rsidR="00C20361" w:rsidRPr="00C20361">
        <w:rPr>
          <w:i/>
        </w:rPr>
        <w:t>aff’d</w:t>
      </w:r>
      <w:proofErr w:type="spellEnd"/>
      <w:r w:rsidR="00C20361">
        <w:t xml:space="preserve">, </w:t>
      </w:r>
      <w:r w:rsidR="007352D6" w:rsidRPr="007352D6">
        <w:t xml:space="preserve">766 </w:t>
      </w:r>
      <w:proofErr w:type="spellStart"/>
      <w:r w:rsidR="007352D6" w:rsidRPr="007352D6">
        <w:t>F.3d</w:t>
      </w:r>
      <w:proofErr w:type="spellEnd"/>
      <w:r w:rsidR="007352D6" w:rsidRPr="007352D6">
        <w:t xml:space="preserve"> 241 (</w:t>
      </w:r>
      <w:r w:rsidR="00C20361">
        <w:t>3rd</w:t>
      </w:r>
      <w:r w:rsidR="007352D6" w:rsidRPr="007352D6">
        <w:t xml:space="preserve"> Cir. 2</w:t>
      </w:r>
      <w:r w:rsidR="007352D6">
        <w:t>014)</w:t>
      </w:r>
      <w:r w:rsidR="00C20361">
        <w:t xml:space="preserve">, </w:t>
      </w:r>
      <w:r w:rsidR="00C20361" w:rsidRPr="00286FE1">
        <w:rPr>
          <w:i/>
        </w:rPr>
        <w:t>cert filed</w:t>
      </w:r>
      <w:r w:rsidR="00C20361">
        <w:t>,</w:t>
      </w:r>
      <w:r w:rsidR="00286FE1">
        <w:t xml:space="preserve"> No. 14-634 (filed Nov. 26, 201</w:t>
      </w:r>
      <w:r w:rsidR="00C12B6A">
        <w:t>4</w:t>
      </w:r>
      <w:r w:rsidR="00286FE1">
        <w:t>)</w:t>
      </w:r>
      <w:proofErr w:type="gramStart"/>
      <w:r w:rsidR="00286FE1">
        <w:t xml:space="preserve">; </w:t>
      </w:r>
      <w:r w:rsidR="00C20361">
        <w:t xml:space="preserve"> </w:t>
      </w:r>
      <w:proofErr w:type="spellStart"/>
      <w:r w:rsidR="00286FE1" w:rsidRPr="00286FE1">
        <w:rPr>
          <w:i/>
        </w:rPr>
        <w:t>PPL</w:t>
      </w:r>
      <w:proofErr w:type="spellEnd"/>
      <w:proofErr w:type="gramEnd"/>
      <w:r w:rsidR="00286FE1" w:rsidRPr="00286FE1">
        <w:rPr>
          <w:i/>
        </w:rPr>
        <w:t xml:space="preserve"> </w:t>
      </w:r>
      <w:proofErr w:type="spellStart"/>
      <w:r w:rsidR="00286FE1" w:rsidRPr="00286FE1">
        <w:rPr>
          <w:i/>
        </w:rPr>
        <w:t>EnergyPlus</w:t>
      </w:r>
      <w:proofErr w:type="spellEnd"/>
      <w:r w:rsidR="00286FE1" w:rsidRPr="00286FE1">
        <w:rPr>
          <w:i/>
        </w:rPr>
        <w:t xml:space="preserve">, LLC v. </w:t>
      </w:r>
      <w:proofErr w:type="spellStart"/>
      <w:r w:rsidR="00286FE1" w:rsidRPr="00286FE1">
        <w:rPr>
          <w:i/>
        </w:rPr>
        <w:t>Nazarian</w:t>
      </w:r>
      <w:proofErr w:type="spellEnd"/>
      <w:r w:rsidR="00286FE1">
        <w:t xml:space="preserve">, 974 </w:t>
      </w:r>
      <w:proofErr w:type="spellStart"/>
      <w:r w:rsidR="00286FE1">
        <w:t>F.Supp.2d</w:t>
      </w:r>
      <w:proofErr w:type="spellEnd"/>
      <w:r w:rsidR="00286FE1">
        <w:t xml:space="preserve"> 790 (D. Md. 2013), </w:t>
      </w:r>
      <w:proofErr w:type="spellStart"/>
      <w:r w:rsidR="00286FE1" w:rsidRPr="00286FE1">
        <w:rPr>
          <w:i/>
        </w:rPr>
        <w:t>aff’d</w:t>
      </w:r>
      <w:proofErr w:type="spellEnd"/>
      <w:r w:rsidR="00286FE1">
        <w:t xml:space="preserve">, 753 </w:t>
      </w:r>
      <w:proofErr w:type="spellStart"/>
      <w:r w:rsidR="00286FE1">
        <w:t>F.3d</w:t>
      </w:r>
      <w:proofErr w:type="spellEnd"/>
      <w:r w:rsidR="00286FE1">
        <w:t xml:space="preserve"> 467 (4th Cir. 2014), </w:t>
      </w:r>
      <w:r w:rsidR="00286FE1" w:rsidRPr="00286FE1">
        <w:rPr>
          <w:i/>
        </w:rPr>
        <w:t>cert filed</w:t>
      </w:r>
      <w:r w:rsidR="00286FE1">
        <w:t>, No. 14-623</w:t>
      </w:r>
      <w:r w:rsidR="00C12B6A">
        <w:t xml:space="preserve"> </w:t>
      </w:r>
      <w:r w:rsidR="00C12B6A">
        <w:t>(filed Nov. 26, 2014)</w:t>
      </w:r>
      <w:r w:rsidR="00286FE1">
        <w:t>.</w:t>
      </w:r>
    </w:p>
  </w:footnote>
  <w:footnote w:id="3">
    <w:p w:rsidR="00DE5B89" w:rsidRDefault="00DE5B89" w:rsidP="00714A9E">
      <w:pPr>
        <w:pStyle w:val="FootnoteText"/>
        <w:spacing w:after="120"/>
        <w:ind w:firstLine="0"/>
      </w:pPr>
      <w:r>
        <w:rPr>
          <w:rStyle w:val="FootnoteReference"/>
        </w:rPr>
        <w:footnoteRef/>
      </w:r>
      <w:r>
        <w:t xml:space="preserve"> Neither </w:t>
      </w:r>
      <w:proofErr w:type="spellStart"/>
      <w:r>
        <w:t>CPV</w:t>
      </w:r>
      <w:proofErr w:type="spellEnd"/>
      <w:r>
        <w:t xml:space="preserve"> Shore nor its affiliates are members of either group.</w:t>
      </w:r>
    </w:p>
  </w:footnote>
  <w:footnote w:id="4">
    <w:p w:rsidR="00DE5B89" w:rsidRDefault="00DE5B89" w:rsidP="00714A9E">
      <w:pPr>
        <w:pStyle w:val="FootnoteText"/>
        <w:spacing w:after="120"/>
        <w:ind w:firstLine="0"/>
      </w:pPr>
      <w:r>
        <w:rPr>
          <w:rStyle w:val="FootnoteReference"/>
        </w:rPr>
        <w:footnoteRef/>
      </w:r>
      <w:r>
        <w:t xml:space="preserve"> Th</w:t>
      </w:r>
      <w:r w:rsidR="001A4415">
        <w:t xml:space="preserve">e </w:t>
      </w:r>
      <w:r w:rsidR="001A4415" w:rsidRPr="00AF4657">
        <w:rPr>
          <w:i/>
        </w:rPr>
        <w:t>amicus</w:t>
      </w:r>
      <w:r w:rsidR="001A4415">
        <w:t xml:space="preserve"> brief was filed on behalf of both </w:t>
      </w:r>
      <w:proofErr w:type="spellStart"/>
      <w:r w:rsidR="001A4415">
        <w:t>EPSA</w:t>
      </w:r>
      <w:proofErr w:type="spellEnd"/>
      <w:r w:rsidR="001A4415">
        <w:t xml:space="preserve"> and the Edison Electric Institute (“</w:t>
      </w:r>
      <w:proofErr w:type="spellStart"/>
      <w:r w:rsidR="001A4415">
        <w:t>EEI</w:t>
      </w:r>
      <w:proofErr w:type="spellEnd"/>
      <w:r w:rsidR="001A4415">
        <w:t xml:space="preserve">”).  On information and belief, FirstEnergy and / or the Companies are members of </w:t>
      </w:r>
      <w:proofErr w:type="spellStart"/>
      <w:r w:rsidR="001A4415">
        <w:t>EEI</w:t>
      </w:r>
      <w:proofErr w:type="spellEnd"/>
      <w:r w:rsidR="001A4415">
        <w:t>.</w:t>
      </w:r>
    </w:p>
  </w:footnote>
  <w:footnote w:id="5">
    <w:p w:rsidR="005F4665" w:rsidRDefault="005F4665" w:rsidP="00714A9E">
      <w:pPr>
        <w:pStyle w:val="FootnoteText"/>
        <w:spacing w:after="120"/>
        <w:ind w:firstLine="0"/>
      </w:pPr>
      <w:r>
        <w:rPr>
          <w:rStyle w:val="FootnoteReference"/>
        </w:rPr>
        <w:footnoteRef/>
      </w:r>
      <w:r>
        <w:t xml:space="preserve"> Brief of the Electric Power Supply Association and the Edison Electric Institute as Amici Curiae in Support of Appellees, Nos. 13-2419 </w:t>
      </w:r>
      <w:r w:rsidRPr="008E3595">
        <w:rPr>
          <w:i/>
        </w:rPr>
        <w:t>et al</w:t>
      </w:r>
      <w:r>
        <w:t xml:space="preserve">. </w:t>
      </w:r>
      <w:r w:rsidR="00815E13">
        <w:t xml:space="preserve">at 12 </w:t>
      </w:r>
      <w:r>
        <w:t>(Fourth Cir</w:t>
      </w:r>
      <w:r w:rsidR="008E3595">
        <w:t>. filed Mar. 17, 2014).</w:t>
      </w:r>
    </w:p>
  </w:footnote>
  <w:footnote w:id="6">
    <w:p w:rsidR="008E3595" w:rsidRDefault="008E3595" w:rsidP="00714A9E">
      <w:pPr>
        <w:pStyle w:val="FootnoteText"/>
        <w:tabs>
          <w:tab w:val="left" w:pos="5760"/>
        </w:tabs>
        <w:spacing w:after="120"/>
        <w:ind w:firstLine="0"/>
      </w:pPr>
      <w:r>
        <w:rPr>
          <w:rStyle w:val="FootnoteReference"/>
        </w:rPr>
        <w:footnoteRef/>
      </w:r>
      <w:r>
        <w:t xml:space="preserve"> Comments of </w:t>
      </w:r>
      <w:proofErr w:type="spellStart"/>
      <w:r>
        <w:t>PJM</w:t>
      </w:r>
      <w:proofErr w:type="spellEnd"/>
      <w:r>
        <w:t xml:space="preserve"> Power Providers Group, </w:t>
      </w:r>
      <w:r w:rsidR="007203A7">
        <w:t>Case No. 9214 (</w:t>
      </w:r>
      <w:r>
        <w:t xml:space="preserve">Maryland </w:t>
      </w:r>
      <w:proofErr w:type="spellStart"/>
      <w:r w:rsidR="007203A7">
        <w:t>PSC</w:t>
      </w:r>
      <w:proofErr w:type="spellEnd"/>
      <w:r w:rsidR="007203A7">
        <w:t xml:space="preserve"> filed Jan. 11, 2010).</w:t>
      </w:r>
      <w:r>
        <w:t xml:space="preserve"> </w:t>
      </w:r>
    </w:p>
  </w:footnote>
  <w:footnote w:id="7">
    <w:p w:rsidR="00815E13" w:rsidRDefault="00815E13" w:rsidP="00714A9E">
      <w:pPr>
        <w:pStyle w:val="FootnoteText"/>
        <w:spacing w:after="120"/>
        <w:ind w:firstLine="0"/>
      </w:pPr>
      <w:r>
        <w:rPr>
          <w:rStyle w:val="FootnoteReference"/>
        </w:rPr>
        <w:footnoteRef/>
      </w:r>
      <w:r>
        <w:t xml:space="preserve"> Brief of Amicus Curiae National Association of Regulatory Utility Commissioners in Support of Petitioners, Nos. 14-634 </w:t>
      </w:r>
      <w:r w:rsidRPr="00AF4657">
        <w:rPr>
          <w:i/>
        </w:rPr>
        <w:t>et al</w:t>
      </w:r>
      <w:r>
        <w:t xml:space="preserve">. at 4 (U.S. Supreme Court filed Dec. 24, 2014) </w:t>
      </w:r>
      <w:r w:rsidRPr="00815E13">
        <w:t>(emphasis in original)</w:t>
      </w:r>
      <w:r>
        <w:t>.</w:t>
      </w:r>
    </w:p>
  </w:footnote>
  <w:footnote w:id="8">
    <w:p w:rsidR="00B46869" w:rsidRDefault="00B46869" w:rsidP="00714A9E">
      <w:pPr>
        <w:pStyle w:val="FootnoteText"/>
        <w:spacing w:after="120"/>
        <w:ind w:firstLine="0"/>
      </w:pPr>
      <w:r>
        <w:rPr>
          <w:rStyle w:val="FootnoteReference"/>
        </w:rPr>
        <w:footnoteRef/>
      </w:r>
      <w:r>
        <w:t xml:space="preserve"> </w:t>
      </w:r>
      <w:r w:rsidR="00DE1CBA">
        <w:t xml:space="preserve">Of course, </w:t>
      </w:r>
      <w:r>
        <w:t xml:space="preserve">FERC alone -- not the Companies – has the authority to determine whether a contract is FERC jurisdictional.  </w:t>
      </w:r>
      <w:r w:rsidR="009B3830">
        <w:t>This, too, is an issue in the appeals pending before the U.S. Supreme Court, notwithstanding the Companies’ view that they are irrelevant to the instant docket.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B61"/>
    <w:multiLevelType w:val="hybridMultilevel"/>
    <w:tmpl w:val="F3C6A2DE"/>
    <w:lvl w:ilvl="0" w:tplc="97FE7EDC">
      <w:start w:val="1"/>
      <w:numFmt w:val="bullet"/>
      <w:pStyle w:val="Bullet-D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C0373E"/>
    <w:multiLevelType w:val="multilevel"/>
    <w:tmpl w:val="E47059F8"/>
    <w:name w:val="zzmpOutIndent||Outine Indent|2|3|1|1|0|0||1|0|0||1|0|0||1|0|0||1|0|0||1|0|0||1|0|0||1|0|0||0|0|0||"/>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2">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EE41E6"/>
    <w:multiLevelType w:val="hybridMultilevel"/>
    <w:tmpl w:val="8A6CF694"/>
    <w:lvl w:ilvl="0" w:tplc="A0A2CD9E">
      <w:start w:val="1"/>
      <w:numFmt w:val="bullet"/>
      <w:pStyle w:val="Bullet-S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 w:name="zzmpFixedCurScheme" w:val="OutIndent"/>
    <w:docVar w:name="zzmpFixedCurScheme_9.0" w:val="2zzmpOutIndent"/>
    <w:docVar w:name="zzmpLTFontsClean" w:val="True"/>
    <w:docVar w:name="zzmpnSession" w:val="0.4202845"/>
    <w:docVar w:name="zzmpOutIndent" w:val="||Outine Indent|2|3|1|1|0|0||1|0|0||1|0|0||1|0|0||1|0|0||1|0|0||1|0|0||1|0|0||0|0|0||"/>
  </w:docVars>
  <w:rsids>
    <w:rsidRoot w:val="00023A77"/>
    <w:rsid w:val="00003115"/>
    <w:rsid w:val="00006A50"/>
    <w:rsid w:val="000140F6"/>
    <w:rsid w:val="00023A77"/>
    <w:rsid w:val="00025075"/>
    <w:rsid w:val="00027252"/>
    <w:rsid w:val="000375B8"/>
    <w:rsid w:val="000579ED"/>
    <w:rsid w:val="0006325E"/>
    <w:rsid w:val="000B75D1"/>
    <w:rsid w:val="000C7CF7"/>
    <w:rsid w:val="000D16EE"/>
    <w:rsid w:val="000D26F1"/>
    <w:rsid w:val="000D6880"/>
    <w:rsid w:val="00121F83"/>
    <w:rsid w:val="0012427A"/>
    <w:rsid w:val="00135C78"/>
    <w:rsid w:val="001A4415"/>
    <w:rsid w:val="001C7555"/>
    <w:rsid w:val="001D2335"/>
    <w:rsid w:val="001E6EC7"/>
    <w:rsid w:val="001F0057"/>
    <w:rsid w:val="002071EB"/>
    <w:rsid w:val="00220723"/>
    <w:rsid w:val="002217E6"/>
    <w:rsid w:val="002534E9"/>
    <w:rsid w:val="00271C41"/>
    <w:rsid w:val="00286FE1"/>
    <w:rsid w:val="00293583"/>
    <w:rsid w:val="002961D9"/>
    <w:rsid w:val="00296CFF"/>
    <w:rsid w:val="002B7E28"/>
    <w:rsid w:val="002D0A75"/>
    <w:rsid w:val="002E1DC9"/>
    <w:rsid w:val="00317DCE"/>
    <w:rsid w:val="003252F3"/>
    <w:rsid w:val="00356BF2"/>
    <w:rsid w:val="00371B76"/>
    <w:rsid w:val="003827D5"/>
    <w:rsid w:val="003853F5"/>
    <w:rsid w:val="003B1D56"/>
    <w:rsid w:val="003B2DC6"/>
    <w:rsid w:val="003C45A0"/>
    <w:rsid w:val="003D009A"/>
    <w:rsid w:val="003E7A55"/>
    <w:rsid w:val="003F7697"/>
    <w:rsid w:val="0045210D"/>
    <w:rsid w:val="00453476"/>
    <w:rsid w:val="004657AA"/>
    <w:rsid w:val="00480DCF"/>
    <w:rsid w:val="00494345"/>
    <w:rsid w:val="004A1DE2"/>
    <w:rsid w:val="004A75E1"/>
    <w:rsid w:val="004B5999"/>
    <w:rsid w:val="004C00DF"/>
    <w:rsid w:val="004E2BD6"/>
    <w:rsid w:val="005131E2"/>
    <w:rsid w:val="00530B23"/>
    <w:rsid w:val="005445EA"/>
    <w:rsid w:val="005551D1"/>
    <w:rsid w:val="00561708"/>
    <w:rsid w:val="0058542D"/>
    <w:rsid w:val="005A0F80"/>
    <w:rsid w:val="005A30C1"/>
    <w:rsid w:val="005B0A26"/>
    <w:rsid w:val="005F4665"/>
    <w:rsid w:val="006259AB"/>
    <w:rsid w:val="0062668E"/>
    <w:rsid w:val="00654937"/>
    <w:rsid w:val="00663537"/>
    <w:rsid w:val="006639D7"/>
    <w:rsid w:val="00672420"/>
    <w:rsid w:val="00672EA6"/>
    <w:rsid w:val="00687686"/>
    <w:rsid w:val="006C56D3"/>
    <w:rsid w:val="006E588A"/>
    <w:rsid w:val="00712C7B"/>
    <w:rsid w:val="00713498"/>
    <w:rsid w:val="00714A9E"/>
    <w:rsid w:val="007203A7"/>
    <w:rsid w:val="007220C4"/>
    <w:rsid w:val="00727A89"/>
    <w:rsid w:val="007352D6"/>
    <w:rsid w:val="00753529"/>
    <w:rsid w:val="007B19E2"/>
    <w:rsid w:val="007B3EE0"/>
    <w:rsid w:val="007E2178"/>
    <w:rsid w:val="007F3915"/>
    <w:rsid w:val="007F56E5"/>
    <w:rsid w:val="008021CE"/>
    <w:rsid w:val="00802733"/>
    <w:rsid w:val="00815E13"/>
    <w:rsid w:val="00864461"/>
    <w:rsid w:val="00866D1D"/>
    <w:rsid w:val="00877488"/>
    <w:rsid w:val="008877AE"/>
    <w:rsid w:val="008A0886"/>
    <w:rsid w:val="008D426D"/>
    <w:rsid w:val="008E046E"/>
    <w:rsid w:val="008E3595"/>
    <w:rsid w:val="008E402D"/>
    <w:rsid w:val="008E58F6"/>
    <w:rsid w:val="009061A3"/>
    <w:rsid w:val="00956C76"/>
    <w:rsid w:val="0096213B"/>
    <w:rsid w:val="00963B48"/>
    <w:rsid w:val="00995A8E"/>
    <w:rsid w:val="009B3830"/>
    <w:rsid w:val="00A05207"/>
    <w:rsid w:val="00A07E26"/>
    <w:rsid w:val="00A25779"/>
    <w:rsid w:val="00A54700"/>
    <w:rsid w:val="00AD1D57"/>
    <w:rsid w:val="00AE03E1"/>
    <w:rsid w:val="00AF4657"/>
    <w:rsid w:val="00B01DE7"/>
    <w:rsid w:val="00B24988"/>
    <w:rsid w:val="00B36C07"/>
    <w:rsid w:val="00B46869"/>
    <w:rsid w:val="00B52D1F"/>
    <w:rsid w:val="00B54EE0"/>
    <w:rsid w:val="00B72F02"/>
    <w:rsid w:val="00B82DE1"/>
    <w:rsid w:val="00B83238"/>
    <w:rsid w:val="00B8364B"/>
    <w:rsid w:val="00B84080"/>
    <w:rsid w:val="00BA5792"/>
    <w:rsid w:val="00BA5C30"/>
    <w:rsid w:val="00C0125A"/>
    <w:rsid w:val="00C04296"/>
    <w:rsid w:val="00C054BD"/>
    <w:rsid w:val="00C12B6A"/>
    <w:rsid w:val="00C15DBC"/>
    <w:rsid w:val="00C20361"/>
    <w:rsid w:val="00C33FAE"/>
    <w:rsid w:val="00C65995"/>
    <w:rsid w:val="00C71C9B"/>
    <w:rsid w:val="00C955DC"/>
    <w:rsid w:val="00CA0BE6"/>
    <w:rsid w:val="00CA4D63"/>
    <w:rsid w:val="00CB55CB"/>
    <w:rsid w:val="00CC1E32"/>
    <w:rsid w:val="00CC73F5"/>
    <w:rsid w:val="00CE7574"/>
    <w:rsid w:val="00D04441"/>
    <w:rsid w:val="00D25C5E"/>
    <w:rsid w:val="00D51FC4"/>
    <w:rsid w:val="00D66D9C"/>
    <w:rsid w:val="00D7148C"/>
    <w:rsid w:val="00D772A0"/>
    <w:rsid w:val="00D91FC6"/>
    <w:rsid w:val="00DC20F5"/>
    <w:rsid w:val="00DC7CA7"/>
    <w:rsid w:val="00DE1CBA"/>
    <w:rsid w:val="00DE298D"/>
    <w:rsid w:val="00DE5B89"/>
    <w:rsid w:val="00E0535C"/>
    <w:rsid w:val="00E2278E"/>
    <w:rsid w:val="00E24E98"/>
    <w:rsid w:val="00E33612"/>
    <w:rsid w:val="00E40EAB"/>
    <w:rsid w:val="00E85C11"/>
    <w:rsid w:val="00E9244B"/>
    <w:rsid w:val="00E950F4"/>
    <w:rsid w:val="00EA722D"/>
    <w:rsid w:val="00EB1DC1"/>
    <w:rsid w:val="00EE0179"/>
    <w:rsid w:val="00EE6CEE"/>
    <w:rsid w:val="00EE7678"/>
    <w:rsid w:val="00EF5126"/>
    <w:rsid w:val="00F10E0B"/>
    <w:rsid w:val="00F12B45"/>
    <w:rsid w:val="00F1660B"/>
    <w:rsid w:val="00F216FA"/>
    <w:rsid w:val="00F22383"/>
    <w:rsid w:val="00F336D9"/>
    <w:rsid w:val="00F60A82"/>
    <w:rsid w:val="00F77B70"/>
    <w:rsid w:val="00FA0E0F"/>
    <w:rsid w:val="00FA5110"/>
    <w:rsid w:val="00FC0597"/>
    <w:rsid w:val="00FD0734"/>
    <w:rsid w:val="00FE5738"/>
    <w:rsid w:val="00FE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0"/>
    <w:lsdException w:name="Body Text" w:uiPriority="0" w:qFormat="1"/>
    <w:lsdException w:name="Subtitle" w:semiHidden="0" w:uiPriority="11" w:unhideWhenUsed="0" w:qFormat="1"/>
    <w:lsdException w:name="Block Text" w:qFormat="1"/>
    <w:lsdException w:name="Strong" w:semiHidden="0" w:uiPriority="1" w:unhideWhenUsed="0" w:qFormat="1"/>
    <w:lsdException w:name="Emphasis" w:semiHidden="0" w:uiPriority="1"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27A8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6259AB"/>
    <w:pPr>
      <w:numPr>
        <w:numId w:val="4"/>
      </w:numPr>
      <w:spacing w:after="240"/>
      <w:outlineLvl w:val="0"/>
    </w:pPr>
    <w:rPr>
      <w:szCs w:val="20"/>
    </w:rPr>
  </w:style>
  <w:style w:type="paragraph" w:styleId="Heading2">
    <w:name w:val="heading 2"/>
    <w:basedOn w:val="Heading1"/>
    <w:link w:val="Heading2Char"/>
    <w:uiPriority w:val="2"/>
    <w:qFormat/>
    <w:rsid w:val="004E2BD6"/>
    <w:pPr>
      <w:numPr>
        <w:ilvl w:val="1"/>
      </w:numPr>
      <w:outlineLvl w:val="1"/>
    </w:pPr>
  </w:style>
  <w:style w:type="paragraph" w:styleId="Heading3">
    <w:name w:val="heading 3"/>
    <w:basedOn w:val="Heading2"/>
    <w:link w:val="Heading3Char"/>
    <w:uiPriority w:val="2"/>
    <w:qFormat/>
    <w:rsid w:val="004E2BD6"/>
    <w:pPr>
      <w:numPr>
        <w:ilvl w:val="2"/>
      </w:numPr>
      <w:outlineLvl w:val="2"/>
    </w:pPr>
  </w:style>
  <w:style w:type="paragraph" w:styleId="Heading4">
    <w:name w:val="heading 4"/>
    <w:basedOn w:val="Heading3"/>
    <w:link w:val="Heading4Char"/>
    <w:uiPriority w:val="2"/>
    <w:rsid w:val="004E2BD6"/>
    <w:pPr>
      <w:numPr>
        <w:ilvl w:val="3"/>
      </w:numPr>
      <w:outlineLvl w:val="3"/>
    </w:pPr>
  </w:style>
  <w:style w:type="paragraph" w:styleId="Heading5">
    <w:name w:val="heading 5"/>
    <w:basedOn w:val="Heading4"/>
    <w:link w:val="Heading5Char"/>
    <w:uiPriority w:val="2"/>
    <w:unhideWhenUsed/>
    <w:rsid w:val="004E2BD6"/>
    <w:pPr>
      <w:numPr>
        <w:ilvl w:val="4"/>
      </w:numPr>
      <w:outlineLvl w:val="4"/>
    </w:pPr>
  </w:style>
  <w:style w:type="paragraph" w:styleId="Heading6">
    <w:name w:val="heading 6"/>
    <w:basedOn w:val="Heading5"/>
    <w:link w:val="Heading6Char"/>
    <w:uiPriority w:val="2"/>
    <w:semiHidden/>
    <w:unhideWhenUsed/>
    <w:rsid w:val="004E2BD6"/>
    <w:pPr>
      <w:numPr>
        <w:ilvl w:val="5"/>
      </w:numPr>
      <w:outlineLvl w:val="5"/>
    </w:pPr>
  </w:style>
  <w:style w:type="paragraph" w:styleId="Heading7">
    <w:name w:val="heading 7"/>
    <w:basedOn w:val="Heading6"/>
    <w:link w:val="Heading7Char"/>
    <w:uiPriority w:val="2"/>
    <w:semiHidden/>
    <w:unhideWhenUsed/>
    <w:qFormat/>
    <w:rsid w:val="004E2BD6"/>
    <w:pPr>
      <w:numPr>
        <w:ilvl w:val="6"/>
      </w:numPr>
      <w:outlineLvl w:val="6"/>
    </w:pPr>
  </w:style>
  <w:style w:type="paragraph" w:styleId="Heading8">
    <w:name w:val="heading 8"/>
    <w:basedOn w:val="Heading7"/>
    <w:link w:val="Heading8Char"/>
    <w:uiPriority w:val="2"/>
    <w:semiHidden/>
    <w:unhideWhenUsed/>
    <w:qFormat/>
    <w:rsid w:val="004E2BD6"/>
    <w:pPr>
      <w:numPr>
        <w:ilvl w:val="7"/>
      </w:numPr>
      <w:outlineLvl w:val="7"/>
    </w:pPr>
  </w:style>
  <w:style w:type="paragraph" w:styleId="Heading9">
    <w:name w:val="heading 9"/>
    <w:basedOn w:val="Heading8"/>
    <w:link w:val="Heading9Char"/>
    <w:uiPriority w:val="2"/>
    <w:semiHidden/>
    <w:unhideWhenUsed/>
    <w:qFormat/>
    <w:rsid w:val="004E2BD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02D"/>
    <w:pPr>
      <w:ind w:firstLine="1440"/>
    </w:pPr>
  </w:style>
  <w:style w:type="character" w:customStyle="1" w:styleId="BodyTextChar">
    <w:name w:val="Body Text Char"/>
    <w:basedOn w:val="DefaultParagraphFont"/>
    <w:link w:val="BodyText"/>
    <w:rsid w:val="008E402D"/>
    <w:rPr>
      <w:rFonts w:ascii="Times New Roman" w:hAnsi="Times New Roman" w:cs="Times New Roman"/>
      <w:sz w:val="24"/>
      <w:szCs w:val="24"/>
    </w:rPr>
  </w:style>
  <w:style w:type="paragraph" w:customStyle="1" w:styleId="BodyTextContinued">
    <w:name w:val="Body Text Continued"/>
    <w:basedOn w:val="BodyText"/>
    <w:next w:val="BodyText"/>
    <w:rsid w:val="00727A89"/>
    <w:pPr>
      <w:ind w:firstLine="0"/>
    </w:pPr>
    <w:rPr>
      <w:szCs w:val="20"/>
    </w:rPr>
  </w:style>
  <w:style w:type="paragraph" w:styleId="Quote">
    <w:name w:val="Quote"/>
    <w:basedOn w:val="Normal"/>
    <w:next w:val="BodyTextContinued"/>
    <w:link w:val="QuoteChar"/>
    <w:qFormat/>
    <w:rsid w:val="00727A89"/>
    <w:pPr>
      <w:spacing w:after="240"/>
      <w:ind w:left="1440" w:right="1440"/>
    </w:pPr>
    <w:rPr>
      <w:szCs w:val="20"/>
    </w:rPr>
  </w:style>
  <w:style w:type="character" w:customStyle="1" w:styleId="QuoteChar">
    <w:name w:val="Quote Char"/>
    <w:basedOn w:val="DefaultParagraphFont"/>
    <w:link w:val="Quote"/>
    <w:rsid w:val="00317DCE"/>
    <w:rPr>
      <w:rFonts w:ascii="Times New Roman" w:hAnsi="Times New Roman" w:cs="Times New Roman"/>
      <w:sz w:val="24"/>
      <w:szCs w:val="20"/>
    </w:rPr>
  </w:style>
  <w:style w:type="paragraph" w:styleId="Header">
    <w:name w:val="header"/>
    <w:basedOn w:val="Normal"/>
    <w:link w:val="HeaderChar"/>
    <w:rsid w:val="00727A89"/>
    <w:pPr>
      <w:tabs>
        <w:tab w:val="center" w:pos="4680"/>
        <w:tab w:val="right" w:pos="9360"/>
      </w:tabs>
    </w:pPr>
  </w:style>
  <w:style w:type="character" w:customStyle="1" w:styleId="HeaderChar">
    <w:name w:val="Header Char"/>
    <w:basedOn w:val="DefaultParagraphFont"/>
    <w:link w:val="Header"/>
    <w:rsid w:val="00317DCE"/>
    <w:rPr>
      <w:rFonts w:ascii="Times New Roman" w:hAnsi="Times New Roman" w:cs="Times New Roman"/>
      <w:sz w:val="24"/>
      <w:szCs w:val="24"/>
    </w:rPr>
  </w:style>
  <w:style w:type="paragraph" w:styleId="Footer">
    <w:name w:val="footer"/>
    <w:basedOn w:val="Normal"/>
    <w:link w:val="FooterChar"/>
    <w:rsid w:val="00727A89"/>
    <w:pPr>
      <w:tabs>
        <w:tab w:val="center" w:pos="4680"/>
        <w:tab w:val="right" w:pos="9360"/>
      </w:tabs>
    </w:pPr>
  </w:style>
  <w:style w:type="character" w:customStyle="1" w:styleId="FooterChar">
    <w:name w:val="Footer Char"/>
    <w:basedOn w:val="DefaultParagraphFont"/>
    <w:link w:val="Footer"/>
    <w:rsid w:val="00317DCE"/>
    <w:rPr>
      <w:rFonts w:ascii="Times New Roman" w:hAnsi="Times New Roman" w:cs="Times New Roman"/>
      <w:sz w:val="24"/>
      <w:szCs w:val="24"/>
    </w:rPr>
  </w:style>
  <w:style w:type="character" w:styleId="PageNumber">
    <w:name w:val="page number"/>
    <w:basedOn w:val="DefaultParagraphFont"/>
    <w:rsid w:val="00727A89"/>
  </w:style>
  <w:style w:type="paragraph" w:customStyle="1" w:styleId="Bullet-DoubleSpace">
    <w:name w:val="Bullet-Double Space"/>
    <w:basedOn w:val="Normal"/>
    <w:uiPriority w:val="3"/>
    <w:rsid w:val="00A54700"/>
    <w:pPr>
      <w:spacing w:line="480" w:lineRule="auto"/>
      <w:ind w:left="1440" w:hanging="720"/>
    </w:pPr>
  </w:style>
  <w:style w:type="paragraph" w:customStyle="1" w:styleId="Bullet-SingleSpace">
    <w:name w:val="Bullet-Single Space"/>
    <w:basedOn w:val="Normal"/>
    <w:uiPriority w:val="3"/>
    <w:rsid w:val="00A54700"/>
    <w:pPr>
      <w:spacing w:after="240"/>
      <w:ind w:left="1440" w:hanging="720"/>
    </w:pPr>
  </w:style>
  <w:style w:type="paragraph" w:customStyle="1" w:styleId="Quote-DS">
    <w:name w:val="Quote-DS"/>
    <w:basedOn w:val="Normal"/>
    <w:next w:val="BodyTextContinued"/>
    <w:rsid w:val="00727A89"/>
    <w:pPr>
      <w:spacing w:line="480" w:lineRule="auto"/>
      <w:ind w:left="1440" w:right="1440"/>
    </w:pPr>
  </w:style>
  <w:style w:type="paragraph" w:customStyle="1" w:styleId="Quote-SS">
    <w:name w:val="Quote-SS"/>
    <w:basedOn w:val="Normal"/>
    <w:next w:val="BodyTextContinued"/>
    <w:rsid w:val="00727A89"/>
    <w:pPr>
      <w:spacing w:after="240"/>
      <w:ind w:left="1440" w:right="1440"/>
    </w:pPr>
  </w:style>
  <w:style w:type="paragraph" w:customStyle="1" w:styleId="BulletSymbol">
    <w:name w:val="Bullet Symbol"/>
    <w:basedOn w:val="Normal"/>
    <w:rsid w:val="00727A89"/>
    <w:pPr>
      <w:numPr>
        <w:numId w:val="3"/>
      </w:numPr>
      <w:tabs>
        <w:tab w:val="clear" w:pos="720"/>
      </w:tabs>
      <w:spacing w:after="240"/>
      <w:ind w:hanging="720"/>
    </w:pPr>
  </w:style>
  <w:style w:type="paragraph" w:styleId="FootnoteText">
    <w:name w:val="footnote text"/>
    <w:basedOn w:val="Normal"/>
    <w:link w:val="FootnoteTextChar"/>
    <w:semiHidden/>
    <w:rsid w:val="00727A89"/>
    <w:pPr>
      <w:ind w:firstLine="720"/>
    </w:pPr>
    <w:rPr>
      <w:sz w:val="20"/>
      <w:szCs w:val="20"/>
    </w:rPr>
  </w:style>
  <w:style w:type="character" w:customStyle="1" w:styleId="FootnoteTextChar">
    <w:name w:val="Footnote Text Char"/>
    <w:basedOn w:val="DefaultParagraphFont"/>
    <w:link w:val="FootnoteText"/>
    <w:semiHidden/>
    <w:rsid w:val="00317DCE"/>
    <w:rPr>
      <w:rFonts w:ascii="Times New Roman" w:hAnsi="Times New Roman" w:cs="Times New Roman"/>
      <w:sz w:val="20"/>
      <w:szCs w:val="20"/>
    </w:rPr>
  </w:style>
  <w:style w:type="character" w:styleId="EndnoteReference">
    <w:name w:val="endnote reference"/>
    <w:basedOn w:val="DefaultParagraphFont"/>
    <w:semiHidden/>
    <w:rsid w:val="00727A89"/>
    <w:rPr>
      <w:sz w:val="20"/>
      <w:vertAlign w:val="superscript"/>
    </w:rPr>
  </w:style>
  <w:style w:type="character" w:styleId="FootnoteReference">
    <w:name w:val="footnote reference"/>
    <w:basedOn w:val="DefaultParagraphFont"/>
    <w:uiPriority w:val="99"/>
    <w:semiHidden/>
    <w:unhideWhenUsed/>
    <w:rsid w:val="000B75D1"/>
    <w:rPr>
      <w:vertAlign w:val="superscript"/>
    </w:rPr>
  </w:style>
  <w:style w:type="paragraph" w:styleId="BlockText">
    <w:name w:val="Block Text"/>
    <w:basedOn w:val="Normal"/>
    <w:uiPriority w:val="3"/>
    <w:qFormat/>
    <w:rsid w:val="00E9244B"/>
    <w:pPr>
      <w:framePr w:wrap="notBeside" w:vAnchor="text" w:hAnchor="text" w:y="1"/>
      <w:spacing w:after="240"/>
      <w:ind w:left="1440" w:right="1440"/>
      <w:contextualSpacing/>
      <w:jc w:val="both"/>
    </w:pPr>
    <w:rPr>
      <w:rFonts w:eastAsiaTheme="minorEastAsia" w:cstheme="minorBidi"/>
      <w:iCs/>
    </w:rPr>
  </w:style>
  <w:style w:type="character" w:customStyle="1" w:styleId="Heading1Char">
    <w:name w:val="Heading 1 Char"/>
    <w:basedOn w:val="DefaultParagraphFont"/>
    <w:link w:val="Heading1"/>
    <w:uiPriority w:val="2"/>
    <w:rsid w:val="006259AB"/>
    <w:rPr>
      <w:rFonts w:ascii="Times New Roman" w:hAnsi="Times New Roman" w:cs="Times New Roman"/>
      <w:sz w:val="24"/>
      <w:szCs w:val="20"/>
    </w:rPr>
  </w:style>
  <w:style w:type="character" w:customStyle="1" w:styleId="Heading2Char">
    <w:name w:val="Heading 2 Char"/>
    <w:basedOn w:val="DefaultParagraphFont"/>
    <w:link w:val="Heading2"/>
    <w:uiPriority w:val="2"/>
    <w:rsid w:val="00D91FC6"/>
    <w:rPr>
      <w:rFonts w:ascii="Times New Roman" w:hAnsi="Times New Roman" w:cs="Times New Roman"/>
      <w:sz w:val="24"/>
      <w:szCs w:val="20"/>
    </w:rPr>
  </w:style>
  <w:style w:type="character" w:customStyle="1" w:styleId="Heading3Char">
    <w:name w:val="Heading 3 Char"/>
    <w:basedOn w:val="DefaultParagraphFont"/>
    <w:link w:val="Heading3"/>
    <w:uiPriority w:val="2"/>
    <w:rsid w:val="00D91FC6"/>
    <w:rPr>
      <w:rFonts w:ascii="Times New Roman" w:hAnsi="Times New Roman" w:cs="Times New Roman"/>
      <w:sz w:val="24"/>
      <w:szCs w:val="20"/>
    </w:rPr>
  </w:style>
  <w:style w:type="character" w:customStyle="1" w:styleId="Heading4Char">
    <w:name w:val="Heading 4 Char"/>
    <w:basedOn w:val="DefaultParagraphFont"/>
    <w:link w:val="Heading4"/>
    <w:uiPriority w:val="2"/>
    <w:rsid w:val="00D91FC6"/>
    <w:rPr>
      <w:rFonts w:ascii="Times New Roman" w:hAnsi="Times New Roman" w:cs="Times New Roman"/>
      <w:sz w:val="24"/>
      <w:szCs w:val="20"/>
    </w:rPr>
  </w:style>
  <w:style w:type="character" w:customStyle="1" w:styleId="Heading5Char">
    <w:name w:val="Heading 5 Char"/>
    <w:basedOn w:val="DefaultParagraphFont"/>
    <w:link w:val="Heading5"/>
    <w:uiPriority w:val="2"/>
    <w:rsid w:val="00D91FC6"/>
    <w:rPr>
      <w:rFonts w:ascii="Times New Roman" w:hAnsi="Times New Roman" w:cs="Times New Roman"/>
      <w:sz w:val="24"/>
      <w:szCs w:val="20"/>
    </w:rPr>
  </w:style>
  <w:style w:type="character" w:customStyle="1" w:styleId="Heading6Char">
    <w:name w:val="Heading 6 Char"/>
    <w:basedOn w:val="DefaultParagraphFont"/>
    <w:link w:val="Heading6"/>
    <w:uiPriority w:val="2"/>
    <w:semiHidden/>
    <w:rsid w:val="00D91FC6"/>
    <w:rPr>
      <w:rFonts w:ascii="Times New Roman" w:hAnsi="Times New Roman" w:cs="Times New Roman"/>
      <w:sz w:val="24"/>
      <w:szCs w:val="20"/>
    </w:rPr>
  </w:style>
  <w:style w:type="character" w:customStyle="1" w:styleId="Heading7Char">
    <w:name w:val="Heading 7 Char"/>
    <w:basedOn w:val="DefaultParagraphFont"/>
    <w:link w:val="Heading7"/>
    <w:uiPriority w:val="2"/>
    <w:semiHidden/>
    <w:rsid w:val="00D91FC6"/>
    <w:rPr>
      <w:rFonts w:ascii="Times New Roman" w:hAnsi="Times New Roman" w:cs="Times New Roman"/>
      <w:sz w:val="24"/>
      <w:szCs w:val="20"/>
    </w:rPr>
  </w:style>
  <w:style w:type="character" w:customStyle="1" w:styleId="Heading8Char">
    <w:name w:val="Heading 8 Char"/>
    <w:basedOn w:val="DefaultParagraphFont"/>
    <w:link w:val="Heading8"/>
    <w:uiPriority w:val="2"/>
    <w:semiHidden/>
    <w:rsid w:val="00D91FC6"/>
    <w:rPr>
      <w:rFonts w:ascii="Times New Roman" w:hAnsi="Times New Roman" w:cs="Times New Roman"/>
      <w:sz w:val="24"/>
      <w:szCs w:val="20"/>
    </w:rPr>
  </w:style>
  <w:style w:type="character" w:customStyle="1" w:styleId="Heading9Char">
    <w:name w:val="Heading 9 Char"/>
    <w:basedOn w:val="DefaultParagraphFont"/>
    <w:link w:val="Heading9"/>
    <w:uiPriority w:val="2"/>
    <w:semiHidden/>
    <w:rsid w:val="00D91FC6"/>
    <w:rPr>
      <w:rFonts w:ascii="Times New Roman" w:hAnsi="Times New Roman" w:cs="Times New Roman"/>
      <w:sz w:val="24"/>
      <w:szCs w:val="20"/>
    </w:rPr>
  </w:style>
  <w:style w:type="paragraph" w:styleId="Title">
    <w:name w:val="Title"/>
    <w:basedOn w:val="Normal"/>
    <w:next w:val="BodyText"/>
    <w:link w:val="TitleChar"/>
    <w:qFormat/>
    <w:rsid w:val="001C7555"/>
    <w:pPr>
      <w:keepNext/>
      <w:keepLines/>
      <w:spacing w:after="240"/>
      <w:contextualSpacing/>
      <w:jc w:val="center"/>
      <w:outlineLvl w:val="0"/>
    </w:pPr>
    <w:rPr>
      <w:rFonts w:ascii="Times New Roman Bold" w:eastAsiaTheme="majorEastAsia" w:hAnsi="Times New Roman Bold" w:cstheme="majorBidi"/>
      <w:b/>
      <w:caps/>
      <w:color w:val="000000"/>
      <w:spacing w:val="5"/>
      <w:kern w:val="28"/>
      <w:szCs w:val="52"/>
    </w:rPr>
  </w:style>
  <w:style w:type="character" w:customStyle="1" w:styleId="TitleChar">
    <w:name w:val="Title Char"/>
    <w:basedOn w:val="DefaultParagraphFont"/>
    <w:link w:val="Title"/>
    <w:rsid w:val="00317DCE"/>
    <w:rPr>
      <w:rFonts w:ascii="Times New Roman Bold" w:eastAsiaTheme="majorEastAsia" w:hAnsi="Times New Roman Bold" w:cstheme="majorBidi"/>
      <w:b/>
      <w:caps/>
      <w:color w:val="000000"/>
      <w:spacing w:val="5"/>
      <w:kern w:val="28"/>
      <w:sz w:val="24"/>
      <w:szCs w:val="52"/>
    </w:rPr>
  </w:style>
  <w:style w:type="paragraph" w:styleId="Subtitle">
    <w:name w:val="Subtitle"/>
    <w:basedOn w:val="Title"/>
    <w:next w:val="BodyText"/>
    <w:link w:val="SubtitleChar"/>
    <w:qFormat/>
    <w:rsid w:val="001C7555"/>
    <w:pPr>
      <w:numPr>
        <w:ilvl w:val="1"/>
      </w:numPr>
      <w:outlineLvl w:val="1"/>
    </w:pPr>
    <w:rPr>
      <w:iCs/>
      <w:caps w:val="0"/>
      <w:color w:val="auto"/>
      <w:spacing w:val="15"/>
    </w:rPr>
  </w:style>
  <w:style w:type="character" w:customStyle="1" w:styleId="SubtitleChar">
    <w:name w:val="Subtitle Char"/>
    <w:basedOn w:val="DefaultParagraphFont"/>
    <w:link w:val="Subtitle"/>
    <w:rsid w:val="00317DCE"/>
    <w:rPr>
      <w:rFonts w:ascii="Times New Roman Bold" w:eastAsiaTheme="majorEastAsia" w:hAnsi="Times New Roman Bold" w:cstheme="majorBidi"/>
      <w:b/>
      <w:iCs/>
      <w:spacing w:val="15"/>
      <w:kern w:val="28"/>
      <w:sz w:val="24"/>
      <w:szCs w:val="52"/>
    </w:rPr>
  </w:style>
  <w:style w:type="paragraph" w:customStyle="1" w:styleId="Bullet-DS">
    <w:name w:val="Bullet-DS"/>
    <w:basedOn w:val="Normal"/>
    <w:rsid w:val="00727A89"/>
    <w:pPr>
      <w:numPr>
        <w:numId w:val="1"/>
      </w:numPr>
      <w:tabs>
        <w:tab w:val="clear" w:pos="720"/>
      </w:tabs>
      <w:spacing w:line="480" w:lineRule="auto"/>
      <w:ind w:left="1440" w:hanging="720"/>
    </w:pPr>
  </w:style>
  <w:style w:type="paragraph" w:customStyle="1" w:styleId="Bullet-SS">
    <w:name w:val="Bullet-SS"/>
    <w:basedOn w:val="Normal"/>
    <w:rsid w:val="00727A89"/>
    <w:pPr>
      <w:numPr>
        <w:numId w:val="2"/>
      </w:numPr>
      <w:tabs>
        <w:tab w:val="clear" w:pos="720"/>
      </w:tabs>
      <w:spacing w:after="240"/>
      <w:ind w:left="1440" w:hanging="720"/>
    </w:pPr>
  </w:style>
  <w:style w:type="table" w:styleId="TableGrid">
    <w:name w:val="Table Grid"/>
    <w:basedOn w:val="TableNormal"/>
    <w:uiPriority w:val="59"/>
    <w:rsid w:val="007B3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Normal"/>
    <w:next w:val="Footer"/>
    <w:link w:val="DocIDChar"/>
    <w:rsid w:val="006E588A"/>
    <w:rPr>
      <w:sz w:val="16"/>
    </w:rPr>
  </w:style>
  <w:style w:type="character" w:customStyle="1" w:styleId="DocIDChar">
    <w:name w:val="DocID Char"/>
    <w:basedOn w:val="BodyTextChar"/>
    <w:link w:val="DocID"/>
    <w:rsid w:val="006E588A"/>
    <w:rPr>
      <w:rFonts w:ascii="Times New Roman" w:hAnsi="Times New Roman" w:cs="Times New Roman"/>
      <w:sz w:val="16"/>
      <w:szCs w:val="24"/>
    </w:rPr>
  </w:style>
  <w:style w:type="paragraph" w:styleId="BalloonText">
    <w:name w:val="Balloon Text"/>
    <w:basedOn w:val="Normal"/>
    <w:link w:val="BalloonTextChar"/>
    <w:uiPriority w:val="99"/>
    <w:semiHidden/>
    <w:unhideWhenUsed/>
    <w:rsid w:val="00CE7574"/>
    <w:rPr>
      <w:rFonts w:ascii="Tahoma" w:hAnsi="Tahoma" w:cs="Tahoma"/>
      <w:sz w:val="16"/>
      <w:szCs w:val="16"/>
    </w:rPr>
  </w:style>
  <w:style w:type="character" w:customStyle="1" w:styleId="BalloonTextChar">
    <w:name w:val="Balloon Text Char"/>
    <w:basedOn w:val="DefaultParagraphFont"/>
    <w:link w:val="BalloonText"/>
    <w:uiPriority w:val="99"/>
    <w:semiHidden/>
    <w:rsid w:val="00CE7574"/>
    <w:rPr>
      <w:rFonts w:ascii="Tahoma" w:hAnsi="Tahoma" w:cs="Tahoma"/>
      <w:sz w:val="16"/>
      <w:szCs w:val="16"/>
    </w:rPr>
  </w:style>
  <w:style w:type="table" w:customStyle="1" w:styleId="TableGrid1">
    <w:name w:val="Table Grid1"/>
    <w:basedOn w:val="TableNormal"/>
    <w:next w:val="TableGrid"/>
    <w:uiPriority w:val="59"/>
    <w:rsid w:val="00530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EA722D"/>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C20F5"/>
    <w:rPr>
      <w:sz w:val="16"/>
      <w:szCs w:val="16"/>
    </w:rPr>
  </w:style>
  <w:style w:type="paragraph" w:styleId="CommentText">
    <w:name w:val="annotation text"/>
    <w:basedOn w:val="Normal"/>
    <w:link w:val="CommentTextChar"/>
    <w:uiPriority w:val="99"/>
    <w:semiHidden/>
    <w:unhideWhenUsed/>
    <w:rsid w:val="00DC20F5"/>
    <w:rPr>
      <w:sz w:val="20"/>
      <w:szCs w:val="20"/>
    </w:rPr>
  </w:style>
  <w:style w:type="character" w:customStyle="1" w:styleId="CommentTextChar">
    <w:name w:val="Comment Text Char"/>
    <w:basedOn w:val="DefaultParagraphFont"/>
    <w:link w:val="CommentText"/>
    <w:uiPriority w:val="99"/>
    <w:semiHidden/>
    <w:rsid w:val="00DC20F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20F5"/>
    <w:rPr>
      <w:b/>
      <w:bCs/>
    </w:rPr>
  </w:style>
  <w:style w:type="character" w:customStyle="1" w:styleId="CommentSubjectChar">
    <w:name w:val="Comment Subject Char"/>
    <w:basedOn w:val="CommentTextChar"/>
    <w:link w:val="CommentSubject"/>
    <w:uiPriority w:val="99"/>
    <w:semiHidden/>
    <w:rsid w:val="00DC20F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0"/>
    <w:lsdException w:name="Body Text" w:uiPriority="0" w:qFormat="1"/>
    <w:lsdException w:name="Subtitle" w:semiHidden="0" w:uiPriority="11" w:unhideWhenUsed="0" w:qFormat="1"/>
    <w:lsdException w:name="Block Text" w:qFormat="1"/>
    <w:lsdException w:name="Strong" w:semiHidden="0" w:uiPriority="1" w:unhideWhenUsed="0" w:qFormat="1"/>
    <w:lsdException w:name="Emphasis" w:semiHidden="0" w:uiPriority="1"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27A8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6259AB"/>
    <w:pPr>
      <w:numPr>
        <w:numId w:val="4"/>
      </w:numPr>
      <w:spacing w:after="240"/>
      <w:outlineLvl w:val="0"/>
    </w:pPr>
    <w:rPr>
      <w:szCs w:val="20"/>
    </w:rPr>
  </w:style>
  <w:style w:type="paragraph" w:styleId="Heading2">
    <w:name w:val="heading 2"/>
    <w:basedOn w:val="Heading1"/>
    <w:link w:val="Heading2Char"/>
    <w:uiPriority w:val="2"/>
    <w:qFormat/>
    <w:rsid w:val="004E2BD6"/>
    <w:pPr>
      <w:numPr>
        <w:ilvl w:val="1"/>
      </w:numPr>
      <w:outlineLvl w:val="1"/>
    </w:pPr>
  </w:style>
  <w:style w:type="paragraph" w:styleId="Heading3">
    <w:name w:val="heading 3"/>
    <w:basedOn w:val="Heading2"/>
    <w:link w:val="Heading3Char"/>
    <w:uiPriority w:val="2"/>
    <w:qFormat/>
    <w:rsid w:val="004E2BD6"/>
    <w:pPr>
      <w:numPr>
        <w:ilvl w:val="2"/>
      </w:numPr>
      <w:outlineLvl w:val="2"/>
    </w:pPr>
  </w:style>
  <w:style w:type="paragraph" w:styleId="Heading4">
    <w:name w:val="heading 4"/>
    <w:basedOn w:val="Heading3"/>
    <w:link w:val="Heading4Char"/>
    <w:uiPriority w:val="2"/>
    <w:rsid w:val="004E2BD6"/>
    <w:pPr>
      <w:numPr>
        <w:ilvl w:val="3"/>
      </w:numPr>
      <w:outlineLvl w:val="3"/>
    </w:pPr>
  </w:style>
  <w:style w:type="paragraph" w:styleId="Heading5">
    <w:name w:val="heading 5"/>
    <w:basedOn w:val="Heading4"/>
    <w:link w:val="Heading5Char"/>
    <w:uiPriority w:val="2"/>
    <w:unhideWhenUsed/>
    <w:rsid w:val="004E2BD6"/>
    <w:pPr>
      <w:numPr>
        <w:ilvl w:val="4"/>
      </w:numPr>
      <w:outlineLvl w:val="4"/>
    </w:pPr>
  </w:style>
  <w:style w:type="paragraph" w:styleId="Heading6">
    <w:name w:val="heading 6"/>
    <w:basedOn w:val="Heading5"/>
    <w:link w:val="Heading6Char"/>
    <w:uiPriority w:val="2"/>
    <w:semiHidden/>
    <w:unhideWhenUsed/>
    <w:rsid w:val="004E2BD6"/>
    <w:pPr>
      <w:numPr>
        <w:ilvl w:val="5"/>
      </w:numPr>
      <w:outlineLvl w:val="5"/>
    </w:pPr>
  </w:style>
  <w:style w:type="paragraph" w:styleId="Heading7">
    <w:name w:val="heading 7"/>
    <w:basedOn w:val="Heading6"/>
    <w:link w:val="Heading7Char"/>
    <w:uiPriority w:val="2"/>
    <w:semiHidden/>
    <w:unhideWhenUsed/>
    <w:qFormat/>
    <w:rsid w:val="004E2BD6"/>
    <w:pPr>
      <w:numPr>
        <w:ilvl w:val="6"/>
      </w:numPr>
      <w:outlineLvl w:val="6"/>
    </w:pPr>
  </w:style>
  <w:style w:type="paragraph" w:styleId="Heading8">
    <w:name w:val="heading 8"/>
    <w:basedOn w:val="Heading7"/>
    <w:link w:val="Heading8Char"/>
    <w:uiPriority w:val="2"/>
    <w:semiHidden/>
    <w:unhideWhenUsed/>
    <w:qFormat/>
    <w:rsid w:val="004E2BD6"/>
    <w:pPr>
      <w:numPr>
        <w:ilvl w:val="7"/>
      </w:numPr>
      <w:outlineLvl w:val="7"/>
    </w:pPr>
  </w:style>
  <w:style w:type="paragraph" w:styleId="Heading9">
    <w:name w:val="heading 9"/>
    <w:basedOn w:val="Heading8"/>
    <w:link w:val="Heading9Char"/>
    <w:uiPriority w:val="2"/>
    <w:semiHidden/>
    <w:unhideWhenUsed/>
    <w:qFormat/>
    <w:rsid w:val="004E2BD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02D"/>
    <w:pPr>
      <w:ind w:firstLine="1440"/>
    </w:pPr>
  </w:style>
  <w:style w:type="character" w:customStyle="1" w:styleId="BodyTextChar">
    <w:name w:val="Body Text Char"/>
    <w:basedOn w:val="DefaultParagraphFont"/>
    <w:link w:val="BodyText"/>
    <w:rsid w:val="008E402D"/>
    <w:rPr>
      <w:rFonts w:ascii="Times New Roman" w:hAnsi="Times New Roman" w:cs="Times New Roman"/>
      <w:sz w:val="24"/>
      <w:szCs w:val="24"/>
    </w:rPr>
  </w:style>
  <w:style w:type="paragraph" w:customStyle="1" w:styleId="BodyTextContinued">
    <w:name w:val="Body Text Continued"/>
    <w:basedOn w:val="BodyText"/>
    <w:next w:val="BodyText"/>
    <w:rsid w:val="00727A89"/>
    <w:pPr>
      <w:ind w:firstLine="0"/>
    </w:pPr>
    <w:rPr>
      <w:szCs w:val="20"/>
    </w:rPr>
  </w:style>
  <w:style w:type="paragraph" w:styleId="Quote">
    <w:name w:val="Quote"/>
    <w:basedOn w:val="Normal"/>
    <w:next w:val="BodyTextContinued"/>
    <w:link w:val="QuoteChar"/>
    <w:qFormat/>
    <w:rsid w:val="00727A89"/>
    <w:pPr>
      <w:spacing w:after="240"/>
      <w:ind w:left="1440" w:right="1440"/>
    </w:pPr>
    <w:rPr>
      <w:szCs w:val="20"/>
    </w:rPr>
  </w:style>
  <w:style w:type="character" w:customStyle="1" w:styleId="QuoteChar">
    <w:name w:val="Quote Char"/>
    <w:basedOn w:val="DefaultParagraphFont"/>
    <w:link w:val="Quote"/>
    <w:rsid w:val="00317DCE"/>
    <w:rPr>
      <w:rFonts w:ascii="Times New Roman" w:hAnsi="Times New Roman" w:cs="Times New Roman"/>
      <w:sz w:val="24"/>
      <w:szCs w:val="20"/>
    </w:rPr>
  </w:style>
  <w:style w:type="paragraph" w:styleId="Header">
    <w:name w:val="header"/>
    <w:basedOn w:val="Normal"/>
    <w:link w:val="HeaderChar"/>
    <w:rsid w:val="00727A89"/>
    <w:pPr>
      <w:tabs>
        <w:tab w:val="center" w:pos="4680"/>
        <w:tab w:val="right" w:pos="9360"/>
      </w:tabs>
    </w:pPr>
  </w:style>
  <w:style w:type="character" w:customStyle="1" w:styleId="HeaderChar">
    <w:name w:val="Header Char"/>
    <w:basedOn w:val="DefaultParagraphFont"/>
    <w:link w:val="Header"/>
    <w:rsid w:val="00317DCE"/>
    <w:rPr>
      <w:rFonts w:ascii="Times New Roman" w:hAnsi="Times New Roman" w:cs="Times New Roman"/>
      <w:sz w:val="24"/>
      <w:szCs w:val="24"/>
    </w:rPr>
  </w:style>
  <w:style w:type="paragraph" w:styleId="Footer">
    <w:name w:val="footer"/>
    <w:basedOn w:val="Normal"/>
    <w:link w:val="FooterChar"/>
    <w:rsid w:val="00727A89"/>
    <w:pPr>
      <w:tabs>
        <w:tab w:val="center" w:pos="4680"/>
        <w:tab w:val="right" w:pos="9360"/>
      </w:tabs>
    </w:pPr>
  </w:style>
  <w:style w:type="character" w:customStyle="1" w:styleId="FooterChar">
    <w:name w:val="Footer Char"/>
    <w:basedOn w:val="DefaultParagraphFont"/>
    <w:link w:val="Footer"/>
    <w:rsid w:val="00317DCE"/>
    <w:rPr>
      <w:rFonts w:ascii="Times New Roman" w:hAnsi="Times New Roman" w:cs="Times New Roman"/>
      <w:sz w:val="24"/>
      <w:szCs w:val="24"/>
    </w:rPr>
  </w:style>
  <w:style w:type="character" w:styleId="PageNumber">
    <w:name w:val="page number"/>
    <w:basedOn w:val="DefaultParagraphFont"/>
    <w:rsid w:val="00727A89"/>
  </w:style>
  <w:style w:type="paragraph" w:customStyle="1" w:styleId="Bullet-DoubleSpace">
    <w:name w:val="Bullet-Double Space"/>
    <w:basedOn w:val="Normal"/>
    <w:uiPriority w:val="3"/>
    <w:rsid w:val="00A54700"/>
    <w:pPr>
      <w:spacing w:line="480" w:lineRule="auto"/>
      <w:ind w:left="1440" w:hanging="720"/>
    </w:pPr>
  </w:style>
  <w:style w:type="paragraph" w:customStyle="1" w:styleId="Bullet-SingleSpace">
    <w:name w:val="Bullet-Single Space"/>
    <w:basedOn w:val="Normal"/>
    <w:uiPriority w:val="3"/>
    <w:rsid w:val="00A54700"/>
    <w:pPr>
      <w:spacing w:after="240"/>
      <w:ind w:left="1440" w:hanging="720"/>
    </w:pPr>
  </w:style>
  <w:style w:type="paragraph" w:customStyle="1" w:styleId="Quote-DS">
    <w:name w:val="Quote-DS"/>
    <w:basedOn w:val="Normal"/>
    <w:next w:val="BodyTextContinued"/>
    <w:rsid w:val="00727A89"/>
    <w:pPr>
      <w:spacing w:line="480" w:lineRule="auto"/>
      <w:ind w:left="1440" w:right="1440"/>
    </w:pPr>
  </w:style>
  <w:style w:type="paragraph" w:customStyle="1" w:styleId="Quote-SS">
    <w:name w:val="Quote-SS"/>
    <w:basedOn w:val="Normal"/>
    <w:next w:val="BodyTextContinued"/>
    <w:rsid w:val="00727A89"/>
    <w:pPr>
      <w:spacing w:after="240"/>
      <w:ind w:left="1440" w:right="1440"/>
    </w:pPr>
  </w:style>
  <w:style w:type="paragraph" w:customStyle="1" w:styleId="BulletSymbol">
    <w:name w:val="Bullet Symbol"/>
    <w:basedOn w:val="Normal"/>
    <w:rsid w:val="00727A89"/>
    <w:pPr>
      <w:numPr>
        <w:numId w:val="3"/>
      </w:numPr>
      <w:tabs>
        <w:tab w:val="clear" w:pos="720"/>
      </w:tabs>
      <w:spacing w:after="240"/>
      <w:ind w:hanging="720"/>
    </w:pPr>
  </w:style>
  <w:style w:type="paragraph" w:styleId="FootnoteText">
    <w:name w:val="footnote text"/>
    <w:basedOn w:val="Normal"/>
    <w:link w:val="FootnoteTextChar"/>
    <w:semiHidden/>
    <w:rsid w:val="00727A89"/>
    <w:pPr>
      <w:ind w:firstLine="720"/>
    </w:pPr>
    <w:rPr>
      <w:sz w:val="20"/>
      <w:szCs w:val="20"/>
    </w:rPr>
  </w:style>
  <w:style w:type="character" w:customStyle="1" w:styleId="FootnoteTextChar">
    <w:name w:val="Footnote Text Char"/>
    <w:basedOn w:val="DefaultParagraphFont"/>
    <w:link w:val="FootnoteText"/>
    <w:semiHidden/>
    <w:rsid w:val="00317DCE"/>
    <w:rPr>
      <w:rFonts w:ascii="Times New Roman" w:hAnsi="Times New Roman" w:cs="Times New Roman"/>
      <w:sz w:val="20"/>
      <w:szCs w:val="20"/>
    </w:rPr>
  </w:style>
  <w:style w:type="character" w:styleId="EndnoteReference">
    <w:name w:val="endnote reference"/>
    <w:basedOn w:val="DefaultParagraphFont"/>
    <w:semiHidden/>
    <w:rsid w:val="00727A89"/>
    <w:rPr>
      <w:sz w:val="20"/>
      <w:vertAlign w:val="superscript"/>
    </w:rPr>
  </w:style>
  <w:style w:type="character" w:styleId="FootnoteReference">
    <w:name w:val="footnote reference"/>
    <w:basedOn w:val="DefaultParagraphFont"/>
    <w:uiPriority w:val="99"/>
    <w:semiHidden/>
    <w:unhideWhenUsed/>
    <w:rsid w:val="000B75D1"/>
    <w:rPr>
      <w:vertAlign w:val="superscript"/>
    </w:rPr>
  </w:style>
  <w:style w:type="paragraph" w:styleId="BlockText">
    <w:name w:val="Block Text"/>
    <w:basedOn w:val="Normal"/>
    <w:uiPriority w:val="3"/>
    <w:qFormat/>
    <w:rsid w:val="00E9244B"/>
    <w:pPr>
      <w:framePr w:wrap="notBeside" w:vAnchor="text" w:hAnchor="text" w:y="1"/>
      <w:spacing w:after="240"/>
      <w:ind w:left="1440" w:right="1440"/>
      <w:contextualSpacing/>
      <w:jc w:val="both"/>
    </w:pPr>
    <w:rPr>
      <w:rFonts w:eastAsiaTheme="minorEastAsia" w:cstheme="minorBidi"/>
      <w:iCs/>
    </w:rPr>
  </w:style>
  <w:style w:type="character" w:customStyle="1" w:styleId="Heading1Char">
    <w:name w:val="Heading 1 Char"/>
    <w:basedOn w:val="DefaultParagraphFont"/>
    <w:link w:val="Heading1"/>
    <w:uiPriority w:val="2"/>
    <w:rsid w:val="006259AB"/>
    <w:rPr>
      <w:rFonts w:ascii="Times New Roman" w:hAnsi="Times New Roman" w:cs="Times New Roman"/>
      <w:sz w:val="24"/>
      <w:szCs w:val="20"/>
    </w:rPr>
  </w:style>
  <w:style w:type="character" w:customStyle="1" w:styleId="Heading2Char">
    <w:name w:val="Heading 2 Char"/>
    <w:basedOn w:val="DefaultParagraphFont"/>
    <w:link w:val="Heading2"/>
    <w:uiPriority w:val="2"/>
    <w:rsid w:val="00D91FC6"/>
    <w:rPr>
      <w:rFonts w:ascii="Times New Roman" w:hAnsi="Times New Roman" w:cs="Times New Roman"/>
      <w:sz w:val="24"/>
      <w:szCs w:val="20"/>
    </w:rPr>
  </w:style>
  <w:style w:type="character" w:customStyle="1" w:styleId="Heading3Char">
    <w:name w:val="Heading 3 Char"/>
    <w:basedOn w:val="DefaultParagraphFont"/>
    <w:link w:val="Heading3"/>
    <w:uiPriority w:val="2"/>
    <w:rsid w:val="00D91FC6"/>
    <w:rPr>
      <w:rFonts w:ascii="Times New Roman" w:hAnsi="Times New Roman" w:cs="Times New Roman"/>
      <w:sz w:val="24"/>
      <w:szCs w:val="20"/>
    </w:rPr>
  </w:style>
  <w:style w:type="character" w:customStyle="1" w:styleId="Heading4Char">
    <w:name w:val="Heading 4 Char"/>
    <w:basedOn w:val="DefaultParagraphFont"/>
    <w:link w:val="Heading4"/>
    <w:uiPriority w:val="2"/>
    <w:rsid w:val="00D91FC6"/>
    <w:rPr>
      <w:rFonts w:ascii="Times New Roman" w:hAnsi="Times New Roman" w:cs="Times New Roman"/>
      <w:sz w:val="24"/>
      <w:szCs w:val="20"/>
    </w:rPr>
  </w:style>
  <w:style w:type="character" w:customStyle="1" w:styleId="Heading5Char">
    <w:name w:val="Heading 5 Char"/>
    <w:basedOn w:val="DefaultParagraphFont"/>
    <w:link w:val="Heading5"/>
    <w:uiPriority w:val="2"/>
    <w:rsid w:val="00D91FC6"/>
    <w:rPr>
      <w:rFonts w:ascii="Times New Roman" w:hAnsi="Times New Roman" w:cs="Times New Roman"/>
      <w:sz w:val="24"/>
      <w:szCs w:val="20"/>
    </w:rPr>
  </w:style>
  <w:style w:type="character" w:customStyle="1" w:styleId="Heading6Char">
    <w:name w:val="Heading 6 Char"/>
    <w:basedOn w:val="DefaultParagraphFont"/>
    <w:link w:val="Heading6"/>
    <w:uiPriority w:val="2"/>
    <w:semiHidden/>
    <w:rsid w:val="00D91FC6"/>
    <w:rPr>
      <w:rFonts w:ascii="Times New Roman" w:hAnsi="Times New Roman" w:cs="Times New Roman"/>
      <w:sz w:val="24"/>
      <w:szCs w:val="20"/>
    </w:rPr>
  </w:style>
  <w:style w:type="character" w:customStyle="1" w:styleId="Heading7Char">
    <w:name w:val="Heading 7 Char"/>
    <w:basedOn w:val="DefaultParagraphFont"/>
    <w:link w:val="Heading7"/>
    <w:uiPriority w:val="2"/>
    <w:semiHidden/>
    <w:rsid w:val="00D91FC6"/>
    <w:rPr>
      <w:rFonts w:ascii="Times New Roman" w:hAnsi="Times New Roman" w:cs="Times New Roman"/>
      <w:sz w:val="24"/>
      <w:szCs w:val="20"/>
    </w:rPr>
  </w:style>
  <w:style w:type="character" w:customStyle="1" w:styleId="Heading8Char">
    <w:name w:val="Heading 8 Char"/>
    <w:basedOn w:val="DefaultParagraphFont"/>
    <w:link w:val="Heading8"/>
    <w:uiPriority w:val="2"/>
    <w:semiHidden/>
    <w:rsid w:val="00D91FC6"/>
    <w:rPr>
      <w:rFonts w:ascii="Times New Roman" w:hAnsi="Times New Roman" w:cs="Times New Roman"/>
      <w:sz w:val="24"/>
      <w:szCs w:val="20"/>
    </w:rPr>
  </w:style>
  <w:style w:type="character" w:customStyle="1" w:styleId="Heading9Char">
    <w:name w:val="Heading 9 Char"/>
    <w:basedOn w:val="DefaultParagraphFont"/>
    <w:link w:val="Heading9"/>
    <w:uiPriority w:val="2"/>
    <w:semiHidden/>
    <w:rsid w:val="00D91FC6"/>
    <w:rPr>
      <w:rFonts w:ascii="Times New Roman" w:hAnsi="Times New Roman" w:cs="Times New Roman"/>
      <w:sz w:val="24"/>
      <w:szCs w:val="20"/>
    </w:rPr>
  </w:style>
  <w:style w:type="paragraph" w:styleId="Title">
    <w:name w:val="Title"/>
    <w:basedOn w:val="Normal"/>
    <w:next w:val="BodyText"/>
    <w:link w:val="TitleChar"/>
    <w:qFormat/>
    <w:rsid w:val="001C7555"/>
    <w:pPr>
      <w:keepNext/>
      <w:keepLines/>
      <w:spacing w:after="240"/>
      <w:contextualSpacing/>
      <w:jc w:val="center"/>
      <w:outlineLvl w:val="0"/>
    </w:pPr>
    <w:rPr>
      <w:rFonts w:ascii="Times New Roman Bold" w:eastAsiaTheme="majorEastAsia" w:hAnsi="Times New Roman Bold" w:cstheme="majorBidi"/>
      <w:b/>
      <w:caps/>
      <w:color w:val="000000"/>
      <w:spacing w:val="5"/>
      <w:kern w:val="28"/>
      <w:szCs w:val="52"/>
    </w:rPr>
  </w:style>
  <w:style w:type="character" w:customStyle="1" w:styleId="TitleChar">
    <w:name w:val="Title Char"/>
    <w:basedOn w:val="DefaultParagraphFont"/>
    <w:link w:val="Title"/>
    <w:rsid w:val="00317DCE"/>
    <w:rPr>
      <w:rFonts w:ascii="Times New Roman Bold" w:eastAsiaTheme="majorEastAsia" w:hAnsi="Times New Roman Bold" w:cstheme="majorBidi"/>
      <w:b/>
      <w:caps/>
      <w:color w:val="000000"/>
      <w:spacing w:val="5"/>
      <w:kern w:val="28"/>
      <w:sz w:val="24"/>
      <w:szCs w:val="52"/>
    </w:rPr>
  </w:style>
  <w:style w:type="paragraph" w:styleId="Subtitle">
    <w:name w:val="Subtitle"/>
    <w:basedOn w:val="Title"/>
    <w:next w:val="BodyText"/>
    <w:link w:val="SubtitleChar"/>
    <w:qFormat/>
    <w:rsid w:val="001C7555"/>
    <w:pPr>
      <w:numPr>
        <w:ilvl w:val="1"/>
      </w:numPr>
      <w:outlineLvl w:val="1"/>
    </w:pPr>
    <w:rPr>
      <w:iCs/>
      <w:caps w:val="0"/>
      <w:color w:val="auto"/>
      <w:spacing w:val="15"/>
    </w:rPr>
  </w:style>
  <w:style w:type="character" w:customStyle="1" w:styleId="SubtitleChar">
    <w:name w:val="Subtitle Char"/>
    <w:basedOn w:val="DefaultParagraphFont"/>
    <w:link w:val="Subtitle"/>
    <w:rsid w:val="00317DCE"/>
    <w:rPr>
      <w:rFonts w:ascii="Times New Roman Bold" w:eastAsiaTheme="majorEastAsia" w:hAnsi="Times New Roman Bold" w:cstheme="majorBidi"/>
      <w:b/>
      <w:iCs/>
      <w:spacing w:val="15"/>
      <w:kern w:val="28"/>
      <w:sz w:val="24"/>
      <w:szCs w:val="52"/>
    </w:rPr>
  </w:style>
  <w:style w:type="paragraph" w:customStyle="1" w:styleId="Bullet-DS">
    <w:name w:val="Bullet-DS"/>
    <w:basedOn w:val="Normal"/>
    <w:rsid w:val="00727A89"/>
    <w:pPr>
      <w:numPr>
        <w:numId w:val="1"/>
      </w:numPr>
      <w:tabs>
        <w:tab w:val="clear" w:pos="720"/>
      </w:tabs>
      <w:spacing w:line="480" w:lineRule="auto"/>
      <w:ind w:left="1440" w:hanging="720"/>
    </w:pPr>
  </w:style>
  <w:style w:type="paragraph" w:customStyle="1" w:styleId="Bullet-SS">
    <w:name w:val="Bullet-SS"/>
    <w:basedOn w:val="Normal"/>
    <w:rsid w:val="00727A89"/>
    <w:pPr>
      <w:numPr>
        <w:numId w:val="2"/>
      </w:numPr>
      <w:tabs>
        <w:tab w:val="clear" w:pos="720"/>
      </w:tabs>
      <w:spacing w:after="240"/>
      <w:ind w:left="1440" w:hanging="720"/>
    </w:pPr>
  </w:style>
  <w:style w:type="table" w:styleId="TableGrid">
    <w:name w:val="Table Grid"/>
    <w:basedOn w:val="TableNormal"/>
    <w:uiPriority w:val="59"/>
    <w:rsid w:val="007B3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Normal"/>
    <w:next w:val="Footer"/>
    <w:link w:val="DocIDChar"/>
    <w:rsid w:val="006E588A"/>
    <w:rPr>
      <w:sz w:val="16"/>
    </w:rPr>
  </w:style>
  <w:style w:type="character" w:customStyle="1" w:styleId="DocIDChar">
    <w:name w:val="DocID Char"/>
    <w:basedOn w:val="BodyTextChar"/>
    <w:link w:val="DocID"/>
    <w:rsid w:val="006E588A"/>
    <w:rPr>
      <w:rFonts w:ascii="Times New Roman" w:hAnsi="Times New Roman" w:cs="Times New Roman"/>
      <w:sz w:val="16"/>
      <w:szCs w:val="24"/>
    </w:rPr>
  </w:style>
  <w:style w:type="paragraph" w:styleId="BalloonText">
    <w:name w:val="Balloon Text"/>
    <w:basedOn w:val="Normal"/>
    <w:link w:val="BalloonTextChar"/>
    <w:uiPriority w:val="99"/>
    <w:semiHidden/>
    <w:unhideWhenUsed/>
    <w:rsid w:val="00CE7574"/>
    <w:rPr>
      <w:rFonts w:ascii="Tahoma" w:hAnsi="Tahoma" w:cs="Tahoma"/>
      <w:sz w:val="16"/>
      <w:szCs w:val="16"/>
    </w:rPr>
  </w:style>
  <w:style w:type="character" w:customStyle="1" w:styleId="BalloonTextChar">
    <w:name w:val="Balloon Text Char"/>
    <w:basedOn w:val="DefaultParagraphFont"/>
    <w:link w:val="BalloonText"/>
    <w:uiPriority w:val="99"/>
    <w:semiHidden/>
    <w:rsid w:val="00CE7574"/>
    <w:rPr>
      <w:rFonts w:ascii="Tahoma" w:hAnsi="Tahoma" w:cs="Tahoma"/>
      <w:sz w:val="16"/>
      <w:szCs w:val="16"/>
    </w:rPr>
  </w:style>
  <w:style w:type="table" w:customStyle="1" w:styleId="TableGrid1">
    <w:name w:val="Table Grid1"/>
    <w:basedOn w:val="TableNormal"/>
    <w:next w:val="TableGrid"/>
    <w:uiPriority w:val="59"/>
    <w:rsid w:val="00530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EA722D"/>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C20F5"/>
    <w:rPr>
      <w:sz w:val="16"/>
      <w:szCs w:val="16"/>
    </w:rPr>
  </w:style>
  <w:style w:type="paragraph" w:styleId="CommentText">
    <w:name w:val="annotation text"/>
    <w:basedOn w:val="Normal"/>
    <w:link w:val="CommentTextChar"/>
    <w:uiPriority w:val="99"/>
    <w:semiHidden/>
    <w:unhideWhenUsed/>
    <w:rsid w:val="00DC20F5"/>
    <w:rPr>
      <w:sz w:val="20"/>
      <w:szCs w:val="20"/>
    </w:rPr>
  </w:style>
  <w:style w:type="character" w:customStyle="1" w:styleId="CommentTextChar">
    <w:name w:val="Comment Text Char"/>
    <w:basedOn w:val="DefaultParagraphFont"/>
    <w:link w:val="CommentText"/>
    <w:uiPriority w:val="99"/>
    <w:semiHidden/>
    <w:rsid w:val="00DC20F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20F5"/>
    <w:rPr>
      <w:b/>
      <w:bCs/>
    </w:rPr>
  </w:style>
  <w:style w:type="character" w:customStyle="1" w:styleId="CommentSubjectChar">
    <w:name w:val="Comment Subject Char"/>
    <w:basedOn w:val="CommentTextChar"/>
    <w:link w:val="CommentSubject"/>
    <w:uiPriority w:val="99"/>
    <w:semiHidden/>
    <w:rsid w:val="00DC20F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Crowell &amp; Moring, LLP</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Hutter, Bradley</dc:creator>
  <cp:lastModifiedBy>Hutter, Bradley</cp:lastModifiedBy>
  <cp:revision>2</cp:revision>
  <cp:lastPrinted>2015-02-03T20:52:00Z</cp:lastPrinted>
  <dcterms:created xsi:type="dcterms:W3CDTF">2015-02-03T21:02:00Z</dcterms:created>
  <dcterms:modified xsi:type="dcterms:W3CDTF">2015-02-03T21:02:00Z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0|-|1|.|2|</vt:lpwstr>
  </property>
  <property fmtid="{D5CDD505-2E9C-101B-9397-08002B2CF9AE}" pid="3" name="DocID">
    <vt:lpwstr>DCACTIVE-30460918.3</vt:lpwstr>
  </property>
</Properties>
</file>