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6ED91" w14:textId="38F18AFD" w:rsidR="008D0F41" w:rsidRPr="00CF6AF5" w:rsidRDefault="00CF6AF5" w:rsidP="008D0F41">
      <w:pPr>
        <w:jc w:val="center"/>
        <w:rPr>
          <w:rFonts w:ascii="Arial Bold" w:hAnsi="Arial Bold"/>
          <w:b/>
          <w:smallCaps/>
          <w:sz w:val="32"/>
        </w:rPr>
      </w:pPr>
      <w:r w:rsidRPr="00CF6AF5">
        <w:rPr>
          <w:rFonts w:ascii="Arial Bold" w:hAnsi="Arial Bold"/>
          <w:b/>
          <w:smallCaps/>
          <w:sz w:val="32"/>
        </w:rPr>
        <w:t>Before</w:t>
      </w:r>
    </w:p>
    <w:p w14:paraId="3A947FCF" w14:textId="2882D898" w:rsidR="008D0F41" w:rsidRPr="00CF6AF5" w:rsidRDefault="00CF6AF5" w:rsidP="008D0F41">
      <w:pPr>
        <w:jc w:val="center"/>
        <w:rPr>
          <w:rFonts w:ascii="Arial Bold" w:hAnsi="Arial Bold"/>
          <w:b/>
          <w:smallCaps/>
          <w:sz w:val="32"/>
        </w:rPr>
      </w:pPr>
      <w:r w:rsidRPr="00CF6AF5">
        <w:rPr>
          <w:rFonts w:ascii="Arial Bold" w:hAnsi="Arial Bold"/>
          <w:b/>
          <w:smallCaps/>
          <w:sz w:val="32"/>
        </w:rPr>
        <w:t>The Public Utilities Commission of Ohio</w:t>
      </w:r>
    </w:p>
    <w:p w14:paraId="6DF80183" w14:textId="77777777" w:rsidR="008D0F41" w:rsidRDefault="008D0F41" w:rsidP="008D0F41">
      <w:pPr>
        <w:jc w:val="center"/>
        <w:rPr>
          <w:b/>
        </w:rPr>
      </w:pPr>
    </w:p>
    <w:p w14:paraId="5E5EEC35" w14:textId="77777777" w:rsidR="008D0F41" w:rsidRDefault="008D0F41" w:rsidP="008B5640">
      <w:pPr>
        <w:tabs>
          <w:tab w:val="left" w:pos="4680"/>
          <w:tab w:val="left" w:pos="5220"/>
        </w:tabs>
      </w:pPr>
      <w:r>
        <w:t>In the Matter of the Application of Duke</w:t>
      </w:r>
      <w:r>
        <w:tab/>
        <w:t>)</w:t>
      </w:r>
    </w:p>
    <w:p w14:paraId="7A98A390" w14:textId="77777777" w:rsidR="008D0F41" w:rsidRDefault="008B5640" w:rsidP="008B5640">
      <w:pPr>
        <w:tabs>
          <w:tab w:val="left" w:pos="4680"/>
          <w:tab w:val="left" w:pos="5220"/>
        </w:tabs>
      </w:pPr>
      <w:r>
        <w:t>Energy Ohio, Inc.</w:t>
      </w:r>
      <w:r w:rsidR="008D0F41">
        <w:t xml:space="preserve"> for Approval to Modify</w:t>
      </w:r>
      <w:r w:rsidR="008D0F41">
        <w:tab/>
        <w:t>)</w:t>
      </w:r>
      <w:r w:rsidR="008D0F41">
        <w:tab/>
        <w:t>Case No. 17-872-EL-RDR</w:t>
      </w:r>
    </w:p>
    <w:p w14:paraId="4CC7C43F" w14:textId="77777777" w:rsidR="008D0F41" w:rsidRDefault="008D0F41" w:rsidP="008B5640">
      <w:pPr>
        <w:tabs>
          <w:tab w:val="left" w:pos="4680"/>
          <w:tab w:val="left" w:pos="5220"/>
        </w:tabs>
      </w:pPr>
      <w:r>
        <w:t>Rider PSR.</w:t>
      </w:r>
      <w:r>
        <w:tab/>
        <w:t>)</w:t>
      </w:r>
    </w:p>
    <w:p w14:paraId="26C08552" w14:textId="77777777" w:rsidR="008D0F41" w:rsidRDefault="008D0F41" w:rsidP="008B5640">
      <w:pPr>
        <w:tabs>
          <w:tab w:val="left" w:pos="4680"/>
          <w:tab w:val="left" w:pos="5220"/>
        </w:tabs>
      </w:pPr>
    </w:p>
    <w:p w14:paraId="42C76BDD" w14:textId="77777777" w:rsidR="008D0F41" w:rsidRDefault="008D0F41" w:rsidP="008B5640">
      <w:pPr>
        <w:tabs>
          <w:tab w:val="left" w:pos="4680"/>
          <w:tab w:val="left" w:pos="5220"/>
        </w:tabs>
      </w:pPr>
      <w:r>
        <w:t>In the Matter of the Application of Duke</w:t>
      </w:r>
      <w:r>
        <w:tab/>
        <w:t>)</w:t>
      </w:r>
    </w:p>
    <w:p w14:paraId="7781C54A" w14:textId="77777777" w:rsidR="008D0F41" w:rsidRDefault="008B5640" w:rsidP="008B5640">
      <w:pPr>
        <w:tabs>
          <w:tab w:val="left" w:pos="4680"/>
          <w:tab w:val="left" w:pos="5220"/>
        </w:tabs>
      </w:pPr>
      <w:r>
        <w:t>Energy Ohio, Inc.</w:t>
      </w:r>
      <w:r w:rsidR="008D0F41">
        <w:t xml:space="preserve"> for Approval to Amend</w:t>
      </w:r>
      <w:r w:rsidR="008D0F41">
        <w:tab/>
        <w:t>)</w:t>
      </w:r>
      <w:r w:rsidR="008D0F41">
        <w:tab/>
        <w:t>Case No. 17-873-EL-ATA</w:t>
      </w:r>
    </w:p>
    <w:p w14:paraId="487A9714" w14:textId="77777777" w:rsidR="008D0F41" w:rsidRDefault="008D0F41" w:rsidP="008B5640">
      <w:pPr>
        <w:tabs>
          <w:tab w:val="left" w:pos="4680"/>
          <w:tab w:val="left" w:pos="5220"/>
        </w:tabs>
      </w:pPr>
      <w:r>
        <w:t>Rider PSR.</w:t>
      </w:r>
      <w:r>
        <w:tab/>
        <w:t>)</w:t>
      </w:r>
    </w:p>
    <w:p w14:paraId="2202A306" w14:textId="77777777" w:rsidR="008D0F41" w:rsidRDefault="008D0F41" w:rsidP="008B5640">
      <w:pPr>
        <w:tabs>
          <w:tab w:val="left" w:pos="4680"/>
          <w:tab w:val="left" w:pos="5220"/>
        </w:tabs>
      </w:pPr>
    </w:p>
    <w:p w14:paraId="5A34DEF7" w14:textId="77777777" w:rsidR="008D0F41" w:rsidRDefault="008D0F41" w:rsidP="008B5640">
      <w:pPr>
        <w:tabs>
          <w:tab w:val="left" w:pos="4680"/>
          <w:tab w:val="left" w:pos="5220"/>
        </w:tabs>
      </w:pPr>
      <w:r>
        <w:t>In the Matter of the Application of Duke</w:t>
      </w:r>
      <w:r>
        <w:tab/>
        <w:t>)</w:t>
      </w:r>
    </w:p>
    <w:p w14:paraId="395A9601" w14:textId="77777777" w:rsidR="008D0F41" w:rsidRDefault="008B5640" w:rsidP="008B5640">
      <w:pPr>
        <w:tabs>
          <w:tab w:val="left" w:pos="4680"/>
          <w:tab w:val="left" w:pos="5220"/>
        </w:tabs>
      </w:pPr>
      <w:r>
        <w:t>Energy Ohio, Inc.</w:t>
      </w:r>
      <w:r w:rsidR="008D0F41">
        <w:t xml:space="preserve"> for Approval to Change</w:t>
      </w:r>
      <w:r w:rsidR="008D0F41">
        <w:tab/>
        <w:t>)</w:t>
      </w:r>
      <w:r w:rsidR="008D0F41">
        <w:tab/>
        <w:t>Case No. 17-874-EL-AAM</w:t>
      </w:r>
    </w:p>
    <w:p w14:paraId="633969E5" w14:textId="77777777" w:rsidR="008D0F41" w:rsidRDefault="008D0F41" w:rsidP="008B5640">
      <w:pPr>
        <w:tabs>
          <w:tab w:val="left" w:pos="4680"/>
          <w:tab w:val="left" w:pos="5220"/>
        </w:tabs>
      </w:pPr>
      <w:r>
        <w:t>Accounting Methods.</w:t>
      </w:r>
      <w:r>
        <w:tab/>
        <w:t>)</w:t>
      </w:r>
    </w:p>
    <w:p w14:paraId="2CA0659C" w14:textId="77777777" w:rsidR="008D0F41" w:rsidRDefault="008D0F41" w:rsidP="008D0F41">
      <w:pPr>
        <w:tabs>
          <w:tab w:val="left" w:pos="4680"/>
        </w:tabs>
      </w:pPr>
    </w:p>
    <w:p w14:paraId="2066EF56" w14:textId="77777777" w:rsidR="008D0F41" w:rsidRDefault="008D0F41" w:rsidP="008D0F41">
      <w:pPr>
        <w:rPr>
          <w:b/>
        </w:rPr>
      </w:pPr>
      <w:r>
        <w:rPr>
          <w:b/>
        </w:rPr>
        <w:t>______________________________________________________________________</w:t>
      </w:r>
    </w:p>
    <w:p w14:paraId="27F86BAB" w14:textId="77777777" w:rsidR="00A61D6C" w:rsidRPr="008B5640" w:rsidRDefault="00A61D6C" w:rsidP="0032050A">
      <w:pPr>
        <w:jc w:val="center"/>
        <w:rPr>
          <w:caps/>
        </w:rPr>
      </w:pPr>
    </w:p>
    <w:p w14:paraId="6A4F1157" w14:textId="3996C8C2" w:rsidR="00CF6AF5" w:rsidRPr="00CF6AF5" w:rsidRDefault="00CF6AF5" w:rsidP="0032050A">
      <w:pPr>
        <w:jc w:val="center"/>
        <w:rPr>
          <w:rFonts w:ascii="Arial Bold" w:hAnsi="Arial Bold"/>
          <w:b/>
          <w:smallCaps/>
          <w:sz w:val="28"/>
          <w:szCs w:val="28"/>
        </w:rPr>
      </w:pPr>
      <w:r w:rsidRPr="00CF6AF5">
        <w:rPr>
          <w:rFonts w:ascii="Arial Bold" w:hAnsi="Arial Bold"/>
          <w:b/>
          <w:smallCaps/>
          <w:sz w:val="28"/>
          <w:szCs w:val="28"/>
        </w:rPr>
        <w:t xml:space="preserve">Reply in Support of an Order Dismissing the Application or, </w:t>
      </w:r>
    </w:p>
    <w:p w14:paraId="495B2780" w14:textId="51E21213" w:rsidR="00A61D6C" w:rsidRPr="00CF6AF5" w:rsidRDefault="00CF6AF5" w:rsidP="0032050A">
      <w:pPr>
        <w:jc w:val="center"/>
        <w:rPr>
          <w:rFonts w:ascii="Arial Bold" w:hAnsi="Arial Bold"/>
          <w:b/>
          <w:caps/>
          <w:smallCaps/>
          <w:sz w:val="28"/>
          <w:szCs w:val="28"/>
        </w:rPr>
      </w:pPr>
      <w:r w:rsidRPr="00CF6AF5">
        <w:rPr>
          <w:rFonts w:ascii="Arial Bold" w:hAnsi="Arial Bold"/>
          <w:b/>
          <w:smallCaps/>
          <w:sz w:val="28"/>
          <w:szCs w:val="28"/>
        </w:rPr>
        <w:t>in the Alternative, Staying the Proceeding,</w:t>
      </w:r>
    </w:p>
    <w:p w14:paraId="49073178" w14:textId="5C38C0DE" w:rsidR="00A61D6C" w:rsidRPr="00CF6AF5" w:rsidRDefault="00CF6AF5" w:rsidP="0032050A">
      <w:pPr>
        <w:jc w:val="center"/>
        <w:rPr>
          <w:rFonts w:ascii="Arial Bold" w:hAnsi="Arial Bold"/>
          <w:b/>
          <w:caps/>
          <w:smallCaps/>
          <w:sz w:val="28"/>
          <w:szCs w:val="28"/>
        </w:rPr>
      </w:pPr>
      <w:r w:rsidRPr="00CF6AF5">
        <w:rPr>
          <w:rFonts w:ascii="Arial Bold" w:hAnsi="Arial Bold"/>
          <w:b/>
          <w:smallCaps/>
          <w:sz w:val="28"/>
          <w:szCs w:val="28"/>
        </w:rPr>
        <w:t>by Industrial Energy Users-Ohio,</w:t>
      </w:r>
    </w:p>
    <w:p w14:paraId="340193E6" w14:textId="06724040" w:rsidR="008E3BF4" w:rsidRPr="00CF6AF5" w:rsidRDefault="00CF6AF5" w:rsidP="0032050A">
      <w:pPr>
        <w:jc w:val="center"/>
        <w:rPr>
          <w:rFonts w:ascii="Arial Bold" w:hAnsi="Arial Bold"/>
          <w:b/>
          <w:caps/>
          <w:smallCaps/>
          <w:sz w:val="28"/>
          <w:szCs w:val="28"/>
        </w:rPr>
      </w:pPr>
      <w:r w:rsidRPr="00CF6AF5">
        <w:rPr>
          <w:rFonts w:ascii="Arial Bold" w:hAnsi="Arial Bold"/>
          <w:b/>
          <w:smallCaps/>
          <w:sz w:val="28"/>
          <w:szCs w:val="28"/>
        </w:rPr>
        <w:t>the Office of the Ohio Consumers’ Counsel,</w:t>
      </w:r>
    </w:p>
    <w:p w14:paraId="3B93A716" w14:textId="46F956E7" w:rsidR="00A61D6C" w:rsidRPr="00CF6AF5" w:rsidRDefault="00CF6AF5" w:rsidP="0032050A">
      <w:pPr>
        <w:jc w:val="center"/>
        <w:rPr>
          <w:rFonts w:ascii="Arial Bold" w:hAnsi="Arial Bold"/>
          <w:b/>
          <w:caps/>
          <w:smallCaps/>
          <w:sz w:val="28"/>
          <w:szCs w:val="28"/>
        </w:rPr>
      </w:pPr>
      <w:r w:rsidRPr="00CF6AF5">
        <w:rPr>
          <w:rFonts w:ascii="Arial Bold" w:hAnsi="Arial Bold"/>
          <w:b/>
          <w:smallCaps/>
          <w:sz w:val="28"/>
          <w:szCs w:val="28"/>
        </w:rPr>
        <w:t>Ohio Partners for Affordable Energy,</w:t>
      </w:r>
    </w:p>
    <w:p w14:paraId="2A7DCA3D" w14:textId="65683377" w:rsidR="00A61D6C" w:rsidRPr="00CF6AF5" w:rsidRDefault="00CF6AF5" w:rsidP="00A61D6C">
      <w:pPr>
        <w:jc w:val="center"/>
        <w:rPr>
          <w:rFonts w:ascii="Arial Bold" w:hAnsi="Arial Bold"/>
          <w:b/>
          <w:caps/>
          <w:smallCaps/>
          <w:sz w:val="28"/>
          <w:szCs w:val="28"/>
        </w:rPr>
      </w:pPr>
      <w:r w:rsidRPr="00CF6AF5">
        <w:rPr>
          <w:rFonts w:ascii="Arial Bold" w:hAnsi="Arial Bold"/>
          <w:b/>
          <w:smallCaps/>
          <w:sz w:val="28"/>
          <w:szCs w:val="28"/>
        </w:rPr>
        <w:t xml:space="preserve">The Kroger Co., and </w:t>
      </w:r>
    </w:p>
    <w:p w14:paraId="36C4586F" w14:textId="3CBF694F" w:rsidR="00A61D6C" w:rsidRPr="00CF6AF5" w:rsidRDefault="00CF6AF5" w:rsidP="00A61D6C">
      <w:pPr>
        <w:jc w:val="center"/>
        <w:rPr>
          <w:rFonts w:ascii="Arial Bold" w:hAnsi="Arial Bold"/>
          <w:b/>
          <w:caps/>
          <w:smallCaps/>
          <w:sz w:val="28"/>
          <w:szCs w:val="28"/>
        </w:rPr>
      </w:pPr>
      <w:r w:rsidRPr="00CF6AF5">
        <w:rPr>
          <w:rFonts w:ascii="Arial Bold" w:hAnsi="Arial Bold"/>
          <w:b/>
          <w:smallCaps/>
          <w:sz w:val="28"/>
          <w:szCs w:val="28"/>
        </w:rPr>
        <w:t>Ohio Manufacturers’ Association Energy Group</w:t>
      </w:r>
    </w:p>
    <w:p w14:paraId="25815EBC" w14:textId="77777777" w:rsidR="00A61D6C" w:rsidRDefault="00A61D6C" w:rsidP="008B5640">
      <w:pPr>
        <w:pBdr>
          <w:bottom w:val="single" w:sz="12" w:space="1" w:color="auto"/>
        </w:pBdr>
        <w:jc w:val="center"/>
      </w:pPr>
    </w:p>
    <w:p w14:paraId="003D223B" w14:textId="77777777" w:rsidR="005164A7" w:rsidRDefault="005164A7" w:rsidP="008D0F41"/>
    <w:p w14:paraId="4AB0313F" w14:textId="77777777" w:rsidR="005164A7" w:rsidRDefault="005164A7" w:rsidP="008D0F41">
      <w:pPr>
        <w:sectPr w:rsidR="005164A7" w:rsidSect="0076126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titlePg/>
          <w:docGrid w:linePitch="360"/>
        </w:sectPr>
      </w:pPr>
    </w:p>
    <w:p w14:paraId="3BD1B681" w14:textId="2DAC6BCC" w:rsidR="008D0F41" w:rsidRDefault="008D0F41" w:rsidP="008D0F41">
      <w:r>
        <w:t>Frank P. Darr (Reg. No. 0025469)</w:t>
      </w:r>
    </w:p>
    <w:p w14:paraId="77534F52" w14:textId="77777777" w:rsidR="008D0F41" w:rsidRDefault="008D0F41" w:rsidP="008D0F41">
      <w:r>
        <w:t>(Counsel of Record)</w:t>
      </w:r>
    </w:p>
    <w:p w14:paraId="52170289" w14:textId="77777777" w:rsidR="008D0F41" w:rsidRDefault="008D0F41" w:rsidP="008D0F41">
      <w:pPr>
        <w:widowControl w:val="0"/>
        <w:rPr>
          <w:rFonts w:eastAsia="Calibri" w:cs="Arial"/>
          <w:bCs/>
        </w:rPr>
      </w:pPr>
      <w:r>
        <w:rPr>
          <w:rFonts w:eastAsia="Calibri" w:cs="Arial"/>
          <w:bCs/>
        </w:rPr>
        <w:t>Matthew R. Pritchard (Reg. No. 0088070)</w:t>
      </w:r>
    </w:p>
    <w:p w14:paraId="57C92473" w14:textId="77777777" w:rsidR="008D0F41" w:rsidRDefault="008D0F41" w:rsidP="008D0F41">
      <w:pPr>
        <w:widowControl w:val="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14:paraId="5A883215" w14:textId="77777777" w:rsidR="008D0F41" w:rsidRDefault="008D0F41" w:rsidP="008D0F41">
      <w:pPr>
        <w:widowControl w:val="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35F63575" w14:textId="77777777" w:rsidR="008D0F41" w:rsidRDefault="008D0F41" w:rsidP="008D0F41">
      <w:pPr>
        <w:tabs>
          <w:tab w:val="left" w:pos="-1440"/>
          <w:tab w:val="left" w:pos="-720"/>
          <w:tab w:val="left" w:pos="5040"/>
          <w:tab w:val="center" w:pos="7200"/>
        </w:tabs>
        <w:overflowPunct w:val="0"/>
        <w:autoSpaceDE w:val="0"/>
        <w:autoSpaceDN w:val="0"/>
        <w:adjustRightInd w:val="0"/>
        <w:rPr>
          <w:rFonts w:eastAsia="Calibri" w:cs="Arial"/>
        </w:rPr>
      </w:pPr>
      <w:r>
        <w:rPr>
          <w:rFonts w:eastAsia="Calibri" w:cs="Arial"/>
        </w:rPr>
        <w:t>Columbus, OH  43215</w:t>
      </w:r>
    </w:p>
    <w:p w14:paraId="416D9D93" w14:textId="77777777" w:rsidR="008D0F41" w:rsidRDefault="008D0F41" w:rsidP="008D0F41">
      <w:pPr>
        <w:tabs>
          <w:tab w:val="left" w:pos="-1440"/>
          <w:tab w:val="left" w:pos="-720"/>
          <w:tab w:val="left" w:pos="5040"/>
          <w:tab w:val="center" w:pos="7200"/>
        </w:tabs>
        <w:overflowPunct w:val="0"/>
        <w:autoSpaceDE w:val="0"/>
        <w:autoSpaceDN w:val="0"/>
        <w:adjustRightInd w:val="0"/>
        <w:rPr>
          <w:rFonts w:eastAsia="Calibri" w:cs="Arial"/>
        </w:rPr>
      </w:pPr>
      <w:r>
        <w:rPr>
          <w:rFonts w:eastAsia="Calibri" w:cs="Arial"/>
        </w:rPr>
        <w:t>(614) 469-8000</w:t>
      </w:r>
    </w:p>
    <w:p w14:paraId="2542E29A" w14:textId="77777777" w:rsidR="008D0F41" w:rsidRDefault="008D0F41" w:rsidP="008D0F41">
      <w:pPr>
        <w:tabs>
          <w:tab w:val="left" w:pos="-1440"/>
          <w:tab w:val="left" w:pos="-720"/>
          <w:tab w:val="left" w:pos="5040"/>
          <w:tab w:val="center" w:pos="7200"/>
        </w:tabs>
        <w:overflowPunct w:val="0"/>
        <w:autoSpaceDE w:val="0"/>
        <w:autoSpaceDN w:val="0"/>
        <w:adjustRightInd w:val="0"/>
        <w:rPr>
          <w:rFonts w:eastAsia="Calibri" w:cs="Arial"/>
          <w:color w:val="000000"/>
        </w:rPr>
      </w:pPr>
      <w:r>
        <w:rPr>
          <w:rFonts w:eastAsia="Calibri" w:cs="Arial"/>
          <w:color w:val="000000"/>
        </w:rPr>
        <w:t>(614) 469-4653</w:t>
      </w:r>
    </w:p>
    <w:p w14:paraId="11FBEB64" w14:textId="77777777" w:rsidR="008D0F41" w:rsidRDefault="008D0F41" w:rsidP="008D0F41">
      <w:pPr>
        <w:tabs>
          <w:tab w:val="left" w:pos="-1440"/>
          <w:tab w:val="left" w:pos="-720"/>
          <w:tab w:val="left" w:pos="5040"/>
          <w:tab w:val="center" w:pos="7200"/>
        </w:tabs>
        <w:overflowPunct w:val="0"/>
        <w:autoSpaceDE w:val="0"/>
        <w:autoSpaceDN w:val="0"/>
        <w:adjustRightInd w:val="0"/>
        <w:rPr>
          <w:rFonts w:eastAsia="Calibri" w:cs="Arial"/>
          <w:color w:val="000000"/>
        </w:rPr>
      </w:pPr>
      <w:r>
        <w:rPr>
          <w:rFonts w:eastAsia="Calibri" w:cs="Arial"/>
        </w:rPr>
        <w:t>fdarr@mwncmh.com</w:t>
      </w:r>
    </w:p>
    <w:p w14:paraId="08820CB6" w14:textId="77777777" w:rsidR="008D0F41" w:rsidRDefault="008D0F41" w:rsidP="008D0F41">
      <w:pPr>
        <w:tabs>
          <w:tab w:val="left" w:pos="-1440"/>
          <w:tab w:val="left" w:pos="-720"/>
          <w:tab w:val="left" w:pos="5040"/>
          <w:tab w:val="center" w:pos="7200"/>
        </w:tabs>
        <w:overflowPunct w:val="0"/>
        <w:autoSpaceDE w:val="0"/>
        <w:autoSpaceDN w:val="0"/>
        <w:adjustRightInd w:val="0"/>
        <w:rPr>
          <w:rFonts w:eastAsia="Calibri" w:cs="Arial"/>
          <w:color w:val="000000"/>
        </w:rPr>
      </w:pPr>
      <w:r>
        <w:rPr>
          <w:rFonts w:eastAsia="Calibri" w:cs="Arial"/>
        </w:rPr>
        <w:t>mpritchard@mwncmh.com</w:t>
      </w:r>
    </w:p>
    <w:p w14:paraId="002E4A22" w14:textId="77777777" w:rsidR="008D0F41" w:rsidRDefault="008D0F41" w:rsidP="008D0F41">
      <w:pPr>
        <w:tabs>
          <w:tab w:val="left" w:pos="-1440"/>
          <w:tab w:val="left" w:pos="-720"/>
          <w:tab w:val="left" w:pos="5040"/>
          <w:tab w:val="center" w:pos="7200"/>
        </w:tabs>
        <w:overflowPunct w:val="0"/>
        <w:autoSpaceDE w:val="0"/>
        <w:autoSpaceDN w:val="0"/>
        <w:adjustRightInd w:val="0"/>
        <w:rPr>
          <w:rFonts w:cs="Arial"/>
          <w:b/>
          <w:smallCaps/>
          <w:color w:val="000000"/>
        </w:rPr>
      </w:pPr>
    </w:p>
    <w:p w14:paraId="0ADEADAE" w14:textId="77777777" w:rsidR="008D0F41" w:rsidRDefault="008D0F41" w:rsidP="008D0F41">
      <w:pPr>
        <w:tabs>
          <w:tab w:val="left" w:pos="-1440"/>
          <w:tab w:val="left" w:pos="-720"/>
          <w:tab w:val="left" w:pos="5040"/>
          <w:tab w:val="center" w:pos="7200"/>
        </w:tabs>
        <w:overflowPunct w:val="0"/>
        <w:autoSpaceDE w:val="0"/>
        <w:autoSpaceDN w:val="0"/>
        <w:adjustRightInd w:val="0"/>
        <w:rPr>
          <w:rFonts w:eastAsia="Calibri" w:cs="Arial"/>
          <w:color w:val="000000"/>
        </w:rPr>
      </w:pPr>
      <w:r>
        <w:rPr>
          <w:rFonts w:cs="Arial"/>
          <w:b/>
          <w:smallCaps/>
          <w:color w:val="000000"/>
        </w:rPr>
        <w:t>On Behalf of Industrial Energy Users-Ohio</w:t>
      </w:r>
    </w:p>
    <w:p w14:paraId="19073E12" w14:textId="6C69CA37" w:rsidR="00CE575F" w:rsidRPr="007F35D3" w:rsidRDefault="008B5640" w:rsidP="00CE575F">
      <w:pPr>
        <w:rPr>
          <w:rFonts w:cs="Arial"/>
          <w:color w:val="000000" w:themeColor="text1"/>
        </w:rPr>
      </w:pPr>
      <w:r>
        <w:rPr>
          <w:rFonts w:cs="Arial"/>
        </w:rPr>
        <w:br w:type="column"/>
      </w:r>
      <w:r w:rsidR="00CE575F" w:rsidRPr="007F35D3">
        <w:rPr>
          <w:rFonts w:cs="Arial"/>
          <w:color w:val="000000" w:themeColor="text1"/>
        </w:rPr>
        <w:lastRenderedPageBreak/>
        <w:t>BRUCE WESTON (</w:t>
      </w:r>
      <w:r w:rsidR="00D10CB9">
        <w:rPr>
          <w:rFonts w:cs="Arial"/>
          <w:color w:val="000000" w:themeColor="text1"/>
        </w:rPr>
        <w:t xml:space="preserve">Reg. No. </w:t>
      </w:r>
      <w:r w:rsidR="00CE575F" w:rsidRPr="007F35D3">
        <w:rPr>
          <w:rFonts w:cs="Arial"/>
          <w:color w:val="000000" w:themeColor="text1"/>
        </w:rPr>
        <w:t>0016973)</w:t>
      </w:r>
    </w:p>
    <w:p w14:paraId="45E4FF1F" w14:textId="77777777" w:rsidR="00CE575F" w:rsidRPr="007F35D3" w:rsidRDefault="00CE575F" w:rsidP="00CE575F">
      <w:pPr>
        <w:rPr>
          <w:rFonts w:cs="Arial"/>
          <w:color w:val="000000" w:themeColor="text1"/>
        </w:rPr>
      </w:pPr>
      <w:r w:rsidRPr="007F35D3">
        <w:rPr>
          <w:rFonts w:cs="Arial"/>
          <w:color w:val="000000" w:themeColor="text1"/>
        </w:rPr>
        <w:t>OHIO CONSUMERS’ COUNSEL</w:t>
      </w:r>
    </w:p>
    <w:p w14:paraId="7D1C2625" w14:textId="77777777" w:rsidR="00CE575F" w:rsidRPr="007F35D3" w:rsidRDefault="00CE575F" w:rsidP="00CE575F">
      <w:pPr>
        <w:rPr>
          <w:rFonts w:cs="Arial"/>
          <w:color w:val="000000" w:themeColor="text1"/>
        </w:rPr>
      </w:pPr>
    </w:p>
    <w:p w14:paraId="3BF04A22" w14:textId="77777777" w:rsidR="00CE575F" w:rsidRPr="007F35D3" w:rsidRDefault="00CE575F" w:rsidP="00CE575F">
      <w:pPr>
        <w:rPr>
          <w:rFonts w:cs="Arial"/>
          <w:color w:val="000000" w:themeColor="text1"/>
        </w:rPr>
      </w:pPr>
      <w:r w:rsidRPr="007F35D3">
        <w:rPr>
          <w:rFonts w:cs="Arial"/>
          <w:color w:val="000000" w:themeColor="text1"/>
        </w:rPr>
        <w:t>William J. Michael (Reg. No. 0070921)</w:t>
      </w:r>
    </w:p>
    <w:p w14:paraId="0C58DB63" w14:textId="77777777" w:rsidR="00CE575F" w:rsidRPr="007F35D3" w:rsidRDefault="00CE575F" w:rsidP="00CE575F">
      <w:pPr>
        <w:rPr>
          <w:rFonts w:cs="Arial"/>
          <w:color w:val="000000" w:themeColor="text1"/>
        </w:rPr>
      </w:pPr>
      <w:r w:rsidRPr="007F35D3">
        <w:rPr>
          <w:rFonts w:cs="Arial"/>
          <w:color w:val="000000" w:themeColor="text1"/>
        </w:rPr>
        <w:t>(Counsel of Record)</w:t>
      </w:r>
    </w:p>
    <w:p w14:paraId="47E5210F" w14:textId="77777777" w:rsidR="00CE575F" w:rsidRPr="007F35D3" w:rsidRDefault="00CE575F" w:rsidP="00CE575F">
      <w:pPr>
        <w:rPr>
          <w:rFonts w:cs="Arial"/>
          <w:color w:val="000000" w:themeColor="text1"/>
        </w:rPr>
      </w:pPr>
      <w:r w:rsidRPr="007F35D3">
        <w:rPr>
          <w:rFonts w:cs="Arial"/>
          <w:color w:val="000000" w:themeColor="text1"/>
        </w:rPr>
        <w:t>Jodi Bair (Reg. No. 0062921)</w:t>
      </w:r>
    </w:p>
    <w:p w14:paraId="3C3209DA" w14:textId="77777777" w:rsidR="00CE575F" w:rsidRPr="007F35D3" w:rsidRDefault="00CE575F" w:rsidP="00CE575F">
      <w:pPr>
        <w:rPr>
          <w:rFonts w:cs="Arial"/>
          <w:color w:val="000000" w:themeColor="text1"/>
        </w:rPr>
      </w:pPr>
      <w:r w:rsidRPr="007F35D3">
        <w:rPr>
          <w:rFonts w:cs="Arial"/>
          <w:color w:val="000000" w:themeColor="text1"/>
        </w:rPr>
        <w:t>Kevin Moore (Reg. No. 0089228)</w:t>
      </w:r>
    </w:p>
    <w:p w14:paraId="66B0BC05" w14:textId="77777777" w:rsidR="00CE575F" w:rsidRPr="007F35D3" w:rsidRDefault="00CE575F" w:rsidP="00CE575F">
      <w:pPr>
        <w:rPr>
          <w:rFonts w:cs="Arial"/>
          <w:color w:val="000000" w:themeColor="text1"/>
        </w:rPr>
      </w:pPr>
      <w:r w:rsidRPr="007F35D3">
        <w:rPr>
          <w:rFonts w:cs="Arial"/>
          <w:color w:val="000000" w:themeColor="text1"/>
        </w:rPr>
        <w:t>Assistant Consumers’ Counsel</w:t>
      </w:r>
    </w:p>
    <w:p w14:paraId="252A0521" w14:textId="77777777" w:rsidR="00CE575F" w:rsidRPr="007F35D3" w:rsidRDefault="00CE575F" w:rsidP="00CE575F">
      <w:pPr>
        <w:rPr>
          <w:rFonts w:cs="Arial"/>
          <w:color w:val="000000" w:themeColor="text1"/>
        </w:rPr>
      </w:pPr>
      <w:r w:rsidRPr="007F35D3">
        <w:rPr>
          <w:rFonts w:cs="Arial"/>
          <w:color w:val="000000" w:themeColor="text1"/>
        </w:rPr>
        <w:t>Office of the Ohio Consumers’ Counsel</w:t>
      </w:r>
    </w:p>
    <w:p w14:paraId="58137963" w14:textId="77777777" w:rsidR="00CE575F" w:rsidRPr="007F35D3" w:rsidRDefault="00CE575F" w:rsidP="00CE575F">
      <w:pPr>
        <w:rPr>
          <w:rFonts w:cs="Arial"/>
          <w:color w:val="000000" w:themeColor="text1"/>
        </w:rPr>
      </w:pPr>
      <w:r w:rsidRPr="007F35D3">
        <w:rPr>
          <w:rFonts w:cs="Arial"/>
          <w:color w:val="000000" w:themeColor="text1"/>
        </w:rPr>
        <w:t>10 West Broad Street, Suite 1800</w:t>
      </w:r>
    </w:p>
    <w:p w14:paraId="7E249FDB" w14:textId="77777777" w:rsidR="00CE575F" w:rsidRPr="007F35D3" w:rsidRDefault="00CE575F" w:rsidP="00CE575F">
      <w:pPr>
        <w:rPr>
          <w:rFonts w:cs="Arial"/>
          <w:color w:val="000000" w:themeColor="text1"/>
        </w:rPr>
      </w:pPr>
      <w:r w:rsidRPr="007F35D3">
        <w:rPr>
          <w:rFonts w:cs="Arial"/>
          <w:color w:val="000000" w:themeColor="text1"/>
        </w:rPr>
        <w:t>Columbus, OH  43215-3485</w:t>
      </w:r>
    </w:p>
    <w:p w14:paraId="5E158D0B" w14:textId="77777777" w:rsidR="00CE575F" w:rsidRPr="007F35D3" w:rsidRDefault="00CE575F" w:rsidP="00CE575F">
      <w:pPr>
        <w:rPr>
          <w:rFonts w:cs="Arial"/>
          <w:color w:val="000000" w:themeColor="text1"/>
        </w:rPr>
      </w:pPr>
      <w:r w:rsidRPr="007F35D3">
        <w:rPr>
          <w:rFonts w:cs="Arial"/>
          <w:color w:val="000000" w:themeColor="text1"/>
        </w:rPr>
        <w:t>William.michael@occ.ohio.gov</w:t>
      </w:r>
    </w:p>
    <w:p w14:paraId="7BD0BBD4" w14:textId="77777777" w:rsidR="00CE575F" w:rsidRPr="007F35D3" w:rsidRDefault="00CE575F" w:rsidP="00CE575F">
      <w:pPr>
        <w:rPr>
          <w:rFonts w:cs="Arial"/>
          <w:color w:val="000000" w:themeColor="text1"/>
        </w:rPr>
      </w:pPr>
      <w:r w:rsidRPr="007F35D3">
        <w:rPr>
          <w:rFonts w:cs="Arial"/>
          <w:color w:val="000000" w:themeColor="text1"/>
        </w:rPr>
        <w:t>Jodi.bair@occ.ohio.gov</w:t>
      </w:r>
    </w:p>
    <w:p w14:paraId="11C2B63F" w14:textId="77777777" w:rsidR="00CE575F" w:rsidRPr="007F35D3" w:rsidRDefault="00CE575F" w:rsidP="00CE575F">
      <w:pPr>
        <w:rPr>
          <w:rFonts w:cs="Arial"/>
          <w:color w:val="000000" w:themeColor="text1"/>
        </w:rPr>
      </w:pPr>
      <w:r w:rsidRPr="007F35D3">
        <w:rPr>
          <w:rFonts w:cs="Arial"/>
          <w:color w:val="000000" w:themeColor="text1"/>
        </w:rPr>
        <w:t>Kevin.moore@occ.ohio.gov</w:t>
      </w:r>
    </w:p>
    <w:p w14:paraId="75D636AC" w14:textId="77777777" w:rsidR="00CE575F" w:rsidRPr="007F35D3" w:rsidRDefault="00CE575F" w:rsidP="00CE575F">
      <w:pPr>
        <w:rPr>
          <w:rFonts w:cs="Arial"/>
          <w:color w:val="000000" w:themeColor="text1"/>
        </w:rPr>
      </w:pPr>
    </w:p>
    <w:p w14:paraId="35FC4FA2" w14:textId="77777777" w:rsidR="00CE575F" w:rsidRPr="007F35D3" w:rsidRDefault="00CE575F" w:rsidP="00CE575F">
      <w:pPr>
        <w:rPr>
          <w:rFonts w:ascii="Arial Bold" w:hAnsi="Arial Bold" w:cs="Arial"/>
          <w:b/>
          <w:smallCaps/>
          <w:color w:val="000000" w:themeColor="text1"/>
        </w:rPr>
      </w:pPr>
      <w:r w:rsidRPr="007F35D3">
        <w:rPr>
          <w:rFonts w:ascii="Arial Bold" w:hAnsi="Arial Bold" w:cs="Arial"/>
          <w:b/>
          <w:smallCaps/>
          <w:color w:val="000000" w:themeColor="text1"/>
        </w:rPr>
        <w:t>Counsel for the Office of the Ohio Consumers’ Counsel</w:t>
      </w:r>
    </w:p>
    <w:p w14:paraId="67132D5F" w14:textId="77777777" w:rsidR="00CE575F" w:rsidRPr="007F35D3" w:rsidRDefault="00CE575F" w:rsidP="00CE575F">
      <w:pPr>
        <w:rPr>
          <w:rFonts w:cs="Arial"/>
          <w:color w:val="000000" w:themeColor="text1"/>
        </w:rPr>
      </w:pPr>
      <w:r>
        <w:rPr>
          <w:color w:val="000000" w:themeColor="text1"/>
        </w:rPr>
        <w:br w:type="column"/>
      </w:r>
      <w:r w:rsidRPr="007F35D3">
        <w:rPr>
          <w:rFonts w:cs="Arial"/>
          <w:color w:val="000000" w:themeColor="text1"/>
        </w:rPr>
        <w:lastRenderedPageBreak/>
        <w:t>Colleen L. Mooney (Reg. No. 0015668)</w:t>
      </w:r>
    </w:p>
    <w:p w14:paraId="65C07EDC" w14:textId="77777777" w:rsidR="00CE575F" w:rsidRPr="007F35D3" w:rsidRDefault="00CE575F" w:rsidP="00CE575F">
      <w:pPr>
        <w:rPr>
          <w:rFonts w:cs="Arial"/>
          <w:color w:val="000000" w:themeColor="text1"/>
        </w:rPr>
      </w:pPr>
      <w:r w:rsidRPr="007F35D3">
        <w:rPr>
          <w:rFonts w:cs="Arial"/>
          <w:color w:val="000000" w:themeColor="text1"/>
        </w:rPr>
        <w:t>Ohio Partners for Affordable Energy</w:t>
      </w:r>
    </w:p>
    <w:p w14:paraId="24CFA699" w14:textId="77777777" w:rsidR="00CE575F" w:rsidRPr="007F35D3" w:rsidRDefault="00CE575F" w:rsidP="00CE575F">
      <w:pPr>
        <w:rPr>
          <w:rFonts w:cs="Arial"/>
          <w:color w:val="000000" w:themeColor="text1"/>
        </w:rPr>
      </w:pPr>
      <w:r w:rsidRPr="007F35D3">
        <w:rPr>
          <w:rFonts w:cs="Arial"/>
          <w:color w:val="000000" w:themeColor="text1"/>
        </w:rPr>
        <w:t>P.O. Box 12451</w:t>
      </w:r>
    </w:p>
    <w:p w14:paraId="4D370BE8" w14:textId="77777777" w:rsidR="00CE575F" w:rsidRPr="007F35D3" w:rsidRDefault="00CE575F" w:rsidP="00CE575F">
      <w:pPr>
        <w:rPr>
          <w:rFonts w:cs="Arial"/>
          <w:color w:val="000000" w:themeColor="text1"/>
        </w:rPr>
      </w:pPr>
      <w:r w:rsidRPr="007F35D3">
        <w:rPr>
          <w:rFonts w:cs="Arial"/>
          <w:color w:val="000000" w:themeColor="text1"/>
        </w:rPr>
        <w:t>Columbus, OH  43212-2451</w:t>
      </w:r>
    </w:p>
    <w:p w14:paraId="53D09254" w14:textId="1FE4FD5F" w:rsidR="00CE575F" w:rsidRPr="00CE575F" w:rsidRDefault="00CE575F" w:rsidP="00CE575F">
      <w:pPr>
        <w:rPr>
          <w:rFonts w:cs="Arial"/>
          <w:color w:val="000000" w:themeColor="text1"/>
        </w:rPr>
      </w:pPr>
      <w:r w:rsidRPr="00627E20">
        <w:rPr>
          <w:rFonts w:cs="Arial"/>
        </w:rPr>
        <w:t>cmooney@ohiopartners.org</w:t>
      </w:r>
    </w:p>
    <w:p w14:paraId="038A928F" w14:textId="77777777" w:rsidR="00CE575F" w:rsidRPr="007F35D3" w:rsidRDefault="00CE575F" w:rsidP="00CE575F">
      <w:pPr>
        <w:rPr>
          <w:rFonts w:cs="Arial"/>
          <w:color w:val="000000" w:themeColor="text1"/>
        </w:rPr>
      </w:pPr>
    </w:p>
    <w:p w14:paraId="76253CF5" w14:textId="77777777" w:rsidR="00CE575F" w:rsidRPr="007F35D3" w:rsidRDefault="00CE575F" w:rsidP="00CE575F">
      <w:pPr>
        <w:rPr>
          <w:rFonts w:ascii="Arial Bold" w:hAnsi="Arial Bold" w:cs="Arial"/>
          <w:b/>
          <w:smallCaps/>
          <w:color w:val="000000" w:themeColor="text1"/>
        </w:rPr>
      </w:pPr>
      <w:r w:rsidRPr="007F35D3">
        <w:rPr>
          <w:rFonts w:ascii="Arial Bold" w:hAnsi="Arial Bold" w:cs="Arial"/>
          <w:b/>
          <w:smallCaps/>
          <w:color w:val="000000" w:themeColor="text1"/>
        </w:rPr>
        <w:t>Counsel for the Ohio Partners for Affordable Energy</w:t>
      </w:r>
    </w:p>
    <w:p w14:paraId="4D4EACF4" w14:textId="77777777" w:rsidR="00CE575F" w:rsidRDefault="00CE575F" w:rsidP="00CE575F">
      <w:pPr>
        <w:rPr>
          <w:color w:val="000000" w:themeColor="text1"/>
        </w:rPr>
      </w:pPr>
    </w:p>
    <w:p w14:paraId="6DA8FEC5" w14:textId="77777777" w:rsidR="00CE575F" w:rsidRPr="007F35D3" w:rsidRDefault="00CE575F" w:rsidP="00CE575F">
      <w:pPr>
        <w:rPr>
          <w:rFonts w:cs="Arial"/>
          <w:color w:val="000000" w:themeColor="text1"/>
        </w:rPr>
      </w:pPr>
      <w:r w:rsidRPr="007F35D3">
        <w:rPr>
          <w:rFonts w:cs="Arial"/>
          <w:color w:val="000000" w:themeColor="text1"/>
        </w:rPr>
        <w:t>Angela Paul Whitfield (Reg. No. 0068774)</w:t>
      </w:r>
    </w:p>
    <w:p w14:paraId="0742C8A1" w14:textId="77777777" w:rsidR="00CE575F" w:rsidRPr="007F35D3" w:rsidRDefault="00CE575F" w:rsidP="00CE575F">
      <w:pPr>
        <w:rPr>
          <w:rFonts w:cs="Arial"/>
          <w:color w:val="000000" w:themeColor="text1"/>
        </w:rPr>
      </w:pPr>
      <w:r w:rsidRPr="007F35D3">
        <w:rPr>
          <w:rFonts w:cs="Arial"/>
          <w:color w:val="000000" w:themeColor="text1"/>
        </w:rPr>
        <w:t>(Counsel of Record)</w:t>
      </w:r>
    </w:p>
    <w:p w14:paraId="281772AD" w14:textId="77777777" w:rsidR="00CE575F" w:rsidRPr="007F35D3" w:rsidRDefault="00CE575F" w:rsidP="00CE575F">
      <w:pPr>
        <w:rPr>
          <w:rFonts w:cs="Arial"/>
          <w:color w:val="000000" w:themeColor="text1"/>
        </w:rPr>
      </w:pPr>
      <w:r w:rsidRPr="007F35D3">
        <w:rPr>
          <w:rFonts w:cs="Arial"/>
          <w:color w:val="000000" w:themeColor="text1"/>
        </w:rPr>
        <w:t xml:space="preserve">Carpenter </w:t>
      </w:r>
      <w:proofErr w:type="spellStart"/>
      <w:r w:rsidRPr="007F35D3">
        <w:rPr>
          <w:rFonts w:cs="Arial"/>
          <w:color w:val="000000" w:themeColor="text1"/>
        </w:rPr>
        <w:t>Lipps</w:t>
      </w:r>
      <w:proofErr w:type="spellEnd"/>
      <w:r w:rsidRPr="007F35D3">
        <w:rPr>
          <w:rFonts w:cs="Arial"/>
          <w:color w:val="000000" w:themeColor="text1"/>
        </w:rPr>
        <w:t xml:space="preserve"> &amp; Leland LLP</w:t>
      </w:r>
    </w:p>
    <w:p w14:paraId="26971471" w14:textId="77777777" w:rsidR="00CE575F" w:rsidRPr="007F35D3" w:rsidRDefault="00CE575F" w:rsidP="00CE575F">
      <w:pPr>
        <w:rPr>
          <w:color w:val="000000" w:themeColor="text1"/>
        </w:rPr>
      </w:pPr>
      <w:r w:rsidRPr="007F35D3">
        <w:rPr>
          <w:color w:val="000000" w:themeColor="text1"/>
        </w:rPr>
        <w:t>280 Plaza, Suite 1300</w:t>
      </w:r>
    </w:p>
    <w:p w14:paraId="0CF7F25E" w14:textId="77777777" w:rsidR="00CE575F" w:rsidRPr="007F35D3" w:rsidRDefault="00CE575F" w:rsidP="00CE575F">
      <w:pPr>
        <w:rPr>
          <w:color w:val="000000" w:themeColor="text1"/>
        </w:rPr>
      </w:pPr>
      <w:r w:rsidRPr="007F35D3">
        <w:rPr>
          <w:color w:val="000000" w:themeColor="text1"/>
        </w:rPr>
        <w:t>280 North High Street</w:t>
      </w:r>
    </w:p>
    <w:p w14:paraId="1F19C649" w14:textId="77777777" w:rsidR="00CE575F" w:rsidRPr="007F35D3" w:rsidRDefault="00CE575F" w:rsidP="00CE575F">
      <w:pPr>
        <w:rPr>
          <w:color w:val="000000" w:themeColor="text1"/>
        </w:rPr>
      </w:pPr>
      <w:r w:rsidRPr="007F35D3">
        <w:rPr>
          <w:color w:val="000000" w:themeColor="text1"/>
        </w:rPr>
        <w:t>Columbus, OH  43215</w:t>
      </w:r>
    </w:p>
    <w:p w14:paraId="3AD89298" w14:textId="77777777" w:rsidR="00CE575F" w:rsidRPr="007F35D3" w:rsidRDefault="00CE575F" w:rsidP="00CE575F">
      <w:pPr>
        <w:rPr>
          <w:rFonts w:cs="Arial"/>
          <w:color w:val="000000" w:themeColor="text1"/>
        </w:rPr>
      </w:pPr>
      <w:r w:rsidRPr="007F35D3">
        <w:rPr>
          <w:rFonts w:cs="Arial"/>
          <w:color w:val="000000" w:themeColor="text1"/>
        </w:rPr>
        <w:t>paul@carpenterlipps.com</w:t>
      </w:r>
    </w:p>
    <w:p w14:paraId="217CB447" w14:textId="77777777" w:rsidR="00CE575F" w:rsidRPr="007F35D3" w:rsidRDefault="00CE575F" w:rsidP="00CE575F">
      <w:pPr>
        <w:rPr>
          <w:rFonts w:cs="Arial"/>
          <w:color w:val="000000" w:themeColor="text1"/>
        </w:rPr>
      </w:pPr>
    </w:p>
    <w:p w14:paraId="481CC037" w14:textId="77777777" w:rsidR="00CE575F" w:rsidRPr="007F35D3" w:rsidRDefault="00CE575F" w:rsidP="00CE575F">
      <w:pPr>
        <w:rPr>
          <w:rFonts w:ascii="Arial Bold" w:hAnsi="Arial Bold" w:cs="Arial"/>
          <w:b/>
          <w:smallCaps/>
          <w:color w:val="000000" w:themeColor="text1"/>
        </w:rPr>
      </w:pPr>
      <w:r w:rsidRPr="007F35D3">
        <w:rPr>
          <w:rFonts w:ascii="Arial Bold" w:hAnsi="Arial Bold" w:cs="Arial"/>
          <w:b/>
          <w:smallCaps/>
          <w:color w:val="000000" w:themeColor="text1"/>
        </w:rPr>
        <w:t>Counsel for The Kroger Co.</w:t>
      </w:r>
    </w:p>
    <w:p w14:paraId="440F017A" w14:textId="77777777" w:rsidR="00CE575F" w:rsidRDefault="00CE575F" w:rsidP="00CE575F">
      <w:pPr>
        <w:rPr>
          <w:color w:val="000000" w:themeColor="text1"/>
        </w:rPr>
      </w:pPr>
    </w:p>
    <w:p w14:paraId="3D054762" w14:textId="2BA069FE" w:rsidR="00CE575F" w:rsidRPr="007F35D3" w:rsidRDefault="00CE575F" w:rsidP="00CE575F">
      <w:pPr>
        <w:rPr>
          <w:color w:val="000000" w:themeColor="text1"/>
        </w:rPr>
      </w:pPr>
      <w:r w:rsidRPr="007F35D3">
        <w:rPr>
          <w:color w:val="000000" w:themeColor="text1"/>
        </w:rPr>
        <w:t xml:space="preserve">Kimberly W. </w:t>
      </w:r>
      <w:proofErr w:type="spellStart"/>
      <w:r w:rsidRPr="007F35D3">
        <w:rPr>
          <w:color w:val="000000" w:themeColor="text1"/>
        </w:rPr>
        <w:t>Bojko</w:t>
      </w:r>
      <w:proofErr w:type="spellEnd"/>
      <w:r w:rsidRPr="007F35D3">
        <w:rPr>
          <w:color w:val="000000" w:themeColor="text1"/>
        </w:rPr>
        <w:t xml:space="preserve"> (Reg. No. 0069402)</w:t>
      </w:r>
    </w:p>
    <w:p w14:paraId="0E905B30" w14:textId="77777777" w:rsidR="00CE575F" w:rsidRPr="007F35D3" w:rsidRDefault="00CE575F" w:rsidP="00CE575F">
      <w:pPr>
        <w:rPr>
          <w:color w:val="000000" w:themeColor="text1"/>
        </w:rPr>
      </w:pPr>
      <w:r w:rsidRPr="007F35D3">
        <w:rPr>
          <w:color w:val="000000" w:themeColor="text1"/>
        </w:rPr>
        <w:t>(Counsel of Record)</w:t>
      </w:r>
    </w:p>
    <w:p w14:paraId="5306F915" w14:textId="77777777" w:rsidR="00CE575F" w:rsidRPr="007F35D3" w:rsidRDefault="00CE575F" w:rsidP="00CE575F">
      <w:pPr>
        <w:rPr>
          <w:color w:val="000000" w:themeColor="text1"/>
        </w:rPr>
      </w:pPr>
      <w:r w:rsidRPr="007F35D3">
        <w:rPr>
          <w:color w:val="000000" w:themeColor="text1"/>
        </w:rPr>
        <w:t xml:space="preserve">James D. </w:t>
      </w:r>
      <w:proofErr w:type="spellStart"/>
      <w:r w:rsidRPr="007F35D3">
        <w:rPr>
          <w:color w:val="000000" w:themeColor="text1"/>
        </w:rPr>
        <w:t>Perko</w:t>
      </w:r>
      <w:proofErr w:type="spellEnd"/>
      <w:r w:rsidRPr="007F35D3">
        <w:rPr>
          <w:color w:val="000000" w:themeColor="text1"/>
        </w:rPr>
        <w:t>, Jr. (Reg. No. 0093312)</w:t>
      </w:r>
    </w:p>
    <w:p w14:paraId="4D8E80C1" w14:textId="77777777" w:rsidR="00CE575F" w:rsidRPr="007F35D3" w:rsidRDefault="00CE575F" w:rsidP="00CE575F">
      <w:pPr>
        <w:rPr>
          <w:color w:val="000000" w:themeColor="text1"/>
        </w:rPr>
      </w:pPr>
      <w:r w:rsidRPr="007F35D3">
        <w:rPr>
          <w:color w:val="000000" w:themeColor="text1"/>
        </w:rPr>
        <w:t xml:space="preserve">Carpenter </w:t>
      </w:r>
      <w:proofErr w:type="spellStart"/>
      <w:r w:rsidRPr="007F35D3">
        <w:rPr>
          <w:color w:val="000000" w:themeColor="text1"/>
        </w:rPr>
        <w:t>Lipps</w:t>
      </w:r>
      <w:proofErr w:type="spellEnd"/>
      <w:r w:rsidRPr="007F35D3">
        <w:rPr>
          <w:color w:val="000000" w:themeColor="text1"/>
        </w:rPr>
        <w:t xml:space="preserve"> &amp; Leland LLP</w:t>
      </w:r>
    </w:p>
    <w:p w14:paraId="6EEE5C0E" w14:textId="77777777" w:rsidR="00CE575F" w:rsidRPr="007F35D3" w:rsidRDefault="00CE575F" w:rsidP="00CE575F">
      <w:pPr>
        <w:rPr>
          <w:color w:val="000000" w:themeColor="text1"/>
        </w:rPr>
      </w:pPr>
      <w:r w:rsidRPr="007F35D3">
        <w:rPr>
          <w:color w:val="000000" w:themeColor="text1"/>
        </w:rPr>
        <w:t>280 Plaza, Suite 1300</w:t>
      </w:r>
    </w:p>
    <w:p w14:paraId="494E6D29" w14:textId="77777777" w:rsidR="00CE575F" w:rsidRPr="007F35D3" w:rsidRDefault="00CE575F" w:rsidP="00CE575F">
      <w:pPr>
        <w:rPr>
          <w:color w:val="000000" w:themeColor="text1"/>
        </w:rPr>
      </w:pPr>
      <w:r w:rsidRPr="007F35D3">
        <w:rPr>
          <w:color w:val="000000" w:themeColor="text1"/>
        </w:rPr>
        <w:t>280 North High Street</w:t>
      </w:r>
    </w:p>
    <w:p w14:paraId="60BEA345" w14:textId="77777777" w:rsidR="00CE575F" w:rsidRPr="007F35D3" w:rsidRDefault="00CE575F" w:rsidP="00CE575F">
      <w:pPr>
        <w:rPr>
          <w:color w:val="000000" w:themeColor="text1"/>
        </w:rPr>
      </w:pPr>
      <w:r w:rsidRPr="007F35D3">
        <w:rPr>
          <w:color w:val="000000" w:themeColor="text1"/>
        </w:rPr>
        <w:t>Columbus, OH  43215</w:t>
      </w:r>
    </w:p>
    <w:p w14:paraId="0C8A850E" w14:textId="77777777" w:rsidR="00CE575F" w:rsidRPr="007F35D3" w:rsidRDefault="00CE575F" w:rsidP="00CE575F">
      <w:pPr>
        <w:rPr>
          <w:color w:val="000000" w:themeColor="text1"/>
        </w:rPr>
      </w:pPr>
      <w:r w:rsidRPr="007F35D3">
        <w:rPr>
          <w:color w:val="000000" w:themeColor="text1"/>
        </w:rPr>
        <w:t>Bojko@carpenterlipps.com</w:t>
      </w:r>
    </w:p>
    <w:p w14:paraId="391F2EA5" w14:textId="77777777" w:rsidR="00CE575F" w:rsidRPr="007F35D3" w:rsidRDefault="00CE575F" w:rsidP="00CE575F">
      <w:pPr>
        <w:rPr>
          <w:color w:val="000000" w:themeColor="text1"/>
        </w:rPr>
      </w:pPr>
      <w:r w:rsidRPr="007F35D3">
        <w:rPr>
          <w:color w:val="000000" w:themeColor="text1"/>
        </w:rPr>
        <w:t>Perko@carpenterlipps.com</w:t>
      </w:r>
    </w:p>
    <w:p w14:paraId="7C4D517F" w14:textId="77777777" w:rsidR="00CE575F" w:rsidRPr="007F35D3" w:rsidRDefault="00CE575F" w:rsidP="00CE575F">
      <w:pPr>
        <w:rPr>
          <w:color w:val="000000" w:themeColor="text1"/>
        </w:rPr>
      </w:pPr>
    </w:p>
    <w:p w14:paraId="3D3C6202" w14:textId="77777777" w:rsidR="00CE575F" w:rsidRPr="007F35D3" w:rsidRDefault="00CE575F" w:rsidP="00CE575F">
      <w:pPr>
        <w:rPr>
          <w:rFonts w:ascii="Arial Bold" w:hAnsi="Arial Bold"/>
          <w:b/>
          <w:smallCaps/>
          <w:color w:val="000000" w:themeColor="text1"/>
        </w:rPr>
      </w:pPr>
      <w:r w:rsidRPr="007F35D3">
        <w:rPr>
          <w:rFonts w:ascii="Arial Bold" w:hAnsi="Arial Bold"/>
          <w:b/>
          <w:smallCaps/>
          <w:color w:val="000000" w:themeColor="text1"/>
        </w:rPr>
        <w:t>Counsel for the Ohio Manufacturers’ Association Energy Group</w:t>
      </w:r>
    </w:p>
    <w:p w14:paraId="7888B26C" w14:textId="77777777" w:rsidR="00CE575F" w:rsidRPr="007F35D3" w:rsidRDefault="00CE575F" w:rsidP="00CE575F">
      <w:pPr>
        <w:rPr>
          <w:rFonts w:cs="Arial"/>
          <w:color w:val="000000" w:themeColor="text1"/>
        </w:rPr>
      </w:pPr>
    </w:p>
    <w:p w14:paraId="12EF3B78" w14:textId="77777777" w:rsidR="00CE575F" w:rsidRPr="007F35D3" w:rsidRDefault="00CE575F" w:rsidP="00CE575F">
      <w:pPr>
        <w:rPr>
          <w:rFonts w:ascii="Arial Bold" w:hAnsi="Arial Bold" w:cs="Arial"/>
          <w:b/>
          <w:smallCaps/>
          <w:color w:val="000000" w:themeColor="text1"/>
        </w:rPr>
      </w:pPr>
    </w:p>
    <w:p w14:paraId="63468ED1" w14:textId="77777777" w:rsidR="005164A7" w:rsidRDefault="005164A7" w:rsidP="00CF6AF5">
      <w:pPr>
        <w:jc w:val="center"/>
        <w:rPr>
          <w:rFonts w:ascii="Arial Bold" w:hAnsi="Arial Bold"/>
          <w:b/>
          <w:smallCaps/>
          <w:sz w:val="28"/>
          <w:szCs w:val="28"/>
        </w:rPr>
        <w:sectPr w:rsidR="005164A7" w:rsidSect="005164A7">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pgNumType w:start="1"/>
          <w:cols w:num="2" w:space="720"/>
          <w:titlePg/>
          <w:docGrid w:linePitch="360"/>
        </w:sectPr>
      </w:pPr>
    </w:p>
    <w:sdt>
      <w:sdtPr>
        <w:rPr>
          <w:rFonts w:ascii="Arial" w:eastAsiaTheme="minorHAnsi" w:hAnsi="Arial" w:cstheme="minorBidi"/>
          <w:color w:val="auto"/>
          <w:sz w:val="24"/>
          <w:szCs w:val="24"/>
        </w:rPr>
        <w:id w:val="-1773465541"/>
        <w:docPartObj>
          <w:docPartGallery w:val="Table of Contents"/>
          <w:docPartUnique/>
        </w:docPartObj>
      </w:sdtPr>
      <w:sdtEndPr>
        <w:rPr>
          <w:b/>
          <w:bCs/>
          <w:noProof/>
        </w:rPr>
      </w:sdtEndPr>
      <w:sdtContent>
        <w:p w14:paraId="019C23C3" w14:textId="32FD4AE8" w:rsidR="00B6276D" w:rsidRPr="00B6276D" w:rsidRDefault="00B6276D" w:rsidP="00B6276D">
          <w:pPr>
            <w:pStyle w:val="TOCHeading"/>
            <w:jc w:val="center"/>
            <w:rPr>
              <w:rFonts w:ascii="Arial Bold" w:hAnsi="Arial Bold" w:cs="Arial"/>
              <w:b/>
              <w:smallCaps/>
              <w:color w:val="000000" w:themeColor="text1"/>
              <w:u w:val="single"/>
            </w:rPr>
          </w:pPr>
          <w:r w:rsidRPr="00B6276D">
            <w:rPr>
              <w:rFonts w:ascii="Arial Bold" w:hAnsi="Arial Bold" w:cs="Arial"/>
              <w:b/>
              <w:smallCaps/>
              <w:color w:val="000000" w:themeColor="text1"/>
              <w:u w:val="single"/>
            </w:rPr>
            <w:t>Table of Contents</w:t>
          </w:r>
        </w:p>
        <w:p w14:paraId="21B0C7D0" w14:textId="77777777" w:rsidR="00B6276D" w:rsidRDefault="00B6276D" w:rsidP="00B6276D">
          <w:pPr>
            <w:pStyle w:val="TOC1"/>
          </w:pPr>
        </w:p>
        <w:p w14:paraId="46922533" w14:textId="461EAF62" w:rsidR="00B6276D" w:rsidRPr="00B6276D" w:rsidRDefault="00B6276D" w:rsidP="00B6276D">
          <w:pPr>
            <w:pStyle w:val="TOC1"/>
          </w:pPr>
          <w:r w:rsidRPr="00B6276D">
            <w:t>Page</w:t>
          </w:r>
        </w:p>
        <w:p w14:paraId="13D22F67" w14:textId="14B2362C" w:rsidR="00B6276D" w:rsidRDefault="00B6276D" w:rsidP="00B6276D">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486344430" w:history="1">
            <w:r w:rsidRPr="00383C73">
              <w:rPr>
                <w:rStyle w:val="Hyperlink"/>
                <w:noProof/>
              </w:rPr>
              <w:t>I.</w:t>
            </w:r>
            <w:r>
              <w:rPr>
                <w:rFonts w:asciiTheme="minorHAnsi" w:eastAsiaTheme="minorEastAsia" w:hAnsiTheme="minorHAnsi"/>
                <w:noProof/>
                <w:sz w:val="22"/>
                <w:szCs w:val="22"/>
              </w:rPr>
              <w:tab/>
            </w:r>
            <w:r w:rsidRPr="00383C73">
              <w:rPr>
                <w:rStyle w:val="Hyperlink"/>
                <w:noProof/>
              </w:rPr>
              <w:t>INTRODUCTION</w:t>
            </w:r>
            <w:r w:rsidRPr="00761269">
              <w:rPr>
                <w:b w:val="0"/>
                <w:noProof/>
                <w:webHidden/>
              </w:rPr>
              <w:tab/>
            </w:r>
            <w:r w:rsidRPr="00761269">
              <w:rPr>
                <w:b w:val="0"/>
                <w:noProof/>
                <w:webHidden/>
              </w:rPr>
              <w:fldChar w:fldCharType="begin"/>
            </w:r>
            <w:r w:rsidRPr="00761269">
              <w:rPr>
                <w:b w:val="0"/>
                <w:noProof/>
                <w:webHidden/>
              </w:rPr>
              <w:instrText xml:space="preserve"> PAGEREF _Toc486344430 \h </w:instrText>
            </w:r>
            <w:r w:rsidRPr="00761269">
              <w:rPr>
                <w:b w:val="0"/>
                <w:noProof/>
                <w:webHidden/>
              </w:rPr>
            </w:r>
            <w:r w:rsidRPr="00761269">
              <w:rPr>
                <w:b w:val="0"/>
                <w:noProof/>
                <w:webHidden/>
              </w:rPr>
              <w:fldChar w:fldCharType="separate"/>
            </w:r>
            <w:r w:rsidR="00627E20">
              <w:rPr>
                <w:b w:val="0"/>
                <w:noProof/>
                <w:webHidden/>
              </w:rPr>
              <w:t>1</w:t>
            </w:r>
            <w:r w:rsidRPr="00761269">
              <w:rPr>
                <w:b w:val="0"/>
                <w:noProof/>
                <w:webHidden/>
              </w:rPr>
              <w:fldChar w:fldCharType="end"/>
            </w:r>
          </w:hyperlink>
        </w:p>
        <w:p w14:paraId="0171493B" w14:textId="772B0411" w:rsidR="00B6276D" w:rsidRDefault="00B114A3" w:rsidP="00B6276D">
          <w:pPr>
            <w:pStyle w:val="TOC1"/>
            <w:rPr>
              <w:rFonts w:asciiTheme="minorHAnsi" w:eastAsiaTheme="minorEastAsia" w:hAnsiTheme="minorHAnsi"/>
              <w:noProof/>
              <w:sz w:val="22"/>
              <w:szCs w:val="22"/>
            </w:rPr>
          </w:pPr>
          <w:hyperlink w:anchor="_Toc486344431" w:history="1">
            <w:r w:rsidR="00B6276D" w:rsidRPr="00383C73">
              <w:rPr>
                <w:rStyle w:val="Hyperlink"/>
                <w:noProof/>
              </w:rPr>
              <w:t>II.</w:t>
            </w:r>
            <w:r w:rsidR="00B6276D">
              <w:rPr>
                <w:rFonts w:asciiTheme="minorHAnsi" w:eastAsiaTheme="minorEastAsia" w:hAnsiTheme="minorHAnsi"/>
                <w:noProof/>
                <w:sz w:val="22"/>
                <w:szCs w:val="22"/>
              </w:rPr>
              <w:tab/>
            </w:r>
            <w:r w:rsidR="00B6276D" w:rsidRPr="00383C73">
              <w:rPr>
                <w:rStyle w:val="Hyperlink"/>
                <w:noProof/>
              </w:rPr>
              <w:t>ARGUMENT</w:t>
            </w:r>
            <w:r w:rsidR="00B6276D" w:rsidRPr="00761269">
              <w:rPr>
                <w:b w:val="0"/>
                <w:noProof/>
                <w:webHidden/>
              </w:rPr>
              <w:tab/>
            </w:r>
            <w:r w:rsidR="00B6276D" w:rsidRPr="00761269">
              <w:rPr>
                <w:b w:val="0"/>
                <w:noProof/>
                <w:webHidden/>
              </w:rPr>
              <w:fldChar w:fldCharType="begin"/>
            </w:r>
            <w:r w:rsidR="00B6276D" w:rsidRPr="00761269">
              <w:rPr>
                <w:b w:val="0"/>
                <w:noProof/>
                <w:webHidden/>
              </w:rPr>
              <w:instrText xml:space="preserve"> PAGEREF _Toc486344431 \h </w:instrText>
            </w:r>
            <w:r w:rsidR="00B6276D" w:rsidRPr="00761269">
              <w:rPr>
                <w:b w:val="0"/>
                <w:noProof/>
                <w:webHidden/>
              </w:rPr>
            </w:r>
            <w:r w:rsidR="00B6276D" w:rsidRPr="00761269">
              <w:rPr>
                <w:b w:val="0"/>
                <w:noProof/>
                <w:webHidden/>
              </w:rPr>
              <w:fldChar w:fldCharType="separate"/>
            </w:r>
            <w:r w:rsidR="00627E20">
              <w:rPr>
                <w:b w:val="0"/>
                <w:noProof/>
                <w:webHidden/>
              </w:rPr>
              <w:t>2</w:t>
            </w:r>
            <w:r w:rsidR="00B6276D" w:rsidRPr="00761269">
              <w:rPr>
                <w:b w:val="0"/>
                <w:noProof/>
                <w:webHidden/>
              </w:rPr>
              <w:fldChar w:fldCharType="end"/>
            </w:r>
          </w:hyperlink>
        </w:p>
        <w:p w14:paraId="7213027F" w14:textId="4B34BC64" w:rsidR="00B6276D" w:rsidRDefault="00B114A3" w:rsidP="00B6276D">
          <w:pPr>
            <w:pStyle w:val="TOC2"/>
            <w:rPr>
              <w:rFonts w:asciiTheme="minorHAnsi" w:eastAsiaTheme="minorEastAsia" w:hAnsiTheme="minorHAnsi"/>
              <w:noProof/>
              <w:sz w:val="22"/>
              <w:szCs w:val="22"/>
            </w:rPr>
          </w:pPr>
          <w:hyperlink w:anchor="_Toc486344432" w:history="1">
            <w:r w:rsidR="00B6276D" w:rsidRPr="00383C73">
              <w:rPr>
                <w:rStyle w:val="Hyperlink"/>
                <w:noProof/>
              </w:rPr>
              <w:t>A.</w:t>
            </w:r>
            <w:r w:rsidR="00B6276D">
              <w:rPr>
                <w:rFonts w:asciiTheme="minorHAnsi" w:eastAsiaTheme="minorEastAsia" w:hAnsiTheme="minorHAnsi"/>
                <w:noProof/>
                <w:sz w:val="22"/>
                <w:szCs w:val="22"/>
              </w:rPr>
              <w:tab/>
            </w:r>
            <w:r w:rsidR="00B6276D" w:rsidRPr="00383C73">
              <w:rPr>
                <w:rStyle w:val="Hyperlink"/>
                <w:noProof/>
              </w:rPr>
              <w:t>The Joint Motion to Dismiss demonstrates that the Application is unlawful and unreasonable</w:t>
            </w:r>
            <w:r w:rsidR="00B6276D">
              <w:rPr>
                <w:noProof/>
                <w:webHidden/>
              </w:rPr>
              <w:tab/>
            </w:r>
            <w:r w:rsidR="00B6276D">
              <w:rPr>
                <w:noProof/>
                <w:webHidden/>
              </w:rPr>
              <w:fldChar w:fldCharType="begin"/>
            </w:r>
            <w:r w:rsidR="00B6276D">
              <w:rPr>
                <w:noProof/>
                <w:webHidden/>
              </w:rPr>
              <w:instrText xml:space="preserve"> PAGEREF _Toc486344432 \h </w:instrText>
            </w:r>
            <w:r w:rsidR="00B6276D">
              <w:rPr>
                <w:noProof/>
                <w:webHidden/>
              </w:rPr>
            </w:r>
            <w:r w:rsidR="00B6276D">
              <w:rPr>
                <w:noProof/>
                <w:webHidden/>
              </w:rPr>
              <w:fldChar w:fldCharType="separate"/>
            </w:r>
            <w:r w:rsidR="00627E20">
              <w:rPr>
                <w:noProof/>
                <w:webHidden/>
              </w:rPr>
              <w:t>2</w:t>
            </w:r>
            <w:r w:rsidR="00B6276D">
              <w:rPr>
                <w:noProof/>
                <w:webHidden/>
              </w:rPr>
              <w:fldChar w:fldCharType="end"/>
            </w:r>
          </w:hyperlink>
        </w:p>
        <w:p w14:paraId="5E53A677" w14:textId="053E631C" w:rsidR="00B6276D" w:rsidRDefault="00B114A3" w:rsidP="00B6276D">
          <w:pPr>
            <w:pStyle w:val="TOC2"/>
            <w:rPr>
              <w:rFonts w:asciiTheme="minorHAnsi" w:eastAsiaTheme="minorEastAsia" w:hAnsiTheme="minorHAnsi"/>
              <w:noProof/>
              <w:sz w:val="22"/>
              <w:szCs w:val="22"/>
            </w:rPr>
          </w:pPr>
          <w:hyperlink w:anchor="_Toc486344433" w:history="1">
            <w:r w:rsidR="00B6276D" w:rsidRPr="00383C73">
              <w:rPr>
                <w:rStyle w:val="Hyperlink"/>
                <w:noProof/>
              </w:rPr>
              <w:t>B.</w:t>
            </w:r>
            <w:r w:rsidR="00B6276D">
              <w:rPr>
                <w:rFonts w:asciiTheme="minorHAnsi" w:eastAsiaTheme="minorEastAsia" w:hAnsiTheme="minorHAnsi"/>
                <w:noProof/>
                <w:sz w:val="22"/>
                <w:szCs w:val="22"/>
              </w:rPr>
              <w:tab/>
            </w:r>
            <w:r w:rsidR="00B6276D" w:rsidRPr="00383C73">
              <w:rPr>
                <w:rStyle w:val="Hyperlink"/>
                <w:noProof/>
              </w:rPr>
              <w:t xml:space="preserve">Duke does not address the underlying merits of the </w:t>
            </w:r>
            <w:r w:rsidR="002F7117">
              <w:rPr>
                <w:rStyle w:val="Hyperlink"/>
                <w:noProof/>
              </w:rPr>
              <w:t xml:space="preserve">Joint </w:t>
            </w:r>
            <w:r w:rsidR="00B6276D" w:rsidRPr="00383C73">
              <w:rPr>
                <w:rStyle w:val="Hyperlink"/>
                <w:noProof/>
              </w:rPr>
              <w:t>Motion to Dismiss</w:t>
            </w:r>
            <w:r w:rsidR="00B6276D">
              <w:rPr>
                <w:noProof/>
                <w:webHidden/>
              </w:rPr>
              <w:tab/>
            </w:r>
            <w:r w:rsidR="00B6276D">
              <w:rPr>
                <w:noProof/>
                <w:webHidden/>
              </w:rPr>
              <w:fldChar w:fldCharType="begin"/>
            </w:r>
            <w:r w:rsidR="00B6276D">
              <w:rPr>
                <w:noProof/>
                <w:webHidden/>
              </w:rPr>
              <w:instrText xml:space="preserve"> PAGEREF _Toc486344433 \h </w:instrText>
            </w:r>
            <w:r w:rsidR="00B6276D">
              <w:rPr>
                <w:noProof/>
                <w:webHidden/>
              </w:rPr>
            </w:r>
            <w:r w:rsidR="00B6276D">
              <w:rPr>
                <w:noProof/>
                <w:webHidden/>
              </w:rPr>
              <w:fldChar w:fldCharType="separate"/>
            </w:r>
            <w:r w:rsidR="00627E20">
              <w:rPr>
                <w:noProof/>
                <w:webHidden/>
              </w:rPr>
              <w:t>4</w:t>
            </w:r>
            <w:r w:rsidR="00B6276D">
              <w:rPr>
                <w:noProof/>
                <w:webHidden/>
              </w:rPr>
              <w:fldChar w:fldCharType="end"/>
            </w:r>
          </w:hyperlink>
        </w:p>
        <w:p w14:paraId="4A261100" w14:textId="4FB18D84" w:rsidR="00B6276D" w:rsidRDefault="00B114A3" w:rsidP="00761269">
          <w:pPr>
            <w:pStyle w:val="TOC3"/>
            <w:tabs>
              <w:tab w:val="clear" w:pos="4310"/>
              <w:tab w:val="right" w:leader="dot" w:pos="9360"/>
            </w:tabs>
            <w:rPr>
              <w:rFonts w:asciiTheme="minorHAnsi" w:eastAsiaTheme="minorEastAsia" w:hAnsiTheme="minorHAnsi"/>
              <w:noProof/>
              <w:sz w:val="22"/>
              <w:szCs w:val="22"/>
            </w:rPr>
          </w:pPr>
          <w:hyperlink w:anchor="_Toc486344434" w:history="1">
            <w:r w:rsidR="00B6276D" w:rsidRPr="00383C73">
              <w:rPr>
                <w:rStyle w:val="Hyperlink"/>
                <w:noProof/>
              </w:rPr>
              <w:t>1.</w:t>
            </w:r>
            <w:r w:rsidR="00B6276D">
              <w:rPr>
                <w:rFonts w:asciiTheme="minorHAnsi" w:eastAsiaTheme="minorEastAsia" w:hAnsiTheme="minorHAnsi"/>
                <w:noProof/>
                <w:sz w:val="22"/>
                <w:szCs w:val="22"/>
              </w:rPr>
              <w:tab/>
            </w:r>
            <w:r w:rsidR="00B6276D" w:rsidRPr="00383C73">
              <w:rPr>
                <w:rStyle w:val="Hyperlink"/>
                <w:noProof/>
              </w:rPr>
              <w:t>Duke’s reliance on the ESP III Order ignores that the order is still pending rehearing and that subsequent legal authority confirm that charging customers under the PSR would be unlawful and unreasonable</w:t>
            </w:r>
            <w:r w:rsidR="00B6276D">
              <w:rPr>
                <w:noProof/>
                <w:webHidden/>
              </w:rPr>
              <w:tab/>
            </w:r>
            <w:r w:rsidR="00B6276D">
              <w:rPr>
                <w:noProof/>
                <w:webHidden/>
              </w:rPr>
              <w:fldChar w:fldCharType="begin"/>
            </w:r>
            <w:r w:rsidR="00B6276D">
              <w:rPr>
                <w:noProof/>
                <w:webHidden/>
              </w:rPr>
              <w:instrText xml:space="preserve"> PAGEREF _Toc486344434 \h </w:instrText>
            </w:r>
            <w:r w:rsidR="00B6276D">
              <w:rPr>
                <w:noProof/>
                <w:webHidden/>
              </w:rPr>
            </w:r>
            <w:r w:rsidR="00B6276D">
              <w:rPr>
                <w:noProof/>
                <w:webHidden/>
              </w:rPr>
              <w:fldChar w:fldCharType="separate"/>
            </w:r>
            <w:r w:rsidR="00627E20">
              <w:rPr>
                <w:noProof/>
                <w:webHidden/>
              </w:rPr>
              <w:t>4</w:t>
            </w:r>
            <w:r w:rsidR="00B6276D">
              <w:rPr>
                <w:noProof/>
                <w:webHidden/>
              </w:rPr>
              <w:fldChar w:fldCharType="end"/>
            </w:r>
          </w:hyperlink>
        </w:p>
        <w:p w14:paraId="31670AD0" w14:textId="29E18DB3" w:rsidR="00B6276D" w:rsidRDefault="00B114A3" w:rsidP="00761269">
          <w:pPr>
            <w:pStyle w:val="TOC3"/>
            <w:tabs>
              <w:tab w:val="clear" w:pos="4310"/>
              <w:tab w:val="right" w:leader="dot" w:pos="9360"/>
            </w:tabs>
            <w:rPr>
              <w:rFonts w:asciiTheme="minorHAnsi" w:eastAsiaTheme="minorEastAsia" w:hAnsiTheme="minorHAnsi"/>
              <w:noProof/>
              <w:sz w:val="22"/>
              <w:szCs w:val="22"/>
            </w:rPr>
          </w:pPr>
          <w:hyperlink w:anchor="_Toc486344435" w:history="1">
            <w:r w:rsidR="00B6276D" w:rsidRPr="00383C73">
              <w:rPr>
                <w:rStyle w:val="Hyperlink"/>
                <w:noProof/>
              </w:rPr>
              <w:t>2.</w:t>
            </w:r>
            <w:r w:rsidR="00B6276D">
              <w:rPr>
                <w:rFonts w:asciiTheme="minorHAnsi" w:eastAsiaTheme="minorEastAsia" w:hAnsiTheme="minorHAnsi"/>
                <w:noProof/>
                <w:sz w:val="22"/>
                <w:szCs w:val="22"/>
              </w:rPr>
              <w:tab/>
            </w:r>
            <w:r w:rsidR="00B6276D" w:rsidRPr="00383C73">
              <w:rPr>
                <w:rStyle w:val="Hyperlink"/>
                <w:noProof/>
              </w:rPr>
              <w:t>Duke’s reliance on the AEP-Ohio PPA Case ignores that the case was resolved through a comprehensive settlement and that AEP-Ohio has subsequently proposed to terminate its PPA Rider</w:t>
            </w:r>
            <w:r w:rsidR="00B6276D">
              <w:rPr>
                <w:noProof/>
                <w:webHidden/>
              </w:rPr>
              <w:tab/>
            </w:r>
            <w:r w:rsidR="00B6276D">
              <w:rPr>
                <w:noProof/>
                <w:webHidden/>
              </w:rPr>
              <w:fldChar w:fldCharType="begin"/>
            </w:r>
            <w:r w:rsidR="00B6276D">
              <w:rPr>
                <w:noProof/>
                <w:webHidden/>
              </w:rPr>
              <w:instrText xml:space="preserve"> PAGEREF _Toc486344435 \h </w:instrText>
            </w:r>
            <w:r w:rsidR="00B6276D">
              <w:rPr>
                <w:noProof/>
                <w:webHidden/>
              </w:rPr>
            </w:r>
            <w:r w:rsidR="00B6276D">
              <w:rPr>
                <w:noProof/>
                <w:webHidden/>
              </w:rPr>
              <w:fldChar w:fldCharType="separate"/>
            </w:r>
            <w:r w:rsidR="00627E20">
              <w:rPr>
                <w:noProof/>
                <w:webHidden/>
              </w:rPr>
              <w:t>7</w:t>
            </w:r>
            <w:r w:rsidR="00B6276D">
              <w:rPr>
                <w:noProof/>
                <w:webHidden/>
              </w:rPr>
              <w:fldChar w:fldCharType="end"/>
            </w:r>
          </w:hyperlink>
        </w:p>
        <w:p w14:paraId="591690EC" w14:textId="1EAA8B51" w:rsidR="00B6276D" w:rsidRDefault="00B114A3" w:rsidP="00B6276D">
          <w:pPr>
            <w:pStyle w:val="TOC2"/>
            <w:rPr>
              <w:rFonts w:asciiTheme="minorHAnsi" w:eastAsiaTheme="minorEastAsia" w:hAnsiTheme="minorHAnsi"/>
              <w:noProof/>
              <w:sz w:val="22"/>
              <w:szCs w:val="22"/>
            </w:rPr>
          </w:pPr>
          <w:hyperlink w:anchor="_Toc486344436" w:history="1">
            <w:r w:rsidR="00B6276D" w:rsidRPr="00383C73">
              <w:rPr>
                <w:rStyle w:val="Hyperlink"/>
                <w:noProof/>
              </w:rPr>
              <w:t>C.</w:t>
            </w:r>
            <w:r w:rsidR="00B6276D">
              <w:rPr>
                <w:rFonts w:asciiTheme="minorHAnsi" w:eastAsiaTheme="minorEastAsia" w:hAnsiTheme="minorHAnsi"/>
                <w:noProof/>
                <w:sz w:val="22"/>
                <w:szCs w:val="22"/>
              </w:rPr>
              <w:tab/>
            </w:r>
            <w:r w:rsidR="00B6276D" w:rsidRPr="00383C73">
              <w:rPr>
                <w:rStyle w:val="Hyperlink"/>
                <w:noProof/>
              </w:rPr>
              <w:t>Duke’s claim that its Application is not an untimely request for rehearing ignores the fact that Duke proposes to alter the previously approved terms and conditions of the PSR</w:t>
            </w:r>
            <w:r w:rsidR="00B6276D">
              <w:rPr>
                <w:noProof/>
                <w:webHidden/>
              </w:rPr>
              <w:tab/>
            </w:r>
            <w:r w:rsidR="00B6276D">
              <w:rPr>
                <w:noProof/>
                <w:webHidden/>
              </w:rPr>
              <w:fldChar w:fldCharType="begin"/>
            </w:r>
            <w:r w:rsidR="00B6276D">
              <w:rPr>
                <w:noProof/>
                <w:webHidden/>
              </w:rPr>
              <w:instrText xml:space="preserve"> PAGEREF _Toc486344436 \h </w:instrText>
            </w:r>
            <w:r w:rsidR="00B6276D">
              <w:rPr>
                <w:noProof/>
                <w:webHidden/>
              </w:rPr>
            </w:r>
            <w:r w:rsidR="00B6276D">
              <w:rPr>
                <w:noProof/>
                <w:webHidden/>
              </w:rPr>
              <w:fldChar w:fldCharType="separate"/>
            </w:r>
            <w:r w:rsidR="00627E20">
              <w:rPr>
                <w:noProof/>
                <w:webHidden/>
              </w:rPr>
              <w:t>8</w:t>
            </w:r>
            <w:r w:rsidR="00B6276D">
              <w:rPr>
                <w:noProof/>
                <w:webHidden/>
              </w:rPr>
              <w:fldChar w:fldCharType="end"/>
            </w:r>
          </w:hyperlink>
        </w:p>
        <w:p w14:paraId="51C292E3" w14:textId="7A29E2AE" w:rsidR="00B6276D" w:rsidRDefault="00B114A3" w:rsidP="00B6276D">
          <w:pPr>
            <w:pStyle w:val="TOC2"/>
            <w:rPr>
              <w:rFonts w:asciiTheme="minorHAnsi" w:eastAsiaTheme="minorEastAsia" w:hAnsiTheme="minorHAnsi"/>
              <w:noProof/>
              <w:sz w:val="22"/>
              <w:szCs w:val="22"/>
            </w:rPr>
          </w:pPr>
          <w:hyperlink w:anchor="_Toc486344437" w:history="1">
            <w:r w:rsidR="00B6276D" w:rsidRPr="00383C73">
              <w:rPr>
                <w:rStyle w:val="Hyperlink"/>
                <w:noProof/>
              </w:rPr>
              <w:t>D.</w:t>
            </w:r>
            <w:r w:rsidR="00B6276D">
              <w:rPr>
                <w:rFonts w:asciiTheme="minorHAnsi" w:eastAsiaTheme="minorEastAsia" w:hAnsiTheme="minorHAnsi"/>
                <w:noProof/>
                <w:sz w:val="22"/>
                <w:szCs w:val="22"/>
              </w:rPr>
              <w:tab/>
            </w:r>
            <w:r w:rsidR="00B6276D" w:rsidRPr="00383C73">
              <w:rPr>
                <w:rStyle w:val="Hyperlink"/>
                <w:noProof/>
              </w:rPr>
              <w:t>The Joint Motion to Dismiss is not an untimely request for rehearing</w:t>
            </w:r>
            <w:r w:rsidR="00B6276D">
              <w:rPr>
                <w:noProof/>
                <w:webHidden/>
              </w:rPr>
              <w:tab/>
            </w:r>
            <w:r w:rsidR="00B6276D">
              <w:rPr>
                <w:noProof/>
                <w:webHidden/>
              </w:rPr>
              <w:fldChar w:fldCharType="begin"/>
            </w:r>
            <w:r w:rsidR="00B6276D">
              <w:rPr>
                <w:noProof/>
                <w:webHidden/>
              </w:rPr>
              <w:instrText xml:space="preserve"> PAGEREF _Toc486344437 \h </w:instrText>
            </w:r>
            <w:r w:rsidR="00B6276D">
              <w:rPr>
                <w:noProof/>
                <w:webHidden/>
              </w:rPr>
            </w:r>
            <w:r w:rsidR="00B6276D">
              <w:rPr>
                <w:noProof/>
                <w:webHidden/>
              </w:rPr>
              <w:fldChar w:fldCharType="separate"/>
            </w:r>
            <w:r w:rsidR="00627E20">
              <w:rPr>
                <w:noProof/>
                <w:webHidden/>
              </w:rPr>
              <w:t>11</w:t>
            </w:r>
            <w:r w:rsidR="00B6276D">
              <w:rPr>
                <w:noProof/>
                <w:webHidden/>
              </w:rPr>
              <w:fldChar w:fldCharType="end"/>
            </w:r>
          </w:hyperlink>
        </w:p>
        <w:p w14:paraId="3089F08C" w14:textId="0E2D143D" w:rsidR="00B6276D" w:rsidRDefault="00B114A3" w:rsidP="00B6276D">
          <w:pPr>
            <w:pStyle w:val="TOC2"/>
            <w:rPr>
              <w:rFonts w:asciiTheme="minorHAnsi" w:eastAsiaTheme="minorEastAsia" w:hAnsiTheme="minorHAnsi"/>
              <w:noProof/>
              <w:sz w:val="22"/>
              <w:szCs w:val="22"/>
            </w:rPr>
          </w:pPr>
          <w:hyperlink w:anchor="_Toc486344438" w:history="1">
            <w:r w:rsidR="00B6276D" w:rsidRPr="00383C73">
              <w:rPr>
                <w:rStyle w:val="Hyperlink"/>
                <w:noProof/>
              </w:rPr>
              <w:t>E.</w:t>
            </w:r>
            <w:r w:rsidR="00B6276D">
              <w:rPr>
                <w:rFonts w:asciiTheme="minorHAnsi" w:eastAsiaTheme="minorEastAsia" w:hAnsiTheme="minorHAnsi"/>
                <w:noProof/>
                <w:sz w:val="22"/>
                <w:szCs w:val="22"/>
              </w:rPr>
              <w:tab/>
            </w:r>
            <w:r w:rsidR="00B6276D" w:rsidRPr="00383C73">
              <w:rPr>
                <w:rStyle w:val="Hyperlink"/>
                <w:noProof/>
              </w:rPr>
              <w:t>Duke’s reliance on the current effectiveness of the ESP III Order provides no basis for denying Joint Movants’ alternative motion seeking a stay until the Commission and Court have reviewed the ESP III Order</w:t>
            </w:r>
            <w:r w:rsidR="00B6276D">
              <w:rPr>
                <w:noProof/>
                <w:webHidden/>
              </w:rPr>
              <w:tab/>
            </w:r>
            <w:r w:rsidR="00B6276D">
              <w:rPr>
                <w:noProof/>
                <w:webHidden/>
              </w:rPr>
              <w:fldChar w:fldCharType="begin"/>
            </w:r>
            <w:r w:rsidR="00B6276D">
              <w:rPr>
                <w:noProof/>
                <w:webHidden/>
              </w:rPr>
              <w:instrText xml:space="preserve"> PAGEREF _Toc486344438 \h </w:instrText>
            </w:r>
            <w:r w:rsidR="00B6276D">
              <w:rPr>
                <w:noProof/>
                <w:webHidden/>
              </w:rPr>
            </w:r>
            <w:r w:rsidR="00B6276D">
              <w:rPr>
                <w:noProof/>
                <w:webHidden/>
              </w:rPr>
              <w:fldChar w:fldCharType="separate"/>
            </w:r>
            <w:r w:rsidR="00627E20">
              <w:rPr>
                <w:noProof/>
                <w:webHidden/>
              </w:rPr>
              <w:t>12</w:t>
            </w:r>
            <w:r w:rsidR="00B6276D">
              <w:rPr>
                <w:noProof/>
                <w:webHidden/>
              </w:rPr>
              <w:fldChar w:fldCharType="end"/>
            </w:r>
          </w:hyperlink>
        </w:p>
        <w:p w14:paraId="36DDFBC8" w14:textId="30A61B83" w:rsidR="00B6276D" w:rsidRDefault="00B114A3" w:rsidP="00B6276D">
          <w:pPr>
            <w:pStyle w:val="TOC1"/>
            <w:rPr>
              <w:rFonts w:asciiTheme="minorHAnsi" w:eastAsiaTheme="minorEastAsia" w:hAnsiTheme="minorHAnsi"/>
              <w:noProof/>
              <w:sz w:val="22"/>
              <w:szCs w:val="22"/>
            </w:rPr>
          </w:pPr>
          <w:hyperlink w:anchor="_Toc486344439" w:history="1">
            <w:r w:rsidR="00B6276D" w:rsidRPr="00383C73">
              <w:rPr>
                <w:rStyle w:val="Hyperlink"/>
                <w:noProof/>
              </w:rPr>
              <w:t>III.</w:t>
            </w:r>
            <w:r w:rsidR="00B6276D">
              <w:rPr>
                <w:rFonts w:asciiTheme="minorHAnsi" w:eastAsiaTheme="minorEastAsia" w:hAnsiTheme="minorHAnsi"/>
                <w:noProof/>
                <w:sz w:val="22"/>
                <w:szCs w:val="22"/>
              </w:rPr>
              <w:tab/>
            </w:r>
            <w:r w:rsidR="00761269" w:rsidRPr="00383C73">
              <w:rPr>
                <w:rStyle w:val="Hyperlink"/>
                <w:noProof/>
              </w:rPr>
              <w:t>CONCLUSION</w:t>
            </w:r>
            <w:r w:rsidR="00B6276D" w:rsidRPr="00761269">
              <w:rPr>
                <w:b w:val="0"/>
                <w:noProof/>
                <w:webHidden/>
              </w:rPr>
              <w:tab/>
            </w:r>
            <w:r w:rsidR="00B6276D" w:rsidRPr="00761269">
              <w:rPr>
                <w:b w:val="0"/>
                <w:noProof/>
                <w:webHidden/>
              </w:rPr>
              <w:fldChar w:fldCharType="begin"/>
            </w:r>
            <w:r w:rsidR="00B6276D" w:rsidRPr="00761269">
              <w:rPr>
                <w:b w:val="0"/>
                <w:noProof/>
                <w:webHidden/>
              </w:rPr>
              <w:instrText xml:space="preserve"> PAGEREF _Toc486344439 \h </w:instrText>
            </w:r>
            <w:r w:rsidR="00B6276D" w:rsidRPr="00761269">
              <w:rPr>
                <w:b w:val="0"/>
                <w:noProof/>
                <w:webHidden/>
              </w:rPr>
            </w:r>
            <w:r w:rsidR="00B6276D" w:rsidRPr="00761269">
              <w:rPr>
                <w:b w:val="0"/>
                <w:noProof/>
                <w:webHidden/>
              </w:rPr>
              <w:fldChar w:fldCharType="separate"/>
            </w:r>
            <w:r w:rsidR="00627E20">
              <w:rPr>
                <w:b w:val="0"/>
                <w:noProof/>
                <w:webHidden/>
              </w:rPr>
              <w:t>13</w:t>
            </w:r>
            <w:r w:rsidR="00B6276D" w:rsidRPr="00761269">
              <w:rPr>
                <w:b w:val="0"/>
                <w:noProof/>
                <w:webHidden/>
              </w:rPr>
              <w:fldChar w:fldCharType="end"/>
            </w:r>
          </w:hyperlink>
        </w:p>
        <w:p w14:paraId="5E1494A1" w14:textId="6BF1B6C3" w:rsidR="00B6276D" w:rsidRDefault="00B6276D">
          <w:r>
            <w:rPr>
              <w:b/>
              <w:bCs/>
              <w:noProof/>
            </w:rPr>
            <w:fldChar w:fldCharType="end"/>
          </w:r>
        </w:p>
      </w:sdtContent>
    </w:sdt>
    <w:p w14:paraId="53EC9E0B" w14:textId="77777777" w:rsidR="00B6276D" w:rsidRDefault="00B6276D" w:rsidP="00CF6AF5">
      <w:pPr>
        <w:jc w:val="center"/>
        <w:rPr>
          <w:rFonts w:ascii="Arial Bold" w:hAnsi="Arial Bold"/>
          <w:b/>
          <w:smallCaps/>
          <w:sz w:val="28"/>
          <w:szCs w:val="28"/>
        </w:rPr>
        <w:sectPr w:rsidR="00B6276D" w:rsidSect="00761269">
          <w:headerReference w:type="default" r:id="rId18"/>
          <w:footerReference w:type="default" r:id="rId19"/>
          <w:headerReference w:type="first" r:id="rId20"/>
          <w:footerReference w:type="first" r:id="rId21"/>
          <w:pgSz w:w="12240" w:h="15840" w:code="1"/>
          <w:pgMar w:top="1440" w:right="1440" w:bottom="1440" w:left="1440" w:header="720" w:footer="720" w:gutter="0"/>
          <w:pgNumType w:fmt="lowerRoman" w:start="1"/>
          <w:cols w:space="720"/>
          <w:titlePg/>
          <w:docGrid w:linePitch="360"/>
        </w:sectPr>
      </w:pPr>
    </w:p>
    <w:p w14:paraId="43F50D87" w14:textId="7E606AC2" w:rsidR="00CF6AF5" w:rsidRPr="00CF6AF5" w:rsidRDefault="00CF6AF5" w:rsidP="00CF6AF5">
      <w:pPr>
        <w:jc w:val="center"/>
        <w:rPr>
          <w:rFonts w:ascii="Arial Bold" w:hAnsi="Arial Bold"/>
          <w:b/>
          <w:smallCaps/>
          <w:sz w:val="28"/>
          <w:szCs w:val="28"/>
        </w:rPr>
      </w:pPr>
      <w:r w:rsidRPr="00CF6AF5">
        <w:rPr>
          <w:rFonts w:ascii="Arial Bold" w:hAnsi="Arial Bold"/>
          <w:b/>
          <w:smallCaps/>
          <w:sz w:val="28"/>
          <w:szCs w:val="28"/>
        </w:rPr>
        <w:lastRenderedPageBreak/>
        <w:t>Before</w:t>
      </w:r>
    </w:p>
    <w:p w14:paraId="2B14C98A" w14:textId="77777777" w:rsidR="00CF6AF5" w:rsidRPr="00CF6AF5" w:rsidRDefault="00CF6AF5" w:rsidP="00CF6AF5">
      <w:pPr>
        <w:jc w:val="center"/>
        <w:rPr>
          <w:rFonts w:ascii="Arial Bold" w:hAnsi="Arial Bold"/>
          <w:b/>
          <w:smallCaps/>
          <w:sz w:val="28"/>
          <w:szCs w:val="28"/>
        </w:rPr>
      </w:pPr>
      <w:r w:rsidRPr="00CF6AF5">
        <w:rPr>
          <w:rFonts w:ascii="Arial Bold" w:hAnsi="Arial Bold"/>
          <w:b/>
          <w:smallCaps/>
          <w:sz w:val="28"/>
          <w:szCs w:val="28"/>
        </w:rPr>
        <w:t>The Public Utilities Commission of Ohio</w:t>
      </w:r>
    </w:p>
    <w:p w14:paraId="32FDFE49" w14:textId="77777777" w:rsidR="00AD299E" w:rsidRDefault="00AD299E" w:rsidP="00AD299E">
      <w:pPr>
        <w:jc w:val="center"/>
        <w:rPr>
          <w:b/>
        </w:rPr>
      </w:pPr>
    </w:p>
    <w:p w14:paraId="5510FD40" w14:textId="77777777" w:rsidR="00AD299E" w:rsidRDefault="00AD299E" w:rsidP="00AD299E">
      <w:pPr>
        <w:tabs>
          <w:tab w:val="left" w:pos="4680"/>
          <w:tab w:val="left" w:pos="5220"/>
        </w:tabs>
      </w:pPr>
      <w:r>
        <w:t>In the Matter of the Application of Duke</w:t>
      </w:r>
      <w:r>
        <w:tab/>
        <w:t>)</w:t>
      </w:r>
    </w:p>
    <w:p w14:paraId="07D06C13" w14:textId="77777777" w:rsidR="00AD299E" w:rsidRDefault="00AD299E" w:rsidP="00AD299E">
      <w:pPr>
        <w:tabs>
          <w:tab w:val="left" w:pos="4680"/>
          <w:tab w:val="left" w:pos="5220"/>
        </w:tabs>
      </w:pPr>
      <w:r>
        <w:t>Energy Ohio, Inc. for Approval to Modify</w:t>
      </w:r>
      <w:r>
        <w:tab/>
        <w:t>)</w:t>
      </w:r>
      <w:r>
        <w:tab/>
        <w:t>Case No. 17-872-EL-RDR</w:t>
      </w:r>
    </w:p>
    <w:p w14:paraId="61CED6FD" w14:textId="77777777" w:rsidR="00AD299E" w:rsidRDefault="00AD299E" w:rsidP="00AD299E">
      <w:pPr>
        <w:tabs>
          <w:tab w:val="left" w:pos="4680"/>
          <w:tab w:val="left" w:pos="5220"/>
        </w:tabs>
      </w:pPr>
      <w:r>
        <w:t>Rider PSR.</w:t>
      </w:r>
      <w:r>
        <w:tab/>
        <w:t>)</w:t>
      </w:r>
    </w:p>
    <w:p w14:paraId="571A89B1" w14:textId="77777777" w:rsidR="00AD299E" w:rsidRDefault="00AD299E" w:rsidP="00AD299E">
      <w:pPr>
        <w:tabs>
          <w:tab w:val="left" w:pos="4680"/>
          <w:tab w:val="left" w:pos="5220"/>
        </w:tabs>
      </w:pPr>
    </w:p>
    <w:p w14:paraId="302126B7" w14:textId="77777777" w:rsidR="00AD299E" w:rsidRDefault="00AD299E" w:rsidP="00AD299E">
      <w:pPr>
        <w:tabs>
          <w:tab w:val="left" w:pos="4680"/>
          <w:tab w:val="left" w:pos="5220"/>
        </w:tabs>
      </w:pPr>
      <w:r>
        <w:t>In the Matter of the Application of Duke</w:t>
      </w:r>
      <w:r>
        <w:tab/>
        <w:t>)</w:t>
      </w:r>
    </w:p>
    <w:p w14:paraId="02D7050A" w14:textId="77777777" w:rsidR="00AD299E" w:rsidRDefault="00AD299E" w:rsidP="00AD299E">
      <w:pPr>
        <w:tabs>
          <w:tab w:val="left" w:pos="4680"/>
          <w:tab w:val="left" w:pos="5220"/>
        </w:tabs>
      </w:pPr>
      <w:r>
        <w:t>Energy Ohio, Inc. for Approval to Amend</w:t>
      </w:r>
      <w:r>
        <w:tab/>
        <w:t>)</w:t>
      </w:r>
      <w:r>
        <w:tab/>
        <w:t>Case No. 17-873-EL-ATA</w:t>
      </w:r>
    </w:p>
    <w:p w14:paraId="0DE8F9D9" w14:textId="77777777" w:rsidR="00AD299E" w:rsidRDefault="00AD299E" w:rsidP="00AD299E">
      <w:pPr>
        <w:tabs>
          <w:tab w:val="left" w:pos="4680"/>
          <w:tab w:val="left" w:pos="5220"/>
        </w:tabs>
      </w:pPr>
      <w:r>
        <w:t>Rider PSR.</w:t>
      </w:r>
      <w:r>
        <w:tab/>
        <w:t>)</w:t>
      </w:r>
    </w:p>
    <w:p w14:paraId="3DC5A990" w14:textId="77777777" w:rsidR="00AD299E" w:rsidRDefault="00AD299E" w:rsidP="00AD299E">
      <w:pPr>
        <w:tabs>
          <w:tab w:val="left" w:pos="4680"/>
          <w:tab w:val="left" w:pos="5220"/>
        </w:tabs>
      </w:pPr>
    </w:p>
    <w:p w14:paraId="6306DED7" w14:textId="77777777" w:rsidR="00AD299E" w:rsidRDefault="00AD299E" w:rsidP="00AD299E">
      <w:pPr>
        <w:tabs>
          <w:tab w:val="left" w:pos="4680"/>
          <w:tab w:val="left" w:pos="5220"/>
        </w:tabs>
      </w:pPr>
      <w:r>
        <w:t>In the Matter of the Application of Duke</w:t>
      </w:r>
      <w:r>
        <w:tab/>
        <w:t>)</w:t>
      </w:r>
    </w:p>
    <w:p w14:paraId="199FBCAB" w14:textId="77777777" w:rsidR="00AD299E" w:rsidRDefault="00AD299E" w:rsidP="00AD299E">
      <w:pPr>
        <w:tabs>
          <w:tab w:val="left" w:pos="4680"/>
          <w:tab w:val="left" w:pos="5220"/>
        </w:tabs>
      </w:pPr>
      <w:r>
        <w:t>Energy Ohio, Inc. for Approval to Change</w:t>
      </w:r>
      <w:r>
        <w:tab/>
        <w:t>)</w:t>
      </w:r>
      <w:r>
        <w:tab/>
        <w:t>Case No. 17-874-EL-AAM</w:t>
      </w:r>
    </w:p>
    <w:p w14:paraId="2015A871" w14:textId="77777777" w:rsidR="00AD299E" w:rsidRDefault="00AD299E" w:rsidP="00AD299E">
      <w:pPr>
        <w:tabs>
          <w:tab w:val="left" w:pos="4680"/>
          <w:tab w:val="left" w:pos="5220"/>
        </w:tabs>
      </w:pPr>
      <w:r>
        <w:t>Accounting Methods.</w:t>
      </w:r>
      <w:r>
        <w:tab/>
        <w:t>)</w:t>
      </w:r>
    </w:p>
    <w:p w14:paraId="79EBB2FD" w14:textId="77777777" w:rsidR="00AD299E" w:rsidRDefault="00AD299E" w:rsidP="00AD299E">
      <w:pPr>
        <w:tabs>
          <w:tab w:val="left" w:pos="4680"/>
        </w:tabs>
      </w:pPr>
    </w:p>
    <w:p w14:paraId="623EA019" w14:textId="77777777" w:rsidR="00AD299E" w:rsidRDefault="00AD299E" w:rsidP="00AD299E">
      <w:pPr>
        <w:rPr>
          <w:b/>
        </w:rPr>
      </w:pPr>
      <w:r>
        <w:rPr>
          <w:b/>
        </w:rPr>
        <w:t>______________________________________________________________________</w:t>
      </w:r>
    </w:p>
    <w:p w14:paraId="1790D998" w14:textId="77777777" w:rsidR="00AD299E" w:rsidRPr="008B5640" w:rsidRDefault="00AD299E" w:rsidP="00AD299E">
      <w:pPr>
        <w:jc w:val="center"/>
        <w:rPr>
          <w:caps/>
        </w:rPr>
      </w:pPr>
    </w:p>
    <w:p w14:paraId="74ED477A" w14:textId="77777777" w:rsidR="00CF6AF5" w:rsidRPr="00CF6AF5" w:rsidRDefault="00CF6AF5" w:rsidP="00CF6AF5">
      <w:pPr>
        <w:jc w:val="center"/>
        <w:rPr>
          <w:rFonts w:ascii="Arial Bold" w:hAnsi="Arial Bold"/>
          <w:b/>
          <w:smallCaps/>
          <w:sz w:val="28"/>
          <w:szCs w:val="28"/>
        </w:rPr>
      </w:pPr>
      <w:r w:rsidRPr="00CF6AF5">
        <w:rPr>
          <w:rFonts w:ascii="Arial Bold" w:hAnsi="Arial Bold"/>
          <w:b/>
          <w:smallCaps/>
          <w:sz w:val="28"/>
          <w:szCs w:val="28"/>
        </w:rPr>
        <w:t xml:space="preserve">Reply in Support of an Order Dismissing the Application or, </w:t>
      </w:r>
    </w:p>
    <w:p w14:paraId="4DDC15FF" w14:textId="77777777" w:rsidR="00CF6AF5" w:rsidRPr="00CF6AF5" w:rsidRDefault="00CF6AF5" w:rsidP="00CF6AF5">
      <w:pPr>
        <w:jc w:val="center"/>
        <w:rPr>
          <w:rFonts w:ascii="Arial Bold" w:hAnsi="Arial Bold"/>
          <w:b/>
          <w:caps/>
          <w:smallCaps/>
          <w:sz w:val="28"/>
          <w:szCs w:val="28"/>
        </w:rPr>
      </w:pPr>
      <w:r w:rsidRPr="00CF6AF5">
        <w:rPr>
          <w:rFonts w:ascii="Arial Bold" w:hAnsi="Arial Bold"/>
          <w:b/>
          <w:smallCaps/>
          <w:sz w:val="28"/>
          <w:szCs w:val="28"/>
        </w:rPr>
        <w:t>in the Alternative, Staying the Proceeding,</w:t>
      </w:r>
    </w:p>
    <w:p w14:paraId="0F44A916" w14:textId="77777777" w:rsidR="00CF6AF5" w:rsidRPr="00CF6AF5" w:rsidRDefault="00CF6AF5" w:rsidP="00CF6AF5">
      <w:pPr>
        <w:jc w:val="center"/>
        <w:rPr>
          <w:rFonts w:ascii="Arial Bold" w:hAnsi="Arial Bold"/>
          <w:b/>
          <w:caps/>
          <w:smallCaps/>
          <w:sz w:val="28"/>
          <w:szCs w:val="28"/>
        </w:rPr>
      </w:pPr>
      <w:r w:rsidRPr="00CF6AF5">
        <w:rPr>
          <w:rFonts w:ascii="Arial Bold" w:hAnsi="Arial Bold"/>
          <w:b/>
          <w:smallCaps/>
          <w:sz w:val="28"/>
          <w:szCs w:val="28"/>
        </w:rPr>
        <w:t>by Industrial Energy Users-Ohio,</w:t>
      </w:r>
    </w:p>
    <w:p w14:paraId="5817757A" w14:textId="77777777" w:rsidR="00CF6AF5" w:rsidRPr="00CF6AF5" w:rsidRDefault="00CF6AF5" w:rsidP="00CF6AF5">
      <w:pPr>
        <w:jc w:val="center"/>
        <w:rPr>
          <w:rFonts w:ascii="Arial Bold" w:hAnsi="Arial Bold"/>
          <w:b/>
          <w:caps/>
          <w:smallCaps/>
          <w:sz w:val="28"/>
          <w:szCs w:val="28"/>
        </w:rPr>
      </w:pPr>
      <w:r w:rsidRPr="00CF6AF5">
        <w:rPr>
          <w:rFonts w:ascii="Arial Bold" w:hAnsi="Arial Bold"/>
          <w:b/>
          <w:smallCaps/>
          <w:sz w:val="28"/>
          <w:szCs w:val="28"/>
        </w:rPr>
        <w:t>the Office of the Ohio Consumers’ Counsel,</w:t>
      </w:r>
    </w:p>
    <w:p w14:paraId="1702A3E9" w14:textId="77777777" w:rsidR="00CF6AF5" w:rsidRPr="00CF6AF5" w:rsidRDefault="00CF6AF5" w:rsidP="00CF6AF5">
      <w:pPr>
        <w:jc w:val="center"/>
        <w:rPr>
          <w:rFonts w:ascii="Arial Bold" w:hAnsi="Arial Bold"/>
          <w:b/>
          <w:caps/>
          <w:smallCaps/>
          <w:sz w:val="28"/>
          <w:szCs w:val="28"/>
        </w:rPr>
      </w:pPr>
      <w:r w:rsidRPr="00CF6AF5">
        <w:rPr>
          <w:rFonts w:ascii="Arial Bold" w:hAnsi="Arial Bold"/>
          <w:b/>
          <w:smallCaps/>
          <w:sz w:val="28"/>
          <w:szCs w:val="28"/>
        </w:rPr>
        <w:t>Ohio Partners for Affordable Energy,</w:t>
      </w:r>
    </w:p>
    <w:p w14:paraId="5B56EC46" w14:textId="77777777" w:rsidR="00CF6AF5" w:rsidRPr="00CF6AF5" w:rsidRDefault="00CF6AF5" w:rsidP="00CF6AF5">
      <w:pPr>
        <w:jc w:val="center"/>
        <w:rPr>
          <w:rFonts w:ascii="Arial Bold" w:hAnsi="Arial Bold"/>
          <w:b/>
          <w:caps/>
          <w:smallCaps/>
          <w:sz w:val="28"/>
          <w:szCs w:val="28"/>
        </w:rPr>
      </w:pPr>
      <w:r w:rsidRPr="00CF6AF5">
        <w:rPr>
          <w:rFonts w:ascii="Arial Bold" w:hAnsi="Arial Bold"/>
          <w:b/>
          <w:smallCaps/>
          <w:sz w:val="28"/>
          <w:szCs w:val="28"/>
        </w:rPr>
        <w:t xml:space="preserve">The Kroger Co., and </w:t>
      </w:r>
    </w:p>
    <w:p w14:paraId="30B30FF9" w14:textId="77777777" w:rsidR="00CF6AF5" w:rsidRPr="00CF6AF5" w:rsidRDefault="00CF6AF5" w:rsidP="00CF6AF5">
      <w:pPr>
        <w:jc w:val="center"/>
        <w:rPr>
          <w:rFonts w:ascii="Arial Bold" w:hAnsi="Arial Bold"/>
          <w:b/>
          <w:caps/>
          <w:smallCaps/>
          <w:sz w:val="28"/>
          <w:szCs w:val="28"/>
        </w:rPr>
      </w:pPr>
      <w:r w:rsidRPr="00CF6AF5">
        <w:rPr>
          <w:rFonts w:ascii="Arial Bold" w:hAnsi="Arial Bold"/>
          <w:b/>
          <w:smallCaps/>
          <w:sz w:val="28"/>
          <w:szCs w:val="28"/>
        </w:rPr>
        <w:t>Ohio Manufacturers’ Association Energy Group</w:t>
      </w:r>
    </w:p>
    <w:p w14:paraId="3BA5E0E7" w14:textId="77777777" w:rsidR="00AD299E" w:rsidRDefault="00AD299E" w:rsidP="00AD299E">
      <w:pPr>
        <w:pBdr>
          <w:bottom w:val="single" w:sz="12" w:space="1" w:color="auto"/>
        </w:pBdr>
        <w:jc w:val="center"/>
      </w:pPr>
    </w:p>
    <w:p w14:paraId="707F51F6" w14:textId="77777777" w:rsidR="00CF6AF5" w:rsidRDefault="00CF6AF5" w:rsidP="00CF6AF5">
      <w:pPr>
        <w:jc w:val="both"/>
      </w:pPr>
    </w:p>
    <w:p w14:paraId="7AC7EB84" w14:textId="295F698A" w:rsidR="00AF5427" w:rsidRDefault="00AF5427" w:rsidP="00041CE8">
      <w:pPr>
        <w:pStyle w:val="Heading1"/>
      </w:pPr>
      <w:bookmarkStart w:id="0" w:name="_Toc486323255"/>
      <w:bookmarkStart w:id="1" w:name="_Toc486344430"/>
      <w:r>
        <w:t>introduction</w:t>
      </w:r>
      <w:bookmarkEnd w:id="0"/>
      <w:bookmarkEnd w:id="1"/>
    </w:p>
    <w:p w14:paraId="19AD19A2" w14:textId="48EB7DA0" w:rsidR="00AF5427" w:rsidRDefault="009B206E" w:rsidP="00041CE8">
      <w:pPr>
        <w:spacing w:line="480" w:lineRule="auto"/>
        <w:ind w:firstLine="720"/>
        <w:jc w:val="both"/>
      </w:pPr>
      <w:r>
        <w:t xml:space="preserve">The </w:t>
      </w:r>
      <w:r w:rsidR="00180495">
        <w:t>Joint Movants</w:t>
      </w:r>
      <w:r>
        <w:rPr>
          <w:rStyle w:val="FootnoteReference"/>
        </w:rPr>
        <w:footnoteReference w:id="1"/>
      </w:r>
      <w:r w:rsidR="00180495">
        <w:t xml:space="preserve"> </w:t>
      </w:r>
      <w:r w:rsidR="00AF5427">
        <w:t xml:space="preserve">properly </w:t>
      </w:r>
      <w:r w:rsidR="00C60337">
        <w:t xml:space="preserve">moved to </w:t>
      </w:r>
      <w:r w:rsidR="00180495">
        <w:t xml:space="preserve">dismiss </w:t>
      </w:r>
      <w:r>
        <w:t>the Application of Duke Energy Ohio</w:t>
      </w:r>
      <w:r w:rsidR="00CE575F">
        <w:t>,</w:t>
      </w:r>
      <w:r>
        <w:t xml:space="preserve"> Inc.</w:t>
      </w:r>
      <w:r w:rsidR="00A2669B">
        <w:t xml:space="preserve"> (“Duke”) </w:t>
      </w:r>
      <w:r w:rsidR="00180495">
        <w:t xml:space="preserve">because the </w:t>
      </w:r>
      <w:r w:rsidR="00A608D9">
        <w:t xml:space="preserve">Public Utilities </w:t>
      </w:r>
      <w:r w:rsidR="00180495">
        <w:t>Commission</w:t>
      </w:r>
      <w:r w:rsidR="00A608D9">
        <w:t xml:space="preserve"> of Ohio (“Commission”)</w:t>
      </w:r>
      <w:r w:rsidR="00180495">
        <w:t xml:space="preserve"> lacks the aut</w:t>
      </w:r>
      <w:r w:rsidR="00A2669B">
        <w:t>hority under state and federal law to grant the relief requested in the Application</w:t>
      </w:r>
      <w:r>
        <w:t xml:space="preserve"> and because Duke is prohibited from pursuing </w:t>
      </w:r>
      <w:r>
        <w:lastRenderedPageBreak/>
        <w:t>an untimely application for rehearing to modify the Price Stabilization Rider (“PSR”)</w:t>
      </w:r>
      <w:r w:rsidR="00A2669B">
        <w:t xml:space="preserve">.  </w:t>
      </w:r>
      <w:r w:rsidR="00A9651D">
        <w:t xml:space="preserve">Alternatively, Joint Movants </w:t>
      </w:r>
      <w:r w:rsidR="00AF5427">
        <w:t>sought</w:t>
      </w:r>
      <w:r w:rsidR="00A9651D">
        <w:t xml:space="preserve"> an order staying this proceeding pending the rehearing and appeals process in Case No. 14</w:t>
      </w:r>
      <w:r w:rsidR="009A3BE1">
        <w:noBreakHyphen/>
      </w:r>
      <w:r w:rsidR="00A9651D">
        <w:t>841</w:t>
      </w:r>
      <w:r w:rsidR="009A3BE1">
        <w:noBreakHyphen/>
        <w:t>EL</w:t>
      </w:r>
      <w:r w:rsidR="009A3BE1">
        <w:noBreakHyphen/>
      </w:r>
      <w:r w:rsidR="00A9651D">
        <w:t>SSO (“</w:t>
      </w:r>
      <w:r w:rsidR="00A9651D" w:rsidRPr="00041CE8">
        <w:rPr>
          <w:i/>
        </w:rPr>
        <w:t>ESP III Case</w:t>
      </w:r>
      <w:r w:rsidR="00A9651D">
        <w:t xml:space="preserve">”), </w:t>
      </w:r>
      <w:r>
        <w:t>in which</w:t>
      </w:r>
      <w:r w:rsidR="00A9651D">
        <w:t xml:space="preserve"> the pending applications for rehearing demonstrate that the</w:t>
      </w:r>
      <w:r w:rsidR="00877F6A">
        <w:t xml:space="preserve"> </w:t>
      </w:r>
      <w:r w:rsidR="00A9651D">
        <w:t>PSR is unlawful and unreasonable.</w:t>
      </w:r>
      <w:r>
        <w:t xml:space="preserve"> </w:t>
      </w:r>
      <w:r w:rsidR="00A2669B">
        <w:t xml:space="preserve"> </w:t>
      </w:r>
      <w:r w:rsidR="00846141">
        <w:t xml:space="preserve">In its memorandum opposing the motions, Duke claims that the Commission may authorize it to bill and collect above-market wholesale costs </w:t>
      </w:r>
      <w:r w:rsidR="00AF5427">
        <w:t xml:space="preserve">that </w:t>
      </w:r>
      <w:r w:rsidR="00846141">
        <w:t xml:space="preserve">Duke is incurring because it elected to retain an interest in Ohio Valley Electric Corporation </w:t>
      </w:r>
      <w:r w:rsidR="00CE575F">
        <w:t xml:space="preserve">(“OVEC”) </w:t>
      </w:r>
      <w:r w:rsidR="00846141">
        <w:t>generation plants.  In support of that cla</w:t>
      </w:r>
      <w:r w:rsidR="00CE575F">
        <w:t>i</w:t>
      </w:r>
      <w:r w:rsidR="00846141">
        <w:t xml:space="preserve">m, </w:t>
      </w:r>
      <w:r w:rsidR="00A2669B">
        <w:t xml:space="preserve">Duke </w:t>
      </w:r>
      <w:r w:rsidR="00002166">
        <w:t>relies on</w:t>
      </w:r>
      <w:r w:rsidR="00A608D9">
        <w:t xml:space="preserve"> the Commission</w:t>
      </w:r>
      <w:r w:rsidR="00366A19">
        <w:t>’s April 2, 2015</w:t>
      </w:r>
      <w:r w:rsidR="00A608D9">
        <w:t xml:space="preserve"> Opinion and Order (“ESP III Order”) and a Commission decision approving a settlement in Case Nos. 14-1693-EL-RDR, </w:t>
      </w:r>
      <w:r w:rsidR="00A608D9">
        <w:rPr>
          <w:i/>
        </w:rPr>
        <w:t>et al.</w:t>
      </w:r>
      <w:r w:rsidR="00A608D9">
        <w:t xml:space="preserve"> (“</w:t>
      </w:r>
      <w:r w:rsidR="00A608D9" w:rsidRPr="00041CE8">
        <w:rPr>
          <w:i/>
        </w:rPr>
        <w:t>AEP-Ohio PPA Case</w:t>
      </w:r>
      <w:r w:rsidR="00A608D9">
        <w:t>”) involving</w:t>
      </w:r>
      <w:r w:rsidR="00CE575F">
        <w:t xml:space="preserve"> Ohio Power Company (“AEP</w:t>
      </w:r>
      <w:r w:rsidR="00CE575F">
        <w:noBreakHyphen/>
      </w:r>
      <w:r w:rsidR="00350FCE">
        <w:t>Ohio”)</w:t>
      </w:r>
      <w:r w:rsidR="00A608D9">
        <w:t xml:space="preserve">.  Duke also </w:t>
      </w:r>
      <w:r w:rsidR="00EF5B7B">
        <w:t xml:space="preserve">claims that its new legal theory and request to modify the term of the </w:t>
      </w:r>
      <w:r w:rsidR="00F2648F">
        <w:t>PSR</w:t>
      </w:r>
      <w:r w:rsidR="0056766E">
        <w:t xml:space="preserve"> </w:t>
      </w:r>
      <w:r w:rsidR="00EF5B7B">
        <w:t xml:space="preserve">are not untimely requests for rehearing.  </w:t>
      </w:r>
    </w:p>
    <w:p w14:paraId="72810137" w14:textId="73EA343D" w:rsidR="003C2B59" w:rsidRDefault="00AF5427" w:rsidP="00041CE8">
      <w:pPr>
        <w:spacing w:line="480" w:lineRule="auto"/>
        <w:ind w:firstLine="720"/>
        <w:jc w:val="both"/>
      </w:pPr>
      <w:r>
        <w:t>As described below,</w:t>
      </w:r>
      <w:r w:rsidR="00EF5B7B">
        <w:t xml:space="preserve"> Duke’s arguments are without merit</w:t>
      </w:r>
      <w:r>
        <w:t>.</w:t>
      </w:r>
      <w:r w:rsidR="00EF5B7B">
        <w:t xml:space="preserve"> </w:t>
      </w:r>
      <w:r>
        <w:t xml:space="preserve"> T</w:t>
      </w:r>
      <w:r w:rsidR="00DD7661">
        <w:t xml:space="preserve">he Commission should grant the </w:t>
      </w:r>
      <w:r w:rsidR="00CE575F">
        <w:t xml:space="preserve">Joint </w:t>
      </w:r>
      <w:r w:rsidR="00DD7661">
        <w:t>Motion to Dismiss or</w:t>
      </w:r>
      <w:r w:rsidR="00CE575F">
        <w:t>,</w:t>
      </w:r>
      <w:r w:rsidR="00DD7661">
        <w:t xml:space="preserve"> alternatively, stay the proceeding </w:t>
      </w:r>
      <w:r w:rsidR="0056766E">
        <w:t xml:space="preserve">until the Commission and the </w:t>
      </w:r>
      <w:r>
        <w:t>Supreme Court of Ohio (“</w:t>
      </w:r>
      <w:r w:rsidR="0056766E">
        <w:t>Court</w:t>
      </w:r>
      <w:r>
        <w:t>”)</w:t>
      </w:r>
      <w:r w:rsidR="0056766E">
        <w:t xml:space="preserve"> address the Commission’s authorization of the PSR in the ESP III Order</w:t>
      </w:r>
      <w:r w:rsidR="00DD7661">
        <w:t>.</w:t>
      </w:r>
    </w:p>
    <w:p w14:paraId="5A188FF1" w14:textId="77777777" w:rsidR="00EF5B7B" w:rsidRDefault="00EF5B7B" w:rsidP="00EF5B7B">
      <w:pPr>
        <w:pStyle w:val="Heading1"/>
      </w:pPr>
      <w:bookmarkStart w:id="2" w:name="_Toc486323256"/>
      <w:bookmarkStart w:id="3" w:name="_Toc486344431"/>
      <w:r>
        <w:t>argument</w:t>
      </w:r>
      <w:bookmarkEnd w:id="2"/>
      <w:bookmarkEnd w:id="3"/>
    </w:p>
    <w:p w14:paraId="7B56FF37" w14:textId="77777777" w:rsidR="00E93C07" w:rsidRDefault="00E93C07" w:rsidP="002B6755">
      <w:pPr>
        <w:pStyle w:val="Heading2"/>
      </w:pPr>
      <w:bookmarkStart w:id="4" w:name="_Toc486323257"/>
      <w:bookmarkStart w:id="5" w:name="_Toc486344432"/>
      <w:r>
        <w:t>The Joint Motion to Dismiss demonstrates that the Application is unlawful and unreasonable</w:t>
      </w:r>
      <w:bookmarkEnd w:id="4"/>
      <w:bookmarkEnd w:id="5"/>
    </w:p>
    <w:p w14:paraId="5389EC0C" w14:textId="451397FD" w:rsidR="00E93C07" w:rsidRDefault="00BC756F" w:rsidP="00EF43D7">
      <w:pPr>
        <w:spacing w:line="480" w:lineRule="auto"/>
        <w:ind w:firstLine="720"/>
        <w:jc w:val="both"/>
      </w:pPr>
      <w:r>
        <w:lastRenderedPageBreak/>
        <w:t xml:space="preserve">Through its Application, Duke seeks to collect the above-market </w:t>
      </w:r>
      <w:r w:rsidR="0056766E">
        <w:t xml:space="preserve">wholesale-related </w:t>
      </w:r>
      <w:r>
        <w:t xml:space="preserve">costs associated with its interests in OVEC through 2040 through a </w:t>
      </w:r>
      <w:proofErr w:type="spellStart"/>
      <w:r>
        <w:t>nonbypassable</w:t>
      </w:r>
      <w:proofErr w:type="spellEnd"/>
      <w:r>
        <w:t xml:space="preserve"> charge, the PSR.  </w:t>
      </w:r>
      <w:r w:rsidR="0056766E">
        <w:t xml:space="preserve">Duke </w:t>
      </w:r>
      <w:r w:rsidR="009F261F">
        <w:t>relies on</w:t>
      </w:r>
      <w:r w:rsidR="0056766E">
        <w:t xml:space="preserve"> R.C. 4905.04, 4905</w:t>
      </w:r>
      <w:r w:rsidR="00EF43D7">
        <w:t xml:space="preserve">.05, </w:t>
      </w:r>
      <w:r w:rsidR="00791159">
        <w:t>490</w:t>
      </w:r>
      <w:r w:rsidR="00CE575F">
        <w:t>5</w:t>
      </w:r>
      <w:r w:rsidR="00791159">
        <w:t xml:space="preserve">.06, </w:t>
      </w:r>
      <w:r w:rsidR="00EF43D7">
        <w:t>490</w:t>
      </w:r>
      <w:r w:rsidR="00CE575F">
        <w:t>5</w:t>
      </w:r>
      <w:r w:rsidR="00EF43D7">
        <w:t>.13</w:t>
      </w:r>
      <w:r w:rsidR="0056766E">
        <w:t>,</w:t>
      </w:r>
      <w:r w:rsidR="00EF43D7">
        <w:t xml:space="preserve"> and 4909.18 as the legal basis for </w:t>
      </w:r>
      <w:r w:rsidR="0036064D">
        <w:t xml:space="preserve">the relief it seeks in </w:t>
      </w:r>
      <w:r w:rsidR="00EF43D7">
        <w:t>its Application.</w:t>
      </w:r>
      <w:r w:rsidR="00B746A5">
        <w:rPr>
          <w:rStyle w:val="FootnoteReference"/>
        </w:rPr>
        <w:footnoteReference w:id="2"/>
      </w:r>
      <w:r w:rsidR="00EF43D7">
        <w:t xml:space="preserve">  </w:t>
      </w:r>
      <w:r w:rsidR="00056508">
        <w:t>As demonstrated in the Joint Motion to Dismiss, however, t</w:t>
      </w:r>
      <w:r w:rsidR="00D16D48">
        <w:t xml:space="preserve">he Commission lacks the authority under state and federal law to grant </w:t>
      </w:r>
      <w:r w:rsidR="00B746A5">
        <w:t xml:space="preserve">Duke’s requested </w:t>
      </w:r>
      <w:r w:rsidR="00D16D48">
        <w:t>relief.</w:t>
      </w:r>
      <w:r w:rsidR="0056766E">
        <w:rPr>
          <w:rStyle w:val="FootnoteReference"/>
        </w:rPr>
        <w:footnoteReference w:id="3"/>
      </w:r>
    </w:p>
    <w:p w14:paraId="6D3166FE" w14:textId="77777777" w:rsidR="00D16D48" w:rsidRDefault="00D16D48" w:rsidP="00EF43D7">
      <w:pPr>
        <w:spacing w:line="480" w:lineRule="auto"/>
        <w:ind w:firstLine="720"/>
        <w:jc w:val="both"/>
      </w:pPr>
      <w:r>
        <w:t xml:space="preserve">Initially, the </w:t>
      </w:r>
      <w:r w:rsidR="00B26E76">
        <w:t>statutes Duke relies upon do not provide the Commission with any authority to establish wholesale electric prices.</w:t>
      </w:r>
      <w:r w:rsidR="00B26E76">
        <w:rPr>
          <w:rStyle w:val="FootnoteReference"/>
        </w:rPr>
        <w:footnoteReference w:id="4"/>
      </w:r>
      <w:r w:rsidR="00A1091C">
        <w:t xml:space="preserve">  </w:t>
      </w:r>
      <w:r w:rsidR="00442120">
        <w:t>The Commission is also preempted under federal law from providing the relief Duke seeks in its Application.</w:t>
      </w:r>
      <w:r w:rsidR="00442120">
        <w:rPr>
          <w:rStyle w:val="FootnoteReference"/>
        </w:rPr>
        <w:footnoteReference w:id="5"/>
      </w:r>
      <w:r w:rsidR="00442120">
        <w:t xml:space="preserve">  </w:t>
      </w:r>
      <w:r w:rsidR="00A1091C">
        <w:t>Additionally, these statutes do not provide the Commission with any authority to establish rates for retail electric services deemed competitive.</w:t>
      </w:r>
      <w:r w:rsidR="00243A72">
        <w:rPr>
          <w:rStyle w:val="FootnoteReference"/>
        </w:rPr>
        <w:footnoteReference w:id="6"/>
      </w:r>
      <w:r w:rsidR="00A1091C">
        <w:t xml:space="preserve">  The relief Duke seeks is also barred because it would permit Duke to collect transition revenue or its equivalent.</w:t>
      </w:r>
      <w:r w:rsidR="00A1091C">
        <w:rPr>
          <w:rStyle w:val="FootnoteReference"/>
        </w:rPr>
        <w:footnoteReference w:id="7"/>
      </w:r>
      <w:r w:rsidR="00243A72">
        <w:t xml:space="preserve">  The Commission is further </w:t>
      </w:r>
      <w:r w:rsidR="00056508">
        <w:t>prevented</w:t>
      </w:r>
      <w:r w:rsidR="00243A72">
        <w:t xml:space="preserve"> from approving the Application because the Commission is prohibited from authorizing anticompetitive subsidies or authorizing Duke </w:t>
      </w:r>
      <w:r w:rsidR="00243A72">
        <w:lastRenderedPageBreak/>
        <w:t>to collect generation-related costs through a distribution-like rate.</w:t>
      </w:r>
      <w:r w:rsidR="00243A72">
        <w:rPr>
          <w:rStyle w:val="FootnoteReference"/>
        </w:rPr>
        <w:footnoteReference w:id="8"/>
      </w:r>
      <w:r w:rsidR="00442120">
        <w:t xml:space="preserve">  Finally, Duke’s Application amounts to an untimely request for rehearing of the ESP III Order.</w:t>
      </w:r>
    </w:p>
    <w:p w14:paraId="1B4907ED" w14:textId="73E05FAF" w:rsidR="00442120" w:rsidRDefault="00442120" w:rsidP="00EF43D7">
      <w:pPr>
        <w:spacing w:line="480" w:lineRule="auto"/>
        <w:ind w:firstLine="720"/>
        <w:jc w:val="both"/>
      </w:pPr>
      <w:r>
        <w:t xml:space="preserve">For these reasons, Joint Movants requested that the Commission </w:t>
      </w:r>
      <w:r w:rsidR="00936678">
        <w:t xml:space="preserve">dismiss the </w:t>
      </w:r>
      <w:r w:rsidR="00B746A5">
        <w:t>A</w:t>
      </w:r>
      <w:r w:rsidR="00936678">
        <w:t xml:space="preserve">pplication.  In the alternative, Joint Movants sought a stay of this proceeding until the rehearing and appeals process concluded in the </w:t>
      </w:r>
      <w:r w:rsidR="00936678" w:rsidRPr="00041CE8">
        <w:rPr>
          <w:i/>
        </w:rPr>
        <w:t>ESP III Case</w:t>
      </w:r>
      <w:r w:rsidR="00936678">
        <w:t>.</w:t>
      </w:r>
    </w:p>
    <w:p w14:paraId="756AE988" w14:textId="77777777" w:rsidR="005164A7" w:rsidRDefault="005164A7">
      <w:pPr>
        <w:rPr>
          <w:rFonts w:eastAsiaTheme="majorEastAsia" w:cs="Arial"/>
          <w:b/>
          <w:szCs w:val="26"/>
        </w:rPr>
      </w:pPr>
      <w:bookmarkStart w:id="6" w:name="_Toc486323258"/>
      <w:r>
        <w:br w:type="page"/>
      </w:r>
    </w:p>
    <w:p w14:paraId="5BC1C711" w14:textId="636F0177" w:rsidR="00936678" w:rsidRDefault="00936678" w:rsidP="002B6755">
      <w:pPr>
        <w:pStyle w:val="Heading2"/>
      </w:pPr>
      <w:bookmarkStart w:id="7" w:name="_Toc486344433"/>
      <w:r>
        <w:lastRenderedPageBreak/>
        <w:t xml:space="preserve">Duke </w:t>
      </w:r>
      <w:r w:rsidR="0045045D">
        <w:t xml:space="preserve">does not address the underlying merits of the </w:t>
      </w:r>
      <w:r w:rsidR="009A3BE1">
        <w:t xml:space="preserve">Joint </w:t>
      </w:r>
      <w:r w:rsidR="0045045D">
        <w:t>Motion to Dismiss</w:t>
      </w:r>
      <w:bookmarkEnd w:id="6"/>
      <w:bookmarkEnd w:id="7"/>
    </w:p>
    <w:p w14:paraId="33FECB51" w14:textId="66C5A041" w:rsidR="00936678" w:rsidRDefault="00FF712B" w:rsidP="00A53E5A">
      <w:pPr>
        <w:spacing w:line="480" w:lineRule="auto"/>
        <w:ind w:firstLine="720"/>
        <w:jc w:val="both"/>
      </w:pPr>
      <w:r>
        <w:t xml:space="preserve">In its Memo Contra to the Joint Motion to Dismiss, Duke </w:t>
      </w:r>
      <w:r w:rsidR="008C4A34">
        <w:t>argues that Joint Movants</w:t>
      </w:r>
      <w:r w:rsidR="00CE575F">
        <w:t>’</w:t>
      </w:r>
      <w:r w:rsidR="008C4A34">
        <w:t xml:space="preserve"> arguments have already been addressed and rejected.  In support</w:t>
      </w:r>
      <w:r w:rsidR="00A53E5A">
        <w:t xml:space="preserve"> of this claim</w:t>
      </w:r>
      <w:r w:rsidR="008C4A34">
        <w:t xml:space="preserve">, Duke cites to the ESP III Order and the </w:t>
      </w:r>
      <w:r w:rsidR="008C4A34" w:rsidRPr="00041CE8">
        <w:rPr>
          <w:i/>
        </w:rPr>
        <w:t>AEP-Ohio PPA Case</w:t>
      </w:r>
      <w:r w:rsidR="008C4A34">
        <w:t>.</w:t>
      </w:r>
      <w:r w:rsidR="00D64D09">
        <w:rPr>
          <w:rStyle w:val="FootnoteReference"/>
        </w:rPr>
        <w:footnoteReference w:id="9"/>
      </w:r>
      <w:r w:rsidR="008C4A34">
        <w:t xml:space="preserve">  </w:t>
      </w:r>
      <w:r w:rsidR="006C17D5">
        <w:t>However, Duke does not address the underlying merits of Joint Movants</w:t>
      </w:r>
      <w:r w:rsidR="005848BA">
        <w:t>’</w:t>
      </w:r>
      <w:r w:rsidR="006C17D5">
        <w:t xml:space="preserve"> </w:t>
      </w:r>
      <w:r w:rsidR="005371D6">
        <w:t xml:space="preserve">demonstration </w:t>
      </w:r>
      <w:r w:rsidR="006C17D5">
        <w:t xml:space="preserve">that the Commission is without authority under state and federal law to </w:t>
      </w:r>
      <w:r w:rsidR="00507922">
        <w:t xml:space="preserve">provide Duke with the relief it seeks in the Application.  </w:t>
      </w:r>
      <w:r w:rsidR="00F848D9">
        <w:t xml:space="preserve">As discussed extensively in the </w:t>
      </w:r>
      <w:r w:rsidR="005848BA">
        <w:t xml:space="preserve">Joint </w:t>
      </w:r>
      <w:r w:rsidR="00F848D9">
        <w:t xml:space="preserve">Motion to Dismiss, as well as the pending applications for rehearing in the </w:t>
      </w:r>
      <w:r w:rsidR="00F848D9" w:rsidRPr="00041CE8">
        <w:rPr>
          <w:i/>
        </w:rPr>
        <w:t>ESP III Case</w:t>
      </w:r>
      <w:r w:rsidR="00F848D9">
        <w:t xml:space="preserve">, the </w:t>
      </w:r>
      <w:r w:rsidR="00C74B30">
        <w:t>applicable law simply does not provide a basis for the Commission to increase Duke’s PSR rates to allow Duke to recover its above-market OVEC costs.</w:t>
      </w:r>
      <w:r w:rsidR="00F848D9">
        <w:t xml:space="preserve"> </w:t>
      </w:r>
    </w:p>
    <w:p w14:paraId="0A04ACA4" w14:textId="46A1BA86" w:rsidR="002B6755" w:rsidRDefault="002B6755" w:rsidP="00041CE8">
      <w:pPr>
        <w:pStyle w:val="Heading3"/>
      </w:pPr>
      <w:bookmarkStart w:id="8" w:name="_Toc486323259"/>
      <w:bookmarkStart w:id="9" w:name="_Toc486344434"/>
      <w:r>
        <w:t xml:space="preserve">Duke’s reliance on the ESP III Order ignores </w:t>
      </w:r>
      <w:r w:rsidR="007E14DC">
        <w:t xml:space="preserve">that the order is still pending rehearing and that </w:t>
      </w:r>
      <w:r>
        <w:t>subseque</w:t>
      </w:r>
      <w:r w:rsidR="00E1128A">
        <w:t>nt legal authority confirm</w:t>
      </w:r>
      <w:r>
        <w:t xml:space="preserve"> that </w:t>
      </w:r>
      <w:r w:rsidR="005371D6">
        <w:t xml:space="preserve">charging customers under </w:t>
      </w:r>
      <w:r>
        <w:t>the PSR would be unlawful</w:t>
      </w:r>
      <w:r w:rsidR="00E1128A">
        <w:t xml:space="preserve"> and unreasonable</w:t>
      </w:r>
      <w:bookmarkEnd w:id="8"/>
      <w:bookmarkEnd w:id="9"/>
    </w:p>
    <w:p w14:paraId="705FC7D9" w14:textId="1D4D0984" w:rsidR="002A6D9D" w:rsidRDefault="00507922" w:rsidP="005C334E">
      <w:pPr>
        <w:spacing w:line="480" w:lineRule="auto"/>
        <w:ind w:firstLine="720"/>
        <w:jc w:val="both"/>
      </w:pPr>
      <w:r>
        <w:t xml:space="preserve">As noted above, Duke claims in part that the </w:t>
      </w:r>
      <w:r w:rsidR="005848BA">
        <w:t xml:space="preserve">Joint </w:t>
      </w:r>
      <w:r>
        <w:t>Motion to Dismiss should be denied because the Commission already addressed Joint Movants</w:t>
      </w:r>
      <w:r w:rsidR="005848BA">
        <w:t>’</w:t>
      </w:r>
      <w:r w:rsidR="00576FC2">
        <w:t xml:space="preserve"> arguments in the ESP </w:t>
      </w:r>
      <w:r>
        <w:t>III Order.</w:t>
      </w:r>
      <w:r w:rsidR="00F848D9">
        <w:rPr>
          <w:rStyle w:val="FootnoteReference"/>
        </w:rPr>
        <w:footnoteReference w:id="10"/>
      </w:r>
      <w:r>
        <w:t xml:space="preserve">  </w:t>
      </w:r>
      <w:r w:rsidR="001D0728">
        <w:t>Duke’s reliance on the ESP III Order</w:t>
      </w:r>
      <w:r w:rsidR="00080865">
        <w:t xml:space="preserve"> ignores important events </w:t>
      </w:r>
      <w:proofErr w:type="gramStart"/>
      <w:r w:rsidR="00080865">
        <w:t>subs</w:t>
      </w:r>
      <w:r w:rsidR="001D0728">
        <w:t>equent to</w:t>
      </w:r>
      <w:proofErr w:type="gramEnd"/>
      <w:r w:rsidR="001D0728">
        <w:t xml:space="preserve"> the issuance of that decision</w:t>
      </w:r>
      <w:r w:rsidR="00080865">
        <w:t>.</w:t>
      </w:r>
    </w:p>
    <w:p w14:paraId="2582B97C" w14:textId="5A8962CC" w:rsidR="002A6D9D" w:rsidRDefault="000A3700" w:rsidP="005C334E">
      <w:pPr>
        <w:spacing w:line="480" w:lineRule="auto"/>
        <w:ind w:firstLine="720"/>
        <w:jc w:val="both"/>
      </w:pPr>
      <w:r>
        <w:lastRenderedPageBreak/>
        <w:t>Shortly after the ESP III Order was issued, several parties</w:t>
      </w:r>
      <w:r w:rsidR="005848BA">
        <w:t>,</w:t>
      </w:r>
      <w:r>
        <w:t xml:space="preserve"> including many of the Joint Movants</w:t>
      </w:r>
      <w:r w:rsidR="005848BA">
        <w:t>,</w:t>
      </w:r>
      <w:r>
        <w:t xml:space="preserve"> sought rehearing of </w:t>
      </w:r>
      <w:r w:rsidR="005371D6">
        <w:t>the ESP III Order, including the</w:t>
      </w:r>
      <w:r>
        <w:t xml:space="preserve"> PSR</w:t>
      </w:r>
      <w:r w:rsidR="005371D6">
        <w:t>,</w:t>
      </w:r>
      <w:r>
        <w:t xml:space="preserve"> </w:t>
      </w:r>
      <w:r w:rsidR="0056766E">
        <w:t>argu</w:t>
      </w:r>
      <w:r w:rsidR="005371D6">
        <w:t>ing</w:t>
      </w:r>
      <w:r w:rsidR="0056766E">
        <w:t xml:space="preserve"> </w:t>
      </w:r>
      <w:r>
        <w:t>that the placeholder</w:t>
      </w:r>
      <w:r w:rsidR="002A6D9D">
        <w:t xml:space="preserve"> PSR</w:t>
      </w:r>
      <w:r>
        <w:t xml:space="preserve"> rider </w:t>
      </w:r>
      <w:r w:rsidR="00912B1B">
        <w:t>was</w:t>
      </w:r>
      <w:r>
        <w:t xml:space="preserve"> unlawful and unreasonable.  </w:t>
      </w:r>
      <w:r w:rsidR="0056766E">
        <w:t>The Commission granted rehearing to consider those arguments.</w:t>
      </w:r>
      <w:r w:rsidR="0056766E">
        <w:rPr>
          <w:rStyle w:val="FootnoteReference"/>
        </w:rPr>
        <w:footnoteReference w:id="11"/>
      </w:r>
      <w:r w:rsidR="0056766E">
        <w:t xml:space="preserve">  </w:t>
      </w:r>
      <w:r w:rsidR="002A6D9D">
        <w:t>These legal challenges to the ESP III Order remain pending on rehearing.  Thus,</w:t>
      </w:r>
      <w:r w:rsidR="001D0728">
        <w:t xml:space="preserve"> the ESP III Order has not cleared the Commission’s own review process, let alone the appeals process that is likely to foll</w:t>
      </w:r>
      <w:r w:rsidR="00600F0D">
        <w:t>ow if the PSR survives rehearing</w:t>
      </w:r>
      <w:r w:rsidR="00723DA8">
        <w:t>.</w:t>
      </w:r>
    </w:p>
    <w:p w14:paraId="23128205" w14:textId="5B7797AF" w:rsidR="00C23D6F" w:rsidRDefault="00DE47B1" w:rsidP="00FE30FC">
      <w:pPr>
        <w:spacing w:line="480" w:lineRule="auto"/>
        <w:ind w:firstLine="720"/>
        <w:jc w:val="both"/>
      </w:pPr>
      <w:r>
        <w:t xml:space="preserve">Furthermore, </w:t>
      </w:r>
      <w:r w:rsidR="00723DA8">
        <w:t>during the two years that have elapsed since the Commission issued the ESP III Order</w:t>
      </w:r>
      <w:r w:rsidR="0056766E">
        <w:t>,</w:t>
      </w:r>
      <w:r>
        <w:t xml:space="preserve"> the legal landscape </w:t>
      </w:r>
      <w:r w:rsidR="005371D6">
        <w:t>governing the</w:t>
      </w:r>
      <w:r w:rsidR="00C00D89">
        <w:t xml:space="preserve"> </w:t>
      </w:r>
      <w:r w:rsidR="005848BA">
        <w:t>Purchase Power Agreement (“</w:t>
      </w:r>
      <w:r>
        <w:t>PPA</w:t>
      </w:r>
      <w:r w:rsidR="005848BA">
        <w:t>”)</w:t>
      </w:r>
      <w:r>
        <w:t xml:space="preserve"> proposal </w:t>
      </w:r>
      <w:r w:rsidR="00EF5811">
        <w:t xml:space="preserve">and </w:t>
      </w:r>
      <w:proofErr w:type="spellStart"/>
      <w:r w:rsidR="00EF5811">
        <w:t>nonbypassable</w:t>
      </w:r>
      <w:proofErr w:type="spellEnd"/>
      <w:r w:rsidR="00EF5811">
        <w:t xml:space="preserve"> generation-related riders </w:t>
      </w:r>
      <w:r>
        <w:t>has changed dramatically.</w:t>
      </w:r>
      <w:r w:rsidR="00232F09">
        <w:t xml:space="preserve"> </w:t>
      </w:r>
      <w:r w:rsidR="007E3F21">
        <w:t xml:space="preserve"> </w:t>
      </w:r>
      <w:r w:rsidR="00FE30FC">
        <w:t xml:space="preserve">The Court has struck down two </w:t>
      </w:r>
      <w:proofErr w:type="spellStart"/>
      <w:r w:rsidR="00FE30FC">
        <w:t>nonbypassable</w:t>
      </w:r>
      <w:proofErr w:type="spellEnd"/>
      <w:r w:rsidR="00FE30FC">
        <w:t xml:space="preserve"> generation-related riders </w:t>
      </w:r>
      <w:r w:rsidR="005371D6">
        <w:t>because</w:t>
      </w:r>
      <w:r w:rsidR="00FE30FC">
        <w:t xml:space="preserve"> they permitted </w:t>
      </w:r>
      <w:r w:rsidR="005848BA">
        <w:t>electric distribution utilities (“</w:t>
      </w:r>
      <w:r w:rsidR="00FE30FC">
        <w:t>EDUs</w:t>
      </w:r>
      <w:r w:rsidR="005848BA">
        <w:t>”)</w:t>
      </w:r>
      <w:r w:rsidR="00FE30FC">
        <w:t xml:space="preserve"> to collect the equivalent of transition revenue.</w:t>
      </w:r>
      <w:r w:rsidR="004A2776">
        <w:rPr>
          <w:rStyle w:val="FootnoteReference"/>
        </w:rPr>
        <w:footnoteReference w:id="12"/>
      </w:r>
      <w:r w:rsidR="00FE30FC">
        <w:t xml:space="preserve">  The United States Supreme Court has </w:t>
      </w:r>
      <w:r w:rsidR="007E3F21">
        <w:t xml:space="preserve">also </w:t>
      </w:r>
      <w:r w:rsidR="00FE30FC">
        <w:t xml:space="preserve">found unlawful </w:t>
      </w:r>
      <w:r w:rsidR="00106865">
        <w:t>a state-authorized PPA program</w:t>
      </w:r>
      <w:r w:rsidR="00FE30FC">
        <w:t xml:space="preserve"> that allow</w:t>
      </w:r>
      <w:r w:rsidR="00106865">
        <w:t>ed</w:t>
      </w:r>
      <w:r w:rsidR="00FE30FC">
        <w:t xml:space="preserve"> </w:t>
      </w:r>
      <w:r w:rsidR="00106865">
        <w:t>a utility</w:t>
      </w:r>
      <w:r w:rsidR="00FE30FC">
        <w:t xml:space="preserve"> to collect above-market revenue </w:t>
      </w:r>
      <w:r w:rsidR="005371D6">
        <w:t>because</w:t>
      </w:r>
      <w:r w:rsidR="00FE30FC">
        <w:t xml:space="preserve"> the state-sponsored programs </w:t>
      </w:r>
      <w:r w:rsidR="00DA7117">
        <w:t>effectively set wholesale electric prices.</w:t>
      </w:r>
      <w:r w:rsidR="00D460F9">
        <w:rPr>
          <w:rStyle w:val="FootnoteReference"/>
        </w:rPr>
        <w:footnoteReference w:id="13"/>
      </w:r>
      <w:r w:rsidR="00DA7117">
        <w:t xml:space="preserve">  The Federal Energy Regulatory Commission</w:t>
      </w:r>
      <w:r w:rsidR="00EF5811">
        <w:t xml:space="preserve"> </w:t>
      </w:r>
      <w:r w:rsidR="00EF5811">
        <w:lastRenderedPageBreak/>
        <w:t>(“FERC”)</w:t>
      </w:r>
      <w:r w:rsidR="00DA7117">
        <w:t xml:space="preserve"> has </w:t>
      </w:r>
      <w:r w:rsidR="007E3F21">
        <w:t xml:space="preserve">further </w:t>
      </w:r>
      <w:r w:rsidR="00DA7117">
        <w:t xml:space="preserve">found that PPA proposals, and associated </w:t>
      </w:r>
      <w:proofErr w:type="spellStart"/>
      <w:r w:rsidR="00DA7117">
        <w:t>nonbypassable</w:t>
      </w:r>
      <w:proofErr w:type="spellEnd"/>
      <w:r w:rsidR="00DA7117">
        <w:t xml:space="preserve"> retail recovery mechanisms, by two other Ohio </w:t>
      </w:r>
      <w:r w:rsidR="00EF5811">
        <w:t>EDUs</w:t>
      </w:r>
      <w:r w:rsidR="00DA7117">
        <w:t xml:space="preserve"> created captive customers triggering additional federal scrutiny</w:t>
      </w:r>
      <w:r w:rsidR="00FC5F75">
        <w:t xml:space="preserve"> aimed at protecting customers from unreasonable affiliate transactions</w:t>
      </w:r>
      <w:r w:rsidR="00DA7117">
        <w:t>.</w:t>
      </w:r>
      <w:r w:rsidR="00D460F9">
        <w:rPr>
          <w:rStyle w:val="FootnoteReference"/>
        </w:rPr>
        <w:footnoteReference w:id="14"/>
      </w:r>
      <w:r w:rsidR="00DA7117">
        <w:t xml:space="preserve">  </w:t>
      </w:r>
    </w:p>
    <w:p w14:paraId="5F5CDC21" w14:textId="374F1ADE" w:rsidR="004915E4" w:rsidRDefault="004B61EA" w:rsidP="00930C50">
      <w:pPr>
        <w:spacing w:line="480" w:lineRule="auto"/>
        <w:ind w:firstLine="720"/>
        <w:jc w:val="both"/>
      </w:pPr>
      <w:r>
        <w:t xml:space="preserve">In the aftermath of these court and FERC </w:t>
      </w:r>
      <w:r w:rsidR="00F24038">
        <w:t>decisions</w:t>
      </w:r>
      <w:r>
        <w:t>,</w:t>
      </w:r>
      <w:r w:rsidR="00F24038">
        <w:t xml:space="preserve"> </w:t>
      </w:r>
      <w:r w:rsidR="00012490">
        <w:t xml:space="preserve">The </w:t>
      </w:r>
      <w:r w:rsidR="003031FE">
        <w:t>Dayton Power and Light Company (“</w:t>
      </w:r>
      <w:r w:rsidR="00F24038">
        <w:t>D</w:t>
      </w:r>
      <w:r w:rsidR="00A810A8">
        <w:t>P&amp;L</w:t>
      </w:r>
      <w:r w:rsidR="003031FE">
        <w:t>”)</w:t>
      </w:r>
      <w:r w:rsidR="00A810A8">
        <w:t xml:space="preserve"> abando</w:t>
      </w:r>
      <w:r>
        <w:t>ned</w:t>
      </w:r>
      <w:r w:rsidR="00A810A8">
        <w:t xml:space="preserve"> its PPA proposal and</w:t>
      </w:r>
      <w:r w:rsidR="003259A0">
        <w:t xml:space="preserve"> the Commission declined</w:t>
      </w:r>
      <w:r w:rsidR="00F24038">
        <w:t xml:space="preserve"> to adopt FirstEnergy’s modified PPA proposal on rehearing</w:t>
      </w:r>
      <w:r w:rsidR="00A810A8">
        <w:t>.</w:t>
      </w:r>
      <w:r w:rsidR="00D460F9">
        <w:rPr>
          <w:rStyle w:val="FootnoteReference"/>
        </w:rPr>
        <w:footnoteReference w:id="15"/>
      </w:r>
      <w:r w:rsidR="00A810A8">
        <w:t xml:space="preserve">  </w:t>
      </w:r>
      <w:r w:rsidR="0013266D">
        <w:t xml:space="preserve">While AEP-Ohio was able to reach a </w:t>
      </w:r>
      <w:r w:rsidR="00C254BE">
        <w:t>comprehensive</w:t>
      </w:r>
      <w:r w:rsidR="0013266D">
        <w:t xml:space="preserve"> settlement addressing its PPA proposal and a number of other matters</w:t>
      </w:r>
      <w:r w:rsidR="00F3304E">
        <w:t xml:space="preserve"> </w:t>
      </w:r>
      <w:r w:rsidR="004915E4">
        <w:t>before</w:t>
      </w:r>
      <w:r w:rsidR="00F3304E">
        <w:t xml:space="preserve"> FERC’s decision</w:t>
      </w:r>
      <w:r w:rsidR="0013266D">
        <w:t xml:space="preserve">, AEP-Ohio </w:t>
      </w:r>
      <w:r w:rsidR="00F3304E">
        <w:t xml:space="preserve">too </w:t>
      </w:r>
      <w:r w:rsidR="002708E0">
        <w:t>abandoned</w:t>
      </w:r>
      <w:r w:rsidR="0013266D">
        <w:t xml:space="preserve"> much of its </w:t>
      </w:r>
      <w:r w:rsidR="00F3304E">
        <w:t>PPA proposal following FERC’s pronouncement that the PPA proposals resulted in captive customers</w:t>
      </w:r>
      <w:r w:rsidR="0013266D">
        <w:t>.</w:t>
      </w:r>
      <w:r w:rsidR="00D460F9">
        <w:rPr>
          <w:rStyle w:val="FootnoteReference"/>
        </w:rPr>
        <w:footnoteReference w:id="16"/>
      </w:r>
      <w:r w:rsidR="0013266D">
        <w:t xml:space="preserve">  Moreover, AEP-Ohio has voluntarily proposed to end </w:t>
      </w:r>
      <w:r w:rsidR="00E951C4">
        <w:t xml:space="preserve">what remains of </w:t>
      </w:r>
      <w:r w:rsidR="0013266D">
        <w:t xml:space="preserve">its PPA </w:t>
      </w:r>
      <w:r w:rsidR="00C65D82">
        <w:t xml:space="preserve">Rider </w:t>
      </w:r>
      <w:r w:rsidR="0013266D">
        <w:t xml:space="preserve">and </w:t>
      </w:r>
      <w:r w:rsidR="0013266D">
        <w:lastRenderedPageBreak/>
        <w:t xml:space="preserve">instead utilize its OVEC interests to serve </w:t>
      </w:r>
      <w:r w:rsidR="00012490">
        <w:t>standard service offer (“</w:t>
      </w:r>
      <w:r w:rsidR="0013266D">
        <w:t>SSO</w:t>
      </w:r>
      <w:r w:rsidR="00012490">
        <w:t>”)</w:t>
      </w:r>
      <w:r w:rsidR="0013266D">
        <w:t xml:space="preserve"> customers, making its cost</w:t>
      </w:r>
      <w:r w:rsidR="00012490">
        <w:t xml:space="preserve"> </w:t>
      </w:r>
      <w:r w:rsidR="0013266D">
        <w:t xml:space="preserve">recovery </w:t>
      </w:r>
      <w:proofErr w:type="spellStart"/>
      <w:r w:rsidR="0013266D">
        <w:t>bypassable</w:t>
      </w:r>
      <w:proofErr w:type="spellEnd"/>
      <w:r w:rsidR="0013266D">
        <w:t>.</w:t>
      </w:r>
      <w:r w:rsidR="00D460F9">
        <w:rPr>
          <w:rStyle w:val="FootnoteReference"/>
        </w:rPr>
        <w:footnoteReference w:id="17"/>
      </w:r>
      <w:r w:rsidR="0013266D">
        <w:t xml:space="preserve"> </w:t>
      </w:r>
      <w:r w:rsidR="00EB1721">
        <w:t xml:space="preserve">  </w:t>
      </w:r>
    </w:p>
    <w:p w14:paraId="1812C798" w14:textId="52D5010A" w:rsidR="003259A0" w:rsidRDefault="003028DD" w:rsidP="00930C50">
      <w:pPr>
        <w:spacing w:line="480" w:lineRule="auto"/>
        <w:ind w:firstLine="720"/>
        <w:jc w:val="both"/>
      </w:pPr>
      <w:r>
        <w:t>T</w:t>
      </w:r>
      <w:r w:rsidR="00930C50">
        <w:t xml:space="preserve">he Commission and the other three EDUs </w:t>
      </w:r>
      <w:r w:rsidR="00B0761C">
        <w:t>have all moved beyond the PPA proposals</w:t>
      </w:r>
      <w:r w:rsidR="009D493F">
        <w:t>.</w:t>
      </w:r>
      <w:r w:rsidR="00A65D29">
        <w:t xml:space="preserve">  </w:t>
      </w:r>
      <w:r w:rsidR="002708E0">
        <w:t xml:space="preserve">Duke, however, continues to pursue </w:t>
      </w:r>
      <w:proofErr w:type="spellStart"/>
      <w:r w:rsidR="002708E0">
        <w:t>nonbypassable</w:t>
      </w:r>
      <w:proofErr w:type="spellEnd"/>
      <w:r w:rsidR="002708E0">
        <w:t xml:space="preserve"> </w:t>
      </w:r>
      <w:r w:rsidR="00745116">
        <w:t xml:space="preserve">wholesale </w:t>
      </w:r>
      <w:r w:rsidR="002708E0">
        <w:t xml:space="preserve">cost recovery in this proceeding.  </w:t>
      </w:r>
      <w:r w:rsidR="00745116">
        <w:t xml:space="preserve">Since Duke has not </w:t>
      </w:r>
      <w:r w:rsidR="004915E4">
        <w:t xml:space="preserve">received </w:t>
      </w:r>
      <w:r w:rsidR="00745116">
        <w:t>the message that the PSR is unlawful under Ohio and federal law</w:t>
      </w:r>
      <w:r w:rsidR="002708E0">
        <w:t xml:space="preserve"> the Commission </w:t>
      </w:r>
      <w:r w:rsidR="00745116">
        <w:t>should</w:t>
      </w:r>
      <w:r w:rsidR="002708E0">
        <w:t xml:space="preserve"> deny Duke’s newest attempt to protect its earnings at the expense of its customers.</w:t>
      </w:r>
    </w:p>
    <w:p w14:paraId="15FF86E1" w14:textId="77777777" w:rsidR="005164A7" w:rsidRDefault="005164A7">
      <w:pPr>
        <w:rPr>
          <w:rFonts w:eastAsiaTheme="majorEastAsia" w:cs="Arial"/>
          <w:b/>
        </w:rPr>
      </w:pPr>
      <w:bookmarkStart w:id="10" w:name="_Toc486323260"/>
      <w:r>
        <w:br w:type="page"/>
      </w:r>
    </w:p>
    <w:p w14:paraId="7AEF2B61" w14:textId="672F2085" w:rsidR="00D3503E" w:rsidRDefault="00D3503E" w:rsidP="00041CE8">
      <w:pPr>
        <w:pStyle w:val="Heading3"/>
      </w:pPr>
      <w:bookmarkStart w:id="11" w:name="_Toc486344435"/>
      <w:r>
        <w:lastRenderedPageBreak/>
        <w:t xml:space="preserve">Duke’s reliance on the </w:t>
      </w:r>
      <w:r w:rsidRPr="00041CE8">
        <w:rPr>
          <w:i/>
        </w:rPr>
        <w:t>AEP-Ohio PPA Case</w:t>
      </w:r>
      <w:r>
        <w:t xml:space="preserve"> ignores that the case was resolved through a comprehensive settlement and that AEP-Ohio has subseq</w:t>
      </w:r>
      <w:r w:rsidR="00C00D89">
        <w:t>uently proposed to terminate its</w:t>
      </w:r>
      <w:r>
        <w:t xml:space="preserve"> PPA </w:t>
      </w:r>
      <w:r w:rsidR="00C00D89">
        <w:t>Rider</w:t>
      </w:r>
      <w:bookmarkEnd w:id="10"/>
      <w:bookmarkEnd w:id="11"/>
    </w:p>
    <w:p w14:paraId="44602D3C" w14:textId="2B532F84" w:rsidR="00D3503E" w:rsidRDefault="00D3503E" w:rsidP="00D3503E">
      <w:pPr>
        <w:spacing w:line="480" w:lineRule="auto"/>
        <w:ind w:firstLine="720"/>
        <w:jc w:val="both"/>
      </w:pPr>
      <w:r>
        <w:t xml:space="preserve">Duke also relies on the Commission’s order approving a settlement in </w:t>
      </w:r>
      <w:r w:rsidRPr="00041CE8">
        <w:rPr>
          <w:i/>
        </w:rPr>
        <w:t xml:space="preserve">AEP-Ohio’s PPA </w:t>
      </w:r>
      <w:r w:rsidR="00012490">
        <w:rPr>
          <w:i/>
        </w:rPr>
        <w:t>C</w:t>
      </w:r>
      <w:r w:rsidRPr="00041CE8">
        <w:rPr>
          <w:i/>
        </w:rPr>
        <w:t>ase</w:t>
      </w:r>
      <w:r>
        <w:t xml:space="preserve"> for its claim that its Application is lawful and reasonable.</w:t>
      </w:r>
      <w:r w:rsidR="00C00D89">
        <w:rPr>
          <w:rStyle w:val="FootnoteReference"/>
        </w:rPr>
        <w:footnoteReference w:id="18"/>
      </w:r>
      <w:r>
        <w:t xml:space="preserve">  Duke’s reliance on this order is also misplaced.</w:t>
      </w:r>
    </w:p>
    <w:p w14:paraId="22F74AFB" w14:textId="4CAC4A80" w:rsidR="00BF43DF" w:rsidRDefault="00D3503E" w:rsidP="00D3503E">
      <w:pPr>
        <w:spacing w:line="480" w:lineRule="auto"/>
        <w:ind w:firstLine="720"/>
        <w:jc w:val="both"/>
      </w:pPr>
      <w:r>
        <w:t xml:space="preserve">Initially, Duke’s reliance on the </w:t>
      </w:r>
      <w:r w:rsidRPr="00041CE8">
        <w:rPr>
          <w:i/>
        </w:rPr>
        <w:t>AEP-Ohio PPA Case</w:t>
      </w:r>
      <w:r>
        <w:t xml:space="preserve"> ignores that the case was resolved by way of a contested settlement.  The Commission authorized AEP-Ohio to </w:t>
      </w:r>
      <w:r w:rsidR="004915E4">
        <w:t>charge customers for its</w:t>
      </w:r>
      <w:r>
        <w:t xml:space="preserve"> net OVEC costs as part of a settlement that contained numerous other conditions.</w:t>
      </w:r>
      <w:r w:rsidR="00C00D89">
        <w:rPr>
          <w:rStyle w:val="FootnoteReference"/>
        </w:rPr>
        <w:footnoteReference w:id="19"/>
      </w:r>
      <w:r>
        <w:t xml:space="preserve">  Duke’s Application contains none of the other terms and conditions of the settlement in the </w:t>
      </w:r>
      <w:r w:rsidRPr="00041CE8">
        <w:rPr>
          <w:i/>
        </w:rPr>
        <w:t xml:space="preserve">AEP-Ohio PPA </w:t>
      </w:r>
      <w:r w:rsidR="00A55900">
        <w:rPr>
          <w:i/>
        </w:rPr>
        <w:t>C</w:t>
      </w:r>
      <w:r w:rsidRPr="00041CE8">
        <w:rPr>
          <w:i/>
        </w:rPr>
        <w:t>ase</w:t>
      </w:r>
      <w:r>
        <w:t xml:space="preserve">.  </w:t>
      </w:r>
      <w:r w:rsidR="00304192">
        <w:t xml:space="preserve">Further, the Commission’s order </w:t>
      </w:r>
      <w:r w:rsidR="00BF43DF">
        <w:t>did not address a stand-alone PPA proposal; it reviewed and approved a settlement package</w:t>
      </w:r>
      <w:r w:rsidR="002708E0">
        <w:t xml:space="preserve">.  </w:t>
      </w:r>
      <w:r w:rsidR="00BF43DF">
        <w:t>I</w:t>
      </w:r>
      <w:r w:rsidR="002708E0">
        <w:t>n the</w:t>
      </w:r>
      <w:r w:rsidR="00304192">
        <w:t xml:space="preserve"> only two </w:t>
      </w:r>
      <w:r w:rsidR="002708E0">
        <w:t xml:space="preserve">cases in which </w:t>
      </w:r>
      <w:r w:rsidR="00304192">
        <w:t xml:space="preserve">the Commission </w:t>
      </w:r>
      <w:r w:rsidR="00304192" w:rsidRPr="00041CE8">
        <w:rPr>
          <w:i/>
        </w:rPr>
        <w:t>has</w:t>
      </w:r>
      <w:r w:rsidR="00304192">
        <w:t xml:space="preserve"> been presented with a PPA </w:t>
      </w:r>
      <w:r w:rsidR="00DD6B3B">
        <w:t xml:space="preserve">unilaterally </w:t>
      </w:r>
      <w:r w:rsidR="00304192">
        <w:t>propos</w:t>
      </w:r>
      <w:r w:rsidR="00A55900">
        <w:t>ed</w:t>
      </w:r>
      <w:r w:rsidR="00E32D29">
        <w:t xml:space="preserve"> by an EDU</w:t>
      </w:r>
      <w:r w:rsidR="002708E0">
        <w:t>,</w:t>
      </w:r>
      <w:r w:rsidR="00E32D29">
        <w:t xml:space="preserve"> the Commission has </w:t>
      </w:r>
      <w:r w:rsidR="002708E0" w:rsidRPr="00041CE8">
        <w:rPr>
          <w:i/>
        </w:rPr>
        <w:t>refused</w:t>
      </w:r>
      <w:r w:rsidR="002708E0">
        <w:t xml:space="preserve"> </w:t>
      </w:r>
      <w:r w:rsidR="00E32D29">
        <w:t xml:space="preserve">to allow the EDUs to collect any </w:t>
      </w:r>
      <w:r w:rsidR="002708E0">
        <w:t xml:space="preserve">above-market wholesale </w:t>
      </w:r>
      <w:r w:rsidR="00E32D29">
        <w:t>costs</w:t>
      </w:r>
      <w:r w:rsidR="005E1339">
        <w:t xml:space="preserve"> arising out </w:t>
      </w:r>
      <w:r w:rsidR="00012490">
        <w:t xml:space="preserve">of </w:t>
      </w:r>
      <w:r w:rsidR="005E1339">
        <w:t>the EDU’s retention of an interest in OVEC</w:t>
      </w:r>
      <w:r w:rsidR="00E32D29">
        <w:t>.</w:t>
      </w:r>
      <w:r w:rsidR="00E32D29">
        <w:rPr>
          <w:rStyle w:val="FootnoteReference"/>
        </w:rPr>
        <w:footnoteReference w:id="20"/>
      </w:r>
      <w:r w:rsidR="009705A9">
        <w:t xml:space="preserve"> </w:t>
      </w:r>
      <w:r w:rsidR="00DD6B3B">
        <w:t xml:space="preserve"> Additionally, </w:t>
      </w:r>
      <w:r w:rsidR="00DD6B3B">
        <w:lastRenderedPageBreak/>
        <w:t>t</w:t>
      </w:r>
      <w:r w:rsidR="00BF43DF">
        <w:t>he stipulation itself recognizes that it is not to be treated as a binding precedent in future proceedings.</w:t>
      </w:r>
      <w:r w:rsidR="00BF43DF">
        <w:rPr>
          <w:rStyle w:val="FootnoteReference"/>
        </w:rPr>
        <w:footnoteReference w:id="21"/>
      </w:r>
      <w:r w:rsidR="00BF43DF">
        <w:t xml:space="preserve">  </w:t>
      </w:r>
    </w:p>
    <w:p w14:paraId="761C1377" w14:textId="01832791" w:rsidR="00D3503E" w:rsidRDefault="00AC324D" w:rsidP="00D3503E">
      <w:pPr>
        <w:spacing w:line="480" w:lineRule="auto"/>
        <w:ind w:firstLine="720"/>
        <w:jc w:val="both"/>
      </w:pPr>
      <w:r>
        <w:t xml:space="preserve">Subsequent events </w:t>
      </w:r>
      <w:r w:rsidR="00DD6B3B">
        <w:t xml:space="preserve">to that stipulation </w:t>
      </w:r>
      <w:r>
        <w:t xml:space="preserve">also do not support Duke’s reliance on the </w:t>
      </w:r>
      <w:r w:rsidRPr="00041CE8">
        <w:rPr>
          <w:i/>
        </w:rPr>
        <w:t xml:space="preserve">AEP-Ohio PPA </w:t>
      </w:r>
      <w:r w:rsidR="0005189D" w:rsidRPr="00041CE8">
        <w:rPr>
          <w:i/>
        </w:rPr>
        <w:t>C</w:t>
      </w:r>
      <w:r w:rsidRPr="00041CE8">
        <w:rPr>
          <w:i/>
        </w:rPr>
        <w:t>ase</w:t>
      </w:r>
      <w:r>
        <w:t xml:space="preserve">.  </w:t>
      </w:r>
      <w:r w:rsidR="0005189D">
        <w:t xml:space="preserve">Following approval of the settlement in that case, </w:t>
      </w:r>
      <w:r w:rsidR="00D3503E">
        <w:t xml:space="preserve">AEP-Ohio proposed to end the </w:t>
      </w:r>
      <w:proofErr w:type="spellStart"/>
      <w:r w:rsidR="00D3503E">
        <w:t>nonbypassable</w:t>
      </w:r>
      <w:proofErr w:type="spellEnd"/>
      <w:r w:rsidR="00D3503E">
        <w:t xml:space="preserve"> PPA charge as part of its </w:t>
      </w:r>
      <w:r w:rsidR="009705A9">
        <w:t xml:space="preserve">pending </w:t>
      </w:r>
      <w:r w:rsidR="00D3503E">
        <w:t xml:space="preserve">ESP </w:t>
      </w:r>
      <w:r w:rsidR="009705A9">
        <w:t>application</w:t>
      </w:r>
      <w:r w:rsidR="00D3503E">
        <w:t xml:space="preserve"> and instead utilize its OVEC entitlement to serve SSO customers and to include the OVEC costs as part of the </w:t>
      </w:r>
      <w:proofErr w:type="spellStart"/>
      <w:r w:rsidR="00D3503E">
        <w:t>bypassable</w:t>
      </w:r>
      <w:proofErr w:type="spellEnd"/>
      <w:r w:rsidR="00D3503E">
        <w:t xml:space="preserve"> SSO charges.</w:t>
      </w:r>
      <w:r w:rsidR="00D3503E">
        <w:rPr>
          <w:rStyle w:val="FootnoteReference"/>
        </w:rPr>
        <w:footnoteReference w:id="22"/>
      </w:r>
      <w:r w:rsidR="00D3503E">
        <w:t xml:space="preserve">  </w:t>
      </w:r>
    </w:p>
    <w:p w14:paraId="2D3CF1D9" w14:textId="572BFAB1" w:rsidR="00D3503E" w:rsidRDefault="0005189D" w:rsidP="00D3503E">
      <w:pPr>
        <w:spacing w:line="480" w:lineRule="auto"/>
        <w:ind w:firstLine="720"/>
        <w:jc w:val="both"/>
      </w:pPr>
      <w:r>
        <w:t>L</w:t>
      </w:r>
      <w:r w:rsidR="00D460F9">
        <w:t>ike its reliance on the ESP III Order</w:t>
      </w:r>
      <w:r>
        <w:t>,</w:t>
      </w:r>
      <w:r w:rsidR="00D460F9">
        <w:t xml:space="preserve"> Duke’s reliance on the AEP-Ohio PPA Order ignores that the decision is still under review.  Because the </w:t>
      </w:r>
      <w:r w:rsidR="00D460F9" w:rsidRPr="00041CE8">
        <w:rPr>
          <w:i/>
        </w:rPr>
        <w:t xml:space="preserve">AEP-Ohio PPA </w:t>
      </w:r>
      <w:r w:rsidR="00012490" w:rsidRPr="00041CE8">
        <w:rPr>
          <w:i/>
        </w:rPr>
        <w:t>C</w:t>
      </w:r>
      <w:r w:rsidR="00D460F9" w:rsidRPr="00041CE8">
        <w:rPr>
          <w:i/>
        </w:rPr>
        <w:t>ase</w:t>
      </w:r>
      <w:r w:rsidR="00D460F9">
        <w:t xml:space="preserve"> was resolved by way of a comprehensive settlement</w:t>
      </w:r>
      <w:r w:rsidR="005E1339">
        <w:t xml:space="preserve">, which by its own terms </w:t>
      </w:r>
      <w:r w:rsidR="008E42E1">
        <w:t>ha</w:t>
      </w:r>
      <w:r w:rsidR="005E1339">
        <w:t xml:space="preserve">s no precedential effect, </w:t>
      </w:r>
      <w:r w:rsidR="00D460F9">
        <w:t xml:space="preserve">the Commission should give no weight to Duke’s citation to and reliance on </w:t>
      </w:r>
      <w:r w:rsidR="00841FFE">
        <w:t xml:space="preserve">the Commission’s order approving that the settlement in </w:t>
      </w:r>
      <w:r w:rsidR="00576FC2">
        <w:t xml:space="preserve">the </w:t>
      </w:r>
      <w:r w:rsidR="00576FC2">
        <w:rPr>
          <w:i/>
        </w:rPr>
        <w:t>AEP-Ohio</w:t>
      </w:r>
      <w:r w:rsidR="00841FFE" w:rsidRPr="00576FC2">
        <w:rPr>
          <w:i/>
        </w:rPr>
        <w:t xml:space="preserve"> PPA Case</w:t>
      </w:r>
      <w:r w:rsidR="00841FFE">
        <w:t>.</w:t>
      </w:r>
    </w:p>
    <w:p w14:paraId="1616D2DF" w14:textId="77777777" w:rsidR="005150FD" w:rsidRDefault="00CB63A7" w:rsidP="00CB63A7">
      <w:pPr>
        <w:pStyle w:val="Heading2"/>
      </w:pPr>
      <w:bookmarkStart w:id="12" w:name="_Toc486323261"/>
      <w:bookmarkStart w:id="13" w:name="_Toc486344436"/>
      <w:r>
        <w:t xml:space="preserve">Duke’s claim that its Application is not an untimely request for rehearing ignores the fact that Duke proposes to alter the previously approved terms and conditions of the </w:t>
      </w:r>
      <w:r w:rsidR="002503F1">
        <w:t>PSR</w:t>
      </w:r>
      <w:bookmarkEnd w:id="12"/>
      <w:bookmarkEnd w:id="13"/>
    </w:p>
    <w:p w14:paraId="361AA91D" w14:textId="411ECEEB" w:rsidR="0062732C" w:rsidRDefault="00DB5718" w:rsidP="0043278A">
      <w:pPr>
        <w:spacing w:line="480" w:lineRule="auto"/>
        <w:ind w:firstLine="720"/>
        <w:jc w:val="both"/>
      </w:pPr>
      <w:r>
        <w:t xml:space="preserve">In its Application, Duke seeks to alter the PSR in at least two material respects.  </w:t>
      </w:r>
      <w:r w:rsidR="00DD6B3B">
        <w:t>First</w:t>
      </w:r>
      <w:r>
        <w:t xml:space="preserve">, </w:t>
      </w:r>
      <w:r w:rsidR="0043278A">
        <w:t>Duke seeks authorization of the PSR under a new legal th</w:t>
      </w:r>
      <w:r w:rsidR="00346B25">
        <w:t>eory</w:t>
      </w:r>
      <w:r>
        <w:t xml:space="preserve">, the Commission’s traditional </w:t>
      </w:r>
      <w:r>
        <w:lastRenderedPageBreak/>
        <w:t>authority over noncompetitive electric services (R.C. Chapter 4909)</w:t>
      </w:r>
      <w:r w:rsidR="00346B25">
        <w:t xml:space="preserve"> </w:t>
      </w:r>
      <w:r w:rsidR="00B741C0">
        <w:t xml:space="preserve">and its general supervisory authority.  </w:t>
      </w:r>
      <w:r w:rsidR="00DD6B3B">
        <w:t xml:space="preserve">Second, </w:t>
      </w:r>
      <w:r w:rsidR="00B741C0">
        <w:t xml:space="preserve">Duke seeks to </w:t>
      </w:r>
      <w:r w:rsidR="00DD6B3B">
        <w:t>extend the term of the PSR beyond the three years authorized in the ESP, thereby severing the PSR from the term of its ESP and extending it through 2040</w:t>
      </w:r>
      <w:r w:rsidR="00346B25">
        <w:t>.</w:t>
      </w:r>
      <w:r w:rsidR="00E977F9">
        <w:t xml:space="preserve">  </w:t>
      </w:r>
      <w:r w:rsidR="0058507F">
        <w:t>As discussed in the Joint Motion to Dismiss, these changes amount to an untimely request for rehearing and are otherwise unlawful and unreasonable.</w:t>
      </w:r>
      <w:r w:rsidR="00CA4FF5">
        <w:rPr>
          <w:rStyle w:val="FootnoteReference"/>
        </w:rPr>
        <w:footnoteReference w:id="23"/>
      </w:r>
      <w:r w:rsidR="0058507F">
        <w:t xml:space="preserve">  </w:t>
      </w:r>
    </w:p>
    <w:p w14:paraId="37D682D8" w14:textId="46060023" w:rsidR="0043278A" w:rsidRDefault="0062732C" w:rsidP="0043278A">
      <w:pPr>
        <w:spacing w:line="480" w:lineRule="auto"/>
        <w:ind w:firstLine="720"/>
        <w:jc w:val="both"/>
      </w:pPr>
      <w:r>
        <w:t xml:space="preserve">In its Memo Contra, </w:t>
      </w:r>
      <w:r w:rsidR="00E977F9">
        <w:t xml:space="preserve">Duke </w:t>
      </w:r>
      <w:r w:rsidR="00FD453A">
        <w:t>asserts that its Application is not an untimely application for rehearing because</w:t>
      </w:r>
      <w:r w:rsidR="00654C8C">
        <w:t xml:space="preserve"> it</w:t>
      </w:r>
      <w:r w:rsidR="00841FFE">
        <w:t xml:space="preserve"> </w:t>
      </w:r>
      <w:r w:rsidR="00C928AE">
        <w:t xml:space="preserve">is </w:t>
      </w:r>
      <w:r w:rsidR="00841FFE">
        <w:t>simply fulfilling the terms of the</w:t>
      </w:r>
      <w:r w:rsidR="00787F3F">
        <w:t xml:space="preserve"> ESP III Order and seeking to allow the continuation of </w:t>
      </w:r>
      <w:r w:rsidR="00C928AE">
        <w:t xml:space="preserve">the </w:t>
      </w:r>
      <w:r w:rsidR="00787F3F">
        <w:t>PSR beyond the ESP III term.</w:t>
      </w:r>
      <w:r w:rsidR="00787F3F">
        <w:rPr>
          <w:rStyle w:val="FootnoteReference"/>
        </w:rPr>
        <w:footnoteReference w:id="24"/>
      </w:r>
      <w:r w:rsidR="00787F3F">
        <w:t xml:space="preserve">  Expanding on it</w:t>
      </w:r>
      <w:r w:rsidR="00C928AE">
        <w:t>s</w:t>
      </w:r>
      <w:r w:rsidR="00787F3F">
        <w:t xml:space="preserve"> assertion that its Application is not an untimely request for rehearing, Duke </w:t>
      </w:r>
      <w:r w:rsidR="00E977F9">
        <w:t>clai</w:t>
      </w:r>
      <w:r w:rsidR="00D15EC3">
        <w:t>m</w:t>
      </w:r>
      <w:r>
        <w:t xml:space="preserve">s that </w:t>
      </w:r>
      <w:r w:rsidR="004F39B4">
        <w:t>the Commission “understandably</w:t>
      </w:r>
      <w:r w:rsidR="00023FF2">
        <w:t xml:space="preserve">” did not identify </w:t>
      </w:r>
      <w:r w:rsidR="004A732A">
        <w:t xml:space="preserve">in the ESP III Order </w:t>
      </w:r>
      <w:r w:rsidR="00654C8C">
        <w:t>any authority to adjust a rider outside of the ESP proceeding.</w:t>
      </w:r>
      <w:r w:rsidR="004A732A">
        <w:rPr>
          <w:rStyle w:val="FootnoteReference"/>
        </w:rPr>
        <w:footnoteReference w:id="25"/>
      </w:r>
      <w:r w:rsidR="004A732A">
        <w:t xml:space="preserve">  </w:t>
      </w:r>
      <w:r w:rsidR="004F39B4">
        <w:t xml:space="preserve"> </w:t>
      </w:r>
      <w:r w:rsidR="001437F2">
        <w:t xml:space="preserve">Duke </w:t>
      </w:r>
      <w:r w:rsidR="00787F3F">
        <w:t>further</w:t>
      </w:r>
      <w:r w:rsidR="001437F2">
        <w:t xml:space="preserve"> </w:t>
      </w:r>
      <w:r w:rsidR="00EB1296">
        <w:t>argues</w:t>
      </w:r>
      <w:r w:rsidR="001437F2">
        <w:t xml:space="preserve"> that it is not requesting the PSR be approved under a new legal theory because the PSR is already approved.</w:t>
      </w:r>
      <w:r w:rsidR="001437F2">
        <w:rPr>
          <w:rStyle w:val="FootnoteReference"/>
        </w:rPr>
        <w:footnoteReference w:id="26"/>
      </w:r>
      <w:r w:rsidR="001437F2">
        <w:t xml:space="preserve">  </w:t>
      </w:r>
      <w:r w:rsidR="00EB1296">
        <w:t>Duke’s position is without merit.</w:t>
      </w:r>
    </w:p>
    <w:p w14:paraId="5D799209" w14:textId="4C5629C0" w:rsidR="00937A80" w:rsidRDefault="00D822CA" w:rsidP="00F935DB">
      <w:pPr>
        <w:spacing w:line="480" w:lineRule="auto"/>
        <w:ind w:firstLine="720"/>
        <w:jc w:val="both"/>
      </w:pPr>
      <w:r>
        <w:t xml:space="preserve">Despite its claim that this Application is not an untimely application for rehearing of the ESP III Order, </w:t>
      </w:r>
      <w:r w:rsidR="00B03612">
        <w:t xml:space="preserve">Duke concedes that it is seeking to revise the terms </w:t>
      </w:r>
      <w:r w:rsidR="00745116">
        <w:t xml:space="preserve">of </w:t>
      </w:r>
      <w:r w:rsidR="00D86DBD">
        <w:t xml:space="preserve">the </w:t>
      </w:r>
      <w:r w:rsidR="00745116">
        <w:t>ESP</w:t>
      </w:r>
      <w:r w:rsidR="00B03612">
        <w:t xml:space="preserve"> III Order.  At </w:t>
      </w:r>
      <w:r w:rsidR="00B03612">
        <w:lastRenderedPageBreak/>
        <w:t>the outset of its Memo Contra</w:t>
      </w:r>
      <w:r w:rsidR="00C928AE">
        <w:t>,</w:t>
      </w:r>
      <w:r w:rsidR="00B03612">
        <w:t xml:space="preserve"> Duke states </w:t>
      </w:r>
      <w:r w:rsidR="00654C8C">
        <w:t xml:space="preserve">that </w:t>
      </w:r>
      <w:r w:rsidR="00B03612">
        <w:t>it is seeking to change the terms of the ESP III Order</w:t>
      </w:r>
      <w:proofErr w:type="gramStart"/>
      <w:r w:rsidR="00B03612">
        <w:t>:  “</w:t>
      </w:r>
      <w:proofErr w:type="gramEnd"/>
      <w:r w:rsidR="00B03612">
        <w:t xml:space="preserve">On March 31, 2017 [Duke] filed an application </w:t>
      </w:r>
      <w:r w:rsidR="00C928AE">
        <w:t xml:space="preserve">(Application) </w:t>
      </w:r>
      <w:r w:rsidR="00B03612">
        <w:t xml:space="preserve">with [the Commission], seeking an order from the Commission </w:t>
      </w:r>
      <w:r w:rsidR="00C928AE">
        <w:t>…</w:t>
      </w:r>
      <w:r w:rsidR="00B03612">
        <w:t xml:space="preserve"> amending Rider PSR with regard to its effective period.”</w:t>
      </w:r>
      <w:r w:rsidR="00B03612">
        <w:rPr>
          <w:rStyle w:val="FootnoteReference"/>
        </w:rPr>
        <w:footnoteReference w:id="27"/>
      </w:r>
      <w:r w:rsidR="00B03612">
        <w:t xml:space="preserve">  </w:t>
      </w:r>
    </w:p>
    <w:p w14:paraId="6455F135" w14:textId="0DA60641" w:rsidR="00B03612" w:rsidRDefault="00F935DB" w:rsidP="00F935DB">
      <w:pPr>
        <w:spacing w:line="480" w:lineRule="auto"/>
        <w:ind w:firstLine="720"/>
        <w:jc w:val="both"/>
      </w:pPr>
      <w:r>
        <w:t xml:space="preserve">Duke’s </w:t>
      </w:r>
      <w:r w:rsidR="00B03612">
        <w:t xml:space="preserve">argument </w:t>
      </w:r>
      <w:r w:rsidR="00937A80">
        <w:t xml:space="preserve">in its Memo Contra further ignores </w:t>
      </w:r>
      <w:r w:rsidR="00B03612">
        <w:t>that</w:t>
      </w:r>
      <w:r w:rsidR="0026537F">
        <w:t xml:space="preserve"> </w:t>
      </w:r>
      <w:r w:rsidR="00654C8C">
        <w:t>it</w:t>
      </w:r>
      <w:r w:rsidR="0026537F">
        <w:t xml:space="preserve"> sought </w:t>
      </w:r>
      <w:r w:rsidR="0005189D">
        <w:t>authorization of the PSR through 2040</w:t>
      </w:r>
      <w:r w:rsidR="00B03612">
        <w:t xml:space="preserve"> in the </w:t>
      </w:r>
      <w:r w:rsidR="00B03612" w:rsidRPr="00041CE8">
        <w:rPr>
          <w:i/>
        </w:rPr>
        <w:t>ESP III Case</w:t>
      </w:r>
      <w:r w:rsidR="00B03612">
        <w:t>, but t</w:t>
      </w:r>
      <w:r w:rsidR="0026537F">
        <w:t>he Commission rejected Duke’s request</w:t>
      </w:r>
      <w:r w:rsidR="00B03612">
        <w:t xml:space="preserve"> and instead</w:t>
      </w:r>
      <w:r w:rsidR="0026537F">
        <w:t xml:space="preserve"> </w:t>
      </w:r>
      <w:r w:rsidR="00E17C1B">
        <w:t xml:space="preserve">authorized Duke’s PSR as a placeholder rider </w:t>
      </w:r>
      <w:r w:rsidR="00654C8C">
        <w:t>under</w:t>
      </w:r>
      <w:r w:rsidR="00E17C1B">
        <w:t xml:space="preserve"> R.C. 4928.143(B)(2)(d)</w:t>
      </w:r>
      <w:r w:rsidR="00EB1296">
        <w:t xml:space="preserve"> for the three-year term of the ESP</w:t>
      </w:r>
      <w:r w:rsidR="00E17C1B">
        <w:t>.</w:t>
      </w:r>
      <w:r w:rsidR="00EB1296">
        <w:rPr>
          <w:rStyle w:val="FootnoteReference"/>
        </w:rPr>
        <w:footnoteReference w:id="28"/>
      </w:r>
      <w:r w:rsidR="005B37CD">
        <w:t xml:space="preserve"> </w:t>
      </w:r>
      <w:r w:rsidR="0026537F">
        <w:t xml:space="preserve"> </w:t>
      </w:r>
      <w:r w:rsidR="00631B3D">
        <w:t xml:space="preserve">Faced with a Commission order rejecting its request, </w:t>
      </w:r>
      <w:r w:rsidR="0026537F">
        <w:t>Duke did not seek timely r</w:t>
      </w:r>
      <w:r w:rsidR="00631B3D">
        <w:t>ehearing of the term of the PSR.</w:t>
      </w:r>
      <w:r w:rsidR="00631B3D">
        <w:rPr>
          <w:rStyle w:val="FootnoteReference"/>
        </w:rPr>
        <w:footnoteReference w:id="29"/>
      </w:r>
      <w:r w:rsidR="00631B3D">
        <w:t xml:space="preserve"> </w:t>
      </w:r>
      <w:r w:rsidR="0026537F">
        <w:t xml:space="preserve"> </w:t>
      </w:r>
      <w:r w:rsidR="004E1B1F">
        <w:t xml:space="preserve">In this Application, however, it </w:t>
      </w:r>
      <w:r w:rsidR="00654C8C">
        <w:t xml:space="preserve">now </w:t>
      </w:r>
      <w:r w:rsidR="0026537F">
        <w:t xml:space="preserve">seeks to sever the PSR from the ESP and extend the term to 2040.  </w:t>
      </w:r>
      <w:r w:rsidR="00A20DDE">
        <w:t>Duke’s claim that its Application is an implementation of the E</w:t>
      </w:r>
      <w:r w:rsidR="00BF3AB5">
        <w:t>SP III Order does not withstand</w:t>
      </w:r>
      <w:r w:rsidR="00A20DDE">
        <w:t xml:space="preserve"> scrutiny because </w:t>
      </w:r>
      <w:r w:rsidR="00937A80">
        <w:t>its</w:t>
      </w:r>
      <w:r w:rsidR="00654C8C">
        <w:t xml:space="preserve"> request to extend the PSR term through 2040 would require the Commission to modify its ESP III Order.  </w:t>
      </w:r>
      <w:r w:rsidR="00A20DDE">
        <w:t>Because Duke seeks an extension of the term of the PSR beyond what was previously authorized in the ESP III Order, Duke is seeking an untimely reconsideration of the very issue it previously presented and lost.</w:t>
      </w:r>
    </w:p>
    <w:p w14:paraId="6370264C" w14:textId="76BD4992" w:rsidR="0081318F" w:rsidRDefault="00D822CA" w:rsidP="0081318F">
      <w:pPr>
        <w:spacing w:line="480" w:lineRule="auto"/>
        <w:ind w:firstLine="720"/>
        <w:jc w:val="both"/>
      </w:pPr>
      <w:r>
        <w:lastRenderedPageBreak/>
        <w:t>Duke</w:t>
      </w:r>
      <w:r w:rsidR="00204831">
        <w:t>’s</w:t>
      </w:r>
      <w:r>
        <w:t xml:space="preserve"> attempt to rewrite the ESP III Order through this Application, however, is not limited to the term of the PSR.  Although Duke claims that it is not seeking authorization of the PSR under a new legal theory because the PSR is already approved</w:t>
      </w:r>
      <w:r w:rsidR="00C928AE">
        <w:t>,</w:t>
      </w:r>
      <w:r>
        <w:t xml:space="preserve"> it now cites </w:t>
      </w:r>
      <w:r w:rsidR="0029576E">
        <w:t xml:space="preserve">as “authority” for its Application </w:t>
      </w:r>
      <w:r>
        <w:t>the Commission’s general supervisory jurisdiction, R.C. 4905.04 to 4905.06, the Commission’s authority to authorize accounting changes, R.C. 4905.13, and the Commission’s traditional ratemaking authority over noncompetitive electric services, R.C. 4909.18.</w:t>
      </w:r>
      <w:r>
        <w:rPr>
          <w:rStyle w:val="FootnoteReference"/>
        </w:rPr>
        <w:footnoteReference w:id="30"/>
      </w:r>
      <w:r>
        <w:t xml:space="preserve">  The Commission, however, approved the placeholder PSR based</w:t>
      </w:r>
      <w:r w:rsidR="00791159">
        <w:t xml:space="preserve"> on</w:t>
      </w:r>
      <w:r>
        <w:t xml:space="preserve"> its claimed authority under R.C. 4928.143(B)(2)(d).</w:t>
      </w:r>
      <w:r>
        <w:rPr>
          <w:rStyle w:val="FootnoteReference"/>
        </w:rPr>
        <w:footnoteReference w:id="31"/>
      </w:r>
      <w:r>
        <w:t xml:space="preserve">  </w:t>
      </w:r>
      <w:r w:rsidR="004E1B1F">
        <w:t>The Commission can only speak through its orders.</w:t>
      </w:r>
      <w:r w:rsidR="004E1B1F">
        <w:rPr>
          <w:rStyle w:val="FootnoteReference"/>
        </w:rPr>
        <w:footnoteReference w:id="32"/>
      </w:r>
      <w:r w:rsidR="004E1B1F">
        <w:t xml:space="preserve">  If a certain statutory provision was not cited by </w:t>
      </w:r>
      <w:r w:rsidR="004E1B1F">
        <w:lastRenderedPageBreak/>
        <w:t>the Commission in its order</w:t>
      </w:r>
      <w:r w:rsidR="00C928AE">
        <w:t>,</w:t>
      </w:r>
      <w:r w:rsidR="004E1B1F">
        <w:t xml:space="preserve"> it cannot serve as a basis for the authorization for the charge.  </w:t>
      </w:r>
      <w:r>
        <w:t xml:space="preserve">Thus, </w:t>
      </w:r>
      <w:proofErr w:type="gramStart"/>
      <w:r>
        <w:t>it is clear that Duke</w:t>
      </w:r>
      <w:proofErr w:type="gramEnd"/>
      <w:r>
        <w:t xml:space="preserve"> seeks authorization of the PSR under new statutory provisions</w:t>
      </w:r>
      <w:r w:rsidR="005844F7">
        <w:t>.  It is seeking revisions to the ESP III Order outside of the rehearing process.</w:t>
      </w:r>
    </w:p>
    <w:p w14:paraId="48ADE311" w14:textId="52FCAD10" w:rsidR="00D94819" w:rsidRDefault="004E1B1F" w:rsidP="0043278A">
      <w:pPr>
        <w:spacing w:line="480" w:lineRule="auto"/>
        <w:ind w:firstLine="720"/>
        <w:jc w:val="both"/>
      </w:pPr>
      <w:r>
        <w:t xml:space="preserve">Because </w:t>
      </w:r>
      <w:r w:rsidR="005844F7">
        <w:t>Duke’s</w:t>
      </w:r>
      <w:r>
        <w:t xml:space="preserve"> request for reconsideration of the ESP III Order is years late, it is unlawful.</w:t>
      </w:r>
      <w:r>
        <w:rPr>
          <w:rStyle w:val="FootnoteReference"/>
        </w:rPr>
        <w:footnoteReference w:id="33"/>
      </w:r>
      <w:r>
        <w:t xml:space="preserve">  </w:t>
      </w:r>
      <w:r w:rsidR="00525562">
        <w:t>A new legal basis supporting the authorization of</w:t>
      </w:r>
      <w:r w:rsidR="002307F9">
        <w:t xml:space="preserve"> the PSR can only be done through </w:t>
      </w:r>
      <w:r w:rsidR="00F21310">
        <w:t>the rehearing process o</w:t>
      </w:r>
      <w:r w:rsidR="00525562">
        <w:t>r</w:t>
      </w:r>
      <w:r w:rsidR="00F21310">
        <w:t xml:space="preserve"> a new ratemaking process.  </w:t>
      </w:r>
      <w:r w:rsidR="005844F7">
        <w:t>T</w:t>
      </w:r>
      <w:r w:rsidR="00F21310">
        <w:t xml:space="preserve">he rehearing process, </w:t>
      </w:r>
      <w:r w:rsidR="005844F7">
        <w:t xml:space="preserve">however, is not an option because </w:t>
      </w:r>
      <w:r w:rsidR="00F21310">
        <w:t xml:space="preserve">Duke failed to submit a timely request for rehearing in the </w:t>
      </w:r>
      <w:r w:rsidR="00F21310" w:rsidRPr="00041CE8">
        <w:rPr>
          <w:i/>
        </w:rPr>
        <w:t>ESP III Case</w:t>
      </w:r>
      <w:r w:rsidR="00F21310">
        <w:t xml:space="preserve"> seeking authorization of the PSR under the new legal aut</w:t>
      </w:r>
      <w:r w:rsidR="007A22C3">
        <w:t>hority it cites</w:t>
      </w:r>
      <w:r w:rsidR="00525562">
        <w:t xml:space="preserve"> (and as discussed herein and in the </w:t>
      </w:r>
      <w:r w:rsidR="00C928AE">
        <w:t xml:space="preserve">Joint </w:t>
      </w:r>
      <w:r w:rsidR="00525562">
        <w:t>Motion to Dismiss, such a request would have been unlawful and unreasonable)</w:t>
      </w:r>
      <w:r w:rsidR="007A22C3">
        <w:t xml:space="preserve">.  </w:t>
      </w:r>
      <w:r w:rsidR="005844F7">
        <w:t xml:space="preserve">And the ratemaking process does not work either because </w:t>
      </w:r>
      <w:r w:rsidR="007A22C3">
        <w:t xml:space="preserve">Duke’s Application complies neither </w:t>
      </w:r>
      <w:r w:rsidR="005844F7">
        <w:t xml:space="preserve">with </w:t>
      </w:r>
      <w:r w:rsidR="007A22C3">
        <w:t xml:space="preserve">the SSO ratemaking statutes </w:t>
      </w:r>
      <w:r w:rsidR="00C928AE">
        <w:t>n</w:t>
      </w:r>
      <w:r w:rsidR="007A22C3">
        <w:t xml:space="preserve">or the Commission’s traditional ratemaking </w:t>
      </w:r>
      <w:r w:rsidR="00F85D98">
        <w:t>authority in R.C. 4909.18</w:t>
      </w:r>
      <w:r w:rsidR="007A22C3">
        <w:t xml:space="preserve">.  Accordingly, the relief Duke seeks in its Application is either an untimely request for rehearing or </w:t>
      </w:r>
      <w:r w:rsidR="00A75110">
        <w:t>a request that is beyond the Commission’s authority.</w:t>
      </w:r>
    </w:p>
    <w:p w14:paraId="51ECCE2E" w14:textId="7F7B55D6" w:rsidR="00F15D92" w:rsidRDefault="00F15D92" w:rsidP="00F15D92">
      <w:pPr>
        <w:pStyle w:val="Heading2"/>
      </w:pPr>
      <w:bookmarkStart w:id="14" w:name="_Toc486323262"/>
      <w:bookmarkStart w:id="15" w:name="_Toc486344437"/>
      <w:r>
        <w:lastRenderedPageBreak/>
        <w:t xml:space="preserve">The </w:t>
      </w:r>
      <w:r w:rsidR="00DF45AC">
        <w:t xml:space="preserve">Joint </w:t>
      </w:r>
      <w:r>
        <w:t>Motion to Dismiss is not an untimely request for rehearing</w:t>
      </w:r>
      <w:bookmarkEnd w:id="14"/>
      <w:bookmarkEnd w:id="15"/>
    </w:p>
    <w:p w14:paraId="04AE8DBC" w14:textId="42882829" w:rsidR="0034126A" w:rsidRDefault="00F15D92" w:rsidP="0043278A">
      <w:pPr>
        <w:spacing w:line="480" w:lineRule="auto"/>
        <w:ind w:firstLine="720"/>
        <w:jc w:val="both"/>
      </w:pPr>
      <w:r>
        <w:t>In its Memo Contra</w:t>
      </w:r>
      <w:r w:rsidR="00DF45AC">
        <w:t>,</w:t>
      </w:r>
      <w:r>
        <w:t xml:space="preserve"> Duke </w:t>
      </w:r>
      <w:r w:rsidR="0034126A">
        <w:t>characteriz</w:t>
      </w:r>
      <w:r>
        <w:t>es</w:t>
      </w:r>
      <w:r w:rsidR="0034126A">
        <w:t xml:space="preserve"> the </w:t>
      </w:r>
      <w:r w:rsidR="00DF45AC">
        <w:t xml:space="preserve">Joint </w:t>
      </w:r>
      <w:r w:rsidR="0034126A">
        <w:t>Motion to Dismiss as an untimely request for rehearing</w:t>
      </w:r>
      <w:r>
        <w:t>.  Duke</w:t>
      </w:r>
      <w:r w:rsidR="0034126A">
        <w:t xml:space="preserve"> is incorrect.</w:t>
      </w:r>
      <w:r w:rsidR="00362FF5">
        <w:t xml:space="preserve">  </w:t>
      </w:r>
      <w:r w:rsidR="00992CDD">
        <w:t xml:space="preserve">In the </w:t>
      </w:r>
      <w:r w:rsidR="00992CDD" w:rsidRPr="00041CE8">
        <w:rPr>
          <w:i/>
        </w:rPr>
        <w:t>ESP III Case</w:t>
      </w:r>
      <w:r w:rsidR="00992CDD">
        <w:t xml:space="preserve">, the Commission held that R.C. 4928.143(B)(2)(d) provided the Commission with the requisite authority to adopt the placeholder PSR.  Here, however, </w:t>
      </w:r>
      <w:r w:rsidR="00362FF5">
        <w:t xml:space="preserve">Duke has presented an alleged “new” legal basis for populating the unlawfully authorized PSR.  The </w:t>
      </w:r>
      <w:r w:rsidR="00DF45AC">
        <w:t xml:space="preserve">Joint </w:t>
      </w:r>
      <w:r w:rsidR="00362FF5">
        <w:t xml:space="preserve">Motion to Dismiss demonstrates that there is no legal or reasoned basis for the Commission to approve Duke’s Application </w:t>
      </w:r>
      <w:r w:rsidR="00F7060A">
        <w:t>made pursuant to R.C. 4905.04, 4905.05, 4905.06, 4905.13, and 4909.18</w:t>
      </w:r>
      <w:r w:rsidR="00362FF5">
        <w:t xml:space="preserve">.  Accordingly, the </w:t>
      </w:r>
      <w:r w:rsidR="00DF45AC">
        <w:t xml:space="preserve">Joint </w:t>
      </w:r>
      <w:r w:rsidR="00362FF5">
        <w:t>Motion to Dismiss is not an untimely application for rehearing.</w:t>
      </w:r>
      <w:r w:rsidR="00C25F2B" w:rsidDel="00C25F2B">
        <w:t xml:space="preserve"> </w:t>
      </w:r>
    </w:p>
    <w:p w14:paraId="378022AA" w14:textId="7034F8CF" w:rsidR="0045045D" w:rsidRDefault="004C5784" w:rsidP="0045045D">
      <w:pPr>
        <w:pStyle w:val="Heading2"/>
      </w:pPr>
      <w:bookmarkStart w:id="16" w:name="_Toc486323263"/>
      <w:bookmarkStart w:id="17" w:name="_Toc486344438"/>
      <w:r>
        <w:t xml:space="preserve">Duke’s reliance on the current effectiveness of the ESP III Order provides no basis for denying Joint Movants’ alternative </w:t>
      </w:r>
      <w:r w:rsidR="00362FF5">
        <w:t>motion seeking a s</w:t>
      </w:r>
      <w:r>
        <w:t>tay</w:t>
      </w:r>
      <w:r w:rsidR="00362FF5">
        <w:t xml:space="preserve"> until the Commission and Court have reviewed the ESP III Order</w:t>
      </w:r>
      <w:bookmarkEnd w:id="16"/>
      <w:bookmarkEnd w:id="17"/>
    </w:p>
    <w:p w14:paraId="31BAC7E7" w14:textId="5820734F" w:rsidR="006A59FC" w:rsidRDefault="004C5784" w:rsidP="00F07245">
      <w:pPr>
        <w:spacing w:line="480" w:lineRule="auto"/>
        <w:ind w:firstLine="720"/>
        <w:jc w:val="both"/>
      </w:pPr>
      <w:r>
        <w:t xml:space="preserve">Duke </w:t>
      </w:r>
      <w:r w:rsidR="0010693B">
        <w:t xml:space="preserve">also </w:t>
      </w:r>
      <w:r>
        <w:t>opposes Joint Movants</w:t>
      </w:r>
      <w:r w:rsidR="0010693B">
        <w:t>’</w:t>
      </w:r>
      <w:r>
        <w:t xml:space="preserve"> </w:t>
      </w:r>
      <w:r w:rsidR="00320642">
        <w:t>M</w:t>
      </w:r>
      <w:r w:rsidR="0010693B">
        <w:t xml:space="preserve">otion to </w:t>
      </w:r>
      <w:r w:rsidR="00320642">
        <w:t>S</w:t>
      </w:r>
      <w:r w:rsidR="0010693B">
        <w:t>tay</w:t>
      </w:r>
      <w:r>
        <w:t xml:space="preserve"> this proceeding</w:t>
      </w:r>
      <w:r w:rsidR="0010693B" w:rsidRPr="0010693B">
        <w:t xml:space="preserve"> </w:t>
      </w:r>
      <w:r w:rsidR="0010693B">
        <w:t>because the ESP III Order is currently effective</w:t>
      </w:r>
      <w:r w:rsidR="00EF5004">
        <w:t>.</w:t>
      </w:r>
      <w:r w:rsidR="00EF5004">
        <w:rPr>
          <w:rStyle w:val="FootnoteReference"/>
        </w:rPr>
        <w:footnoteReference w:id="34"/>
      </w:r>
      <w:r w:rsidR="00376B54">
        <w:t xml:space="preserve">  </w:t>
      </w:r>
      <w:r w:rsidR="00F07245">
        <w:t xml:space="preserve">Duke’s argument is </w:t>
      </w:r>
      <w:r w:rsidR="0010693B">
        <w:t xml:space="preserve">an </w:t>
      </w:r>
      <w:r w:rsidR="00F07245">
        <w:t>extension of its claim that it is simply implementing the terms of the ESP III Order</w:t>
      </w:r>
      <w:r w:rsidR="0010693B">
        <w:t>.</w:t>
      </w:r>
      <w:r w:rsidR="00842FDF">
        <w:t xml:space="preserve">  </w:t>
      </w:r>
      <w:r w:rsidR="006A59FC">
        <w:t xml:space="preserve">If Duke is correct that it is seeking to implement the existing order (even though it also concedes that it is seeking to modify the ESP III Order as well), that assertion warrants a grant of the stay until the </w:t>
      </w:r>
      <w:r w:rsidR="006A59FC">
        <w:lastRenderedPageBreak/>
        <w:t>Commission and the Court resolve the lawfulness and reasonableness of the PSR.</w:t>
      </w:r>
      <w:r w:rsidR="00AD2D14">
        <w:t xml:space="preserve"> </w:t>
      </w:r>
    </w:p>
    <w:p w14:paraId="6593C23B" w14:textId="3CDDF0C7" w:rsidR="00F07245" w:rsidRPr="004C5784" w:rsidRDefault="004F1B6F" w:rsidP="0010693B">
      <w:pPr>
        <w:spacing w:line="480" w:lineRule="auto"/>
        <w:ind w:firstLine="720"/>
        <w:jc w:val="both"/>
      </w:pPr>
      <w:r>
        <w:t>As demonstrated in the Joint Movants’ Motion to Stay,</w:t>
      </w:r>
      <w:r w:rsidR="001B5C7E">
        <w:t xml:space="preserve"> </w:t>
      </w:r>
      <w:r>
        <w:t xml:space="preserve">the </w:t>
      </w:r>
      <w:r w:rsidR="001B5C7E">
        <w:t xml:space="preserve">Commission </w:t>
      </w:r>
      <w:r>
        <w:t xml:space="preserve">has ordered proceedings stayed when related issues in </w:t>
      </w:r>
      <w:r w:rsidR="00F42D52">
        <w:t>another</w:t>
      </w:r>
      <w:r>
        <w:t xml:space="preserve"> proceeding may affect the outcome of the stayed proceeding.  In th</w:t>
      </w:r>
      <w:r w:rsidR="00F7060A">
        <w:t>o</w:t>
      </w:r>
      <w:r>
        <w:t xml:space="preserve">se cases, the </w:t>
      </w:r>
      <w:r w:rsidR="00BF3AB5">
        <w:t>Commission has granted the stay</w:t>
      </w:r>
      <w:r w:rsidR="001B5C7E">
        <w:t xml:space="preserve"> to </w:t>
      </w:r>
      <w:r>
        <w:t xml:space="preserve">prevent a waste of its own </w:t>
      </w:r>
      <w:r w:rsidR="001B5C7E">
        <w:t>resources</w:t>
      </w:r>
      <w:r>
        <w:t xml:space="preserve"> and those of the parties</w:t>
      </w:r>
      <w:r w:rsidR="001B5C7E">
        <w:t xml:space="preserve"> while the Commission concludes the rehearing</w:t>
      </w:r>
      <w:r w:rsidR="007F7A0B">
        <w:t xml:space="preserve"> </w:t>
      </w:r>
      <w:r w:rsidR="001B5C7E">
        <w:t>process</w:t>
      </w:r>
      <w:r w:rsidR="007679F5">
        <w:t xml:space="preserve"> in a related proceeding</w:t>
      </w:r>
      <w:r w:rsidR="001B5C7E">
        <w:t>.</w:t>
      </w:r>
      <w:r w:rsidR="008448E9">
        <w:rPr>
          <w:rStyle w:val="FootnoteReference"/>
        </w:rPr>
        <w:footnoteReference w:id="35"/>
      </w:r>
      <w:r w:rsidR="001B5C7E">
        <w:t xml:space="preserve">  </w:t>
      </w:r>
      <w:r>
        <w:t>In this instance, the Commission has granted rehearing and is addressing whether it may legally authorize the PSR.  Since granting rehearing</w:t>
      </w:r>
      <w:r w:rsidR="00F42D52">
        <w:t xml:space="preserve"> of the ESP III Order</w:t>
      </w:r>
      <w:r>
        <w:t xml:space="preserve">, </w:t>
      </w:r>
      <w:r w:rsidR="00F7060A">
        <w:t xml:space="preserve">the Court (twice), </w:t>
      </w:r>
      <w:r>
        <w:t xml:space="preserve">the United States Supreme Court, and FERC have held that riders that </w:t>
      </w:r>
      <w:r w:rsidR="00F42D52">
        <w:t xml:space="preserve">allow an EDU to collect the above-market wholesale costs of generation facilities through a </w:t>
      </w:r>
      <w:proofErr w:type="spellStart"/>
      <w:r w:rsidR="00F42D52">
        <w:t>nonbypassable</w:t>
      </w:r>
      <w:proofErr w:type="spellEnd"/>
      <w:r w:rsidR="00F42D52">
        <w:t xml:space="preserve"> rider such as the PSR violate state law, are preempted by federal law, and trigger potential affiliate </w:t>
      </w:r>
      <w:r w:rsidR="0088277F">
        <w:t xml:space="preserve">transaction </w:t>
      </w:r>
      <w:r w:rsidR="00F42D52">
        <w:t xml:space="preserve">rule violations.  </w:t>
      </w:r>
      <w:r w:rsidR="00D51B23">
        <w:t>Under these circumstances, t</w:t>
      </w:r>
      <w:r w:rsidR="00F42D52">
        <w:t xml:space="preserve">o </w:t>
      </w:r>
      <w:r w:rsidR="00D51B23">
        <w:t>proceed on Duke’s Application in this case</w:t>
      </w:r>
      <w:r w:rsidR="00F42D52">
        <w:t xml:space="preserve"> is t</w:t>
      </w:r>
      <w:r w:rsidR="006E06B2">
        <w:t xml:space="preserve">o assure that time and effort are wasted, </w:t>
      </w:r>
      <w:r w:rsidR="008448E9">
        <w:t>as they were</w:t>
      </w:r>
      <w:r w:rsidR="006E06B2">
        <w:t xml:space="preserve"> in the </w:t>
      </w:r>
      <w:r w:rsidR="006E06B2" w:rsidRPr="008448E9">
        <w:rPr>
          <w:i/>
        </w:rPr>
        <w:t>Duke Capacity Case</w:t>
      </w:r>
      <w:r w:rsidR="00D51B23">
        <w:rPr>
          <w:i/>
        </w:rPr>
        <w:t>.</w:t>
      </w:r>
      <w:r w:rsidR="00630537">
        <w:rPr>
          <w:rStyle w:val="FootnoteReference"/>
        </w:rPr>
        <w:footnoteReference w:id="36"/>
      </w:r>
      <w:r w:rsidR="006E06B2">
        <w:t xml:space="preserve"> </w:t>
      </w:r>
      <w:r w:rsidR="00D51B23">
        <w:t xml:space="preserve"> To prevent </w:t>
      </w:r>
      <w:r w:rsidR="00CA6E10">
        <w:t xml:space="preserve">such </w:t>
      </w:r>
      <w:r w:rsidR="00D51B23">
        <w:t xml:space="preserve">waste, </w:t>
      </w:r>
      <w:r w:rsidR="006E06B2">
        <w:t xml:space="preserve">Joint Movants </w:t>
      </w:r>
      <w:r w:rsidR="006E06B2">
        <w:lastRenderedPageBreak/>
        <w:t>again respectfully request that the Commission stay th</w:t>
      </w:r>
      <w:r w:rsidR="00CA6E10">
        <w:t>is</w:t>
      </w:r>
      <w:r w:rsidR="006E06B2">
        <w:t xml:space="preserve"> proceeding </w:t>
      </w:r>
      <w:r w:rsidR="008448E9">
        <w:t xml:space="preserve">pending the rehearing and appeal process </w:t>
      </w:r>
      <w:r w:rsidR="00F42D52">
        <w:t xml:space="preserve">of </w:t>
      </w:r>
      <w:r w:rsidR="005164A7">
        <w:t>the ESP </w:t>
      </w:r>
      <w:r w:rsidR="008448E9">
        <w:t xml:space="preserve">III </w:t>
      </w:r>
      <w:r w:rsidR="00F42D52">
        <w:t>Order</w:t>
      </w:r>
      <w:r w:rsidR="008448E9">
        <w:t>.</w:t>
      </w:r>
    </w:p>
    <w:p w14:paraId="708F3F0D" w14:textId="77777777" w:rsidR="00E31719" w:rsidRDefault="00E31719" w:rsidP="00E31719">
      <w:pPr>
        <w:pStyle w:val="Heading1"/>
      </w:pPr>
      <w:bookmarkStart w:id="18" w:name="_Toc486323264"/>
      <w:bookmarkStart w:id="19" w:name="_Toc486344439"/>
      <w:r>
        <w:t>conclusion</w:t>
      </w:r>
      <w:bookmarkEnd w:id="18"/>
      <w:bookmarkEnd w:id="19"/>
    </w:p>
    <w:p w14:paraId="4272CBF6" w14:textId="75C65A44" w:rsidR="00E31719" w:rsidRDefault="00E31719" w:rsidP="00930F57">
      <w:pPr>
        <w:spacing w:line="480" w:lineRule="auto"/>
        <w:ind w:firstLine="720"/>
        <w:jc w:val="both"/>
      </w:pPr>
      <w:r>
        <w:t xml:space="preserve">As Joint Movants previously demonstrated in the </w:t>
      </w:r>
      <w:r w:rsidR="00F200AD">
        <w:t xml:space="preserve">Joint </w:t>
      </w:r>
      <w:r>
        <w:t xml:space="preserve">Motion to Dismiss, the Commission lacks the authority to grant the relief Duke seeks in the Application.  Accordingly, the Commission should grant the </w:t>
      </w:r>
      <w:r w:rsidR="00F200AD">
        <w:t xml:space="preserve">Joint </w:t>
      </w:r>
      <w:r>
        <w:t xml:space="preserve">Motion to Dismiss.  Alternatively, the Commission should stay this proceeding until </w:t>
      </w:r>
      <w:r w:rsidR="00594C19">
        <w:t xml:space="preserve">the rehearing and </w:t>
      </w:r>
      <w:r w:rsidR="00CA6E10">
        <w:t>appellate</w:t>
      </w:r>
      <w:r w:rsidR="00594C19">
        <w:t xml:space="preserve"> review process </w:t>
      </w:r>
      <w:r w:rsidR="00CA6E10">
        <w:t>are</w:t>
      </w:r>
      <w:r w:rsidR="00594C19">
        <w:t xml:space="preserve"> completed for the </w:t>
      </w:r>
      <w:r w:rsidR="00594C19" w:rsidRPr="00041CE8">
        <w:rPr>
          <w:i/>
        </w:rPr>
        <w:t>ESP III Case</w:t>
      </w:r>
      <w:r w:rsidR="00594C19">
        <w:t>.</w:t>
      </w:r>
    </w:p>
    <w:p w14:paraId="4907681F" w14:textId="17B1A914" w:rsidR="00AD299E" w:rsidRDefault="00AD299E" w:rsidP="005164A7">
      <w:pPr>
        <w:jc w:val="center"/>
      </w:pPr>
      <w:r>
        <w:t>Respectfully submitted,</w:t>
      </w:r>
    </w:p>
    <w:p w14:paraId="79088B1E" w14:textId="77777777" w:rsidR="005164A7" w:rsidRDefault="005164A7" w:rsidP="005164A7">
      <w:pPr>
        <w:jc w:val="center"/>
      </w:pPr>
    </w:p>
    <w:p w14:paraId="3C32393D" w14:textId="77777777" w:rsidR="00AD299E" w:rsidRDefault="00AD299E" w:rsidP="005164A7">
      <w:pPr>
        <w:jc w:val="both"/>
      </w:pPr>
    </w:p>
    <w:p w14:paraId="2E5F8255" w14:textId="77777777" w:rsidR="005164A7" w:rsidRDefault="005164A7" w:rsidP="005164A7">
      <w:pPr>
        <w:jc w:val="both"/>
        <w:rPr>
          <w:i/>
          <w:color w:val="000000" w:themeColor="text1"/>
          <w:u w:val="single"/>
        </w:rPr>
        <w:sectPr w:rsidR="005164A7" w:rsidSect="005164A7">
          <w:headerReference w:type="default" r:id="rId22"/>
          <w:footerReference w:type="default" r:id="rId23"/>
          <w:headerReference w:type="first" r:id="rId24"/>
          <w:footerReference w:type="first" r:id="rId25"/>
          <w:pgSz w:w="12240" w:h="15840" w:code="1"/>
          <w:pgMar w:top="1440" w:right="1440" w:bottom="1440" w:left="1440" w:header="720" w:footer="720" w:gutter="0"/>
          <w:pgNumType w:start="1"/>
          <w:cols w:space="720"/>
          <w:titlePg/>
          <w:docGrid w:linePitch="360"/>
        </w:sectPr>
      </w:pPr>
    </w:p>
    <w:p w14:paraId="45527ED6" w14:textId="77777777" w:rsidR="00B43DEF" w:rsidRDefault="00B43DEF" w:rsidP="00B43DEF">
      <w:pPr>
        <w:tabs>
          <w:tab w:val="right" w:pos="4320"/>
        </w:tabs>
        <w:jc w:val="both"/>
        <w:rPr>
          <w:i/>
          <w:color w:val="000000" w:themeColor="text1"/>
          <w:u w:val="single"/>
        </w:rPr>
      </w:pPr>
    </w:p>
    <w:p w14:paraId="1D6E1B0E" w14:textId="77777777" w:rsidR="00B43DEF" w:rsidRDefault="00B43DEF" w:rsidP="00B43DEF">
      <w:pPr>
        <w:tabs>
          <w:tab w:val="right" w:pos="4320"/>
        </w:tabs>
        <w:jc w:val="both"/>
        <w:rPr>
          <w:i/>
          <w:color w:val="000000" w:themeColor="text1"/>
          <w:u w:val="single"/>
        </w:rPr>
      </w:pPr>
    </w:p>
    <w:p w14:paraId="31AB3A8D" w14:textId="77777777" w:rsidR="00B43DEF" w:rsidRDefault="00B43DEF" w:rsidP="00B43DEF">
      <w:pPr>
        <w:tabs>
          <w:tab w:val="right" w:pos="4320"/>
        </w:tabs>
        <w:jc w:val="both"/>
        <w:rPr>
          <w:i/>
          <w:color w:val="000000" w:themeColor="text1"/>
          <w:u w:val="single"/>
        </w:rPr>
      </w:pPr>
    </w:p>
    <w:p w14:paraId="6DCABA0A" w14:textId="47E4DAD0" w:rsidR="00AD299E" w:rsidRPr="005164A7" w:rsidRDefault="00F200AD" w:rsidP="00B43DEF">
      <w:pPr>
        <w:tabs>
          <w:tab w:val="right" w:pos="4320"/>
        </w:tabs>
        <w:jc w:val="both"/>
        <w:rPr>
          <w:i/>
          <w:color w:val="000000" w:themeColor="text1"/>
          <w:u w:val="single"/>
        </w:rPr>
      </w:pPr>
      <w:r w:rsidRPr="005164A7">
        <w:rPr>
          <w:i/>
          <w:color w:val="000000" w:themeColor="text1"/>
          <w:u w:val="single"/>
        </w:rPr>
        <w:t>/s/ Matthew R. Pritchard</w:t>
      </w:r>
      <w:r w:rsidRPr="005164A7">
        <w:rPr>
          <w:i/>
          <w:color w:val="000000" w:themeColor="text1"/>
          <w:u w:val="single"/>
        </w:rPr>
        <w:tab/>
      </w:r>
    </w:p>
    <w:p w14:paraId="15500C85" w14:textId="77777777" w:rsidR="00AD299E" w:rsidRPr="005164A7" w:rsidRDefault="00AD299E" w:rsidP="00B43DEF">
      <w:pPr>
        <w:tabs>
          <w:tab w:val="right" w:pos="4320"/>
        </w:tabs>
        <w:rPr>
          <w:color w:val="000000" w:themeColor="text1"/>
        </w:rPr>
      </w:pPr>
      <w:r w:rsidRPr="005164A7">
        <w:rPr>
          <w:color w:val="000000" w:themeColor="text1"/>
        </w:rPr>
        <w:t>Frank P. Darr (Reg. No. 0025469)</w:t>
      </w:r>
    </w:p>
    <w:p w14:paraId="3AFCF999" w14:textId="77777777" w:rsidR="00AD299E" w:rsidRPr="005164A7" w:rsidRDefault="00AD299E" w:rsidP="00B43DEF">
      <w:pPr>
        <w:tabs>
          <w:tab w:val="right" w:pos="4320"/>
        </w:tabs>
        <w:rPr>
          <w:color w:val="000000" w:themeColor="text1"/>
        </w:rPr>
      </w:pPr>
      <w:r w:rsidRPr="005164A7">
        <w:rPr>
          <w:color w:val="000000" w:themeColor="text1"/>
        </w:rPr>
        <w:t>(Counsel of Record)</w:t>
      </w:r>
    </w:p>
    <w:p w14:paraId="16002DAA" w14:textId="77777777" w:rsidR="00AD299E" w:rsidRPr="005164A7" w:rsidRDefault="00AD299E" w:rsidP="00B43DEF">
      <w:pPr>
        <w:widowControl w:val="0"/>
        <w:tabs>
          <w:tab w:val="right" w:pos="4320"/>
        </w:tabs>
        <w:rPr>
          <w:rFonts w:eastAsia="Calibri" w:cs="Arial"/>
          <w:bCs/>
          <w:color w:val="000000" w:themeColor="text1"/>
        </w:rPr>
      </w:pPr>
      <w:r w:rsidRPr="005164A7">
        <w:rPr>
          <w:rFonts w:eastAsia="Calibri" w:cs="Arial"/>
          <w:bCs/>
          <w:color w:val="000000" w:themeColor="text1"/>
        </w:rPr>
        <w:t>Matthew R. Pritchard (Reg. No. 0088070)</w:t>
      </w:r>
    </w:p>
    <w:p w14:paraId="1FE48663" w14:textId="77777777" w:rsidR="00AD299E" w:rsidRPr="005164A7" w:rsidRDefault="00AD299E" w:rsidP="00B43DEF">
      <w:pPr>
        <w:widowControl w:val="0"/>
        <w:tabs>
          <w:tab w:val="right" w:pos="4320"/>
        </w:tabs>
        <w:rPr>
          <w:rFonts w:eastAsia="Calibri" w:cs="Arial"/>
          <w:b/>
          <w:bCs/>
          <w:smallCaps/>
          <w:color w:val="000000" w:themeColor="text1"/>
        </w:rPr>
      </w:pPr>
      <w:r w:rsidRPr="005164A7">
        <w:rPr>
          <w:rFonts w:eastAsia="Calibri" w:cs="Arial"/>
          <w:bCs/>
          <w:smallCaps/>
          <w:color w:val="000000" w:themeColor="text1"/>
        </w:rPr>
        <w:t xml:space="preserve">McNees Wallace &amp; </w:t>
      </w:r>
      <w:proofErr w:type="spellStart"/>
      <w:r w:rsidRPr="005164A7">
        <w:rPr>
          <w:rFonts w:eastAsia="Calibri" w:cs="Arial"/>
          <w:bCs/>
          <w:smallCaps/>
          <w:color w:val="000000" w:themeColor="text1"/>
        </w:rPr>
        <w:t>Nurick</w:t>
      </w:r>
      <w:proofErr w:type="spellEnd"/>
      <w:r w:rsidRPr="005164A7">
        <w:rPr>
          <w:rFonts w:eastAsia="Calibri" w:cs="Arial"/>
          <w:bCs/>
          <w:smallCaps/>
          <w:color w:val="000000" w:themeColor="text1"/>
        </w:rPr>
        <w:t xml:space="preserve"> LLC</w:t>
      </w:r>
    </w:p>
    <w:p w14:paraId="1D043D36" w14:textId="77777777" w:rsidR="00AD299E" w:rsidRPr="005164A7" w:rsidRDefault="00AD299E" w:rsidP="00B43DEF">
      <w:pPr>
        <w:widowControl w:val="0"/>
        <w:tabs>
          <w:tab w:val="right" w:pos="4320"/>
        </w:tabs>
        <w:rPr>
          <w:rFonts w:eastAsia="Calibri" w:cs="Arial"/>
          <w:b/>
          <w:bCs/>
          <w:color w:val="000000" w:themeColor="text1"/>
        </w:rPr>
      </w:pPr>
      <w:r w:rsidRPr="005164A7">
        <w:rPr>
          <w:rFonts w:eastAsia="Calibri" w:cs="Arial"/>
          <w:bCs/>
          <w:color w:val="000000" w:themeColor="text1"/>
        </w:rPr>
        <w:t>21 East State Street, 17</w:t>
      </w:r>
      <w:r w:rsidRPr="005164A7">
        <w:rPr>
          <w:rFonts w:eastAsia="Calibri" w:cs="Arial"/>
          <w:bCs/>
          <w:color w:val="000000" w:themeColor="text1"/>
          <w:vertAlign w:val="superscript"/>
        </w:rPr>
        <w:t>TH</w:t>
      </w:r>
      <w:r w:rsidRPr="005164A7">
        <w:rPr>
          <w:rFonts w:eastAsia="Calibri" w:cs="Arial"/>
          <w:bCs/>
          <w:color w:val="000000" w:themeColor="text1"/>
        </w:rPr>
        <w:t xml:space="preserve"> Floor</w:t>
      </w:r>
    </w:p>
    <w:p w14:paraId="46AD11C4" w14:textId="77777777" w:rsidR="00AD299E" w:rsidRPr="005164A7" w:rsidRDefault="00AD299E" w:rsidP="00B43DEF">
      <w:pPr>
        <w:tabs>
          <w:tab w:val="left" w:pos="-1440"/>
          <w:tab w:val="left" w:pos="-720"/>
          <w:tab w:val="right" w:pos="4320"/>
          <w:tab w:val="left" w:pos="5040"/>
          <w:tab w:val="center" w:pos="7200"/>
        </w:tabs>
        <w:overflowPunct w:val="0"/>
        <w:autoSpaceDE w:val="0"/>
        <w:autoSpaceDN w:val="0"/>
        <w:adjustRightInd w:val="0"/>
        <w:rPr>
          <w:rFonts w:eastAsia="Calibri" w:cs="Arial"/>
          <w:color w:val="000000" w:themeColor="text1"/>
        </w:rPr>
      </w:pPr>
      <w:r w:rsidRPr="005164A7">
        <w:rPr>
          <w:rFonts w:eastAsia="Calibri" w:cs="Arial"/>
          <w:color w:val="000000" w:themeColor="text1"/>
        </w:rPr>
        <w:t>Columbus, OH  43215</w:t>
      </w:r>
    </w:p>
    <w:p w14:paraId="4014D071" w14:textId="77777777" w:rsidR="00AD299E" w:rsidRPr="005164A7" w:rsidRDefault="00AD299E" w:rsidP="00B43DEF">
      <w:pPr>
        <w:tabs>
          <w:tab w:val="left" w:pos="-1440"/>
          <w:tab w:val="left" w:pos="-720"/>
          <w:tab w:val="right" w:pos="4320"/>
          <w:tab w:val="left" w:pos="5040"/>
          <w:tab w:val="center" w:pos="7200"/>
        </w:tabs>
        <w:overflowPunct w:val="0"/>
        <w:autoSpaceDE w:val="0"/>
        <w:autoSpaceDN w:val="0"/>
        <w:adjustRightInd w:val="0"/>
        <w:rPr>
          <w:rFonts w:eastAsia="Calibri" w:cs="Arial"/>
          <w:color w:val="000000" w:themeColor="text1"/>
        </w:rPr>
      </w:pPr>
      <w:r w:rsidRPr="005164A7">
        <w:rPr>
          <w:rFonts w:eastAsia="Calibri" w:cs="Arial"/>
          <w:color w:val="000000" w:themeColor="text1"/>
        </w:rPr>
        <w:t>fdarr@mwncmh.com</w:t>
      </w:r>
    </w:p>
    <w:p w14:paraId="798D4448" w14:textId="77777777" w:rsidR="00AD299E" w:rsidRPr="005164A7" w:rsidRDefault="00AD299E" w:rsidP="00B43DEF">
      <w:pPr>
        <w:tabs>
          <w:tab w:val="left" w:pos="-1440"/>
          <w:tab w:val="left" w:pos="-720"/>
          <w:tab w:val="right" w:pos="4320"/>
          <w:tab w:val="left" w:pos="5040"/>
          <w:tab w:val="center" w:pos="7200"/>
        </w:tabs>
        <w:overflowPunct w:val="0"/>
        <w:autoSpaceDE w:val="0"/>
        <w:autoSpaceDN w:val="0"/>
        <w:adjustRightInd w:val="0"/>
        <w:rPr>
          <w:rFonts w:eastAsia="Calibri" w:cs="Arial"/>
          <w:color w:val="000000" w:themeColor="text1"/>
        </w:rPr>
      </w:pPr>
      <w:r w:rsidRPr="005164A7">
        <w:rPr>
          <w:rFonts w:eastAsia="Calibri" w:cs="Arial"/>
          <w:color w:val="000000" w:themeColor="text1"/>
        </w:rPr>
        <w:t>mpritchard@mwncmh.com</w:t>
      </w:r>
    </w:p>
    <w:p w14:paraId="3B817811" w14:textId="77777777" w:rsidR="00AD299E" w:rsidRPr="005164A7" w:rsidRDefault="00AD299E" w:rsidP="00B43DEF">
      <w:pPr>
        <w:tabs>
          <w:tab w:val="left" w:pos="-1440"/>
          <w:tab w:val="left" w:pos="-720"/>
          <w:tab w:val="right" w:pos="4320"/>
          <w:tab w:val="left" w:pos="5040"/>
          <w:tab w:val="center" w:pos="7200"/>
        </w:tabs>
        <w:overflowPunct w:val="0"/>
        <w:autoSpaceDE w:val="0"/>
        <w:autoSpaceDN w:val="0"/>
        <w:adjustRightInd w:val="0"/>
        <w:rPr>
          <w:rFonts w:cs="Arial"/>
          <w:b/>
          <w:smallCaps/>
          <w:color w:val="000000" w:themeColor="text1"/>
        </w:rPr>
      </w:pPr>
    </w:p>
    <w:p w14:paraId="70E7EC08" w14:textId="77777777" w:rsidR="00AD299E" w:rsidRPr="005164A7" w:rsidRDefault="00AD299E" w:rsidP="00B43DEF">
      <w:pPr>
        <w:tabs>
          <w:tab w:val="left" w:pos="-1440"/>
          <w:tab w:val="left" w:pos="-720"/>
          <w:tab w:val="right" w:pos="4320"/>
          <w:tab w:val="left" w:pos="5040"/>
          <w:tab w:val="center" w:pos="7200"/>
        </w:tabs>
        <w:overflowPunct w:val="0"/>
        <w:autoSpaceDE w:val="0"/>
        <w:autoSpaceDN w:val="0"/>
        <w:adjustRightInd w:val="0"/>
        <w:rPr>
          <w:rFonts w:eastAsia="Calibri" w:cs="Arial"/>
          <w:color w:val="000000" w:themeColor="text1"/>
        </w:rPr>
      </w:pPr>
      <w:r w:rsidRPr="005164A7">
        <w:rPr>
          <w:rFonts w:cs="Arial"/>
          <w:b/>
          <w:smallCaps/>
          <w:color w:val="000000" w:themeColor="text1"/>
        </w:rPr>
        <w:t>On Behalf of Industrial Energy Users-Ohio</w:t>
      </w:r>
    </w:p>
    <w:p w14:paraId="62A576A7" w14:textId="6DEBA3C6" w:rsidR="002B5954" w:rsidRPr="005164A7" w:rsidRDefault="00B43DEF" w:rsidP="00B43DEF">
      <w:pPr>
        <w:tabs>
          <w:tab w:val="right" w:pos="4320"/>
        </w:tabs>
        <w:rPr>
          <w:rFonts w:cs="Arial"/>
          <w:color w:val="000000" w:themeColor="text1"/>
        </w:rPr>
      </w:pPr>
      <w:r>
        <w:rPr>
          <w:color w:val="000000" w:themeColor="text1"/>
        </w:rPr>
        <w:br w:type="column"/>
      </w:r>
      <w:r w:rsidR="002B5954" w:rsidRPr="005164A7">
        <w:rPr>
          <w:rFonts w:cs="Arial"/>
          <w:color w:val="000000" w:themeColor="text1"/>
        </w:rPr>
        <w:lastRenderedPageBreak/>
        <w:t>Bruce Weston (Reg. No. 0016973)</w:t>
      </w:r>
    </w:p>
    <w:p w14:paraId="00C5CD0C"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Ohio Consumers’ Counsel</w:t>
      </w:r>
    </w:p>
    <w:p w14:paraId="3F57F9CF" w14:textId="77777777" w:rsidR="002B5954" w:rsidRPr="005164A7" w:rsidRDefault="002B5954" w:rsidP="00B43DEF">
      <w:pPr>
        <w:tabs>
          <w:tab w:val="right" w:pos="4320"/>
        </w:tabs>
        <w:rPr>
          <w:rFonts w:cs="Arial"/>
          <w:i/>
          <w:iCs/>
          <w:color w:val="000000" w:themeColor="text1"/>
          <w:u w:val="single"/>
        </w:rPr>
      </w:pPr>
    </w:p>
    <w:p w14:paraId="2D1759BC" w14:textId="71607C83" w:rsidR="002B5954" w:rsidRPr="005164A7" w:rsidRDefault="002B5954" w:rsidP="00B43DEF">
      <w:pPr>
        <w:tabs>
          <w:tab w:val="right" w:pos="4320"/>
        </w:tabs>
        <w:rPr>
          <w:rFonts w:cs="Arial"/>
          <w:color w:val="000000" w:themeColor="text1"/>
        </w:rPr>
      </w:pPr>
      <w:r w:rsidRPr="005164A7">
        <w:rPr>
          <w:rFonts w:cs="Arial"/>
          <w:i/>
          <w:iCs/>
          <w:color w:val="000000" w:themeColor="text1"/>
          <w:u w:val="single"/>
        </w:rPr>
        <w:t>/s/ William J. Michael</w:t>
      </w:r>
      <w:r w:rsidR="005164A7" w:rsidRPr="005164A7">
        <w:rPr>
          <w:rFonts w:cs="Arial"/>
          <w:color w:val="000000" w:themeColor="text1"/>
          <w:u w:val="single"/>
        </w:rPr>
        <w:tab/>
      </w:r>
    </w:p>
    <w:p w14:paraId="73DA56F0"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William J. Michael (Reg. No. 0070921)</w:t>
      </w:r>
    </w:p>
    <w:p w14:paraId="1A4626A2"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Counsel of Record</w:t>
      </w:r>
    </w:p>
    <w:p w14:paraId="1044C8A1"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Jodi Bair (Reg. No. 0062921)</w:t>
      </w:r>
    </w:p>
    <w:p w14:paraId="39D18FAC"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Kevin Moore (Reg. No. 0089228)</w:t>
      </w:r>
    </w:p>
    <w:p w14:paraId="37818264"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Assistant Consumers’ Counsel</w:t>
      </w:r>
    </w:p>
    <w:p w14:paraId="7E74060C"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Office of the Ohio Consumers’ Counsel</w:t>
      </w:r>
    </w:p>
    <w:p w14:paraId="441904C1"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10 West Broad Street, Suite 1800</w:t>
      </w:r>
    </w:p>
    <w:p w14:paraId="0ED82679"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Columbus, Ohio 43215-3485</w:t>
      </w:r>
    </w:p>
    <w:p w14:paraId="1B520EF7" w14:textId="54226461" w:rsidR="002B5954" w:rsidRPr="005164A7" w:rsidRDefault="002B5954" w:rsidP="00B43DEF">
      <w:pPr>
        <w:tabs>
          <w:tab w:val="right" w:pos="4320"/>
        </w:tabs>
        <w:autoSpaceDE w:val="0"/>
        <w:autoSpaceDN w:val="0"/>
        <w:rPr>
          <w:rFonts w:cs="Arial"/>
          <w:color w:val="000000" w:themeColor="text1"/>
        </w:rPr>
      </w:pPr>
      <w:r w:rsidRPr="00627E20">
        <w:rPr>
          <w:rFonts w:cs="Arial"/>
        </w:rPr>
        <w:t>william.michael@occ.ohio.gov</w:t>
      </w:r>
    </w:p>
    <w:p w14:paraId="3614D839" w14:textId="12447A8E" w:rsidR="002B5954" w:rsidRPr="005164A7" w:rsidRDefault="002B5954" w:rsidP="00B43DEF">
      <w:pPr>
        <w:tabs>
          <w:tab w:val="right" w:pos="4320"/>
        </w:tabs>
        <w:autoSpaceDE w:val="0"/>
        <w:autoSpaceDN w:val="0"/>
        <w:rPr>
          <w:rFonts w:cs="Arial"/>
          <w:color w:val="000000" w:themeColor="text1"/>
        </w:rPr>
      </w:pPr>
      <w:r w:rsidRPr="00627E20">
        <w:rPr>
          <w:rFonts w:cs="Arial"/>
        </w:rPr>
        <w:t>Jodi.bair@occ.ohio.gov</w:t>
      </w:r>
    </w:p>
    <w:p w14:paraId="58B7C8EA" w14:textId="6E3A0813" w:rsidR="002B5954" w:rsidRPr="005164A7" w:rsidRDefault="002B5954" w:rsidP="00B43DEF">
      <w:pPr>
        <w:tabs>
          <w:tab w:val="right" w:pos="4320"/>
        </w:tabs>
        <w:autoSpaceDE w:val="0"/>
        <w:autoSpaceDN w:val="0"/>
        <w:rPr>
          <w:rFonts w:cs="Arial"/>
          <w:color w:val="000000" w:themeColor="text1"/>
        </w:rPr>
      </w:pPr>
      <w:r w:rsidRPr="00627E20">
        <w:rPr>
          <w:rFonts w:cs="Arial"/>
        </w:rPr>
        <w:t>Kevin.moore@occ.ohio.gov</w:t>
      </w:r>
    </w:p>
    <w:p w14:paraId="2867B372" w14:textId="77777777" w:rsidR="002B5954" w:rsidRPr="005164A7" w:rsidRDefault="002B5954" w:rsidP="00B43DEF">
      <w:pPr>
        <w:tabs>
          <w:tab w:val="right" w:pos="4320"/>
        </w:tabs>
        <w:rPr>
          <w:rFonts w:cs="Arial"/>
          <w:b/>
          <w:smallCaps/>
          <w:color w:val="000000" w:themeColor="text1"/>
        </w:rPr>
      </w:pPr>
    </w:p>
    <w:p w14:paraId="2D5BD536" w14:textId="77777777" w:rsidR="002B5954" w:rsidRPr="005164A7" w:rsidRDefault="002B5954" w:rsidP="00B43DEF">
      <w:pPr>
        <w:tabs>
          <w:tab w:val="right" w:pos="4320"/>
        </w:tabs>
        <w:rPr>
          <w:rFonts w:cs="Arial"/>
          <w:b/>
          <w:smallCaps/>
          <w:color w:val="000000" w:themeColor="text1"/>
        </w:rPr>
      </w:pPr>
      <w:r w:rsidRPr="005164A7">
        <w:rPr>
          <w:rFonts w:cs="Arial"/>
          <w:b/>
          <w:smallCaps/>
          <w:color w:val="000000" w:themeColor="text1"/>
        </w:rPr>
        <w:t>On Behalf of the Office of the Ohio Consumers’ Counsel</w:t>
      </w:r>
    </w:p>
    <w:p w14:paraId="370F4652" w14:textId="1AB55BD9" w:rsidR="002B5954" w:rsidRPr="00B43DEF" w:rsidRDefault="002B5954" w:rsidP="00B43DEF">
      <w:pPr>
        <w:tabs>
          <w:tab w:val="right" w:pos="4320"/>
        </w:tabs>
        <w:rPr>
          <w:rFonts w:cs="Arial"/>
          <w:smallCaps/>
          <w:color w:val="000000" w:themeColor="text1"/>
        </w:rPr>
      </w:pPr>
    </w:p>
    <w:p w14:paraId="3A9149DB" w14:textId="77777777" w:rsidR="00B43DEF" w:rsidRPr="00B43DEF" w:rsidRDefault="00B43DEF" w:rsidP="00B43DEF">
      <w:pPr>
        <w:tabs>
          <w:tab w:val="right" w:pos="4320"/>
        </w:tabs>
        <w:rPr>
          <w:rFonts w:cs="Arial"/>
          <w:smallCaps/>
          <w:color w:val="000000" w:themeColor="text1"/>
        </w:rPr>
      </w:pPr>
    </w:p>
    <w:p w14:paraId="60097920" w14:textId="61733CC4" w:rsidR="002B5954" w:rsidRPr="005164A7" w:rsidRDefault="00B43DEF" w:rsidP="00B43DEF">
      <w:pPr>
        <w:tabs>
          <w:tab w:val="right" w:pos="4320"/>
        </w:tabs>
        <w:rPr>
          <w:rFonts w:cs="Arial"/>
          <w:smallCaps/>
          <w:color w:val="000000" w:themeColor="text1"/>
        </w:rPr>
      </w:pPr>
      <w:r>
        <w:rPr>
          <w:rFonts w:cs="Arial"/>
          <w:i/>
          <w:color w:val="000000" w:themeColor="text1"/>
          <w:u w:val="single"/>
        </w:rPr>
        <w:t>/s/ Colleen L. M</w:t>
      </w:r>
      <w:r w:rsidR="002B5954" w:rsidRPr="005164A7">
        <w:rPr>
          <w:rFonts w:cs="Arial"/>
          <w:i/>
          <w:color w:val="000000" w:themeColor="text1"/>
          <w:u w:val="single"/>
        </w:rPr>
        <w:t>ooney</w:t>
      </w:r>
      <w:r w:rsidRPr="00B43DEF">
        <w:rPr>
          <w:rFonts w:cs="Arial"/>
          <w:smallCaps/>
          <w:color w:val="000000" w:themeColor="text1"/>
          <w:u w:val="single"/>
        </w:rPr>
        <w:tab/>
      </w:r>
    </w:p>
    <w:p w14:paraId="6678A973"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Colleen L. Mooney (Reg. No. 0015668)</w:t>
      </w:r>
    </w:p>
    <w:p w14:paraId="3E097F0A"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PO Box 12451</w:t>
      </w:r>
    </w:p>
    <w:p w14:paraId="0D5B6972"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Columbus, OH 43212-2451</w:t>
      </w:r>
    </w:p>
    <w:p w14:paraId="06E8E07B" w14:textId="77777777" w:rsidR="002B5954" w:rsidRPr="005164A7" w:rsidRDefault="002B5954" w:rsidP="00B43DEF">
      <w:pPr>
        <w:pStyle w:val="PlainText"/>
        <w:tabs>
          <w:tab w:val="right" w:pos="4320"/>
        </w:tabs>
        <w:rPr>
          <w:color w:val="000000" w:themeColor="text1"/>
        </w:rPr>
      </w:pPr>
      <w:r w:rsidRPr="005164A7">
        <w:rPr>
          <w:color w:val="000000" w:themeColor="text1"/>
        </w:rPr>
        <w:t>Telephone:  614-488-5739</w:t>
      </w:r>
    </w:p>
    <w:p w14:paraId="2EF88CA7" w14:textId="77777777" w:rsidR="002B5954" w:rsidRPr="005164A7" w:rsidRDefault="002B5954" w:rsidP="00B43DEF">
      <w:pPr>
        <w:pStyle w:val="PlainText"/>
        <w:tabs>
          <w:tab w:val="right" w:pos="4320"/>
        </w:tabs>
        <w:rPr>
          <w:color w:val="000000" w:themeColor="text1"/>
        </w:rPr>
      </w:pPr>
      <w:r w:rsidRPr="005164A7">
        <w:rPr>
          <w:color w:val="000000" w:themeColor="text1"/>
        </w:rPr>
        <w:t>cmooney@ohiopartners.org</w:t>
      </w:r>
    </w:p>
    <w:p w14:paraId="10389E77"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(will accept service via email)</w:t>
      </w:r>
    </w:p>
    <w:p w14:paraId="6723ECC2" w14:textId="77777777" w:rsidR="002B5954" w:rsidRPr="005164A7" w:rsidRDefault="002B5954" w:rsidP="00B43DEF">
      <w:pPr>
        <w:tabs>
          <w:tab w:val="right" w:pos="4320"/>
        </w:tabs>
        <w:rPr>
          <w:rFonts w:cs="Arial"/>
          <w:b/>
          <w:smallCaps/>
          <w:color w:val="000000" w:themeColor="text1"/>
        </w:rPr>
      </w:pPr>
    </w:p>
    <w:p w14:paraId="683EAAC9" w14:textId="77777777" w:rsidR="002B5954" w:rsidRPr="005164A7" w:rsidRDefault="002B5954" w:rsidP="00B43DEF">
      <w:pPr>
        <w:tabs>
          <w:tab w:val="right" w:pos="4320"/>
        </w:tabs>
        <w:rPr>
          <w:rFonts w:cs="Arial"/>
          <w:b/>
          <w:smallCaps/>
          <w:color w:val="000000" w:themeColor="text1"/>
        </w:rPr>
      </w:pPr>
      <w:r w:rsidRPr="005164A7">
        <w:rPr>
          <w:rFonts w:cs="Arial"/>
          <w:b/>
          <w:smallCaps/>
          <w:color w:val="000000" w:themeColor="text1"/>
        </w:rPr>
        <w:t>On Behalf of Ohio Partners for Affordable Energy</w:t>
      </w:r>
    </w:p>
    <w:p w14:paraId="472AD8D4" w14:textId="7A0E8597" w:rsidR="002B5954" w:rsidRDefault="002B5954" w:rsidP="00B43DEF">
      <w:pPr>
        <w:tabs>
          <w:tab w:val="right" w:pos="4320"/>
        </w:tabs>
        <w:rPr>
          <w:rFonts w:cs="Arial"/>
          <w:b/>
          <w:smallCaps/>
          <w:color w:val="000000" w:themeColor="text1"/>
        </w:rPr>
      </w:pPr>
    </w:p>
    <w:p w14:paraId="1A27EF5D" w14:textId="77777777" w:rsidR="00B43DEF" w:rsidRPr="005164A7" w:rsidRDefault="00B43DEF" w:rsidP="00B43DEF">
      <w:pPr>
        <w:tabs>
          <w:tab w:val="right" w:pos="4320"/>
        </w:tabs>
        <w:rPr>
          <w:rFonts w:cs="Arial"/>
          <w:b/>
          <w:smallCaps/>
          <w:color w:val="000000" w:themeColor="text1"/>
        </w:rPr>
      </w:pPr>
    </w:p>
    <w:p w14:paraId="51CD27DD" w14:textId="30D18B15" w:rsidR="002B5954" w:rsidRPr="005164A7" w:rsidRDefault="002B5954" w:rsidP="00B43DEF">
      <w:pPr>
        <w:tabs>
          <w:tab w:val="right" w:pos="4320"/>
        </w:tabs>
        <w:rPr>
          <w:rFonts w:cs="Arial"/>
          <w:color w:val="000000" w:themeColor="text1"/>
          <w:u w:val="single"/>
        </w:rPr>
      </w:pPr>
      <w:r w:rsidRPr="005164A7">
        <w:rPr>
          <w:rFonts w:cs="Arial"/>
          <w:i/>
          <w:color w:val="000000" w:themeColor="text1"/>
          <w:u w:val="single"/>
        </w:rPr>
        <w:t xml:space="preserve">/s/ Kimberly W. </w:t>
      </w:r>
      <w:proofErr w:type="spellStart"/>
      <w:r w:rsidRPr="005164A7">
        <w:rPr>
          <w:rFonts w:cs="Arial"/>
          <w:i/>
          <w:color w:val="000000" w:themeColor="text1"/>
          <w:u w:val="single"/>
        </w:rPr>
        <w:t>Bojko</w:t>
      </w:r>
      <w:proofErr w:type="spellEnd"/>
      <w:r w:rsidR="005164A7" w:rsidRPr="005164A7">
        <w:rPr>
          <w:rFonts w:cs="Arial"/>
          <w:smallCaps/>
          <w:color w:val="000000" w:themeColor="text1"/>
          <w:u w:val="single"/>
        </w:rPr>
        <w:tab/>
      </w:r>
    </w:p>
    <w:p w14:paraId="467F23E0"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 xml:space="preserve">Kimberly W. </w:t>
      </w:r>
      <w:proofErr w:type="spellStart"/>
      <w:r w:rsidRPr="005164A7">
        <w:rPr>
          <w:rFonts w:cs="Arial"/>
          <w:color w:val="000000" w:themeColor="text1"/>
        </w:rPr>
        <w:t>Bojko</w:t>
      </w:r>
      <w:proofErr w:type="spellEnd"/>
      <w:r w:rsidRPr="005164A7">
        <w:rPr>
          <w:rFonts w:cs="Arial"/>
          <w:color w:val="000000" w:themeColor="text1"/>
        </w:rPr>
        <w:t xml:space="preserve"> (Reg. No. 0069402) </w:t>
      </w:r>
    </w:p>
    <w:p w14:paraId="16901302"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(Counsel of Record)</w:t>
      </w:r>
    </w:p>
    <w:p w14:paraId="3035E3E8"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 xml:space="preserve">James D. </w:t>
      </w:r>
      <w:proofErr w:type="spellStart"/>
      <w:r w:rsidRPr="005164A7">
        <w:rPr>
          <w:rFonts w:cs="Arial"/>
          <w:color w:val="000000" w:themeColor="text1"/>
        </w:rPr>
        <w:t>Perko</w:t>
      </w:r>
      <w:proofErr w:type="spellEnd"/>
      <w:r w:rsidRPr="005164A7">
        <w:rPr>
          <w:rFonts w:cs="Arial"/>
          <w:color w:val="000000" w:themeColor="text1"/>
        </w:rPr>
        <w:t>, Jr. (Reg. No. 0093312)</w:t>
      </w:r>
    </w:p>
    <w:p w14:paraId="1E750D41"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 xml:space="preserve">Carpenter </w:t>
      </w:r>
      <w:proofErr w:type="spellStart"/>
      <w:r w:rsidRPr="005164A7">
        <w:rPr>
          <w:rFonts w:cs="Arial"/>
          <w:color w:val="000000" w:themeColor="text1"/>
        </w:rPr>
        <w:t>Lipps</w:t>
      </w:r>
      <w:proofErr w:type="spellEnd"/>
      <w:r w:rsidRPr="005164A7">
        <w:rPr>
          <w:rFonts w:cs="Arial"/>
          <w:color w:val="000000" w:themeColor="text1"/>
        </w:rPr>
        <w:t xml:space="preserve"> &amp; Leland LLP</w:t>
      </w:r>
    </w:p>
    <w:p w14:paraId="0B8A4584"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280 Plaza, Suite 1300</w:t>
      </w:r>
    </w:p>
    <w:p w14:paraId="529996B1"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280 North High Street</w:t>
      </w:r>
    </w:p>
    <w:p w14:paraId="6936F7EA"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Columbus, Ohio 43215</w:t>
      </w:r>
    </w:p>
    <w:p w14:paraId="7CD1B042"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(614) 365-4100</w:t>
      </w:r>
    </w:p>
    <w:p w14:paraId="1363D588" w14:textId="25899A3F" w:rsidR="002B5954" w:rsidRPr="005164A7" w:rsidRDefault="002B5954" w:rsidP="00B43DEF">
      <w:pPr>
        <w:tabs>
          <w:tab w:val="right" w:pos="4320"/>
        </w:tabs>
        <w:rPr>
          <w:rFonts w:cs="Arial"/>
          <w:color w:val="000000" w:themeColor="text1"/>
        </w:rPr>
      </w:pPr>
      <w:r w:rsidRPr="00627E20">
        <w:rPr>
          <w:rFonts w:cs="Arial"/>
        </w:rPr>
        <w:t>Bojko@carpenterlipps.com</w:t>
      </w:r>
    </w:p>
    <w:p w14:paraId="78037820" w14:textId="3164DD85" w:rsidR="002B5954" w:rsidRPr="005164A7" w:rsidRDefault="002B5954" w:rsidP="00B43DEF">
      <w:pPr>
        <w:tabs>
          <w:tab w:val="right" w:pos="4320"/>
        </w:tabs>
        <w:rPr>
          <w:rFonts w:cs="Arial"/>
          <w:color w:val="000000" w:themeColor="text1"/>
        </w:rPr>
      </w:pPr>
      <w:r w:rsidRPr="00627E20">
        <w:rPr>
          <w:rFonts w:cs="Arial"/>
        </w:rPr>
        <w:t>Perko@carpenterlipps.com</w:t>
      </w:r>
    </w:p>
    <w:p w14:paraId="38246CE5" w14:textId="77777777" w:rsidR="002B5954" w:rsidRPr="005164A7" w:rsidRDefault="002B5954" w:rsidP="00B43DEF">
      <w:pPr>
        <w:tabs>
          <w:tab w:val="right" w:pos="4320"/>
        </w:tabs>
        <w:rPr>
          <w:rFonts w:cs="Arial"/>
          <w:color w:val="000000" w:themeColor="text1"/>
        </w:rPr>
      </w:pPr>
      <w:r w:rsidRPr="005164A7">
        <w:rPr>
          <w:rFonts w:cs="Arial"/>
          <w:color w:val="000000" w:themeColor="text1"/>
        </w:rPr>
        <w:t>(will accept service via email)</w:t>
      </w:r>
    </w:p>
    <w:p w14:paraId="68725E09" w14:textId="77777777" w:rsidR="002B5954" w:rsidRPr="005164A7" w:rsidRDefault="002B5954" w:rsidP="00B43DEF">
      <w:pPr>
        <w:tabs>
          <w:tab w:val="right" w:pos="4320"/>
        </w:tabs>
        <w:rPr>
          <w:rFonts w:cs="Arial"/>
          <w:b/>
          <w:smallCaps/>
          <w:color w:val="000000" w:themeColor="text1"/>
        </w:rPr>
      </w:pPr>
    </w:p>
    <w:p w14:paraId="068E7F1A" w14:textId="77777777" w:rsidR="002B5954" w:rsidRPr="005164A7" w:rsidRDefault="002B5954" w:rsidP="00B43DEF">
      <w:pPr>
        <w:tabs>
          <w:tab w:val="right" w:pos="4320"/>
        </w:tabs>
        <w:rPr>
          <w:rFonts w:cs="Arial"/>
          <w:b/>
          <w:smallCaps/>
          <w:color w:val="000000" w:themeColor="text1"/>
        </w:rPr>
      </w:pPr>
      <w:r w:rsidRPr="005164A7">
        <w:rPr>
          <w:rFonts w:cs="Arial"/>
          <w:b/>
          <w:smallCaps/>
          <w:color w:val="000000" w:themeColor="text1"/>
        </w:rPr>
        <w:t>On Behalf of Ohio Manufacturers’ Association Energy Group</w:t>
      </w:r>
    </w:p>
    <w:p w14:paraId="23AEB747" w14:textId="77777777" w:rsidR="002B5954" w:rsidRPr="005164A7" w:rsidRDefault="002B5954" w:rsidP="00B43DEF">
      <w:pPr>
        <w:tabs>
          <w:tab w:val="right" w:pos="4320"/>
        </w:tabs>
        <w:rPr>
          <w:rFonts w:cs="Arial"/>
          <w:b/>
          <w:smallCaps/>
          <w:color w:val="000000" w:themeColor="text1"/>
        </w:rPr>
      </w:pPr>
    </w:p>
    <w:p w14:paraId="7B3800C4" w14:textId="269CC14F" w:rsidR="00B43DEF" w:rsidRDefault="00B43DEF" w:rsidP="00B43DEF">
      <w:pPr>
        <w:tabs>
          <w:tab w:val="right" w:pos="4320"/>
        </w:tabs>
        <w:autoSpaceDE w:val="0"/>
        <w:autoSpaceDN w:val="0"/>
        <w:adjustRightInd w:val="0"/>
        <w:snapToGrid w:val="0"/>
        <w:rPr>
          <w:rFonts w:eastAsia="Times New Roman" w:cs="Arial"/>
          <w:i/>
          <w:color w:val="000000" w:themeColor="text1"/>
          <w:u w:val="single"/>
        </w:rPr>
      </w:pPr>
      <w:r>
        <w:rPr>
          <w:rFonts w:eastAsia="Times New Roman" w:cs="Arial"/>
          <w:i/>
          <w:color w:val="000000" w:themeColor="text1"/>
          <w:u w:val="single"/>
        </w:rPr>
        <w:br w:type="column"/>
      </w:r>
    </w:p>
    <w:p w14:paraId="00B9E66E" w14:textId="6E84E452" w:rsidR="002B5954" w:rsidRPr="005164A7" w:rsidRDefault="005164A7" w:rsidP="00B43DEF">
      <w:pPr>
        <w:tabs>
          <w:tab w:val="right" w:pos="4320"/>
        </w:tabs>
        <w:autoSpaceDE w:val="0"/>
        <w:autoSpaceDN w:val="0"/>
        <w:adjustRightInd w:val="0"/>
        <w:snapToGrid w:val="0"/>
        <w:rPr>
          <w:rFonts w:eastAsia="Times New Roman" w:cs="Arial"/>
          <w:i/>
          <w:color w:val="000000" w:themeColor="text1"/>
          <w:u w:val="single"/>
        </w:rPr>
      </w:pPr>
      <w:r>
        <w:rPr>
          <w:rFonts w:eastAsia="Times New Roman" w:cs="Arial"/>
          <w:i/>
          <w:color w:val="000000" w:themeColor="text1"/>
          <w:u w:val="single"/>
        </w:rPr>
        <w:t>/s/ Angela Paul Whitfield</w:t>
      </w:r>
      <w:r>
        <w:rPr>
          <w:rFonts w:eastAsia="Times New Roman" w:cs="Arial"/>
          <w:i/>
          <w:color w:val="000000" w:themeColor="text1"/>
          <w:u w:val="single"/>
        </w:rPr>
        <w:tab/>
      </w:r>
    </w:p>
    <w:p w14:paraId="76C9AFF2" w14:textId="77777777" w:rsidR="002B5954" w:rsidRPr="005164A7" w:rsidRDefault="002B5954" w:rsidP="00B43DEF">
      <w:pPr>
        <w:tabs>
          <w:tab w:val="right" w:pos="4320"/>
        </w:tabs>
        <w:autoSpaceDE w:val="0"/>
        <w:autoSpaceDN w:val="0"/>
        <w:adjustRightInd w:val="0"/>
        <w:snapToGrid w:val="0"/>
        <w:rPr>
          <w:rFonts w:eastAsia="Times New Roman" w:cs="Arial"/>
          <w:color w:val="000000" w:themeColor="text1"/>
          <w:lang w:val="x-none"/>
        </w:rPr>
      </w:pPr>
      <w:r w:rsidRPr="005164A7">
        <w:rPr>
          <w:rFonts w:eastAsia="Times New Roman" w:cs="Arial"/>
          <w:color w:val="000000" w:themeColor="text1"/>
          <w:lang w:val="x-none"/>
        </w:rPr>
        <w:t xml:space="preserve">Angela Paul Whitfield (0068774) </w:t>
      </w:r>
    </w:p>
    <w:p w14:paraId="326FDAA4" w14:textId="77777777" w:rsidR="002B5954" w:rsidRPr="005164A7" w:rsidRDefault="002B5954" w:rsidP="00B43DEF">
      <w:pPr>
        <w:tabs>
          <w:tab w:val="right" w:pos="4320"/>
        </w:tabs>
        <w:autoSpaceDE w:val="0"/>
        <w:autoSpaceDN w:val="0"/>
        <w:adjustRightInd w:val="0"/>
        <w:snapToGrid w:val="0"/>
        <w:rPr>
          <w:rFonts w:eastAsia="Times New Roman" w:cs="Arial"/>
          <w:color w:val="000000" w:themeColor="text1"/>
          <w:lang w:val="x-none"/>
        </w:rPr>
      </w:pPr>
      <w:r w:rsidRPr="005164A7">
        <w:rPr>
          <w:rFonts w:eastAsia="Times New Roman" w:cs="Arial"/>
          <w:color w:val="000000" w:themeColor="text1"/>
          <w:lang w:val="x-none"/>
        </w:rPr>
        <w:t>(Counsel of Record)</w:t>
      </w:r>
    </w:p>
    <w:p w14:paraId="08239109" w14:textId="77777777" w:rsidR="002B5954" w:rsidRPr="005164A7" w:rsidRDefault="002B5954" w:rsidP="00B43DEF">
      <w:pPr>
        <w:tabs>
          <w:tab w:val="right" w:pos="4320"/>
        </w:tabs>
        <w:autoSpaceDE w:val="0"/>
        <w:autoSpaceDN w:val="0"/>
        <w:adjustRightInd w:val="0"/>
        <w:snapToGrid w:val="0"/>
        <w:rPr>
          <w:rFonts w:eastAsia="Times New Roman" w:cs="Arial"/>
          <w:color w:val="000000" w:themeColor="text1"/>
          <w:lang w:val="x-none"/>
        </w:rPr>
      </w:pPr>
      <w:r w:rsidRPr="005164A7">
        <w:rPr>
          <w:rFonts w:eastAsia="Times New Roman" w:cs="Arial"/>
          <w:color w:val="000000" w:themeColor="text1"/>
          <w:lang w:val="x-none"/>
        </w:rPr>
        <w:t xml:space="preserve">Carpenter </w:t>
      </w:r>
      <w:proofErr w:type="spellStart"/>
      <w:r w:rsidRPr="005164A7">
        <w:rPr>
          <w:rFonts w:eastAsia="Times New Roman" w:cs="Arial"/>
          <w:color w:val="000000" w:themeColor="text1"/>
          <w:lang w:val="x-none"/>
        </w:rPr>
        <w:t>Lipps</w:t>
      </w:r>
      <w:proofErr w:type="spellEnd"/>
      <w:r w:rsidRPr="005164A7">
        <w:rPr>
          <w:rFonts w:eastAsia="Times New Roman" w:cs="Arial"/>
          <w:color w:val="000000" w:themeColor="text1"/>
          <w:lang w:val="x-none"/>
        </w:rPr>
        <w:t xml:space="preserve"> &amp; Leland LLP</w:t>
      </w:r>
    </w:p>
    <w:p w14:paraId="577FB65F" w14:textId="77777777" w:rsidR="002B5954" w:rsidRPr="005164A7" w:rsidRDefault="002B5954" w:rsidP="00B43DEF">
      <w:pPr>
        <w:tabs>
          <w:tab w:val="right" w:pos="4320"/>
        </w:tabs>
        <w:autoSpaceDE w:val="0"/>
        <w:autoSpaceDN w:val="0"/>
        <w:adjustRightInd w:val="0"/>
        <w:snapToGrid w:val="0"/>
        <w:rPr>
          <w:rFonts w:eastAsia="Times New Roman" w:cs="Arial"/>
          <w:color w:val="000000" w:themeColor="text1"/>
          <w:lang w:val="x-none"/>
        </w:rPr>
      </w:pPr>
      <w:r w:rsidRPr="005164A7">
        <w:rPr>
          <w:rFonts w:eastAsia="Times New Roman" w:cs="Arial"/>
          <w:color w:val="000000" w:themeColor="text1"/>
          <w:lang w:val="x-none"/>
        </w:rPr>
        <w:t>280 North High Street, Suite 1300</w:t>
      </w:r>
    </w:p>
    <w:p w14:paraId="59844BE1" w14:textId="77777777" w:rsidR="002B5954" w:rsidRPr="005164A7" w:rsidRDefault="002B5954" w:rsidP="00B43DEF">
      <w:pPr>
        <w:tabs>
          <w:tab w:val="right" w:pos="4320"/>
        </w:tabs>
        <w:autoSpaceDE w:val="0"/>
        <w:autoSpaceDN w:val="0"/>
        <w:adjustRightInd w:val="0"/>
        <w:snapToGrid w:val="0"/>
        <w:rPr>
          <w:rFonts w:eastAsia="Times New Roman" w:cs="Arial"/>
          <w:color w:val="000000" w:themeColor="text1"/>
          <w:lang w:val="x-none"/>
        </w:rPr>
      </w:pPr>
      <w:r w:rsidRPr="005164A7">
        <w:rPr>
          <w:rFonts w:eastAsia="Times New Roman" w:cs="Arial"/>
          <w:color w:val="000000" w:themeColor="text1"/>
          <w:lang w:val="x-none"/>
        </w:rPr>
        <w:t>Columbus, Ohio 43215</w:t>
      </w:r>
    </w:p>
    <w:p w14:paraId="435FC9C2" w14:textId="77777777" w:rsidR="002B5954" w:rsidRPr="005164A7" w:rsidRDefault="002B5954" w:rsidP="00B43DEF">
      <w:pPr>
        <w:tabs>
          <w:tab w:val="right" w:pos="4320"/>
        </w:tabs>
        <w:autoSpaceDE w:val="0"/>
        <w:autoSpaceDN w:val="0"/>
        <w:adjustRightInd w:val="0"/>
        <w:snapToGrid w:val="0"/>
        <w:rPr>
          <w:rFonts w:eastAsia="Times New Roman" w:cs="Arial"/>
          <w:color w:val="000000" w:themeColor="text1"/>
          <w:lang w:val="x-none"/>
        </w:rPr>
      </w:pPr>
      <w:r w:rsidRPr="005164A7">
        <w:rPr>
          <w:rFonts w:eastAsia="Times New Roman" w:cs="Arial"/>
          <w:color w:val="000000" w:themeColor="text1"/>
          <w:lang w:val="x-none"/>
        </w:rPr>
        <w:t>Telephone: (614) 365-4100</w:t>
      </w:r>
    </w:p>
    <w:p w14:paraId="4CCBFB35" w14:textId="77777777" w:rsidR="002B5954" w:rsidRPr="005164A7" w:rsidRDefault="002B5954" w:rsidP="00B43DEF">
      <w:pPr>
        <w:tabs>
          <w:tab w:val="right" w:pos="4320"/>
        </w:tabs>
        <w:autoSpaceDE w:val="0"/>
        <w:autoSpaceDN w:val="0"/>
        <w:adjustRightInd w:val="0"/>
        <w:snapToGrid w:val="0"/>
        <w:rPr>
          <w:rFonts w:eastAsia="Times New Roman" w:cs="Arial"/>
          <w:color w:val="000000" w:themeColor="text1"/>
          <w:lang w:val="x-none"/>
        </w:rPr>
      </w:pPr>
      <w:r w:rsidRPr="005164A7">
        <w:rPr>
          <w:rFonts w:eastAsia="Times New Roman" w:cs="Arial"/>
          <w:color w:val="000000" w:themeColor="text1"/>
          <w:lang w:val="x-none"/>
        </w:rPr>
        <w:t>Email: paul@carpenterlipps.com</w:t>
      </w:r>
    </w:p>
    <w:p w14:paraId="4870F107" w14:textId="77777777" w:rsidR="002B5954" w:rsidRPr="005164A7" w:rsidRDefault="002B5954" w:rsidP="00B43DEF">
      <w:pPr>
        <w:tabs>
          <w:tab w:val="right" w:pos="4320"/>
        </w:tabs>
        <w:autoSpaceDE w:val="0"/>
        <w:autoSpaceDN w:val="0"/>
        <w:adjustRightInd w:val="0"/>
        <w:snapToGrid w:val="0"/>
        <w:rPr>
          <w:rFonts w:eastAsia="Times New Roman" w:cs="Arial"/>
          <w:color w:val="000000" w:themeColor="text1"/>
          <w:lang w:val="x-none"/>
        </w:rPr>
      </w:pPr>
      <w:r w:rsidRPr="005164A7">
        <w:rPr>
          <w:rFonts w:eastAsia="Times New Roman" w:cs="Arial"/>
          <w:color w:val="000000" w:themeColor="text1"/>
          <w:lang w:val="x-none"/>
        </w:rPr>
        <w:t>(</w:t>
      </w:r>
      <w:r w:rsidRPr="005164A7">
        <w:rPr>
          <w:rFonts w:eastAsia="Times New Roman" w:cs="Arial"/>
          <w:color w:val="000000" w:themeColor="text1"/>
        </w:rPr>
        <w:t xml:space="preserve">will </w:t>
      </w:r>
      <w:r w:rsidRPr="005164A7">
        <w:rPr>
          <w:rFonts w:eastAsia="Times New Roman" w:cs="Arial"/>
          <w:color w:val="000000" w:themeColor="text1"/>
          <w:lang w:val="x-none"/>
        </w:rPr>
        <w:t xml:space="preserve">accept service </w:t>
      </w:r>
      <w:r w:rsidRPr="005164A7">
        <w:rPr>
          <w:rFonts w:eastAsia="Times New Roman" w:cs="Arial"/>
          <w:color w:val="000000" w:themeColor="text1"/>
        </w:rPr>
        <w:t>via</w:t>
      </w:r>
      <w:r w:rsidRPr="005164A7">
        <w:rPr>
          <w:rFonts w:eastAsia="Times New Roman" w:cs="Arial"/>
          <w:color w:val="000000" w:themeColor="text1"/>
          <w:lang w:val="x-none"/>
        </w:rPr>
        <w:t xml:space="preserve"> email)</w:t>
      </w:r>
    </w:p>
    <w:p w14:paraId="2FDB6C0A" w14:textId="77777777" w:rsidR="002B5954" w:rsidRPr="005164A7" w:rsidRDefault="002B5954" w:rsidP="00B43DEF">
      <w:pPr>
        <w:tabs>
          <w:tab w:val="right" w:pos="4320"/>
        </w:tabs>
        <w:autoSpaceDE w:val="0"/>
        <w:autoSpaceDN w:val="0"/>
        <w:adjustRightInd w:val="0"/>
        <w:snapToGrid w:val="0"/>
        <w:rPr>
          <w:rFonts w:eastAsia="Times New Roman" w:cs="Arial"/>
          <w:color w:val="000000" w:themeColor="text1"/>
          <w:lang w:val="x-none"/>
        </w:rPr>
      </w:pPr>
    </w:p>
    <w:p w14:paraId="3BAD578D" w14:textId="0FCC94F3" w:rsidR="002B5954" w:rsidRDefault="002B5954" w:rsidP="00B43DEF">
      <w:pPr>
        <w:tabs>
          <w:tab w:val="right" w:pos="4320"/>
        </w:tabs>
        <w:sectPr w:rsidR="002B5954" w:rsidSect="00B43DEF">
          <w:headerReference w:type="default" r:id="rId26"/>
          <w:footerReference w:type="default" r:id="rId27"/>
          <w:headerReference w:type="first" r:id="rId28"/>
          <w:footerReference w:type="first" r:id="rId29"/>
          <w:type w:val="continuous"/>
          <w:pgSz w:w="12240" w:h="15840" w:code="1"/>
          <w:pgMar w:top="1440" w:right="1440" w:bottom="1440" w:left="1440" w:header="720" w:footer="720" w:gutter="0"/>
          <w:cols w:num="2" w:space="720"/>
          <w:titlePg/>
          <w:docGrid w:linePitch="360"/>
        </w:sectPr>
      </w:pPr>
      <w:r w:rsidRPr="005164A7">
        <w:rPr>
          <w:rFonts w:eastAsia="Times New Roman" w:cs="Arial"/>
          <w:b/>
          <w:smallCaps/>
          <w:color w:val="000000" w:themeColor="text1"/>
        </w:rPr>
        <w:t>On Behalf of</w:t>
      </w:r>
      <w:r w:rsidRPr="005164A7">
        <w:rPr>
          <w:rFonts w:eastAsia="Times New Roman" w:cs="Arial"/>
          <w:b/>
          <w:smallCaps/>
          <w:color w:val="000000" w:themeColor="text1"/>
          <w:lang w:val="x-none"/>
        </w:rPr>
        <w:t xml:space="preserve"> The Kroger C</w:t>
      </w:r>
      <w:r>
        <w:rPr>
          <w:rFonts w:eastAsia="Times New Roman" w:cs="Arial"/>
          <w:b/>
          <w:smallCaps/>
          <w:color w:val="000000"/>
          <w:lang w:val="x-none"/>
        </w:rPr>
        <w:t>o.</w:t>
      </w:r>
    </w:p>
    <w:p w14:paraId="2FB2B6A8" w14:textId="77777777" w:rsidR="00F200AD" w:rsidRPr="00032297" w:rsidRDefault="00F200AD" w:rsidP="00F200AD">
      <w:pPr>
        <w:jc w:val="center"/>
        <w:rPr>
          <w:rFonts w:ascii="Arial Bold" w:eastAsia="Calibri" w:hAnsi="Arial Bold" w:cs="Arial"/>
          <w:b/>
          <w:smallCaps/>
          <w:sz w:val="28"/>
          <w:u w:val="single"/>
        </w:rPr>
      </w:pPr>
      <w:r w:rsidRPr="00032297">
        <w:rPr>
          <w:rFonts w:ascii="Arial Bold" w:eastAsia="Calibri" w:hAnsi="Arial Bold" w:cs="Arial"/>
          <w:b/>
          <w:smallCaps/>
          <w:sz w:val="28"/>
          <w:u w:val="single"/>
        </w:rPr>
        <w:lastRenderedPageBreak/>
        <w:t>Certificate of Service</w:t>
      </w:r>
    </w:p>
    <w:p w14:paraId="76162577" w14:textId="77777777" w:rsidR="00F200AD" w:rsidRDefault="00F200AD" w:rsidP="00F200AD">
      <w:pPr>
        <w:jc w:val="center"/>
        <w:rPr>
          <w:rFonts w:eastAsia="Calibri" w:cs="Arial"/>
          <w:b/>
        </w:rPr>
      </w:pPr>
    </w:p>
    <w:p w14:paraId="4AA84FA6" w14:textId="35DF7975" w:rsidR="00F200AD" w:rsidRPr="00A55900" w:rsidRDefault="00F200AD" w:rsidP="00F47DD5">
      <w:pPr>
        <w:spacing w:line="480" w:lineRule="auto"/>
        <w:ind w:firstLine="720"/>
        <w:jc w:val="both"/>
        <w:rPr>
          <w:rFonts w:cs="Arial"/>
          <w:smallCaps/>
          <w:lang w:eastAsia="x-none"/>
        </w:rPr>
      </w:pPr>
      <w:r w:rsidRPr="00A55900">
        <w:rPr>
          <w:rFonts w:cs="Arial"/>
          <w:lang w:val="x-none" w:eastAsia="x-none"/>
        </w:rPr>
        <w:t xml:space="preserve">In accordance with Rule 4901-1-05, Ohio Administrative Code, the PUCO's e-filing system will electronically serve notice of the filing of this document upon the following parties.  In addition, I hereby certify that a service copy of the foregoing </w:t>
      </w:r>
      <w:r w:rsidR="00D00ACD" w:rsidRPr="00041CE8">
        <w:rPr>
          <w:rFonts w:cs="Arial"/>
          <w:i/>
        </w:rPr>
        <w:t>Reply in Support of an Order Dismissing the Application or, in the Alternative, Staying the Proceeding, by Industrial Energy</w:t>
      </w:r>
      <w:r w:rsidR="00D00ACD" w:rsidRPr="00F47DD5">
        <w:rPr>
          <w:rFonts w:cs="Arial"/>
          <w:i/>
        </w:rPr>
        <w:t xml:space="preserve"> Users-Ohio, the Office of the Ohio Consumers’ Counsel, Ohio Partners for Affordable Energy, The Kroger Co., and Ohio Manufacturers’ Association Energy Group</w:t>
      </w:r>
      <w:r w:rsidR="00D00ACD" w:rsidRPr="00F47DD5">
        <w:rPr>
          <w:rFonts w:cs="Arial"/>
          <w:b/>
        </w:rPr>
        <w:t xml:space="preserve"> </w:t>
      </w:r>
      <w:r w:rsidRPr="00F47DD5">
        <w:rPr>
          <w:rFonts w:cs="Arial"/>
          <w:lang w:val="x-none" w:eastAsia="x-none"/>
        </w:rPr>
        <w:t>was sent b</w:t>
      </w:r>
      <w:r w:rsidRPr="00A55900">
        <w:rPr>
          <w:rFonts w:cs="Arial"/>
          <w:lang w:val="x-none" w:eastAsia="x-none"/>
        </w:rPr>
        <w:t>y, or on behalf of, the undersigned counsel for IEU-Ohio to the following parties of record this</w:t>
      </w:r>
      <w:r w:rsidRPr="00A55900">
        <w:rPr>
          <w:rFonts w:cs="Arial"/>
          <w:lang w:eastAsia="x-none"/>
        </w:rPr>
        <w:t xml:space="preserve"> </w:t>
      </w:r>
      <w:r w:rsidR="005A57B2" w:rsidRPr="00A55900">
        <w:rPr>
          <w:rFonts w:cs="Arial"/>
          <w:lang w:eastAsia="x-none"/>
        </w:rPr>
        <w:t>28</w:t>
      </w:r>
      <w:r w:rsidR="005A57B2" w:rsidRPr="00041CE8">
        <w:rPr>
          <w:rFonts w:cs="Arial"/>
          <w:vertAlign w:val="superscript"/>
          <w:lang w:eastAsia="x-none"/>
        </w:rPr>
        <w:t>th</w:t>
      </w:r>
      <w:r w:rsidR="005A57B2" w:rsidRPr="00A55900">
        <w:rPr>
          <w:rFonts w:cs="Arial"/>
          <w:lang w:eastAsia="x-none"/>
        </w:rPr>
        <w:t xml:space="preserve"> </w:t>
      </w:r>
      <w:r w:rsidRPr="00A55900">
        <w:rPr>
          <w:rFonts w:cs="Arial"/>
          <w:lang w:val="x-none" w:eastAsia="x-none"/>
        </w:rPr>
        <w:t xml:space="preserve">day of </w:t>
      </w:r>
      <w:r w:rsidR="005A57B2" w:rsidRPr="00A55900">
        <w:rPr>
          <w:rFonts w:cs="Arial"/>
          <w:lang w:eastAsia="x-none"/>
        </w:rPr>
        <w:t xml:space="preserve">June </w:t>
      </w:r>
      <w:r w:rsidRPr="00A55900">
        <w:rPr>
          <w:rFonts w:cs="Arial"/>
          <w:lang w:eastAsia="x-none"/>
        </w:rPr>
        <w:t>2017</w:t>
      </w:r>
      <w:r w:rsidRPr="00A55900">
        <w:rPr>
          <w:rFonts w:cs="Arial"/>
          <w:lang w:val="x-none" w:eastAsia="x-none"/>
        </w:rPr>
        <w:t xml:space="preserve">, </w:t>
      </w:r>
      <w:r w:rsidRPr="00A55900">
        <w:rPr>
          <w:rFonts w:cs="Arial"/>
          <w:i/>
          <w:lang w:val="x-none" w:eastAsia="x-none"/>
        </w:rPr>
        <w:t>via</w:t>
      </w:r>
      <w:r w:rsidRPr="00A55900">
        <w:rPr>
          <w:rFonts w:cs="Arial"/>
          <w:lang w:val="x-none" w:eastAsia="x-none"/>
        </w:rPr>
        <w:t xml:space="preserve"> electronic transmission. </w:t>
      </w:r>
    </w:p>
    <w:p w14:paraId="3604723D" w14:textId="52DE9280" w:rsidR="00F200AD" w:rsidRPr="00054989" w:rsidRDefault="002D6CEE" w:rsidP="00F200AD">
      <w:pPr>
        <w:tabs>
          <w:tab w:val="left" w:pos="-1440"/>
          <w:tab w:val="left" w:pos="-720"/>
          <w:tab w:val="left" w:pos="5040"/>
          <w:tab w:val="center" w:pos="7200"/>
          <w:tab w:val="right" w:pos="9360"/>
        </w:tabs>
        <w:ind w:left="5040"/>
        <w:jc w:val="both"/>
        <w:rPr>
          <w:rFonts w:eastAsia="Calibri"/>
          <w:i/>
          <w:u w:val="single"/>
        </w:rPr>
      </w:pPr>
      <w:r>
        <w:rPr>
          <w:rFonts w:eastAsia="Calibri"/>
          <w:i/>
          <w:u w:val="single"/>
        </w:rPr>
        <w:t xml:space="preserve">  </w:t>
      </w:r>
      <w:r w:rsidR="00F200AD" w:rsidRPr="00054989">
        <w:rPr>
          <w:rFonts w:eastAsia="Calibri"/>
          <w:i/>
          <w:u w:val="single"/>
        </w:rPr>
        <w:t xml:space="preserve">/s/ </w:t>
      </w:r>
      <w:r w:rsidR="00F200AD">
        <w:rPr>
          <w:rFonts w:eastAsia="Calibri"/>
          <w:i/>
          <w:u w:val="single"/>
        </w:rPr>
        <w:t>Matthew R. Pritchard</w:t>
      </w:r>
      <w:r w:rsidR="00F200AD">
        <w:rPr>
          <w:rFonts w:eastAsia="Calibri"/>
          <w:i/>
          <w:u w:val="single"/>
        </w:rPr>
        <w:tab/>
      </w:r>
    </w:p>
    <w:p w14:paraId="639F6D51" w14:textId="1DC13A5C" w:rsidR="00F200AD" w:rsidRDefault="00F200AD" w:rsidP="00F200AD">
      <w:pPr>
        <w:tabs>
          <w:tab w:val="left" w:pos="-1440"/>
          <w:tab w:val="left" w:pos="-720"/>
          <w:tab w:val="left" w:pos="5040"/>
          <w:tab w:val="center" w:pos="7200"/>
        </w:tabs>
        <w:ind w:left="5130"/>
        <w:jc w:val="center"/>
        <w:rPr>
          <w:rFonts w:eastAsia="Calibri"/>
        </w:rPr>
      </w:pPr>
      <w:r>
        <w:rPr>
          <w:rFonts w:eastAsia="Calibri"/>
        </w:rPr>
        <w:t>Matthew R. Pritchard</w:t>
      </w:r>
    </w:p>
    <w:p w14:paraId="2DA09B15" w14:textId="77777777" w:rsidR="00F200AD" w:rsidRDefault="00F200AD" w:rsidP="00F200AD">
      <w:pPr>
        <w:rPr>
          <w:rFonts w:cs="Arial"/>
          <w:color w:val="000000" w:themeColor="text1"/>
        </w:rPr>
      </w:pPr>
    </w:p>
    <w:p w14:paraId="686C1F10" w14:textId="77777777" w:rsidR="00F200AD" w:rsidRDefault="00F200AD" w:rsidP="00F200AD">
      <w:pPr>
        <w:rPr>
          <w:rFonts w:cs="Arial"/>
          <w:color w:val="000000" w:themeColor="text1"/>
        </w:rPr>
        <w:sectPr w:rsidR="00F200AD" w:rsidSect="00AD299E">
          <w:headerReference w:type="default" r:id="rId30"/>
          <w:footerReference w:type="default" r:id="rId31"/>
          <w:headerReference w:type="first" r:id="rId32"/>
          <w:footerReference w:type="first" r:id="rId33"/>
          <w:pgSz w:w="12240" w:h="15840" w:code="1"/>
          <w:pgMar w:top="1440" w:right="1440" w:bottom="1440" w:left="1440" w:header="720" w:footer="720" w:gutter="0"/>
          <w:pgNumType w:start="1"/>
          <w:cols w:space="720"/>
          <w:titlePg/>
          <w:docGrid w:linePitch="360"/>
        </w:sectPr>
      </w:pPr>
    </w:p>
    <w:p w14:paraId="73B481FE" w14:textId="31D235F1" w:rsidR="00F200AD" w:rsidRPr="00B43DEF" w:rsidRDefault="00F200AD" w:rsidP="00F200AD">
      <w:pPr>
        <w:rPr>
          <w:rFonts w:cs="Arial"/>
          <w:color w:val="000000" w:themeColor="text1"/>
          <w:sz w:val="22"/>
          <w:szCs w:val="22"/>
        </w:rPr>
      </w:pPr>
      <w:r w:rsidRPr="00B43DEF">
        <w:rPr>
          <w:rFonts w:cs="Arial"/>
          <w:color w:val="000000" w:themeColor="text1"/>
          <w:sz w:val="22"/>
          <w:szCs w:val="22"/>
        </w:rPr>
        <w:t>Amy B. Spiller (Reg. No. 0047277)</w:t>
      </w:r>
    </w:p>
    <w:p w14:paraId="6EEBF1F8"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Deputy General Counsel</w:t>
      </w:r>
    </w:p>
    <w:p w14:paraId="6CAEAB4E"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(Counsel of Record)</w:t>
      </w:r>
    </w:p>
    <w:p w14:paraId="03EEC50D"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 xml:space="preserve">Jeanne W. </w:t>
      </w:r>
      <w:proofErr w:type="spellStart"/>
      <w:r w:rsidRPr="00B43DEF">
        <w:rPr>
          <w:rFonts w:cs="Arial"/>
          <w:color w:val="000000" w:themeColor="text1"/>
          <w:sz w:val="22"/>
          <w:szCs w:val="22"/>
        </w:rPr>
        <w:t>Kingery</w:t>
      </w:r>
      <w:proofErr w:type="spellEnd"/>
      <w:r w:rsidRPr="00B43DEF">
        <w:rPr>
          <w:rFonts w:cs="Arial"/>
          <w:color w:val="000000" w:themeColor="text1"/>
          <w:sz w:val="22"/>
          <w:szCs w:val="22"/>
        </w:rPr>
        <w:t xml:space="preserve"> (Reg. No. 0012172)</w:t>
      </w:r>
    </w:p>
    <w:p w14:paraId="7A0A44FB"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Elizabeth H. Watts (Reg. No. 0031092)</w:t>
      </w:r>
    </w:p>
    <w:p w14:paraId="77055966"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 xml:space="preserve">Rocco </w:t>
      </w:r>
      <w:proofErr w:type="spellStart"/>
      <w:r w:rsidRPr="00B43DEF">
        <w:rPr>
          <w:rFonts w:cs="Arial"/>
          <w:color w:val="000000" w:themeColor="text1"/>
          <w:sz w:val="22"/>
          <w:szCs w:val="22"/>
        </w:rPr>
        <w:t>D’Ascenzo</w:t>
      </w:r>
      <w:proofErr w:type="spellEnd"/>
      <w:r w:rsidRPr="00B43DEF">
        <w:rPr>
          <w:rFonts w:cs="Arial"/>
          <w:color w:val="000000" w:themeColor="text1"/>
          <w:sz w:val="22"/>
          <w:szCs w:val="22"/>
        </w:rPr>
        <w:t xml:space="preserve"> (Reg. No. 0077651)</w:t>
      </w:r>
    </w:p>
    <w:p w14:paraId="2343A6F3"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Associate General Counsel</w:t>
      </w:r>
    </w:p>
    <w:p w14:paraId="75688CB8"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139 East Fourth Street, 1303-Main</w:t>
      </w:r>
    </w:p>
    <w:p w14:paraId="46EB63E2"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Cincinnati, OH  45202</w:t>
      </w:r>
    </w:p>
    <w:p w14:paraId="4F63A473"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Amy.spiller@duke-energy.com</w:t>
      </w:r>
    </w:p>
    <w:p w14:paraId="3CA8B754"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Jeanne.kingery@duke-energy.com</w:t>
      </w:r>
    </w:p>
    <w:p w14:paraId="2F8DEC68"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Elizabeth.watts@duke-energy.com</w:t>
      </w:r>
    </w:p>
    <w:p w14:paraId="72B311EB"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Rocco.d’ascenzo@duke-energy.com</w:t>
      </w:r>
    </w:p>
    <w:p w14:paraId="5AC350CB" w14:textId="77777777" w:rsidR="00F200AD" w:rsidRPr="00B43DEF" w:rsidRDefault="00F200AD" w:rsidP="00F200AD">
      <w:pPr>
        <w:rPr>
          <w:rFonts w:cs="Arial"/>
          <w:color w:val="000000" w:themeColor="text1"/>
          <w:sz w:val="22"/>
          <w:szCs w:val="22"/>
        </w:rPr>
      </w:pPr>
    </w:p>
    <w:p w14:paraId="11FF4F4B" w14:textId="77777777" w:rsidR="00F200AD" w:rsidRPr="00B43DEF" w:rsidRDefault="00F200AD" w:rsidP="00F200AD">
      <w:pPr>
        <w:rPr>
          <w:rFonts w:cs="Arial"/>
          <w:b/>
          <w:smallCaps/>
          <w:color w:val="000000" w:themeColor="text1"/>
          <w:sz w:val="22"/>
          <w:szCs w:val="22"/>
        </w:rPr>
      </w:pPr>
      <w:r w:rsidRPr="00B43DEF">
        <w:rPr>
          <w:rFonts w:cs="Arial"/>
          <w:b/>
          <w:smallCaps/>
          <w:color w:val="000000" w:themeColor="text1"/>
          <w:sz w:val="22"/>
          <w:szCs w:val="22"/>
        </w:rPr>
        <w:t>Counsel for Duke Energy Ohio, Inc.</w:t>
      </w:r>
    </w:p>
    <w:p w14:paraId="0A91B808" w14:textId="77777777" w:rsidR="00F200AD" w:rsidRPr="00B43DEF" w:rsidRDefault="00F200AD" w:rsidP="00F200AD">
      <w:pPr>
        <w:rPr>
          <w:rFonts w:cs="Arial"/>
          <w:color w:val="000000" w:themeColor="text1"/>
          <w:sz w:val="22"/>
          <w:szCs w:val="22"/>
        </w:rPr>
      </w:pPr>
    </w:p>
    <w:p w14:paraId="42A0ED1C" w14:textId="77777777" w:rsidR="00A55900" w:rsidRPr="00B43DEF" w:rsidRDefault="00A55900" w:rsidP="00A55900">
      <w:pPr>
        <w:rPr>
          <w:rFonts w:cs="Arial"/>
          <w:color w:val="000000" w:themeColor="text1"/>
          <w:sz w:val="22"/>
          <w:szCs w:val="22"/>
        </w:rPr>
      </w:pPr>
      <w:r w:rsidRPr="00B43DEF">
        <w:rPr>
          <w:rFonts w:cs="Arial"/>
          <w:color w:val="000000" w:themeColor="text1"/>
          <w:sz w:val="22"/>
          <w:szCs w:val="22"/>
        </w:rPr>
        <w:t>Michael L. Kurtz (Reg. No. 0033350)</w:t>
      </w:r>
    </w:p>
    <w:p w14:paraId="32B517F9" w14:textId="77777777" w:rsidR="00A55900" w:rsidRPr="00B43DEF" w:rsidRDefault="00A55900" w:rsidP="00A55900">
      <w:pPr>
        <w:rPr>
          <w:rFonts w:cs="Arial"/>
          <w:color w:val="000000" w:themeColor="text1"/>
          <w:sz w:val="22"/>
          <w:szCs w:val="22"/>
        </w:rPr>
      </w:pPr>
      <w:r w:rsidRPr="00B43DEF">
        <w:rPr>
          <w:rFonts w:cs="Arial"/>
          <w:color w:val="000000" w:themeColor="text1"/>
          <w:sz w:val="22"/>
          <w:szCs w:val="22"/>
        </w:rPr>
        <w:t>Jody Kyler Cohn (Reg. No. 0085402)</w:t>
      </w:r>
    </w:p>
    <w:p w14:paraId="68658C43" w14:textId="77777777" w:rsidR="00A55900" w:rsidRPr="00B43DEF" w:rsidRDefault="00A55900" w:rsidP="00A55900">
      <w:pPr>
        <w:rPr>
          <w:rFonts w:cs="Arial"/>
          <w:color w:val="000000" w:themeColor="text1"/>
          <w:sz w:val="22"/>
          <w:szCs w:val="22"/>
        </w:rPr>
      </w:pPr>
      <w:r w:rsidRPr="00B43DEF">
        <w:rPr>
          <w:rFonts w:cs="Arial"/>
          <w:color w:val="000000" w:themeColor="text1"/>
          <w:sz w:val="22"/>
          <w:szCs w:val="22"/>
        </w:rPr>
        <w:t>Boehm, Kurtz &amp; Lowry</w:t>
      </w:r>
    </w:p>
    <w:p w14:paraId="1AC2DA42" w14:textId="77777777" w:rsidR="00A55900" w:rsidRPr="00B43DEF" w:rsidRDefault="00A55900" w:rsidP="00A55900">
      <w:pPr>
        <w:rPr>
          <w:rFonts w:cs="Arial"/>
          <w:color w:val="000000" w:themeColor="text1"/>
          <w:sz w:val="22"/>
          <w:szCs w:val="22"/>
        </w:rPr>
      </w:pPr>
      <w:r w:rsidRPr="00B43DEF">
        <w:rPr>
          <w:rFonts w:cs="Arial"/>
          <w:color w:val="000000" w:themeColor="text1"/>
          <w:sz w:val="22"/>
          <w:szCs w:val="22"/>
        </w:rPr>
        <w:t>36 East Seventh Street, Suite 1510</w:t>
      </w:r>
    </w:p>
    <w:p w14:paraId="403BC961" w14:textId="77777777" w:rsidR="00A55900" w:rsidRPr="00B43DEF" w:rsidRDefault="00A55900" w:rsidP="00A55900">
      <w:pPr>
        <w:rPr>
          <w:rFonts w:cs="Arial"/>
          <w:color w:val="000000" w:themeColor="text1"/>
          <w:sz w:val="22"/>
          <w:szCs w:val="22"/>
        </w:rPr>
      </w:pPr>
      <w:r w:rsidRPr="00B43DEF">
        <w:rPr>
          <w:rFonts w:cs="Arial"/>
          <w:color w:val="000000" w:themeColor="text1"/>
          <w:sz w:val="22"/>
          <w:szCs w:val="22"/>
        </w:rPr>
        <w:t>Cincinnati, OH  45202</w:t>
      </w:r>
    </w:p>
    <w:p w14:paraId="50A958F1" w14:textId="77777777" w:rsidR="00A55900" w:rsidRPr="00B43DEF" w:rsidRDefault="00A55900" w:rsidP="00A55900">
      <w:pPr>
        <w:rPr>
          <w:rFonts w:cs="Arial"/>
          <w:color w:val="000000" w:themeColor="text1"/>
          <w:sz w:val="22"/>
          <w:szCs w:val="22"/>
        </w:rPr>
      </w:pPr>
      <w:r w:rsidRPr="00B43DEF">
        <w:rPr>
          <w:rFonts w:cs="Arial"/>
          <w:color w:val="000000" w:themeColor="text1"/>
          <w:sz w:val="22"/>
          <w:szCs w:val="22"/>
        </w:rPr>
        <w:t>mkurtz@BKLlawfirm.com</w:t>
      </w:r>
    </w:p>
    <w:p w14:paraId="0BC5F311" w14:textId="77777777" w:rsidR="00A55900" w:rsidRPr="00B43DEF" w:rsidRDefault="00A55900" w:rsidP="00A55900">
      <w:pPr>
        <w:rPr>
          <w:rFonts w:cs="Arial"/>
          <w:color w:val="000000" w:themeColor="text1"/>
          <w:sz w:val="22"/>
          <w:szCs w:val="22"/>
        </w:rPr>
      </w:pPr>
      <w:r w:rsidRPr="00B43DEF">
        <w:rPr>
          <w:rFonts w:cs="Arial"/>
          <w:color w:val="000000" w:themeColor="text1"/>
          <w:sz w:val="22"/>
          <w:szCs w:val="22"/>
        </w:rPr>
        <w:t>jkylercohn@BKLlawfirm.com</w:t>
      </w:r>
    </w:p>
    <w:p w14:paraId="440A7AAA" w14:textId="77777777" w:rsidR="00A55900" w:rsidRPr="00B43DEF" w:rsidRDefault="00A55900" w:rsidP="00A55900">
      <w:pPr>
        <w:rPr>
          <w:rFonts w:cs="Arial"/>
          <w:color w:val="000000" w:themeColor="text1"/>
          <w:sz w:val="22"/>
          <w:szCs w:val="22"/>
        </w:rPr>
      </w:pPr>
    </w:p>
    <w:p w14:paraId="61109B08" w14:textId="77777777" w:rsidR="00A55900" w:rsidRPr="00B43DEF" w:rsidRDefault="00A55900" w:rsidP="00A55900">
      <w:pPr>
        <w:rPr>
          <w:rFonts w:cs="Arial"/>
          <w:b/>
          <w:smallCaps/>
          <w:color w:val="000000" w:themeColor="text1"/>
          <w:sz w:val="22"/>
          <w:szCs w:val="22"/>
        </w:rPr>
      </w:pPr>
      <w:r w:rsidRPr="00B43DEF">
        <w:rPr>
          <w:rFonts w:cs="Arial"/>
          <w:b/>
          <w:smallCaps/>
          <w:color w:val="000000" w:themeColor="text1"/>
          <w:sz w:val="22"/>
          <w:szCs w:val="22"/>
        </w:rPr>
        <w:t>Counsel for the Ohio Energy Group</w:t>
      </w:r>
    </w:p>
    <w:p w14:paraId="76997FE5" w14:textId="4488A958" w:rsidR="00F200AD" w:rsidRPr="00B43DEF" w:rsidRDefault="00B43DEF" w:rsidP="00F200AD">
      <w:pPr>
        <w:rPr>
          <w:rFonts w:cs="Arial"/>
          <w:color w:val="000000" w:themeColor="text1"/>
          <w:sz w:val="22"/>
          <w:szCs w:val="22"/>
        </w:rPr>
      </w:pPr>
      <w:r>
        <w:rPr>
          <w:rFonts w:cs="Arial"/>
          <w:color w:val="000000" w:themeColor="text1"/>
          <w:sz w:val="22"/>
          <w:szCs w:val="22"/>
        </w:rPr>
        <w:br w:type="column"/>
      </w:r>
      <w:r w:rsidR="00F200AD" w:rsidRPr="00B43DEF">
        <w:rPr>
          <w:rFonts w:cs="Arial"/>
          <w:color w:val="000000" w:themeColor="text1"/>
          <w:sz w:val="22"/>
          <w:szCs w:val="22"/>
        </w:rPr>
        <w:lastRenderedPageBreak/>
        <w:t xml:space="preserve">Kimberly W. </w:t>
      </w:r>
      <w:proofErr w:type="spellStart"/>
      <w:r w:rsidR="00F200AD" w:rsidRPr="00B43DEF">
        <w:rPr>
          <w:rFonts w:cs="Arial"/>
          <w:color w:val="000000" w:themeColor="text1"/>
          <w:sz w:val="22"/>
          <w:szCs w:val="22"/>
        </w:rPr>
        <w:t>Bojko</w:t>
      </w:r>
      <w:proofErr w:type="spellEnd"/>
      <w:r w:rsidR="00F200AD" w:rsidRPr="00B43DEF">
        <w:rPr>
          <w:rFonts w:cs="Arial"/>
          <w:color w:val="000000" w:themeColor="text1"/>
          <w:sz w:val="22"/>
          <w:szCs w:val="22"/>
        </w:rPr>
        <w:t xml:space="preserve"> (Reg. No. 0069402)</w:t>
      </w:r>
    </w:p>
    <w:p w14:paraId="79CC658E"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(Counsel of Record)</w:t>
      </w:r>
    </w:p>
    <w:p w14:paraId="3160F20C"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 xml:space="preserve">James D. </w:t>
      </w:r>
      <w:proofErr w:type="spellStart"/>
      <w:r w:rsidRPr="00B43DEF">
        <w:rPr>
          <w:rFonts w:cs="Arial"/>
          <w:color w:val="000000" w:themeColor="text1"/>
          <w:sz w:val="22"/>
          <w:szCs w:val="22"/>
        </w:rPr>
        <w:t>Perko</w:t>
      </w:r>
      <w:proofErr w:type="spellEnd"/>
      <w:r w:rsidRPr="00B43DEF">
        <w:rPr>
          <w:rFonts w:cs="Arial"/>
          <w:color w:val="000000" w:themeColor="text1"/>
          <w:sz w:val="22"/>
          <w:szCs w:val="22"/>
        </w:rPr>
        <w:t>, Jr. (Reg. No. 0093312)</w:t>
      </w:r>
    </w:p>
    <w:p w14:paraId="6F327AC4"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 xml:space="preserve">Carpenter </w:t>
      </w:r>
      <w:proofErr w:type="spellStart"/>
      <w:r w:rsidRPr="00B43DEF">
        <w:rPr>
          <w:rFonts w:cs="Arial"/>
          <w:color w:val="000000" w:themeColor="text1"/>
          <w:sz w:val="22"/>
          <w:szCs w:val="22"/>
        </w:rPr>
        <w:t>Lipps</w:t>
      </w:r>
      <w:proofErr w:type="spellEnd"/>
      <w:r w:rsidRPr="00B43DEF">
        <w:rPr>
          <w:rFonts w:cs="Arial"/>
          <w:color w:val="000000" w:themeColor="text1"/>
          <w:sz w:val="22"/>
          <w:szCs w:val="22"/>
        </w:rPr>
        <w:t xml:space="preserve"> &amp; Leland LLP</w:t>
      </w:r>
    </w:p>
    <w:p w14:paraId="7E9CAB2F"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280 Plaza, Suite 1300</w:t>
      </w:r>
    </w:p>
    <w:p w14:paraId="5B601F30"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280 North High Street</w:t>
      </w:r>
    </w:p>
    <w:p w14:paraId="11994AAF"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Columbus, OH  43215</w:t>
      </w:r>
    </w:p>
    <w:p w14:paraId="40D2D1AC"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Bojko@carpenterlipps.com</w:t>
      </w:r>
    </w:p>
    <w:p w14:paraId="72C292DE"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Perko@carpenterlipps.com</w:t>
      </w:r>
    </w:p>
    <w:p w14:paraId="2D893141" w14:textId="77777777" w:rsidR="00F200AD" w:rsidRPr="00B43DEF" w:rsidRDefault="00F200AD" w:rsidP="00F200AD">
      <w:pPr>
        <w:rPr>
          <w:rFonts w:cs="Arial"/>
          <w:color w:val="000000" w:themeColor="text1"/>
          <w:sz w:val="22"/>
          <w:szCs w:val="22"/>
        </w:rPr>
      </w:pPr>
    </w:p>
    <w:p w14:paraId="033365F4" w14:textId="77777777" w:rsidR="00F200AD" w:rsidRPr="00B43DEF" w:rsidRDefault="00F200AD" w:rsidP="00F200AD">
      <w:pPr>
        <w:rPr>
          <w:rFonts w:cs="Arial"/>
          <w:b/>
          <w:smallCaps/>
          <w:color w:val="000000" w:themeColor="text1"/>
          <w:sz w:val="22"/>
          <w:szCs w:val="22"/>
        </w:rPr>
      </w:pPr>
      <w:r w:rsidRPr="00B43DEF">
        <w:rPr>
          <w:rFonts w:cs="Arial"/>
          <w:b/>
          <w:smallCaps/>
          <w:color w:val="000000" w:themeColor="text1"/>
          <w:sz w:val="22"/>
          <w:szCs w:val="22"/>
        </w:rPr>
        <w:t>Counsel for the Ohio Manufacturers’ Association Energy Group</w:t>
      </w:r>
    </w:p>
    <w:p w14:paraId="65DB0539" w14:textId="77777777" w:rsidR="00F200AD" w:rsidRPr="00B43DEF" w:rsidRDefault="00F200AD" w:rsidP="00F200AD">
      <w:pPr>
        <w:rPr>
          <w:rFonts w:cs="Arial"/>
          <w:b/>
          <w:smallCaps/>
          <w:color w:val="000000" w:themeColor="text1"/>
          <w:sz w:val="22"/>
          <w:szCs w:val="22"/>
        </w:rPr>
      </w:pPr>
    </w:p>
    <w:p w14:paraId="1E6455C5"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Angela Paul Whitfield (Reg. No. 0068774)</w:t>
      </w:r>
    </w:p>
    <w:p w14:paraId="0A3B2CED"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(Counsel of Record)</w:t>
      </w:r>
    </w:p>
    <w:p w14:paraId="1B374915"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 xml:space="preserve">Carpenter </w:t>
      </w:r>
      <w:proofErr w:type="spellStart"/>
      <w:r w:rsidRPr="00B43DEF">
        <w:rPr>
          <w:rFonts w:cs="Arial"/>
          <w:color w:val="000000" w:themeColor="text1"/>
          <w:sz w:val="22"/>
          <w:szCs w:val="22"/>
        </w:rPr>
        <w:t>Lipps</w:t>
      </w:r>
      <w:proofErr w:type="spellEnd"/>
      <w:r w:rsidRPr="00B43DEF">
        <w:rPr>
          <w:rFonts w:cs="Arial"/>
          <w:color w:val="000000" w:themeColor="text1"/>
          <w:sz w:val="22"/>
          <w:szCs w:val="22"/>
        </w:rPr>
        <w:t xml:space="preserve"> &amp; Leland LLP</w:t>
      </w:r>
    </w:p>
    <w:p w14:paraId="32FB5AF5"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280 Plaza, Suite 1300</w:t>
      </w:r>
    </w:p>
    <w:p w14:paraId="6FDD48E9"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280 North High Street</w:t>
      </w:r>
    </w:p>
    <w:p w14:paraId="1742FFAB"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Columbus, OH  43215</w:t>
      </w:r>
    </w:p>
    <w:p w14:paraId="005701B1"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paul@carpenterlipps.com</w:t>
      </w:r>
    </w:p>
    <w:p w14:paraId="24E88A1E" w14:textId="77777777" w:rsidR="00F200AD" w:rsidRPr="00B43DEF" w:rsidRDefault="00F200AD" w:rsidP="00F200AD">
      <w:pPr>
        <w:rPr>
          <w:rFonts w:cs="Arial"/>
          <w:color w:val="000000" w:themeColor="text1"/>
          <w:sz w:val="22"/>
          <w:szCs w:val="22"/>
        </w:rPr>
      </w:pPr>
    </w:p>
    <w:p w14:paraId="080757D3" w14:textId="77777777" w:rsidR="00F200AD" w:rsidRPr="00B43DEF" w:rsidRDefault="00F200AD" w:rsidP="00F200AD">
      <w:pPr>
        <w:rPr>
          <w:rFonts w:cs="Arial"/>
          <w:b/>
          <w:smallCaps/>
          <w:color w:val="000000" w:themeColor="text1"/>
          <w:sz w:val="22"/>
          <w:szCs w:val="22"/>
        </w:rPr>
      </w:pPr>
      <w:r w:rsidRPr="00B43DEF">
        <w:rPr>
          <w:rFonts w:cs="Arial"/>
          <w:b/>
          <w:smallCaps/>
          <w:color w:val="000000" w:themeColor="text1"/>
          <w:sz w:val="22"/>
          <w:szCs w:val="22"/>
        </w:rPr>
        <w:t>Counsel for The Kroger Co.</w:t>
      </w:r>
    </w:p>
    <w:p w14:paraId="1CC100FD" w14:textId="77777777" w:rsidR="00F200AD" w:rsidRPr="00B43DEF" w:rsidRDefault="00F200AD" w:rsidP="00F200AD">
      <w:pPr>
        <w:rPr>
          <w:rFonts w:cs="Arial"/>
          <w:b/>
          <w:smallCaps/>
          <w:color w:val="000000" w:themeColor="text1"/>
          <w:sz w:val="22"/>
          <w:szCs w:val="22"/>
        </w:rPr>
      </w:pPr>
    </w:p>
    <w:p w14:paraId="58D0B62F" w14:textId="77777777" w:rsidR="00B43DEF" w:rsidRDefault="00B43DEF" w:rsidP="00F200AD">
      <w:pPr>
        <w:rPr>
          <w:rFonts w:cs="Arial"/>
          <w:color w:val="000000" w:themeColor="text1"/>
          <w:sz w:val="22"/>
          <w:szCs w:val="22"/>
        </w:rPr>
        <w:sectPr w:rsidR="00B43DEF" w:rsidSect="00F200AD">
          <w:headerReference w:type="default" r:id="rId34"/>
          <w:footerReference w:type="default" r:id="rId35"/>
          <w:headerReference w:type="first" r:id="rId36"/>
          <w:footerReference w:type="first" r:id="rId37"/>
          <w:type w:val="continuous"/>
          <w:pgSz w:w="12240" w:h="15840" w:code="1"/>
          <w:pgMar w:top="1440" w:right="1440" w:bottom="1440" w:left="1440" w:header="720" w:footer="720" w:gutter="0"/>
          <w:pgNumType w:start="1"/>
          <w:cols w:num="2" w:space="720"/>
          <w:titlePg/>
          <w:docGrid w:linePitch="360"/>
        </w:sectPr>
      </w:pPr>
    </w:p>
    <w:p w14:paraId="1274C912" w14:textId="6DC27A0A" w:rsidR="00F200AD" w:rsidRPr="00B43DEF" w:rsidRDefault="00F200AD" w:rsidP="00F200AD">
      <w:pPr>
        <w:rPr>
          <w:rFonts w:cs="Arial"/>
          <w:color w:val="000000" w:themeColor="text1"/>
          <w:sz w:val="22"/>
          <w:szCs w:val="22"/>
        </w:rPr>
      </w:pPr>
      <w:r w:rsidRPr="00B43DEF">
        <w:rPr>
          <w:rFonts w:cs="Arial"/>
          <w:color w:val="000000" w:themeColor="text1"/>
          <w:sz w:val="22"/>
          <w:szCs w:val="22"/>
        </w:rPr>
        <w:lastRenderedPageBreak/>
        <w:t>Colleen L. Mooney (Reg. No. 0015668)</w:t>
      </w:r>
    </w:p>
    <w:p w14:paraId="255270DC"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Ohio Partners for Affordable Energy</w:t>
      </w:r>
    </w:p>
    <w:p w14:paraId="66C08009"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P.O. Box 12451</w:t>
      </w:r>
    </w:p>
    <w:p w14:paraId="01FCCA7E"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Columbus, OH  43212-2451</w:t>
      </w:r>
    </w:p>
    <w:p w14:paraId="59F0E27E" w14:textId="72710675" w:rsidR="00F200AD" w:rsidRPr="00B43DEF" w:rsidRDefault="00F200AD" w:rsidP="00F200AD">
      <w:pPr>
        <w:rPr>
          <w:rFonts w:cs="Arial"/>
          <w:color w:val="000000" w:themeColor="text1"/>
          <w:sz w:val="22"/>
          <w:szCs w:val="22"/>
        </w:rPr>
      </w:pPr>
      <w:r w:rsidRPr="00627E20">
        <w:rPr>
          <w:rFonts w:cs="Arial"/>
          <w:sz w:val="22"/>
          <w:szCs w:val="22"/>
        </w:rPr>
        <w:t>cmooney@ohiopartners.org</w:t>
      </w:r>
    </w:p>
    <w:p w14:paraId="092DE7C0" w14:textId="77777777" w:rsidR="00F200AD" w:rsidRPr="00B43DEF" w:rsidRDefault="00F200AD" w:rsidP="00F200AD">
      <w:pPr>
        <w:rPr>
          <w:rFonts w:cs="Arial"/>
          <w:color w:val="000000" w:themeColor="text1"/>
          <w:sz w:val="22"/>
          <w:szCs w:val="22"/>
        </w:rPr>
      </w:pPr>
    </w:p>
    <w:p w14:paraId="4120716A" w14:textId="77777777" w:rsidR="00F200AD" w:rsidRPr="00B43DEF" w:rsidRDefault="00F200AD" w:rsidP="00F200AD">
      <w:pPr>
        <w:rPr>
          <w:rFonts w:cs="Arial"/>
          <w:b/>
          <w:smallCaps/>
          <w:color w:val="000000" w:themeColor="text1"/>
          <w:sz w:val="22"/>
          <w:szCs w:val="22"/>
        </w:rPr>
      </w:pPr>
      <w:r w:rsidRPr="00B43DEF">
        <w:rPr>
          <w:rFonts w:cs="Arial"/>
          <w:b/>
          <w:smallCaps/>
          <w:color w:val="000000" w:themeColor="text1"/>
          <w:sz w:val="22"/>
          <w:szCs w:val="22"/>
        </w:rPr>
        <w:t>Counsel for the Ohio Partners for Affordable Energy</w:t>
      </w:r>
    </w:p>
    <w:p w14:paraId="14ABBFFC" w14:textId="77777777" w:rsidR="00F200AD" w:rsidRPr="00B43DEF" w:rsidRDefault="00F200AD" w:rsidP="00F200AD">
      <w:pPr>
        <w:rPr>
          <w:rFonts w:cs="Arial"/>
          <w:b/>
          <w:smallCaps/>
          <w:color w:val="000000" w:themeColor="text1"/>
          <w:sz w:val="22"/>
          <w:szCs w:val="22"/>
        </w:rPr>
      </w:pPr>
    </w:p>
    <w:p w14:paraId="1BF0DD2C" w14:textId="020FA974" w:rsidR="00F200AD" w:rsidRPr="00B43DEF" w:rsidRDefault="00F200AD" w:rsidP="00F200AD">
      <w:pPr>
        <w:rPr>
          <w:rFonts w:cs="Arial"/>
          <w:color w:val="000000" w:themeColor="text1"/>
          <w:sz w:val="22"/>
          <w:szCs w:val="22"/>
        </w:rPr>
      </w:pPr>
      <w:r w:rsidRPr="00B43DEF">
        <w:rPr>
          <w:rFonts w:cs="Arial"/>
          <w:color w:val="000000" w:themeColor="text1"/>
          <w:sz w:val="22"/>
          <w:szCs w:val="22"/>
        </w:rPr>
        <w:t>BRUCE WESTON (</w:t>
      </w:r>
      <w:r w:rsidR="00A55900" w:rsidRPr="00B43DEF">
        <w:rPr>
          <w:rFonts w:cs="Arial"/>
          <w:color w:val="000000" w:themeColor="text1"/>
          <w:sz w:val="22"/>
          <w:szCs w:val="22"/>
        </w:rPr>
        <w:t xml:space="preserve">Reg. No. </w:t>
      </w:r>
      <w:r w:rsidRPr="00B43DEF">
        <w:rPr>
          <w:rFonts w:cs="Arial"/>
          <w:color w:val="000000" w:themeColor="text1"/>
          <w:sz w:val="22"/>
          <w:szCs w:val="22"/>
        </w:rPr>
        <w:t>0016973)</w:t>
      </w:r>
    </w:p>
    <w:p w14:paraId="0261A46D"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OHIO CONSUMERS’ COUNSEL</w:t>
      </w:r>
    </w:p>
    <w:p w14:paraId="76ED88FD" w14:textId="77777777" w:rsidR="00F200AD" w:rsidRPr="00B43DEF" w:rsidRDefault="00F200AD" w:rsidP="00F200AD">
      <w:pPr>
        <w:rPr>
          <w:rFonts w:cs="Arial"/>
          <w:color w:val="000000" w:themeColor="text1"/>
          <w:sz w:val="22"/>
          <w:szCs w:val="22"/>
        </w:rPr>
      </w:pPr>
    </w:p>
    <w:p w14:paraId="11AD563D"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William J. Michael (Reg. No. 0070921)</w:t>
      </w:r>
    </w:p>
    <w:p w14:paraId="41D2242C"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(Counsel of Record)</w:t>
      </w:r>
    </w:p>
    <w:p w14:paraId="35C286CC"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Jodi Bair (Reg. No. 0062921)</w:t>
      </w:r>
    </w:p>
    <w:p w14:paraId="02BA1FA6"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Kevin Moore (Reg. No. 0089228)</w:t>
      </w:r>
    </w:p>
    <w:p w14:paraId="395CC71F"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Assistant Consumers’ Counsel</w:t>
      </w:r>
    </w:p>
    <w:p w14:paraId="374FC35C"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Office of the Ohio Consumers’ Counsel</w:t>
      </w:r>
    </w:p>
    <w:p w14:paraId="0A067BC3"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10 West Broad Street, Suite 1800</w:t>
      </w:r>
    </w:p>
    <w:p w14:paraId="35C6AB6D"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Columbus, OH  43215-3485</w:t>
      </w:r>
    </w:p>
    <w:p w14:paraId="21AB484B"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William.michael@occ.ohio.gov</w:t>
      </w:r>
    </w:p>
    <w:p w14:paraId="43013AF7"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Jodi.bair@occ.ohio.gov</w:t>
      </w:r>
    </w:p>
    <w:p w14:paraId="213FE7C7"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Kevin.moore@occ.ohio.gov</w:t>
      </w:r>
    </w:p>
    <w:p w14:paraId="2BAB932A" w14:textId="77777777" w:rsidR="00F200AD" w:rsidRPr="00B43DEF" w:rsidRDefault="00F200AD" w:rsidP="00F200AD">
      <w:pPr>
        <w:rPr>
          <w:rFonts w:cs="Arial"/>
          <w:color w:val="000000" w:themeColor="text1"/>
          <w:sz w:val="22"/>
          <w:szCs w:val="22"/>
        </w:rPr>
      </w:pPr>
    </w:p>
    <w:p w14:paraId="70396BE0" w14:textId="77777777" w:rsidR="00F200AD" w:rsidRPr="00B43DEF" w:rsidRDefault="00F200AD" w:rsidP="00F200AD">
      <w:pPr>
        <w:rPr>
          <w:rFonts w:cs="Arial"/>
          <w:b/>
          <w:smallCaps/>
          <w:color w:val="000000" w:themeColor="text1"/>
          <w:sz w:val="22"/>
          <w:szCs w:val="22"/>
        </w:rPr>
      </w:pPr>
      <w:r w:rsidRPr="00B43DEF">
        <w:rPr>
          <w:rFonts w:cs="Arial"/>
          <w:b/>
          <w:smallCaps/>
          <w:color w:val="000000" w:themeColor="text1"/>
          <w:sz w:val="22"/>
          <w:szCs w:val="22"/>
        </w:rPr>
        <w:t>Counsel for the Office of the Ohio Consumers’ Counsel</w:t>
      </w:r>
    </w:p>
    <w:p w14:paraId="65EC645D" w14:textId="77777777" w:rsidR="00F200AD" w:rsidRPr="00B43DEF" w:rsidRDefault="00F200AD" w:rsidP="00F200AD">
      <w:pPr>
        <w:rPr>
          <w:rFonts w:cs="Arial"/>
          <w:color w:val="000000" w:themeColor="text1"/>
          <w:sz w:val="22"/>
          <w:szCs w:val="22"/>
        </w:rPr>
      </w:pPr>
    </w:p>
    <w:p w14:paraId="38D32485"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Richard L. Sites (Reg. No. 0019887)</w:t>
      </w:r>
    </w:p>
    <w:p w14:paraId="172CC8E7"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Regulatory Counsel</w:t>
      </w:r>
    </w:p>
    <w:p w14:paraId="2C23FD71"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Ohio Hospital Association</w:t>
      </w:r>
    </w:p>
    <w:p w14:paraId="7BBEA260"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155 East Broad Street, 3</w:t>
      </w:r>
      <w:r w:rsidRPr="00B43DEF">
        <w:rPr>
          <w:rFonts w:cs="Arial"/>
          <w:color w:val="000000" w:themeColor="text1"/>
          <w:sz w:val="22"/>
          <w:szCs w:val="22"/>
          <w:vertAlign w:val="superscript"/>
        </w:rPr>
        <w:t>rd</w:t>
      </w:r>
      <w:r w:rsidRPr="00B43DEF">
        <w:rPr>
          <w:rFonts w:cs="Arial"/>
          <w:color w:val="000000" w:themeColor="text1"/>
          <w:sz w:val="22"/>
          <w:szCs w:val="22"/>
        </w:rPr>
        <w:t xml:space="preserve"> Floor</w:t>
      </w:r>
    </w:p>
    <w:p w14:paraId="5B684445"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Columbus, OH  43215-3620</w:t>
      </w:r>
    </w:p>
    <w:p w14:paraId="4A0FED99"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rick.sites@ohiohospitals.org</w:t>
      </w:r>
    </w:p>
    <w:p w14:paraId="601ADAF3" w14:textId="77777777" w:rsidR="00F200AD" w:rsidRPr="00B43DEF" w:rsidRDefault="00F200AD" w:rsidP="00F200AD">
      <w:pPr>
        <w:rPr>
          <w:rFonts w:cs="Arial"/>
          <w:color w:val="000000" w:themeColor="text1"/>
          <w:sz w:val="22"/>
          <w:szCs w:val="22"/>
        </w:rPr>
      </w:pPr>
    </w:p>
    <w:p w14:paraId="014E8A5A" w14:textId="7AEBF794" w:rsidR="00F200AD" w:rsidRPr="00B43DEF" w:rsidRDefault="00F200AD" w:rsidP="00F200AD">
      <w:pPr>
        <w:rPr>
          <w:rFonts w:cs="Arial"/>
          <w:color w:val="000000" w:themeColor="text1"/>
          <w:sz w:val="22"/>
          <w:szCs w:val="22"/>
        </w:rPr>
      </w:pPr>
      <w:r w:rsidRPr="00B43DEF">
        <w:rPr>
          <w:rFonts w:cs="Arial"/>
          <w:color w:val="000000" w:themeColor="text1"/>
          <w:sz w:val="22"/>
          <w:szCs w:val="22"/>
        </w:rPr>
        <w:t xml:space="preserve">Dylan F. </w:t>
      </w:r>
      <w:proofErr w:type="spellStart"/>
      <w:r w:rsidRPr="00B43DEF">
        <w:rPr>
          <w:rFonts w:cs="Arial"/>
          <w:color w:val="000000" w:themeColor="text1"/>
          <w:sz w:val="22"/>
          <w:szCs w:val="22"/>
        </w:rPr>
        <w:t>Borchers</w:t>
      </w:r>
      <w:proofErr w:type="spellEnd"/>
      <w:r w:rsidRPr="00B43DEF">
        <w:rPr>
          <w:rFonts w:cs="Arial"/>
          <w:color w:val="000000" w:themeColor="text1"/>
          <w:sz w:val="22"/>
          <w:szCs w:val="22"/>
        </w:rPr>
        <w:t xml:space="preserve"> (Reg. No. 0090690)</w:t>
      </w:r>
    </w:p>
    <w:p w14:paraId="3D1E4BA7"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 xml:space="preserve">Devin D. </w:t>
      </w:r>
      <w:proofErr w:type="spellStart"/>
      <w:r w:rsidRPr="00B43DEF">
        <w:rPr>
          <w:rFonts w:cs="Arial"/>
          <w:color w:val="000000" w:themeColor="text1"/>
          <w:sz w:val="22"/>
          <w:szCs w:val="22"/>
        </w:rPr>
        <w:t>Parram</w:t>
      </w:r>
      <w:proofErr w:type="spellEnd"/>
      <w:r w:rsidRPr="00B43DEF">
        <w:rPr>
          <w:rFonts w:cs="Arial"/>
          <w:color w:val="000000" w:themeColor="text1"/>
          <w:sz w:val="22"/>
          <w:szCs w:val="22"/>
        </w:rPr>
        <w:t xml:space="preserve"> (Reg. No. 0082507)</w:t>
      </w:r>
    </w:p>
    <w:p w14:paraId="4E491EE8"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 xml:space="preserve">Bricker &amp; </w:t>
      </w:r>
      <w:proofErr w:type="spellStart"/>
      <w:r w:rsidRPr="00B43DEF">
        <w:rPr>
          <w:rFonts w:cs="Arial"/>
          <w:color w:val="000000" w:themeColor="text1"/>
          <w:sz w:val="22"/>
          <w:szCs w:val="22"/>
        </w:rPr>
        <w:t>Eckler</w:t>
      </w:r>
      <w:proofErr w:type="spellEnd"/>
      <w:r w:rsidRPr="00B43DEF">
        <w:rPr>
          <w:rFonts w:cs="Arial"/>
          <w:color w:val="000000" w:themeColor="text1"/>
          <w:sz w:val="22"/>
          <w:szCs w:val="22"/>
        </w:rPr>
        <w:t xml:space="preserve"> LLP</w:t>
      </w:r>
    </w:p>
    <w:p w14:paraId="66339C65"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100 South Third Street</w:t>
      </w:r>
    </w:p>
    <w:p w14:paraId="6503C108"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Columbus, OH  43215-4291</w:t>
      </w:r>
    </w:p>
    <w:p w14:paraId="5C1130CA"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dborchers@bricker.com</w:t>
      </w:r>
    </w:p>
    <w:p w14:paraId="1A8989E8"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dparram@bricker.com</w:t>
      </w:r>
    </w:p>
    <w:p w14:paraId="297C3890" w14:textId="77777777" w:rsidR="00F200AD" w:rsidRPr="00B43DEF" w:rsidRDefault="00F200AD" w:rsidP="00F200AD">
      <w:pPr>
        <w:rPr>
          <w:rFonts w:cs="Arial"/>
          <w:color w:val="000000" w:themeColor="text1"/>
          <w:sz w:val="22"/>
          <w:szCs w:val="22"/>
        </w:rPr>
      </w:pPr>
    </w:p>
    <w:p w14:paraId="1D92B765" w14:textId="77777777" w:rsidR="00F200AD" w:rsidRPr="00B43DEF" w:rsidRDefault="00F200AD" w:rsidP="00F200AD">
      <w:pPr>
        <w:rPr>
          <w:rFonts w:cs="Arial"/>
          <w:b/>
          <w:smallCaps/>
          <w:color w:val="000000" w:themeColor="text1"/>
          <w:sz w:val="22"/>
          <w:szCs w:val="22"/>
        </w:rPr>
      </w:pPr>
      <w:r w:rsidRPr="00B43DEF">
        <w:rPr>
          <w:rFonts w:cs="Arial"/>
          <w:b/>
          <w:smallCaps/>
          <w:color w:val="000000" w:themeColor="text1"/>
          <w:sz w:val="22"/>
          <w:szCs w:val="22"/>
        </w:rPr>
        <w:t>Counsel for the Ohio Hospital Association</w:t>
      </w:r>
    </w:p>
    <w:p w14:paraId="20925152" w14:textId="77777777" w:rsidR="00F200AD" w:rsidRPr="00B43DEF" w:rsidRDefault="00F200AD" w:rsidP="00F200AD">
      <w:pPr>
        <w:rPr>
          <w:rFonts w:cs="Arial"/>
          <w:color w:val="000000" w:themeColor="text1"/>
          <w:sz w:val="22"/>
          <w:szCs w:val="22"/>
        </w:rPr>
      </w:pPr>
    </w:p>
    <w:p w14:paraId="28467009" w14:textId="3D4BE3F4" w:rsidR="00F200AD" w:rsidRPr="00B43DEF" w:rsidRDefault="00C25E6C" w:rsidP="00F200AD">
      <w:pPr>
        <w:rPr>
          <w:rFonts w:cs="Arial"/>
          <w:color w:val="000000" w:themeColor="text1"/>
          <w:sz w:val="22"/>
          <w:szCs w:val="22"/>
        </w:rPr>
      </w:pPr>
      <w:r>
        <w:rPr>
          <w:rFonts w:cs="Arial"/>
          <w:color w:val="000000" w:themeColor="text1"/>
          <w:sz w:val="22"/>
          <w:szCs w:val="22"/>
        </w:rPr>
        <w:br w:type="column"/>
      </w:r>
      <w:r w:rsidR="00F200AD" w:rsidRPr="00B43DEF">
        <w:rPr>
          <w:rFonts w:cs="Arial"/>
          <w:color w:val="000000" w:themeColor="text1"/>
          <w:sz w:val="22"/>
          <w:szCs w:val="22"/>
        </w:rPr>
        <w:lastRenderedPageBreak/>
        <w:t>Mark A. Whitt (Reg. No. 0067996)</w:t>
      </w:r>
    </w:p>
    <w:p w14:paraId="3144DA6B"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Andrew J. Campbell (Reg. No. 0081485)</w:t>
      </w:r>
    </w:p>
    <w:p w14:paraId="397C09D9"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Rebekah J. Glover (Reg. No. 0088798)</w:t>
      </w:r>
    </w:p>
    <w:p w14:paraId="66928E8A"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Whitt Sturtevant LLP</w:t>
      </w:r>
    </w:p>
    <w:p w14:paraId="1F7333A1"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The KeyBank Building, Suite 1590</w:t>
      </w:r>
    </w:p>
    <w:p w14:paraId="219065C2"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88 East Broad Street</w:t>
      </w:r>
    </w:p>
    <w:p w14:paraId="3B9C74C8"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Columbus, OH  43215</w:t>
      </w:r>
    </w:p>
    <w:p w14:paraId="7C38E40F"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whitt@whitt-sturtevant.com</w:t>
      </w:r>
    </w:p>
    <w:p w14:paraId="2D9217A0"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campbell@whitt-sturtevant.com</w:t>
      </w:r>
    </w:p>
    <w:p w14:paraId="58A1187C"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glover@whitt-sturtevant.com</w:t>
      </w:r>
    </w:p>
    <w:p w14:paraId="37353233" w14:textId="77777777" w:rsidR="00F200AD" w:rsidRPr="00B43DEF" w:rsidRDefault="00F200AD" w:rsidP="00F200AD">
      <w:pPr>
        <w:rPr>
          <w:rFonts w:cs="Arial"/>
          <w:color w:val="000000" w:themeColor="text1"/>
          <w:sz w:val="22"/>
          <w:szCs w:val="22"/>
        </w:rPr>
      </w:pPr>
    </w:p>
    <w:p w14:paraId="0ED3B09D" w14:textId="77777777" w:rsidR="00F200AD" w:rsidRPr="00B43DEF" w:rsidRDefault="00F200AD" w:rsidP="00F200AD">
      <w:pPr>
        <w:rPr>
          <w:rFonts w:cs="Arial"/>
          <w:b/>
          <w:smallCaps/>
          <w:color w:val="000000" w:themeColor="text1"/>
          <w:sz w:val="22"/>
          <w:szCs w:val="22"/>
        </w:rPr>
      </w:pPr>
      <w:r w:rsidRPr="00B43DEF">
        <w:rPr>
          <w:rFonts w:cs="Arial"/>
          <w:b/>
          <w:smallCaps/>
          <w:color w:val="000000" w:themeColor="text1"/>
          <w:sz w:val="22"/>
          <w:szCs w:val="22"/>
        </w:rPr>
        <w:t>Counsel for Retail Energy Supply Association</w:t>
      </w:r>
    </w:p>
    <w:p w14:paraId="6A2B2198" w14:textId="77777777" w:rsidR="00F200AD" w:rsidRPr="00B43DEF" w:rsidRDefault="00F200AD" w:rsidP="00F200AD">
      <w:pPr>
        <w:rPr>
          <w:rFonts w:cs="Arial"/>
          <w:smallCaps/>
          <w:color w:val="000000" w:themeColor="text1"/>
          <w:sz w:val="22"/>
          <w:szCs w:val="22"/>
        </w:rPr>
      </w:pPr>
    </w:p>
    <w:p w14:paraId="13B4A4A8"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 xml:space="preserve">Joseph E. </w:t>
      </w:r>
      <w:proofErr w:type="spellStart"/>
      <w:r w:rsidRPr="00B43DEF">
        <w:rPr>
          <w:rFonts w:cs="Arial"/>
          <w:color w:val="000000" w:themeColor="text1"/>
          <w:sz w:val="22"/>
          <w:szCs w:val="22"/>
        </w:rPr>
        <w:t>Oliker</w:t>
      </w:r>
      <w:proofErr w:type="spellEnd"/>
      <w:r w:rsidRPr="00B43DEF">
        <w:rPr>
          <w:rFonts w:cs="Arial"/>
          <w:color w:val="000000" w:themeColor="text1"/>
          <w:sz w:val="22"/>
          <w:szCs w:val="22"/>
        </w:rPr>
        <w:t xml:space="preserve"> (Reg. No. 0086088)</w:t>
      </w:r>
    </w:p>
    <w:p w14:paraId="141D6BBE"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(Counsel of Record)</w:t>
      </w:r>
    </w:p>
    <w:p w14:paraId="47BB2008"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Senior Regulatory Counsel</w:t>
      </w:r>
    </w:p>
    <w:p w14:paraId="70C89BBC"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IGS Energy</w:t>
      </w:r>
    </w:p>
    <w:p w14:paraId="5B0B6A6A"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100 Emerald Parkway</w:t>
      </w:r>
    </w:p>
    <w:p w14:paraId="5FFE4CBB"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Dublin, OH  43016</w:t>
      </w:r>
    </w:p>
    <w:p w14:paraId="39D2952D" w14:textId="3F53E0D9" w:rsidR="00F200AD" w:rsidRPr="00B43DEF" w:rsidRDefault="00F200AD" w:rsidP="00F200AD">
      <w:pPr>
        <w:rPr>
          <w:rFonts w:cs="Arial"/>
          <w:color w:val="000000" w:themeColor="text1"/>
          <w:sz w:val="22"/>
          <w:szCs w:val="22"/>
        </w:rPr>
      </w:pPr>
      <w:r w:rsidRPr="00627E20">
        <w:rPr>
          <w:rFonts w:cs="Arial"/>
          <w:sz w:val="22"/>
          <w:szCs w:val="22"/>
        </w:rPr>
        <w:t>joliker@igsenergy.om</w:t>
      </w:r>
    </w:p>
    <w:p w14:paraId="5EB1A0C2" w14:textId="77777777" w:rsidR="00F200AD" w:rsidRPr="00B43DEF" w:rsidRDefault="00F200AD" w:rsidP="00F200AD">
      <w:pPr>
        <w:rPr>
          <w:rFonts w:cs="Arial"/>
          <w:color w:val="000000" w:themeColor="text1"/>
          <w:sz w:val="22"/>
          <w:szCs w:val="22"/>
        </w:rPr>
      </w:pPr>
    </w:p>
    <w:p w14:paraId="5F712245" w14:textId="77777777" w:rsidR="00F200AD" w:rsidRPr="00B43DEF" w:rsidRDefault="00F200AD" w:rsidP="00F200AD">
      <w:pPr>
        <w:rPr>
          <w:rFonts w:cs="Arial"/>
          <w:b/>
          <w:smallCaps/>
          <w:color w:val="000000" w:themeColor="text1"/>
          <w:sz w:val="22"/>
          <w:szCs w:val="22"/>
        </w:rPr>
      </w:pPr>
      <w:r w:rsidRPr="00B43DEF">
        <w:rPr>
          <w:rFonts w:cs="Arial"/>
          <w:b/>
          <w:smallCaps/>
          <w:color w:val="000000" w:themeColor="text1"/>
          <w:sz w:val="22"/>
          <w:szCs w:val="22"/>
        </w:rPr>
        <w:t xml:space="preserve">Counsel for IGS Energy </w:t>
      </w:r>
    </w:p>
    <w:p w14:paraId="123C8B35" w14:textId="77777777" w:rsidR="00F200AD" w:rsidRPr="00B43DEF" w:rsidRDefault="00F200AD" w:rsidP="00F200AD">
      <w:pPr>
        <w:rPr>
          <w:rFonts w:cs="Arial"/>
          <w:color w:val="000000" w:themeColor="text1"/>
          <w:sz w:val="22"/>
          <w:szCs w:val="22"/>
        </w:rPr>
      </w:pPr>
    </w:p>
    <w:p w14:paraId="37B53770" w14:textId="77777777" w:rsidR="00F200AD" w:rsidRPr="00627E20" w:rsidRDefault="00F200AD" w:rsidP="00F200AD">
      <w:pPr>
        <w:rPr>
          <w:rFonts w:cs="Arial"/>
          <w:color w:val="000000" w:themeColor="text1"/>
          <w:sz w:val="22"/>
          <w:szCs w:val="22"/>
        </w:rPr>
      </w:pPr>
      <w:r w:rsidRPr="00627E20">
        <w:rPr>
          <w:rFonts w:cs="Arial"/>
          <w:color w:val="000000" w:themeColor="text1"/>
          <w:sz w:val="22"/>
          <w:szCs w:val="22"/>
        </w:rPr>
        <w:t>Kurt Boehm (Reg. No. 0076047)</w:t>
      </w:r>
    </w:p>
    <w:p w14:paraId="3E1C8C98" w14:textId="77777777" w:rsidR="00F200AD" w:rsidRPr="00627E20" w:rsidRDefault="00F200AD" w:rsidP="00F200AD">
      <w:pPr>
        <w:rPr>
          <w:rFonts w:cs="Arial"/>
          <w:color w:val="000000" w:themeColor="text1"/>
          <w:sz w:val="22"/>
          <w:szCs w:val="22"/>
        </w:rPr>
      </w:pPr>
      <w:r w:rsidRPr="00627E20">
        <w:rPr>
          <w:rFonts w:cs="Arial"/>
          <w:color w:val="000000" w:themeColor="text1"/>
          <w:sz w:val="22"/>
          <w:szCs w:val="22"/>
        </w:rPr>
        <w:t>Boehm, Kurtz &amp; Lowry</w:t>
      </w:r>
    </w:p>
    <w:p w14:paraId="684A72F1" w14:textId="77777777" w:rsidR="00F200AD" w:rsidRPr="00627E20" w:rsidRDefault="00F200AD" w:rsidP="00F200AD">
      <w:pPr>
        <w:rPr>
          <w:rFonts w:cs="Arial"/>
          <w:color w:val="000000" w:themeColor="text1"/>
          <w:sz w:val="22"/>
          <w:szCs w:val="22"/>
        </w:rPr>
      </w:pPr>
      <w:r w:rsidRPr="00627E20">
        <w:rPr>
          <w:rFonts w:cs="Arial"/>
          <w:color w:val="000000" w:themeColor="text1"/>
          <w:sz w:val="22"/>
          <w:szCs w:val="22"/>
        </w:rPr>
        <w:t>36 East Seventh Street, Suite 1510</w:t>
      </w:r>
    </w:p>
    <w:p w14:paraId="0B286B95" w14:textId="77777777" w:rsidR="00F200AD" w:rsidRPr="00627E20" w:rsidRDefault="00F200AD" w:rsidP="00F200AD">
      <w:pPr>
        <w:rPr>
          <w:rFonts w:cs="Arial"/>
          <w:color w:val="000000" w:themeColor="text1"/>
          <w:sz w:val="22"/>
          <w:szCs w:val="22"/>
        </w:rPr>
      </w:pPr>
      <w:r w:rsidRPr="00627E20">
        <w:rPr>
          <w:rFonts w:cs="Arial"/>
          <w:color w:val="000000" w:themeColor="text1"/>
          <w:sz w:val="22"/>
          <w:szCs w:val="22"/>
        </w:rPr>
        <w:t>Cincinnati, OH  45202</w:t>
      </w:r>
    </w:p>
    <w:p w14:paraId="28B3F96A" w14:textId="77777777" w:rsidR="00F200AD" w:rsidRPr="00627E20" w:rsidRDefault="00F200AD" w:rsidP="00F200AD">
      <w:pPr>
        <w:rPr>
          <w:rFonts w:cs="Arial"/>
          <w:color w:val="000000" w:themeColor="text1"/>
          <w:sz w:val="22"/>
          <w:szCs w:val="22"/>
        </w:rPr>
      </w:pPr>
      <w:r w:rsidRPr="00627E20">
        <w:rPr>
          <w:rFonts w:cs="Arial"/>
          <w:color w:val="000000" w:themeColor="text1"/>
          <w:sz w:val="22"/>
          <w:szCs w:val="22"/>
        </w:rPr>
        <w:t>kboehm@BKLlawfirm.com</w:t>
      </w:r>
    </w:p>
    <w:p w14:paraId="1B741986" w14:textId="77777777" w:rsidR="00F200AD" w:rsidRPr="00627E20" w:rsidRDefault="00F200AD" w:rsidP="00F200AD">
      <w:pPr>
        <w:rPr>
          <w:rFonts w:cs="Arial"/>
          <w:color w:val="000000" w:themeColor="text1"/>
          <w:sz w:val="22"/>
          <w:szCs w:val="22"/>
        </w:rPr>
      </w:pPr>
    </w:p>
    <w:p w14:paraId="5003DE21" w14:textId="77777777" w:rsidR="00F200AD" w:rsidRPr="00627E20" w:rsidRDefault="00F200AD" w:rsidP="00F200AD">
      <w:pPr>
        <w:rPr>
          <w:rFonts w:cs="Arial"/>
          <w:b/>
          <w:smallCaps/>
          <w:color w:val="000000" w:themeColor="text1"/>
          <w:sz w:val="22"/>
          <w:szCs w:val="22"/>
        </w:rPr>
      </w:pPr>
      <w:r w:rsidRPr="00627E20">
        <w:rPr>
          <w:rFonts w:cs="Arial"/>
          <w:b/>
          <w:smallCaps/>
          <w:color w:val="000000" w:themeColor="text1"/>
          <w:sz w:val="22"/>
          <w:szCs w:val="22"/>
        </w:rPr>
        <w:t>Counsel for the City of Cincinnati</w:t>
      </w:r>
    </w:p>
    <w:p w14:paraId="3F6D7786" w14:textId="77777777" w:rsidR="00F200AD" w:rsidRPr="00627E20" w:rsidRDefault="00F200AD" w:rsidP="00F200AD">
      <w:pPr>
        <w:rPr>
          <w:rFonts w:cs="Arial"/>
          <w:smallCaps/>
          <w:color w:val="000000" w:themeColor="text1"/>
          <w:sz w:val="22"/>
          <w:szCs w:val="22"/>
        </w:rPr>
      </w:pPr>
    </w:p>
    <w:p w14:paraId="1F7C3412" w14:textId="77777777" w:rsidR="00880897" w:rsidRPr="00627E20" w:rsidRDefault="00880897" w:rsidP="00880897">
      <w:pPr>
        <w:rPr>
          <w:rFonts w:cs="Arial"/>
          <w:color w:val="000000" w:themeColor="text1"/>
          <w:sz w:val="22"/>
          <w:szCs w:val="22"/>
        </w:rPr>
      </w:pPr>
      <w:r w:rsidRPr="00627E20">
        <w:rPr>
          <w:rFonts w:cs="Arial"/>
          <w:color w:val="000000" w:themeColor="text1"/>
          <w:sz w:val="22"/>
          <w:szCs w:val="22"/>
        </w:rPr>
        <w:t xml:space="preserve">Richard C. </w:t>
      </w:r>
      <w:proofErr w:type="spellStart"/>
      <w:r w:rsidRPr="00627E20">
        <w:rPr>
          <w:rFonts w:cs="Arial"/>
          <w:color w:val="000000" w:themeColor="text1"/>
          <w:sz w:val="22"/>
          <w:szCs w:val="22"/>
        </w:rPr>
        <w:t>Sahli</w:t>
      </w:r>
      <w:proofErr w:type="spellEnd"/>
      <w:r w:rsidRPr="00627E20">
        <w:rPr>
          <w:rFonts w:cs="Arial"/>
          <w:color w:val="000000" w:themeColor="text1"/>
          <w:sz w:val="22"/>
          <w:szCs w:val="22"/>
        </w:rPr>
        <w:t xml:space="preserve"> (Reg. No. 0007360)</w:t>
      </w:r>
    </w:p>
    <w:p w14:paraId="7AE663DD" w14:textId="77777777" w:rsidR="00880897" w:rsidRPr="00627E20" w:rsidRDefault="00880897" w:rsidP="00880897">
      <w:pPr>
        <w:rPr>
          <w:rFonts w:cs="Arial"/>
          <w:color w:val="000000" w:themeColor="text1"/>
          <w:sz w:val="22"/>
          <w:szCs w:val="22"/>
        </w:rPr>
      </w:pPr>
      <w:r w:rsidRPr="00627E20">
        <w:rPr>
          <w:rFonts w:cs="Arial"/>
          <w:color w:val="000000" w:themeColor="text1"/>
          <w:sz w:val="22"/>
          <w:szCs w:val="22"/>
        </w:rPr>
        <w:t xml:space="preserve">Richard </w:t>
      </w:r>
      <w:proofErr w:type="spellStart"/>
      <w:r w:rsidRPr="00627E20">
        <w:rPr>
          <w:rFonts w:cs="Arial"/>
          <w:color w:val="000000" w:themeColor="text1"/>
          <w:sz w:val="22"/>
          <w:szCs w:val="22"/>
        </w:rPr>
        <w:t>Sahli</w:t>
      </w:r>
      <w:proofErr w:type="spellEnd"/>
      <w:r w:rsidRPr="00627E20">
        <w:rPr>
          <w:rFonts w:cs="Arial"/>
          <w:color w:val="000000" w:themeColor="text1"/>
          <w:sz w:val="22"/>
          <w:szCs w:val="22"/>
        </w:rPr>
        <w:t xml:space="preserve"> Law Office, LLC</w:t>
      </w:r>
    </w:p>
    <w:p w14:paraId="73920081" w14:textId="77777777" w:rsidR="00880897" w:rsidRPr="00627E20" w:rsidRDefault="00880897" w:rsidP="00880897">
      <w:pPr>
        <w:rPr>
          <w:rFonts w:cs="Arial"/>
          <w:color w:val="000000" w:themeColor="text1"/>
          <w:sz w:val="22"/>
          <w:szCs w:val="22"/>
        </w:rPr>
      </w:pPr>
      <w:r w:rsidRPr="00627E20">
        <w:rPr>
          <w:rFonts w:cs="Arial"/>
          <w:color w:val="000000" w:themeColor="text1"/>
          <w:sz w:val="22"/>
          <w:szCs w:val="22"/>
        </w:rPr>
        <w:t>981 Pinewood Lane</w:t>
      </w:r>
    </w:p>
    <w:p w14:paraId="432A525E" w14:textId="77777777" w:rsidR="00880897" w:rsidRPr="00627E20" w:rsidRDefault="00880897" w:rsidP="00880897">
      <w:pPr>
        <w:rPr>
          <w:rFonts w:cs="Arial"/>
          <w:color w:val="000000" w:themeColor="text1"/>
          <w:sz w:val="22"/>
          <w:szCs w:val="22"/>
        </w:rPr>
      </w:pPr>
      <w:r w:rsidRPr="00627E20">
        <w:rPr>
          <w:rFonts w:cs="Arial"/>
          <w:color w:val="000000" w:themeColor="text1"/>
          <w:sz w:val="22"/>
          <w:szCs w:val="22"/>
        </w:rPr>
        <w:t>Columbus, OH  43230-3662</w:t>
      </w:r>
    </w:p>
    <w:p w14:paraId="49A6C394" w14:textId="77777777" w:rsidR="00880897" w:rsidRPr="00627E20" w:rsidRDefault="00880897" w:rsidP="00880897">
      <w:pPr>
        <w:rPr>
          <w:rFonts w:cs="Arial"/>
          <w:color w:val="000000" w:themeColor="text1"/>
          <w:sz w:val="22"/>
          <w:szCs w:val="22"/>
        </w:rPr>
      </w:pPr>
      <w:r w:rsidRPr="00627E20">
        <w:rPr>
          <w:rFonts w:cs="Arial"/>
          <w:color w:val="000000" w:themeColor="text1"/>
          <w:sz w:val="22"/>
          <w:szCs w:val="22"/>
        </w:rPr>
        <w:t>rsahli@columbus.rr.com</w:t>
      </w:r>
    </w:p>
    <w:p w14:paraId="1DA9E008" w14:textId="77777777" w:rsidR="00880897" w:rsidRPr="00627E20" w:rsidRDefault="00880897" w:rsidP="00880897">
      <w:pPr>
        <w:rPr>
          <w:rFonts w:cs="Arial"/>
          <w:color w:val="000000" w:themeColor="text1"/>
          <w:sz w:val="22"/>
          <w:szCs w:val="22"/>
        </w:rPr>
      </w:pPr>
    </w:p>
    <w:p w14:paraId="19044F87" w14:textId="77777777" w:rsidR="00880897" w:rsidRPr="00627E20" w:rsidRDefault="00880897" w:rsidP="00880897">
      <w:pPr>
        <w:rPr>
          <w:rFonts w:ascii="Arial Bold" w:hAnsi="Arial Bold" w:cs="Arial"/>
          <w:b/>
          <w:smallCaps/>
          <w:color w:val="000000" w:themeColor="text1"/>
          <w:sz w:val="22"/>
          <w:szCs w:val="22"/>
        </w:rPr>
      </w:pPr>
      <w:r w:rsidRPr="00627E20">
        <w:rPr>
          <w:rFonts w:ascii="Arial Bold" w:hAnsi="Arial Bold" w:cs="Arial"/>
          <w:b/>
          <w:smallCaps/>
          <w:color w:val="000000" w:themeColor="text1"/>
          <w:sz w:val="22"/>
          <w:szCs w:val="22"/>
        </w:rPr>
        <w:t>Counsel for Sierra Club</w:t>
      </w:r>
    </w:p>
    <w:p w14:paraId="5E800549" w14:textId="77777777" w:rsidR="00880897" w:rsidRPr="00627E20" w:rsidRDefault="00880897" w:rsidP="00A55900">
      <w:pPr>
        <w:rPr>
          <w:rFonts w:cs="Arial"/>
          <w:color w:val="000000" w:themeColor="text1"/>
          <w:sz w:val="22"/>
          <w:szCs w:val="22"/>
        </w:rPr>
      </w:pPr>
    </w:p>
    <w:p w14:paraId="1030FC13" w14:textId="29C3FAFA" w:rsidR="00A55900" w:rsidRPr="00627E20" w:rsidRDefault="00A55900" w:rsidP="00A55900">
      <w:pPr>
        <w:rPr>
          <w:rFonts w:cs="Arial"/>
          <w:color w:val="000000" w:themeColor="text1"/>
          <w:sz w:val="22"/>
          <w:szCs w:val="22"/>
        </w:rPr>
      </w:pPr>
      <w:r w:rsidRPr="00627E20">
        <w:rPr>
          <w:rFonts w:cs="Arial"/>
          <w:color w:val="000000" w:themeColor="text1"/>
          <w:sz w:val="22"/>
          <w:szCs w:val="22"/>
        </w:rPr>
        <w:t>Steven Beeler (Reg. No. 0078076)</w:t>
      </w:r>
    </w:p>
    <w:p w14:paraId="4243165B" w14:textId="77777777" w:rsidR="00A55900" w:rsidRPr="00627E20" w:rsidRDefault="00A55900" w:rsidP="00A55900">
      <w:pPr>
        <w:rPr>
          <w:rFonts w:cs="Arial"/>
          <w:color w:val="000000" w:themeColor="text1"/>
          <w:sz w:val="22"/>
          <w:szCs w:val="22"/>
        </w:rPr>
      </w:pPr>
      <w:r w:rsidRPr="00627E20">
        <w:rPr>
          <w:rFonts w:cs="Arial"/>
          <w:color w:val="000000" w:themeColor="text1"/>
          <w:sz w:val="22"/>
          <w:szCs w:val="22"/>
        </w:rPr>
        <w:t>Assistant Attorney General</w:t>
      </w:r>
    </w:p>
    <w:p w14:paraId="22BD7667" w14:textId="77777777" w:rsidR="00A55900" w:rsidRPr="00627E20" w:rsidRDefault="00A55900" w:rsidP="00A55900">
      <w:pPr>
        <w:rPr>
          <w:rFonts w:cs="Arial"/>
          <w:color w:val="000000" w:themeColor="text1"/>
          <w:sz w:val="22"/>
          <w:szCs w:val="22"/>
        </w:rPr>
      </w:pPr>
      <w:r w:rsidRPr="00627E20">
        <w:rPr>
          <w:rFonts w:cs="Arial"/>
          <w:color w:val="000000" w:themeColor="text1"/>
          <w:sz w:val="22"/>
          <w:szCs w:val="22"/>
        </w:rPr>
        <w:t>Public Utilities Section</w:t>
      </w:r>
    </w:p>
    <w:p w14:paraId="597422FC" w14:textId="77777777" w:rsidR="00A55900" w:rsidRPr="00627E20" w:rsidRDefault="00A55900" w:rsidP="00A55900">
      <w:pPr>
        <w:rPr>
          <w:rFonts w:cs="Arial"/>
          <w:color w:val="000000" w:themeColor="text1"/>
          <w:sz w:val="22"/>
          <w:szCs w:val="22"/>
        </w:rPr>
      </w:pPr>
      <w:r w:rsidRPr="00627E20">
        <w:rPr>
          <w:rFonts w:cs="Arial"/>
          <w:color w:val="000000" w:themeColor="text1"/>
          <w:sz w:val="22"/>
          <w:szCs w:val="22"/>
        </w:rPr>
        <w:t>Office of the Ohio Attorney General</w:t>
      </w:r>
    </w:p>
    <w:p w14:paraId="576F0805" w14:textId="77777777" w:rsidR="00A55900" w:rsidRPr="00627E20" w:rsidRDefault="00A55900" w:rsidP="00A55900">
      <w:pPr>
        <w:rPr>
          <w:rFonts w:cs="Arial"/>
          <w:color w:val="000000" w:themeColor="text1"/>
          <w:sz w:val="22"/>
          <w:szCs w:val="22"/>
        </w:rPr>
      </w:pPr>
      <w:r w:rsidRPr="00627E20">
        <w:rPr>
          <w:rFonts w:cs="Arial"/>
          <w:color w:val="000000" w:themeColor="text1"/>
          <w:sz w:val="22"/>
          <w:szCs w:val="22"/>
        </w:rPr>
        <w:t>30 East Broad Street, 16</w:t>
      </w:r>
      <w:r w:rsidRPr="00627E20">
        <w:rPr>
          <w:rFonts w:cs="Arial"/>
          <w:color w:val="000000" w:themeColor="text1"/>
          <w:sz w:val="22"/>
          <w:szCs w:val="22"/>
          <w:vertAlign w:val="superscript"/>
        </w:rPr>
        <w:t>th</w:t>
      </w:r>
      <w:r w:rsidRPr="00627E20">
        <w:rPr>
          <w:rFonts w:cs="Arial"/>
          <w:color w:val="000000" w:themeColor="text1"/>
          <w:sz w:val="22"/>
          <w:szCs w:val="22"/>
        </w:rPr>
        <w:t xml:space="preserve"> Floor</w:t>
      </w:r>
    </w:p>
    <w:p w14:paraId="599385ED" w14:textId="77777777" w:rsidR="00A55900" w:rsidRPr="00627E20" w:rsidRDefault="00A55900" w:rsidP="00A55900">
      <w:pPr>
        <w:rPr>
          <w:rFonts w:cs="Arial"/>
          <w:color w:val="000000" w:themeColor="text1"/>
          <w:sz w:val="22"/>
          <w:szCs w:val="22"/>
        </w:rPr>
      </w:pPr>
      <w:r w:rsidRPr="00627E20">
        <w:rPr>
          <w:rFonts w:cs="Arial"/>
          <w:color w:val="000000" w:themeColor="text1"/>
          <w:sz w:val="22"/>
          <w:szCs w:val="22"/>
        </w:rPr>
        <w:t>Columbus, OH  43215</w:t>
      </w:r>
    </w:p>
    <w:p w14:paraId="0B85B456" w14:textId="77777777" w:rsidR="00A55900" w:rsidRPr="00B43DEF" w:rsidRDefault="00A55900" w:rsidP="00A55900">
      <w:pPr>
        <w:rPr>
          <w:rFonts w:cs="Arial"/>
          <w:color w:val="000000" w:themeColor="text1"/>
          <w:sz w:val="22"/>
          <w:szCs w:val="22"/>
        </w:rPr>
      </w:pPr>
      <w:r w:rsidRPr="00627E20">
        <w:rPr>
          <w:rFonts w:cs="Arial"/>
          <w:color w:val="000000" w:themeColor="text1"/>
          <w:sz w:val="22"/>
          <w:szCs w:val="22"/>
        </w:rPr>
        <w:t>Steven.beeler@ohioattorneygeneral</w:t>
      </w:r>
      <w:r w:rsidRPr="00B43DEF">
        <w:rPr>
          <w:rFonts w:cs="Arial"/>
          <w:color w:val="000000" w:themeColor="text1"/>
          <w:sz w:val="22"/>
          <w:szCs w:val="22"/>
        </w:rPr>
        <w:t>.gov</w:t>
      </w:r>
    </w:p>
    <w:p w14:paraId="2363F58D" w14:textId="77777777" w:rsidR="00A55900" w:rsidRPr="00B43DEF" w:rsidRDefault="00A55900" w:rsidP="00A55900">
      <w:pPr>
        <w:rPr>
          <w:rFonts w:cs="Arial"/>
          <w:color w:val="000000" w:themeColor="text1"/>
          <w:sz w:val="22"/>
          <w:szCs w:val="22"/>
        </w:rPr>
      </w:pPr>
    </w:p>
    <w:p w14:paraId="4CCFDF70" w14:textId="77777777" w:rsidR="00A55900" w:rsidRPr="00B43DEF" w:rsidRDefault="00A55900" w:rsidP="00A55900">
      <w:pPr>
        <w:rPr>
          <w:rFonts w:cs="Arial"/>
          <w:b/>
          <w:smallCaps/>
          <w:color w:val="000000" w:themeColor="text1"/>
          <w:sz w:val="22"/>
          <w:szCs w:val="22"/>
        </w:rPr>
      </w:pPr>
      <w:r w:rsidRPr="00B43DEF">
        <w:rPr>
          <w:rFonts w:cs="Arial"/>
          <w:b/>
          <w:smallCaps/>
          <w:color w:val="000000" w:themeColor="text1"/>
          <w:sz w:val="22"/>
          <w:szCs w:val="22"/>
        </w:rPr>
        <w:t>Counsel for the Staff of the Public Utilities Commission of Ohio</w:t>
      </w:r>
    </w:p>
    <w:p w14:paraId="658F19DB" w14:textId="65C55047" w:rsidR="00F200AD" w:rsidRPr="00B43DEF" w:rsidRDefault="005940AA" w:rsidP="00F200AD">
      <w:pPr>
        <w:rPr>
          <w:rFonts w:cs="Arial"/>
          <w:color w:val="000000" w:themeColor="text1"/>
          <w:sz w:val="22"/>
          <w:szCs w:val="22"/>
        </w:rPr>
      </w:pPr>
      <w:r>
        <w:rPr>
          <w:rFonts w:cs="Arial"/>
          <w:color w:val="000000" w:themeColor="text1"/>
          <w:sz w:val="22"/>
          <w:szCs w:val="22"/>
        </w:rPr>
        <w:br w:type="column"/>
      </w:r>
      <w:r w:rsidR="00F200AD" w:rsidRPr="00B43DEF">
        <w:rPr>
          <w:rFonts w:cs="Arial"/>
          <w:color w:val="000000" w:themeColor="text1"/>
          <w:sz w:val="22"/>
          <w:szCs w:val="22"/>
        </w:rPr>
        <w:lastRenderedPageBreak/>
        <w:t xml:space="preserve">Nicholas </w:t>
      </w:r>
      <w:proofErr w:type="spellStart"/>
      <w:r w:rsidR="00F200AD" w:rsidRPr="00B43DEF">
        <w:rPr>
          <w:rFonts w:cs="Arial"/>
          <w:color w:val="000000" w:themeColor="text1"/>
          <w:sz w:val="22"/>
          <w:szCs w:val="22"/>
        </w:rPr>
        <w:t>Walstra</w:t>
      </w:r>
      <w:proofErr w:type="spellEnd"/>
    </w:p>
    <w:p w14:paraId="3DDFE005"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Legal Department</w:t>
      </w:r>
    </w:p>
    <w:p w14:paraId="50A1E426"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Public Utilities Commission of Ohio</w:t>
      </w:r>
    </w:p>
    <w:p w14:paraId="6DBA78D1"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180 East Broad Street, 12</w:t>
      </w:r>
      <w:r w:rsidRPr="00B43DEF">
        <w:rPr>
          <w:rFonts w:cs="Arial"/>
          <w:color w:val="000000" w:themeColor="text1"/>
          <w:sz w:val="22"/>
          <w:szCs w:val="22"/>
          <w:vertAlign w:val="superscript"/>
        </w:rPr>
        <w:t>th</w:t>
      </w:r>
      <w:r w:rsidRPr="00B43DEF">
        <w:rPr>
          <w:rFonts w:cs="Arial"/>
          <w:color w:val="000000" w:themeColor="text1"/>
          <w:sz w:val="22"/>
          <w:szCs w:val="22"/>
        </w:rPr>
        <w:t xml:space="preserve"> Floor</w:t>
      </w:r>
    </w:p>
    <w:p w14:paraId="25B9E329" w14:textId="77777777" w:rsidR="00F200AD" w:rsidRPr="00B43DEF" w:rsidRDefault="00F200AD" w:rsidP="00F200AD">
      <w:pPr>
        <w:rPr>
          <w:rFonts w:cs="Arial"/>
          <w:color w:val="000000" w:themeColor="text1"/>
          <w:sz w:val="22"/>
          <w:szCs w:val="22"/>
        </w:rPr>
      </w:pPr>
      <w:r w:rsidRPr="00B43DEF">
        <w:rPr>
          <w:rFonts w:cs="Arial"/>
          <w:color w:val="000000" w:themeColor="text1"/>
          <w:sz w:val="22"/>
          <w:szCs w:val="22"/>
        </w:rPr>
        <w:t>Columbus, OH  43215</w:t>
      </w:r>
    </w:p>
    <w:p w14:paraId="674C71D6" w14:textId="7D6E8B88" w:rsidR="00F200AD" w:rsidRPr="00B43DEF" w:rsidRDefault="00F200AD" w:rsidP="00F200AD">
      <w:pPr>
        <w:rPr>
          <w:rFonts w:cs="Arial"/>
          <w:color w:val="000000" w:themeColor="text1"/>
          <w:sz w:val="22"/>
          <w:szCs w:val="22"/>
        </w:rPr>
      </w:pPr>
      <w:r w:rsidRPr="00627E20">
        <w:rPr>
          <w:rFonts w:cs="Arial"/>
          <w:sz w:val="22"/>
          <w:szCs w:val="22"/>
        </w:rPr>
        <w:t>Nicholas.Walstra@puc.state.oh.us</w:t>
      </w:r>
    </w:p>
    <w:p w14:paraId="7AB805B1" w14:textId="77777777" w:rsidR="00F200AD" w:rsidRPr="00B43DEF" w:rsidRDefault="00F200AD" w:rsidP="00F200AD">
      <w:pPr>
        <w:rPr>
          <w:rFonts w:cs="Arial"/>
          <w:color w:val="000000" w:themeColor="text1"/>
          <w:sz w:val="22"/>
          <w:szCs w:val="22"/>
        </w:rPr>
      </w:pPr>
    </w:p>
    <w:p w14:paraId="6D313755" w14:textId="1385DC10" w:rsidR="00AD299E" w:rsidRPr="00C25E6C" w:rsidRDefault="00F200AD" w:rsidP="00AD299E">
      <w:pPr>
        <w:rPr>
          <w:rFonts w:cs="Arial"/>
          <w:b/>
          <w:smallCaps/>
          <w:color w:val="000000" w:themeColor="text1"/>
          <w:sz w:val="22"/>
          <w:szCs w:val="22"/>
        </w:rPr>
      </w:pPr>
      <w:r w:rsidRPr="00B43DEF">
        <w:rPr>
          <w:rFonts w:cs="Arial"/>
          <w:b/>
          <w:smallCaps/>
          <w:color w:val="000000" w:themeColor="text1"/>
          <w:sz w:val="22"/>
          <w:szCs w:val="22"/>
        </w:rPr>
        <w:t>Attorney Examiner</w:t>
      </w:r>
    </w:p>
    <w:sectPr w:rsidR="00AD299E" w:rsidRPr="00C25E6C" w:rsidSect="00B43DEF">
      <w:headerReference w:type="default" r:id="rId38"/>
      <w:footerReference w:type="default" r:id="rId39"/>
      <w:headerReference w:type="first" r:id="rId40"/>
      <w:footerReference w:type="first" r:id="rId41"/>
      <w:pgSz w:w="12240" w:h="15840" w:code="1"/>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4F187" w14:textId="77777777" w:rsidR="009A3BE1" w:rsidRDefault="009A3BE1" w:rsidP="009E081B">
      <w:r>
        <w:separator/>
      </w:r>
    </w:p>
  </w:endnote>
  <w:endnote w:type="continuationSeparator" w:id="0">
    <w:p w14:paraId="0F0FAB1D" w14:textId="77777777" w:rsidR="009A3BE1" w:rsidRDefault="009A3BE1" w:rsidP="009E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92AA" w14:textId="77777777" w:rsidR="009A3BE1" w:rsidRDefault="009A3BE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750A4" w14:textId="4C40F9AB"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9A3BE1" w:rsidRPr="00627E20">
      <w:rPr>
        <w:noProof/>
        <w:sz w:val="22"/>
      </w:rPr>
      <w:tab/>
    </w:r>
    <w:r w:rsidR="009A3BE1" w:rsidRPr="00627E20">
      <w:rPr>
        <w:noProof/>
        <w:sz w:val="22"/>
      </w:rPr>
      <w:fldChar w:fldCharType="begin"/>
    </w:r>
    <w:r w:rsidR="009A3BE1" w:rsidRPr="00627E20">
      <w:rPr>
        <w:noProof/>
        <w:sz w:val="22"/>
      </w:rPr>
      <w:instrText xml:space="preserve"> PAGE   \* MERGEFORMAT </w:instrText>
    </w:r>
    <w:r w:rsidR="009A3BE1" w:rsidRPr="00627E20">
      <w:rPr>
        <w:noProof/>
        <w:sz w:val="22"/>
      </w:rPr>
      <w:fldChar w:fldCharType="separate"/>
    </w:r>
    <w:r w:rsidR="00B114A3">
      <w:rPr>
        <w:noProof/>
        <w:sz w:val="22"/>
      </w:rPr>
      <w:t>14</w:t>
    </w:r>
    <w:r w:rsidR="009A3BE1" w:rsidRPr="00627E20">
      <w:rPr>
        <w:noProof/>
        <w:sz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3226" w14:textId="16759CCB"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627E20">
      <w:rPr>
        <w:noProof/>
        <w:sz w:val="16"/>
      </w:rPr>
      <w:tab/>
    </w:r>
    <w:r w:rsidR="00880897" w:rsidRPr="00627E20">
      <w:rPr>
        <w:noProof/>
        <w:sz w:val="16"/>
      </w:rPr>
      <w:t>C0102590:2</w:t>
    </w:r>
    <w:r w:rsidR="009A3BE1" w:rsidRPr="00627E20">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8ECB0" w14:textId="6C35F204"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627E20">
      <w:rPr>
        <w:noProof/>
        <w:sz w:val="16"/>
      </w:rPr>
      <w:tab/>
    </w:r>
    <w:r w:rsidR="00880897" w:rsidRPr="00627E20">
      <w:rPr>
        <w:noProof/>
        <w:sz w:val="16"/>
      </w:rPr>
      <w:t>C0102590:2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5E96" w14:textId="0733DB76"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627E20">
      <w:rPr>
        <w:noProof/>
        <w:sz w:val="16"/>
      </w:rPr>
      <w:tab/>
    </w:r>
    <w:r w:rsidR="009A3BE1" w:rsidRPr="00627E20">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927B" w14:textId="6E24BB19"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627E20">
      <w:rPr>
        <w:noProof/>
        <w:sz w:val="16"/>
      </w:rPr>
      <w:tab/>
    </w:r>
    <w:r w:rsidR="00880897" w:rsidRPr="00627E20">
      <w:rPr>
        <w:noProof/>
        <w:sz w:val="16"/>
      </w:rPr>
      <w:t>C0102590:2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967D" w14:textId="4F644C09"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627E20">
      <w:rPr>
        <w:noProof/>
        <w:sz w:val="16"/>
      </w:rPr>
      <w:tab/>
    </w:r>
    <w:r w:rsidR="00880897" w:rsidRPr="00627E20">
      <w:rPr>
        <w:noProof/>
        <w:sz w:val="16"/>
      </w:rPr>
      <w:t>C0102590:2</w:t>
    </w:r>
    <w:r w:rsidR="009A3BE1" w:rsidRPr="00627E20">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3DDF" w14:textId="42B2A0CE"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bookmarkStart w:id="20" w:name="_GoBack"/>
    <w:bookmarkEnd w:id="20"/>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A9D37" w14:textId="586CD9B0"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627E20">
      <w:rPr>
        <w:noProof/>
        <w:sz w:val="16"/>
      </w:rPr>
      <w:tab/>
    </w:r>
    <w:r w:rsidR="009A3BE1" w:rsidRPr="00627E2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B922D" w14:textId="27CE49E4"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627E20">
      <w:rPr>
        <w:noProof/>
        <w:sz w:val="16"/>
      </w:rPr>
      <w:tab/>
    </w:r>
    <w:r w:rsidR="00880897" w:rsidRPr="00627E20">
      <w:rPr>
        <w:noProof/>
        <w:sz w:val="16"/>
      </w:rPr>
      <w:t>C0102590:2</w:t>
    </w:r>
    <w:r w:rsidR="009A3BE1" w:rsidRPr="00627E20">
      <w:rPr>
        <w:noProof/>
        <w:sz w:val="22"/>
      </w:rPr>
      <w:tab/>
    </w:r>
    <w:r w:rsidR="009A3BE1" w:rsidRPr="00627E20">
      <w:rPr>
        <w:noProof/>
        <w:sz w:val="22"/>
      </w:rPr>
      <w:fldChar w:fldCharType="begin"/>
    </w:r>
    <w:r w:rsidR="009A3BE1" w:rsidRPr="00627E20">
      <w:rPr>
        <w:noProof/>
        <w:sz w:val="22"/>
      </w:rPr>
      <w:instrText xml:space="preserve"> PAGE   \* MERGEFORMAT </w:instrText>
    </w:r>
    <w:r w:rsidR="009A3BE1" w:rsidRPr="00627E20">
      <w:rPr>
        <w:noProof/>
        <w:sz w:val="22"/>
      </w:rPr>
      <w:fldChar w:fldCharType="separate"/>
    </w:r>
    <w:r w:rsidR="00627E20" w:rsidRPr="00627E20">
      <w:rPr>
        <w:noProof/>
        <w:sz w:val="22"/>
      </w:rPr>
      <w:t>i</w:t>
    </w:r>
    <w:r w:rsidR="009A3BE1" w:rsidRPr="00627E20">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866A" w14:textId="6B16AF8F"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9A3BE1" w:rsidRPr="00627E20">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EB7B" w14:textId="7997EEFC"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77D6" w14:textId="79BABB7C"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627E20">
      <w:rPr>
        <w:noProof/>
        <w:sz w:val="16"/>
      </w:rPr>
      <w:tab/>
    </w:r>
    <w:r w:rsidR="00880897" w:rsidRPr="00627E20">
      <w:rPr>
        <w:noProof/>
        <w:sz w:val="16"/>
      </w:rPr>
      <w:t>C0102590:2</w:t>
    </w:r>
    <w:r w:rsidR="009A3BE1" w:rsidRPr="00627E20">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F1CB" w14:textId="0CB3C0C8"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627E20">
      <w:rPr>
        <w:noProof/>
        <w:sz w:val="16"/>
      </w:rPr>
      <w:tab/>
    </w:r>
    <w:r w:rsidR="00880897" w:rsidRPr="00627E20">
      <w:rPr>
        <w:noProof/>
        <w:sz w:val="16"/>
      </w:rPr>
      <w:t>C0102590:2</w:t>
    </w:r>
    <w:r w:rsidR="009A3BE1" w:rsidRPr="00627E20">
      <w:rPr>
        <w:noProof/>
        <w:sz w:val="22"/>
      </w:rPr>
      <w:tab/>
    </w:r>
    <w:r w:rsidR="009A3BE1" w:rsidRPr="00627E20">
      <w:rPr>
        <w:noProof/>
        <w:sz w:val="22"/>
      </w:rPr>
      <w:fldChar w:fldCharType="begin"/>
    </w:r>
    <w:r w:rsidR="009A3BE1" w:rsidRPr="00627E20">
      <w:rPr>
        <w:noProof/>
        <w:sz w:val="22"/>
      </w:rPr>
      <w:instrText xml:space="preserve"> PAGE   \* MERGEFORMAT </w:instrText>
    </w:r>
    <w:r w:rsidR="009A3BE1" w:rsidRPr="00627E20">
      <w:rPr>
        <w:noProof/>
        <w:sz w:val="22"/>
      </w:rPr>
      <w:fldChar w:fldCharType="separate"/>
    </w:r>
    <w:r w:rsidR="00627E20" w:rsidRPr="00627E20">
      <w:rPr>
        <w:noProof/>
        <w:sz w:val="22"/>
      </w:rPr>
      <w:t>i</w:t>
    </w:r>
    <w:r w:rsidR="009A3BE1" w:rsidRPr="00627E20">
      <w:rPr>
        <w:noProof/>
        <w:sz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12EE1" w14:textId="080E8228"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9A3BE1" w:rsidRPr="00627E20">
      <w:rPr>
        <w:noProof/>
        <w:sz w:val="22"/>
      </w:rPr>
      <w:tab/>
    </w:r>
    <w:r w:rsidR="009A3BE1" w:rsidRPr="00627E20">
      <w:rPr>
        <w:noProof/>
        <w:sz w:val="22"/>
      </w:rPr>
      <w:fldChar w:fldCharType="begin"/>
    </w:r>
    <w:r w:rsidR="009A3BE1" w:rsidRPr="00627E20">
      <w:rPr>
        <w:noProof/>
        <w:sz w:val="22"/>
      </w:rPr>
      <w:instrText xml:space="preserve"> PAGE   \* MERGEFORMAT </w:instrText>
    </w:r>
    <w:r w:rsidR="009A3BE1" w:rsidRPr="00627E20">
      <w:rPr>
        <w:noProof/>
        <w:sz w:val="22"/>
      </w:rPr>
      <w:fldChar w:fldCharType="separate"/>
    </w:r>
    <w:r w:rsidR="00B114A3">
      <w:rPr>
        <w:noProof/>
        <w:sz w:val="22"/>
      </w:rPr>
      <w:t>i</w:t>
    </w:r>
    <w:r w:rsidR="009A3BE1" w:rsidRPr="00627E20">
      <w:rPr>
        <w:noProof/>
        <w:sz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1FEC5" w14:textId="364F29E9"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r w:rsidR="009A3BE1" w:rsidRPr="00627E20">
      <w:rPr>
        <w:noProof/>
        <w:sz w:val="22"/>
      </w:rPr>
      <w:tab/>
    </w:r>
    <w:r w:rsidR="009A3BE1" w:rsidRPr="00627E20">
      <w:rPr>
        <w:noProof/>
        <w:sz w:val="22"/>
      </w:rPr>
      <w:fldChar w:fldCharType="begin"/>
    </w:r>
    <w:r w:rsidR="009A3BE1" w:rsidRPr="00627E20">
      <w:rPr>
        <w:noProof/>
        <w:sz w:val="22"/>
      </w:rPr>
      <w:instrText xml:space="preserve"> PAGE   \* MERGEFORMAT </w:instrText>
    </w:r>
    <w:r w:rsidR="009A3BE1" w:rsidRPr="00627E20">
      <w:rPr>
        <w:noProof/>
        <w:sz w:val="22"/>
      </w:rPr>
      <w:fldChar w:fldCharType="separate"/>
    </w:r>
    <w:r w:rsidR="00B114A3">
      <w:rPr>
        <w:noProof/>
        <w:sz w:val="22"/>
      </w:rPr>
      <w:t>13</w:t>
    </w:r>
    <w:r w:rsidR="009A3BE1" w:rsidRPr="00627E20">
      <w:rPr>
        <w:noProof/>
        <w:sz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ADECC" w14:textId="382D4F31" w:rsidR="009A3BE1" w:rsidRPr="00627E20" w:rsidRDefault="008A1DEF" w:rsidP="00627E20">
    <w:pPr>
      <w:pStyle w:val="Footer"/>
      <w:jc w:val="left"/>
    </w:pPr>
    <w:r w:rsidRPr="008A1DEF">
      <w:rPr>
        <w:noProof/>
        <w:vanish/>
        <w:sz w:val="16"/>
      </w:rPr>
      <w:t>{</w:t>
    </w:r>
    <w:r w:rsidRPr="008A1DEF">
      <w:rPr>
        <w:noProof/>
        <w:sz w:val="16"/>
      </w:rPr>
      <w:t>C0102590:2</w:t>
    </w:r>
    <w:r w:rsidRPr="008A1DEF">
      <w:rPr>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9D1FB" w14:textId="77777777" w:rsidR="009A3BE1" w:rsidRDefault="009A3BE1" w:rsidP="009E081B">
      <w:pPr>
        <w:rPr>
          <w:noProof/>
        </w:rPr>
      </w:pPr>
      <w:r>
        <w:rPr>
          <w:noProof/>
        </w:rPr>
        <w:separator/>
      </w:r>
    </w:p>
  </w:footnote>
  <w:footnote w:type="continuationSeparator" w:id="0">
    <w:p w14:paraId="04F5D4E9" w14:textId="77777777" w:rsidR="009A3BE1" w:rsidRDefault="009A3BE1" w:rsidP="009E081B">
      <w:r>
        <w:continuationSeparator/>
      </w:r>
    </w:p>
  </w:footnote>
  <w:footnote w:id="1">
    <w:p w14:paraId="2F926E91" w14:textId="7AB6D929" w:rsidR="009A3BE1" w:rsidRDefault="009A3BE1" w:rsidP="00C25F2B">
      <w:pPr>
        <w:pStyle w:val="FootnoteText"/>
        <w:spacing w:after="120"/>
      </w:pPr>
      <w:r>
        <w:rPr>
          <w:rStyle w:val="FootnoteReference"/>
        </w:rPr>
        <w:footnoteRef/>
      </w:r>
      <w:r>
        <w:t xml:space="preserve"> The Joint Movants </w:t>
      </w:r>
      <w:r w:rsidRPr="009B206E">
        <w:t>are Industrial Energy Users-Ohio</w:t>
      </w:r>
      <w:r>
        <w:t xml:space="preserve"> (“IEU-Ohio”)</w:t>
      </w:r>
      <w:r w:rsidRPr="009B206E">
        <w:t>, the Office of the Ohio Consumers’ Counsel</w:t>
      </w:r>
      <w:r>
        <w:t xml:space="preserve"> (“OCC”)</w:t>
      </w:r>
      <w:r w:rsidRPr="009B206E">
        <w:t>, Ohio Partners for Affordable Energy</w:t>
      </w:r>
      <w:r>
        <w:t xml:space="preserve"> (“OPAE”)</w:t>
      </w:r>
      <w:r w:rsidRPr="009B206E">
        <w:t>, The Kroger Co.</w:t>
      </w:r>
      <w:r>
        <w:t xml:space="preserve"> (“Kroger”)</w:t>
      </w:r>
      <w:r w:rsidRPr="009B206E">
        <w:t>, and Ohio Manufacturers’ Association Energy Group</w:t>
      </w:r>
      <w:r>
        <w:t xml:space="preserve"> (“OMAEG”)</w:t>
      </w:r>
      <w:r w:rsidRPr="009B206E">
        <w:t>.</w:t>
      </w:r>
    </w:p>
  </w:footnote>
  <w:footnote w:id="2">
    <w:p w14:paraId="37947CF0" w14:textId="54941215" w:rsidR="009A3BE1" w:rsidRDefault="009A3BE1" w:rsidP="00041CE8">
      <w:pPr>
        <w:pStyle w:val="FootnoteText"/>
        <w:spacing w:after="120"/>
      </w:pPr>
      <w:r>
        <w:rPr>
          <w:rStyle w:val="FootnoteReference"/>
        </w:rPr>
        <w:footnoteRef/>
      </w:r>
      <w:r>
        <w:t xml:space="preserve"> Application at 2.</w:t>
      </w:r>
    </w:p>
  </w:footnote>
  <w:footnote w:id="3">
    <w:p w14:paraId="1FA879F5" w14:textId="53B5E557" w:rsidR="009A3BE1" w:rsidRPr="00C25F2B" w:rsidRDefault="009A3BE1" w:rsidP="00041CE8">
      <w:pPr>
        <w:pStyle w:val="FootnoteText"/>
        <w:spacing w:after="120"/>
        <w:jc w:val="both"/>
        <w:rPr>
          <w:i/>
        </w:rPr>
      </w:pPr>
      <w:r>
        <w:rPr>
          <w:rStyle w:val="FootnoteReference"/>
        </w:rPr>
        <w:footnoteRef/>
      </w:r>
      <w:r>
        <w:t xml:space="preserve"> Motions of Industrial Energy Users-Ohio, the Office of the Ohio Consumers’ Counsel, Ohio Partners for Affordable Energy, The Kroger Co., and Ohio Manufacturers’ Association Energy Group for an Order Dismissing the Application or in the Alternative Staying the Proceeding and Memorandum in Support, </w:t>
      </w:r>
      <w:r>
        <w:rPr>
          <w:i/>
        </w:rPr>
        <w:t>in passim</w:t>
      </w:r>
      <w:r w:rsidRPr="00041CE8">
        <w:t xml:space="preserve"> (May 9, 2017) (“Joint </w:t>
      </w:r>
      <w:r w:rsidRPr="00CE575F">
        <w:t>Motion to Dismiss”)</w:t>
      </w:r>
      <w:r w:rsidRPr="00041CE8">
        <w:t>.</w:t>
      </w:r>
    </w:p>
  </w:footnote>
  <w:footnote w:id="4">
    <w:p w14:paraId="1D5B7835" w14:textId="650652A0" w:rsidR="009A3BE1" w:rsidRDefault="009A3BE1" w:rsidP="003C5F93">
      <w:pPr>
        <w:pStyle w:val="FootnoteText"/>
        <w:spacing w:after="120"/>
        <w:jc w:val="both"/>
      </w:pPr>
      <w:r>
        <w:rPr>
          <w:rStyle w:val="FootnoteReference"/>
        </w:rPr>
        <w:footnoteRef/>
      </w:r>
      <w:r>
        <w:t xml:space="preserve"> Joint Motion to Dismiss at 14.</w:t>
      </w:r>
    </w:p>
  </w:footnote>
  <w:footnote w:id="5">
    <w:p w14:paraId="591F58AD" w14:textId="77777777" w:rsidR="009A3BE1" w:rsidRPr="00442120" w:rsidRDefault="009A3BE1" w:rsidP="00C25F2B">
      <w:pPr>
        <w:pStyle w:val="FootnoteText"/>
        <w:spacing w:after="120"/>
        <w:jc w:val="both"/>
      </w:pPr>
      <w:r>
        <w:rPr>
          <w:rStyle w:val="FootnoteReference"/>
        </w:rPr>
        <w:footnoteRef/>
      </w:r>
      <w:r>
        <w:t xml:space="preserve"> </w:t>
      </w:r>
      <w:r>
        <w:rPr>
          <w:i/>
        </w:rPr>
        <w:t>Id.</w:t>
      </w:r>
      <w:r>
        <w:t xml:space="preserve"> at 25.</w:t>
      </w:r>
    </w:p>
  </w:footnote>
  <w:footnote w:id="6">
    <w:p w14:paraId="2299D35E" w14:textId="021C1FD6" w:rsidR="009A3BE1" w:rsidRPr="00243A72" w:rsidRDefault="009A3BE1" w:rsidP="00C25F2B">
      <w:pPr>
        <w:pStyle w:val="FootnoteText"/>
        <w:spacing w:after="120"/>
        <w:jc w:val="both"/>
      </w:pPr>
      <w:r>
        <w:rPr>
          <w:rStyle w:val="FootnoteReference"/>
        </w:rPr>
        <w:footnoteRef/>
      </w:r>
      <w:r>
        <w:t xml:space="preserve"> </w:t>
      </w:r>
      <w:r>
        <w:rPr>
          <w:i/>
        </w:rPr>
        <w:t>Id.</w:t>
      </w:r>
      <w:r>
        <w:t xml:space="preserve"> at 18-21.</w:t>
      </w:r>
    </w:p>
  </w:footnote>
  <w:footnote w:id="7">
    <w:p w14:paraId="024E93EB" w14:textId="77A586FA" w:rsidR="009A3BE1" w:rsidRPr="00243A72" w:rsidRDefault="009A3BE1" w:rsidP="00C25F2B">
      <w:pPr>
        <w:pStyle w:val="FootnoteText"/>
        <w:spacing w:after="120"/>
        <w:jc w:val="both"/>
      </w:pPr>
      <w:r>
        <w:rPr>
          <w:rStyle w:val="FootnoteReference"/>
        </w:rPr>
        <w:footnoteRef/>
      </w:r>
      <w:r>
        <w:t xml:space="preserve"> </w:t>
      </w:r>
      <w:r>
        <w:rPr>
          <w:i/>
        </w:rPr>
        <w:t>Id.</w:t>
      </w:r>
      <w:r>
        <w:t xml:space="preserve"> at 21-23.</w:t>
      </w:r>
    </w:p>
  </w:footnote>
  <w:footnote w:id="8">
    <w:p w14:paraId="1B8D5EE3" w14:textId="5DD8FD77" w:rsidR="009A3BE1" w:rsidRPr="00243A72" w:rsidRDefault="009A3BE1" w:rsidP="00C25F2B">
      <w:pPr>
        <w:pStyle w:val="FootnoteText"/>
        <w:spacing w:after="120"/>
        <w:jc w:val="both"/>
      </w:pPr>
      <w:r>
        <w:rPr>
          <w:rStyle w:val="FootnoteReference"/>
        </w:rPr>
        <w:footnoteRef/>
      </w:r>
      <w:r>
        <w:t xml:space="preserve"> </w:t>
      </w:r>
      <w:r>
        <w:rPr>
          <w:i/>
        </w:rPr>
        <w:t>Id.</w:t>
      </w:r>
      <w:r>
        <w:t xml:space="preserve"> at 23-25.</w:t>
      </w:r>
    </w:p>
  </w:footnote>
  <w:footnote w:id="9">
    <w:p w14:paraId="197DED02" w14:textId="2B7D7B30" w:rsidR="009A3BE1" w:rsidRPr="00D64D09" w:rsidRDefault="009A3BE1" w:rsidP="00041CE8">
      <w:pPr>
        <w:pStyle w:val="FootnoteText"/>
        <w:spacing w:after="120"/>
        <w:jc w:val="both"/>
        <w:rPr>
          <w:i/>
        </w:rPr>
      </w:pPr>
      <w:r>
        <w:rPr>
          <w:rStyle w:val="FootnoteReference"/>
        </w:rPr>
        <w:footnoteRef/>
      </w:r>
      <w:r w:rsidR="00576FC2">
        <w:t xml:space="preserve"> </w:t>
      </w:r>
      <w:r>
        <w:t xml:space="preserve">Duke Energy Ohio’s Memorandum Contra Motion to Dismiss or Stay, </w:t>
      </w:r>
      <w:r>
        <w:rPr>
          <w:i/>
        </w:rPr>
        <w:t xml:space="preserve">in passim, </w:t>
      </w:r>
      <w:r w:rsidRPr="00041CE8">
        <w:t>June 14, 2017)</w:t>
      </w:r>
      <w:r>
        <w:rPr>
          <w:i/>
        </w:rPr>
        <w:t xml:space="preserve"> (“</w:t>
      </w:r>
      <w:r>
        <w:t>Duke’s Memo Contra”)</w:t>
      </w:r>
      <w:r>
        <w:rPr>
          <w:i/>
        </w:rPr>
        <w:t>.</w:t>
      </w:r>
    </w:p>
  </w:footnote>
  <w:footnote w:id="10">
    <w:p w14:paraId="0EFA153C" w14:textId="77777777" w:rsidR="009A3BE1" w:rsidRDefault="009A3BE1" w:rsidP="003C5F93">
      <w:pPr>
        <w:pStyle w:val="FootnoteText"/>
        <w:spacing w:after="120"/>
        <w:jc w:val="both"/>
      </w:pPr>
      <w:r>
        <w:rPr>
          <w:rStyle w:val="FootnoteReference"/>
        </w:rPr>
        <w:footnoteRef/>
      </w:r>
      <w:r>
        <w:t xml:space="preserve"> Duke’s Memo Contra at 3-4.</w:t>
      </w:r>
    </w:p>
  </w:footnote>
  <w:footnote w:id="11">
    <w:p w14:paraId="2B0D586B" w14:textId="6AFE0E7A" w:rsidR="009A3BE1" w:rsidRPr="00F059B0" w:rsidRDefault="009A3BE1" w:rsidP="00C25F2B">
      <w:pPr>
        <w:pStyle w:val="FootnoteText"/>
        <w:spacing w:after="120"/>
      </w:pPr>
      <w:r>
        <w:rPr>
          <w:rStyle w:val="FootnoteReference"/>
        </w:rPr>
        <w:footnoteRef/>
      </w:r>
      <w:r>
        <w:t xml:space="preserve"> </w:t>
      </w:r>
      <w:r>
        <w:rPr>
          <w:i/>
        </w:rPr>
        <w:t>Duke ESP III Case</w:t>
      </w:r>
      <w:r>
        <w:t>, Entry on Rehearing (May 28, 2015).</w:t>
      </w:r>
    </w:p>
  </w:footnote>
  <w:footnote w:id="12">
    <w:p w14:paraId="3A05CE7F" w14:textId="2CD68B88" w:rsidR="009A3BE1" w:rsidRPr="00BF1A85" w:rsidRDefault="009A3BE1" w:rsidP="003C5F93">
      <w:pPr>
        <w:pStyle w:val="FootnoteText"/>
        <w:spacing w:after="120"/>
        <w:jc w:val="both"/>
      </w:pPr>
      <w:r>
        <w:rPr>
          <w:rStyle w:val="FootnoteReference"/>
        </w:rPr>
        <w:footnoteRef/>
      </w:r>
      <w:r>
        <w:t xml:space="preserve"> </w:t>
      </w:r>
      <w:r>
        <w:rPr>
          <w:i/>
        </w:rPr>
        <w:t>In re Application of Columbus S. Power Co.</w:t>
      </w:r>
      <w:r>
        <w:t xml:space="preserve">, 147 Ohio St.3d 439, 2016-Ohio-1608; </w:t>
      </w:r>
      <w:r>
        <w:rPr>
          <w:i/>
        </w:rPr>
        <w:t>In re Application of Dayton Power &amp; Light Co.</w:t>
      </w:r>
      <w:r>
        <w:t>, 147 Ohio St.3d 166, 2016-Ohio-3490.</w:t>
      </w:r>
    </w:p>
  </w:footnote>
  <w:footnote w:id="13">
    <w:p w14:paraId="0BCFBEDF" w14:textId="3DB3B1B4" w:rsidR="009A3BE1" w:rsidRDefault="009A3BE1" w:rsidP="00C25F2B">
      <w:pPr>
        <w:pStyle w:val="FootnoteText"/>
        <w:spacing w:after="120"/>
        <w:jc w:val="both"/>
      </w:pPr>
      <w:r>
        <w:rPr>
          <w:rStyle w:val="FootnoteReference"/>
        </w:rPr>
        <w:footnoteRef/>
      </w:r>
      <w:r>
        <w:t xml:space="preserve"> </w:t>
      </w:r>
      <w:r>
        <w:rPr>
          <w:i/>
        </w:rPr>
        <w:t xml:space="preserve">Hughes v. Talen Energy Marketing </w:t>
      </w:r>
      <w:r>
        <w:t>LLC</w:t>
      </w:r>
      <w:r>
        <w:rPr>
          <w:i/>
        </w:rPr>
        <w:t xml:space="preserve">, </w:t>
      </w:r>
      <w:r>
        <w:t xml:space="preserve">578 U.S. __, 136 </w:t>
      </w:r>
      <w:proofErr w:type="spellStart"/>
      <w:r>
        <w:t>S.Ct</w:t>
      </w:r>
      <w:proofErr w:type="spellEnd"/>
      <w:r>
        <w:t>. 1288, 1297 (2016) (c</w:t>
      </w:r>
      <w:r>
        <w:rPr>
          <w:i/>
        </w:rPr>
        <w:t>iting FERC v. EPSA</w:t>
      </w:r>
      <w:r>
        <w:t>, 577 U.S. __, __, slip op., at 26 (2016)).</w:t>
      </w:r>
    </w:p>
  </w:footnote>
  <w:footnote w:id="14">
    <w:p w14:paraId="3BDA3798" w14:textId="0D1823CE" w:rsidR="009A3BE1" w:rsidRPr="00D34C5C" w:rsidRDefault="009A3BE1" w:rsidP="00C25F2B">
      <w:pPr>
        <w:pStyle w:val="FootnoteText"/>
        <w:spacing w:after="120"/>
        <w:jc w:val="both"/>
      </w:pPr>
      <w:r>
        <w:rPr>
          <w:rStyle w:val="FootnoteReference"/>
        </w:rPr>
        <w:footnoteRef/>
      </w:r>
      <w:r>
        <w:t xml:space="preserve"> FERC’s decisions did not explicitly address the OVEC-related portions of AEP-Ohio’s and FirstEnergy’s PPA proposals.  </w:t>
      </w:r>
      <w:r>
        <w:rPr>
          <w:i/>
        </w:rPr>
        <w:t>See Electric Power Supply Association v. AEP Generation Resources</w:t>
      </w:r>
      <w:r>
        <w:t xml:space="preserve">, Docket No. EL16-33, 155 FERC 61,102, Order Granting Complaint (Apr. 27, 2016); </w:t>
      </w:r>
      <w:r>
        <w:rPr>
          <w:i/>
        </w:rPr>
        <w:t>Electric Power Supply Association v. FirstEnergy Solutions Corp.</w:t>
      </w:r>
      <w:r>
        <w:t xml:space="preserve">, Docket No. EL16-34, 155 FERC 61,101, Order Granting Complaint (Apr. 27, 2016).  However, the facts FERC relied upon for its finding that AEP-Ohio’s and FirstEnergy’s customers were captive </w:t>
      </w:r>
      <w:proofErr w:type="gramStart"/>
      <w:r>
        <w:t>still remain</w:t>
      </w:r>
      <w:proofErr w:type="gramEnd"/>
      <w:r>
        <w:t xml:space="preserve"> in the context of an OVEC-only PPA.</w:t>
      </w:r>
    </w:p>
  </w:footnote>
  <w:footnote w:id="15">
    <w:p w14:paraId="3D93A01B" w14:textId="783E377D" w:rsidR="009A3BE1" w:rsidRPr="00E4246B" w:rsidRDefault="009A3BE1" w:rsidP="00C25F2B">
      <w:pPr>
        <w:pStyle w:val="FootnoteText"/>
        <w:spacing w:after="120"/>
        <w:jc w:val="both"/>
      </w:pPr>
      <w:r>
        <w:rPr>
          <w:rStyle w:val="FootnoteReference"/>
        </w:rPr>
        <w:footnoteRef/>
      </w:r>
      <w:r>
        <w:t xml:space="preserve"> </w:t>
      </w:r>
      <w:r w:rsidRPr="00E4246B">
        <w:rPr>
          <w:i/>
        </w:rPr>
        <w:t>In the Matter of the Application of The Dayton Power and Light Company for Approval of Its Electric Security Plan</w:t>
      </w:r>
      <w:r>
        <w:t xml:space="preserve">, Case Nos. 16-395-EL-SSO, </w:t>
      </w:r>
      <w:r>
        <w:rPr>
          <w:i/>
        </w:rPr>
        <w:t>et al.</w:t>
      </w:r>
      <w:r>
        <w:t xml:space="preserve">, The Dayton Power and Light Company’s Notice of Withdrawal of Reliable Electricity Rider Proposal (Sep. 23, 2016); </w:t>
      </w:r>
      <w:r>
        <w:rPr>
          <w:i/>
        </w:rPr>
        <w:t>In the Matter of the Application of Ohio Edison Company, The Cleveland Electric Illuminating Company, and The Toledo Edison Company for Authority to Provide for a Standard Service Offer Pursuant to R.C., 4928.143 in the Form of an Electric Security Plan</w:t>
      </w:r>
      <w:r>
        <w:t>, Case No. 14-1297-EL-SSO, Fifth Entry on Rehearing at 43 (Oct. 12, 2016).</w:t>
      </w:r>
    </w:p>
  </w:footnote>
  <w:footnote w:id="16">
    <w:p w14:paraId="6371F623" w14:textId="446F4FEF" w:rsidR="009A3BE1" w:rsidRPr="00F94CFA" w:rsidRDefault="009A3BE1" w:rsidP="00C25F2B">
      <w:pPr>
        <w:pStyle w:val="FootnoteText"/>
        <w:spacing w:after="120"/>
        <w:jc w:val="both"/>
      </w:pPr>
      <w:r>
        <w:rPr>
          <w:rStyle w:val="FootnoteReference"/>
        </w:rPr>
        <w:footnoteRef/>
      </w:r>
      <w:r>
        <w:t xml:space="preserve"> </w:t>
      </w:r>
      <w:r>
        <w:rPr>
          <w:i/>
        </w:rPr>
        <w:t>AEP-Ohio PPA Case</w:t>
      </w:r>
      <w:r>
        <w:t>, Second Entry on Rehearing at 23, 27-29 (Nov. 3, 2016).</w:t>
      </w:r>
    </w:p>
  </w:footnote>
  <w:footnote w:id="17">
    <w:p w14:paraId="25FC7DC0" w14:textId="3207C9AC" w:rsidR="009A3BE1" w:rsidRDefault="009A3BE1" w:rsidP="00012490">
      <w:pPr>
        <w:pStyle w:val="FootnoteText"/>
        <w:spacing w:after="120"/>
        <w:jc w:val="both"/>
      </w:pPr>
      <w:r>
        <w:rPr>
          <w:rStyle w:val="FootnoteReference"/>
        </w:rPr>
        <w:footnoteRef/>
      </w:r>
      <w:r>
        <w:t xml:space="preserve"> </w:t>
      </w:r>
      <w:r>
        <w:rPr>
          <w:i/>
        </w:rPr>
        <w:t>In the Matter of the Application of Ohio Power Company for Authority to Establish a Standard Service Offer Pursuant to Section 4928.143, Revised Code, in the Form of an Electric Security Plan</w:t>
      </w:r>
      <w:r>
        <w:t>, Case Nos. 16</w:t>
      </w:r>
      <w:r>
        <w:noBreakHyphen/>
        <w:t>1852</w:t>
      </w:r>
      <w:r>
        <w:noBreakHyphen/>
        <w:t>EL</w:t>
      </w:r>
      <w:r>
        <w:noBreakHyphen/>
        <w:t xml:space="preserve">SSO, </w:t>
      </w:r>
      <w:r>
        <w:rPr>
          <w:i/>
        </w:rPr>
        <w:t>et al.</w:t>
      </w:r>
      <w:r>
        <w:t>, Ohio Power Company’s Application to Amend its Electri</w:t>
      </w:r>
      <w:r w:rsidR="00576FC2">
        <w:t>c Security Plan at 4 (Nov. </w:t>
      </w:r>
      <w:r>
        <w:t>23, 2016) (“</w:t>
      </w:r>
      <w:r w:rsidRPr="0029067D">
        <w:rPr>
          <w:i/>
        </w:rPr>
        <w:t>AEP-Ohio ESP IV Case</w:t>
      </w:r>
      <w:r>
        <w:t>”).</w:t>
      </w:r>
    </w:p>
  </w:footnote>
  <w:footnote w:id="18">
    <w:p w14:paraId="6270EAD7" w14:textId="05D836FA" w:rsidR="009A3BE1" w:rsidRDefault="009A3BE1" w:rsidP="00C25F2B">
      <w:pPr>
        <w:pStyle w:val="FootnoteText"/>
        <w:spacing w:after="120"/>
        <w:jc w:val="both"/>
      </w:pPr>
      <w:r>
        <w:rPr>
          <w:rStyle w:val="FootnoteReference"/>
        </w:rPr>
        <w:footnoteRef/>
      </w:r>
      <w:r>
        <w:t xml:space="preserve"> Duke’s Memo Contra at 4, 7-9.</w:t>
      </w:r>
    </w:p>
  </w:footnote>
  <w:footnote w:id="19">
    <w:p w14:paraId="20EE2DDF" w14:textId="77777777" w:rsidR="009A3BE1" w:rsidRPr="00C00D89" w:rsidRDefault="009A3BE1" w:rsidP="00C25F2B">
      <w:pPr>
        <w:pStyle w:val="FootnoteText"/>
        <w:spacing w:after="120"/>
        <w:jc w:val="both"/>
      </w:pPr>
      <w:r>
        <w:rPr>
          <w:rStyle w:val="FootnoteReference"/>
        </w:rPr>
        <w:footnoteRef/>
      </w:r>
      <w:r>
        <w:t xml:space="preserve"> </w:t>
      </w:r>
      <w:r>
        <w:rPr>
          <w:i/>
        </w:rPr>
        <w:t>AEP-Ohio PPA Case</w:t>
      </w:r>
      <w:r>
        <w:t>, Opinion and Order at 23-48 (Mar. 31, 2016).</w:t>
      </w:r>
    </w:p>
  </w:footnote>
  <w:footnote w:id="20">
    <w:p w14:paraId="1C34FE0E" w14:textId="563AF26A" w:rsidR="009A3BE1" w:rsidRPr="00E32D29" w:rsidRDefault="009A3BE1" w:rsidP="00C25F2B">
      <w:pPr>
        <w:pStyle w:val="FootnoteText"/>
        <w:spacing w:after="120"/>
        <w:jc w:val="both"/>
      </w:pPr>
      <w:r>
        <w:rPr>
          <w:rStyle w:val="FootnoteReference"/>
        </w:rPr>
        <w:footnoteRef/>
      </w:r>
      <w:r>
        <w:t xml:space="preserve"> </w:t>
      </w:r>
      <w:r w:rsidRPr="00E32D29">
        <w:rPr>
          <w:i/>
        </w:rPr>
        <w:t>See</w:t>
      </w:r>
      <w:r>
        <w:rPr>
          <w:i/>
        </w:rPr>
        <w:t xml:space="preserve"> </w:t>
      </w:r>
      <w:r>
        <w:t xml:space="preserve">ESP III Order at 47-48, </w:t>
      </w:r>
      <w:r>
        <w:rPr>
          <w:i/>
        </w:rPr>
        <w:t>In the Matter of the Application of Ohio Power Company for Authority to Establish a Standard Service Offer Pursuant to R.C. 4928.143, in the Form of an Electric Security Plan</w:t>
      </w:r>
      <w:r>
        <w:t xml:space="preserve">, Case Nos. 13-2385-EL-SSO, </w:t>
      </w:r>
      <w:r>
        <w:rPr>
          <w:i/>
        </w:rPr>
        <w:t>et al.</w:t>
      </w:r>
      <w:r>
        <w:t>, Opinion and Order at 24 (Feb. 25, 2015).</w:t>
      </w:r>
    </w:p>
  </w:footnote>
  <w:footnote w:id="21">
    <w:p w14:paraId="659EA56E" w14:textId="77777777" w:rsidR="009A3BE1" w:rsidRDefault="009A3BE1" w:rsidP="00BF43DF">
      <w:pPr>
        <w:pStyle w:val="FootnoteText"/>
        <w:spacing w:after="120"/>
        <w:jc w:val="both"/>
      </w:pPr>
      <w:r>
        <w:rPr>
          <w:rStyle w:val="FootnoteReference"/>
        </w:rPr>
        <w:footnoteRef/>
      </w:r>
      <w:r>
        <w:t xml:space="preserve"> </w:t>
      </w:r>
      <w:r w:rsidRPr="00273498">
        <w:rPr>
          <w:i/>
        </w:rPr>
        <w:t>AEP-Ohio PPA Case</w:t>
      </w:r>
      <w:r>
        <w:t>, Joint Stipulation and Recommendation at 34 (Dec. 14, 2015).</w:t>
      </w:r>
    </w:p>
  </w:footnote>
  <w:footnote w:id="22">
    <w:p w14:paraId="695EEACF" w14:textId="77777777" w:rsidR="009A3BE1" w:rsidRDefault="009A3BE1" w:rsidP="00C25F2B">
      <w:pPr>
        <w:pStyle w:val="FootnoteText"/>
        <w:spacing w:after="120"/>
        <w:jc w:val="both"/>
      </w:pPr>
      <w:r>
        <w:rPr>
          <w:rStyle w:val="FootnoteReference"/>
        </w:rPr>
        <w:footnoteRef/>
      </w:r>
      <w:r>
        <w:t xml:space="preserve"> </w:t>
      </w:r>
      <w:r>
        <w:rPr>
          <w:i/>
        </w:rPr>
        <w:t>AEP-</w:t>
      </w:r>
      <w:r w:rsidRPr="004317AC">
        <w:rPr>
          <w:i/>
        </w:rPr>
        <w:t>Ohio ESP IV Case</w:t>
      </w:r>
      <w:r>
        <w:t>, Amended Application at 4 (Nov. 23, 2016).</w:t>
      </w:r>
    </w:p>
  </w:footnote>
  <w:footnote w:id="23">
    <w:p w14:paraId="7962FB8F" w14:textId="77777777" w:rsidR="009A3BE1" w:rsidRPr="00487621" w:rsidRDefault="009A3BE1" w:rsidP="00C25F2B">
      <w:pPr>
        <w:pStyle w:val="FootnoteText"/>
        <w:spacing w:after="120"/>
        <w:jc w:val="both"/>
        <w:rPr>
          <w:i/>
        </w:rPr>
      </w:pPr>
      <w:r>
        <w:rPr>
          <w:rStyle w:val="FootnoteReference"/>
        </w:rPr>
        <w:footnoteRef/>
      </w:r>
      <w:r>
        <w:t xml:space="preserve"> Joint Motion to Dismiss, </w:t>
      </w:r>
      <w:r>
        <w:rPr>
          <w:i/>
        </w:rPr>
        <w:t>in passim.</w:t>
      </w:r>
    </w:p>
  </w:footnote>
  <w:footnote w:id="24">
    <w:p w14:paraId="6559A085" w14:textId="77777777" w:rsidR="009A3BE1" w:rsidRDefault="009A3BE1" w:rsidP="00C25F2B">
      <w:pPr>
        <w:pStyle w:val="FootnoteText"/>
        <w:spacing w:after="120"/>
        <w:jc w:val="both"/>
      </w:pPr>
      <w:r>
        <w:rPr>
          <w:rStyle w:val="FootnoteReference"/>
        </w:rPr>
        <w:footnoteRef/>
      </w:r>
      <w:r>
        <w:t xml:space="preserve"> Duke’s Memo Contra at 5.</w:t>
      </w:r>
    </w:p>
  </w:footnote>
  <w:footnote w:id="25">
    <w:p w14:paraId="3A700D05" w14:textId="77777777" w:rsidR="009A3BE1" w:rsidRDefault="009A3BE1" w:rsidP="00C25F2B">
      <w:pPr>
        <w:pStyle w:val="FootnoteText"/>
        <w:spacing w:after="120"/>
        <w:jc w:val="both"/>
      </w:pPr>
      <w:r>
        <w:rPr>
          <w:rStyle w:val="FootnoteReference"/>
        </w:rPr>
        <w:footnoteRef/>
      </w:r>
      <w:r>
        <w:t xml:space="preserve"> </w:t>
      </w:r>
      <w:r>
        <w:rPr>
          <w:i/>
        </w:rPr>
        <w:t>Id</w:t>
      </w:r>
      <w:r>
        <w:t>.</w:t>
      </w:r>
    </w:p>
  </w:footnote>
  <w:footnote w:id="26">
    <w:p w14:paraId="77B05892" w14:textId="77777777" w:rsidR="009A3BE1" w:rsidRPr="001437F2" w:rsidRDefault="009A3BE1" w:rsidP="00C25F2B">
      <w:pPr>
        <w:pStyle w:val="FootnoteText"/>
        <w:spacing w:after="120"/>
        <w:jc w:val="both"/>
        <w:rPr>
          <w:i/>
        </w:rPr>
      </w:pPr>
      <w:r>
        <w:rPr>
          <w:rStyle w:val="FootnoteReference"/>
        </w:rPr>
        <w:footnoteRef/>
      </w:r>
      <w:r>
        <w:t xml:space="preserve"> </w:t>
      </w:r>
      <w:r>
        <w:rPr>
          <w:i/>
        </w:rPr>
        <w:t>Id.</w:t>
      </w:r>
    </w:p>
  </w:footnote>
  <w:footnote w:id="27">
    <w:p w14:paraId="4342DE7D" w14:textId="6133B6A9" w:rsidR="009A3BE1" w:rsidRDefault="009A3BE1" w:rsidP="00C25F2B">
      <w:pPr>
        <w:pStyle w:val="FootnoteText"/>
        <w:spacing w:after="120"/>
        <w:jc w:val="both"/>
      </w:pPr>
      <w:r>
        <w:rPr>
          <w:rStyle w:val="FootnoteReference"/>
        </w:rPr>
        <w:footnoteRef/>
      </w:r>
      <w:r>
        <w:t xml:space="preserve"> </w:t>
      </w:r>
      <w:r w:rsidRPr="00041CE8">
        <w:rPr>
          <w:i/>
        </w:rPr>
        <w:t>Id</w:t>
      </w:r>
      <w:r>
        <w:t>. at 1.</w:t>
      </w:r>
    </w:p>
  </w:footnote>
  <w:footnote w:id="28">
    <w:p w14:paraId="775E2837" w14:textId="77777777" w:rsidR="009A3BE1" w:rsidRDefault="009A3BE1" w:rsidP="00C25F2B">
      <w:pPr>
        <w:pStyle w:val="FootnoteText"/>
        <w:spacing w:after="120"/>
        <w:jc w:val="both"/>
      </w:pPr>
      <w:r>
        <w:rPr>
          <w:rStyle w:val="FootnoteReference"/>
        </w:rPr>
        <w:footnoteRef/>
      </w:r>
      <w:r>
        <w:t xml:space="preserve"> ESP III Order at 47.</w:t>
      </w:r>
    </w:p>
  </w:footnote>
  <w:footnote w:id="29">
    <w:p w14:paraId="7239B8C5" w14:textId="17F34E3C" w:rsidR="009A3BE1" w:rsidRPr="009E1644" w:rsidRDefault="009A3BE1" w:rsidP="00041CE8">
      <w:pPr>
        <w:pStyle w:val="FootnoteText"/>
        <w:spacing w:after="120"/>
        <w:jc w:val="both"/>
      </w:pPr>
      <w:r>
        <w:rPr>
          <w:rStyle w:val="FootnoteReference"/>
        </w:rPr>
        <w:footnoteRef/>
      </w:r>
      <w:r>
        <w:t xml:space="preserve"> With respect to the PSR, Duke only sought rehearing to allow immediate authorization to bill and collect the above-market wholesale costs associated with its interest in OVEC and the Commission’s directive that Duke continue pursuing divestiture of its OVEC interests.  </w:t>
      </w:r>
      <w:r>
        <w:rPr>
          <w:i/>
        </w:rPr>
        <w:t>ESP III Case</w:t>
      </w:r>
      <w:r>
        <w:t>, Application for Rehearing of Duke Energy Ohio, Inc. at 5-17 (May 4, 2015).</w:t>
      </w:r>
    </w:p>
  </w:footnote>
  <w:footnote w:id="30">
    <w:p w14:paraId="2B7241E6" w14:textId="37151BF5" w:rsidR="009A3BE1" w:rsidRDefault="009A3BE1" w:rsidP="003C5F93">
      <w:pPr>
        <w:pStyle w:val="FootnoteText"/>
        <w:spacing w:after="120"/>
        <w:jc w:val="both"/>
      </w:pPr>
      <w:r>
        <w:rPr>
          <w:rStyle w:val="FootnoteReference"/>
        </w:rPr>
        <w:footnoteRef/>
      </w:r>
      <w:r>
        <w:t xml:space="preserve"> Application at 1 (Mar. 31, 2017).  Furthermore, as demonstrated in the Joint Motion to Dismiss, the Commission cannot rely on its general supervisory authority to bypass specific ratemaking statutes.  Thus, the PSR rates could only be authorized under a ratemaking statute.  The Commission only relied upon R.C. 4928.143(B)(2)(d).  Even assuming the ratemaking provisions of R.C. 4909.18 apply to the PSR (which they do not), Duke and the Commission would have to comply with the extensive statutory requirements applicable to traditional ratemaking before the Commission could authorize an increase in Duke’s PSR rates.  It is apparent that if Duke’s Application were approved, it would amount to an increase in the rates charged under the PSR.  </w:t>
      </w:r>
      <w:r>
        <w:rPr>
          <w:i/>
        </w:rPr>
        <w:t>See, e.g.</w:t>
      </w:r>
      <w:r>
        <w:t xml:space="preserve"> Memo Contra at 6 (Duke seeks to “adjust” the current PSR rate of zero to a positive rate); </w:t>
      </w:r>
      <w:r>
        <w:rPr>
          <w:i/>
        </w:rPr>
        <w:t>id.</w:t>
      </w:r>
      <w:r>
        <w:t xml:space="preserve"> at 5 (Rider PSR has been approved at a rate of zero); </w:t>
      </w:r>
      <w:r>
        <w:rPr>
          <w:i/>
        </w:rPr>
        <w:t>see</w:t>
      </w:r>
      <w:r>
        <w:t xml:space="preserve"> ESP III Order at 19, 26, 45-46 (Duke’s projections of the PPA proposal indicate that the PSR would be a positive charge through 2018).  In a somewhat similar context, the Commission rejected Duke’s prior claims that adjusting a rate established in an ESP proceeding through a standalone application, had that application been approved, would not have amounted to an increase in rates.  </w:t>
      </w:r>
      <w:r w:rsidRPr="00772FD4">
        <w:rPr>
          <w:i/>
        </w:rPr>
        <w:t>In the Matter of the Application of Duke Energy Ohio, Inc., for Establishment of a Charge Pursuant to Section 4909.18, Revised Code</w:t>
      </w:r>
      <w:r>
        <w:t>, Case Nos. 12</w:t>
      </w:r>
      <w:r>
        <w:noBreakHyphen/>
        <w:t>2400</w:t>
      </w:r>
      <w:r>
        <w:noBreakHyphen/>
        <w:t>EL</w:t>
      </w:r>
      <w:r>
        <w:noBreakHyphen/>
        <w:t xml:space="preserve">UNC, </w:t>
      </w:r>
      <w:r w:rsidRPr="00772FD4">
        <w:rPr>
          <w:i/>
        </w:rPr>
        <w:t>et al</w:t>
      </w:r>
      <w:r>
        <w:t>., Opinion and Order at 31 (Feb. 13, 2014) (“</w:t>
      </w:r>
      <w:r>
        <w:rPr>
          <w:i/>
        </w:rPr>
        <w:t>Duke Capacity Case</w:t>
      </w:r>
      <w:r>
        <w:t>”).</w:t>
      </w:r>
    </w:p>
  </w:footnote>
  <w:footnote w:id="31">
    <w:p w14:paraId="5956D06C" w14:textId="43EAF15E" w:rsidR="009A3BE1" w:rsidRDefault="009A3BE1" w:rsidP="00C25F2B">
      <w:pPr>
        <w:pStyle w:val="FootnoteText"/>
        <w:spacing w:after="120"/>
      </w:pPr>
      <w:r>
        <w:rPr>
          <w:rStyle w:val="FootnoteReference"/>
        </w:rPr>
        <w:footnoteRef/>
      </w:r>
      <w:r>
        <w:t xml:space="preserve"> ESP III Order at 47.</w:t>
      </w:r>
    </w:p>
  </w:footnote>
  <w:footnote w:id="32">
    <w:p w14:paraId="72869E17" w14:textId="0850686D" w:rsidR="009A3BE1" w:rsidRDefault="009A3BE1" w:rsidP="003C5F93">
      <w:pPr>
        <w:pStyle w:val="FootnoteText"/>
        <w:spacing w:after="120"/>
        <w:jc w:val="both"/>
      </w:pPr>
      <w:r w:rsidRPr="00B70B5E">
        <w:rPr>
          <w:rStyle w:val="FootnoteReference"/>
        </w:rPr>
        <w:footnoteRef/>
      </w:r>
      <w:r w:rsidRPr="00B70B5E">
        <w:rPr>
          <w:i/>
        </w:rPr>
        <w:t xml:space="preserve"> In the Matter of the Application of Duke Energy Ohio, Inc. for an Increase in Rates</w:t>
      </w:r>
      <w:r w:rsidR="000A54C2">
        <w:t>, Case Nos. 07</w:t>
      </w:r>
      <w:r w:rsidR="000A54C2">
        <w:noBreakHyphen/>
        <w:t>58</w:t>
      </w:r>
      <w:r w:rsidR="000509F7">
        <w:t>9</w:t>
      </w:r>
      <w:r w:rsidR="000A54C2">
        <w:noBreakHyphen/>
        <w:t>GA</w:t>
      </w:r>
      <w:r w:rsidR="000A54C2">
        <w:noBreakHyphen/>
      </w:r>
      <w:r w:rsidRPr="00B70B5E">
        <w:t xml:space="preserve">AIR, </w:t>
      </w:r>
      <w:r w:rsidRPr="00B70B5E">
        <w:rPr>
          <w:i/>
        </w:rPr>
        <w:t>et al.</w:t>
      </w:r>
      <w:r w:rsidRPr="00B70B5E">
        <w:t xml:space="preserve">, Entry on Rehearing at </w:t>
      </w:r>
      <w:r w:rsidRPr="00041CE8">
        <w:t>6</w:t>
      </w:r>
      <w:r w:rsidRPr="00B70B5E">
        <w:t xml:space="preserve"> (July 23, 2008) (“it is well settled that the Commission speaks through its published opinions and orders, as provided by Section 4903.09, Revised Code.”). </w:t>
      </w:r>
    </w:p>
  </w:footnote>
  <w:footnote w:id="33">
    <w:p w14:paraId="105B7288" w14:textId="47DB522A" w:rsidR="009A3BE1" w:rsidRDefault="009A3BE1" w:rsidP="00041CE8">
      <w:pPr>
        <w:pStyle w:val="FootnoteText"/>
        <w:spacing w:after="120"/>
        <w:jc w:val="both"/>
      </w:pPr>
      <w:r>
        <w:rPr>
          <w:rStyle w:val="FootnoteReference"/>
        </w:rPr>
        <w:footnoteRef/>
      </w:r>
      <w:r>
        <w:t xml:space="preserve"> R.C. 4903.10;</w:t>
      </w:r>
      <w:r w:rsidRPr="00631B3D">
        <w:rPr>
          <w:i/>
        </w:rPr>
        <w:t xml:space="preserve"> </w:t>
      </w:r>
      <w:r>
        <w:rPr>
          <w:i/>
        </w:rPr>
        <w:t xml:space="preserve">Duke Capacity Case, </w:t>
      </w:r>
      <w:r>
        <w:t>Opinion and Order at 32 (Feb. 13, 2014).</w:t>
      </w:r>
    </w:p>
  </w:footnote>
  <w:footnote w:id="34">
    <w:p w14:paraId="4A381DB8" w14:textId="77777777" w:rsidR="009A3BE1" w:rsidRDefault="009A3BE1" w:rsidP="00C25F2B">
      <w:pPr>
        <w:pStyle w:val="FootnoteText"/>
        <w:spacing w:after="120"/>
        <w:jc w:val="both"/>
      </w:pPr>
      <w:r>
        <w:rPr>
          <w:rStyle w:val="FootnoteReference"/>
        </w:rPr>
        <w:footnoteRef/>
      </w:r>
      <w:r>
        <w:t xml:space="preserve"> Duke’s Memo Contra at 9-10.</w:t>
      </w:r>
    </w:p>
  </w:footnote>
  <w:footnote w:id="35">
    <w:p w14:paraId="65D8F5FB" w14:textId="4E3798A2" w:rsidR="009A3BE1" w:rsidRPr="008448E9" w:rsidRDefault="009A3BE1" w:rsidP="00C25F2B">
      <w:pPr>
        <w:pStyle w:val="FootnoteText"/>
        <w:spacing w:after="120"/>
        <w:jc w:val="both"/>
      </w:pPr>
      <w:r>
        <w:rPr>
          <w:rStyle w:val="FootnoteReference"/>
        </w:rPr>
        <w:footnoteRef/>
      </w:r>
      <w:r>
        <w:t xml:space="preserve"> Joint Motion to Dismiss at 31 (</w:t>
      </w:r>
      <w:r>
        <w:rPr>
          <w:i/>
        </w:rPr>
        <w:t>citing In the Matter of the Application of Ohio Edison Company to Amend its Residential Tariff Nos. 10, 12, and 17</w:t>
      </w:r>
      <w:r>
        <w:t>, 1990 Ohio PUC LEXIS 974 (Aug. 30, 1990)).</w:t>
      </w:r>
    </w:p>
  </w:footnote>
  <w:footnote w:id="36">
    <w:p w14:paraId="4F618BBA" w14:textId="1FE84D40" w:rsidR="009A3BE1" w:rsidRPr="00630537" w:rsidRDefault="009A3BE1" w:rsidP="00C25F2B">
      <w:pPr>
        <w:pStyle w:val="FootnoteText"/>
        <w:spacing w:after="120"/>
        <w:jc w:val="both"/>
      </w:pPr>
      <w:r>
        <w:rPr>
          <w:rStyle w:val="FootnoteReference"/>
        </w:rPr>
        <w:footnoteRef/>
      </w:r>
      <w:r>
        <w:t xml:space="preserve"> </w:t>
      </w:r>
      <w:r>
        <w:rPr>
          <w:i/>
        </w:rPr>
        <w:t>See Duke Capacity Case</w:t>
      </w:r>
      <w:r>
        <w:t xml:space="preserve">, Opinion and Order, Concurring Opinion of Commissioner Lynn </w:t>
      </w:r>
      <w:proofErr w:type="spellStart"/>
      <w:r>
        <w:t>Slaby</w:t>
      </w:r>
      <w:proofErr w:type="spellEnd"/>
      <w:r>
        <w:t xml:space="preserve"> (Feb. 13, 2014) (“[E]</w:t>
      </w:r>
      <w:proofErr w:type="spellStart"/>
      <w:r>
        <w:t>xplaining</w:t>
      </w:r>
      <w:proofErr w:type="spellEnd"/>
      <w:r>
        <w:t xml:space="preserve"> that as Duke's appearance before the Commission can best be characterized as a request for reconsideration, or rehearing, of the </w:t>
      </w:r>
      <w:r>
        <w:rPr>
          <w:i/>
        </w:rPr>
        <w:t>Duke ESP</w:t>
      </w:r>
      <w:r w:rsidRPr="00041CE8">
        <w:rPr>
          <w:i/>
        </w:rPr>
        <w:t xml:space="preserve"> Case</w:t>
      </w:r>
      <w:r>
        <w:t>, these cases should have been summarily dismissed … [H]ad Duke's August 29, 2012 application been summarily dismissed as an untimely application for rehearing, it would have been unnecessary to consider the other arguments of the parties, as they would have been moot.”) (emphasis in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25A8" w14:textId="77777777" w:rsidR="009A3BE1" w:rsidRDefault="009A3B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F992" w14:textId="77777777" w:rsidR="009A3BE1" w:rsidRDefault="009A3B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2219" w14:textId="77777777" w:rsidR="009A3BE1" w:rsidRDefault="009A3B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1A788" w14:textId="77777777" w:rsidR="009A3BE1" w:rsidRDefault="009A3BE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7BB4" w14:textId="77777777" w:rsidR="009A3BE1" w:rsidRDefault="009A3B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3BF6" w14:textId="77777777" w:rsidR="009A3BE1" w:rsidRDefault="009A3BE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C4BD" w14:textId="77777777" w:rsidR="009A3BE1" w:rsidRDefault="009A3BE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20CCF" w14:textId="77777777" w:rsidR="009A3BE1" w:rsidRDefault="009A3BE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BA96" w14:textId="77777777" w:rsidR="009A3BE1" w:rsidRDefault="009A3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E6C82" w14:textId="77777777" w:rsidR="009A3BE1" w:rsidRDefault="009A3B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EED9" w14:textId="77777777" w:rsidR="009A3BE1" w:rsidRDefault="009A3B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9787C" w14:textId="77777777" w:rsidR="009A3BE1" w:rsidRDefault="009A3B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B695" w14:textId="77777777" w:rsidR="009A3BE1" w:rsidRDefault="009A3B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8B08F" w14:textId="77777777" w:rsidR="009A3BE1" w:rsidRDefault="009A3B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8BB1" w14:textId="77777777" w:rsidR="009A3BE1" w:rsidRDefault="009A3B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E3CA" w14:textId="77777777" w:rsidR="009A3BE1" w:rsidRDefault="009A3B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F530" w14:textId="77777777" w:rsidR="009A3BE1" w:rsidRDefault="009A3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F0808"/>
    <w:multiLevelType w:val="multilevel"/>
    <w:tmpl w:val="39F613CE"/>
    <w:name w:val="IEU-Ohio PUCO Basic-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0A"/>
    <w:rsid w:val="00002166"/>
    <w:rsid w:val="00011F14"/>
    <w:rsid w:val="00012490"/>
    <w:rsid w:val="00014A5A"/>
    <w:rsid w:val="00022097"/>
    <w:rsid w:val="00023B32"/>
    <w:rsid w:val="00023FF2"/>
    <w:rsid w:val="00030FBD"/>
    <w:rsid w:val="00034D01"/>
    <w:rsid w:val="00041CE8"/>
    <w:rsid w:val="000430F6"/>
    <w:rsid w:val="00047620"/>
    <w:rsid w:val="000509F7"/>
    <w:rsid w:val="0005189D"/>
    <w:rsid w:val="00056508"/>
    <w:rsid w:val="00080865"/>
    <w:rsid w:val="00082125"/>
    <w:rsid w:val="000A21BD"/>
    <w:rsid w:val="000A3700"/>
    <w:rsid w:val="000A54C2"/>
    <w:rsid w:val="000A57FE"/>
    <w:rsid w:val="000B6013"/>
    <w:rsid w:val="000B6707"/>
    <w:rsid w:val="000C5258"/>
    <w:rsid w:val="000C6EB8"/>
    <w:rsid w:val="000D4ACE"/>
    <w:rsid w:val="000E685A"/>
    <w:rsid w:val="000F029C"/>
    <w:rsid w:val="00106865"/>
    <w:rsid w:val="0010693B"/>
    <w:rsid w:val="001076D9"/>
    <w:rsid w:val="001143AD"/>
    <w:rsid w:val="00126511"/>
    <w:rsid w:val="00131D1B"/>
    <w:rsid w:val="0013266D"/>
    <w:rsid w:val="001437F2"/>
    <w:rsid w:val="001446F6"/>
    <w:rsid w:val="00147BAF"/>
    <w:rsid w:val="0015159A"/>
    <w:rsid w:val="00180495"/>
    <w:rsid w:val="00185A54"/>
    <w:rsid w:val="0019022B"/>
    <w:rsid w:val="001B1046"/>
    <w:rsid w:val="001B5C7E"/>
    <w:rsid w:val="001C4D7A"/>
    <w:rsid w:val="001C6EAF"/>
    <w:rsid w:val="001D0728"/>
    <w:rsid w:val="001D69B6"/>
    <w:rsid w:val="001E0B11"/>
    <w:rsid w:val="001F578F"/>
    <w:rsid w:val="00204831"/>
    <w:rsid w:val="0021446A"/>
    <w:rsid w:val="00215610"/>
    <w:rsid w:val="00217E3F"/>
    <w:rsid w:val="00224347"/>
    <w:rsid w:val="002307F9"/>
    <w:rsid w:val="00232F09"/>
    <w:rsid w:val="002339AC"/>
    <w:rsid w:val="0023437D"/>
    <w:rsid w:val="0024087A"/>
    <w:rsid w:val="00243A72"/>
    <w:rsid w:val="002503F1"/>
    <w:rsid w:val="002613B2"/>
    <w:rsid w:val="0026537F"/>
    <w:rsid w:val="00270671"/>
    <w:rsid w:val="002708E0"/>
    <w:rsid w:val="00273498"/>
    <w:rsid w:val="00282E5F"/>
    <w:rsid w:val="00285084"/>
    <w:rsid w:val="002859E4"/>
    <w:rsid w:val="00286225"/>
    <w:rsid w:val="0029067D"/>
    <w:rsid w:val="00290CE6"/>
    <w:rsid w:val="00290D74"/>
    <w:rsid w:val="0029576E"/>
    <w:rsid w:val="002957CF"/>
    <w:rsid w:val="00295F8B"/>
    <w:rsid w:val="002A3F89"/>
    <w:rsid w:val="002A6D9D"/>
    <w:rsid w:val="002B1938"/>
    <w:rsid w:val="002B5954"/>
    <w:rsid w:val="002B66C6"/>
    <w:rsid w:val="002B6755"/>
    <w:rsid w:val="002D6CEE"/>
    <w:rsid w:val="002E3D25"/>
    <w:rsid w:val="002F7117"/>
    <w:rsid w:val="003028DD"/>
    <w:rsid w:val="003031FE"/>
    <w:rsid w:val="00304192"/>
    <w:rsid w:val="00305A88"/>
    <w:rsid w:val="00310CDA"/>
    <w:rsid w:val="00311C8D"/>
    <w:rsid w:val="00316BA7"/>
    <w:rsid w:val="0032050A"/>
    <w:rsid w:val="00320642"/>
    <w:rsid w:val="00323EC2"/>
    <w:rsid w:val="003259A0"/>
    <w:rsid w:val="00331F0F"/>
    <w:rsid w:val="0033417D"/>
    <w:rsid w:val="0034126A"/>
    <w:rsid w:val="00346B25"/>
    <w:rsid w:val="00350FCE"/>
    <w:rsid w:val="00354CAA"/>
    <w:rsid w:val="00360453"/>
    <w:rsid w:val="0036064D"/>
    <w:rsid w:val="00362FF5"/>
    <w:rsid w:val="00366A19"/>
    <w:rsid w:val="00376B54"/>
    <w:rsid w:val="003879F7"/>
    <w:rsid w:val="00395E7E"/>
    <w:rsid w:val="003C2B59"/>
    <w:rsid w:val="003C5F93"/>
    <w:rsid w:val="003D7227"/>
    <w:rsid w:val="003F075F"/>
    <w:rsid w:val="00400E37"/>
    <w:rsid w:val="00407AFF"/>
    <w:rsid w:val="00425A27"/>
    <w:rsid w:val="004317AC"/>
    <w:rsid w:val="0043278A"/>
    <w:rsid w:val="00442120"/>
    <w:rsid w:val="0045045D"/>
    <w:rsid w:val="00476997"/>
    <w:rsid w:val="00487621"/>
    <w:rsid w:val="00490E5A"/>
    <w:rsid w:val="004915E4"/>
    <w:rsid w:val="004A2776"/>
    <w:rsid w:val="004A732A"/>
    <w:rsid w:val="004B10F6"/>
    <w:rsid w:val="004B61EA"/>
    <w:rsid w:val="004C5784"/>
    <w:rsid w:val="004E1B1F"/>
    <w:rsid w:val="004F1B6F"/>
    <w:rsid w:val="004F20DF"/>
    <w:rsid w:val="004F39B4"/>
    <w:rsid w:val="00507922"/>
    <w:rsid w:val="00512274"/>
    <w:rsid w:val="005150FD"/>
    <w:rsid w:val="00515A24"/>
    <w:rsid w:val="005164A7"/>
    <w:rsid w:val="00525562"/>
    <w:rsid w:val="005371D6"/>
    <w:rsid w:val="00543040"/>
    <w:rsid w:val="00544CCF"/>
    <w:rsid w:val="005543DC"/>
    <w:rsid w:val="00555AF8"/>
    <w:rsid w:val="00564C22"/>
    <w:rsid w:val="0056766E"/>
    <w:rsid w:val="00567DF4"/>
    <w:rsid w:val="00572720"/>
    <w:rsid w:val="0057551A"/>
    <w:rsid w:val="00576FC2"/>
    <w:rsid w:val="005844F7"/>
    <w:rsid w:val="005848BA"/>
    <w:rsid w:val="0058507F"/>
    <w:rsid w:val="005850B6"/>
    <w:rsid w:val="00587254"/>
    <w:rsid w:val="005940AA"/>
    <w:rsid w:val="00594C19"/>
    <w:rsid w:val="005A2CC5"/>
    <w:rsid w:val="005A57B2"/>
    <w:rsid w:val="005B1FD2"/>
    <w:rsid w:val="005B37CD"/>
    <w:rsid w:val="005B4028"/>
    <w:rsid w:val="005B412E"/>
    <w:rsid w:val="005C334E"/>
    <w:rsid w:val="005D413F"/>
    <w:rsid w:val="005E1339"/>
    <w:rsid w:val="005E23C5"/>
    <w:rsid w:val="005F64CA"/>
    <w:rsid w:val="00600F0D"/>
    <w:rsid w:val="00604D0B"/>
    <w:rsid w:val="00610F69"/>
    <w:rsid w:val="0061500F"/>
    <w:rsid w:val="00615DC7"/>
    <w:rsid w:val="00626B08"/>
    <w:rsid w:val="0062732C"/>
    <w:rsid w:val="00627E20"/>
    <w:rsid w:val="00630537"/>
    <w:rsid w:val="00631B3D"/>
    <w:rsid w:val="0063522F"/>
    <w:rsid w:val="006438FB"/>
    <w:rsid w:val="00654C8C"/>
    <w:rsid w:val="00672E20"/>
    <w:rsid w:val="006852DC"/>
    <w:rsid w:val="00691ADA"/>
    <w:rsid w:val="0069394B"/>
    <w:rsid w:val="006A59FC"/>
    <w:rsid w:val="006B4375"/>
    <w:rsid w:val="006C17D5"/>
    <w:rsid w:val="006C5494"/>
    <w:rsid w:val="006D498E"/>
    <w:rsid w:val="006E06B2"/>
    <w:rsid w:val="00710B77"/>
    <w:rsid w:val="007144D6"/>
    <w:rsid w:val="00716352"/>
    <w:rsid w:val="00723DA8"/>
    <w:rsid w:val="00740D00"/>
    <w:rsid w:val="00745116"/>
    <w:rsid w:val="00745765"/>
    <w:rsid w:val="00757140"/>
    <w:rsid w:val="00761269"/>
    <w:rsid w:val="0076378B"/>
    <w:rsid w:val="007679F5"/>
    <w:rsid w:val="00772FD4"/>
    <w:rsid w:val="0077712E"/>
    <w:rsid w:val="00787F3F"/>
    <w:rsid w:val="00791159"/>
    <w:rsid w:val="00794B3B"/>
    <w:rsid w:val="007A22C3"/>
    <w:rsid w:val="007E14DC"/>
    <w:rsid w:val="007E3F21"/>
    <w:rsid w:val="007F7A0B"/>
    <w:rsid w:val="00800D35"/>
    <w:rsid w:val="00803684"/>
    <w:rsid w:val="00804AC2"/>
    <w:rsid w:val="00806021"/>
    <w:rsid w:val="008111D9"/>
    <w:rsid w:val="00811642"/>
    <w:rsid w:val="0081318F"/>
    <w:rsid w:val="00816459"/>
    <w:rsid w:val="008403BB"/>
    <w:rsid w:val="00841FFE"/>
    <w:rsid w:val="00842FDF"/>
    <w:rsid w:val="008448E9"/>
    <w:rsid w:val="00846141"/>
    <w:rsid w:val="0085786F"/>
    <w:rsid w:val="00865A54"/>
    <w:rsid w:val="00877F6A"/>
    <w:rsid w:val="00880897"/>
    <w:rsid w:val="008822BF"/>
    <w:rsid w:val="0088277F"/>
    <w:rsid w:val="0089747B"/>
    <w:rsid w:val="008A1DEF"/>
    <w:rsid w:val="008A7761"/>
    <w:rsid w:val="008B5640"/>
    <w:rsid w:val="008C4A34"/>
    <w:rsid w:val="008C75D3"/>
    <w:rsid w:val="008D0F41"/>
    <w:rsid w:val="008D49C0"/>
    <w:rsid w:val="008E2E1B"/>
    <w:rsid w:val="008E3BF4"/>
    <w:rsid w:val="008E42E1"/>
    <w:rsid w:val="008E4A59"/>
    <w:rsid w:val="00912B1B"/>
    <w:rsid w:val="00926BF9"/>
    <w:rsid w:val="0093025F"/>
    <w:rsid w:val="00930C50"/>
    <w:rsid w:val="00930F57"/>
    <w:rsid w:val="00936678"/>
    <w:rsid w:val="00937A80"/>
    <w:rsid w:val="00953B3F"/>
    <w:rsid w:val="009705A9"/>
    <w:rsid w:val="009713DF"/>
    <w:rsid w:val="00972341"/>
    <w:rsid w:val="00987384"/>
    <w:rsid w:val="00991695"/>
    <w:rsid w:val="00992CDD"/>
    <w:rsid w:val="0099613B"/>
    <w:rsid w:val="009A064C"/>
    <w:rsid w:val="009A2687"/>
    <w:rsid w:val="009A3BE1"/>
    <w:rsid w:val="009A5FD9"/>
    <w:rsid w:val="009B032B"/>
    <w:rsid w:val="009B206E"/>
    <w:rsid w:val="009C1863"/>
    <w:rsid w:val="009C4FA2"/>
    <w:rsid w:val="009C78FF"/>
    <w:rsid w:val="009D1DDC"/>
    <w:rsid w:val="009D493F"/>
    <w:rsid w:val="009E081B"/>
    <w:rsid w:val="009E1644"/>
    <w:rsid w:val="009F261F"/>
    <w:rsid w:val="009F421B"/>
    <w:rsid w:val="009F5334"/>
    <w:rsid w:val="00A038F1"/>
    <w:rsid w:val="00A05AFB"/>
    <w:rsid w:val="00A0693F"/>
    <w:rsid w:val="00A1091C"/>
    <w:rsid w:val="00A16B0C"/>
    <w:rsid w:val="00A20DDE"/>
    <w:rsid w:val="00A2519B"/>
    <w:rsid w:val="00A2669B"/>
    <w:rsid w:val="00A426E3"/>
    <w:rsid w:val="00A53E5A"/>
    <w:rsid w:val="00A55900"/>
    <w:rsid w:val="00A574EA"/>
    <w:rsid w:val="00A608D9"/>
    <w:rsid w:val="00A61D6C"/>
    <w:rsid w:val="00A65D29"/>
    <w:rsid w:val="00A73B68"/>
    <w:rsid w:val="00A75110"/>
    <w:rsid w:val="00A80EAF"/>
    <w:rsid w:val="00A810A8"/>
    <w:rsid w:val="00A81A41"/>
    <w:rsid w:val="00A9651D"/>
    <w:rsid w:val="00AB6834"/>
    <w:rsid w:val="00AC324D"/>
    <w:rsid w:val="00AD299E"/>
    <w:rsid w:val="00AD2D14"/>
    <w:rsid w:val="00AE3E3A"/>
    <w:rsid w:val="00AE5CD4"/>
    <w:rsid w:val="00AE72D7"/>
    <w:rsid w:val="00AE74B3"/>
    <w:rsid w:val="00AF0ACE"/>
    <w:rsid w:val="00AF37AD"/>
    <w:rsid w:val="00AF4B68"/>
    <w:rsid w:val="00AF5427"/>
    <w:rsid w:val="00B03612"/>
    <w:rsid w:val="00B0761C"/>
    <w:rsid w:val="00B114A3"/>
    <w:rsid w:val="00B16776"/>
    <w:rsid w:val="00B22AEA"/>
    <w:rsid w:val="00B23FCD"/>
    <w:rsid w:val="00B26E76"/>
    <w:rsid w:val="00B43DEF"/>
    <w:rsid w:val="00B465FD"/>
    <w:rsid w:val="00B57E2B"/>
    <w:rsid w:val="00B6276D"/>
    <w:rsid w:val="00B677D5"/>
    <w:rsid w:val="00B70B5E"/>
    <w:rsid w:val="00B741C0"/>
    <w:rsid w:val="00B746A5"/>
    <w:rsid w:val="00B82E87"/>
    <w:rsid w:val="00B864AE"/>
    <w:rsid w:val="00BB0614"/>
    <w:rsid w:val="00BB4781"/>
    <w:rsid w:val="00BC756F"/>
    <w:rsid w:val="00BD1CE2"/>
    <w:rsid w:val="00BD6057"/>
    <w:rsid w:val="00BE37C4"/>
    <w:rsid w:val="00BE5F06"/>
    <w:rsid w:val="00BF1A85"/>
    <w:rsid w:val="00BF3AB5"/>
    <w:rsid w:val="00BF43DF"/>
    <w:rsid w:val="00BF7CFA"/>
    <w:rsid w:val="00C00D89"/>
    <w:rsid w:val="00C02BDF"/>
    <w:rsid w:val="00C0405A"/>
    <w:rsid w:val="00C10F36"/>
    <w:rsid w:val="00C1375E"/>
    <w:rsid w:val="00C14883"/>
    <w:rsid w:val="00C23D6F"/>
    <w:rsid w:val="00C254BE"/>
    <w:rsid w:val="00C25E6C"/>
    <w:rsid w:val="00C25F2B"/>
    <w:rsid w:val="00C4212F"/>
    <w:rsid w:val="00C43B70"/>
    <w:rsid w:val="00C52F68"/>
    <w:rsid w:val="00C60337"/>
    <w:rsid w:val="00C6383D"/>
    <w:rsid w:val="00C65D82"/>
    <w:rsid w:val="00C71F1D"/>
    <w:rsid w:val="00C72C7E"/>
    <w:rsid w:val="00C74B30"/>
    <w:rsid w:val="00C83D5E"/>
    <w:rsid w:val="00C928AE"/>
    <w:rsid w:val="00CA4FF5"/>
    <w:rsid w:val="00CA6E10"/>
    <w:rsid w:val="00CB63A7"/>
    <w:rsid w:val="00CE575F"/>
    <w:rsid w:val="00CF16A4"/>
    <w:rsid w:val="00CF4433"/>
    <w:rsid w:val="00CF6AF5"/>
    <w:rsid w:val="00D00ACD"/>
    <w:rsid w:val="00D054A7"/>
    <w:rsid w:val="00D10CB9"/>
    <w:rsid w:val="00D15EC3"/>
    <w:rsid w:val="00D16D48"/>
    <w:rsid w:val="00D23ECC"/>
    <w:rsid w:val="00D25661"/>
    <w:rsid w:val="00D34C5C"/>
    <w:rsid w:val="00D3503E"/>
    <w:rsid w:val="00D40D47"/>
    <w:rsid w:val="00D460F9"/>
    <w:rsid w:val="00D51B23"/>
    <w:rsid w:val="00D529CB"/>
    <w:rsid w:val="00D64D09"/>
    <w:rsid w:val="00D70889"/>
    <w:rsid w:val="00D822CA"/>
    <w:rsid w:val="00D836DE"/>
    <w:rsid w:val="00D85FDC"/>
    <w:rsid w:val="00D86DBD"/>
    <w:rsid w:val="00D94819"/>
    <w:rsid w:val="00D96AB6"/>
    <w:rsid w:val="00DA7117"/>
    <w:rsid w:val="00DB04C2"/>
    <w:rsid w:val="00DB402E"/>
    <w:rsid w:val="00DB5718"/>
    <w:rsid w:val="00DD6B3B"/>
    <w:rsid w:val="00DD7661"/>
    <w:rsid w:val="00DE0D00"/>
    <w:rsid w:val="00DE47B1"/>
    <w:rsid w:val="00DF45AC"/>
    <w:rsid w:val="00DF55F8"/>
    <w:rsid w:val="00E1128A"/>
    <w:rsid w:val="00E14670"/>
    <w:rsid w:val="00E17C1B"/>
    <w:rsid w:val="00E31719"/>
    <w:rsid w:val="00E3197D"/>
    <w:rsid w:val="00E32D29"/>
    <w:rsid w:val="00E4246B"/>
    <w:rsid w:val="00E478F0"/>
    <w:rsid w:val="00E526DB"/>
    <w:rsid w:val="00E60CE8"/>
    <w:rsid w:val="00E639DB"/>
    <w:rsid w:val="00E640D1"/>
    <w:rsid w:val="00E66A6F"/>
    <w:rsid w:val="00E86325"/>
    <w:rsid w:val="00E92A05"/>
    <w:rsid w:val="00E93C07"/>
    <w:rsid w:val="00E951C4"/>
    <w:rsid w:val="00E977F9"/>
    <w:rsid w:val="00EA4E67"/>
    <w:rsid w:val="00EB1296"/>
    <w:rsid w:val="00EB1721"/>
    <w:rsid w:val="00EC4C9A"/>
    <w:rsid w:val="00ED666E"/>
    <w:rsid w:val="00EE539A"/>
    <w:rsid w:val="00EF3D6F"/>
    <w:rsid w:val="00EF43D7"/>
    <w:rsid w:val="00EF5004"/>
    <w:rsid w:val="00EF5811"/>
    <w:rsid w:val="00EF5B7B"/>
    <w:rsid w:val="00F059B0"/>
    <w:rsid w:val="00F07245"/>
    <w:rsid w:val="00F07BC1"/>
    <w:rsid w:val="00F15D92"/>
    <w:rsid w:val="00F200AD"/>
    <w:rsid w:val="00F21310"/>
    <w:rsid w:val="00F24038"/>
    <w:rsid w:val="00F2648F"/>
    <w:rsid w:val="00F26A67"/>
    <w:rsid w:val="00F308D3"/>
    <w:rsid w:val="00F326F2"/>
    <w:rsid w:val="00F3304E"/>
    <w:rsid w:val="00F42CA8"/>
    <w:rsid w:val="00F42D52"/>
    <w:rsid w:val="00F47DD5"/>
    <w:rsid w:val="00F57AFD"/>
    <w:rsid w:val="00F67719"/>
    <w:rsid w:val="00F7060A"/>
    <w:rsid w:val="00F848D9"/>
    <w:rsid w:val="00F85D98"/>
    <w:rsid w:val="00F87E93"/>
    <w:rsid w:val="00F935DB"/>
    <w:rsid w:val="00F94CFA"/>
    <w:rsid w:val="00FA131E"/>
    <w:rsid w:val="00FA6BB9"/>
    <w:rsid w:val="00FA70EC"/>
    <w:rsid w:val="00FC03CC"/>
    <w:rsid w:val="00FC5F75"/>
    <w:rsid w:val="00FD453A"/>
    <w:rsid w:val="00FD7536"/>
    <w:rsid w:val="00FE2626"/>
    <w:rsid w:val="00FE30FC"/>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3D50D3"/>
  <w15:chartTrackingRefBased/>
  <w15:docId w15:val="{AE0768A8-13D1-428A-B10E-F70D4BE5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BDF"/>
    <w:pPr>
      <w:numPr>
        <w:numId w:val="1"/>
      </w:numPr>
      <w:spacing w:before="180"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C02BDF"/>
    <w:pPr>
      <w:numPr>
        <w:ilvl w:val="1"/>
        <w:numId w:val="1"/>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unhideWhenUsed/>
    <w:qFormat/>
    <w:rsid w:val="00C02BDF"/>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C02BDF"/>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C02BDF"/>
    <w:pPr>
      <w:numPr>
        <w:ilvl w:val="4"/>
        <w:numId w:val="1"/>
      </w:numPr>
      <w:tabs>
        <w:tab w:val="left" w:pos="3600"/>
      </w:tabs>
      <w:spacing w:after="240"/>
      <w:jc w:val="both"/>
      <w:outlineLvl w:val="4"/>
    </w:pPr>
    <w:rPr>
      <w:rFonts w:eastAsiaTheme="majorEastAsia" w:cs="Arial"/>
      <w:color w:val="243F60" w:themeColor="accent1" w:themeShade="7F"/>
    </w:rPr>
  </w:style>
  <w:style w:type="paragraph" w:styleId="Heading6">
    <w:name w:val="heading 6"/>
    <w:basedOn w:val="Normal"/>
    <w:next w:val="Normal"/>
    <w:link w:val="Heading6Char"/>
    <w:uiPriority w:val="9"/>
    <w:semiHidden/>
    <w:unhideWhenUsed/>
    <w:qFormat/>
    <w:rsid w:val="00C02BDF"/>
    <w:pPr>
      <w:numPr>
        <w:ilvl w:val="5"/>
        <w:numId w:val="1"/>
      </w:numPr>
      <w:tabs>
        <w:tab w:val="left" w:pos="4320"/>
      </w:tabs>
      <w:spacing w:after="240"/>
      <w:jc w:val="both"/>
      <w:outlineLvl w:val="5"/>
    </w:pPr>
    <w:rPr>
      <w:rFonts w:eastAsiaTheme="majorEastAsia" w:cs="Arial"/>
      <w:color w:val="243F60" w:themeColor="accent1" w:themeShade="7F"/>
    </w:rPr>
  </w:style>
  <w:style w:type="paragraph" w:styleId="Heading7">
    <w:name w:val="heading 7"/>
    <w:basedOn w:val="Normal"/>
    <w:next w:val="Normal"/>
    <w:link w:val="Heading7Char"/>
    <w:uiPriority w:val="9"/>
    <w:semiHidden/>
    <w:unhideWhenUsed/>
    <w:qFormat/>
    <w:rsid w:val="00C02BDF"/>
    <w:pPr>
      <w:numPr>
        <w:ilvl w:val="6"/>
        <w:numId w:val="1"/>
      </w:numPr>
      <w:tabs>
        <w:tab w:val="left" w:pos="5040"/>
      </w:tabs>
      <w:spacing w:after="240"/>
      <w:jc w:val="both"/>
      <w:outlineLvl w:val="6"/>
    </w:pPr>
    <w:rPr>
      <w:rFonts w:eastAsiaTheme="majorEastAsia" w:cs="Arial"/>
      <w:iCs/>
      <w:color w:val="404040" w:themeColor="text1" w:themeTint="BF"/>
    </w:rPr>
  </w:style>
  <w:style w:type="paragraph" w:styleId="Heading8">
    <w:name w:val="heading 8"/>
    <w:basedOn w:val="Normal"/>
    <w:next w:val="Normal"/>
    <w:link w:val="Heading8Char"/>
    <w:uiPriority w:val="9"/>
    <w:semiHidden/>
    <w:unhideWhenUsed/>
    <w:qFormat/>
    <w:rsid w:val="00C02BDF"/>
    <w:pPr>
      <w:numPr>
        <w:ilvl w:val="7"/>
        <w:numId w:val="1"/>
      </w:numPr>
      <w:tabs>
        <w:tab w:val="left" w:pos="5760"/>
      </w:tabs>
      <w:spacing w:after="240"/>
      <w:jc w:val="both"/>
      <w:outlineLvl w:val="7"/>
    </w:pPr>
    <w:rPr>
      <w:rFonts w:eastAsiaTheme="majorEastAsia" w:cs="Arial"/>
      <w:color w:val="404040" w:themeColor="text1" w:themeTint="BF"/>
      <w:szCs w:val="21"/>
    </w:rPr>
  </w:style>
  <w:style w:type="paragraph" w:styleId="Heading9">
    <w:name w:val="heading 9"/>
    <w:basedOn w:val="Normal"/>
    <w:next w:val="Normal"/>
    <w:link w:val="Heading9Char"/>
    <w:uiPriority w:val="9"/>
    <w:semiHidden/>
    <w:unhideWhenUsed/>
    <w:qFormat/>
    <w:rsid w:val="00C02BDF"/>
    <w:pPr>
      <w:numPr>
        <w:ilvl w:val="8"/>
        <w:numId w:val="1"/>
      </w:numPr>
      <w:tabs>
        <w:tab w:val="left" w:pos="6480"/>
      </w:tabs>
      <w:spacing w:after="240"/>
      <w:jc w:val="both"/>
      <w:outlineLvl w:val="8"/>
    </w:pPr>
    <w:rPr>
      <w:rFonts w:eastAsiaTheme="majorEastAsia" w:cs="Arial"/>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F41"/>
    <w:rPr>
      <w:color w:val="0000FF" w:themeColor="hyperlink"/>
      <w:u w:val="single"/>
    </w:rPr>
  </w:style>
  <w:style w:type="paragraph" w:styleId="Footer">
    <w:name w:val="footer"/>
    <w:basedOn w:val="Normal"/>
    <w:link w:val="FooterChar"/>
    <w:uiPriority w:val="99"/>
    <w:unhideWhenUsed/>
    <w:rsid w:val="008D0F41"/>
    <w:pPr>
      <w:tabs>
        <w:tab w:val="center" w:pos="4680"/>
        <w:tab w:val="right" w:pos="9360"/>
      </w:tabs>
      <w:jc w:val="both"/>
    </w:pPr>
  </w:style>
  <w:style w:type="character" w:customStyle="1" w:styleId="FooterChar">
    <w:name w:val="Footer Char"/>
    <w:basedOn w:val="DefaultParagraphFont"/>
    <w:link w:val="Footer"/>
    <w:uiPriority w:val="99"/>
    <w:rsid w:val="008D0F41"/>
  </w:style>
  <w:style w:type="paragraph" w:styleId="PlainText">
    <w:name w:val="Plain Text"/>
    <w:basedOn w:val="Normal"/>
    <w:link w:val="PlainTextChar"/>
    <w:uiPriority w:val="99"/>
    <w:semiHidden/>
    <w:unhideWhenUsed/>
    <w:rsid w:val="008D0F41"/>
    <w:rPr>
      <w:rFonts w:cs="Arial"/>
    </w:rPr>
  </w:style>
  <w:style w:type="character" w:customStyle="1" w:styleId="PlainTextChar">
    <w:name w:val="Plain Text Char"/>
    <w:basedOn w:val="DefaultParagraphFont"/>
    <w:link w:val="PlainText"/>
    <w:uiPriority w:val="99"/>
    <w:semiHidden/>
    <w:rsid w:val="008D0F41"/>
    <w:rPr>
      <w:rFonts w:cs="Arial"/>
    </w:rPr>
  </w:style>
  <w:style w:type="paragraph" w:styleId="Header">
    <w:name w:val="header"/>
    <w:basedOn w:val="Normal"/>
    <w:link w:val="HeaderChar"/>
    <w:uiPriority w:val="99"/>
    <w:unhideWhenUsed/>
    <w:rsid w:val="009E081B"/>
    <w:pPr>
      <w:tabs>
        <w:tab w:val="center" w:pos="4680"/>
        <w:tab w:val="right" w:pos="9360"/>
      </w:tabs>
    </w:pPr>
  </w:style>
  <w:style w:type="character" w:customStyle="1" w:styleId="HeaderChar">
    <w:name w:val="Header Char"/>
    <w:basedOn w:val="DefaultParagraphFont"/>
    <w:link w:val="Header"/>
    <w:uiPriority w:val="99"/>
    <w:rsid w:val="009E081B"/>
  </w:style>
  <w:style w:type="paragraph" w:styleId="FootnoteText">
    <w:name w:val="footnote text"/>
    <w:basedOn w:val="Normal"/>
    <w:link w:val="FootnoteTextChar"/>
    <w:uiPriority w:val="99"/>
    <w:semiHidden/>
    <w:unhideWhenUsed/>
    <w:rsid w:val="00D25661"/>
    <w:rPr>
      <w:sz w:val="20"/>
      <w:szCs w:val="20"/>
    </w:rPr>
  </w:style>
  <w:style w:type="character" w:customStyle="1" w:styleId="FootnoteTextChar">
    <w:name w:val="Footnote Text Char"/>
    <w:basedOn w:val="DefaultParagraphFont"/>
    <w:link w:val="FootnoteText"/>
    <w:uiPriority w:val="99"/>
    <w:semiHidden/>
    <w:rsid w:val="00D25661"/>
    <w:rPr>
      <w:sz w:val="20"/>
      <w:szCs w:val="20"/>
    </w:rPr>
  </w:style>
  <w:style w:type="character" w:styleId="FootnoteReference">
    <w:name w:val="footnote reference"/>
    <w:basedOn w:val="DefaultParagraphFont"/>
    <w:uiPriority w:val="99"/>
    <w:semiHidden/>
    <w:unhideWhenUsed/>
    <w:rsid w:val="00D25661"/>
    <w:rPr>
      <w:vertAlign w:val="superscript"/>
    </w:rPr>
  </w:style>
  <w:style w:type="character" w:customStyle="1" w:styleId="Heading1Char">
    <w:name w:val="Heading 1 Char"/>
    <w:basedOn w:val="DefaultParagraphFont"/>
    <w:link w:val="Heading1"/>
    <w:uiPriority w:val="9"/>
    <w:rsid w:val="00C02BDF"/>
    <w:rPr>
      <w:rFonts w:eastAsiaTheme="majorEastAsia" w:cs="Arial"/>
      <w:b/>
      <w:caps/>
      <w:szCs w:val="32"/>
      <w:u w:val="single"/>
    </w:rPr>
  </w:style>
  <w:style w:type="character" w:customStyle="1" w:styleId="Heading2Char">
    <w:name w:val="Heading 2 Char"/>
    <w:basedOn w:val="DefaultParagraphFont"/>
    <w:link w:val="Heading2"/>
    <w:uiPriority w:val="9"/>
    <w:rsid w:val="00C02BDF"/>
    <w:rPr>
      <w:rFonts w:eastAsiaTheme="majorEastAsia" w:cs="Arial"/>
      <w:b/>
      <w:szCs w:val="26"/>
    </w:rPr>
  </w:style>
  <w:style w:type="character" w:customStyle="1" w:styleId="Heading3Char">
    <w:name w:val="Heading 3 Char"/>
    <w:basedOn w:val="DefaultParagraphFont"/>
    <w:link w:val="Heading3"/>
    <w:uiPriority w:val="9"/>
    <w:rsid w:val="00C02BDF"/>
    <w:rPr>
      <w:rFonts w:eastAsiaTheme="majorEastAsia" w:cs="Arial"/>
      <w:b/>
    </w:rPr>
  </w:style>
  <w:style w:type="character" w:customStyle="1" w:styleId="Heading4Char">
    <w:name w:val="Heading 4 Char"/>
    <w:basedOn w:val="DefaultParagraphFont"/>
    <w:link w:val="Heading4"/>
    <w:uiPriority w:val="9"/>
    <w:semiHidden/>
    <w:rsid w:val="00C02BDF"/>
    <w:rPr>
      <w:rFonts w:eastAsiaTheme="majorEastAsia" w:cs="Arial"/>
      <w:b/>
      <w:i/>
      <w:iCs/>
    </w:rPr>
  </w:style>
  <w:style w:type="character" w:customStyle="1" w:styleId="Heading5Char">
    <w:name w:val="Heading 5 Char"/>
    <w:basedOn w:val="DefaultParagraphFont"/>
    <w:link w:val="Heading5"/>
    <w:uiPriority w:val="9"/>
    <w:semiHidden/>
    <w:rsid w:val="00C02BDF"/>
    <w:rPr>
      <w:rFonts w:eastAsiaTheme="majorEastAsia" w:cs="Arial"/>
      <w:color w:val="243F60" w:themeColor="accent1" w:themeShade="7F"/>
    </w:rPr>
  </w:style>
  <w:style w:type="character" w:customStyle="1" w:styleId="Heading6Char">
    <w:name w:val="Heading 6 Char"/>
    <w:basedOn w:val="DefaultParagraphFont"/>
    <w:link w:val="Heading6"/>
    <w:uiPriority w:val="9"/>
    <w:semiHidden/>
    <w:rsid w:val="00C02BDF"/>
    <w:rPr>
      <w:rFonts w:eastAsiaTheme="majorEastAsia" w:cs="Arial"/>
      <w:color w:val="243F60" w:themeColor="accent1" w:themeShade="7F"/>
    </w:rPr>
  </w:style>
  <w:style w:type="character" w:customStyle="1" w:styleId="Heading7Char">
    <w:name w:val="Heading 7 Char"/>
    <w:basedOn w:val="DefaultParagraphFont"/>
    <w:link w:val="Heading7"/>
    <w:uiPriority w:val="9"/>
    <w:semiHidden/>
    <w:rsid w:val="00C02BDF"/>
    <w:rPr>
      <w:rFonts w:eastAsiaTheme="majorEastAsia" w:cs="Arial"/>
      <w:iCs/>
      <w:color w:val="404040" w:themeColor="text1" w:themeTint="BF"/>
    </w:rPr>
  </w:style>
  <w:style w:type="character" w:customStyle="1" w:styleId="Heading8Char">
    <w:name w:val="Heading 8 Char"/>
    <w:basedOn w:val="DefaultParagraphFont"/>
    <w:link w:val="Heading8"/>
    <w:uiPriority w:val="9"/>
    <w:semiHidden/>
    <w:rsid w:val="00C02BDF"/>
    <w:rPr>
      <w:rFonts w:eastAsiaTheme="majorEastAsia" w:cs="Arial"/>
      <w:color w:val="404040" w:themeColor="text1" w:themeTint="BF"/>
      <w:szCs w:val="21"/>
    </w:rPr>
  </w:style>
  <w:style w:type="character" w:customStyle="1" w:styleId="Heading9Char">
    <w:name w:val="Heading 9 Char"/>
    <w:basedOn w:val="DefaultParagraphFont"/>
    <w:link w:val="Heading9"/>
    <w:uiPriority w:val="9"/>
    <w:semiHidden/>
    <w:rsid w:val="00C02BDF"/>
    <w:rPr>
      <w:rFonts w:eastAsiaTheme="majorEastAsia" w:cs="Arial"/>
      <w:iCs/>
      <w:color w:val="404040" w:themeColor="text1" w:themeTint="BF"/>
      <w:szCs w:val="21"/>
    </w:rPr>
  </w:style>
  <w:style w:type="paragraph" w:styleId="BalloonText">
    <w:name w:val="Balloon Text"/>
    <w:basedOn w:val="Normal"/>
    <w:link w:val="BalloonTextChar"/>
    <w:uiPriority w:val="99"/>
    <w:semiHidden/>
    <w:unhideWhenUsed/>
    <w:rsid w:val="00512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274"/>
    <w:rPr>
      <w:rFonts w:ascii="Segoe UI" w:hAnsi="Segoe UI" w:cs="Segoe UI"/>
      <w:sz w:val="18"/>
      <w:szCs w:val="18"/>
    </w:rPr>
  </w:style>
  <w:style w:type="character" w:styleId="CommentReference">
    <w:name w:val="annotation reference"/>
    <w:basedOn w:val="DefaultParagraphFont"/>
    <w:uiPriority w:val="99"/>
    <w:semiHidden/>
    <w:unhideWhenUsed/>
    <w:rsid w:val="005E1339"/>
    <w:rPr>
      <w:sz w:val="16"/>
      <w:szCs w:val="16"/>
    </w:rPr>
  </w:style>
  <w:style w:type="paragraph" w:styleId="CommentText">
    <w:name w:val="annotation text"/>
    <w:basedOn w:val="Normal"/>
    <w:link w:val="CommentTextChar"/>
    <w:uiPriority w:val="99"/>
    <w:semiHidden/>
    <w:unhideWhenUsed/>
    <w:rsid w:val="005E1339"/>
    <w:rPr>
      <w:sz w:val="20"/>
      <w:szCs w:val="20"/>
    </w:rPr>
  </w:style>
  <w:style w:type="character" w:customStyle="1" w:styleId="CommentTextChar">
    <w:name w:val="Comment Text Char"/>
    <w:basedOn w:val="DefaultParagraphFont"/>
    <w:link w:val="CommentText"/>
    <w:uiPriority w:val="99"/>
    <w:semiHidden/>
    <w:rsid w:val="005E1339"/>
    <w:rPr>
      <w:sz w:val="20"/>
      <w:szCs w:val="20"/>
    </w:rPr>
  </w:style>
  <w:style w:type="paragraph" w:styleId="CommentSubject">
    <w:name w:val="annotation subject"/>
    <w:basedOn w:val="CommentText"/>
    <w:next w:val="CommentText"/>
    <w:link w:val="CommentSubjectChar"/>
    <w:uiPriority w:val="99"/>
    <w:semiHidden/>
    <w:unhideWhenUsed/>
    <w:rsid w:val="005E1339"/>
    <w:rPr>
      <w:b/>
      <w:bCs/>
    </w:rPr>
  </w:style>
  <w:style w:type="character" w:customStyle="1" w:styleId="CommentSubjectChar">
    <w:name w:val="Comment Subject Char"/>
    <w:basedOn w:val="CommentTextChar"/>
    <w:link w:val="CommentSubject"/>
    <w:uiPriority w:val="99"/>
    <w:semiHidden/>
    <w:rsid w:val="005E1339"/>
    <w:rPr>
      <w:b/>
      <w:bCs/>
      <w:sz w:val="20"/>
      <w:szCs w:val="20"/>
    </w:rPr>
  </w:style>
  <w:style w:type="paragraph" w:styleId="Revision">
    <w:name w:val="Revision"/>
    <w:hidden/>
    <w:uiPriority w:val="99"/>
    <w:semiHidden/>
    <w:rsid w:val="00D10CB9"/>
  </w:style>
  <w:style w:type="paragraph" w:styleId="TOCHeading">
    <w:name w:val="TOC Heading"/>
    <w:basedOn w:val="Heading1"/>
    <w:next w:val="Normal"/>
    <w:uiPriority w:val="39"/>
    <w:unhideWhenUsed/>
    <w:qFormat/>
    <w:rsid w:val="00AF0ACE"/>
    <w:pPr>
      <w:keepNext/>
      <w:keepLines/>
      <w:numPr>
        <w:numId w:val="0"/>
      </w:numPr>
      <w:spacing w:before="240" w:after="0" w:line="259" w:lineRule="auto"/>
      <w:jc w:val="left"/>
      <w:outlineLvl w:val="9"/>
    </w:pPr>
    <w:rPr>
      <w:rFonts w:asciiTheme="majorHAnsi" w:hAnsiTheme="majorHAnsi" w:cstheme="majorBidi"/>
      <w:b w:val="0"/>
      <w:caps w:val="0"/>
      <w:color w:val="365F91" w:themeColor="accent1" w:themeShade="BF"/>
      <w:sz w:val="32"/>
      <w:u w:val="none"/>
    </w:rPr>
  </w:style>
  <w:style w:type="paragraph" w:styleId="TOC1">
    <w:name w:val="toc 1"/>
    <w:basedOn w:val="Normal"/>
    <w:next w:val="Normal"/>
    <w:autoRedefine/>
    <w:uiPriority w:val="39"/>
    <w:unhideWhenUsed/>
    <w:rsid w:val="00B6276D"/>
    <w:pPr>
      <w:tabs>
        <w:tab w:val="left" w:pos="720"/>
        <w:tab w:val="right" w:leader="dot" w:pos="9350"/>
      </w:tabs>
      <w:spacing w:after="100"/>
      <w:jc w:val="right"/>
    </w:pPr>
    <w:rPr>
      <w:b/>
    </w:rPr>
  </w:style>
  <w:style w:type="paragraph" w:styleId="TOC2">
    <w:name w:val="toc 2"/>
    <w:basedOn w:val="Normal"/>
    <w:next w:val="Normal"/>
    <w:autoRedefine/>
    <w:uiPriority w:val="39"/>
    <w:unhideWhenUsed/>
    <w:rsid w:val="00B6276D"/>
    <w:pPr>
      <w:tabs>
        <w:tab w:val="right" w:leader="dot" w:pos="9360"/>
      </w:tabs>
      <w:spacing w:after="100"/>
      <w:ind w:left="1440" w:right="720" w:hanging="720"/>
    </w:pPr>
  </w:style>
  <w:style w:type="paragraph" w:styleId="TOC3">
    <w:name w:val="toc 3"/>
    <w:basedOn w:val="Normal"/>
    <w:next w:val="Normal"/>
    <w:autoRedefine/>
    <w:uiPriority w:val="39"/>
    <w:unhideWhenUsed/>
    <w:rsid w:val="00761269"/>
    <w:pPr>
      <w:tabs>
        <w:tab w:val="right" w:leader="dot" w:pos="4310"/>
      </w:tabs>
      <w:spacing w:after="100"/>
      <w:ind w:left="2160" w:righ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13466">
      <w:bodyDiv w:val="1"/>
      <w:marLeft w:val="0"/>
      <w:marRight w:val="0"/>
      <w:marTop w:val="0"/>
      <w:marBottom w:val="0"/>
      <w:divBdr>
        <w:top w:val="none" w:sz="0" w:space="0" w:color="auto"/>
        <w:left w:val="none" w:sz="0" w:space="0" w:color="auto"/>
        <w:bottom w:val="none" w:sz="0" w:space="0" w:color="auto"/>
        <w:right w:val="none" w:sz="0" w:space="0" w:color="auto"/>
      </w:divBdr>
    </w:div>
    <w:div w:id="665015311">
      <w:bodyDiv w:val="1"/>
      <w:marLeft w:val="0"/>
      <w:marRight w:val="0"/>
      <w:marTop w:val="0"/>
      <w:marBottom w:val="0"/>
      <w:divBdr>
        <w:top w:val="none" w:sz="0" w:space="0" w:color="auto"/>
        <w:left w:val="none" w:sz="0" w:space="0" w:color="auto"/>
        <w:bottom w:val="none" w:sz="0" w:space="0" w:color="auto"/>
        <w:right w:val="none" w:sz="0" w:space="0" w:color="auto"/>
      </w:divBdr>
    </w:div>
    <w:div w:id="670529465">
      <w:bodyDiv w:val="1"/>
      <w:marLeft w:val="0"/>
      <w:marRight w:val="0"/>
      <w:marTop w:val="0"/>
      <w:marBottom w:val="0"/>
      <w:divBdr>
        <w:top w:val="none" w:sz="0" w:space="0" w:color="auto"/>
        <w:left w:val="none" w:sz="0" w:space="0" w:color="auto"/>
        <w:bottom w:val="none" w:sz="0" w:space="0" w:color="auto"/>
        <w:right w:val="none" w:sz="0" w:space="0" w:color="auto"/>
      </w:divBdr>
    </w:div>
    <w:div w:id="1092313404">
      <w:bodyDiv w:val="1"/>
      <w:marLeft w:val="0"/>
      <w:marRight w:val="0"/>
      <w:marTop w:val="0"/>
      <w:marBottom w:val="0"/>
      <w:divBdr>
        <w:top w:val="none" w:sz="0" w:space="0" w:color="auto"/>
        <w:left w:val="none" w:sz="0" w:space="0" w:color="auto"/>
        <w:bottom w:val="none" w:sz="0" w:space="0" w:color="auto"/>
        <w:right w:val="none" w:sz="0" w:space="0" w:color="auto"/>
      </w:divBdr>
    </w:div>
    <w:div w:id="1716738535">
      <w:bodyDiv w:val="1"/>
      <w:marLeft w:val="0"/>
      <w:marRight w:val="0"/>
      <w:marTop w:val="0"/>
      <w:marBottom w:val="0"/>
      <w:divBdr>
        <w:top w:val="none" w:sz="0" w:space="0" w:color="auto"/>
        <w:left w:val="none" w:sz="0" w:space="0" w:color="auto"/>
        <w:bottom w:val="none" w:sz="0" w:space="0" w:color="auto"/>
        <w:right w:val="none" w:sz="0" w:space="0" w:color="auto"/>
      </w:divBdr>
      <w:divsChild>
        <w:div w:id="44184339">
          <w:marLeft w:val="0"/>
          <w:marRight w:val="0"/>
          <w:marTop w:val="0"/>
          <w:marBottom w:val="0"/>
          <w:divBdr>
            <w:top w:val="none" w:sz="0" w:space="0" w:color="auto"/>
            <w:left w:val="none" w:sz="0" w:space="0" w:color="auto"/>
            <w:bottom w:val="none" w:sz="0" w:space="0" w:color="auto"/>
            <w:right w:val="none" w:sz="0" w:space="0" w:color="auto"/>
          </w:divBdr>
        </w:div>
      </w:divsChild>
    </w:div>
    <w:div w:id="19434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AC38A-303A-40EE-8EC3-88DE1B1A2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4115</Words>
  <Characters>22749</Characters>
  <Application>Microsoft Office Word</Application>
  <DocSecurity>0</DocSecurity>
  <PresentationFormat>15|.DOCX</PresentationFormat>
  <Lines>627</Lines>
  <Paragraphs>315</Paragraphs>
  <ScaleCrop>false</ScaleCrop>
  <HeadingPairs>
    <vt:vector size="2" baseType="variant">
      <vt:variant>
        <vt:lpstr>Title</vt:lpstr>
      </vt:variant>
      <vt:variant>
        <vt:i4>1</vt:i4>
      </vt:variant>
    </vt:vector>
  </HeadingPairs>
  <TitlesOfParts>
    <vt:vector size="1" baseType="lpstr">
      <vt:lpstr>17-872-EL-RDR Joint Reply in Support of Motion to Dismiss Duke PSR (C0102590-2).DOCX</vt:lpstr>
    </vt:vector>
  </TitlesOfParts>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17-872-EL-RDR Joint Reply in Support of Motion to Dismiss Duke PSR (C0102590-2).DOCX</dc:title>
  <dc:subject>C0102590:2</dc:subject>
  <dc:creator>Ryan, Debbie</dc:creator>
  <cp:keywords/>
  <dc:description/>
  <cp:lastModifiedBy>Ryan, Debbie</cp:lastModifiedBy>
  <cp:revision>3</cp:revision>
  <cp:lastPrinted>2017-06-28T14:32:00Z</cp:lastPrinted>
  <dcterms:created xsi:type="dcterms:W3CDTF">2017-06-28T15:22:00Z</dcterms:created>
  <dcterms:modified xsi:type="dcterms:W3CDTF">2017-06-28T16:44:00Z</dcterms:modified>
</cp:coreProperties>
</file>