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FA" w:rsidRPr="007739A0" w:rsidRDefault="00C832FA" w:rsidP="00C832FA">
      <w:pPr>
        <w:pStyle w:val="pucotitle"/>
        <w:rPr>
          <w:szCs w:val="24"/>
        </w:rPr>
      </w:pPr>
      <w:r w:rsidRPr="007739A0">
        <w:rPr>
          <w:szCs w:val="24"/>
        </w:rPr>
        <w:t>BEFORE</w:t>
      </w:r>
      <w:r w:rsidRPr="007739A0">
        <w:rPr>
          <w:szCs w:val="24"/>
        </w:rPr>
        <w:br/>
        <w:t>THE PUBLIC UTILITIES COMMISSION OF OHIO</w:t>
      </w:r>
    </w:p>
    <w:p w:rsidR="00C832FA" w:rsidRPr="007739A0" w:rsidRDefault="00C832FA" w:rsidP="00C832FA">
      <w:pPr>
        <w:spacing w:before="120"/>
        <w:rPr>
          <w:sz w:val="24"/>
          <w:szCs w:val="24"/>
        </w:rPr>
      </w:pPr>
    </w:p>
    <w:p w:rsidR="00C832FA" w:rsidRPr="007739A0" w:rsidRDefault="00C832FA" w:rsidP="00C832FA">
      <w:pPr>
        <w:tabs>
          <w:tab w:val="left" w:pos="5220"/>
        </w:tabs>
        <w:rPr>
          <w:sz w:val="24"/>
          <w:szCs w:val="24"/>
        </w:rPr>
      </w:pPr>
      <w:r w:rsidRPr="007739A0">
        <w:rPr>
          <w:sz w:val="24"/>
          <w:szCs w:val="24"/>
        </w:rPr>
        <w:t>In the Matter of the Application of the Joint Motion  )</w:t>
      </w:r>
    </w:p>
    <w:p w:rsidR="00C832FA" w:rsidRPr="007739A0" w:rsidRDefault="00C832FA" w:rsidP="00C832FA">
      <w:pPr>
        <w:rPr>
          <w:sz w:val="24"/>
          <w:szCs w:val="24"/>
        </w:rPr>
      </w:pPr>
      <w:r w:rsidRPr="007739A0">
        <w:rPr>
          <w:sz w:val="24"/>
          <w:szCs w:val="24"/>
        </w:rPr>
        <w:t>to Modify the December 2, 2009 Opinion and Order</w:t>
      </w:r>
      <w:r w:rsidRPr="007739A0">
        <w:rPr>
          <w:sz w:val="24"/>
          <w:szCs w:val="24"/>
        </w:rPr>
        <w:tab/>
        <w:t xml:space="preserve">) </w:t>
      </w:r>
      <w:r w:rsidRPr="007739A0">
        <w:rPr>
          <w:sz w:val="24"/>
          <w:szCs w:val="24"/>
        </w:rPr>
        <w:tab/>
        <w:t>Case No. 12-2637-GA-EXM</w:t>
      </w:r>
      <w:r w:rsidRPr="007739A0">
        <w:rPr>
          <w:sz w:val="24"/>
          <w:szCs w:val="24"/>
        </w:rPr>
        <w:tab/>
      </w:r>
    </w:p>
    <w:p w:rsidR="00C832FA" w:rsidRPr="007739A0" w:rsidRDefault="00C832FA" w:rsidP="00C832FA">
      <w:pPr>
        <w:rPr>
          <w:sz w:val="24"/>
          <w:szCs w:val="24"/>
        </w:rPr>
      </w:pPr>
      <w:r w:rsidRPr="007739A0">
        <w:rPr>
          <w:sz w:val="24"/>
          <w:szCs w:val="24"/>
        </w:rPr>
        <w:t xml:space="preserve">and the September 7, 2011 Second Opinion and  </w:t>
      </w:r>
      <w:r w:rsidRPr="007739A0">
        <w:rPr>
          <w:sz w:val="24"/>
          <w:szCs w:val="24"/>
        </w:rPr>
        <w:tab/>
        <w:t>)</w:t>
      </w:r>
      <w:r w:rsidRPr="007739A0">
        <w:rPr>
          <w:sz w:val="24"/>
          <w:szCs w:val="24"/>
        </w:rPr>
        <w:tab/>
      </w:r>
      <w:r w:rsidRPr="007739A0">
        <w:rPr>
          <w:sz w:val="24"/>
          <w:szCs w:val="24"/>
        </w:rPr>
        <w:tab/>
      </w:r>
      <w:r w:rsidRPr="007739A0">
        <w:rPr>
          <w:sz w:val="24"/>
          <w:szCs w:val="24"/>
        </w:rPr>
        <w:tab/>
      </w:r>
    </w:p>
    <w:p w:rsidR="00C832FA" w:rsidRPr="007739A0" w:rsidRDefault="00C832FA" w:rsidP="00C832FA">
      <w:pPr>
        <w:rPr>
          <w:sz w:val="24"/>
          <w:szCs w:val="24"/>
        </w:rPr>
      </w:pPr>
      <w:r w:rsidRPr="007739A0">
        <w:rPr>
          <w:sz w:val="24"/>
          <w:szCs w:val="24"/>
        </w:rPr>
        <w:t>Order in Case No. 08-1344-GA-EXM.</w:t>
      </w:r>
      <w:r w:rsidRPr="007739A0">
        <w:rPr>
          <w:sz w:val="24"/>
          <w:szCs w:val="24"/>
        </w:rPr>
        <w:tab/>
      </w:r>
      <w:r w:rsidRPr="007739A0">
        <w:rPr>
          <w:sz w:val="24"/>
          <w:szCs w:val="24"/>
        </w:rPr>
        <w:tab/>
        <w:t xml:space="preserve">) </w:t>
      </w:r>
      <w:r w:rsidRPr="007739A0">
        <w:rPr>
          <w:sz w:val="24"/>
          <w:szCs w:val="24"/>
        </w:rPr>
        <w:tab/>
        <w:t xml:space="preserve"> </w:t>
      </w:r>
      <w:r w:rsidRPr="007739A0">
        <w:rPr>
          <w:sz w:val="24"/>
          <w:szCs w:val="24"/>
        </w:rPr>
        <w:tab/>
      </w:r>
      <w:r w:rsidRPr="007739A0">
        <w:rPr>
          <w:sz w:val="24"/>
          <w:szCs w:val="24"/>
        </w:rPr>
        <w:tab/>
      </w:r>
    </w:p>
    <w:p w:rsidR="00C832FA" w:rsidRPr="007739A0" w:rsidRDefault="00C832FA" w:rsidP="00C832FA">
      <w:pPr>
        <w:rPr>
          <w:sz w:val="24"/>
          <w:szCs w:val="24"/>
        </w:rPr>
      </w:pPr>
      <w:r w:rsidRPr="007739A0">
        <w:rPr>
          <w:sz w:val="24"/>
          <w:szCs w:val="24"/>
        </w:rPr>
        <w:t xml:space="preserve"> </w:t>
      </w:r>
      <w:r w:rsidRPr="007739A0">
        <w:rPr>
          <w:sz w:val="24"/>
          <w:szCs w:val="24"/>
        </w:rPr>
        <w:tab/>
      </w:r>
    </w:p>
    <w:p w:rsidR="00C832FA" w:rsidRPr="007739A0" w:rsidRDefault="00C832FA" w:rsidP="00C832FA">
      <w:pPr>
        <w:widowControl w:val="0"/>
        <w:spacing w:before="240"/>
        <w:jc w:val="center"/>
        <w:rPr>
          <w:b/>
          <w:sz w:val="24"/>
          <w:szCs w:val="24"/>
        </w:rPr>
      </w:pPr>
      <w:r w:rsidRPr="007739A0">
        <w:rPr>
          <w:b/>
          <w:sz w:val="24"/>
          <w:szCs w:val="24"/>
        </w:rPr>
        <w:t xml:space="preserve"> HESS CORPORATION’S</w:t>
      </w:r>
    </w:p>
    <w:p w:rsidR="00C832FA" w:rsidRDefault="00C832FA" w:rsidP="00C832FA">
      <w:pPr>
        <w:widowControl w:val="0"/>
        <w:jc w:val="center"/>
        <w:rPr>
          <w:b/>
          <w:sz w:val="24"/>
          <w:szCs w:val="24"/>
        </w:rPr>
      </w:pPr>
      <w:r w:rsidRPr="007739A0">
        <w:rPr>
          <w:b/>
          <w:sz w:val="24"/>
          <w:szCs w:val="24"/>
        </w:rPr>
        <w:t>MEMORA</w:t>
      </w:r>
      <w:r w:rsidR="007E180F">
        <w:rPr>
          <w:b/>
          <w:sz w:val="24"/>
          <w:szCs w:val="24"/>
        </w:rPr>
        <w:t>N</w:t>
      </w:r>
      <w:r w:rsidRPr="007739A0">
        <w:rPr>
          <w:b/>
          <w:sz w:val="24"/>
          <w:szCs w:val="24"/>
        </w:rPr>
        <w:t xml:space="preserve">DUM </w:t>
      </w:r>
      <w:r w:rsidR="00270803" w:rsidRPr="007739A0">
        <w:rPr>
          <w:b/>
          <w:sz w:val="24"/>
          <w:szCs w:val="24"/>
        </w:rPr>
        <w:t>CONTRA JOINT</w:t>
      </w:r>
      <w:r w:rsidR="00270803">
        <w:rPr>
          <w:b/>
          <w:sz w:val="24"/>
          <w:szCs w:val="24"/>
        </w:rPr>
        <w:t xml:space="preserve"> MOVANTS’</w:t>
      </w:r>
    </w:p>
    <w:p w:rsidR="00270803" w:rsidRDefault="00270803" w:rsidP="00C832FA">
      <w:pPr>
        <w:widowControl w:val="0"/>
        <w:jc w:val="center"/>
        <w:rPr>
          <w:b/>
          <w:sz w:val="24"/>
          <w:szCs w:val="24"/>
        </w:rPr>
      </w:pPr>
      <w:r>
        <w:rPr>
          <w:b/>
          <w:sz w:val="24"/>
          <w:szCs w:val="24"/>
        </w:rPr>
        <w:t xml:space="preserve">MOTION TO MODIFY ORDERS GRANTING EXEMPTION AND </w:t>
      </w:r>
    </w:p>
    <w:p w:rsidR="00270803" w:rsidRDefault="00270803" w:rsidP="00C832FA">
      <w:pPr>
        <w:widowControl w:val="0"/>
        <w:jc w:val="center"/>
        <w:rPr>
          <w:b/>
          <w:sz w:val="24"/>
          <w:szCs w:val="24"/>
        </w:rPr>
      </w:pPr>
      <w:r>
        <w:rPr>
          <w:b/>
          <w:sz w:val="24"/>
          <w:szCs w:val="24"/>
        </w:rPr>
        <w:t xml:space="preserve">MOTION FOR BIFURCATION OF THE CAPACITY AND BALANCING ISSUES </w:t>
      </w:r>
    </w:p>
    <w:p w:rsidR="00270803" w:rsidRPr="007739A0" w:rsidRDefault="00270803" w:rsidP="00C832FA">
      <w:pPr>
        <w:widowControl w:val="0"/>
        <w:jc w:val="center"/>
        <w:rPr>
          <w:b/>
          <w:sz w:val="24"/>
          <w:szCs w:val="24"/>
        </w:rPr>
      </w:pPr>
      <w:r>
        <w:rPr>
          <w:b/>
          <w:sz w:val="24"/>
          <w:szCs w:val="24"/>
        </w:rPr>
        <w:t>ON AN EXPEDITED BASIS</w:t>
      </w:r>
    </w:p>
    <w:p w:rsidR="00DF590B" w:rsidRPr="007739A0" w:rsidRDefault="00DF590B">
      <w:pPr>
        <w:rPr>
          <w:sz w:val="24"/>
          <w:szCs w:val="24"/>
        </w:rPr>
      </w:pPr>
    </w:p>
    <w:p w:rsidR="00C832FA" w:rsidRPr="007739A0" w:rsidRDefault="00621155" w:rsidP="00270803">
      <w:pPr>
        <w:pStyle w:val="ListParagraph"/>
        <w:numPr>
          <w:ilvl w:val="0"/>
          <w:numId w:val="1"/>
        </w:numPr>
        <w:spacing w:before="240"/>
        <w:ind w:left="720"/>
        <w:rPr>
          <w:b/>
          <w:i/>
          <w:sz w:val="24"/>
          <w:szCs w:val="24"/>
        </w:rPr>
      </w:pPr>
      <w:r w:rsidRPr="007739A0">
        <w:rPr>
          <w:b/>
          <w:i/>
          <w:sz w:val="24"/>
          <w:szCs w:val="24"/>
        </w:rPr>
        <w:t>INTRODUCTION</w:t>
      </w:r>
    </w:p>
    <w:p w:rsidR="00621155" w:rsidRPr="007739A0" w:rsidRDefault="00C832FA" w:rsidP="00621155">
      <w:pPr>
        <w:spacing w:before="240" w:line="480" w:lineRule="auto"/>
        <w:ind w:firstLine="720"/>
        <w:jc w:val="both"/>
        <w:rPr>
          <w:sz w:val="24"/>
          <w:szCs w:val="24"/>
        </w:rPr>
      </w:pPr>
      <w:r w:rsidRPr="007739A0">
        <w:rPr>
          <w:sz w:val="24"/>
          <w:szCs w:val="24"/>
        </w:rPr>
        <w:t>On October</w:t>
      </w:r>
      <w:r w:rsidR="00270803">
        <w:rPr>
          <w:sz w:val="24"/>
          <w:szCs w:val="24"/>
        </w:rPr>
        <w:t xml:space="preserve"> 4, 2012, Columbia Gas of Ohio, </w:t>
      </w:r>
      <w:r w:rsidRPr="007739A0">
        <w:rPr>
          <w:sz w:val="24"/>
          <w:szCs w:val="24"/>
        </w:rPr>
        <w:t>Staff of the Public Utilities Commission of Ohio, Ohio Gas Marketers’ Group, Retail Energy Supply Association, and Dominion Retail, Inc. (collectively, “Joint Movants”)</w:t>
      </w:r>
      <w:r w:rsidR="005C0A7A" w:rsidRPr="007739A0">
        <w:rPr>
          <w:sz w:val="24"/>
          <w:szCs w:val="24"/>
        </w:rPr>
        <w:t xml:space="preserve"> </w:t>
      </w:r>
      <w:r w:rsidRPr="007739A0">
        <w:rPr>
          <w:sz w:val="24"/>
          <w:szCs w:val="24"/>
        </w:rPr>
        <w:t xml:space="preserve">filed a Joint Motion to Modify Orders Granting Exemption and Motion for Bifurcation of the Capacity and Balancing Issues on an Expedited Basis.  </w:t>
      </w:r>
      <w:r w:rsidR="00621155" w:rsidRPr="007739A0">
        <w:rPr>
          <w:sz w:val="24"/>
          <w:szCs w:val="24"/>
        </w:rPr>
        <w:t>Hess Corporation (“Hess”) opposes an expedited ruling on t</w:t>
      </w:r>
      <w:r w:rsidR="005C0A7A" w:rsidRPr="007739A0">
        <w:rPr>
          <w:sz w:val="24"/>
          <w:szCs w:val="24"/>
        </w:rPr>
        <w:t>he</w:t>
      </w:r>
      <w:r w:rsidR="00621155" w:rsidRPr="007739A0">
        <w:rPr>
          <w:sz w:val="24"/>
          <w:szCs w:val="24"/>
        </w:rPr>
        <w:t xml:space="preserve"> Joint Motion to Modify Orders Granting Exemption</w:t>
      </w:r>
      <w:r w:rsidR="005C0A7A" w:rsidRPr="007739A0">
        <w:rPr>
          <w:sz w:val="24"/>
          <w:szCs w:val="24"/>
        </w:rPr>
        <w:t xml:space="preserve"> </w:t>
      </w:r>
      <w:r w:rsidR="00621155" w:rsidRPr="007739A0">
        <w:rPr>
          <w:sz w:val="24"/>
          <w:szCs w:val="24"/>
        </w:rPr>
        <w:t xml:space="preserve">as unlawful.  Hess </w:t>
      </w:r>
      <w:r w:rsidR="009E1CF6" w:rsidRPr="007739A0">
        <w:rPr>
          <w:sz w:val="24"/>
          <w:szCs w:val="24"/>
        </w:rPr>
        <w:t xml:space="preserve">does </w:t>
      </w:r>
      <w:r w:rsidR="00621155" w:rsidRPr="007739A0">
        <w:rPr>
          <w:sz w:val="24"/>
          <w:szCs w:val="24"/>
        </w:rPr>
        <w:t xml:space="preserve">not oppose an expedited ruling on the Motion for </w:t>
      </w:r>
      <w:r w:rsidR="00A23F34" w:rsidRPr="007739A0">
        <w:rPr>
          <w:sz w:val="24"/>
          <w:szCs w:val="24"/>
        </w:rPr>
        <w:t>Bifurcation</w:t>
      </w:r>
      <w:r w:rsidR="00621155" w:rsidRPr="007739A0">
        <w:rPr>
          <w:sz w:val="24"/>
          <w:szCs w:val="24"/>
        </w:rPr>
        <w:t>, no</w:t>
      </w:r>
      <w:r w:rsidR="009E1CF6" w:rsidRPr="007739A0">
        <w:rPr>
          <w:sz w:val="24"/>
          <w:szCs w:val="24"/>
        </w:rPr>
        <w:t>r</w:t>
      </w:r>
      <w:r w:rsidR="00621155" w:rsidRPr="007739A0">
        <w:rPr>
          <w:sz w:val="24"/>
          <w:szCs w:val="24"/>
        </w:rPr>
        <w:t xml:space="preserve"> does it oppose </w:t>
      </w:r>
      <w:r w:rsidR="00270803">
        <w:rPr>
          <w:sz w:val="24"/>
          <w:szCs w:val="24"/>
        </w:rPr>
        <w:t>the Motion for B</w:t>
      </w:r>
      <w:r w:rsidR="00621155" w:rsidRPr="007739A0">
        <w:rPr>
          <w:sz w:val="24"/>
          <w:szCs w:val="24"/>
        </w:rPr>
        <w:t>ifurcation as long as the</w:t>
      </w:r>
      <w:r w:rsidR="007739A0">
        <w:rPr>
          <w:sz w:val="24"/>
          <w:szCs w:val="24"/>
        </w:rPr>
        <w:t xml:space="preserve"> stipulation on which the Commission is to rule</w:t>
      </w:r>
      <w:r w:rsidR="00270803">
        <w:rPr>
          <w:sz w:val="24"/>
          <w:szCs w:val="24"/>
        </w:rPr>
        <w:t xml:space="preserve"> also</w:t>
      </w:r>
      <w:r w:rsidR="007739A0">
        <w:rPr>
          <w:sz w:val="24"/>
          <w:szCs w:val="24"/>
        </w:rPr>
        <w:t xml:space="preserve"> is bifurcated</w:t>
      </w:r>
      <w:r w:rsidR="00270803">
        <w:rPr>
          <w:sz w:val="24"/>
          <w:szCs w:val="24"/>
        </w:rPr>
        <w:t xml:space="preserve">, and the </w:t>
      </w:r>
      <w:r w:rsidR="00621155" w:rsidRPr="007739A0">
        <w:rPr>
          <w:sz w:val="24"/>
          <w:szCs w:val="24"/>
        </w:rPr>
        <w:t>parties are provided ample due process</w:t>
      </w:r>
      <w:r w:rsidR="00270803">
        <w:rPr>
          <w:sz w:val="24"/>
          <w:szCs w:val="24"/>
        </w:rPr>
        <w:t xml:space="preserve"> in each phase of the proceeding, including meaningful time for discovery, hearing and briefing.  </w:t>
      </w:r>
    </w:p>
    <w:p w:rsidR="00621155" w:rsidRPr="007739A0" w:rsidRDefault="00621155" w:rsidP="00621155">
      <w:pPr>
        <w:pStyle w:val="ListParagraph"/>
        <w:numPr>
          <w:ilvl w:val="0"/>
          <w:numId w:val="1"/>
        </w:numPr>
        <w:spacing w:before="120" w:line="480" w:lineRule="auto"/>
        <w:ind w:left="720"/>
        <w:jc w:val="both"/>
        <w:rPr>
          <w:b/>
          <w:i/>
          <w:sz w:val="24"/>
          <w:szCs w:val="24"/>
        </w:rPr>
      </w:pPr>
      <w:r w:rsidRPr="007739A0">
        <w:rPr>
          <w:b/>
          <w:i/>
          <w:sz w:val="24"/>
          <w:szCs w:val="24"/>
        </w:rPr>
        <w:t>ARGUMENT</w:t>
      </w:r>
    </w:p>
    <w:p w:rsidR="00621155" w:rsidRPr="007739A0" w:rsidRDefault="00621155" w:rsidP="003330C5">
      <w:pPr>
        <w:pStyle w:val="ListParagraph"/>
        <w:numPr>
          <w:ilvl w:val="0"/>
          <w:numId w:val="3"/>
        </w:numPr>
        <w:spacing w:line="480" w:lineRule="auto"/>
        <w:ind w:left="1440" w:hanging="720"/>
        <w:jc w:val="both"/>
        <w:rPr>
          <w:b/>
          <w:i/>
          <w:sz w:val="24"/>
          <w:szCs w:val="24"/>
        </w:rPr>
      </w:pPr>
      <w:r w:rsidRPr="007739A0">
        <w:rPr>
          <w:b/>
          <w:i/>
          <w:sz w:val="24"/>
          <w:szCs w:val="24"/>
        </w:rPr>
        <w:t>Issuance of an Expedited Ruling on the Joint Application is Unlawful.</w:t>
      </w:r>
    </w:p>
    <w:p w:rsidR="009E1CF6" w:rsidRPr="007739A0" w:rsidRDefault="00621155" w:rsidP="00621155">
      <w:pPr>
        <w:spacing w:line="480" w:lineRule="auto"/>
        <w:ind w:firstLine="720"/>
        <w:jc w:val="both"/>
        <w:rPr>
          <w:sz w:val="24"/>
          <w:szCs w:val="24"/>
        </w:rPr>
      </w:pPr>
      <w:r w:rsidRPr="007739A0">
        <w:rPr>
          <w:sz w:val="24"/>
          <w:szCs w:val="24"/>
        </w:rPr>
        <w:t xml:space="preserve">The </w:t>
      </w:r>
      <w:r w:rsidR="005C0A7A" w:rsidRPr="007739A0">
        <w:rPr>
          <w:sz w:val="24"/>
          <w:szCs w:val="24"/>
        </w:rPr>
        <w:t xml:space="preserve">Joint Motion, at 2, and Memorandum in Support, at 10, appear to request an expedited ruling on the Joint Motion to Modify Orders Granting Exemption.  </w:t>
      </w:r>
      <w:r w:rsidRPr="007739A0">
        <w:rPr>
          <w:sz w:val="24"/>
          <w:szCs w:val="24"/>
        </w:rPr>
        <w:t xml:space="preserve">Hess notes that the Joint Motion was filed pursuant to Section 4929.08(A), Ohio Rev. Code, which requires notice </w:t>
      </w:r>
      <w:r w:rsidRPr="007739A0">
        <w:rPr>
          <w:sz w:val="24"/>
          <w:szCs w:val="24"/>
        </w:rPr>
        <w:lastRenderedPageBreak/>
        <w:t xml:space="preserve">and hearing </w:t>
      </w:r>
      <w:r w:rsidR="00270803">
        <w:rPr>
          <w:sz w:val="24"/>
          <w:szCs w:val="24"/>
        </w:rPr>
        <w:t xml:space="preserve">before </w:t>
      </w:r>
      <w:r w:rsidR="003330C5">
        <w:rPr>
          <w:sz w:val="24"/>
          <w:szCs w:val="24"/>
        </w:rPr>
        <w:t xml:space="preserve">the previous Commission orders may be modified.  </w:t>
      </w:r>
      <w:r w:rsidR="009E1CF6" w:rsidRPr="007739A0">
        <w:rPr>
          <w:sz w:val="24"/>
          <w:szCs w:val="24"/>
        </w:rPr>
        <w:t xml:space="preserve">Thus, an expedited ruling on the Joint Motion would be unlawful.  By motion filed contemporaneously with this memorandum contra, Hess </w:t>
      </w:r>
      <w:r w:rsidR="00270803">
        <w:rPr>
          <w:sz w:val="24"/>
          <w:szCs w:val="24"/>
        </w:rPr>
        <w:t xml:space="preserve">seeks </w:t>
      </w:r>
      <w:r w:rsidR="009E1CF6" w:rsidRPr="007739A0">
        <w:rPr>
          <w:sz w:val="24"/>
          <w:szCs w:val="24"/>
        </w:rPr>
        <w:t>to intervene in this proceeding and opposes the Joint Motion</w:t>
      </w:r>
      <w:r w:rsidR="00A23F34" w:rsidRPr="007739A0">
        <w:rPr>
          <w:sz w:val="24"/>
          <w:szCs w:val="24"/>
        </w:rPr>
        <w:t xml:space="preserve"> to Modify Orders Granting Exemption</w:t>
      </w:r>
      <w:r w:rsidR="00270803">
        <w:rPr>
          <w:sz w:val="24"/>
          <w:szCs w:val="24"/>
        </w:rPr>
        <w:t xml:space="preserve"> on its merits</w:t>
      </w:r>
      <w:r w:rsidR="009E1CF6" w:rsidRPr="007739A0">
        <w:rPr>
          <w:sz w:val="24"/>
          <w:szCs w:val="24"/>
        </w:rPr>
        <w:t>.  Hess’ memorandum in support of its motion to intervene is incorporated by reference herein as the basis for Hess’ opposition to the Joint Motion.</w:t>
      </w:r>
    </w:p>
    <w:p w:rsidR="00913C3D" w:rsidRPr="007739A0" w:rsidRDefault="009E1CF6" w:rsidP="003330C5">
      <w:pPr>
        <w:pStyle w:val="ListParagraph"/>
        <w:numPr>
          <w:ilvl w:val="0"/>
          <w:numId w:val="3"/>
        </w:numPr>
        <w:spacing w:before="120" w:line="480" w:lineRule="auto"/>
        <w:ind w:left="1440" w:hanging="720"/>
        <w:jc w:val="both"/>
        <w:rPr>
          <w:b/>
          <w:i/>
          <w:sz w:val="24"/>
          <w:szCs w:val="24"/>
        </w:rPr>
      </w:pPr>
      <w:r w:rsidRPr="007739A0">
        <w:rPr>
          <w:b/>
          <w:i/>
          <w:sz w:val="24"/>
          <w:szCs w:val="24"/>
        </w:rPr>
        <w:t>Hess Does Not Oppose an Expedited Ruling on the Motion to Bifurcate</w:t>
      </w:r>
    </w:p>
    <w:p w:rsidR="00A0369F" w:rsidRPr="007739A0" w:rsidRDefault="00913C3D" w:rsidP="00913C3D">
      <w:pPr>
        <w:spacing w:line="480" w:lineRule="auto"/>
        <w:ind w:firstLine="720"/>
        <w:jc w:val="both"/>
        <w:rPr>
          <w:sz w:val="24"/>
          <w:szCs w:val="24"/>
        </w:rPr>
      </w:pPr>
      <w:r w:rsidRPr="007739A0">
        <w:rPr>
          <w:sz w:val="24"/>
          <w:szCs w:val="24"/>
        </w:rPr>
        <w:t>Although unclear, Hess believes that Joint Movants actually seek an expedited ruling</w:t>
      </w:r>
      <w:r w:rsidR="00270803">
        <w:rPr>
          <w:sz w:val="24"/>
          <w:szCs w:val="24"/>
        </w:rPr>
        <w:t xml:space="preserve"> only</w:t>
      </w:r>
      <w:r w:rsidRPr="007739A0">
        <w:rPr>
          <w:sz w:val="24"/>
          <w:szCs w:val="24"/>
        </w:rPr>
        <w:t xml:space="preserve"> on the Motion to Bifurcate.  Hess does not oppose an expedited ruling on such motion, provided interested persons are provided at least seven days</w:t>
      </w:r>
      <w:r w:rsidR="00F0100C" w:rsidRPr="007739A0">
        <w:rPr>
          <w:sz w:val="24"/>
          <w:szCs w:val="24"/>
        </w:rPr>
        <w:t xml:space="preserve"> from filing such motion</w:t>
      </w:r>
      <w:r w:rsidRPr="007739A0">
        <w:rPr>
          <w:sz w:val="24"/>
          <w:szCs w:val="24"/>
        </w:rPr>
        <w:t xml:space="preserve"> to file memoranda contra, as provided in Rule 4901-1-12(C), Ohio Admin. Code.  </w:t>
      </w:r>
    </w:p>
    <w:p w:rsidR="00A0369F" w:rsidRPr="007739A0" w:rsidRDefault="00A0369F" w:rsidP="003330C5">
      <w:pPr>
        <w:pStyle w:val="ListParagraph"/>
        <w:numPr>
          <w:ilvl w:val="0"/>
          <w:numId w:val="3"/>
        </w:numPr>
        <w:spacing w:before="120" w:line="480" w:lineRule="auto"/>
        <w:ind w:left="1440" w:hanging="720"/>
        <w:jc w:val="both"/>
        <w:rPr>
          <w:b/>
          <w:i/>
          <w:sz w:val="24"/>
          <w:szCs w:val="24"/>
        </w:rPr>
      </w:pPr>
      <w:r w:rsidRPr="007739A0">
        <w:rPr>
          <w:b/>
          <w:i/>
          <w:sz w:val="24"/>
          <w:szCs w:val="24"/>
        </w:rPr>
        <w:t>A Bifu</w:t>
      </w:r>
      <w:r w:rsidR="007739A0">
        <w:rPr>
          <w:b/>
          <w:i/>
          <w:sz w:val="24"/>
          <w:szCs w:val="24"/>
        </w:rPr>
        <w:t>r</w:t>
      </w:r>
      <w:r w:rsidRPr="007739A0">
        <w:rPr>
          <w:b/>
          <w:i/>
          <w:sz w:val="24"/>
          <w:szCs w:val="24"/>
        </w:rPr>
        <w:t xml:space="preserve">cated Proceeding Requires that the Stipulation be Bifurcated. </w:t>
      </w:r>
    </w:p>
    <w:p w:rsidR="00A0369F" w:rsidRPr="007739A0" w:rsidRDefault="00A0369F" w:rsidP="00A0369F">
      <w:pPr>
        <w:spacing w:line="480" w:lineRule="auto"/>
        <w:ind w:firstLine="720"/>
        <w:jc w:val="both"/>
        <w:rPr>
          <w:sz w:val="24"/>
          <w:szCs w:val="24"/>
        </w:rPr>
      </w:pPr>
      <w:r w:rsidRPr="007739A0">
        <w:rPr>
          <w:sz w:val="24"/>
          <w:szCs w:val="24"/>
        </w:rPr>
        <w:t xml:space="preserve">The Commission uses a three-pronged standard for reviewing stipulations and partial stipulations presented for its consideration:  </w:t>
      </w:r>
    </w:p>
    <w:p w:rsidR="007739A0" w:rsidRDefault="007739A0" w:rsidP="007739A0">
      <w:pPr>
        <w:overflowPunct/>
        <w:autoSpaceDE/>
        <w:autoSpaceDN/>
        <w:adjustRightInd/>
        <w:ind w:left="2160" w:right="1440" w:hanging="720"/>
        <w:textAlignment w:val="auto"/>
        <w:rPr>
          <w:color w:val="333333"/>
          <w:sz w:val="24"/>
          <w:szCs w:val="24"/>
        </w:rPr>
      </w:pPr>
      <w:r w:rsidRPr="007739A0">
        <w:rPr>
          <w:color w:val="333333"/>
          <w:sz w:val="24"/>
          <w:szCs w:val="24"/>
        </w:rPr>
        <w:t xml:space="preserve"> (1) </w:t>
      </w:r>
      <w:r>
        <w:rPr>
          <w:color w:val="333333"/>
          <w:sz w:val="24"/>
          <w:szCs w:val="24"/>
        </w:rPr>
        <w:tab/>
      </w:r>
      <w:r w:rsidRPr="007739A0">
        <w:rPr>
          <w:color w:val="333333"/>
          <w:sz w:val="24"/>
          <w:szCs w:val="24"/>
        </w:rPr>
        <w:t>Is the settlement a product of serious bargaining among capable, knowledgeable parties?</w:t>
      </w:r>
    </w:p>
    <w:p w:rsidR="007739A0" w:rsidRDefault="007739A0" w:rsidP="007739A0">
      <w:pPr>
        <w:overflowPunct/>
        <w:autoSpaceDE/>
        <w:autoSpaceDN/>
        <w:adjustRightInd/>
        <w:spacing w:before="120"/>
        <w:ind w:left="2160" w:right="1440" w:hanging="720"/>
        <w:textAlignment w:val="auto"/>
        <w:rPr>
          <w:color w:val="333333"/>
          <w:sz w:val="24"/>
          <w:szCs w:val="24"/>
        </w:rPr>
      </w:pPr>
      <w:r w:rsidRPr="007739A0">
        <w:rPr>
          <w:color w:val="333333"/>
          <w:sz w:val="24"/>
          <w:szCs w:val="24"/>
        </w:rPr>
        <w:t xml:space="preserve">(2) </w:t>
      </w:r>
      <w:r>
        <w:rPr>
          <w:color w:val="333333"/>
          <w:sz w:val="24"/>
          <w:szCs w:val="24"/>
        </w:rPr>
        <w:tab/>
      </w:r>
      <w:r w:rsidRPr="007739A0">
        <w:rPr>
          <w:color w:val="333333"/>
          <w:sz w:val="24"/>
          <w:szCs w:val="24"/>
        </w:rPr>
        <w:t>Does the settlement, as a package, benefit ratepayers and the public interest?</w:t>
      </w:r>
    </w:p>
    <w:p w:rsidR="007739A0" w:rsidRPr="007739A0" w:rsidRDefault="007739A0" w:rsidP="007739A0">
      <w:pPr>
        <w:overflowPunct/>
        <w:autoSpaceDE/>
        <w:autoSpaceDN/>
        <w:adjustRightInd/>
        <w:spacing w:before="120"/>
        <w:ind w:left="2160" w:right="1440" w:hanging="720"/>
        <w:textAlignment w:val="auto"/>
        <w:rPr>
          <w:color w:val="333333"/>
          <w:sz w:val="24"/>
          <w:szCs w:val="24"/>
        </w:rPr>
      </w:pPr>
      <w:r w:rsidRPr="007739A0">
        <w:rPr>
          <w:color w:val="333333"/>
          <w:sz w:val="24"/>
          <w:szCs w:val="24"/>
        </w:rPr>
        <w:t xml:space="preserve">(3) </w:t>
      </w:r>
      <w:r>
        <w:rPr>
          <w:color w:val="333333"/>
          <w:sz w:val="24"/>
          <w:szCs w:val="24"/>
        </w:rPr>
        <w:tab/>
      </w:r>
      <w:r w:rsidRPr="007739A0">
        <w:rPr>
          <w:color w:val="333333"/>
          <w:sz w:val="24"/>
          <w:szCs w:val="24"/>
        </w:rPr>
        <w:t>Does the settlement package violate any important regulatory principle or practice?</w:t>
      </w:r>
    </w:p>
    <w:p w:rsidR="00B31FF1" w:rsidRDefault="007739A0" w:rsidP="00B31FF1">
      <w:pPr>
        <w:spacing w:before="240" w:line="480" w:lineRule="auto"/>
        <w:jc w:val="both"/>
        <w:rPr>
          <w:sz w:val="24"/>
          <w:szCs w:val="24"/>
        </w:rPr>
      </w:pPr>
      <w:r w:rsidRPr="00AC5E11">
        <w:rPr>
          <w:sz w:val="24"/>
          <w:szCs w:val="24"/>
        </w:rPr>
        <w:t xml:space="preserve">See, e.g., </w:t>
      </w:r>
      <w:r w:rsidRPr="00AC5E11">
        <w:rPr>
          <w:i/>
          <w:sz w:val="24"/>
          <w:szCs w:val="24"/>
        </w:rPr>
        <w:t>In Re Vectren Energy Deliver of Ohio, Inc. for Approval of its Exemption Authority Granted in Case No. 07-1285-GA-EXM</w:t>
      </w:r>
      <w:r w:rsidRPr="00AC5E11">
        <w:rPr>
          <w:sz w:val="24"/>
          <w:szCs w:val="24"/>
        </w:rPr>
        <w:t>, PUCO Case NO. 12-483-GA-EXM (Opinion and O</w:t>
      </w:r>
      <w:r w:rsidR="00270803">
        <w:rPr>
          <w:sz w:val="24"/>
          <w:szCs w:val="24"/>
        </w:rPr>
        <w:t>r</w:t>
      </w:r>
      <w:r w:rsidRPr="00AC5E11">
        <w:rPr>
          <w:sz w:val="24"/>
          <w:szCs w:val="24"/>
        </w:rPr>
        <w:t>der, May 16, 2012</w:t>
      </w:r>
      <w:r w:rsidR="00270803">
        <w:rPr>
          <w:sz w:val="24"/>
          <w:szCs w:val="24"/>
        </w:rPr>
        <w:t>)</w:t>
      </w:r>
      <w:r w:rsidRPr="00AC5E11">
        <w:rPr>
          <w:sz w:val="24"/>
          <w:szCs w:val="24"/>
        </w:rPr>
        <w:t xml:space="preserve">.  </w:t>
      </w:r>
      <w:r w:rsidR="00AC5E11">
        <w:rPr>
          <w:sz w:val="24"/>
          <w:szCs w:val="24"/>
        </w:rPr>
        <w:t xml:space="preserve">If this proceeding is bifurcated as Joint Movants propose, the Commission will be precluded, under the above standard of review, from considering whether </w:t>
      </w:r>
      <w:r w:rsidR="00B31FF1">
        <w:rPr>
          <w:sz w:val="24"/>
          <w:szCs w:val="24"/>
        </w:rPr>
        <w:t>the entire “</w:t>
      </w:r>
      <w:r w:rsidR="00AC5E11">
        <w:rPr>
          <w:sz w:val="24"/>
          <w:szCs w:val="24"/>
        </w:rPr>
        <w:t xml:space="preserve">settlement, </w:t>
      </w:r>
      <w:r w:rsidR="00AC5E11" w:rsidRPr="00AC5E11">
        <w:rPr>
          <w:b/>
          <w:i/>
          <w:sz w:val="24"/>
          <w:szCs w:val="24"/>
          <w:u w:val="single"/>
        </w:rPr>
        <w:t>as a package</w:t>
      </w:r>
      <w:r w:rsidR="00AC5E11">
        <w:rPr>
          <w:sz w:val="24"/>
          <w:szCs w:val="24"/>
        </w:rPr>
        <w:t xml:space="preserve">, benefit[s] ratepayers and the public interest.”  Emphasis </w:t>
      </w:r>
      <w:r w:rsidR="00AC5E11">
        <w:rPr>
          <w:sz w:val="24"/>
          <w:szCs w:val="24"/>
        </w:rPr>
        <w:lastRenderedPageBreak/>
        <w:t xml:space="preserve">supplied.   </w:t>
      </w:r>
      <w:r w:rsidR="00B31FF1">
        <w:rPr>
          <w:sz w:val="24"/>
          <w:szCs w:val="24"/>
        </w:rPr>
        <w:t xml:space="preserve">Obviously, in the first phase of the bifurcated proceeding, the Commission cannot rely on </w:t>
      </w:r>
      <w:r w:rsidR="0011451D">
        <w:rPr>
          <w:sz w:val="24"/>
          <w:szCs w:val="24"/>
        </w:rPr>
        <w:t xml:space="preserve">yet-to-be </w:t>
      </w:r>
      <w:r w:rsidR="00B31FF1">
        <w:rPr>
          <w:sz w:val="24"/>
          <w:szCs w:val="24"/>
        </w:rPr>
        <w:t xml:space="preserve">adjudicated </w:t>
      </w:r>
      <w:r w:rsidR="0011451D">
        <w:rPr>
          <w:sz w:val="24"/>
          <w:szCs w:val="24"/>
        </w:rPr>
        <w:t xml:space="preserve">matters </w:t>
      </w:r>
      <w:r w:rsidR="00B31FF1">
        <w:rPr>
          <w:sz w:val="24"/>
          <w:szCs w:val="24"/>
        </w:rPr>
        <w:t>in the second phase of the proceeding to make the determination</w:t>
      </w:r>
      <w:r w:rsidR="0011451D">
        <w:rPr>
          <w:sz w:val="24"/>
          <w:szCs w:val="24"/>
        </w:rPr>
        <w:t xml:space="preserve"> </w:t>
      </w:r>
      <w:r w:rsidR="00B31FF1">
        <w:rPr>
          <w:sz w:val="24"/>
          <w:szCs w:val="24"/>
        </w:rPr>
        <w:t xml:space="preserve">required by the second prong of its standard.  Accordingly, Hess opposes bifurcation of these proceedings unless the stipulation is bifurcated for consideration of the respective issues in each phase of the proceeding.  </w:t>
      </w:r>
    </w:p>
    <w:p w:rsidR="00EF3DB6" w:rsidRPr="00EF3DB6" w:rsidRDefault="00EF3DB6" w:rsidP="00EF3DB6">
      <w:pPr>
        <w:spacing w:before="120" w:line="480" w:lineRule="auto"/>
        <w:jc w:val="both"/>
        <w:rPr>
          <w:b/>
          <w:i/>
          <w:sz w:val="24"/>
          <w:szCs w:val="24"/>
        </w:rPr>
      </w:pPr>
      <w:r w:rsidRPr="00EF3DB6">
        <w:rPr>
          <w:b/>
          <w:i/>
          <w:sz w:val="24"/>
          <w:szCs w:val="24"/>
        </w:rPr>
        <w:t>III.</w:t>
      </w:r>
      <w:r w:rsidRPr="00EF3DB6">
        <w:rPr>
          <w:b/>
          <w:i/>
          <w:sz w:val="24"/>
          <w:szCs w:val="24"/>
        </w:rPr>
        <w:tab/>
        <w:t>CONCLUSION</w:t>
      </w:r>
    </w:p>
    <w:p w:rsidR="00B31FF1" w:rsidRDefault="00270803" w:rsidP="00EF3DB6">
      <w:pPr>
        <w:spacing w:line="480" w:lineRule="auto"/>
        <w:ind w:firstLine="720"/>
        <w:jc w:val="both"/>
        <w:rPr>
          <w:sz w:val="24"/>
          <w:szCs w:val="24"/>
        </w:rPr>
      </w:pPr>
      <w:r>
        <w:rPr>
          <w:sz w:val="24"/>
          <w:szCs w:val="24"/>
        </w:rPr>
        <w:t>Wherefore, for the foregoing reasons, Hess (1)</w:t>
      </w:r>
      <w:r w:rsidR="0011451D">
        <w:rPr>
          <w:sz w:val="24"/>
          <w:szCs w:val="24"/>
        </w:rPr>
        <w:t xml:space="preserve"> opposes granting an expedited ruling on the </w:t>
      </w:r>
      <w:r w:rsidR="0011451D" w:rsidRPr="007739A0">
        <w:rPr>
          <w:sz w:val="24"/>
          <w:szCs w:val="24"/>
        </w:rPr>
        <w:t>Joint Motion to Modify Orders Granting Exemption</w:t>
      </w:r>
      <w:r w:rsidR="0011451D">
        <w:rPr>
          <w:sz w:val="24"/>
          <w:szCs w:val="24"/>
        </w:rPr>
        <w:t xml:space="preserve"> as unlawful, (2) does not oppose an expedited ruling on the Motion to Bifurcate, and (3) </w:t>
      </w:r>
      <w:r w:rsidR="0011451D" w:rsidRPr="007739A0">
        <w:rPr>
          <w:sz w:val="24"/>
          <w:szCs w:val="24"/>
        </w:rPr>
        <w:t xml:space="preserve">does </w:t>
      </w:r>
      <w:r w:rsidR="0011451D">
        <w:rPr>
          <w:sz w:val="24"/>
          <w:szCs w:val="24"/>
        </w:rPr>
        <w:t>not o</w:t>
      </w:r>
      <w:r w:rsidR="0011451D" w:rsidRPr="007739A0">
        <w:rPr>
          <w:sz w:val="24"/>
          <w:szCs w:val="24"/>
        </w:rPr>
        <w:t xml:space="preserve">ppose </w:t>
      </w:r>
      <w:r w:rsidR="0011451D">
        <w:rPr>
          <w:sz w:val="24"/>
          <w:szCs w:val="24"/>
        </w:rPr>
        <w:t>the Motion for B</w:t>
      </w:r>
      <w:r w:rsidR="0011451D" w:rsidRPr="007739A0">
        <w:rPr>
          <w:sz w:val="24"/>
          <w:szCs w:val="24"/>
        </w:rPr>
        <w:t>ifurcation as long as the</w:t>
      </w:r>
      <w:r w:rsidR="0011451D">
        <w:rPr>
          <w:sz w:val="24"/>
          <w:szCs w:val="24"/>
        </w:rPr>
        <w:t xml:space="preserve"> stipulation </w:t>
      </w:r>
      <w:r w:rsidR="003B3A7A">
        <w:rPr>
          <w:sz w:val="24"/>
          <w:szCs w:val="24"/>
        </w:rPr>
        <w:t xml:space="preserve">is bifurcated for consideration of the respective issues in each phase of the proceeding, </w:t>
      </w:r>
      <w:r w:rsidR="0011451D">
        <w:rPr>
          <w:sz w:val="24"/>
          <w:szCs w:val="24"/>
        </w:rPr>
        <w:t xml:space="preserve">and the </w:t>
      </w:r>
      <w:r w:rsidR="0011451D" w:rsidRPr="007739A0">
        <w:rPr>
          <w:sz w:val="24"/>
          <w:szCs w:val="24"/>
        </w:rPr>
        <w:t>parties are provided ample due process</w:t>
      </w:r>
      <w:r w:rsidR="0011451D">
        <w:rPr>
          <w:sz w:val="24"/>
          <w:szCs w:val="24"/>
        </w:rPr>
        <w:t xml:space="preserve"> in each phase of the proceeding, including meaningful time for discovery, hearing and briefing.  </w:t>
      </w:r>
    </w:p>
    <w:p w:rsidR="0011451D" w:rsidRPr="00D22F51" w:rsidRDefault="00F0100C" w:rsidP="0011451D">
      <w:pPr>
        <w:widowControl w:val="0"/>
        <w:ind w:firstLine="4590"/>
        <w:jc w:val="both"/>
        <w:rPr>
          <w:sz w:val="24"/>
          <w:szCs w:val="24"/>
        </w:rPr>
      </w:pPr>
      <w:r>
        <w:t xml:space="preserve"> </w:t>
      </w:r>
      <w:r w:rsidR="0011451D" w:rsidRPr="00D22F51">
        <w:rPr>
          <w:sz w:val="24"/>
          <w:szCs w:val="24"/>
        </w:rPr>
        <w:t>Respectfully submitted,</w:t>
      </w:r>
    </w:p>
    <w:p w:rsidR="0011451D" w:rsidRPr="00D22F51" w:rsidRDefault="0011451D" w:rsidP="0011451D">
      <w:pPr>
        <w:widowControl w:val="0"/>
        <w:ind w:firstLine="4590"/>
        <w:jc w:val="both"/>
        <w:rPr>
          <w:sz w:val="24"/>
          <w:szCs w:val="24"/>
        </w:rPr>
      </w:pPr>
    </w:p>
    <w:p w:rsidR="0011451D" w:rsidRPr="00D22F51" w:rsidRDefault="0011451D" w:rsidP="0011451D">
      <w:pPr>
        <w:widowControl w:val="0"/>
        <w:ind w:firstLine="4590"/>
        <w:jc w:val="both"/>
        <w:rPr>
          <w:sz w:val="24"/>
          <w:szCs w:val="24"/>
        </w:rPr>
      </w:pPr>
    </w:p>
    <w:p w:rsidR="00E36E9F" w:rsidRPr="00D22F51" w:rsidRDefault="00E36E9F" w:rsidP="00E36E9F">
      <w:pPr>
        <w:pStyle w:val="Signature"/>
        <w:ind w:left="4590"/>
        <w:rPr>
          <w:szCs w:val="24"/>
          <w:u w:val="single"/>
        </w:rPr>
      </w:pPr>
      <w:r w:rsidRPr="00D22F51">
        <w:rPr>
          <w:szCs w:val="24"/>
          <w:u w:val="single"/>
        </w:rPr>
        <w:tab/>
      </w:r>
      <w:r>
        <w:rPr>
          <w:szCs w:val="24"/>
          <w:u w:val="single"/>
        </w:rPr>
        <w:t>/s/ Dane Stinson</w:t>
      </w:r>
      <w:r w:rsidRPr="00D22F51">
        <w:rPr>
          <w:szCs w:val="24"/>
          <w:u w:val="single"/>
        </w:rPr>
        <w:tab/>
      </w:r>
      <w:r w:rsidRPr="00D22F51">
        <w:rPr>
          <w:szCs w:val="24"/>
          <w:u w:val="single"/>
        </w:rPr>
        <w:tab/>
      </w:r>
    </w:p>
    <w:p w:rsidR="0011451D" w:rsidRPr="00D22F51" w:rsidRDefault="0011451D" w:rsidP="0011451D">
      <w:pPr>
        <w:tabs>
          <w:tab w:val="left" w:pos="342"/>
        </w:tabs>
        <w:ind w:left="4590"/>
        <w:rPr>
          <w:sz w:val="24"/>
          <w:szCs w:val="24"/>
        </w:rPr>
      </w:pPr>
      <w:r w:rsidRPr="00D22F51">
        <w:rPr>
          <w:sz w:val="24"/>
          <w:szCs w:val="24"/>
        </w:rPr>
        <w:t>Dane Stinson, Esq.</w:t>
      </w:r>
    </w:p>
    <w:p w:rsidR="0011451D" w:rsidRPr="00D22F51" w:rsidRDefault="0011451D" w:rsidP="0011451D">
      <w:pPr>
        <w:tabs>
          <w:tab w:val="right" w:pos="720"/>
          <w:tab w:val="left" w:pos="1440"/>
          <w:tab w:val="left" w:pos="4320"/>
          <w:tab w:val="left" w:pos="5040"/>
          <w:tab w:val="left" w:pos="5760"/>
          <w:tab w:val="left" w:pos="8640"/>
        </w:tabs>
        <w:ind w:left="4590"/>
        <w:jc w:val="both"/>
        <w:rPr>
          <w:sz w:val="24"/>
          <w:szCs w:val="24"/>
        </w:rPr>
      </w:pPr>
      <w:r w:rsidRPr="00D22F51">
        <w:rPr>
          <w:sz w:val="24"/>
          <w:szCs w:val="24"/>
        </w:rPr>
        <w:t>BAILEY CAVALIERI LLC</w:t>
      </w:r>
    </w:p>
    <w:p w:rsidR="0011451D" w:rsidRPr="00D22F51" w:rsidRDefault="0011451D" w:rsidP="0011451D">
      <w:pPr>
        <w:tabs>
          <w:tab w:val="right" w:pos="720"/>
          <w:tab w:val="left" w:pos="1440"/>
          <w:tab w:val="left" w:pos="4320"/>
          <w:tab w:val="left" w:pos="5040"/>
          <w:tab w:val="left" w:pos="5760"/>
          <w:tab w:val="left" w:pos="8640"/>
        </w:tabs>
        <w:ind w:left="4590"/>
        <w:jc w:val="both"/>
        <w:rPr>
          <w:sz w:val="24"/>
          <w:szCs w:val="24"/>
        </w:rPr>
      </w:pPr>
      <w:r w:rsidRPr="00D22F51">
        <w:rPr>
          <w:sz w:val="24"/>
          <w:szCs w:val="24"/>
        </w:rPr>
        <w:t>10 West Broad Street, Suite 2100</w:t>
      </w:r>
    </w:p>
    <w:p w:rsidR="0011451D" w:rsidRPr="00D22F51" w:rsidRDefault="0011451D" w:rsidP="0011451D">
      <w:pPr>
        <w:tabs>
          <w:tab w:val="right" w:pos="720"/>
          <w:tab w:val="left" w:pos="1440"/>
          <w:tab w:val="left" w:pos="4320"/>
          <w:tab w:val="left" w:pos="5040"/>
          <w:tab w:val="left" w:pos="5760"/>
          <w:tab w:val="left" w:pos="8640"/>
        </w:tabs>
        <w:ind w:left="4590"/>
        <w:jc w:val="both"/>
        <w:rPr>
          <w:sz w:val="24"/>
          <w:szCs w:val="24"/>
        </w:rPr>
      </w:pPr>
      <w:r w:rsidRPr="00D22F51">
        <w:rPr>
          <w:sz w:val="24"/>
          <w:szCs w:val="24"/>
        </w:rPr>
        <w:t>Columbus, Ohio 43215</w:t>
      </w:r>
    </w:p>
    <w:p w:rsidR="0011451D" w:rsidRPr="00D22F51" w:rsidRDefault="0011451D" w:rsidP="0011451D">
      <w:pPr>
        <w:tabs>
          <w:tab w:val="right" w:pos="720"/>
          <w:tab w:val="left" w:pos="1440"/>
          <w:tab w:val="left" w:pos="4320"/>
          <w:tab w:val="left" w:pos="5040"/>
          <w:tab w:val="left" w:pos="5760"/>
          <w:tab w:val="left" w:pos="8640"/>
        </w:tabs>
        <w:ind w:left="4590"/>
        <w:jc w:val="both"/>
        <w:rPr>
          <w:sz w:val="24"/>
          <w:szCs w:val="24"/>
        </w:rPr>
      </w:pPr>
      <w:r w:rsidRPr="00D22F51">
        <w:rPr>
          <w:sz w:val="24"/>
          <w:szCs w:val="24"/>
        </w:rPr>
        <w:t>(614) 221-3155 (telephone)</w:t>
      </w:r>
      <w:r w:rsidRPr="00D22F51">
        <w:rPr>
          <w:sz w:val="24"/>
          <w:szCs w:val="24"/>
        </w:rPr>
        <w:tab/>
      </w:r>
    </w:p>
    <w:p w:rsidR="0011451D" w:rsidRPr="00D22F51" w:rsidRDefault="0011451D" w:rsidP="0011451D">
      <w:pPr>
        <w:tabs>
          <w:tab w:val="right" w:pos="720"/>
          <w:tab w:val="left" w:pos="1440"/>
          <w:tab w:val="left" w:pos="4320"/>
          <w:tab w:val="left" w:pos="5040"/>
          <w:tab w:val="left" w:pos="5760"/>
          <w:tab w:val="left" w:pos="8640"/>
        </w:tabs>
        <w:ind w:left="4590"/>
        <w:jc w:val="both"/>
        <w:rPr>
          <w:sz w:val="24"/>
          <w:szCs w:val="24"/>
        </w:rPr>
      </w:pPr>
      <w:r w:rsidRPr="00D22F51">
        <w:rPr>
          <w:sz w:val="24"/>
          <w:szCs w:val="24"/>
        </w:rPr>
        <w:t>(614) 221-0479 (fax)</w:t>
      </w:r>
    </w:p>
    <w:p w:rsidR="0011451D" w:rsidRPr="00D22F51" w:rsidRDefault="0011451D" w:rsidP="0011451D">
      <w:pPr>
        <w:tabs>
          <w:tab w:val="right" w:pos="720"/>
          <w:tab w:val="left" w:pos="1440"/>
          <w:tab w:val="left" w:pos="4320"/>
          <w:tab w:val="left" w:pos="5040"/>
          <w:tab w:val="left" w:pos="5760"/>
          <w:tab w:val="left" w:pos="8640"/>
        </w:tabs>
        <w:ind w:left="4590"/>
        <w:jc w:val="both"/>
        <w:rPr>
          <w:sz w:val="24"/>
          <w:szCs w:val="24"/>
        </w:rPr>
      </w:pPr>
      <w:r w:rsidRPr="00D22F51">
        <w:rPr>
          <w:sz w:val="24"/>
          <w:szCs w:val="24"/>
        </w:rPr>
        <w:t>Dane.Stinson@BaileyCavalieri.com</w:t>
      </w:r>
    </w:p>
    <w:p w:rsidR="00F0100C" w:rsidRDefault="0011451D" w:rsidP="0011451D">
      <w:pPr>
        <w:tabs>
          <w:tab w:val="left" w:pos="4590"/>
        </w:tabs>
        <w:spacing w:before="120" w:line="480" w:lineRule="auto"/>
        <w:jc w:val="both"/>
      </w:pPr>
      <w:r w:rsidRPr="00D22F51">
        <w:rPr>
          <w:sz w:val="24"/>
          <w:szCs w:val="24"/>
        </w:rPr>
        <w:tab/>
        <w:t>Attorney for Hess Corporation</w:t>
      </w:r>
    </w:p>
    <w:p w:rsidR="00FC4071" w:rsidRDefault="00913C3D" w:rsidP="00913C3D">
      <w:pPr>
        <w:spacing w:line="480" w:lineRule="auto"/>
        <w:ind w:firstLine="720"/>
        <w:jc w:val="both"/>
      </w:pPr>
      <w:r>
        <w:t xml:space="preserve"> </w:t>
      </w:r>
    </w:p>
    <w:p w:rsidR="00FC4071" w:rsidRDefault="00FC4071">
      <w:pPr>
        <w:overflowPunct/>
        <w:autoSpaceDE/>
        <w:autoSpaceDN/>
        <w:adjustRightInd/>
        <w:spacing w:after="200" w:line="276" w:lineRule="auto"/>
        <w:textAlignment w:val="auto"/>
      </w:pPr>
      <w:r>
        <w:br w:type="page"/>
      </w:r>
    </w:p>
    <w:p w:rsidR="00FC4071" w:rsidRPr="00D22F51" w:rsidRDefault="00FC4071" w:rsidP="00FC4071">
      <w:pPr>
        <w:pStyle w:val="BodyText"/>
        <w:spacing w:before="120" w:after="0"/>
        <w:ind w:right="-360" w:firstLine="0"/>
        <w:jc w:val="center"/>
        <w:rPr>
          <w:b/>
          <w:szCs w:val="24"/>
          <w:u w:val="single"/>
        </w:rPr>
      </w:pPr>
      <w:r w:rsidRPr="00D22F51">
        <w:rPr>
          <w:b/>
          <w:szCs w:val="24"/>
          <w:u w:val="single"/>
        </w:rPr>
        <w:lastRenderedPageBreak/>
        <w:t>CERTIFICATE OF SERVICE</w:t>
      </w:r>
    </w:p>
    <w:p w:rsidR="00FC4071" w:rsidRPr="00D22F51" w:rsidRDefault="00FC4071" w:rsidP="00FC4071">
      <w:pPr>
        <w:pStyle w:val="BodyText"/>
        <w:spacing w:before="240"/>
        <w:jc w:val="both"/>
        <w:rPr>
          <w:szCs w:val="24"/>
        </w:rPr>
      </w:pPr>
      <w:r w:rsidRPr="00D22F51">
        <w:rPr>
          <w:szCs w:val="24"/>
        </w:rPr>
        <w:t xml:space="preserve">The undersigned hereby certifies that a true and accurate copy of the foregoing </w:t>
      </w:r>
      <w:r w:rsidRPr="00D22F51">
        <w:rPr>
          <w:i/>
          <w:szCs w:val="24"/>
        </w:rPr>
        <w:t>Hess Corporation’s M</w:t>
      </w:r>
      <w:r>
        <w:rPr>
          <w:i/>
          <w:szCs w:val="24"/>
        </w:rPr>
        <w:t xml:space="preserve">emorandum Contra Joint Movants’ Motion to Modify Orders Granting Exemption and Motion for Bifurcation of the Capacity and Balancing Issues on an Expedited Basis </w:t>
      </w:r>
      <w:r w:rsidRPr="00D22F51">
        <w:rPr>
          <w:szCs w:val="24"/>
        </w:rPr>
        <w:t xml:space="preserve">was served by regular U.S. Mail </w:t>
      </w:r>
      <w:r w:rsidR="00686E00">
        <w:rPr>
          <w:szCs w:val="24"/>
        </w:rPr>
        <w:t xml:space="preserve">and electronic mail </w:t>
      </w:r>
      <w:r w:rsidRPr="00D22F51">
        <w:rPr>
          <w:szCs w:val="24"/>
        </w:rPr>
        <w:t xml:space="preserve">this </w:t>
      </w:r>
      <w:r w:rsidR="00E36E9F">
        <w:rPr>
          <w:szCs w:val="24"/>
        </w:rPr>
        <w:t>9</w:t>
      </w:r>
      <w:r w:rsidR="00E36E9F" w:rsidRPr="00E36E9F">
        <w:rPr>
          <w:szCs w:val="24"/>
          <w:vertAlign w:val="superscript"/>
        </w:rPr>
        <w:t>th</w:t>
      </w:r>
      <w:r w:rsidR="00E36E9F">
        <w:rPr>
          <w:szCs w:val="24"/>
        </w:rPr>
        <w:t xml:space="preserve"> </w:t>
      </w:r>
      <w:r w:rsidRPr="00D22F51">
        <w:rPr>
          <w:szCs w:val="24"/>
        </w:rPr>
        <w:t xml:space="preserve">day of October, 2012, on the persons listed below.  </w:t>
      </w:r>
    </w:p>
    <w:p w:rsidR="00FC4071" w:rsidRPr="00D22F51" w:rsidRDefault="00FC4071" w:rsidP="00FC4071">
      <w:pPr>
        <w:pStyle w:val="BodyText"/>
        <w:rPr>
          <w:szCs w:val="24"/>
        </w:rPr>
      </w:pPr>
    </w:p>
    <w:p w:rsidR="00FC4071" w:rsidRPr="00D22F51" w:rsidRDefault="00FC4071" w:rsidP="00FC4071">
      <w:pPr>
        <w:pStyle w:val="Signature"/>
        <w:ind w:left="4770"/>
        <w:rPr>
          <w:szCs w:val="24"/>
          <w:u w:val="single"/>
        </w:rPr>
      </w:pPr>
      <w:r w:rsidRPr="00D22F51">
        <w:rPr>
          <w:szCs w:val="24"/>
          <w:u w:val="single"/>
        </w:rPr>
        <w:tab/>
      </w:r>
      <w:r w:rsidR="00E36E9F">
        <w:rPr>
          <w:szCs w:val="24"/>
          <w:u w:val="single"/>
        </w:rPr>
        <w:t>/s/ Dane Stinson</w:t>
      </w:r>
      <w:r w:rsidRPr="00D22F51">
        <w:rPr>
          <w:szCs w:val="24"/>
          <w:u w:val="single"/>
        </w:rPr>
        <w:tab/>
      </w:r>
      <w:r w:rsidRPr="00D22F51">
        <w:rPr>
          <w:szCs w:val="24"/>
          <w:u w:val="single"/>
        </w:rPr>
        <w:tab/>
      </w:r>
    </w:p>
    <w:p w:rsidR="00FC4071" w:rsidRDefault="00FC4071" w:rsidP="00FC4071">
      <w:pPr>
        <w:pStyle w:val="Signature"/>
        <w:ind w:left="4770"/>
        <w:rPr>
          <w:szCs w:val="24"/>
        </w:rPr>
      </w:pPr>
      <w:r w:rsidRPr="00D22F51">
        <w:rPr>
          <w:szCs w:val="24"/>
        </w:rPr>
        <w:t>Dane Stinson</w:t>
      </w:r>
    </w:p>
    <w:p w:rsidR="00686E00" w:rsidRPr="00D22F51" w:rsidRDefault="00686E00" w:rsidP="00FC4071">
      <w:pPr>
        <w:pStyle w:val="Signature"/>
        <w:ind w:left="4770"/>
        <w:rPr>
          <w:szCs w:val="24"/>
        </w:rPr>
      </w:pPr>
    </w:p>
    <w:p w:rsidR="00913C3D" w:rsidRDefault="00913C3D" w:rsidP="00913C3D">
      <w:pPr>
        <w:spacing w:line="480" w:lineRule="auto"/>
        <w:ind w:firstLine="720"/>
        <w:jc w:val="both"/>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4071" w:rsidTr="00686E00">
        <w:tc>
          <w:tcPr>
            <w:tcW w:w="4788" w:type="dxa"/>
          </w:tcPr>
          <w:p w:rsidR="00FC4071" w:rsidRPr="00686E00" w:rsidRDefault="00FC4071" w:rsidP="00FC4071">
            <w:pPr>
              <w:jc w:val="both"/>
              <w:rPr>
                <w:sz w:val="24"/>
                <w:szCs w:val="24"/>
              </w:rPr>
            </w:pPr>
            <w:r w:rsidRPr="00686E00">
              <w:rPr>
                <w:sz w:val="24"/>
                <w:szCs w:val="24"/>
              </w:rPr>
              <w:t>Stephen B. Seiple</w:t>
            </w:r>
          </w:p>
          <w:p w:rsidR="00FC4071" w:rsidRPr="00686E00" w:rsidRDefault="00FC4071" w:rsidP="00FC4071">
            <w:pPr>
              <w:jc w:val="both"/>
              <w:rPr>
                <w:sz w:val="24"/>
                <w:szCs w:val="24"/>
              </w:rPr>
            </w:pPr>
            <w:r w:rsidRPr="00686E00">
              <w:rPr>
                <w:sz w:val="24"/>
                <w:szCs w:val="24"/>
              </w:rPr>
              <w:t>Brooke E. Leslie</w:t>
            </w:r>
          </w:p>
          <w:p w:rsidR="00FC4071" w:rsidRPr="00686E00" w:rsidRDefault="00FC4071" w:rsidP="00FC4071">
            <w:pPr>
              <w:jc w:val="both"/>
              <w:rPr>
                <w:sz w:val="24"/>
                <w:szCs w:val="24"/>
              </w:rPr>
            </w:pPr>
            <w:r w:rsidRPr="00686E00">
              <w:rPr>
                <w:sz w:val="24"/>
                <w:szCs w:val="24"/>
              </w:rPr>
              <w:t>Columbia Gas of Ohio</w:t>
            </w:r>
          </w:p>
          <w:p w:rsidR="00FC4071" w:rsidRPr="00686E00" w:rsidRDefault="00FC4071" w:rsidP="00FC4071">
            <w:pPr>
              <w:jc w:val="both"/>
              <w:rPr>
                <w:sz w:val="24"/>
                <w:szCs w:val="24"/>
              </w:rPr>
            </w:pPr>
            <w:r w:rsidRPr="00686E00">
              <w:rPr>
                <w:sz w:val="24"/>
                <w:szCs w:val="24"/>
              </w:rPr>
              <w:t>200 Civic Center Drive</w:t>
            </w:r>
          </w:p>
          <w:p w:rsidR="00FC4071" w:rsidRPr="00686E00" w:rsidRDefault="00FC4071" w:rsidP="00FC4071">
            <w:pPr>
              <w:jc w:val="both"/>
              <w:rPr>
                <w:sz w:val="24"/>
                <w:szCs w:val="24"/>
              </w:rPr>
            </w:pPr>
            <w:r w:rsidRPr="00686E00">
              <w:rPr>
                <w:sz w:val="24"/>
                <w:szCs w:val="24"/>
              </w:rPr>
              <w:t>P.O. Box 117</w:t>
            </w:r>
          </w:p>
          <w:p w:rsidR="00FC4071" w:rsidRPr="00686E00" w:rsidRDefault="00FC4071" w:rsidP="00FC4071">
            <w:pPr>
              <w:jc w:val="both"/>
              <w:rPr>
                <w:sz w:val="24"/>
                <w:szCs w:val="24"/>
              </w:rPr>
            </w:pPr>
            <w:r w:rsidRPr="00686E00">
              <w:rPr>
                <w:sz w:val="24"/>
                <w:szCs w:val="24"/>
              </w:rPr>
              <w:t>Columbus, Ohio 43216-0117</w:t>
            </w:r>
          </w:p>
          <w:p w:rsidR="00FC4071" w:rsidRPr="00686E00" w:rsidRDefault="006B68A5" w:rsidP="00FC4071">
            <w:pPr>
              <w:jc w:val="both"/>
              <w:rPr>
                <w:sz w:val="24"/>
                <w:szCs w:val="24"/>
              </w:rPr>
            </w:pPr>
            <w:hyperlink r:id="rId7" w:history="1">
              <w:r w:rsidR="00FC4071" w:rsidRPr="00686E00">
                <w:rPr>
                  <w:rStyle w:val="Hyperlink"/>
                  <w:sz w:val="24"/>
                  <w:szCs w:val="24"/>
                </w:rPr>
                <w:t>sseiple@nisource.com</w:t>
              </w:r>
            </w:hyperlink>
          </w:p>
          <w:p w:rsidR="00FC4071" w:rsidRPr="00686E00" w:rsidRDefault="006B68A5" w:rsidP="00FC4071">
            <w:pPr>
              <w:jc w:val="both"/>
              <w:rPr>
                <w:sz w:val="24"/>
                <w:szCs w:val="24"/>
              </w:rPr>
            </w:pPr>
            <w:hyperlink r:id="rId8" w:history="1">
              <w:r w:rsidR="00FC4071" w:rsidRPr="00686E00">
                <w:rPr>
                  <w:rStyle w:val="Hyperlink"/>
                  <w:sz w:val="24"/>
                  <w:szCs w:val="24"/>
                </w:rPr>
                <w:t>bleslie@nisource.com</w:t>
              </w:r>
            </w:hyperlink>
          </w:p>
          <w:p w:rsidR="00FC4071" w:rsidRPr="00686E00" w:rsidRDefault="00FC4071" w:rsidP="00FC4071">
            <w:pPr>
              <w:jc w:val="both"/>
              <w:rPr>
                <w:sz w:val="24"/>
                <w:szCs w:val="24"/>
              </w:rPr>
            </w:pPr>
          </w:p>
          <w:p w:rsidR="00FC4071" w:rsidRPr="00686E00" w:rsidRDefault="00FC4071" w:rsidP="00FC4071">
            <w:pPr>
              <w:jc w:val="both"/>
              <w:rPr>
                <w:sz w:val="24"/>
                <w:szCs w:val="24"/>
              </w:rPr>
            </w:pPr>
            <w:r w:rsidRPr="00686E00">
              <w:rPr>
                <w:sz w:val="24"/>
                <w:szCs w:val="24"/>
              </w:rPr>
              <w:t>Barth E. Royer</w:t>
            </w:r>
          </w:p>
          <w:p w:rsidR="00FC4071" w:rsidRPr="00686E00" w:rsidRDefault="00FC4071" w:rsidP="00FC4071">
            <w:pPr>
              <w:jc w:val="both"/>
              <w:rPr>
                <w:sz w:val="24"/>
                <w:szCs w:val="24"/>
              </w:rPr>
            </w:pPr>
            <w:r w:rsidRPr="00686E00">
              <w:rPr>
                <w:sz w:val="24"/>
                <w:szCs w:val="24"/>
              </w:rPr>
              <w:t>Bell &amp; Royer Co., LPA</w:t>
            </w:r>
          </w:p>
          <w:p w:rsidR="00FC4071" w:rsidRPr="00686E00" w:rsidRDefault="00FC4071" w:rsidP="00FC4071">
            <w:pPr>
              <w:jc w:val="both"/>
              <w:rPr>
                <w:sz w:val="24"/>
                <w:szCs w:val="24"/>
              </w:rPr>
            </w:pPr>
            <w:r w:rsidRPr="00686E00">
              <w:rPr>
                <w:sz w:val="24"/>
                <w:szCs w:val="24"/>
              </w:rPr>
              <w:t>33 South Grant Avenue</w:t>
            </w:r>
          </w:p>
          <w:p w:rsidR="00FC4071" w:rsidRPr="00686E00" w:rsidRDefault="00FC4071" w:rsidP="00FC4071">
            <w:pPr>
              <w:jc w:val="both"/>
              <w:rPr>
                <w:sz w:val="24"/>
                <w:szCs w:val="24"/>
              </w:rPr>
            </w:pPr>
            <w:r w:rsidRPr="00686E00">
              <w:rPr>
                <w:sz w:val="24"/>
                <w:szCs w:val="24"/>
              </w:rPr>
              <w:t>Columbus, Ohio 43215-3927</w:t>
            </w:r>
          </w:p>
          <w:p w:rsidR="00FC4071" w:rsidRPr="00686E00" w:rsidRDefault="006B68A5" w:rsidP="00FC4071">
            <w:pPr>
              <w:jc w:val="both"/>
              <w:rPr>
                <w:sz w:val="24"/>
                <w:szCs w:val="24"/>
              </w:rPr>
            </w:pPr>
            <w:hyperlink r:id="rId9" w:history="1">
              <w:r w:rsidR="00FC4071" w:rsidRPr="00686E00">
                <w:rPr>
                  <w:rStyle w:val="Hyperlink"/>
                  <w:sz w:val="24"/>
                  <w:szCs w:val="24"/>
                </w:rPr>
                <w:t>BarthRoyer@aol.com</w:t>
              </w:r>
            </w:hyperlink>
          </w:p>
          <w:p w:rsidR="00FC4071" w:rsidRPr="00686E00" w:rsidRDefault="00FC4071" w:rsidP="00FC4071">
            <w:pPr>
              <w:jc w:val="both"/>
              <w:rPr>
                <w:sz w:val="24"/>
                <w:szCs w:val="24"/>
              </w:rPr>
            </w:pPr>
          </w:p>
          <w:p w:rsidR="00FC4071" w:rsidRPr="00686E00" w:rsidRDefault="00FC4071" w:rsidP="00FC4071">
            <w:pPr>
              <w:jc w:val="both"/>
              <w:rPr>
                <w:sz w:val="24"/>
                <w:szCs w:val="24"/>
              </w:rPr>
            </w:pPr>
            <w:r w:rsidRPr="00686E00">
              <w:rPr>
                <w:sz w:val="24"/>
                <w:szCs w:val="24"/>
              </w:rPr>
              <w:t>Stephen Reilly</w:t>
            </w:r>
          </w:p>
          <w:p w:rsidR="00FC4071" w:rsidRPr="00686E00" w:rsidRDefault="00FC4071" w:rsidP="00FC4071">
            <w:pPr>
              <w:jc w:val="both"/>
              <w:rPr>
                <w:sz w:val="24"/>
                <w:szCs w:val="24"/>
              </w:rPr>
            </w:pPr>
            <w:r w:rsidRPr="00686E00">
              <w:rPr>
                <w:sz w:val="24"/>
                <w:szCs w:val="24"/>
              </w:rPr>
              <w:t>Assistant Attorney General</w:t>
            </w:r>
          </w:p>
          <w:p w:rsidR="00FC4071" w:rsidRPr="00686E00" w:rsidRDefault="00FC4071" w:rsidP="00FC4071">
            <w:pPr>
              <w:jc w:val="both"/>
              <w:rPr>
                <w:sz w:val="24"/>
                <w:szCs w:val="24"/>
              </w:rPr>
            </w:pPr>
            <w:r w:rsidRPr="00686E00">
              <w:rPr>
                <w:sz w:val="24"/>
                <w:szCs w:val="24"/>
              </w:rPr>
              <w:t>Public Utilities Section</w:t>
            </w:r>
          </w:p>
          <w:p w:rsidR="00FC4071" w:rsidRPr="00686E00" w:rsidRDefault="00FC4071" w:rsidP="00FC4071">
            <w:pPr>
              <w:jc w:val="both"/>
              <w:rPr>
                <w:sz w:val="24"/>
                <w:szCs w:val="24"/>
              </w:rPr>
            </w:pPr>
            <w:r w:rsidRPr="00686E00">
              <w:rPr>
                <w:sz w:val="24"/>
                <w:szCs w:val="24"/>
              </w:rPr>
              <w:t>Ohio Attorney General Mike Dewine</w:t>
            </w:r>
          </w:p>
          <w:p w:rsidR="00FC4071" w:rsidRPr="00686E00" w:rsidRDefault="00FC4071" w:rsidP="00FC4071">
            <w:pPr>
              <w:jc w:val="both"/>
              <w:rPr>
                <w:sz w:val="24"/>
                <w:szCs w:val="24"/>
              </w:rPr>
            </w:pPr>
            <w:r w:rsidRPr="00686E00">
              <w:rPr>
                <w:sz w:val="24"/>
                <w:szCs w:val="24"/>
              </w:rPr>
              <w:t>180 East Broad Street</w:t>
            </w:r>
          </w:p>
          <w:p w:rsidR="00FC4071" w:rsidRPr="00686E00" w:rsidRDefault="00FC4071" w:rsidP="00FC4071">
            <w:pPr>
              <w:jc w:val="both"/>
              <w:rPr>
                <w:sz w:val="24"/>
                <w:szCs w:val="24"/>
              </w:rPr>
            </w:pPr>
            <w:r w:rsidRPr="00686E00">
              <w:rPr>
                <w:sz w:val="24"/>
                <w:szCs w:val="24"/>
              </w:rPr>
              <w:t>Columbus, Ohio 43215-3793</w:t>
            </w:r>
          </w:p>
          <w:p w:rsidR="00FC4071" w:rsidRPr="00686E00" w:rsidRDefault="006B68A5" w:rsidP="00FC4071">
            <w:pPr>
              <w:jc w:val="both"/>
              <w:rPr>
                <w:sz w:val="24"/>
                <w:szCs w:val="24"/>
              </w:rPr>
            </w:pPr>
            <w:hyperlink r:id="rId10" w:history="1">
              <w:r w:rsidR="00FC4071" w:rsidRPr="00686E00">
                <w:rPr>
                  <w:rStyle w:val="Hyperlink"/>
                  <w:sz w:val="24"/>
                  <w:szCs w:val="24"/>
                </w:rPr>
                <w:t>Stephen.Reilly@puc.state.oh.us</w:t>
              </w:r>
            </w:hyperlink>
          </w:p>
          <w:p w:rsidR="00FC4071" w:rsidRDefault="00FC4071" w:rsidP="00FC4071">
            <w:pPr>
              <w:jc w:val="both"/>
            </w:pPr>
          </w:p>
        </w:tc>
        <w:tc>
          <w:tcPr>
            <w:tcW w:w="4788" w:type="dxa"/>
          </w:tcPr>
          <w:p w:rsidR="00FC4071" w:rsidRPr="00686E00" w:rsidRDefault="00FC4071" w:rsidP="00FC4071">
            <w:pPr>
              <w:jc w:val="both"/>
              <w:rPr>
                <w:sz w:val="24"/>
                <w:szCs w:val="24"/>
              </w:rPr>
            </w:pPr>
            <w:r w:rsidRPr="00686E00">
              <w:rPr>
                <w:sz w:val="24"/>
                <w:szCs w:val="24"/>
              </w:rPr>
              <w:t>M. Howard Petricoff</w:t>
            </w:r>
          </w:p>
          <w:p w:rsidR="00FC4071" w:rsidRPr="00686E00" w:rsidRDefault="00FC4071" w:rsidP="00FC4071">
            <w:pPr>
              <w:jc w:val="both"/>
              <w:rPr>
                <w:sz w:val="24"/>
                <w:szCs w:val="24"/>
              </w:rPr>
            </w:pPr>
            <w:r w:rsidRPr="00686E00">
              <w:rPr>
                <w:sz w:val="24"/>
                <w:szCs w:val="24"/>
              </w:rPr>
              <w:t>Vorys, Sater, Seymour and Pease LLP</w:t>
            </w:r>
          </w:p>
          <w:p w:rsidR="00FC4071" w:rsidRPr="00686E00" w:rsidRDefault="00FC4071" w:rsidP="00FC4071">
            <w:pPr>
              <w:jc w:val="both"/>
              <w:rPr>
                <w:sz w:val="24"/>
                <w:szCs w:val="24"/>
              </w:rPr>
            </w:pPr>
            <w:r w:rsidRPr="00686E00">
              <w:rPr>
                <w:sz w:val="24"/>
                <w:szCs w:val="24"/>
              </w:rPr>
              <w:t>52 East Gay Street</w:t>
            </w:r>
          </w:p>
          <w:p w:rsidR="00FC4071" w:rsidRPr="00686E00" w:rsidRDefault="00FC4071" w:rsidP="00FC4071">
            <w:pPr>
              <w:jc w:val="both"/>
              <w:rPr>
                <w:sz w:val="24"/>
                <w:szCs w:val="24"/>
              </w:rPr>
            </w:pPr>
            <w:r w:rsidRPr="00686E00">
              <w:rPr>
                <w:sz w:val="24"/>
                <w:szCs w:val="24"/>
              </w:rPr>
              <w:t>P.O. Box 1008</w:t>
            </w:r>
          </w:p>
          <w:p w:rsidR="00FC4071" w:rsidRPr="00686E00" w:rsidRDefault="00FC4071" w:rsidP="00FC4071">
            <w:pPr>
              <w:jc w:val="both"/>
              <w:rPr>
                <w:sz w:val="24"/>
                <w:szCs w:val="24"/>
              </w:rPr>
            </w:pPr>
            <w:r w:rsidRPr="00686E00">
              <w:rPr>
                <w:sz w:val="24"/>
                <w:szCs w:val="24"/>
              </w:rPr>
              <w:t>Columbus, Ohio 43216-1008</w:t>
            </w:r>
          </w:p>
          <w:p w:rsidR="00FC4071" w:rsidRPr="00686E00" w:rsidRDefault="006B68A5" w:rsidP="00FC4071">
            <w:pPr>
              <w:jc w:val="both"/>
              <w:rPr>
                <w:sz w:val="24"/>
                <w:szCs w:val="24"/>
              </w:rPr>
            </w:pPr>
            <w:hyperlink r:id="rId11" w:history="1">
              <w:r w:rsidR="00FC4071" w:rsidRPr="00686E00">
                <w:rPr>
                  <w:rStyle w:val="Hyperlink"/>
                  <w:sz w:val="24"/>
                  <w:szCs w:val="24"/>
                </w:rPr>
                <w:t>mhpetricoff@vorys.com</w:t>
              </w:r>
            </w:hyperlink>
          </w:p>
          <w:p w:rsidR="00FC4071" w:rsidRPr="00686E00" w:rsidRDefault="00FC4071" w:rsidP="00FC4071">
            <w:pPr>
              <w:jc w:val="both"/>
              <w:rPr>
                <w:sz w:val="24"/>
                <w:szCs w:val="24"/>
              </w:rPr>
            </w:pPr>
          </w:p>
          <w:p w:rsidR="00FC4071" w:rsidRPr="00686E00" w:rsidRDefault="00FC4071" w:rsidP="00FC4071">
            <w:pPr>
              <w:overflowPunct/>
              <w:textAlignment w:val="auto"/>
              <w:rPr>
                <w:rFonts w:eastAsiaTheme="minorHAnsi"/>
                <w:color w:val="000000"/>
                <w:sz w:val="24"/>
                <w:szCs w:val="24"/>
              </w:rPr>
            </w:pPr>
            <w:r w:rsidRPr="00686E00">
              <w:rPr>
                <w:rFonts w:eastAsiaTheme="minorHAnsi"/>
                <w:color w:val="000000"/>
                <w:sz w:val="24"/>
                <w:szCs w:val="24"/>
              </w:rPr>
              <w:t>Larry S. Sauer</w:t>
            </w:r>
          </w:p>
          <w:p w:rsidR="00FC4071" w:rsidRPr="00686E00" w:rsidRDefault="00FC4071" w:rsidP="00FC4071">
            <w:pPr>
              <w:overflowPunct/>
              <w:textAlignment w:val="auto"/>
              <w:rPr>
                <w:rFonts w:eastAsiaTheme="minorHAnsi"/>
                <w:color w:val="000000"/>
                <w:sz w:val="24"/>
                <w:szCs w:val="24"/>
              </w:rPr>
            </w:pPr>
            <w:r w:rsidRPr="00686E00">
              <w:rPr>
                <w:rFonts w:eastAsiaTheme="minorHAnsi"/>
                <w:color w:val="000000"/>
                <w:sz w:val="24"/>
                <w:szCs w:val="24"/>
              </w:rPr>
              <w:t>Joseph P. Serio</w:t>
            </w:r>
          </w:p>
          <w:p w:rsidR="00FC4071" w:rsidRPr="00686E00" w:rsidRDefault="00FC4071" w:rsidP="00FC4071">
            <w:pPr>
              <w:overflowPunct/>
              <w:textAlignment w:val="auto"/>
              <w:rPr>
                <w:rFonts w:eastAsiaTheme="minorHAnsi"/>
                <w:color w:val="000000"/>
                <w:sz w:val="24"/>
                <w:szCs w:val="24"/>
              </w:rPr>
            </w:pPr>
            <w:r w:rsidRPr="00686E00">
              <w:rPr>
                <w:rFonts w:eastAsiaTheme="minorHAnsi"/>
                <w:color w:val="000000"/>
                <w:sz w:val="24"/>
                <w:szCs w:val="24"/>
              </w:rPr>
              <w:t>Assistant Consumers’ Counsel</w:t>
            </w:r>
          </w:p>
          <w:p w:rsidR="00FC4071" w:rsidRPr="00686E00" w:rsidRDefault="00FC4071" w:rsidP="00FC4071">
            <w:pPr>
              <w:overflowPunct/>
              <w:textAlignment w:val="auto"/>
              <w:rPr>
                <w:rFonts w:eastAsiaTheme="minorHAnsi"/>
                <w:bCs/>
                <w:color w:val="000000"/>
                <w:sz w:val="24"/>
                <w:szCs w:val="24"/>
              </w:rPr>
            </w:pPr>
            <w:r w:rsidRPr="00686E00">
              <w:rPr>
                <w:rFonts w:eastAsiaTheme="minorHAnsi"/>
                <w:bCs/>
                <w:color w:val="000000"/>
                <w:sz w:val="24"/>
                <w:szCs w:val="24"/>
              </w:rPr>
              <w:t>Office of the Ohio Consumers’ Counsel</w:t>
            </w:r>
          </w:p>
          <w:p w:rsidR="00FC4071" w:rsidRPr="00686E00" w:rsidRDefault="00FC4071" w:rsidP="00FC4071">
            <w:pPr>
              <w:overflowPunct/>
              <w:textAlignment w:val="auto"/>
              <w:rPr>
                <w:rFonts w:eastAsiaTheme="minorHAnsi"/>
                <w:color w:val="000000"/>
                <w:sz w:val="24"/>
                <w:szCs w:val="24"/>
              </w:rPr>
            </w:pPr>
            <w:r w:rsidRPr="00686E00">
              <w:rPr>
                <w:rFonts w:eastAsiaTheme="minorHAnsi"/>
                <w:color w:val="000000"/>
                <w:sz w:val="24"/>
                <w:szCs w:val="24"/>
              </w:rPr>
              <w:t>10 West Broad Street, Suite 1800</w:t>
            </w:r>
          </w:p>
          <w:p w:rsidR="00FC4071" w:rsidRPr="00686E00" w:rsidRDefault="00FC4071" w:rsidP="00FC4071">
            <w:pPr>
              <w:overflowPunct/>
              <w:textAlignment w:val="auto"/>
              <w:rPr>
                <w:rFonts w:eastAsiaTheme="minorHAnsi"/>
                <w:color w:val="000000"/>
                <w:sz w:val="24"/>
                <w:szCs w:val="24"/>
              </w:rPr>
            </w:pPr>
            <w:r w:rsidRPr="00686E00">
              <w:rPr>
                <w:rFonts w:eastAsiaTheme="minorHAnsi"/>
                <w:color w:val="000000"/>
                <w:sz w:val="24"/>
                <w:szCs w:val="24"/>
              </w:rPr>
              <w:t>Columbus, Ohio 43215-3485</w:t>
            </w:r>
          </w:p>
          <w:p w:rsidR="00FC4071" w:rsidRPr="00686E00" w:rsidRDefault="00FC4071" w:rsidP="00FC4071">
            <w:pPr>
              <w:overflowPunct/>
              <w:textAlignment w:val="auto"/>
              <w:rPr>
                <w:rFonts w:eastAsiaTheme="minorHAnsi"/>
                <w:color w:val="0000FF"/>
                <w:sz w:val="24"/>
                <w:szCs w:val="24"/>
              </w:rPr>
            </w:pPr>
            <w:r w:rsidRPr="00686E00">
              <w:rPr>
                <w:rFonts w:eastAsiaTheme="minorHAnsi"/>
                <w:color w:val="0000FF"/>
                <w:sz w:val="24"/>
                <w:szCs w:val="24"/>
              </w:rPr>
              <w:t>sauer@occ.state.oh.us</w:t>
            </w:r>
          </w:p>
          <w:p w:rsidR="00FC4071" w:rsidRDefault="00FC4071" w:rsidP="00FC4071">
            <w:pPr>
              <w:jc w:val="both"/>
            </w:pPr>
            <w:r w:rsidRPr="00686E00">
              <w:rPr>
                <w:rFonts w:eastAsiaTheme="minorHAnsi"/>
                <w:color w:val="0000FF"/>
                <w:sz w:val="24"/>
                <w:szCs w:val="24"/>
              </w:rPr>
              <w:t>serio@occ.state.oh.us</w:t>
            </w:r>
          </w:p>
        </w:tc>
      </w:tr>
    </w:tbl>
    <w:p w:rsidR="00FC4071" w:rsidRPr="00FC4071" w:rsidRDefault="00FC4071" w:rsidP="00913C3D">
      <w:pPr>
        <w:spacing w:line="480" w:lineRule="auto"/>
        <w:ind w:firstLine="720"/>
        <w:jc w:val="both"/>
      </w:pPr>
    </w:p>
    <w:sectPr w:rsidR="00FC4071" w:rsidRPr="00FC4071" w:rsidSect="00B31FF1">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F1" w:rsidRDefault="00B31FF1" w:rsidP="00B31FF1">
      <w:r>
        <w:separator/>
      </w:r>
    </w:p>
  </w:endnote>
  <w:endnote w:type="continuationSeparator" w:id="0">
    <w:p w:rsidR="00B31FF1" w:rsidRDefault="00B31FF1" w:rsidP="00B31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F1" w:rsidRDefault="006B68A5" w:rsidP="00D61CCF">
    <w:pPr>
      <w:pStyle w:val="Footer"/>
      <w:framePr w:wrap="around" w:vAnchor="text" w:hAnchor="margin" w:xAlign="center" w:y="1"/>
      <w:rPr>
        <w:rStyle w:val="PageNumber"/>
      </w:rPr>
    </w:pPr>
    <w:r>
      <w:rPr>
        <w:rStyle w:val="PageNumber"/>
      </w:rPr>
      <w:fldChar w:fldCharType="begin"/>
    </w:r>
    <w:r w:rsidR="00B31FF1">
      <w:rPr>
        <w:rStyle w:val="PageNumber"/>
      </w:rPr>
      <w:instrText xml:space="preserve">PAGE  </w:instrText>
    </w:r>
    <w:r>
      <w:rPr>
        <w:rStyle w:val="PageNumber"/>
      </w:rPr>
      <w:fldChar w:fldCharType="end"/>
    </w:r>
  </w:p>
  <w:p w:rsidR="00B31FF1" w:rsidRDefault="00B31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F1" w:rsidRDefault="006B68A5" w:rsidP="00D61CCF">
    <w:pPr>
      <w:pStyle w:val="Footer"/>
      <w:framePr w:wrap="around" w:vAnchor="text" w:hAnchor="margin" w:xAlign="center" w:y="1"/>
      <w:rPr>
        <w:rStyle w:val="PageNumber"/>
      </w:rPr>
    </w:pPr>
    <w:r>
      <w:rPr>
        <w:rStyle w:val="PageNumber"/>
      </w:rPr>
      <w:fldChar w:fldCharType="begin"/>
    </w:r>
    <w:r w:rsidR="00B31FF1">
      <w:rPr>
        <w:rStyle w:val="PageNumber"/>
      </w:rPr>
      <w:instrText xml:space="preserve">PAGE  </w:instrText>
    </w:r>
    <w:r>
      <w:rPr>
        <w:rStyle w:val="PageNumber"/>
      </w:rPr>
      <w:fldChar w:fldCharType="separate"/>
    </w:r>
    <w:r w:rsidR="003C0962">
      <w:rPr>
        <w:rStyle w:val="PageNumber"/>
        <w:noProof/>
      </w:rPr>
      <w:t>4</w:t>
    </w:r>
    <w:r>
      <w:rPr>
        <w:rStyle w:val="PageNumber"/>
      </w:rPr>
      <w:fldChar w:fldCharType="end"/>
    </w:r>
  </w:p>
  <w:p w:rsidR="00B31FF1" w:rsidRDefault="00B31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F1" w:rsidRDefault="00B31FF1" w:rsidP="00B31FF1">
      <w:r>
        <w:separator/>
      </w:r>
    </w:p>
  </w:footnote>
  <w:footnote w:type="continuationSeparator" w:id="0">
    <w:p w:rsidR="00B31FF1" w:rsidRDefault="00B31FF1" w:rsidP="00B31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03" w:rsidRPr="003330C5" w:rsidRDefault="00270803" w:rsidP="00FC4071">
    <w:pPr>
      <w:pStyle w:val="Header"/>
      <w:rPr>
        <w:i/>
        <w:sz w:val="24"/>
        <w:szCs w:val="24"/>
      </w:rPr>
    </w:pPr>
    <w:r w:rsidRPr="00270803">
      <w:rPr>
        <w:i/>
      </w:rPr>
      <w:tab/>
    </w:r>
  </w:p>
  <w:p w:rsidR="00270803" w:rsidRDefault="00270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03" w:rsidRDefault="00270803" w:rsidP="00FC4071">
    <w:pPr>
      <w:pStyle w:val="Header"/>
    </w:pPr>
    <w:r w:rsidRPr="00270803">
      <w:rPr>
        <w:i/>
      </w:rPr>
      <w:tab/>
    </w:r>
    <w:r w:rsidRPr="00270803">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1E02"/>
    <w:multiLevelType w:val="hybridMultilevel"/>
    <w:tmpl w:val="3836BDAA"/>
    <w:lvl w:ilvl="0" w:tplc="93E64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A4056"/>
    <w:multiLevelType w:val="hybridMultilevel"/>
    <w:tmpl w:val="E59A0454"/>
    <w:lvl w:ilvl="0" w:tplc="16B6BE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4A32A5"/>
    <w:multiLevelType w:val="hybridMultilevel"/>
    <w:tmpl w:val="02ACF106"/>
    <w:lvl w:ilvl="0" w:tplc="1A1E5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32FA"/>
    <w:rsid w:val="0011451D"/>
    <w:rsid w:val="00225EE2"/>
    <w:rsid w:val="00270803"/>
    <w:rsid w:val="003330C5"/>
    <w:rsid w:val="003A4539"/>
    <w:rsid w:val="003B3A7A"/>
    <w:rsid w:val="003C0962"/>
    <w:rsid w:val="005235BC"/>
    <w:rsid w:val="005B20B1"/>
    <w:rsid w:val="005C0A7A"/>
    <w:rsid w:val="00621155"/>
    <w:rsid w:val="00686E00"/>
    <w:rsid w:val="006B68A5"/>
    <w:rsid w:val="007739A0"/>
    <w:rsid w:val="007D7439"/>
    <w:rsid w:val="007E180F"/>
    <w:rsid w:val="008C03D3"/>
    <w:rsid w:val="00913C3D"/>
    <w:rsid w:val="0095160C"/>
    <w:rsid w:val="009E1CF6"/>
    <w:rsid w:val="00A0369F"/>
    <w:rsid w:val="00A23F34"/>
    <w:rsid w:val="00AC5E11"/>
    <w:rsid w:val="00B31FF1"/>
    <w:rsid w:val="00B43F5F"/>
    <w:rsid w:val="00B5293B"/>
    <w:rsid w:val="00C832FA"/>
    <w:rsid w:val="00DF590B"/>
    <w:rsid w:val="00E36E9F"/>
    <w:rsid w:val="00EF04D2"/>
    <w:rsid w:val="00EF3DB6"/>
    <w:rsid w:val="00F0100C"/>
    <w:rsid w:val="00FC4071"/>
    <w:rsid w:val="00FF5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cotitle">
    <w:name w:val="pucotitle"/>
    <w:basedOn w:val="Title"/>
    <w:autoRedefine/>
    <w:rsid w:val="00C832FA"/>
    <w:pPr>
      <w:pBdr>
        <w:bottom w:val="none" w:sz="0" w:space="0" w:color="auto"/>
      </w:pBdr>
      <w:overflowPunct/>
      <w:autoSpaceDE/>
      <w:autoSpaceDN/>
      <w:adjustRightInd/>
      <w:spacing w:after="0"/>
      <w:contextualSpacing w:val="0"/>
      <w:jc w:val="center"/>
      <w:textAlignment w:val="auto"/>
      <w:outlineLvl w:val="0"/>
    </w:pPr>
    <w:rPr>
      <w:rFonts w:ascii="Times New Roman" w:eastAsia="Times New Roman" w:hAnsi="Times New Roman" w:cs="Times New Roman"/>
      <w:bCs/>
      <w:color w:val="auto"/>
      <w:spacing w:val="0"/>
      <w:kern w:val="24"/>
      <w:sz w:val="24"/>
      <w:szCs w:val="20"/>
    </w:rPr>
  </w:style>
  <w:style w:type="paragraph" w:styleId="Title">
    <w:name w:val="Title"/>
    <w:basedOn w:val="Normal"/>
    <w:next w:val="Normal"/>
    <w:link w:val="TitleChar"/>
    <w:uiPriority w:val="10"/>
    <w:qFormat/>
    <w:rsid w:val="00C832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2F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1155"/>
    <w:pPr>
      <w:ind w:left="720"/>
      <w:contextualSpacing/>
    </w:pPr>
  </w:style>
  <w:style w:type="character" w:customStyle="1" w:styleId="term1">
    <w:name w:val="term1"/>
    <w:basedOn w:val="DefaultParagraphFont"/>
    <w:rsid w:val="007739A0"/>
    <w:rPr>
      <w:b/>
      <w:bCs/>
    </w:rPr>
  </w:style>
  <w:style w:type="character" w:customStyle="1" w:styleId="pmterms11">
    <w:name w:val="pmterms11"/>
    <w:basedOn w:val="DefaultParagraphFont"/>
    <w:rsid w:val="007739A0"/>
    <w:rPr>
      <w:b/>
      <w:bCs/>
      <w:i w:val="0"/>
      <w:iCs w:val="0"/>
      <w:color w:val="000000"/>
    </w:rPr>
  </w:style>
  <w:style w:type="paragraph" w:styleId="Footer">
    <w:name w:val="footer"/>
    <w:basedOn w:val="Normal"/>
    <w:link w:val="FooterChar"/>
    <w:uiPriority w:val="99"/>
    <w:semiHidden/>
    <w:unhideWhenUsed/>
    <w:rsid w:val="00B31FF1"/>
    <w:pPr>
      <w:tabs>
        <w:tab w:val="center" w:pos="4680"/>
        <w:tab w:val="right" w:pos="9360"/>
      </w:tabs>
    </w:pPr>
  </w:style>
  <w:style w:type="character" w:customStyle="1" w:styleId="FooterChar">
    <w:name w:val="Footer Char"/>
    <w:basedOn w:val="DefaultParagraphFont"/>
    <w:link w:val="Footer"/>
    <w:uiPriority w:val="99"/>
    <w:semiHidden/>
    <w:rsid w:val="00B31FF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1FF1"/>
  </w:style>
  <w:style w:type="paragraph" w:styleId="Header">
    <w:name w:val="header"/>
    <w:basedOn w:val="Normal"/>
    <w:link w:val="HeaderChar"/>
    <w:uiPriority w:val="99"/>
    <w:unhideWhenUsed/>
    <w:rsid w:val="00270803"/>
    <w:pPr>
      <w:tabs>
        <w:tab w:val="center" w:pos="4680"/>
        <w:tab w:val="right" w:pos="9360"/>
      </w:tabs>
    </w:pPr>
  </w:style>
  <w:style w:type="character" w:customStyle="1" w:styleId="HeaderChar">
    <w:name w:val="Header Char"/>
    <w:basedOn w:val="DefaultParagraphFont"/>
    <w:link w:val="Header"/>
    <w:uiPriority w:val="99"/>
    <w:rsid w:val="00270803"/>
    <w:rPr>
      <w:rFonts w:ascii="Times New Roman" w:eastAsia="Times New Roman" w:hAnsi="Times New Roman" w:cs="Times New Roman"/>
      <w:sz w:val="20"/>
      <w:szCs w:val="20"/>
    </w:rPr>
  </w:style>
  <w:style w:type="paragraph" w:styleId="BodyText">
    <w:name w:val="Body Text"/>
    <w:aliases w:val="bt"/>
    <w:basedOn w:val="Normal"/>
    <w:link w:val="BodyTextChar"/>
    <w:rsid w:val="00FC4071"/>
    <w:pPr>
      <w:overflowPunct/>
      <w:autoSpaceDE/>
      <w:autoSpaceDN/>
      <w:adjustRightInd/>
      <w:spacing w:after="240"/>
      <w:ind w:firstLine="720"/>
      <w:textAlignment w:val="auto"/>
    </w:pPr>
    <w:rPr>
      <w:kern w:val="24"/>
      <w:sz w:val="24"/>
    </w:rPr>
  </w:style>
  <w:style w:type="character" w:customStyle="1" w:styleId="BodyTextChar">
    <w:name w:val="Body Text Char"/>
    <w:aliases w:val="bt Char"/>
    <w:basedOn w:val="DefaultParagraphFont"/>
    <w:link w:val="BodyText"/>
    <w:rsid w:val="00FC4071"/>
    <w:rPr>
      <w:rFonts w:ascii="Times New Roman" w:eastAsia="Times New Roman" w:hAnsi="Times New Roman" w:cs="Times New Roman"/>
      <w:kern w:val="24"/>
      <w:sz w:val="24"/>
      <w:szCs w:val="20"/>
    </w:rPr>
  </w:style>
  <w:style w:type="paragraph" w:styleId="Signature">
    <w:name w:val="Signature"/>
    <w:basedOn w:val="Normal"/>
    <w:link w:val="SignatureChar"/>
    <w:rsid w:val="00FC4071"/>
    <w:pPr>
      <w:overflowPunct/>
      <w:autoSpaceDE/>
      <w:autoSpaceDN/>
      <w:adjustRightInd/>
      <w:ind w:left="4320"/>
      <w:textAlignment w:val="auto"/>
    </w:pPr>
    <w:rPr>
      <w:kern w:val="24"/>
      <w:sz w:val="24"/>
    </w:rPr>
  </w:style>
  <w:style w:type="character" w:customStyle="1" w:styleId="SignatureChar">
    <w:name w:val="Signature Char"/>
    <w:basedOn w:val="DefaultParagraphFont"/>
    <w:link w:val="Signature"/>
    <w:rsid w:val="00FC4071"/>
    <w:rPr>
      <w:rFonts w:ascii="Times New Roman" w:eastAsia="Times New Roman" w:hAnsi="Times New Roman" w:cs="Times New Roman"/>
      <w:kern w:val="24"/>
      <w:sz w:val="24"/>
      <w:szCs w:val="20"/>
    </w:rPr>
  </w:style>
  <w:style w:type="table" w:styleId="TableGrid">
    <w:name w:val="Table Grid"/>
    <w:basedOn w:val="TableNormal"/>
    <w:uiPriority w:val="59"/>
    <w:rsid w:val="00FC4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0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7446408">
      <w:bodyDiv w:val="1"/>
      <w:marLeft w:val="0"/>
      <w:marRight w:val="0"/>
      <w:marTop w:val="0"/>
      <w:marBottom w:val="0"/>
      <w:divBdr>
        <w:top w:val="none" w:sz="0" w:space="0" w:color="auto"/>
        <w:left w:val="none" w:sz="0" w:space="0" w:color="auto"/>
        <w:bottom w:val="none" w:sz="0" w:space="0" w:color="auto"/>
        <w:right w:val="none" w:sz="0" w:space="0" w:color="auto"/>
      </w:divBdr>
      <w:divsChild>
        <w:div w:id="1983775542">
          <w:marLeft w:val="0"/>
          <w:marRight w:val="0"/>
          <w:marTop w:val="0"/>
          <w:marBottom w:val="0"/>
          <w:divBdr>
            <w:top w:val="none" w:sz="0" w:space="0" w:color="auto"/>
            <w:left w:val="none" w:sz="0" w:space="0" w:color="auto"/>
            <w:bottom w:val="none" w:sz="0" w:space="0" w:color="auto"/>
            <w:right w:val="none" w:sz="0" w:space="0" w:color="auto"/>
          </w:divBdr>
          <w:divsChild>
            <w:div w:id="840848780">
              <w:marLeft w:val="0"/>
              <w:marRight w:val="0"/>
              <w:marTop w:val="0"/>
              <w:marBottom w:val="0"/>
              <w:divBdr>
                <w:top w:val="none" w:sz="0" w:space="0" w:color="auto"/>
                <w:left w:val="none" w:sz="0" w:space="0" w:color="auto"/>
                <w:bottom w:val="none" w:sz="0" w:space="0" w:color="auto"/>
                <w:right w:val="none" w:sz="0" w:space="0" w:color="auto"/>
              </w:divBdr>
              <w:divsChild>
                <w:div w:id="1291085359">
                  <w:marLeft w:val="0"/>
                  <w:marRight w:val="0"/>
                  <w:marTop w:val="0"/>
                  <w:marBottom w:val="0"/>
                  <w:divBdr>
                    <w:top w:val="none" w:sz="0" w:space="0" w:color="auto"/>
                    <w:left w:val="none" w:sz="0" w:space="0" w:color="auto"/>
                    <w:bottom w:val="none" w:sz="0" w:space="0" w:color="auto"/>
                    <w:right w:val="none" w:sz="0" w:space="0" w:color="auto"/>
                  </w:divBdr>
                  <w:divsChild>
                    <w:div w:id="276378079">
                      <w:marLeft w:val="157"/>
                      <w:marRight w:val="15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03587">
      <w:bodyDiv w:val="1"/>
      <w:marLeft w:val="0"/>
      <w:marRight w:val="0"/>
      <w:marTop w:val="0"/>
      <w:marBottom w:val="0"/>
      <w:divBdr>
        <w:top w:val="none" w:sz="0" w:space="0" w:color="auto"/>
        <w:left w:val="none" w:sz="0" w:space="0" w:color="auto"/>
        <w:bottom w:val="none" w:sz="0" w:space="0" w:color="auto"/>
        <w:right w:val="none" w:sz="0" w:space="0" w:color="auto"/>
      </w:divBdr>
      <w:divsChild>
        <w:div w:id="1673944654">
          <w:marLeft w:val="0"/>
          <w:marRight w:val="0"/>
          <w:marTop w:val="0"/>
          <w:marBottom w:val="0"/>
          <w:divBdr>
            <w:top w:val="none" w:sz="0" w:space="0" w:color="auto"/>
            <w:left w:val="none" w:sz="0" w:space="0" w:color="auto"/>
            <w:bottom w:val="none" w:sz="0" w:space="0" w:color="auto"/>
            <w:right w:val="none" w:sz="0" w:space="0" w:color="auto"/>
          </w:divBdr>
          <w:divsChild>
            <w:div w:id="205415123">
              <w:marLeft w:val="0"/>
              <w:marRight w:val="0"/>
              <w:marTop w:val="0"/>
              <w:marBottom w:val="0"/>
              <w:divBdr>
                <w:top w:val="none" w:sz="0" w:space="0" w:color="auto"/>
                <w:left w:val="none" w:sz="0" w:space="0" w:color="auto"/>
                <w:bottom w:val="none" w:sz="0" w:space="0" w:color="auto"/>
                <w:right w:val="none" w:sz="0" w:space="0" w:color="auto"/>
              </w:divBdr>
              <w:divsChild>
                <w:div w:id="2041512797">
                  <w:marLeft w:val="0"/>
                  <w:marRight w:val="0"/>
                  <w:marTop w:val="0"/>
                  <w:marBottom w:val="0"/>
                  <w:divBdr>
                    <w:top w:val="none" w:sz="0" w:space="0" w:color="auto"/>
                    <w:left w:val="none" w:sz="0" w:space="0" w:color="auto"/>
                    <w:bottom w:val="none" w:sz="0" w:space="0" w:color="auto"/>
                    <w:right w:val="none" w:sz="0" w:space="0" w:color="auto"/>
                  </w:divBdr>
                  <w:divsChild>
                    <w:div w:id="200284105">
                      <w:marLeft w:val="157"/>
                      <w:marRight w:val="15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eslie@nisour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seiple@nisource.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petricoff@vory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tephen.Reilly@puc.state.oh.us" TargetMode="External"/><Relationship Id="rId4" Type="http://schemas.openxmlformats.org/officeDocument/2006/relationships/webSettings" Target="webSettings.xml"/><Relationship Id="rId9" Type="http://schemas.openxmlformats.org/officeDocument/2006/relationships/hyperlink" Target="mailto:BarthRoyer@ao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Bailey Cavalieri, LLC</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dstinson</dc:creator>
  <cp:keywords/>
  <dc:description/>
  <cp:lastModifiedBy>dstinson</cp:lastModifiedBy>
  <cp:revision>2</cp:revision>
  <cp:lastPrinted>2012-10-09T18:36:00Z</cp:lastPrinted>
  <dcterms:created xsi:type="dcterms:W3CDTF">2012-10-09T18:37:00Z</dcterms:created>
  <dcterms:modified xsi:type="dcterms:W3CDTF">2012-10-09T18:37:00Z</dcterms:modified>
</cp:coreProperties>
</file>