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148AA" w:rsidRPr="006312D8" w:rsidP="00C148AA">
      <w:pPr>
        <w:jc w:val="center"/>
        <w:rPr>
          <w:rFonts w:ascii="Times New Roman" w:hAnsi="Times New Roman" w:cs="Times New Roman"/>
          <w:b/>
        </w:rPr>
      </w:pPr>
      <w:bookmarkStart w:id="0" w:name="_GoBack"/>
      <w:bookmarkEnd w:id="0"/>
      <w:r w:rsidRPr="006312D8">
        <w:rPr>
          <w:rFonts w:ascii="Times New Roman" w:hAnsi="Times New Roman" w:cs="Times New Roman"/>
          <w:b/>
        </w:rPr>
        <w:t>BEFORE</w:t>
      </w:r>
    </w:p>
    <w:p w:rsidR="00C148AA" w:rsidRPr="006312D8" w:rsidP="00C148AA">
      <w:pPr>
        <w:jc w:val="center"/>
        <w:rPr>
          <w:rFonts w:ascii="Times New Roman" w:hAnsi="Times New Roman" w:cs="Times New Roman"/>
          <w:b/>
        </w:rPr>
      </w:pPr>
      <w:r w:rsidRPr="006312D8">
        <w:rPr>
          <w:rFonts w:ascii="Times New Roman" w:hAnsi="Times New Roman" w:cs="Times New Roman"/>
          <w:b/>
        </w:rPr>
        <w:t xml:space="preserve">THE PUBLIC UTILITIES COMMISSION OF </w:t>
      </w:r>
      <w:smartTag w:uri="urn:schemas-microsoft-com:office:smarttags" w:element="place">
        <w:smartTag w:uri="urn:schemas-microsoft-com:office:smarttags" w:element="State">
          <w:r w:rsidRPr="006312D8">
            <w:rPr>
              <w:rFonts w:ascii="Times New Roman" w:hAnsi="Times New Roman" w:cs="Times New Roman"/>
              <w:b/>
            </w:rPr>
            <w:t>OHIO</w:t>
          </w:r>
        </w:smartTag>
      </w:smartTag>
    </w:p>
    <w:p w:rsidR="00C148AA" w:rsidRPr="006312D8" w:rsidP="00C148AA">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5C338E">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C148AA" w:rsidRPr="006312D8" w:rsidP="005C338E">
            <w:pPr>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In the Matter of the Application of</w:t>
            </w:r>
          </w:p>
          <w:p w:rsidR="00C148AA" w:rsidRPr="006312D8" w:rsidP="005C338E">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 xml:space="preserve">Vectren Energy Delivery of Ohio, Inc. for Approval of an Alternative Rate Plan. </w:t>
            </w:r>
          </w:p>
        </w:tc>
        <w:tc>
          <w:tcPr>
            <w:tcW w:w="360" w:type="dxa"/>
            <w:shd w:val="clear" w:color="auto" w:fill="auto"/>
          </w:tcPr>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tc>
        <w:tc>
          <w:tcPr>
            <w:tcW w:w="4400" w:type="dxa"/>
            <w:shd w:val="clear" w:color="auto" w:fill="auto"/>
          </w:tcPr>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Case No. 18-0049-GA-ALT</w:t>
            </w:r>
          </w:p>
        </w:tc>
      </w:tr>
    </w:tbl>
    <w:p w:rsidR="00C148AA" w:rsidRPr="006312D8" w:rsidP="00C148AA">
      <w:pPr>
        <w:jc w:val="both"/>
        <w:rPr>
          <w:rFonts w:ascii="Times New Roman" w:hAnsi="Times New Roman" w:cs="Times New Roman"/>
        </w:rPr>
      </w:pPr>
    </w:p>
    <w:tbl>
      <w:tblPr>
        <w:tblW w:w="9092" w:type="dxa"/>
        <w:tblInd w:w="0" w:type="dxa"/>
        <w:tblCellMar>
          <w:top w:w="0" w:type="dxa"/>
          <w:left w:w="108" w:type="dxa"/>
          <w:bottom w:w="0" w:type="dxa"/>
          <w:right w:w="108" w:type="dxa"/>
        </w:tblCellMar>
        <w:tblLook w:val="01E0"/>
      </w:tblPr>
      <w:tblGrid>
        <w:gridCol w:w="4332"/>
        <w:gridCol w:w="360"/>
        <w:gridCol w:w="4400"/>
      </w:tblGrid>
      <w:tr w:rsidTr="005C338E">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C148AA" w:rsidRPr="006312D8" w:rsidP="005C338E">
            <w:pPr>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In the Matter of the Application of</w:t>
            </w:r>
          </w:p>
          <w:p w:rsidR="00C148AA" w:rsidRPr="006312D8" w:rsidP="005C338E">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 xml:space="preserve">Vectren Energy Delivery of Ohio, Inc. for Approval of an Increase in Gas Rates. </w:t>
            </w:r>
          </w:p>
        </w:tc>
        <w:tc>
          <w:tcPr>
            <w:tcW w:w="360" w:type="dxa"/>
            <w:shd w:val="clear" w:color="auto" w:fill="auto"/>
          </w:tcPr>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tc>
        <w:tc>
          <w:tcPr>
            <w:tcW w:w="4400" w:type="dxa"/>
            <w:shd w:val="clear" w:color="auto" w:fill="auto"/>
          </w:tcPr>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Case No. 18-0298-GA-AIR</w:t>
            </w:r>
          </w:p>
        </w:tc>
      </w:tr>
    </w:tbl>
    <w:p w:rsidR="00C148AA" w:rsidRPr="006312D8" w:rsidP="00C148AA">
      <w:pPr>
        <w:jc w:val="both"/>
        <w:rPr>
          <w:rFonts w:ascii="Times New Roman" w:hAnsi="Times New Roman" w:cs="Times New Roman"/>
        </w:rPr>
      </w:pPr>
    </w:p>
    <w:tbl>
      <w:tblPr>
        <w:tblW w:w="9092" w:type="dxa"/>
        <w:tblInd w:w="0" w:type="dxa"/>
        <w:tblCellMar>
          <w:top w:w="0" w:type="dxa"/>
          <w:left w:w="108" w:type="dxa"/>
          <w:bottom w:w="0" w:type="dxa"/>
          <w:right w:w="108" w:type="dxa"/>
        </w:tblCellMar>
        <w:tblLook w:val="01E0"/>
      </w:tblPr>
      <w:tblGrid>
        <w:gridCol w:w="4332"/>
        <w:gridCol w:w="360"/>
        <w:gridCol w:w="4400"/>
      </w:tblGrid>
      <w:tr w:rsidTr="005C338E">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C148AA" w:rsidRPr="006312D8" w:rsidP="005C338E">
            <w:pPr>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In the Matter of the Application of</w:t>
            </w:r>
          </w:p>
          <w:p w:rsidR="00C148AA" w:rsidRPr="006312D8" w:rsidP="005C338E">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 xml:space="preserve">Vectren Energy Delivery of Ohio, Inc. for Approval of an Alternative Rate Plan. </w:t>
            </w:r>
          </w:p>
        </w:tc>
        <w:tc>
          <w:tcPr>
            <w:tcW w:w="360" w:type="dxa"/>
            <w:shd w:val="clear" w:color="auto" w:fill="auto"/>
          </w:tcPr>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tc>
        <w:tc>
          <w:tcPr>
            <w:tcW w:w="4400" w:type="dxa"/>
            <w:shd w:val="clear" w:color="auto" w:fill="auto"/>
          </w:tcPr>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C148AA" w:rsidRPr="006312D8" w:rsidP="005C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Case No. 18-0299-GA-ALT</w:t>
            </w:r>
          </w:p>
        </w:tc>
      </w:tr>
    </w:tbl>
    <w:p w:rsidR="00C148AA" w:rsidRPr="006312D8" w:rsidP="00C148AA">
      <w:pPr>
        <w:pStyle w:val="HTMLPreformatted"/>
        <w:pBdr>
          <w:bottom w:val="single" w:sz="12" w:space="1" w:color="auto"/>
        </w:pBdr>
        <w:tabs>
          <w:tab w:val="left" w:pos="4488"/>
          <w:tab w:val="clear" w:pos="4580"/>
        </w:tabs>
        <w:rPr>
          <w:rFonts w:ascii="Times New Roman" w:hAnsi="Times New Roman" w:cs="Times New Roman"/>
          <w:sz w:val="24"/>
          <w:szCs w:val="24"/>
        </w:rPr>
      </w:pPr>
    </w:p>
    <w:p w:rsidR="00C148AA" w:rsidRPr="006312D8" w:rsidP="00C148AA">
      <w:pPr>
        <w:tabs>
          <w:tab w:val="left" w:pos="-720"/>
        </w:tabs>
        <w:suppressAutoHyphens/>
        <w:jc w:val="center"/>
        <w:rPr>
          <w:rFonts w:ascii="Times New Roman" w:hAnsi="Times New Roman" w:cs="Times New Roman"/>
          <w:b/>
          <w:spacing w:val="-3"/>
        </w:rPr>
      </w:pPr>
    </w:p>
    <w:p w:rsidR="00C148AA" w:rsidRPr="006312D8" w:rsidP="00C148AA">
      <w:pPr>
        <w:tabs>
          <w:tab w:val="left" w:pos="-720"/>
        </w:tabs>
        <w:suppressAutoHyphens/>
        <w:jc w:val="center"/>
        <w:rPr>
          <w:rFonts w:ascii="Times New Roman" w:hAnsi="Times New Roman" w:cs="Times New Roman"/>
          <w:b/>
          <w:spacing w:val="-3"/>
        </w:rPr>
      </w:pPr>
      <w:r>
        <w:rPr>
          <w:rFonts w:ascii="Times New Roman" w:hAnsi="Times New Roman" w:cs="Times New Roman"/>
          <w:b/>
          <w:spacing w:val="-3"/>
        </w:rPr>
        <w:t>THE OFFICE OF THE OHIO CONSUMERS’ COUNSEL’S MEMORANDUM CONTRA VECTREN’S MOTION TO STRIKE PORTIONS OF OCC’S INITIAL BRIEF FOR CONSUMER PROTECTION</w:t>
      </w:r>
    </w:p>
    <w:p w:rsidR="00C148AA" w:rsidRPr="006312D8" w:rsidP="00C148AA">
      <w:pPr>
        <w:pBdr>
          <w:bottom w:val="single" w:sz="12" w:space="1" w:color="auto"/>
        </w:pBdr>
        <w:tabs>
          <w:tab w:val="left" w:pos="-720"/>
        </w:tabs>
        <w:suppressAutoHyphens/>
        <w:jc w:val="center"/>
        <w:rPr>
          <w:rFonts w:ascii="Times New Roman" w:hAnsi="Times New Roman" w:cs="Times New Roman"/>
          <w:b/>
          <w:spacing w:val="-3"/>
          <w:u w:val="single"/>
        </w:rPr>
      </w:pPr>
    </w:p>
    <w:p w:rsidR="00C148AA" w:rsidRPr="006312D8" w:rsidP="00C148AA">
      <w:pPr>
        <w:tabs>
          <w:tab w:val="left" w:pos="-720"/>
        </w:tabs>
        <w:suppressAutoHyphens/>
        <w:rPr>
          <w:rFonts w:ascii="Times New Roman" w:hAnsi="Times New Roman" w:cs="Times New Roman"/>
          <w:b/>
          <w:spacing w:val="-3"/>
        </w:rPr>
      </w:pPr>
    </w:p>
    <w:p w:rsidR="00C148AA" w:rsidP="00FE273B">
      <w:pPr>
        <w:jc w:val="center"/>
        <w:rPr>
          <w:rFonts w:ascii="Times New Roman" w:hAnsi="Times New Roman" w:cs="Times New Roman"/>
          <w:b/>
        </w:rPr>
      </w:pPr>
    </w:p>
    <w:p w:rsidR="00C148AA" w:rsidRPr="006312D8" w:rsidP="00C148AA">
      <w:pPr>
        <w:pStyle w:val="Footer"/>
        <w:tabs>
          <w:tab w:val="clear" w:pos="4320"/>
          <w:tab w:val="clear" w:pos="8640"/>
        </w:tabs>
        <w:spacing w:before="240"/>
        <w:ind w:left="2880" w:firstLine="720"/>
        <w:rPr>
          <w:rFonts w:ascii="Times New Roman" w:hAnsi="Times New Roman" w:cs="Times New Roman"/>
        </w:rPr>
      </w:pPr>
      <w:r w:rsidRPr="006312D8">
        <w:rPr>
          <w:rFonts w:ascii="Times New Roman" w:hAnsi="Times New Roman" w:cs="Times New Roman"/>
        </w:rPr>
        <w:t>Bruce Weston (0016973)</w:t>
      </w:r>
    </w:p>
    <w:p w:rsidR="00C148AA" w:rsidRPr="006312D8" w:rsidP="00C148AA">
      <w:pPr>
        <w:ind w:left="2880" w:firstLine="720"/>
        <w:rPr>
          <w:rFonts w:ascii="Times New Roman" w:hAnsi="Times New Roman" w:cs="Times New Roman"/>
        </w:rPr>
      </w:pPr>
      <w:r w:rsidRPr="006312D8">
        <w:rPr>
          <w:rFonts w:ascii="Times New Roman" w:hAnsi="Times New Roman" w:cs="Times New Roman"/>
        </w:rPr>
        <w:t>Ohio Consumers’ Counsel</w:t>
      </w:r>
    </w:p>
    <w:p w:rsidR="00C148AA" w:rsidRPr="006312D8" w:rsidP="00C148AA">
      <w:pPr>
        <w:tabs>
          <w:tab w:val="left" w:pos="4320"/>
        </w:tabs>
        <w:rPr>
          <w:rFonts w:ascii="Times New Roman" w:hAnsi="Times New Roman" w:cs="Times New Roman"/>
        </w:rPr>
      </w:pPr>
      <w:r w:rsidRPr="006312D8">
        <w:rPr>
          <w:rFonts w:ascii="Times New Roman" w:hAnsi="Times New Roman" w:cs="Times New Roman"/>
        </w:rPr>
        <w:tab/>
      </w:r>
    </w:p>
    <w:p w:rsidR="00C148AA" w:rsidRPr="006312D8" w:rsidP="00C148A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12D8">
        <w:rPr>
          <w:rFonts w:ascii="Times New Roman" w:hAnsi="Times New Roman" w:cs="Times New Roman"/>
        </w:rPr>
        <w:t>William J. Michael (0070921)</w:t>
      </w:r>
    </w:p>
    <w:p w:rsidR="00C148AA" w:rsidRPr="006312D8" w:rsidP="00C148A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12D8">
        <w:rPr>
          <w:rFonts w:ascii="Times New Roman" w:hAnsi="Times New Roman" w:cs="Times New Roman"/>
        </w:rPr>
        <w:t>Counsel of Record</w:t>
      </w:r>
    </w:p>
    <w:p w:rsidR="00C148AA" w:rsidRPr="006312D8" w:rsidP="00C148AA">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6312D8">
        <w:rPr>
          <w:rFonts w:ascii="Times New Roman" w:eastAsia="Calibri" w:hAnsi="Times New Roman" w:cs="Times New Roman"/>
        </w:rPr>
        <w:t>Amy Botschner-O’Brien (0074423)</w:t>
      </w:r>
    </w:p>
    <w:p w:rsidR="00C148AA" w:rsidRPr="006312D8" w:rsidP="00C148AA">
      <w:pPr>
        <w:ind w:left="2880" w:firstLine="720"/>
        <w:rPr>
          <w:rFonts w:ascii="Times New Roman" w:eastAsia="Calibri" w:hAnsi="Times New Roman" w:cs="Times New Roman"/>
        </w:rPr>
      </w:pPr>
      <w:r w:rsidRPr="006312D8">
        <w:rPr>
          <w:rFonts w:ascii="Times New Roman" w:eastAsia="Calibri" w:hAnsi="Times New Roman" w:cs="Times New Roman"/>
        </w:rPr>
        <w:t>Assistant Consumers’ Counsel</w:t>
      </w:r>
    </w:p>
    <w:p w:rsidR="00C148AA" w:rsidRPr="006312D8" w:rsidP="00C148AA">
      <w:pPr>
        <w:ind w:left="2880" w:firstLine="720"/>
        <w:rPr>
          <w:rFonts w:ascii="Times New Roman" w:hAnsi="Times New Roman" w:cs="Times New Roman"/>
        </w:rPr>
      </w:pPr>
      <w:r w:rsidRPr="006312D8">
        <w:rPr>
          <w:rFonts w:ascii="Times New Roman" w:hAnsi="Times New Roman" w:cs="Times New Roman"/>
        </w:rPr>
        <w:t>Christopher Healey (0086027)</w:t>
      </w:r>
    </w:p>
    <w:p w:rsidR="00C148AA" w:rsidRPr="006312D8" w:rsidP="00C148AA">
      <w:pPr>
        <w:ind w:left="2880" w:firstLine="720"/>
        <w:rPr>
          <w:rFonts w:ascii="Times New Roman" w:hAnsi="Times New Roman" w:cs="Times New Roman"/>
        </w:rPr>
      </w:pPr>
      <w:r w:rsidRPr="006312D8">
        <w:rPr>
          <w:rFonts w:ascii="Times New Roman" w:hAnsi="Times New Roman" w:cs="Times New Roman"/>
        </w:rPr>
        <w:t>Assistant Consumers’ Counsel</w:t>
      </w:r>
    </w:p>
    <w:p w:rsidR="00C148AA" w:rsidRPr="006312D8" w:rsidP="00C148AA">
      <w:pPr>
        <w:ind w:left="2880" w:firstLine="720"/>
        <w:rPr>
          <w:rFonts w:ascii="Times New Roman" w:hAnsi="Times New Roman" w:cs="Times New Roman"/>
        </w:rPr>
      </w:pPr>
      <w:r w:rsidRPr="006312D8">
        <w:rPr>
          <w:rFonts w:ascii="Times New Roman" w:hAnsi="Times New Roman" w:cs="Times New Roman"/>
        </w:rPr>
        <w:t>Angela O’Brien (0097579)</w:t>
      </w:r>
    </w:p>
    <w:p w:rsidR="00C148AA" w:rsidRPr="006312D8" w:rsidP="00C148AA">
      <w:pPr>
        <w:ind w:left="2880" w:firstLine="720"/>
        <w:rPr>
          <w:rFonts w:ascii="Times New Roman" w:hAnsi="Times New Roman" w:cs="Times New Roman"/>
        </w:rPr>
      </w:pPr>
      <w:r w:rsidRPr="006312D8">
        <w:rPr>
          <w:rFonts w:ascii="Times New Roman" w:hAnsi="Times New Roman" w:cs="Times New Roman"/>
        </w:rPr>
        <w:t>Assistant Consumers’ Counsel</w:t>
      </w:r>
    </w:p>
    <w:p w:rsidR="00C148AA" w:rsidRPr="006312D8" w:rsidP="00C148AA">
      <w:pPr>
        <w:tabs>
          <w:tab w:val="left" w:pos="4320"/>
        </w:tabs>
        <w:ind w:left="4320"/>
        <w:rPr>
          <w:rFonts w:ascii="Times New Roman" w:eastAsia="Calibri" w:hAnsi="Times New Roman" w:cs="Times New Roman"/>
        </w:rPr>
      </w:pPr>
    </w:p>
    <w:p w:rsidR="00C148AA" w:rsidRPr="006312D8" w:rsidP="00C148AA">
      <w:pPr>
        <w:rPr>
          <w:rFonts w:ascii="Times New Roman" w:hAnsi="Times New Roman" w:cs="Times New Roman"/>
          <w:b/>
        </w:rPr>
      </w:pPr>
      <w:r w:rsidRPr="006312D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12D8">
        <w:rPr>
          <w:rFonts w:ascii="Times New Roman" w:hAnsi="Times New Roman" w:cs="Times New Roman"/>
          <w:b/>
        </w:rPr>
        <w:t>Office of the Ohio Consumers’ Counsel</w:t>
      </w:r>
    </w:p>
    <w:p w:rsidR="00C148AA" w:rsidRPr="006312D8" w:rsidP="00C148AA">
      <w:pPr>
        <w:rPr>
          <w:rFonts w:ascii="Times New Roman" w:hAnsi="Times New Roman" w:cs="Times New Roman"/>
        </w:rPr>
      </w:pPr>
      <w:r w:rsidRPr="006312D8">
        <w:rPr>
          <w:rFonts w:ascii="Times New Roman" w:hAnsi="Times New Roman" w:cs="Times New Roman"/>
          <w:b/>
        </w:rPr>
        <w:tab/>
      </w:r>
      <w:r w:rsidRPr="006312D8">
        <w:rPr>
          <w:rFonts w:ascii="Times New Roman" w:hAnsi="Times New Roman" w:cs="Times New Roman"/>
          <w:b/>
        </w:rPr>
        <w:tab/>
      </w:r>
      <w:r w:rsidRPr="006312D8">
        <w:rPr>
          <w:rFonts w:ascii="Times New Roman" w:hAnsi="Times New Roman" w:cs="Times New Roman"/>
          <w:b/>
        </w:rPr>
        <w:tab/>
      </w:r>
      <w:r w:rsidRPr="006312D8">
        <w:rPr>
          <w:rFonts w:ascii="Times New Roman" w:hAnsi="Times New Roman" w:cs="Times New Roman"/>
          <w:b/>
        </w:rPr>
        <w:tab/>
      </w:r>
      <w:r w:rsidRPr="006312D8">
        <w:rPr>
          <w:rFonts w:ascii="Times New Roman" w:hAnsi="Times New Roman" w:cs="Times New Roman"/>
          <w:b/>
        </w:rPr>
        <w:tab/>
      </w:r>
      <w:r w:rsidRPr="006312D8">
        <w:rPr>
          <w:rFonts w:ascii="Times New Roman" w:hAnsi="Times New Roman" w:cs="Times New Roman"/>
        </w:rPr>
        <w:t>65 East State Street, 7</w:t>
      </w:r>
      <w:r w:rsidRPr="006312D8">
        <w:rPr>
          <w:rFonts w:ascii="Times New Roman" w:hAnsi="Times New Roman" w:cs="Times New Roman"/>
          <w:vertAlign w:val="superscript"/>
        </w:rPr>
        <w:t>th</w:t>
      </w:r>
      <w:r w:rsidRPr="006312D8">
        <w:rPr>
          <w:rFonts w:ascii="Times New Roman" w:hAnsi="Times New Roman" w:cs="Times New Roman"/>
        </w:rPr>
        <w:t xml:space="preserve"> Floor</w:t>
      </w:r>
    </w:p>
    <w:p w:rsidR="00C148AA" w:rsidRPr="006312D8" w:rsidP="00C148AA">
      <w:pPr>
        <w:rPr>
          <w:rFonts w:ascii="Times New Roman" w:hAnsi="Times New Roman" w:cs="Times New Roman"/>
        </w:rPr>
      </w:pP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rPr>
        <w:tab/>
        <w:t>Columbus, Ohio 43215-4213</w:t>
      </w:r>
    </w:p>
    <w:p w:rsidR="00C148AA" w:rsidRPr="006312D8" w:rsidP="00C148AA">
      <w:pPr>
        <w:autoSpaceDE w:val="0"/>
        <w:autoSpaceDN w:val="0"/>
        <w:adjustRightInd w:val="0"/>
        <w:ind w:left="2880" w:firstLine="720"/>
        <w:rPr>
          <w:rFonts w:ascii="Times New Roman" w:hAnsi="Times New Roman" w:cs="Times New Roman"/>
        </w:rPr>
      </w:pPr>
      <w:r w:rsidRPr="006312D8">
        <w:rPr>
          <w:rFonts w:ascii="Times New Roman" w:hAnsi="Times New Roman" w:cs="Times New Roman"/>
        </w:rPr>
        <w:t>Telephone: [Michael] 614-466-1291</w:t>
      </w:r>
    </w:p>
    <w:p w:rsidR="00C148AA" w:rsidRPr="006312D8" w:rsidP="00C148AA">
      <w:pPr>
        <w:ind w:left="3600"/>
        <w:rPr>
          <w:rFonts w:ascii="Times New Roman" w:hAnsi="Times New Roman" w:cs="Times New Roman"/>
        </w:rPr>
      </w:pPr>
      <w:r w:rsidRPr="006312D8">
        <w:rPr>
          <w:rFonts w:ascii="Times New Roman" w:hAnsi="Times New Roman" w:cs="Times New Roman"/>
        </w:rPr>
        <w:t>Telephone: [Botschner O’Brien] (614) 466-9575</w:t>
      </w:r>
    </w:p>
    <w:p w:rsidR="00C148AA" w:rsidRPr="006312D8" w:rsidP="00C148AA">
      <w:pPr>
        <w:autoSpaceDE w:val="0"/>
        <w:autoSpaceDN w:val="0"/>
        <w:adjustRightInd w:val="0"/>
        <w:ind w:left="2880" w:firstLine="720"/>
        <w:rPr>
          <w:rFonts w:ascii="Times New Roman" w:hAnsi="Times New Roman" w:cs="Times New Roman"/>
        </w:rPr>
      </w:pPr>
      <w:r w:rsidRPr="006312D8">
        <w:rPr>
          <w:rFonts w:ascii="Times New Roman" w:hAnsi="Times New Roman" w:cs="Times New Roman"/>
        </w:rPr>
        <w:t>Telephone: [Healey] 614-466-9571</w:t>
      </w:r>
    </w:p>
    <w:p w:rsidR="00C148AA" w:rsidRPr="006312D8" w:rsidP="00C148AA">
      <w:pPr>
        <w:autoSpaceDE w:val="0"/>
        <w:autoSpaceDN w:val="0"/>
        <w:adjustRightInd w:val="0"/>
        <w:ind w:left="2880" w:firstLine="720"/>
        <w:rPr>
          <w:rFonts w:ascii="Times New Roman" w:hAnsi="Times New Roman" w:cs="Times New Roman"/>
        </w:rPr>
      </w:pPr>
      <w:r w:rsidRPr="006312D8">
        <w:rPr>
          <w:rFonts w:ascii="Times New Roman" w:hAnsi="Times New Roman" w:cs="Times New Roman"/>
        </w:rPr>
        <w:t>Telephone: [O’Brien] 614-466-9531</w:t>
      </w:r>
    </w:p>
    <w:p w:rsidR="00C148AA" w:rsidRPr="006312D8" w:rsidP="00C148AA">
      <w:pPr>
        <w:ind w:left="2880" w:firstLine="720"/>
        <w:rPr>
          <w:rFonts w:ascii="Times New Roman" w:hAnsi="Times New Roman" w:cs="Times New Roman"/>
        </w:rPr>
      </w:pPr>
      <w:r w:rsidRPr="006312D8">
        <w:rPr>
          <w:rFonts w:ascii="Times New Roman" w:hAnsi="Times New Roman" w:cs="Times New Roman"/>
        </w:rPr>
        <w:t>william.michael@occ.ohio.gov</w:t>
      </w:r>
    </w:p>
    <w:p w:rsidR="00C148AA" w:rsidRPr="006312D8" w:rsidP="00C148AA">
      <w:pPr>
        <w:ind w:left="2880" w:firstLine="720"/>
        <w:rPr>
          <w:rFonts w:ascii="Times New Roman" w:hAnsi="Times New Roman" w:cs="Times New Roman"/>
        </w:rPr>
      </w:pPr>
      <w:r w:rsidRPr="006312D8">
        <w:rPr>
          <w:rFonts w:ascii="Times New Roman" w:hAnsi="Times New Roman" w:cs="Times New Roman"/>
        </w:rPr>
        <w:t>amy.botschner.obrien@occ.ohio.gov</w:t>
      </w:r>
    </w:p>
    <w:p w:rsidR="00C148AA" w:rsidRPr="006312D8" w:rsidP="00C148AA">
      <w:pPr>
        <w:ind w:left="2880" w:firstLine="720"/>
        <w:rPr>
          <w:rFonts w:ascii="Times New Roman" w:hAnsi="Times New Roman" w:cs="Times New Roman"/>
        </w:rPr>
      </w:pPr>
      <w:r w:rsidRPr="006312D8">
        <w:rPr>
          <w:rFonts w:ascii="Times New Roman" w:hAnsi="Times New Roman" w:cs="Times New Roman"/>
        </w:rPr>
        <w:t xml:space="preserve">christopher.healey@occ.ohio.gov </w:t>
      </w:r>
    </w:p>
    <w:p w:rsidR="008A6EC8" w:rsidP="00C148AA">
      <w:pPr>
        <w:ind w:left="2880" w:firstLine="720"/>
        <w:rPr>
          <w:rStyle w:val="Hyperlink"/>
          <w:rFonts w:ascii="Times New Roman" w:hAnsi="Times New Roman" w:cs="Times New Roman"/>
          <w:color w:val="auto"/>
          <w:u w:val="none"/>
        </w:rPr>
        <w:sectPr w:rsidSect="008A6EC8">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432" w:gutter="0"/>
          <w:pgNumType w:fmt="lowerRoman" w:start="1"/>
          <w:cols w:space="720"/>
          <w:titlePg/>
          <w:docGrid w:linePitch="360"/>
        </w:sectPr>
      </w:pPr>
      <w:r w:rsidRPr="008A6EC8" w:rsidR="00C148AA">
        <w:rPr>
          <w:rStyle w:val="DefaultParagraphFont"/>
          <w:rFonts w:ascii="Times New Roman" w:hAnsi="Times New Roman" w:cs="Times New Roman"/>
          <w:color w:val="auto"/>
          <w:u w:val="none"/>
        </w:rPr>
        <w:t>angela.obrien@occ.ohio.gov</w:t>
      </w:r>
    </w:p>
    <w:p w:rsidR="00C148AA" w:rsidRPr="00357D5D" w:rsidP="00C148AA">
      <w:pPr>
        <w:jc w:val="center"/>
        <w:rPr>
          <w:rStyle w:val="Hyperlink"/>
          <w:rFonts w:ascii="Times New Roman" w:hAnsi="Times New Roman" w:cs="Times New Roman"/>
          <w:b/>
          <w:bCs/>
          <w:color w:val="auto"/>
        </w:rPr>
      </w:pPr>
      <w:r w:rsidRPr="00357D5D">
        <w:rPr>
          <w:rStyle w:val="Hyperlink"/>
          <w:rFonts w:ascii="Times New Roman" w:hAnsi="Times New Roman" w:cs="Times New Roman"/>
          <w:b/>
          <w:bCs/>
          <w:color w:val="auto"/>
        </w:rPr>
        <w:t>TABLE OF CONTENTS</w:t>
      </w:r>
    </w:p>
    <w:p w:rsidR="00C148AA" w:rsidP="00C148AA">
      <w:pPr>
        <w:jc w:val="right"/>
        <w:rPr>
          <w:rStyle w:val="Hyperlink"/>
          <w:rFonts w:ascii="Times New Roman" w:hAnsi="Times New Roman" w:cs="Times New Roman"/>
          <w:color w:val="auto"/>
          <w:u w:val="none"/>
        </w:rPr>
      </w:pPr>
      <w:r>
        <w:rPr>
          <w:rStyle w:val="Hyperlink"/>
          <w:rFonts w:ascii="Times New Roman" w:hAnsi="Times New Roman" w:cs="Times New Roman"/>
          <w:color w:val="auto"/>
          <w:u w:val="none"/>
        </w:rPr>
        <w:t>Page</w:t>
      </w:r>
    </w:p>
    <w:p w:rsidR="00C148AA">
      <w:pPr>
        <w:rPr>
          <w:rStyle w:val="Hyperlink"/>
          <w:rFonts w:ascii="Times New Roman" w:hAnsi="Times New Roman" w:cs="Times New Roman"/>
          <w:color w:val="auto"/>
          <w:u w:val="none"/>
        </w:rPr>
      </w:pPr>
    </w:p>
    <w:p w:rsidR="008A6EC8">
      <w:pPr>
        <w:pStyle w:val="TOC1"/>
        <w:tabs>
          <w:tab w:val="left" w:pos="720"/>
        </w:tabs>
        <w:rPr>
          <w:rFonts w:asciiTheme="minorHAnsi" w:eastAsiaTheme="minorEastAsia" w:hAnsiTheme="minorHAnsi" w:cstheme="minorBidi"/>
          <w:noProof/>
          <w:sz w:val="22"/>
          <w:szCs w:val="22"/>
          <w:lang w:bidi="he-IL"/>
        </w:rPr>
      </w:pPr>
      <w:r>
        <w:rPr>
          <w:rStyle w:val="Hyperlink"/>
          <w:color w:val="auto"/>
          <w:u w:val="none"/>
        </w:rPr>
        <w:fldChar w:fldCharType="begin"/>
      </w:r>
      <w:r>
        <w:rPr>
          <w:rStyle w:val="Hyperlink"/>
          <w:color w:val="auto"/>
          <w:u w:val="none"/>
        </w:rPr>
        <w:instrText xml:space="preserve"> TOC \o "1-2" \h \z \u </w:instrText>
      </w:r>
      <w:r>
        <w:rPr>
          <w:rStyle w:val="Hyperlink"/>
          <w:color w:val="auto"/>
          <w:u w:val="none"/>
        </w:rPr>
        <w:fldChar w:fldCharType="separate"/>
      </w:r>
      <w:r>
        <w:fldChar w:fldCharType="begin"/>
      </w:r>
      <w:r>
        <w:instrText xml:space="preserve"> HYPERLINK \l "_Toc5960302" </w:instrText>
      </w:r>
      <w:r>
        <w:fldChar w:fldCharType="separate"/>
      </w:r>
      <w:r w:rsidRPr="00740340">
        <w:rPr>
          <w:rStyle w:val="Hyperlink"/>
          <w:noProof/>
        </w:rPr>
        <w:t>I.</w:t>
      </w:r>
      <w:r>
        <w:rPr>
          <w:rFonts w:asciiTheme="minorHAnsi" w:eastAsiaTheme="minorEastAsia" w:hAnsiTheme="minorHAnsi" w:cstheme="minorBidi"/>
          <w:noProof/>
          <w:sz w:val="22"/>
          <w:szCs w:val="22"/>
          <w:lang w:bidi="he-IL"/>
        </w:rPr>
        <w:tab/>
      </w:r>
      <w:r w:rsidRPr="00740340">
        <w:rPr>
          <w:rStyle w:val="Hyperlink"/>
          <w:noProof/>
        </w:rPr>
        <w:t>INTRODUCTION</w:t>
      </w:r>
      <w:r>
        <w:rPr>
          <w:noProof/>
          <w:webHidden/>
        </w:rPr>
        <w:tab/>
      </w:r>
      <w:r>
        <w:rPr>
          <w:noProof/>
          <w:webHidden/>
        </w:rPr>
        <w:fldChar w:fldCharType="begin"/>
      </w:r>
      <w:r>
        <w:rPr>
          <w:noProof/>
          <w:webHidden/>
        </w:rPr>
        <w:instrText xml:space="preserve"> PAGEREF _Toc5960302 \h </w:instrText>
      </w:r>
      <w:r>
        <w:rPr>
          <w:noProof/>
          <w:webHidden/>
        </w:rPr>
        <w:fldChar w:fldCharType="separate"/>
      </w:r>
      <w:r>
        <w:rPr>
          <w:noProof/>
          <w:webHidden/>
        </w:rPr>
        <w:t>1</w:t>
      </w:r>
      <w:r>
        <w:rPr>
          <w:noProof/>
          <w:webHidden/>
        </w:rPr>
        <w:fldChar w:fldCharType="end"/>
      </w:r>
      <w:r>
        <w:fldChar w:fldCharType="end"/>
      </w:r>
    </w:p>
    <w:p w:rsidR="008A6EC8">
      <w:pPr>
        <w:pStyle w:val="TOC1"/>
        <w:tabs>
          <w:tab w:val="left" w:pos="720"/>
        </w:tabs>
        <w:rPr>
          <w:rFonts w:asciiTheme="minorHAnsi" w:eastAsiaTheme="minorEastAsia" w:hAnsiTheme="minorHAnsi" w:cstheme="minorBidi"/>
          <w:noProof/>
          <w:sz w:val="22"/>
          <w:szCs w:val="22"/>
          <w:lang w:bidi="he-IL"/>
        </w:rPr>
      </w:pPr>
      <w:r>
        <w:fldChar w:fldCharType="begin"/>
      </w:r>
      <w:r>
        <w:instrText xml:space="preserve"> HYPERLINK \l "_Toc5960303" </w:instrText>
      </w:r>
      <w:r>
        <w:fldChar w:fldCharType="separate"/>
      </w:r>
      <w:r w:rsidRPr="00740340">
        <w:rPr>
          <w:rStyle w:val="Hyperlink"/>
          <w:noProof/>
        </w:rPr>
        <w:t>II.</w:t>
      </w:r>
      <w:r>
        <w:rPr>
          <w:rFonts w:asciiTheme="minorHAnsi" w:eastAsiaTheme="minorEastAsia" w:hAnsiTheme="minorHAnsi" w:cstheme="minorBidi"/>
          <w:noProof/>
          <w:sz w:val="22"/>
          <w:szCs w:val="22"/>
          <w:lang w:bidi="he-IL"/>
        </w:rPr>
        <w:tab/>
      </w:r>
      <w:r w:rsidRPr="00740340">
        <w:rPr>
          <w:rStyle w:val="Hyperlink"/>
          <w:noProof/>
        </w:rPr>
        <w:t>BACKGROUND</w:t>
      </w:r>
      <w:r>
        <w:rPr>
          <w:noProof/>
          <w:webHidden/>
        </w:rPr>
        <w:tab/>
      </w:r>
      <w:r>
        <w:rPr>
          <w:noProof/>
          <w:webHidden/>
        </w:rPr>
        <w:fldChar w:fldCharType="begin"/>
      </w:r>
      <w:r>
        <w:rPr>
          <w:noProof/>
          <w:webHidden/>
        </w:rPr>
        <w:instrText xml:space="preserve"> PAGEREF _Toc5960303 \h </w:instrText>
      </w:r>
      <w:r>
        <w:rPr>
          <w:noProof/>
          <w:webHidden/>
        </w:rPr>
        <w:fldChar w:fldCharType="separate"/>
      </w:r>
      <w:r>
        <w:rPr>
          <w:noProof/>
          <w:webHidden/>
        </w:rPr>
        <w:t>2</w:t>
      </w:r>
      <w:r>
        <w:rPr>
          <w:noProof/>
          <w:webHidden/>
        </w:rPr>
        <w:fldChar w:fldCharType="end"/>
      </w:r>
      <w:r>
        <w:fldChar w:fldCharType="end"/>
      </w:r>
    </w:p>
    <w:p w:rsidR="008A6EC8">
      <w:pPr>
        <w:pStyle w:val="TOC1"/>
        <w:tabs>
          <w:tab w:val="left" w:pos="720"/>
        </w:tabs>
        <w:rPr>
          <w:rFonts w:asciiTheme="minorHAnsi" w:eastAsiaTheme="minorEastAsia" w:hAnsiTheme="minorHAnsi" w:cstheme="minorBidi"/>
          <w:noProof/>
          <w:sz w:val="22"/>
          <w:szCs w:val="22"/>
          <w:lang w:bidi="he-IL"/>
        </w:rPr>
      </w:pPr>
      <w:r>
        <w:fldChar w:fldCharType="begin"/>
      </w:r>
      <w:r>
        <w:instrText xml:space="preserve"> HYPERLINK \l "_Toc5960304" </w:instrText>
      </w:r>
      <w:r>
        <w:fldChar w:fldCharType="separate"/>
      </w:r>
      <w:r w:rsidRPr="00740340">
        <w:rPr>
          <w:rStyle w:val="Hyperlink"/>
          <w:noProof/>
        </w:rPr>
        <w:t>III.</w:t>
      </w:r>
      <w:r>
        <w:rPr>
          <w:rFonts w:asciiTheme="minorHAnsi" w:eastAsiaTheme="minorEastAsia" w:hAnsiTheme="minorHAnsi" w:cstheme="minorBidi"/>
          <w:noProof/>
          <w:sz w:val="22"/>
          <w:szCs w:val="22"/>
          <w:lang w:bidi="he-IL"/>
        </w:rPr>
        <w:tab/>
      </w:r>
      <w:r w:rsidRPr="00740340">
        <w:rPr>
          <w:rStyle w:val="Hyperlink"/>
          <w:noProof/>
        </w:rPr>
        <w:t>ARGUMENT</w:t>
      </w:r>
      <w:r>
        <w:rPr>
          <w:noProof/>
          <w:webHidden/>
        </w:rPr>
        <w:tab/>
      </w:r>
      <w:r>
        <w:rPr>
          <w:noProof/>
          <w:webHidden/>
        </w:rPr>
        <w:fldChar w:fldCharType="begin"/>
      </w:r>
      <w:r>
        <w:rPr>
          <w:noProof/>
          <w:webHidden/>
        </w:rPr>
        <w:instrText xml:space="preserve"> PAGEREF _Toc5960304 \h </w:instrText>
      </w:r>
      <w:r>
        <w:rPr>
          <w:noProof/>
          <w:webHidden/>
        </w:rPr>
        <w:fldChar w:fldCharType="separate"/>
      </w:r>
      <w:r>
        <w:rPr>
          <w:noProof/>
          <w:webHidden/>
        </w:rPr>
        <w:t>4</w:t>
      </w:r>
      <w:r>
        <w:rPr>
          <w:noProof/>
          <w:webHidden/>
        </w:rPr>
        <w:fldChar w:fldCharType="end"/>
      </w:r>
      <w:r>
        <w:fldChar w:fldCharType="end"/>
      </w:r>
    </w:p>
    <w:p w:rsidR="008A6EC8">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"_Toc5960305" </w:instrText>
      </w:r>
      <w:r>
        <w:fldChar w:fldCharType="separate"/>
      </w:r>
      <w:r w:rsidRPr="00740340">
        <w:rPr>
          <w:rStyle w:val="Hyperlink"/>
          <w:noProof/>
        </w:rPr>
        <w:t>A.</w:t>
      </w:r>
      <w:r>
        <w:rPr>
          <w:rFonts w:asciiTheme="minorHAnsi" w:eastAsiaTheme="minorEastAsia" w:hAnsiTheme="minorHAnsi" w:cstheme="minorBidi"/>
          <w:noProof/>
          <w:sz w:val="22"/>
          <w:szCs w:val="22"/>
          <w:lang w:bidi="he-IL"/>
        </w:rPr>
        <w:tab/>
      </w:r>
      <w:r w:rsidRPr="00740340">
        <w:rPr>
          <w:rStyle w:val="Hyperlink"/>
          <w:noProof/>
        </w:rPr>
        <w:t>OCC’s Initial Brief Does Not Cite To Stricken Testimony.</w:t>
      </w:r>
      <w:r>
        <w:rPr>
          <w:noProof/>
          <w:webHidden/>
        </w:rPr>
        <w:tab/>
      </w:r>
      <w:r>
        <w:rPr>
          <w:noProof/>
          <w:webHidden/>
        </w:rPr>
        <w:fldChar w:fldCharType="begin"/>
      </w:r>
      <w:r>
        <w:rPr>
          <w:noProof/>
          <w:webHidden/>
        </w:rPr>
        <w:instrText xml:space="preserve"> PAGEREF _Toc5960305 \h </w:instrText>
      </w:r>
      <w:r>
        <w:rPr>
          <w:noProof/>
          <w:webHidden/>
        </w:rPr>
        <w:fldChar w:fldCharType="separate"/>
      </w:r>
      <w:r>
        <w:rPr>
          <w:noProof/>
          <w:webHidden/>
        </w:rPr>
        <w:t>4</w:t>
      </w:r>
      <w:r>
        <w:rPr>
          <w:noProof/>
          <w:webHidden/>
        </w:rPr>
        <w:fldChar w:fldCharType="end"/>
      </w:r>
      <w:r>
        <w:fldChar w:fldCharType="end"/>
      </w:r>
    </w:p>
    <w:p w:rsidR="008A6EC8" w:rsidP="008A6EC8">
      <w:pPr>
        <w:pStyle w:val="TOC2"/>
        <w:tabs>
          <w:tab w:val="left" w:pos="1440"/>
        </w:tabs>
        <w:ind w:left="1440" w:hanging="720"/>
        <w:rPr>
          <w:rFonts w:asciiTheme="minorHAnsi" w:eastAsiaTheme="minorEastAsia" w:hAnsiTheme="minorHAnsi" w:cstheme="minorBidi"/>
          <w:noProof/>
          <w:sz w:val="22"/>
          <w:szCs w:val="22"/>
          <w:lang w:bidi="he-IL"/>
        </w:rPr>
      </w:pPr>
      <w:r>
        <w:fldChar w:fldCharType="begin"/>
      </w:r>
      <w:r>
        <w:instrText xml:space="preserve"> HYPERLINK \l "_Toc5960306" </w:instrText>
      </w:r>
      <w:r>
        <w:fldChar w:fldCharType="separate"/>
      </w:r>
      <w:r w:rsidRPr="00740340">
        <w:rPr>
          <w:rStyle w:val="Hyperlink"/>
          <w:noProof/>
        </w:rPr>
        <w:t>B.</w:t>
      </w:r>
      <w:r>
        <w:rPr>
          <w:rFonts w:asciiTheme="minorHAnsi" w:eastAsiaTheme="minorEastAsia" w:hAnsiTheme="minorHAnsi" w:cstheme="minorBidi"/>
          <w:noProof/>
          <w:sz w:val="22"/>
          <w:szCs w:val="22"/>
          <w:lang w:bidi="he-IL"/>
        </w:rPr>
        <w:tab/>
      </w:r>
      <w:r w:rsidRPr="00740340">
        <w:rPr>
          <w:rStyle w:val="Hyperlink"/>
          <w:noProof/>
        </w:rPr>
        <w:t>OCC’s Consumer Protection Recommendations Based On Record Evidence In Response To A Settlement Should Not Be Stricken.</w:t>
      </w:r>
      <w:r>
        <w:rPr>
          <w:noProof/>
          <w:webHidden/>
        </w:rPr>
        <w:tab/>
      </w:r>
      <w:r>
        <w:rPr>
          <w:noProof/>
          <w:webHidden/>
        </w:rPr>
        <w:fldChar w:fldCharType="begin"/>
      </w:r>
      <w:r>
        <w:rPr>
          <w:noProof/>
          <w:webHidden/>
        </w:rPr>
        <w:instrText xml:space="preserve"> PAGEREF _Toc5960306 \h </w:instrText>
      </w:r>
      <w:r>
        <w:rPr>
          <w:noProof/>
          <w:webHidden/>
        </w:rPr>
        <w:fldChar w:fldCharType="separate"/>
      </w:r>
      <w:r>
        <w:rPr>
          <w:noProof/>
          <w:webHidden/>
        </w:rPr>
        <w:t>6</w:t>
      </w:r>
      <w:r>
        <w:rPr>
          <w:noProof/>
          <w:webHidden/>
        </w:rPr>
        <w:fldChar w:fldCharType="end"/>
      </w:r>
      <w:r>
        <w:fldChar w:fldCharType="end"/>
      </w:r>
    </w:p>
    <w:p w:rsidR="008A6EC8" w:rsidP="008A6EC8">
      <w:pPr>
        <w:pStyle w:val="TOC2"/>
        <w:tabs>
          <w:tab w:val="left" w:pos="1440"/>
        </w:tabs>
        <w:ind w:left="1440" w:hanging="720"/>
        <w:rPr>
          <w:rFonts w:asciiTheme="minorHAnsi" w:eastAsiaTheme="minorEastAsia" w:hAnsiTheme="minorHAnsi" w:cstheme="minorBidi"/>
          <w:noProof/>
          <w:sz w:val="22"/>
          <w:szCs w:val="22"/>
          <w:lang w:bidi="he-IL"/>
        </w:rPr>
      </w:pPr>
      <w:r>
        <w:fldChar w:fldCharType="begin"/>
      </w:r>
      <w:r>
        <w:instrText xml:space="preserve"> HYPERLINK \l "_Toc5960307" </w:instrText>
      </w:r>
      <w:r>
        <w:fldChar w:fldCharType="separate"/>
      </w:r>
      <w:r w:rsidRPr="00740340">
        <w:rPr>
          <w:rStyle w:val="Hyperlink"/>
          <w:noProof/>
        </w:rPr>
        <w:t>C.</w:t>
      </w:r>
      <w:r>
        <w:rPr>
          <w:rFonts w:asciiTheme="minorHAnsi" w:eastAsiaTheme="minorEastAsia" w:hAnsiTheme="minorHAnsi" w:cstheme="minorBidi"/>
          <w:noProof/>
          <w:sz w:val="22"/>
          <w:szCs w:val="22"/>
          <w:lang w:bidi="he-IL"/>
        </w:rPr>
        <w:tab/>
      </w:r>
      <w:r w:rsidRPr="00740340">
        <w:rPr>
          <w:rStyle w:val="Hyperlink"/>
          <w:noProof/>
        </w:rPr>
        <w:t xml:space="preserve">Denying Vectren’s Motion To Strike Would Not Be Prejudicial To Vectren.  If Anything, </w:t>
      </w:r>
      <w:r w:rsidRPr="00740340">
        <w:rPr>
          <w:rStyle w:val="Hyperlink"/>
          <w:i/>
          <w:noProof/>
        </w:rPr>
        <w:t xml:space="preserve">Granting </w:t>
      </w:r>
      <w:r w:rsidRPr="00740340">
        <w:rPr>
          <w:rStyle w:val="Hyperlink"/>
          <w:noProof/>
        </w:rPr>
        <w:t>The Motion To Strike Would Be Prejudicial To Consumers.</w:t>
      </w:r>
      <w:r>
        <w:rPr>
          <w:noProof/>
          <w:webHidden/>
        </w:rPr>
        <w:tab/>
      </w:r>
      <w:r>
        <w:rPr>
          <w:noProof/>
          <w:webHidden/>
        </w:rPr>
        <w:fldChar w:fldCharType="begin"/>
      </w:r>
      <w:r>
        <w:rPr>
          <w:noProof/>
          <w:webHidden/>
        </w:rPr>
        <w:instrText xml:space="preserve"> PAGEREF _Toc5960307 \h </w:instrText>
      </w:r>
      <w:r>
        <w:rPr>
          <w:noProof/>
          <w:webHidden/>
        </w:rPr>
        <w:fldChar w:fldCharType="separate"/>
      </w:r>
      <w:r>
        <w:rPr>
          <w:noProof/>
          <w:webHidden/>
        </w:rPr>
        <w:t>7</w:t>
      </w:r>
      <w:r>
        <w:rPr>
          <w:noProof/>
          <w:webHidden/>
        </w:rPr>
        <w:fldChar w:fldCharType="end"/>
      </w:r>
      <w:r>
        <w:fldChar w:fldCharType="end"/>
      </w:r>
    </w:p>
    <w:p w:rsidR="008A6EC8" w:rsidP="008A6EC8">
      <w:pPr>
        <w:pStyle w:val="TOC2"/>
        <w:tabs>
          <w:tab w:val="left" w:pos="1440"/>
        </w:tabs>
        <w:ind w:left="1440" w:hanging="720"/>
        <w:rPr>
          <w:rFonts w:asciiTheme="minorHAnsi" w:eastAsiaTheme="minorEastAsia" w:hAnsiTheme="minorHAnsi" w:cstheme="minorBidi"/>
          <w:noProof/>
          <w:sz w:val="22"/>
          <w:szCs w:val="22"/>
          <w:lang w:bidi="he-IL"/>
        </w:rPr>
      </w:pPr>
      <w:r>
        <w:fldChar w:fldCharType="begin"/>
      </w:r>
      <w:r>
        <w:instrText xml:space="preserve"> HYPERLINK \l "_Toc5960308" </w:instrText>
      </w:r>
      <w:r>
        <w:fldChar w:fldCharType="separate"/>
      </w:r>
      <w:r w:rsidRPr="00740340">
        <w:rPr>
          <w:rStyle w:val="Hyperlink"/>
          <w:noProof/>
        </w:rPr>
        <w:t>D.</w:t>
      </w:r>
      <w:r>
        <w:rPr>
          <w:rFonts w:asciiTheme="minorHAnsi" w:eastAsiaTheme="minorEastAsia" w:hAnsiTheme="minorHAnsi" w:cstheme="minorBidi"/>
          <w:noProof/>
          <w:sz w:val="22"/>
          <w:szCs w:val="22"/>
          <w:lang w:bidi="he-IL"/>
        </w:rPr>
        <w:tab/>
      </w:r>
      <w:r w:rsidRPr="00740340">
        <w:rPr>
          <w:rStyle w:val="Hyperlink"/>
          <w:noProof/>
        </w:rPr>
        <w:t>OCC Did Not Fail To Comply With The Requirements To Seek</w:t>
      </w:r>
      <w:r>
        <w:rPr>
          <w:rStyle w:val="Hyperlink"/>
          <w:noProof/>
        </w:rPr>
        <w:br/>
      </w:r>
      <w:r w:rsidRPr="00740340">
        <w:rPr>
          <w:rStyle w:val="Hyperlink"/>
          <w:noProof/>
        </w:rPr>
        <w:t xml:space="preserve"> Reversal Of An Attorney Examiner’s Ruling.</w:t>
      </w:r>
      <w:r>
        <w:rPr>
          <w:noProof/>
          <w:webHidden/>
        </w:rPr>
        <w:tab/>
      </w:r>
      <w:r>
        <w:rPr>
          <w:noProof/>
          <w:webHidden/>
        </w:rPr>
        <w:fldChar w:fldCharType="begin"/>
      </w:r>
      <w:r>
        <w:rPr>
          <w:noProof/>
          <w:webHidden/>
        </w:rPr>
        <w:instrText xml:space="preserve"> PAGEREF _Toc5960308 \h </w:instrText>
      </w:r>
      <w:r>
        <w:rPr>
          <w:noProof/>
          <w:webHidden/>
        </w:rPr>
        <w:fldChar w:fldCharType="separate"/>
      </w:r>
      <w:r>
        <w:rPr>
          <w:noProof/>
          <w:webHidden/>
        </w:rPr>
        <w:t>9</w:t>
      </w:r>
      <w:r>
        <w:rPr>
          <w:noProof/>
          <w:webHidden/>
        </w:rPr>
        <w:fldChar w:fldCharType="end"/>
      </w:r>
      <w:r>
        <w:fldChar w:fldCharType="end"/>
      </w:r>
    </w:p>
    <w:p w:rsidR="008A6EC8">
      <w:pPr>
        <w:pStyle w:val="TOC1"/>
        <w:tabs>
          <w:tab w:val="left" w:pos="720"/>
        </w:tabs>
        <w:rPr>
          <w:rFonts w:asciiTheme="minorHAnsi" w:eastAsiaTheme="minorEastAsia" w:hAnsiTheme="minorHAnsi" w:cstheme="minorBidi"/>
          <w:noProof/>
          <w:sz w:val="22"/>
          <w:szCs w:val="22"/>
          <w:lang w:bidi="he-IL"/>
        </w:rPr>
      </w:pPr>
      <w:r>
        <w:fldChar w:fldCharType="begin"/>
      </w:r>
      <w:r>
        <w:instrText xml:space="preserve"> HYPERLINK \l "_Toc5960309" </w:instrText>
      </w:r>
      <w:r>
        <w:fldChar w:fldCharType="separate"/>
      </w:r>
      <w:r w:rsidRPr="00740340">
        <w:rPr>
          <w:rStyle w:val="Hyperlink"/>
          <w:noProof/>
        </w:rPr>
        <w:t>IV.</w:t>
      </w:r>
      <w:r>
        <w:rPr>
          <w:rFonts w:asciiTheme="minorHAnsi" w:eastAsiaTheme="minorEastAsia" w:hAnsiTheme="minorHAnsi" w:cstheme="minorBidi"/>
          <w:noProof/>
          <w:sz w:val="22"/>
          <w:szCs w:val="22"/>
          <w:lang w:bidi="he-IL"/>
        </w:rPr>
        <w:tab/>
      </w:r>
      <w:r w:rsidRPr="00740340">
        <w:rPr>
          <w:rStyle w:val="Hyperlink"/>
          <w:noProof/>
        </w:rPr>
        <w:t>CONCLUSION</w:t>
      </w:r>
      <w:r>
        <w:rPr>
          <w:noProof/>
          <w:webHidden/>
        </w:rPr>
        <w:tab/>
      </w:r>
      <w:r>
        <w:rPr>
          <w:noProof/>
          <w:webHidden/>
        </w:rPr>
        <w:fldChar w:fldCharType="begin"/>
      </w:r>
      <w:r>
        <w:rPr>
          <w:noProof/>
          <w:webHidden/>
        </w:rPr>
        <w:instrText xml:space="preserve"> PAGEREF _Toc5960309 \h </w:instrText>
      </w:r>
      <w:r>
        <w:rPr>
          <w:noProof/>
          <w:webHidden/>
        </w:rPr>
        <w:fldChar w:fldCharType="separate"/>
      </w:r>
      <w:r>
        <w:rPr>
          <w:noProof/>
          <w:webHidden/>
        </w:rPr>
        <w:t>11</w:t>
      </w:r>
      <w:r>
        <w:rPr>
          <w:noProof/>
          <w:webHidden/>
        </w:rPr>
        <w:fldChar w:fldCharType="end"/>
      </w:r>
      <w:r>
        <w:fldChar w:fldCharType="end"/>
      </w:r>
    </w:p>
    <w:p w:rsidR="00C148AA">
      <w:pPr>
        <w:rPr>
          <w:rStyle w:val="Hyperlink"/>
          <w:rFonts w:ascii="Times New Roman" w:hAnsi="Times New Roman" w:cs="Times New Roman"/>
          <w:color w:val="auto"/>
          <w:u w:val="none"/>
        </w:rPr>
      </w:pPr>
      <w:r>
        <w:rPr>
          <w:rStyle w:val="Hyperlink"/>
          <w:rFonts w:ascii="Times New Roman" w:hAnsi="Times New Roman" w:cs="Times New Roman"/>
          <w:color w:val="auto"/>
          <w:u w:val="none"/>
        </w:rPr>
        <w:fldChar w:fldCharType="end"/>
      </w:r>
    </w:p>
    <w:p w:rsidR="008A6EC8" w:rsidP="00357D5D">
      <w:pPr>
        <w:rPr>
          <w:rStyle w:val="Hyperlink"/>
          <w:rFonts w:ascii="Times New Roman" w:hAnsi="Times New Roman" w:cs="Times New Roman"/>
          <w:color w:val="auto"/>
          <w:u w:val="none"/>
        </w:rPr>
        <w:sectPr w:rsidSect="008A6EC8">
          <w:footerReference w:type="default" r:id="rId11"/>
          <w:footerReference w:type="first" r:id="rId12"/>
          <w:pgSz w:w="12240" w:h="15840"/>
          <w:pgMar w:top="1440" w:right="1800" w:bottom="1440" w:left="1800" w:header="720" w:footer="432" w:gutter="0"/>
          <w:pgNumType w:fmt="lowerRoman" w:start="1"/>
          <w:cols w:space="720"/>
          <w:titlePg/>
          <w:docGrid w:linePitch="360"/>
        </w:sectPr>
      </w:pPr>
    </w:p>
    <w:p w:rsidR="00FE273B" w:rsidRPr="006312D8" w:rsidP="00FE273B">
      <w:pPr>
        <w:jc w:val="center"/>
        <w:rPr>
          <w:rFonts w:ascii="Times New Roman" w:hAnsi="Times New Roman" w:cs="Times New Roman"/>
          <w:b/>
        </w:rPr>
      </w:pPr>
      <w:r w:rsidRPr="006312D8">
        <w:rPr>
          <w:rFonts w:ascii="Times New Roman" w:hAnsi="Times New Roman" w:cs="Times New Roman"/>
          <w:b/>
        </w:rPr>
        <w:t>BEFORE</w:t>
      </w:r>
    </w:p>
    <w:p w:rsidR="00FE273B" w:rsidRPr="006312D8">
      <w:pPr>
        <w:jc w:val="center"/>
        <w:rPr>
          <w:rFonts w:ascii="Times New Roman" w:hAnsi="Times New Roman" w:cs="Times New Roman"/>
          <w:b/>
        </w:rPr>
      </w:pPr>
      <w:r w:rsidRPr="006312D8">
        <w:rPr>
          <w:rFonts w:ascii="Times New Roman" w:hAnsi="Times New Roman" w:cs="Times New Roman"/>
          <w:b/>
        </w:rPr>
        <w:t xml:space="preserve">THE PUBLIC UTILITIES COMMISSION OF </w:t>
      </w:r>
      <w:smartTag w:uri="urn:schemas-microsoft-com:office:smarttags" w:element="place">
        <w:smartTag w:uri="urn:schemas-microsoft-com:office:smarttags" w:element="State">
          <w:r w:rsidRPr="006312D8">
            <w:rPr>
              <w:rFonts w:ascii="Times New Roman" w:hAnsi="Times New Roman" w:cs="Times New Roman"/>
              <w:b/>
            </w:rPr>
            <w:t>OHIO</w:t>
          </w:r>
        </w:smartTag>
      </w:smartTag>
    </w:p>
    <w:p w:rsidR="00FE273B" w:rsidRPr="006312D8">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FE273B">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E273B" w:rsidRPr="006312D8" w:rsidP="00FE273B">
            <w:pPr>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In the Matter of the Application of</w:t>
            </w:r>
          </w:p>
          <w:p w:rsidR="00FE273B" w:rsidRPr="006312D8" w:rsidP="00FE273B">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 xml:space="preserve">Vectren Energy Delivery of Ohio, Inc. for Approval of an Alternative Rate Plan. </w:t>
            </w:r>
          </w:p>
        </w:tc>
        <w:tc>
          <w:tcPr>
            <w:tcW w:w="360" w:type="dxa"/>
            <w:shd w:val="clear" w:color="auto" w:fill="auto"/>
          </w:tcPr>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tc>
        <w:tc>
          <w:tcPr>
            <w:tcW w:w="4400" w:type="dxa"/>
            <w:shd w:val="clear" w:color="auto" w:fill="auto"/>
          </w:tcPr>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Case No. 18-0049-GA-ALT</w:t>
            </w:r>
          </w:p>
        </w:tc>
      </w:tr>
    </w:tbl>
    <w:p w:rsidR="00FE273B" w:rsidRPr="006312D8" w:rsidP="00FE273B">
      <w:pPr>
        <w:jc w:val="both"/>
        <w:rPr>
          <w:rFonts w:ascii="Times New Roman" w:hAnsi="Times New Roman" w:cs="Times New Roman"/>
        </w:rPr>
      </w:pPr>
    </w:p>
    <w:tbl>
      <w:tblPr>
        <w:tblW w:w="9092" w:type="dxa"/>
        <w:tblInd w:w="0" w:type="dxa"/>
        <w:tblCellMar>
          <w:top w:w="0" w:type="dxa"/>
          <w:left w:w="108" w:type="dxa"/>
          <w:bottom w:w="0" w:type="dxa"/>
          <w:right w:w="108" w:type="dxa"/>
        </w:tblCellMar>
        <w:tblLook w:val="01E0"/>
      </w:tblPr>
      <w:tblGrid>
        <w:gridCol w:w="4332"/>
        <w:gridCol w:w="360"/>
        <w:gridCol w:w="4400"/>
      </w:tblGrid>
      <w:tr w:rsidTr="00FE273B">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E273B" w:rsidRPr="006312D8" w:rsidP="00FE273B">
            <w:pPr>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In the Matter of the Application of</w:t>
            </w:r>
          </w:p>
          <w:p w:rsidR="00FE273B" w:rsidRPr="006312D8" w:rsidP="00FE273B">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 xml:space="preserve">Vectren Energy Delivery of Ohio, Inc. for Approval of an Increase in Gas Rates. </w:t>
            </w:r>
          </w:p>
        </w:tc>
        <w:tc>
          <w:tcPr>
            <w:tcW w:w="360" w:type="dxa"/>
            <w:shd w:val="clear" w:color="auto" w:fill="auto"/>
          </w:tcPr>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tc>
        <w:tc>
          <w:tcPr>
            <w:tcW w:w="4400" w:type="dxa"/>
            <w:shd w:val="clear" w:color="auto" w:fill="auto"/>
          </w:tcPr>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Case No. 18-0298-GA-AIR</w:t>
            </w:r>
          </w:p>
        </w:tc>
      </w:tr>
    </w:tbl>
    <w:p w:rsidR="00FE273B" w:rsidRPr="006312D8" w:rsidP="00FE273B">
      <w:pPr>
        <w:jc w:val="both"/>
        <w:rPr>
          <w:rFonts w:ascii="Times New Roman" w:hAnsi="Times New Roman" w:cs="Times New Roman"/>
        </w:rPr>
      </w:pPr>
    </w:p>
    <w:tbl>
      <w:tblPr>
        <w:tblW w:w="9092" w:type="dxa"/>
        <w:tblInd w:w="0" w:type="dxa"/>
        <w:tblCellMar>
          <w:top w:w="0" w:type="dxa"/>
          <w:left w:w="108" w:type="dxa"/>
          <w:bottom w:w="0" w:type="dxa"/>
          <w:right w:w="108" w:type="dxa"/>
        </w:tblCellMar>
        <w:tblLook w:val="01E0"/>
      </w:tblPr>
      <w:tblGrid>
        <w:gridCol w:w="4332"/>
        <w:gridCol w:w="360"/>
        <w:gridCol w:w="4400"/>
      </w:tblGrid>
      <w:tr w:rsidTr="00FE273B">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E273B" w:rsidRPr="006312D8" w:rsidP="00FE273B">
            <w:pPr>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In the Matter of the Application of</w:t>
            </w:r>
          </w:p>
          <w:p w:rsidR="00FE273B" w:rsidRPr="006312D8" w:rsidP="00FE273B">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 xml:space="preserve">Vectren Energy Delivery of Ohio, Inc. for Approval of an Alternative Rate Plan. </w:t>
            </w:r>
          </w:p>
        </w:tc>
        <w:tc>
          <w:tcPr>
            <w:tcW w:w="360" w:type="dxa"/>
            <w:shd w:val="clear" w:color="auto" w:fill="auto"/>
          </w:tcPr>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w:t>
            </w:r>
          </w:p>
        </w:tc>
        <w:tc>
          <w:tcPr>
            <w:tcW w:w="4400" w:type="dxa"/>
            <w:shd w:val="clear" w:color="auto" w:fill="auto"/>
          </w:tcPr>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FE273B" w:rsidRPr="006312D8" w:rsidP="00FE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6312D8">
              <w:rPr>
                <w:rFonts w:ascii="Times New Roman" w:eastAsia="Courier New" w:hAnsi="Times New Roman" w:cs="Times New Roman"/>
                <w:sz w:val="24"/>
                <w:szCs w:val="24"/>
                <w:lang w:val="en-US" w:eastAsia="en-US" w:bidi="ar-SA"/>
              </w:rPr>
              <w:t>Case No. 18-0299-GA-ALT</w:t>
            </w:r>
          </w:p>
        </w:tc>
      </w:tr>
    </w:tbl>
    <w:p w:rsidR="00FE273B" w:rsidRPr="006312D8">
      <w:pPr>
        <w:pStyle w:val="HTMLPreformatted"/>
        <w:pBdr>
          <w:bottom w:val="single" w:sz="12" w:space="1" w:color="auto"/>
        </w:pBdr>
        <w:tabs>
          <w:tab w:val="left" w:pos="4488"/>
          <w:tab w:val="clear" w:pos="4580"/>
        </w:tabs>
        <w:rPr>
          <w:rFonts w:ascii="Times New Roman" w:hAnsi="Times New Roman" w:cs="Times New Roman"/>
          <w:sz w:val="24"/>
          <w:szCs w:val="24"/>
        </w:rPr>
      </w:pPr>
    </w:p>
    <w:p w:rsidR="00FE273B" w:rsidRPr="006312D8">
      <w:pPr>
        <w:tabs>
          <w:tab w:val="left" w:pos="-720"/>
        </w:tabs>
        <w:suppressAutoHyphens/>
        <w:jc w:val="center"/>
        <w:rPr>
          <w:rFonts w:ascii="Times New Roman" w:hAnsi="Times New Roman" w:cs="Times New Roman"/>
          <w:b/>
          <w:spacing w:val="-3"/>
        </w:rPr>
      </w:pPr>
    </w:p>
    <w:p w:rsidR="00FE273B" w:rsidRPr="006312D8">
      <w:pPr>
        <w:tabs>
          <w:tab w:val="left" w:pos="-720"/>
        </w:tabs>
        <w:suppressAutoHyphens/>
        <w:jc w:val="center"/>
        <w:rPr>
          <w:rFonts w:ascii="Times New Roman" w:hAnsi="Times New Roman" w:cs="Times New Roman"/>
          <w:b/>
          <w:spacing w:val="-3"/>
        </w:rPr>
      </w:pPr>
      <w:r>
        <w:rPr>
          <w:rFonts w:ascii="Times New Roman" w:hAnsi="Times New Roman" w:cs="Times New Roman"/>
          <w:b/>
          <w:spacing w:val="-3"/>
        </w:rPr>
        <w:t xml:space="preserve">THE OFFICE OF THE OHIO CONSUMERS’ COUNSEL’S MEMORANDUM CONTRA VECTREN’S MOTION TO STRIKE PORTIONS OF </w:t>
      </w:r>
      <w:r w:rsidR="002A5BAA">
        <w:rPr>
          <w:rFonts w:ascii="Times New Roman" w:hAnsi="Times New Roman" w:cs="Times New Roman"/>
          <w:b/>
          <w:spacing w:val="-3"/>
        </w:rPr>
        <w:t xml:space="preserve">OCC’S </w:t>
      </w:r>
      <w:r>
        <w:rPr>
          <w:rFonts w:ascii="Times New Roman" w:hAnsi="Times New Roman" w:cs="Times New Roman"/>
          <w:b/>
          <w:spacing w:val="-3"/>
        </w:rPr>
        <w:t>INITIAL BRIEF</w:t>
      </w:r>
      <w:r w:rsidR="002A5BAA">
        <w:rPr>
          <w:rFonts w:ascii="Times New Roman" w:hAnsi="Times New Roman" w:cs="Times New Roman"/>
          <w:b/>
          <w:spacing w:val="-3"/>
        </w:rPr>
        <w:t xml:space="preserve"> FOR CONSUMER PROTECTION</w:t>
      </w:r>
    </w:p>
    <w:p w:rsidR="00FE273B" w:rsidRPr="006312D8">
      <w:pPr>
        <w:pBdr>
          <w:bottom w:val="single" w:sz="12" w:space="1" w:color="auto"/>
        </w:pBdr>
        <w:tabs>
          <w:tab w:val="left" w:pos="-720"/>
        </w:tabs>
        <w:suppressAutoHyphens/>
        <w:jc w:val="center"/>
        <w:rPr>
          <w:rFonts w:ascii="Times New Roman" w:hAnsi="Times New Roman" w:cs="Times New Roman"/>
          <w:b/>
          <w:spacing w:val="-3"/>
          <w:u w:val="single"/>
        </w:rPr>
      </w:pPr>
    </w:p>
    <w:p w:rsidR="00FE273B" w:rsidRPr="006312D8">
      <w:pPr>
        <w:tabs>
          <w:tab w:val="left" w:pos="-720"/>
        </w:tabs>
        <w:suppressAutoHyphens/>
        <w:rPr>
          <w:rFonts w:ascii="Times New Roman" w:hAnsi="Times New Roman" w:cs="Times New Roman"/>
          <w:b/>
          <w:spacing w:val="-3"/>
        </w:rPr>
      </w:pPr>
    </w:p>
    <w:p w:rsidR="00FE273B" w:rsidRPr="006312D8" w:rsidP="00CF43EB">
      <w:pPr>
        <w:pStyle w:val="Heading1"/>
        <w:rPr>
          <w:snapToGrid/>
        </w:rPr>
      </w:pPr>
      <w:bookmarkStart w:id="1" w:name="_Toc5960302"/>
      <w:r>
        <w:rPr>
          <w:snapToGrid/>
        </w:rPr>
        <w:t>I.</w:t>
      </w:r>
      <w:r>
        <w:rPr>
          <w:snapToGrid/>
        </w:rPr>
        <w:tab/>
      </w:r>
      <w:r w:rsidRPr="006312D8">
        <w:rPr>
          <w:snapToGrid/>
        </w:rPr>
        <w:t>INTRODUCTION</w:t>
      </w:r>
      <w:bookmarkEnd w:id="1"/>
      <w:r w:rsidRPr="006312D8">
        <w:rPr>
          <w:snapToGrid/>
        </w:rPr>
        <w:t xml:space="preserve"> </w:t>
      </w:r>
    </w:p>
    <w:p w:rsidR="00284A11" w:rsidP="00284A11">
      <w:pPr>
        <w:spacing w:line="480" w:lineRule="auto"/>
        <w:ind w:firstLine="720"/>
        <w:rPr>
          <w:rFonts w:ascii="Times New Roman" w:hAnsi="Times New Roman" w:cs="Times New Roman"/>
        </w:rPr>
      </w:pPr>
      <w:r w:rsidRPr="006312D8">
        <w:rPr>
          <w:rFonts w:ascii="Times New Roman" w:hAnsi="Times New Roman" w:cs="Times New Roman"/>
        </w:rPr>
        <w:t xml:space="preserve">Consumers have the right to make informed decisions when deciding whether to buy natural gas from their utility or a Marketer.  In response to a settlement, the Office of the Ohio Consumers’ Counsel (“OCC”) </w:t>
      </w:r>
      <w:r w:rsidR="00C00549">
        <w:rPr>
          <w:rFonts w:ascii="Times New Roman" w:hAnsi="Times New Roman" w:cs="Times New Roman"/>
        </w:rPr>
        <w:t xml:space="preserve">filed testimony opposing the settlement, including the Supplemental </w:t>
      </w:r>
      <w:r w:rsidR="00D87134">
        <w:rPr>
          <w:rFonts w:ascii="Times New Roman" w:hAnsi="Times New Roman" w:cs="Times New Roman"/>
        </w:rPr>
        <w:t xml:space="preserve">Direct </w:t>
      </w:r>
      <w:r w:rsidR="00C00549">
        <w:rPr>
          <w:rFonts w:ascii="Times New Roman" w:hAnsi="Times New Roman" w:cs="Times New Roman"/>
        </w:rPr>
        <w:t xml:space="preserve">Testimony of OCC Witness Williams.  In his Supplemental </w:t>
      </w:r>
      <w:r w:rsidR="00D87134">
        <w:rPr>
          <w:rFonts w:ascii="Times New Roman" w:hAnsi="Times New Roman" w:cs="Times New Roman"/>
        </w:rPr>
        <w:t xml:space="preserve">Direct </w:t>
      </w:r>
      <w:r w:rsidR="00C00549">
        <w:rPr>
          <w:rFonts w:ascii="Times New Roman" w:hAnsi="Times New Roman" w:cs="Times New Roman"/>
        </w:rPr>
        <w:t xml:space="preserve">Testimony, OCC Witness Williams </w:t>
      </w:r>
      <w:r w:rsidR="003E3ADA">
        <w:rPr>
          <w:rFonts w:ascii="Times New Roman" w:hAnsi="Times New Roman" w:cs="Times New Roman"/>
        </w:rPr>
        <w:t xml:space="preserve">testified that the settlement does not benefit the public interest.  Mr. Williams testified that the public interest is greatly advanced when customers have a better understanding of savings and losses under the </w:t>
      </w:r>
      <w:r w:rsidR="00281997">
        <w:rPr>
          <w:rFonts w:ascii="Times New Roman" w:hAnsi="Times New Roman" w:cs="Times New Roman"/>
        </w:rPr>
        <w:t>Vectren Energy Delivery of Ohio, Inc. (“Vectren”)</w:t>
      </w:r>
      <w:r w:rsidR="003E3ADA">
        <w:rPr>
          <w:rFonts w:ascii="Times New Roman" w:hAnsi="Times New Roman" w:cs="Times New Roman"/>
        </w:rPr>
        <w:t xml:space="preserve"> choice program.  Mr. Williams testified that customers would benefit from a price to compare message on Vectren’s bills and </w:t>
      </w:r>
      <w:r>
        <w:rPr>
          <w:rFonts w:ascii="Times New Roman" w:hAnsi="Times New Roman" w:cs="Times New Roman"/>
        </w:rPr>
        <w:t xml:space="preserve">from </w:t>
      </w:r>
      <w:r w:rsidR="003E3ADA">
        <w:rPr>
          <w:rFonts w:ascii="Times New Roman" w:hAnsi="Times New Roman" w:cs="Times New Roman"/>
        </w:rPr>
        <w:t xml:space="preserve">shadow billings.  </w:t>
      </w:r>
      <w:r w:rsidR="00281997">
        <w:rPr>
          <w:rFonts w:ascii="Times New Roman" w:hAnsi="Times New Roman" w:cs="Times New Roman"/>
        </w:rPr>
        <w:t>Some of Mr. Williams’ testimony on these subjects was stricken.  But not all of it, as Vectren concedes.</w:t>
      </w:r>
    </w:p>
    <w:p w:rsidR="00284A11" w:rsidP="00284A11">
      <w:pPr>
        <w:spacing w:line="480" w:lineRule="auto"/>
        <w:ind w:firstLine="720"/>
        <w:rPr>
          <w:rFonts w:ascii="Times New Roman" w:hAnsi="Times New Roman" w:cs="Times New Roman"/>
        </w:rPr>
      </w:pPr>
      <w:r>
        <w:rPr>
          <w:rFonts w:ascii="Times New Roman" w:hAnsi="Times New Roman" w:cs="Times New Roman"/>
        </w:rPr>
        <w:t xml:space="preserve">While OCC referenced </w:t>
      </w:r>
      <w:r w:rsidR="00281997">
        <w:rPr>
          <w:rFonts w:ascii="Times New Roman" w:hAnsi="Times New Roman" w:cs="Times New Roman"/>
        </w:rPr>
        <w:t>stricken testimony in its Initial Brief</w:t>
      </w:r>
      <w:r>
        <w:rPr>
          <w:rFonts w:ascii="Times New Roman" w:hAnsi="Times New Roman" w:cs="Times New Roman"/>
        </w:rPr>
        <w:t xml:space="preserve">, it agreed </w:t>
      </w:r>
      <w:r w:rsidR="00281997">
        <w:rPr>
          <w:rFonts w:ascii="Times New Roman" w:hAnsi="Times New Roman" w:cs="Times New Roman"/>
        </w:rPr>
        <w:t xml:space="preserve">in response to a request by Vectren </w:t>
      </w:r>
      <w:r>
        <w:rPr>
          <w:rFonts w:ascii="Times New Roman" w:hAnsi="Times New Roman" w:cs="Times New Roman"/>
        </w:rPr>
        <w:t xml:space="preserve">to amend its </w:t>
      </w:r>
      <w:r w:rsidR="00281997">
        <w:rPr>
          <w:rFonts w:ascii="Times New Roman" w:hAnsi="Times New Roman" w:cs="Times New Roman"/>
        </w:rPr>
        <w:t>Initial Brief</w:t>
      </w:r>
      <w:r>
        <w:rPr>
          <w:rFonts w:ascii="Times New Roman" w:hAnsi="Times New Roman" w:cs="Times New Roman"/>
        </w:rPr>
        <w:t xml:space="preserve">, withdrawing those portions </w:t>
      </w:r>
      <w:r w:rsidR="00281997">
        <w:rPr>
          <w:rFonts w:ascii="Times New Roman" w:hAnsi="Times New Roman" w:cs="Times New Roman"/>
        </w:rPr>
        <w:t>referencing stricken test</w:t>
      </w:r>
      <w:r w:rsidR="00D87134">
        <w:rPr>
          <w:rFonts w:ascii="Times New Roman" w:hAnsi="Times New Roman" w:cs="Times New Roman"/>
        </w:rPr>
        <w:t>i</w:t>
      </w:r>
      <w:r w:rsidR="00281997">
        <w:rPr>
          <w:rFonts w:ascii="Times New Roman" w:hAnsi="Times New Roman" w:cs="Times New Roman"/>
        </w:rPr>
        <w:t>mony</w:t>
      </w:r>
      <w:r>
        <w:rPr>
          <w:rFonts w:ascii="Times New Roman" w:hAnsi="Times New Roman" w:cs="Times New Roman"/>
        </w:rPr>
        <w:t>.  Now Vectren seeks t</w:t>
      </w:r>
      <w:r w:rsidRPr="006312D8" w:rsidR="00DE5F1A">
        <w:rPr>
          <w:rFonts w:ascii="Times New Roman" w:hAnsi="Times New Roman" w:cs="Times New Roman"/>
        </w:rPr>
        <w:t>o strike those portions of OCC’s Initial Brief w</w:t>
      </w:r>
      <w:r>
        <w:rPr>
          <w:rFonts w:ascii="Times New Roman" w:hAnsi="Times New Roman" w:cs="Times New Roman"/>
        </w:rPr>
        <w:t xml:space="preserve">ith the recommendations </w:t>
      </w:r>
      <w:r>
        <w:rPr>
          <w:rFonts w:ascii="Times New Roman" w:hAnsi="Times New Roman" w:cs="Times New Roman"/>
        </w:rPr>
        <w:t>th</w:t>
      </w:r>
      <w:r>
        <w:rPr>
          <w:rFonts w:ascii="Times New Roman" w:hAnsi="Times New Roman" w:cs="Times New Roman"/>
        </w:rPr>
        <w:t xml:space="preserve">at rely upon </w:t>
      </w:r>
      <w:r w:rsidRPr="002A5BAA">
        <w:rPr>
          <w:rFonts w:ascii="Times New Roman" w:hAnsi="Times New Roman" w:cs="Times New Roman"/>
          <w:i/>
        </w:rPr>
        <w:t>unstricken</w:t>
      </w:r>
      <w:r>
        <w:rPr>
          <w:rFonts w:ascii="Times New Roman" w:hAnsi="Times New Roman" w:cs="Times New Roman"/>
        </w:rPr>
        <w:t xml:space="preserve"> Supplemental Direct Testimony of </w:t>
      </w:r>
      <w:r w:rsidR="00281997">
        <w:rPr>
          <w:rFonts w:ascii="Times New Roman" w:hAnsi="Times New Roman" w:cs="Times New Roman"/>
        </w:rPr>
        <w:t>Mr.</w:t>
      </w:r>
      <w:r>
        <w:rPr>
          <w:rFonts w:ascii="Times New Roman" w:hAnsi="Times New Roman" w:cs="Times New Roman"/>
        </w:rPr>
        <w:t xml:space="preserve"> Williams.  </w:t>
      </w:r>
      <w:r>
        <w:rPr>
          <w:rFonts w:ascii="Times New Roman" w:hAnsi="Times New Roman" w:cs="Times New Roman"/>
        </w:rPr>
        <w:t xml:space="preserve">  At this late date however, the</w:t>
      </w:r>
      <w:r w:rsidRPr="006312D8" w:rsidR="00DE5F1A">
        <w:rPr>
          <w:rFonts w:ascii="Times New Roman" w:hAnsi="Times New Roman" w:cs="Times New Roman"/>
        </w:rPr>
        <w:t xml:space="preserve"> Public Utilities Commission of Ohio (“PUCO”) should </w:t>
      </w:r>
      <w:r>
        <w:rPr>
          <w:rFonts w:ascii="Times New Roman" w:hAnsi="Times New Roman" w:cs="Times New Roman"/>
        </w:rPr>
        <w:t xml:space="preserve">deny what amounts to a belated motion to strike </w:t>
      </w:r>
      <w:r w:rsidR="00281997">
        <w:rPr>
          <w:rFonts w:ascii="Times New Roman" w:hAnsi="Times New Roman" w:cs="Times New Roman"/>
          <w:i/>
        </w:rPr>
        <w:t xml:space="preserve">additional </w:t>
      </w:r>
      <w:r w:rsidR="00281997">
        <w:rPr>
          <w:rFonts w:ascii="Times New Roman" w:hAnsi="Times New Roman" w:cs="Times New Roman"/>
        </w:rPr>
        <w:t xml:space="preserve">parts of </w:t>
      </w:r>
      <w:r>
        <w:rPr>
          <w:rFonts w:ascii="Times New Roman" w:hAnsi="Times New Roman" w:cs="Times New Roman"/>
        </w:rPr>
        <w:t>Mr. Williams</w:t>
      </w:r>
      <w:r w:rsidR="00281997">
        <w:rPr>
          <w:rFonts w:ascii="Times New Roman" w:hAnsi="Times New Roman" w:cs="Times New Roman"/>
        </w:rPr>
        <w:t>’</w:t>
      </w:r>
      <w:r>
        <w:rPr>
          <w:rFonts w:ascii="Times New Roman" w:hAnsi="Times New Roman" w:cs="Times New Roman"/>
        </w:rPr>
        <w:t xml:space="preserve"> Supplemental Direct Testimony.  </w:t>
      </w:r>
      <w:r w:rsidRPr="006312D8" w:rsidR="00DE5F1A">
        <w:rPr>
          <w:rFonts w:ascii="Times New Roman" w:hAnsi="Times New Roman" w:cs="Times New Roman"/>
        </w:rPr>
        <w:t xml:space="preserve"> Instead, the PUCO should consider OCC’s consumer protection recommendations based on record evidence </w:t>
      </w:r>
      <w:r>
        <w:rPr>
          <w:rFonts w:ascii="Times New Roman" w:hAnsi="Times New Roman" w:cs="Times New Roman"/>
        </w:rPr>
        <w:t xml:space="preserve">(contained in Mr. Williams’ Supplemental Direct Testimony).  </w:t>
      </w:r>
    </w:p>
    <w:p w:rsidR="00281997" w:rsidP="00281997">
      <w:pPr>
        <w:spacing w:line="480" w:lineRule="auto"/>
        <w:ind w:firstLine="720"/>
        <w:rPr>
          <w:rFonts w:ascii="Times New Roman" w:hAnsi="Times New Roman" w:cs="Times New Roman"/>
        </w:rPr>
      </w:pPr>
      <w:r>
        <w:rPr>
          <w:rFonts w:ascii="Times New Roman" w:hAnsi="Times New Roman" w:cs="Times New Roman"/>
        </w:rPr>
        <w:t xml:space="preserve">The PUCO should reject Vectren’s belated Motion to Strike for an </w:t>
      </w:r>
      <w:r w:rsidR="00D87134">
        <w:rPr>
          <w:rFonts w:ascii="Times New Roman" w:hAnsi="Times New Roman" w:cs="Times New Roman"/>
        </w:rPr>
        <w:t>alternative</w:t>
      </w:r>
      <w:r>
        <w:rPr>
          <w:rFonts w:ascii="Times New Roman" w:hAnsi="Times New Roman" w:cs="Times New Roman"/>
        </w:rPr>
        <w:t xml:space="preserve"> reason.  </w:t>
      </w:r>
      <w:r w:rsidR="00284A11">
        <w:rPr>
          <w:rFonts w:ascii="Times New Roman" w:hAnsi="Times New Roman" w:cs="Times New Roman"/>
        </w:rPr>
        <w:t xml:space="preserve">  When a settlement is filed, the scope of the proceeding (including testimony) changes to the three prong standard, and objections to </w:t>
      </w:r>
      <w:r>
        <w:rPr>
          <w:rFonts w:ascii="Times New Roman" w:hAnsi="Times New Roman" w:cs="Times New Roman"/>
        </w:rPr>
        <w:t>Vectren’s</w:t>
      </w:r>
      <w:r w:rsidR="00284A11">
        <w:rPr>
          <w:rFonts w:ascii="Times New Roman" w:hAnsi="Times New Roman" w:cs="Times New Roman"/>
        </w:rPr>
        <w:t xml:space="preserve"> application no longer </w:t>
      </w:r>
      <w:r w:rsidR="00A23C7A">
        <w:rPr>
          <w:rFonts w:ascii="Times New Roman" w:hAnsi="Times New Roman" w:cs="Times New Roman"/>
        </w:rPr>
        <w:t xml:space="preserve">set the scope of the hearing.  </w:t>
      </w:r>
      <w:r w:rsidR="00D87134">
        <w:rPr>
          <w:rFonts w:ascii="Times New Roman" w:hAnsi="Times New Roman" w:cs="Times New Roman"/>
        </w:rPr>
        <w:t xml:space="preserve">The Attorney Examiner’s rulings to the contrary were in error.  </w:t>
      </w:r>
    </w:p>
    <w:p w:rsidR="00CF43EB" w:rsidP="00CF43EB"/>
    <w:p w:rsidR="00281997" w:rsidP="00CF43EB">
      <w:pPr>
        <w:pStyle w:val="Heading1"/>
      </w:pPr>
      <w:bookmarkStart w:id="2" w:name="_Toc5960303"/>
      <w:r>
        <w:t>II.</w:t>
      </w:r>
      <w:r>
        <w:tab/>
      </w:r>
      <w:r>
        <w:t>BACKGROUND</w:t>
      </w:r>
      <w:bookmarkEnd w:id="2"/>
    </w:p>
    <w:p w:rsidR="00AE7960" w:rsidP="00CF43EB">
      <w:pPr>
        <w:spacing w:line="480" w:lineRule="auto"/>
        <w:ind w:firstLine="720"/>
        <w:rPr>
          <w:rFonts w:ascii="Times New Roman" w:hAnsi="Times New Roman" w:cs="Times New Roman"/>
        </w:rPr>
      </w:pPr>
      <w:r>
        <w:rPr>
          <w:rFonts w:ascii="Times New Roman" w:hAnsi="Times New Roman" w:cs="Times New Roman"/>
        </w:rPr>
        <w:t>Vectren filed its Application for an Increase in Gas Rates on March 30, 2018.</w:t>
      </w:r>
      <w:r>
        <w:rPr>
          <w:rStyle w:val="FootnoteReference"/>
          <w:rFonts w:ascii="Times New Roman" w:hAnsi="Times New Roman" w:cs="Times New Roman"/>
        </w:rPr>
        <w:footnoteReference w:id="2"/>
      </w:r>
      <w:r>
        <w:rPr>
          <w:rFonts w:ascii="Times New Roman" w:hAnsi="Times New Roman" w:cs="Times New Roman"/>
        </w:rPr>
        <w:t xml:space="preserve">  PUCO Staff filed its Report on October 1, 2018.</w:t>
      </w:r>
      <w:r>
        <w:rPr>
          <w:rStyle w:val="FootnoteReference"/>
          <w:rFonts w:ascii="Times New Roman" w:hAnsi="Times New Roman" w:cs="Times New Roman"/>
        </w:rPr>
        <w:footnoteReference w:id="3"/>
      </w:r>
      <w:r>
        <w:rPr>
          <w:rFonts w:ascii="Times New Roman" w:hAnsi="Times New Roman" w:cs="Times New Roman"/>
        </w:rPr>
        <w:t xml:space="preserve">  Parties filed objections on October 31, 2018, and Intervenor testimony supporting objections was filed on November 7, 2018.</w:t>
      </w:r>
      <w:r>
        <w:rPr>
          <w:rStyle w:val="FootnoteReference"/>
          <w:rFonts w:ascii="Times New Roman" w:hAnsi="Times New Roman" w:cs="Times New Roman"/>
        </w:rPr>
        <w:footnoteReference w:id="4"/>
      </w:r>
      <w:r>
        <w:rPr>
          <w:rFonts w:ascii="Times New Roman" w:hAnsi="Times New Roman" w:cs="Times New Roman"/>
        </w:rPr>
        <w:t xml:space="preserve">  After negotiations between the parties, a </w:t>
      </w:r>
      <w:r w:rsidR="00055566">
        <w:rPr>
          <w:rFonts w:ascii="Times New Roman" w:hAnsi="Times New Roman" w:cs="Times New Roman"/>
        </w:rPr>
        <w:t xml:space="preserve">proposed </w:t>
      </w:r>
      <w:r>
        <w:rPr>
          <w:rFonts w:ascii="Times New Roman" w:hAnsi="Times New Roman" w:cs="Times New Roman"/>
        </w:rPr>
        <w:t>settlement was filed on January 4, 2019.</w:t>
      </w:r>
      <w:r>
        <w:rPr>
          <w:rStyle w:val="FootnoteReference"/>
          <w:rFonts w:ascii="Times New Roman" w:hAnsi="Times New Roman" w:cs="Times New Roman"/>
        </w:rPr>
        <w:footnoteReference w:id="5"/>
      </w:r>
      <w:r>
        <w:rPr>
          <w:rFonts w:ascii="Times New Roman" w:hAnsi="Times New Roman" w:cs="Times New Roman"/>
        </w:rPr>
        <w:t xml:space="preserve">  Accordingly, the scope of the hearing was changed from Vectren’s </w:t>
      </w:r>
      <w:r w:rsidR="002A5BAA">
        <w:rPr>
          <w:rFonts w:ascii="Times New Roman" w:hAnsi="Times New Roman" w:cs="Times New Roman"/>
        </w:rPr>
        <w:t>A</w:t>
      </w:r>
      <w:r>
        <w:rPr>
          <w:rFonts w:ascii="Times New Roman" w:hAnsi="Times New Roman" w:cs="Times New Roman"/>
        </w:rPr>
        <w:t>pplication to the three prong settlement test.</w:t>
      </w:r>
      <w:r>
        <w:rPr>
          <w:rStyle w:val="FootnoteReference"/>
          <w:rFonts w:ascii="Times New Roman" w:hAnsi="Times New Roman" w:cs="Times New Roman"/>
        </w:rPr>
        <w:footnoteReference w:id="6"/>
      </w:r>
      <w:r>
        <w:rPr>
          <w:rFonts w:ascii="Times New Roman" w:hAnsi="Times New Roman" w:cs="Times New Roman"/>
        </w:rPr>
        <w:t xml:space="preserve">  As a result, parties filed additional testimony in late January addressing the proposed settlement under the three prong settlement test.</w:t>
      </w:r>
      <w:r>
        <w:rPr>
          <w:rStyle w:val="FootnoteReference"/>
          <w:rFonts w:ascii="Times New Roman" w:hAnsi="Times New Roman" w:cs="Times New Roman"/>
        </w:rPr>
        <w:footnoteReference w:id="7"/>
      </w:r>
      <w:r w:rsidR="00055566">
        <w:rPr>
          <w:rFonts w:ascii="Times New Roman" w:hAnsi="Times New Roman" w:cs="Times New Roman"/>
        </w:rPr>
        <w:t xml:space="preserve">  OCC opposes the proposed settlement, and filed testimony addressing the three prong settlement test on January 28, 2019.</w:t>
      </w:r>
      <w:r>
        <w:rPr>
          <w:rStyle w:val="FootnoteReference"/>
          <w:rFonts w:ascii="Times New Roman" w:hAnsi="Times New Roman" w:cs="Times New Roman"/>
        </w:rPr>
        <w:footnoteReference w:id="8"/>
      </w:r>
    </w:p>
    <w:p w:rsidR="00055566" w:rsidP="00CF43EB">
      <w:pPr>
        <w:spacing w:line="480" w:lineRule="auto"/>
        <w:ind w:firstLine="720"/>
        <w:rPr>
          <w:rFonts w:ascii="Times New Roman" w:hAnsi="Times New Roman" w:cs="Times New Roman"/>
        </w:rPr>
      </w:pPr>
      <w:r>
        <w:rPr>
          <w:rFonts w:ascii="Times New Roman" w:hAnsi="Times New Roman" w:cs="Times New Roman"/>
        </w:rPr>
        <w:t>A hearing on the proposed settlement occurred in late January and early February.  During the hearing, the Retail Energy Supply Association, joined by IGS Energy and Vectren, moved to strike portions of OCC Witness Williams’ Supplemental Direct Testimony</w:t>
      </w:r>
      <w:r>
        <w:rPr>
          <w:rFonts w:ascii="Times New Roman" w:hAnsi="Times New Roman" w:cs="Times New Roman"/>
        </w:rPr>
        <w:t xml:space="preserve"> in which he addresses the three prong settlement test</w:t>
      </w:r>
      <w:r>
        <w:rPr>
          <w:rFonts w:ascii="Times New Roman" w:hAnsi="Times New Roman" w:cs="Times New Roman"/>
        </w:rPr>
        <w:t>.</w:t>
      </w:r>
      <w:r>
        <w:rPr>
          <w:rStyle w:val="FootnoteReference"/>
          <w:rFonts w:ascii="Times New Roman" w:hAnsi="Times New Roman" w:cs="Times New Roman"/>
        </w:rPr>
        <w:footnoteReference w:id="9"/>
      </w:r>
      <w:r>
        <w:rPr>
          <w:rFonts w:ascii="Times New Roman" w:hAnsi="Times New Roman" w:cs="Times New Roman"/>
        </w:rPr>
        <w:t xml:space="preserve">  The Attorney Examiner granted some of the motions to strike, and denied another.</w:t>
      </w:r>
      <w:r>
        <w:rPr>
          <w:rStyle w:val="FootnoteReference"/>
          <w:rFonts w:ascii="Times New Roman" w:hAnsi="Times New Roman" w:cs="Times New Roman"/>
        </w:rPr>
        <w:footnoteReference w:id="10"/>
      </w:r>
      <w:r>
        <w:rPr>
          <w:rFonts w:ascii="Times New Roman" w:hAnsi="Times New Roman" w:cs="Times New Roman"/>
        </w:rPr>
        <w:t xml:space="preserve">  Notwithstanding that a settlement was before the PUCO</w:t>
      </w:r>
      <w:r w:rsidR="00D76656">
        <w:rPr>
          <w:rFonts w:ascii="Times New Roman" w:hAnsi="Times New Roman" w:cs="Times New Roman"/>
        </w:rPr>
        <w:t xml:space="preserve"> and, therefore, a different standard of review from Vectren’s </w:t>
      </w:r>
      <w:r w:rsidR="002A5BAA">
        <w:rPr>
          <w:rFonts w:ascii="Times New Roman" w:hAnsi="Times New Roman" w:cs="Times New Roman"/>
        </w:rPr>
        <w:t>A</w:t>
      </w:r>
      <w:r w:rsidR="00D76656">
        <w:rPr>
          <w:rFonts w:ascii="Times New Roman" w:hAnsi="Times New Roman" w:cs="Times New Roman"/>
        </w:rPr>
        <w:t xml:space="preserve">pplication applies, the Attorney Examiner ruled (in relevant part) that the public interest issues </w:t>
      </w:r>
      <w:r w:rsidR="00D87134">
        <w:rPr>
          <w:rFonts w:ascii="Times New Roman" w:hAnsi="Times New Roman" w:cs="Times New Roman"/>
        </w:rPr>
        <w:t xml:space="preserve">raised by Mr. Williams </w:t>
      </w:r>
      <w:r w:rsidR="00D76656">
        <w:rPr>
          <w:rFonts w:ascii="Times New Roman" w:hAnsi="Times New Roman" w:cs="Times New Roman"/>
        </w:rPr>
        <w:t>could and should have been raised in objections to the PUCO Staff Report.</w:t>
      </w:r>
      <w:r>
        <w:rPr>
          <w:rStyle w:val="FootnoteReference"/>
          <w:rFonts w:ascii="Times New Roman" w:hAnsi="Times New Roman" w:cs="Times New Roman"/>
        </w:rPr>
        <w:footnoteReference w:id="11"/>
      </w:r>
      <w:r w:rsidR="00D76656">
        <w:rPr>
          <w:rFonts w:ascii="Times New Roman" w:hAnsi="Times New Roman" w:cs="Times New Roman"/>
        </w:rPr>
        <w:t xml:space="preserve">  The Attorney Examiner also said that OCC could make its public interest recommendations in a future proceeding.</w:t>
      </w:r>
      <w:r>
        <w:rPr>
          <w:rStyle w:val="FootnoteReference"/>
          <w:rFonts w:ascii="Times New Roman" w:hAnsi="Times New Roman" w:cs="Times New Roman"/>
        </w:rPr>
        <w:footnoteReference w:id="12"/>
      </w:r>
      <w:r w:rsidR="00D76656">
        <w:rPr>
          <w:rFonts w:ascii="Times New Roman" w:hAnsi="Times New Roman" w:cs="Times New Roman"/>
        </w:rPr>
        <w:t xml:space="preserve">  </w:t>
      </w:r>
      <w:r>
        <w:rPr>
          <w:rFonts w:ascii="Times New Roman" w:hAnsi="Times New Roman" w:cs="Times New Roman"/>
        </w:rPr>
        <w:t xml:space="preserve">The testimony stricken was Mr. Williams’ </w:t>
      </w:r>
      <w:r w:rsidR="0064237D">
        <w:rPr>
          <w:rFonts w:ascii="Times New Roman" w:hAnsi="Times New Roman" w:cs="Times New Roman"/>
        </w:rPr>
        <w:t xml:space="preserve">testimony </w:t>
      </w:r>
      <w:r>
        <w:rPr>
          <w:rFonts w:ascii="Times New Roman" w:hAnsi="Times New Roman" w:cs="Times New Roman"/>
        </w:rPr>
        <w:t xml:space="preserve">that the settlement was not in the public interest because it did not have a requirement </w:t>
      </w:r>
      <w:r w:rsidR="0064237D">
        <w:rPr>
          <w:rFonts w:ascii="Times New Roman" w:hAnsi="Times New Roman" w:cs="Times New Roman"/>
        </w:rPr>
        <w:t>that required</w:t>
      </w:r>
      <w:r>
        <w:rPr>
          <w:rFonts w:ascii="Times New Roman" w:hAnsi="Times New Roman" w:cs="Times New Roman"/>
        </w:rPr>
        <w:t xml:space="preserve"> Vectren to provide customers with</w:t>
      </w:r>
      <w:r w:rsidR="00D24050">
        <w:rPr>
          <w:rFonts w:ascii="Times New Roman" w:hAnsi="Times New Roman" w:cs="Times New Roman"/>
        </w:rPr>
        <w:t xml:space="preserve"> </w:t>
      </w:r>
      <w:r>
        <w:rPr>
          <w:rFonts w:ascii="Times New Roman" w:hAnsi="Times New Roman" w:cs="Times New Roman"/>
        </w:rPr>
        <w:t>information that would enable them to make informed shopping decisions – a price to compare and shadow billing.</w:t>
      </w:r>
      <w:r>
        <w:rPr>
          <w:rStyle w:val="FootnoteReference"/>
          <w:rFonts w:ascii="Times New Roman" w:hAnsi="Times New Roman" w:cs="Times New Roman"/>
        </w:rPr>
        <w:footnoteReference w:id="13"/>
      </w:r>
    </w:p>
    <w:p w:rsidR="00D76656" w:rsidP="00CF43EB">
      <w:pPr>
        <w:spacing w:line="480" w:lineRule="auto"/>
        <w:ind w:firstLine="720"/>
        <w:rPr>
          <w:rFonts w:ascii="Times New Roman" w:hAnsi="Times New Roman" w:cs="Times New Roman"/>
        </w:rPr>
      </w:pPr>
      <w:r>
        <w:rPr>
          <w:rFonts w:ascii="Times New Roman" w:hAnsi="Times New Roman" w:cs="Times New Roman"/>
        </w:rPr>
        <w:t>In early April, parties filed their Initial Briefs.</w:t>
      </w:r>
      <w:r>
        <w:rPr>
          <w:rStyle w:val="FootnoteReference"/>
          <w:rFonts w:ascii="Times New Roman" w:hAnsi="Times New Roman" w:cs="Times New Roman"/>
        </w:rPr>
        <w:footnoteReference w:id="14"/>
      </w:r>
      <w:r>
        <w:rPr>
          <w:rFonts w:ascii="Times New Roman" w:hAnsi="Times New Roman" w:cs="Times New Roman"/>
        </w:rPr>
        <w:t xml:space="preserve">  Inadvertently, OCC referenced Mr. Williams’ testimony that had been stricken.  Vectren brought this to OCC’s attention and requested that OCC withdraw portions of its Initial Brief based on testimony that was stricken.  In response, OCC did so.</w:t>
      </w:r>
    </w:p>
    <w:p w:rsidR="00055566" w:rsidP="00CF43EB">
      <w:pPr>
        <w:spacing w:line="480" w:lineRule="auto"/>
        <w:ind w:firstLine="720"/>
        <w:rPr>
          <w:rFonts w:ascii="Times New Roman" w:hAnsi="Times New Roman" w:cs="Times New Roman"/>
        </w:rPr>
      </w:pPr>
      <w:r>
        <w:rPr>
          <w:rFonts w:ascii="Times New Roman" w:hAnsi="Times New Roman" w:cs="Times New Roman"/>
        </w:rPr>
        <w:t xml:space="preserve">Vectren now is making what amounts to a belated motion to strike </w:t>
      </w:r>
      <w:r>
        <w:rPr>
          <w:rFonts w:ascii="Times New Roman" w:hAnsi="Times New Roman" w:cs="Times New Roman"/>
          <w:i/>
        </w:rPr>
        <w:t xml:space="preserve">additional </w:t>
      </w:r>
      <w:r>
        <w:rPr>
          <w:rFonts w:ascii="Times New Roman" w:hAnsi="Times New Roman" w:cs="Times New Roman"/>
        </w:rPr>
        <w:t xml:space="preserve">testimony.  As described below, </w:t>
      </w:r>
      <w:r w:rsidR="006423EF">
        <w:rPr>
          <w:rFonts w:ascii="Times New Roman" w:hAnsi="Times New Roman" w:cs="Times New Roman"/>
        </w:rPr>
        <w:t>Vectren’s effort should be rejected.</w:t>
      </w:r>
      <w:r>
        <w:rPr>
          <w:rFonts w:ascii="Times New Roman" w:hAnsi="Times New Roman" w:cs="Times New Roman"/>
        </w:rPr>
        <w:t xml:space="preserve"> </w:t>
      </w:r>
      <w:r w:rsidR="0030688D">
        <w:rPr>
          <w:rFonts w:ascii="Times New Roman" w:hAnsi="Times New Roman" w:cs="Times New Roman"/>
        </w:rPr>
        <w:t xml:space="preserve"> </w:t>
      </w:r>
    </w:p>
    <w:p w:rsidR="00CF43EB" w:rsidP="00CF43EB">
      <w:pPr>
        <w:ind w:firstLine="720"/>
        <w:rPr>
          <w:rFonts w:ascii="Times New Roman" w:hAnsi="Times New Roman" w:cs="Times New Roman"/>
        </w:rPr>
      </w:pPr>
    </w:p>
    <w:p w:rsidR="006423EF" w:rsidRPr="002A5BAA" w:rsidP="00CF43EB">
      <w:pPr>
        <w:pStyle w:val="Heading1"/>
      </w:pPr>
      <w:bookmarkStart w:id="3" w:name="_Toc5960304"/>
      <w:r>
        <w:t>III.</w:t>
      </w:r>
      <w:r>
        <w:tab/>
      </w:r>
      <w:r>
        <w:t>ARGUMENT</w:t>
      </w:r>
      <w:bookmarkEnd w:id="3"/>
    </w:p>
    <w:p w:rsidR="00DE5F1A" w:rsidRPr="006312D8" w:rsidP="00CF43EB">
      <w:pPr>
        <w:pStyle w:val="Heading2"/>
      </w:pPr>
      <w:bookmarkStart w:id="4" w:name="_Toc5960305"/>
      <w:r>
        <w:t>A.</w:t>
      </w:r>
      <w:r>
        <w:tab/>
      </w:r>
      <w:r w:rsidRPr="006312D8">
        <w:t>OCC’s Initial Brief Does Not Cite To Stricken Testimony.</w:t>
      </w:r>
      <w:bookmarkEnd w:id="4"/>
    </w:p>
    <w:p w:rsidR="00DE5F1A" w:rsidRPr="006312D8" w:rsidP="00DE5F1A">
      <w:pPr>
        <w:spacing w:line="480" w:lineRule="auto"/>
        <w:ind w:firstLine="720"/>
        <w:rPr>
          <w:rFonts w:ascii="Times New Roman" w:hAnsi="Times New Roman" w:cs="Times New Roman"/>
        </w:rPr>
      </w:pPr>
      <w:r w:rsidRPr="006312D8">
        <w:rPr>
          <w:rFonts w:ascii="Times New Roman" w:hAnsi="Times New Roman" w:cs="Times New Roman"/>
        </w:rPr>
        <w:t>Vectren asked OCC to withdraw portions of its Initial Brief “based on testimony that was stricken . . . .”</w:t>
      </w:r>
      <w:r>
        <w:rPr>
          <w:rStyle w:val="FootnoteReference"/>
          <w:rFonts w:ascii="Times New Roman" w:hAnsi="Times New Roman" w:cs="Times New Roman"/>
        </w:rPr>
        <w:footnoteReference w:id="15"/>
      </w:r>
      <w:r w:rsidRPr="006312D8">
        <w:rPr>
          <w:rFonts w:ascii="Times New Roman" w:hAnsi="Times New Roman" w:cs="Times New Roman"/>
        </w:rPr>
        <w:t xml:space="preserve">  OCC did so.</w:t>
      </w:r>
      <w:r>
        <w:rPr>
          <w:rStyle w:val="FootnoteReference"/>
          <w:rFonts w:ascii="Times New Roman" w:hAnsi="Times New Roman" w:cs="Times New Roman"/>
        </w:rPr>
        <w:footnoteReference w:id="16"/>
      </w:r>
      <w:r w:rsidRPr="006312D8">
        <w:rPr>
          <w:rFonts w:ascii="Times New Roman" w:hAnsi="Times New Roman" w:cs="Times New Roman"/>
        </w:rPr>
        <w:t xml:space="preserve">  Confusingly, Vectren nonetheless asserts now that OCC’s consumer protection recommendations in response to a settlement were “done so in reliance on testimony that was stricken[,]” but later admits (buried in a footnote) that OCC’s Initial Brief “cites testimony that was not stricken[.]”</w:t>
      </w:r>
      <w:r>
        <w:rPr>
          <w:rStyle w:val="FootnoteReference"/>
          <w:rFonts w:ascii="Times New Roman" w:hAnsi="Times New Roman" w:cs="Times New Roman"/>
        </w:rPr>
        <w:footnoteReference w:id="17"/>
      </w:r>
      <w:r w:rsidRPr="006312D8">
        <w:rPr>
          <w:rFonts w:ascii="Times New Roman" w:hAnsi="Times New Roman" w:cs="Times New Roman"/>
        </w:rPr>
        <w:t xml:space="preserve">  Vectren could have (and perhaps from its perspective and in hindsight, should have) moved to strike the testimony on which OCC’s recommendations are now based.</w:t>
      </w:r>
      <w:r>
        <w:rPr>
          <w:rStyle w:val="FootnoteReference"/>
          <w:rFonts w:ascii="Times New Roman" w:hAnsi="Times New Roman" w:cs="Times New Roman"/>
        </w:rPr>
        <w:footnoteReference w:id="18"/>
      </w:r>
      <w:r w:rsidRPr="006312D8">
        <w:rPr>
          <w:rFonts w:ascii="Times New Roman" w:hAnsi="Times New Roman" w:cs="Times New Roman"/>
        </w:rPr>
        <w:t xml:space="preserve">  It did not (nor did any other party).  </w:t>
      </w:r>
      <w:r w:rsidR="006423EF">
        <w:rPr>
          <w:rFonts w:ascii="Times New Roman" w:hAnsi="Times New Roman" w:cs="Times New Roman"/>
        </w:rPr>
        <w:t xml:space="preserve">Vectren is now attempting to make a belated motion to strike </w:t>
      </w:r>
      <w:r w:rsidR="006423EF">
        <w:rPr>
          <w:rFonts w:ascii="Times New Roman" w:hAnsi="Times New Roman" w:cs="Times New Roman"/>
          <w:i/>
        </w:rPr>
        <w:t xml:space="preserve">additional </w:t>
      </w:r>
      <w:r w:rsidR="006423EF">
        <w:rPr>
          <w:rFonts w:ascii="Times New Roman" w:hAnsi="Times New Roman" w:cs="Times New Roman"/>
        </w:rPr>
        <w:t xml:space="preserve">testimony.  It should not be permitted to do so.  </w:t>
      </w:r>
      <w:r w:rsidRPr="006312D8">
        <w:rPr>
          <w:rFonts w:ascii="Times New Roman" w:hAnsi="Times New Roman" w:cs="Times New Roman"/>
        </w:rPr>
        <w:t>OCC should be able to rely on testimony in the record and make recommendations based thereon in response to a settlement.</w:t>
      </w:r>
    </w:p>
    <w:p w:rsidR="00DE5F1A" w:rsidRPr="006312D8" w:rsidP="00DE5F1A">
      <w:pPr>
        <w:spacing w:line="480" w:lineRule="auto"/>
        <w:ind w:firstLine="720"/>
        <w:rPr>
          <w:rFonts w:ascii="Times New Roman" w:hAnsi="Times New Roman" w:cs="Times New Roman"/>
        </w:rPr>
      </w:pPr>
      <w:r w:rsidRPr="006312D8">
        <w:rPr>
          <w:rFonts w:ascii="Times New Roman" w:hAnsi="Times New Roman" w:cs="Times New Roman"/>
        </w:rPr>
        <w:t xml:space="preserve">Recognizing as much, Vectren throughout its Motion to Strike equates relying on stricken testimony (the subject of Vectren’s initial request to OCC) with making recommendations based on testimony that was </w:t>
      </w:r>
      <w:r w:rsidRPr="006312D8">
        <w:rPr>
          <w:rFonts w:ascii="Times New Roman" w:hAnsi="Times New Roman" w:cs="Times New Roman"/>
          <w:i/>
        </w:rPr>
        <w:t xml:space="preserve">not </w:t>
      </w:r>
      <w:r w:rsidRPr="006312D8">
        <w:rPr>
          <w:rFonts w:ascii="Times New Roman" w:hAnsi="Times New Roman" w:cs="Times New Roman"/>
        </w:rPr>
        <w:t>stricken (a subject not raised until now).</w:t>
      </w:r>
      <w:r>
        <w:rPr>
          <w:rStyle w:val="FootnoteReference"/>
          <w:rFonts w:ascii="Times New Roman" w:hAnsi="Times New Roman" w:cs="Times New Roman"/>
        </w:rPr>
        <w:footnoteReference w:id="19"/>
      </w:r>
      <w:r w:rsidRPr="006312D8">
        <w:rPr>
          <w:rFonts w:ascii="Times New Roman" w:hAnsi="Times New Roman" w:cs="Times New Roman"/>
        </w:rPr>
        <w:t xml:space="preserve">  So Vectren’s Motion to Strike boils down to asking the PUCO to strike OCC’s consumer protection recommendations even though the testimony on which the recommendations are based was not stricken</w:t>
      </w:r>
      <w:r w:rsidR="006254A7">
        <w:rPr>
          <w:rFonts w:ascii="Times New Roman" w:hAnsi="Times New Roman" w:cs="Times New Roman"/>
        </w:rPr>
        <w:t xml:space="preserve"> and is record evidence</w:t>
      </w:r>
      <w:r w:rsidRPr="006312D8">
        <w:rPr>
          <w:rFonts w:ascii="Times New Roman" w:hAnsi="Times New Roman" w:cs="Times New Roman"/>
        </w:rPr>
        <w:t xml:space="preserve">.  </w:t>
      </w:r>
    </w:p>
    <w:p w:rsidR="00DE5F1A" w:rsidRPr="006312D8" w:rsidP="00DE5F1A">
      <w:pPr>
        <w:spacing w:line="480" w:lineRule="auto"/>
        <w:ind w:firstLine="720"/>
        <w:rPr>
          <w:rFonts w:ascii="Times New Roman" w:hAnsi="Times New Roman" w:cs="Times New Roman"/>
        </w:rPr>
      </w:pPr>
      <w:r w:rsidRPr="006312D8">
        <w:rPr>
          <w:rFonts w:ascii="Times New Roman" w:hAnsi="Times New Roman" w:cs="Times New Roman"/>
        </w:rPr>
        <w:t>But it is indisputable that settlements are merely recommendations to the PUCO that are not legally binding.</w:t>
      </w:r>
      <w:r>
        <w:rPr>
          <w:rStyle w:val="FootnoteReference"/>
          <w:rFonts w:ascii="Times New Roman" w:hAnsi="Times New Roman" w:cs="Times New Roman"/>
        </w:rPr>
        <w:footnoteReference w:id="20"/>
      </w:r>
      <w:r w:rsidRPr="006312D8">
        <w:rPr>
          <w:rFonts w:ascii="Times New Roman" w:hAnsi="Times New Roman" w:cs="Times New Roman"/>
        </w:rPr>
        <w:t xml:space="preserve">  The PUCO has the authority to modify settlements.</w:t>
      </w:r>
      <w:r>
        <w:rPr>
          <w:rStyle w:val="FootnoteReference"/>
          <w:rFonts w:ascii="Times New Roman" w:hAnsi="Times New Roman" w:cs="Times New Roman"/>
        </w:rPr>
        <w:footnoteReference w:id="21"/>
      </w:r>
      <w:r w:rsidRPr="006312D8">
        <w:rPr>
          <w:rFonts w:ascii="Times New Roman" w:hAnsi="Times New Roman" w:cs="Times New Roman"/>
        </w:rPr>
        <w:t xml:space="preserve">  Its decisions must be based on record evidence, so parties can and do rely on record evidence.</w:t>
      </w:r>
      <w:r>
        <w:rPr>
          <w:rStyle w:val="FootnoteReference"/>
          <w:rFonts w:ascii="Times New Roman" w:hAnsi="Times New Roman" w:cs="Times New Roman"/>
        </w:rPr>
        <w:footnoteReference w:id="22"/>
      </w:r>
      <w:r w:rsidRPr="006312D8">
        <w:rPr>
          <w:rFonts w:ascii="Times New Roman" w:hAnsi="Times New Roman" w:cs="Times New Roman"/>
        </w:rPr>
        <w:t xml:space="preserve">  Parties contesting a settlement (as OCC is here) should be able to rely on the record and make recommendations based thereon, particularly regarding consumer protection issues.  </w:t>
      </w:r>
    </w:p>
    <w:p w:rsidR="00DE5F1A" w:rsidRPr="006312D8" w:rsidP="00DE5F1A">
      <w:pPr>
        <w:spacing w:line="480" w:lineRule="auto"/>
        <w:ind w:firstLine="720"/>
        <w:rPr>
          <w:rFonts w:ascii="Times New Roman" w:hAnsi="Times New Roman" w:cs="Times New Roman"/>
        </w:rPr>
      </w:pPr>
      <w:r w:rsidRPr="006312D8">
        <w:rPr>
          <w:rFonts w:ascii="Times New Roman" w:hAnsi="Times New Roman" w:cs="Times New Roman"/>
        </w:rPr>
        <w:t>Because OCC’s Initial Brief no longer contains stricken testimony, Vectren’s Motion to Strike should be denied.</w:t>
      </w:r>
    </w:p>
    <w:p w:rsidR="00DE5F1A" w:rsidRPr="006312D8" w:rsidP="00CF43EB">
      <w:pPr>
        <w:pStyle w:val="Heading2"/>
      </w:pPr>
      <w:bookmarkStart w:id="5" w:name="_Toc5960306"/>
      <w:r w:rsidRPr="006312D8">
        <w:t>B.</w:t>
      </w:r>
      <w:r w:rsidRPr="006312D8">
        <w:tab/>
        <w:t>OCC’s Consumer Protection Recommendations Based On Record Evidence In Response To A Settlement Should Not Be Stricken.</w:t>
      </w:r>
      <w:bookmarkEnd w:id="5"/>
    </w:p>
    <w:p w:rsidR="00DE5F1A" w:rsidRPr="006312D8" w:rsidP="00DE5F1A">
      <w:pPr>
        <w:spacing w:line="480" w:lineRule="auto"/>
        <w:ind w:firstLine="720"/>
        <w:rPr>
          <w:rFonts w:ascii="Times New Roman" w:hAnsi="Times New Roman" w:cs="Times New Roman"/>
        </w:rPr>
      </w:pPr>
      <w:r w:rsidRPr="006312D8">
        <w:rPr>
          <w:rFonts w:ascii="Times New Roman" w:hAnsi="Times New Roman" w:cs="Times New Roman"/>
        </w:rPr>
        <w:t xml:space="preserve">Vectren asserts that OCC’s consumer protection recommendations relying on record evidence in response to a settlement should be stricken based on </w:t>
      </w:r>
      <w:r w:rsidR="00833756">
        <w:rPr>
          <w:rFonts w:ascii="Times New Roman" w:hAnsi="Times New Roman" w:cs="Times New Roman"/>
        </w:rPr>
        <w:t xml:space="preserve">the scope of its </w:t>
      </w:r>
      <w:r w:rsidRPr="006312D8">
        <w:rPr>
          <w:rFonts w:ascii="Times New Roman" w:hAnsi="Times New Roman" w:cs="Times New Roman"/>
        </w:rPr>
        <w:t>objections made to the Staff Report.</w:t>
      </w:r>
      <w:r>
        <w:rPr>
          <w:rStyle w:val="FootnoteReference"/>
          <w:rFonts w:ascii="Times New Roman" w:hAnsi="Times New Roman" w:cs="Times New Roman"/>
        </w:rPr>
        <w:footnoteReference w:id="23"/>
      </w:r>
      <w:r w:rsidRPr="006312D8">
        <w:rPr>
          <w:rFonts w:ascii="Times New Roman" w:hAnsi="Times New Roman" w:cs="Times New Roman"/>
        </w:rPr>
        <w:t xml:space="preserve">  It cites to the Attorney Examiner’s ruling striking certain parts of OCC Witness Williams’ testimony</w:t>
      </w:r>
      <w:r w:rsidR="006423EF">
        <w:rPr>
          <w:rFonts w:ascii="Times New Roman" w:hAnsi="Times New Roman" w:cs="Times New Roman"/>
        </w:rPr>
        <w:t xml:space="preserve"> (discussed above)</w:t>
      </w:r>
      <w:r w:rsidRPr="006312D8">
        <w:rPr>
          <w:rFonts w:ascii="Times New Roman" w:hAnsi="Times New Roman" w:cs="Times New Roman"/>
        </w:rPr>
        <w:t>.</w:t>
      </w:r>
      <w:r>
        <w:rPr>
          <w:rStyle w:val="FootnoteReference"/>
          <w:rFonts w:ascii="Times New Roman" w:hAnsi="Times New Roman" w:cs="Times New Roman"/>
        </w:rPr>
        <w:footnoteReference w:id="24"/>
      </w:r>
    </w:p>
    <w:p w:rsidR="006423EF" w:rsidP="00DE5F1A">
      <w:pPr>
        <w:spacing w:line="480" w:lineRule="auto"/>
        <w:ind w:firstLine="720"/>
        <w:rPr>
          <w:rFonts w:ascii="Times New Roman" w:hAnsi="Times New Roman" w:cs="Times New Roman"/>
        </w:rPr>
      </w:pPr>
      <w:r w:rsidRPr="006312D8">
        <w:rPr>
          <w:rFonts w:ascii="Times New Roman" w:hAnsi="Times New Roman" w:cs="Times New Roman"/>
        </w:rPr>
        <w:t>But Vectren admits that OCC’s Initial Brief containing the consumer protections recommended in response to a settlement that it now seeks to strike “cites testimony that was not stricken[.]”</w:t>
      </w:r>
      <w:r>
        <w:rPr>
          <w:rStyle w:val="FootnoteReference"/>
          <w:rFonts w:ascii="Times New Roman" w:hAnsi="Times New Roman" w:cs="Times New Roman"/>
        </w:rPr>
        <w:footnoteReference w:id="25"/>
      </w:r>
      <w:r w:rsidRPr="006312D8">
        <w:rPr>
          <w:rFonts w:ascii="Times New Roman" w:hAnsi="Times New Roman" w:cs="Times New Roman"/>
        </w:rPr>
        <w:t xml:space="preserve">  </w:t>
      </w:r>
      <w:r>
        <w:rPr>
          <w:rFonts w:ascii="Times New Roman" w:hAnsi="Times New Roman" w:cs="Times New Roman"/>
        </w:rPr>
        <w:t xml:space="preserve">So once again, Vectren is now attempting to make a belated motion to strike </w:t>
      </w:r>
      <w:r>
        <w:rPr>
          <w:rFonts w:ascii="Times New Roman" w:hAnsi="Times New Roman" w:cs="Times New Roman"/>
          <w:i/>
        </w:rPr>
        <w:t xml:space="preserve">additional </w:t>
      </w:r>
      <w:r>
        <w:rPr>
          <w:rFonts w:ascii="Times New Roman" w:hAnsi="Times New Roman" w:cs="Times New Roman"/>
        </w:rPr>
        <w:t xml:space="preserve">testimony.  It should not be permitted to do so.  </w:t>
      </w:r>
    </w:p>
    <w:p w:rsidR="00DE5F1A" w:rsidRPr="006312D8" w:rsidP="00DE5F1A">
      <w:pPr>
        <w:spacing w:line="480" w:lineRule="auto"/>
        <w:ind w:firstLine="720"/>
        <w:rPr>
          <w:rFonts w:ascii="Times New Roman" w:hAnsi="Times New Roman" w:cs="Times New Roman"/>
        </w:rPr>
      </w:pPr>
      <w:r w:rsidRPr="006312D8">
        <w:rPr>
          <w:rFonts w:ascii="Times New Roman" w:hAnsi="Times New Roman" w:cs="Times New Roman"/>
        </w:rPr>
        <w:t>The PUCO’s decision in this case must be based on record evidence; the corollary being that parties may cite to, rely on, and make recommendations based on record evidence.</w:t>
      </w:r>
      <w:r>
        <w:rPr>
          <w:rStyle w:val="FootnoteReference"/>
          <w:rFonts w:ascii="Times New Roman" w:hAnsi="Times New Roman" w:cs="Times New Roman"/>
        </w:rPr>
        <w:footnoteReference w:id="26"/>
      </w:r>
      <w:r w:rsidRPr="006312D8">
        <w:rPr>
          <w:rFonts w:ascii="Times New Roman" w:hAnsi="Times New Roman" w:cs="Times New Roman"/>
        </w:rPr>
        <w:t xml:space="preserve">  This is particularly so where, as here, the PUCO has before it a settlement that is nothing more than a recommendation, not legally binding, and that is subject to modification by the PUCO.</w:t>
      </w:r>
      <w:r>
        <w:rPr>
          <w:rStyle w:val="FootnoteReference"/>
          <w:rFonts w:ascii="Times New Roman" w:hAnsi="Times New Roman" w:cs="Times New Roman"/>
        </w:rPr>
        <w:footnoteReference w:id="27"/>
      </w:r>
      <w:r w:rsidR="006423EF">
        <w:rPr>
          <w:rFonts w:ascii="Times New Roman" w:hAnsi="Times New Roman" w:cs="Times New Roman"/>
        </w:rPr>
        <w:t xml:space="preserve">  As Vectren admits, OCC’s Initial Brief cites testimony that was not stricken.  The Motion to Strike should be denied.</w:t>
      </w:r>
      <w:r w:rsidRPr="006312D8">
        <w:rPr>
          <w:rFonts w:ascii="Times New Roman" w:hAnsi="Times New Roman" w:cs="Times New Roman"/>
        </w:rPr>
        <w:t xml:space="preserve">  </w:t>
      </w:r>
    </w:p>
    <w:p w:rsidR="00DE5F1A" w:rsidRPr="006312D8" w:rsidP="00DE5F1A">
      <w:pPr>
        <w:spacing w:line="480" w:lineRule="auto"/>
        <w:ind w:firstLine="720"/>
        <w:rPr>
          <w:rFonts w:ascii="Times New Roman" w:hAnsi="Times New Roman" w:cs="Times New Roman"/>
        </w:rPr>
      </w:pPr>
      <w:r w:rsidRPr="006312D8">
        <w:rPr>
          <w:rFonts w:ascii="Times New Roman" w:hAnsi="Times New Roman" w:cs="Times New Roman"/>
        </w:rPr>
        <w:t xml:space="preserve">As stated earlier, Vectren’s Motion to Strike boils down to asking the PUCO to strike OCC’s consumer protection recommendations even though the testimony on which the recommendations are based was not stricken.  There is no precedent for doing so, and Vectren cites to none.  Relatedly, the Attorney Examiner’s ruling striking certain parts of OCC Witness Williams’ testimony is only germane regarding what was </w:t>
      </w:r>
      <w:r w:rsidRPr="006312D8">
        <w:rPr>
          <w:rFonts w:ascii="Times New Roman" w:hAnsi="Times New Roman" w:cs="Times New Roman"/>
          <w:i/>
        </w:rPr>
        <w:t xml:space="preserve">not </w:t>
      </w:r>
      <w:r w:rsidRPr="006312D8">
        <w:rPr>
          <w:rFonts w:ascii="Times New Roman" w:hAnsi="Times New Roman" w:cs="Times New Roman"/>
        </w:rPr>
        <w:t xml:space="preserve">stricken.  The ruling struck certain testimony, no longer referred to in OCC’s Initial Brief, </w:t>
      </w:r>
      <w:r w:rsidRPr="006312D8">
        <w:rPr>
          <w:rFonts w:ascii="Times New Roman" w:hAnsi="Times New Roman" w:cs="Times New Roman"/>
          <w:i/>
        </w:rPr>
        <w:t xml:space="preserve">not </w:t>
      </w:r>
      <w:r w:rsidRPr="006312D8">
        <w:rPr>
          <w:rFonts w:ascii="Times New Roman" w:hAnsi="Times New Roman" w:cs="Times New Roman"/>
        </w:rPr>
        <w:t xml:space="preserve">the testimony on which OCC’s consumer protection recommendations are based.  And it struck </w:t>
      </w:r>
      <w:r w:rsidRPr="006312D8">
        <w:rPr>
          <w:rFonts w:ascii="Times New Roman" w:hAnsi="Times New Roman" w:cs="Times New Roman"/>
          <w:i/>
        </w:rPr>
        <w:t>testimony</w:t>
      </w:r>
      <w:r w:rsidRPr="006312D8">
        <w:rPr>
          <w:rFonts w:ascii="Times New Roman" w:hAnsi="Times New Roman" w:cs="Times New Roman"/>
        </w:rPr>
        <w:t xml:space="preserve">, not OCC’s </w:t>
      </w:r>
      <w:r w:rsidRPr="006312D8">
        <w:rPr>
          <w:rFonts w:ascii="Times New Roman" w:hAnsi="Times New Roman" w:cs="Times New Roman"/>
          <w:i/>
        </w:rPr>
        <w:t xml:space="preserve">recommendations </w:t>
      </w:r>
      <w:r w:rsidRPr="006312D8">
        <w:rPr>
          <w:rFonts w:ascii="Times New Roman" w:hAnsi="Times New Roman" w:cs="Times New Roman"/>
        </w:rPr>
        <w:t>based on testimony that is (indisputably, as noted herein) in the record.</w:t>
      </w:r>
      <w:r>
        <w:rPr>
          <w:rStyle w:val="FootnoteReference"/>
          <w:rFonts w:ascii="Times New Roman" w:hAnsi="Times New Roman" w:cs="Times New Roman"/>
        </w:rPr>
        <w:footnoteReference w:id="28"/>
      </w:r>
      <w:r w:rsidRPr="006312D8">
        <w:rPr>
          <w:rFonts w:ascii="Times New Roman" w:hAnsi="Times New Roman" w:cs="Times New Roman"/>
        </w:rPr>
        <w:t xml:space="preserve"> </w:t>
      </w:r>
    </w:p>
    <w:p w:rsidR="00CF43EB" w:rsidP="00CF43EB">
      <w:pPr>
        <w:spacing w:line="480" w:lineRule="auto"/>
        <w:ind w:firstLine="720"/>
        <w:rPr>
          <w:rFonts w:ascii="Times New Roman" w:hAnsi="Times New Roman" w:cs="Times New Roman"/>
        </w:rPr>
      </w:pPr>
      <w:r w:rsidRPr="006312D8">
        <w:rPr>
          <w:rFonts w:ascii="Times New Roman" w:hAnsi="Times New Roman" w:cs="Times New Roman"/>
        </w:rPr>
        <w:t xml:space="preserve">OCC’s consumer protection recommendations are based on record evidence.  Vectren’s Motion to Strike should be denied. </w:t>
      </w:r>
    </w:p>
    <w:p w:rsidR="00DE5F1A" w:rsidRPr="00A8245D" w:rsidP="00CF43EB">
      <w:pPr>
        <w:pStyle w:val="Heading2"/>
      </w:pPr>
      <w:bookmarkStart w:id="6" w:name="_Toc5960307"/>
      <w:r w:rsidRPr="006312D8">
        <w:t>C.</w:t>
      </w:r>
      <w:r w:rsidRPr="006312D8">
        <w:tab/>
        <w:t>Denying Vectren’s Motion To Strike Would Not Be Prejudicial</w:t>
      </w:r>
      <w:r w:rsidR="002A5BAA">
        <w:t xml:space="preserve"> To Vectren</w:t>
      </w:r>
      <w:r w:rsidRPr="006312D8">
        <w:t>.</w:t>
      </w:r>
      <w:r w:rsidR="00A8245D">
        <w:t xml:space="preserve">  If Anything, </w:t>
      </w:r>
      <w:r w:rsidR="00A8245D">
        <w:rPr>
          <w:i/>
        </w:rPr>
        <w:t xml:space="preserve">Granting </w:t>
      </w:r>
      <w:r w:rsidR="00A8245D">
        <w:t>The Motion To Strike Would Be Prejudicial</w:t>
      </w:r>
      <w:r w:rsidR="00E07C68">
        <w:t xml:space="preserve"> To Consumers</w:t>
      </w:r>
      <w:r w:rsidR="00A8245D">
        <w:t>.</w:t>
      </w:r>
      <w:bookmarkEnd w:id="6"/>
    </w:p>
    <w:p w:rsidR="00DE5F1A" w:rsidP="00DE5F1A">
      <w:pPr>
        <w:spacing w:line="480" w:lineRule="auto"/>
        <w:ind w:firstLine="720"/>
        <w:rPr>
          <w:rFonts w:ascii="Times New Roman" w:hAnsi="Times New Roman" w:cs="Times New Roman"/>
        </w:rPr>
      </w:pPr>
      <w:r w:rsidRPr="006312D8">
        <w:rPr>
          <w:rFonts w:ascii="Times New Roman" w:hAnsi="Times New Roman" w:cs="Times New Roman"/>
        </w:rPr>
        <w:t xml:space="preserve">Vectren’s assertion that denying its Motion to Strike would be prejudicial </w:t>
      </w:r>
      <w:r w:rsidR="002A5BAA">
        <w:rPr>
          <w:rFonts w:ascii="Times New Roman" w:hAnsi="Times New Roman" w:cs="Times New Roman"/>
        </w:rPr>
        <w:t xml:space="preserve">to it </w:t>
      </w:r>
      <w:r w:rsidRPr="006312D8">
        <w:rPr>
          <w:rFonts w:ascii="Times New Roman" w:hAnsi="Times New Roman" w:cs="Times New Roman"/>
        </w:rPr>
        <w:t>should be rejected.</w:t>
      </w:r>
      <w:r>
        <w:rPr>
          <w:rStyle w:val="FootnoteReference"/>
          <w:rFonts w:ascii="Times New Roman" w:hAnsi="Times New Roman" w:cs="Times New Roman"/>
        </w:rPr>
        <w:footnoteReference w:id="29"/>
      </w:r>
      <w:r w:rsidRPr="006312D8">
        <w:rPr>
          <w:rFonts w:ascii="Times New Roman" w:hAnsi="Times New Roman" w:cs="Times New Roman"/>
        </w:rPr>
        <w:t xml:space="preserve">  Vectren itself describes the parties in this case as “capable” and “knowledgeable.”</w:t>
      </w:r>
      <w:r>
        <w:rPr>
          <w:rStyle w:val="FootnoteReference"/>
          <w:rFonts w:ascii="Times New Roman" w:hAnsi="Times New Roman" w:cs="Times New Roman"/>
        </w:rPr>
        <w:footnoteReference w:id="30"/>
      </w:r>
      <w:r w:rsidRPr="006312D8">
        <w:rPr>
          <w:rFonts w:ascii="Times New Roman" w:hAnsi="Times New Roman" w:cs="Times New Roman"/>
        </w:rPr>
        <w:t xml:space="preserve">  Not less than three different attorneys experienced in PUCO proceedings representing sophisticated clients weighed-in favorably on the motions to strike made during hearing.</w:t>
      </w:r>
      <w:r>
        <w:rPr>
          <w:rStyle w:val="FootnoteReference"/>
          <w:rFonts w:ascii="Times New Roman" w:hAnsi="Times New Roman" w:cs="Times New Roman"/>
        </w:rPr>
        <w:footnoteReference w:id="31"/>
      </w:r>
      <w:r w:rsidRPr="006312D8">
        <w:rPr>
          <w:rFonts w:ascii="Times New Roman" w:hAnsi="Times New Roman" w:cs="Times New Roman"/>
        </w:rPr>
        <w:t xml:space="preserve">  They could have moved to strike the portions of the testimony on which OCC’s consumer protection recommendations are based.  They did not.  The testimony is in the record.</w:t>
      </w:r>
      <w:r>
        <w:rPr>
          <w:rStyle w:val="FootnoteReference"/>
          <w:rFonts w:ascii="Times New Roman" w:hAnsi="Times New Roman" w:cs="Times New Roman"/>
        </w:rPr>
        <w:footnoteReference w:id="32"/>
      </w:r>
      <w:r w:rsidRPr="006312D8">
        <w:rPr>
          <w:rFonts w:ascii="Times New Roman" w:hAnsi="Times New Roman" w:cs="Times New Roman"/>
        </w:rPr>
        <w:t xml:space="preserve">  </w:t>
      </w:r>
      <w:r w:rsidR="006423EF">
        <w:rPr>
          <w:rFonts w:ascii="Times New Roman" w:hAnsi="Times New Roman" w:cs="Times New Roman"/>
        </w:rPr>
        <w:t>Vectren’s attempt to make a belated motion to strike should be denied.  B</w:t>
      </w:r>
      <w:r w:rsidRPr="006312D8">
        <w:rPr>
          <w:rFonts w:ascii="Times New Roman" w:hAnsi="Times New Roman" w:cs="Times New Roman"/>
        </w:rPr>
        <w:t>ecause the testimony is in the record, all parties – Vectren included – had a full and fair opportunity to cross-examine OCC Witness Williams regarding his testimony.  There would be no prejudice to any party were the Motion to Strike denied.</w:t>
      </w:r>
      <w:r>
        <w:rPr>
          <w:rStyle w:val="FootnoteReference"/>
          <w:rFonts w:ascii="Times New Roman" w:hAnsi="Times New Roman" w:cs="Times New Roman"/>
        </w:rPr>
        <w:footnoteReference w:id="33"/>
      </w:r>
      <w:r w:rsidRPr="006312D8">
        <w:rPr>
          <w:rFonts w:ascii="Times New Roman" w:hAnsi="Times New Roman" w:cs="Times New Roman"/>
        </w:rPr>
        <w:t xml:space="preserve"> </w:t>
      </w:r>
    </w:p>
    <w:p w:rsidR="006423EF" w:rsidP="00DE5F1A">
      <w:pPr>
        <w:spacing w:line="480" w:lineRule="auto"/>
        <w:ind w:firstLine="720"/>
        <w:rPr>
          <w:rFonts w:ascii="Times New Roman" w:hAnsi="Times New Roman" w:cs="Times New Roman"/>
        </w:rPr>
      </w:pPr>
      <w:r>
        <w:rPr>
          <w:rFonts w:ascii="Times New Roman" w:hAnsi="Times New Roman" w:cs="Times New Roman"/>
        </w:rPr>
        <w:t xml:space="preserve">If anything, </w:t>
      </w:r>
      <w:r>
        <w:rPr>
          <w:rFonts w:ascii="Times New Roman" w:hAnsi="Times New Roman" w:cs="Times New Roman"/>
          <w:i/>
        </w:rPr>
        <w:t xml:space="preserve">granting </w:t>
      </w:r>
      <w:r>
        <w:rPr>
          <w:rFonts w:ascii="Times New Roman" w:hAnsi="Times New Roman" w:cs="Times New Roman"/>
        </w:rPr>
        <w:t>Vectren’s Motion to Strike would be prejudicial</w:t>
      </w:r>
      <w:r w:rsidR="002A5BAA">
        <w:rPr>
          <w:rFonts w:ascii="Times New Roman" w:hAnsi="Times New Roman" w:cs="Times New Roman"/>
        </w:rPr>
        <w:t xml:space="preserve"> to consumers</w:t>
      </w:r>
      <w:r>
        <w:rPr>
          <w:rFonts w:ascii="Times New Roman" w:hAnsi="Times New Roman" w:cs="Times New Roman"/>
        </w:rPr>
        <w:t>.  It would deny parties the ability to make recommendations based on record evidence in response to a settlement.</w:t>
      </w:r>
      <w:r w:rsidRPr="00A8245D" w:rsidR="00A8245D">
        <w:rPr>
          <w:rFonts w:ascii="Times New Roman" w:hAnsi="Times New Roman" w:cs="Times New Roman"/>
        </w:rPr>
        <w:t xml:space="preserve"> </w:t>
      </w:r>
      <w:r w:rsidR="00A8245D">
        <w:rPr>
          <w:rFonts w:ascii="Times New Roman" w:hAnsi="Times New Roman" w:cs="Times New Roman"/>
        </w:rPr>
        <w:t xml:space="preserve"> This would be patently prejudicial to parties given t</w:t>
      </w:r>
      <w:r w:rsidRPr="006312D8" w:rsidR="00A8245D">
        <w:rPr>
          <w:rFonts w:ascii="Times New Roman" w:hAnsi="Times New Roman" w:cs="Times New Roman"/>
        </w:rPr>
        <w:t>hat settlements are merely recommendations to the PUCO that are not legally binding</w:t>
      </w:r>
      <w:r w:rsidR="00A8245D">
        <w:rPr>
          <w:rFonts w:ascii="Times New Roman" w:hAnsi="Times New Roman" w:cs="Times New Roman"/>
        </w:rPr>
        <w:t xml:space="preserve"> and the PUCO has the authority to modify settlements</w:t>
      </w:r>
      <w:r w:rsidRPr="006312D8" w:rsidR="00A8245D">
        <w:rPr>
          <w:rFonts w:ascii="Times New Roman" w:hAnsi="Times New Roman" w:cs="Times New Roman"/>
        </w:rPr>
        <w:t>.</w:t>
      </w:r>
      <w:r>
        <w:rPr>
          <w:rStyle w:val="FootnoteReference"/>
          <w:rFonts w:ascii="Times New Roman" w:hAnsi="Times New Roman" w:cs="Times New Roman"/>
        </w:rPr>
        <w:footnoteReference w:id="34"/>
      </w:r>
      <w:r w:rsidRPr="006312D8" w:rsidR="00A8245D">
        <w:rPr>
          <w:rFonts w:ascii="Times New Roman" w:hAnsi="Times New Roman" w:cs="Times New Roman"/>
        </w:rPr>
        <w:t xml:space="preserve">  Parties contesting a settlement (as OCC is here) should be able to rely on the record and make recommendations based thereon, particularly regarding consumer protection issues.</w:t>
      </w:r>
    </w:p>
    <w:p w:rsidR="00CF43EB" w:rsidP="00DE5F1A">
      <w:pPr>
        <w:spacing w:line="480" w:lineRule="auto"/>
        <w:ind w:firstLine="720"/>
        <w:rPr>
          <w:rFonts w:ascii="Times New Roman" w:hAnsi="Times New Roman" w:cs="Times New Roman"/>
        </w:rPr>
        <w:sectPr w:rsidSect="008A6EC8">
          <w:footerReference w:type="first" r:id="rId13"/>
          <w:pgSz w:w="12240" w:h="15840"/>
          <w:pgMar w:top="1440" w:right="1800" w:bottom="1440" w:left="1800" w:header="720" w:footer="432" w:gutter="0"/>
          <w:pgNumType w:start="1"/>
          <w:cols w:space="720"/>
          <w:titlePg/>
          <w:docGrid w:linePitch="360"/>
        </w:sectPr>
      </w:pPr>
      <w:r>
        <w:rPr>
          <w:rFonts w:ascii="Times New Roman" w:hAnsi="Times New Roman" w:cs="Times New Roman"/>
        </w:rPr>
        <w:t>Granting the Motion to Strike would also be prejudicial because it would, in effect, give Vectren a “second bite at the apple” by allowing it to make a motion to strike that could have and should have been made during the hearing.</w:t>
      </w:r>
    </w:p>
    <w:p w:rsidR="00DE5F1A" w:rsidP="00CF43EB">
      <w:pPr>
        <w:pStyle w:val="Heading2"/>
      </w:pPr>
      <w:bookmarkStart w:id="7" w:name="_Toc5960308"/>
      <w:r>
        <w:t>D.</w:t>
      </w:r>
      <w:r>
        <w:tab/>
        <w:t>OCC Did Not Fail To Comply With The Requirements To Seek Reversal Of An Attorney Examiner’s Ruling.</w:t>
      </w:r>
      <w:bookmarkEnd w:id="7"/>
    </w:p>
    <w:p w:rsidR="00A8245D" w:rsidP="002A5BAA">
      <w:pPr>
        <w:spacing w:line="480" w:lineRule="auto"/>
        <w:ind w:firstLine="720"/>
        <w:rPr>
          <w:rFonts w:ascii="Times New Roman" w:hAnsi="Times New Roman" w:cs="Times New Roman"/>
        </w:rPr>
      </w:pPr>
      <w:r w:rsidRPr="002A5BAA">
        <w:rPr>
          <w:rFonts w:ascii="Times New Roman" w:hAnsi="Times New Roman" w:cs="Times New Roman"/>
        </w:rPr>
        <w:t xml:space="preserve">For the reasons described earlier, the PUCO </w:t>
      </w:r>
      <w:r w:rsidR="0064237D">
        <w:rPr>
          <w:rFonts w:ascii="Times New Roman" w:hAnsi="Times New Roman" w:cs="Times New Roman"/>
        </w:rPr>
        <w:t xml:space="preserve">should </w:t>
      </w:r>
      <w:r>
        <w:rPr>
          <w:rFonts w:ascii="Times New Roman" w:hAnsi="Times New Roman" w:cs="Times New Roman"/>
        </w:rPr>
        <w:t>reject Vectren’s Motion to Strike.  OCC’s Initial Brief relies on record evidence and makes recommendations based on that record evidence.</w:t>
      </w:r>
    </w:p>
    <w:p w:rsidR="00706E48" w:rsidP="002A5BAA">
      <w:pPr>
        <w:spacing w:line="480" w:lineRule="auto"/>
        <w:ind w:firstLine="720"/>
        <w:rPr>
          <w:rFonts w:ascii="Times New Roman" w:hAnsi="Times New Roman" w:cs="Times New Roman"/>
        </w:rPr>
      </w:pPr>
      <w:r>
        <w:rPr>
          <w:rFonts w:ascii="Times New Roman" w:hAnsi="Times New Roman" w:cs="Times New Roman"/>
        </w:rPr>
        <w:t xml:space="preserve">But </w:t>
      </w:r>
      <w:r w:rsidR="00BB7682">
        <w:rPr>
          <w:rFonts w:ascii="Times New Roman" w:hAnsi="Times New Roman" w:cs="Times New Roman"/>
        </w:rPr>
        <w:t xml:space="preserve">if the PUCO finds it necessary to revisit the Attorney Examiner’s rulings, which OCC recommends that it does, it now has an appropriate opportunity to do so.  As Vectren concedes, O.A.C. 4901-1-15(F) allows a party to “raise the propriety of [any oral ruling issued during a public hearing] . . . </w:t>
      </w:r>
      <w:r w:rsidRPr="002A5BAA" w:rsidR="00BB7682">
        <w:rPr>
          <w:rFonts w:ascii="Times New Roman" w:hAnsi="Times New Roman" w:cs="Times New Roman"/>
          <w:i/>
        </w:rPr>
        <w:t>in any other appropriate filing</w:t>
      </w:r>
      <w:r w:rsidR="00BB7682">
        <w:rPr>
          <w:rFonts w:ascii="Times New Roman" w:hAnsi="Times New Roman" w:cs="Times New Roman"/>
        </w:rPr>
        <w:t xml:space="preserve"> . . . .”</w:t>
      </w:r>
      <w:r>
        <w:rPr>
          <w:rStyle w:val="FootnoteReference"/>
          <w:rFonts w:ascii="Times New Roman" w:hAnsi="Times New Roman" w:cs="Times New Roman"/>
        </w:rPr>
        <w:footnoteReference w:id="35"/>
      </w:r>
      <w:r w:rsidR="00BB7682">
        <w:rPr>
          <w:rFonts w:ascii="Times New Roman" w:hAnsi="Times New Roman" w:cs="Times New Roman"/>
        </w:rPr>
        <w:t xml:space="preserve">  </w:t>
      </w:r>
      <w:r>
        <w:rPr>
          <w:rFonts w:ascii="Times New Roman" w:hAnsi="Times New Roman" w:cs="Times New Roman"/>
        </w:rPr>
        <w:t>Vectren</w:t>
      </w:r>
      <w:r w:rsidR="0064237D">
        <w:rPr>
          <w:rFonts w:ascii="Times New Roman" w:hAnsi="Times New Roman" w:cs="Times New Roman"/>
        </w:rPr>
        <w:t xml:space="preserve">, however, </w:t>
      </w:r>
      <w:r>
        <w:rPr>
          <w:rFonts w:ascii="Times New Roman" w:hAnsi="Times New Roman" w:cs="Times New Roman"/>
        </w:rPr>
        <w:t xml:space="preserve"> asserts that because “time is of the essence,” there is no appropriate filing for revisiting the Attorney Examiner’s rulings.</w:t>
      </w:r>
      <w:r>
        <w:rPr>
          <w:rStyle w:val="FootnoteReference"/>
          <w:rFonts w:ascii="Times New Roman" w:hAnsi="Times New Roman" w:cs="Times New Roman"/>
        </w:rPr>
        <w:footnoteReference w:id="36"/>
      </w:r>
      <w:r>
        <w:rPr>
          <w:rFonts w:ascii="Times New Roman" w:hAnsi="Times New Roman" w:cs="Times New Roman"/>
        </w:rPr>
        <w:t xml:space="preserve">  But Vectren concedes that OCC could have contested the Attorney Examiner’s rulings in its Initial Brief, and Vectren would have responded in its Reply</w:t>
      </w:r>
      <w:r w:rsidR="0064237D">
        <w:rPr>
          <w:rFonts w:ascii="Times New Roman" w:hAnsi="Times New Roman" w:cs="Times New Roman"/>
        </w:rPr>
        <w:t xml:space="preserve"> Brief</w:t>
      </w:r>
      <w:r>
        <w:rPr>
          <w:rFonts w:ascii="Times New Roman" w:hAnsi="Times New Roman" w:cs="Times New Roman"/>
        </w:rPr>
        <w:t>.</w:t>
      </w:r>
      <w:r>
        <w:rPr>
          <w:rStyle w:val="FootnoteReference"/>
          <w:rFonts w:ascii="Times New Roman" w:hAnsi="Times New Roman" w:cs="Times New Roman"/>
        </w:rPr>
        <w:footnoteReference w:id="37"/>
      </w:r>
    </w:p>
    <w:p w:rsidR="00706E48" w:rsidP="002A5BAA">
      <w:pPr>
        <w:spacing w:line="480" w:lineRule="auto"/>
        <w:ind w:firstLine="720"/>
        <w:rPr>
          <w:rFonts w:ascii="Times New Roman" w:hAnsi="Times New Roman" w:cs="Times New Roman"/>
        </w:rPr>
      </w:pPr>
      <w:r>
        <w:rPr>
          <w:rFonts w:ascii="Times New Roman" w:hAnsi="Times New Roman" w:cs="Times New Roman"/>
        </w:rPr>
        <w:t xml:space="preserve">That is </w:t>
      </w:r>
      <w:r w:rsidR="0064237D">
        <w:rPr>
          <w:rFonts w:ascii="Times New Roman" w:hAnsi="Times New Roman" w:cs="Times New Roman"/>
        </w:rPr>
        <w:t>essentially what is happening now</w:t>
      </w:r>
      <w:r w:rsidR="006220F0">
        <w:rPr>
          <w:rFonts w:ascii="Times New Roman" w:hAnsi="Times New Roman" w:cs="Times New Roman"/>
        </w:rPr>
        <w:t xml:space="preserve"> under the filing of Vectren’s </w:t>
      </w:r>
      <w:r w:rsidR="002C71CA">
        <w:rPr>
          <w:rFonts w:ascii="Times New Roman" w:hAnsi="Times New Roman" w:cs="Times New Roman"/>
        </w:rPr>
        <w:t>Motion to Strike</w:t>
      </w:r>
      <w:r>
        <w:rPr>
          <w:rFonts w:ascii="Times New Roman" w:hAnsi="Times New Roman" w:cs="Times New Roman"/>
        </w:rPr>
        <w:t xml:space="preserve">.  The propriety of the Attorney Examiner’s rulings is </w:t>
      </w:r>
      <w:r w:rsidR="006220F0">
        <w:rPr>
          <w:rFonts w:ascii="Times New Roman" w:hAnsi="Times New Roman" w:cs="Times New Roman"/>
        </w:rPr>
        <w:t xml:space="preserve">being addressed “in any other appropriate filing.”  The issues are </w:t>
      </w:r>
      <w:r>
        <w:rPr>
          <w:rFonts w:ascii="Times New Roman" w:hAnsi="Times New Roman" w:cs="Times New Roman"/>
        </w:rPr>
        <w:t>squarely before the PUCO as a result of OCC’s Initial Brief and Vectren’s Motion to Strike.  Vectren has the opportunity to address the rulings in its Reply.  It loses no time</w:t>
      </w:r>
      <w:r w:rsidR="002C71CA">
        <w:rPr>
          <w:rFonts w:ascii="Times New Roman" w:hAnsi="Times New Roman" w:cs="Times New Roman"/>
        </w:rPr>
        <w:t>,</w:t>
      </w:r>
      <w:r w:rsidR="006220F0">
        <w:rPr>
          <w:rFonts w:ascii="Times New Roman" w:hAnsi="Times New Roman" w:cs="Times New Roman"/>
        </w:rPr>
        <w:t xml:space="preserve"> </w:t>
      </w:r>
      <w:r>
        <w:rPr>
          <w:rFonts w:ascii="Times New Roman" w:hAnsi="Times New Roman" w:cs="Times New Roman"/>
        </w:rPr>
        <w:t xml:space="preserve">particularly given the Attorney Examiner’s ruling shortening </w:t>
      </w:r>
      <w:r w:rsidR="006220F0">
        <w:rPr>
          <w:rFonts w:ascii="Times New Roman" w:hAnsi="Times New Roman" w:cs="Times New Roman"/>
        </w:rPr>
        <w:t>(</w:t>
      </w:r>
      <w:r>
        <w:rPr>
          <w:rFonts w:ascii="Times New Roman" w:hAnsi="Times New Roman" w:cs="Times New Roman"/>
        </w:rPr>
        <w:t>to three days</w:t>
      </w:r>
      <w:r w:rsidR="006220F0">
        <w:rPr>
          <w:rFonts w:ascii="Times New Roman" w:hAnsi="Times New Roman" w:cs="Times New Roman"/>
        </w:rPr>
        <w:t>)</w:t>
      </w:r>
      <w:r w:rsidR="002C71CA">
        <w:rPr>
          <w:rFonts w:ascii="Times New Roman" w:hAnsi="Times New Roman" w:cs="Times New Roman"/>
        </w:rPr>
        <w:t xml:space="preserve"> </w:t>
      </w:r>
      <w:r>
        <w:rPr>
          <w:rFonts w:ascii="Times New Roman" w:hAnsi="Times New Roman" w:cs="Times New Roman"/>
        </w:rPr>
        <w:t xml:space="preserve">the response time to the Motion to Strike.  </w:t>
      </w:r>
    </w:p>
    <w:p w:rsidR="00B706C7" w:rsidP="00B706C7">
      <w:pPr>
        <w:spacing w:line="480" w:lineRule="auto"/>
        <w:ind w:firstLine="720"/>
        <w:rPr>
          <w:rFonts w:ascii="Times New Roman" w:hAnsi="Times New Roman" w:cs="Times New Roman"/>
        </w:rPr>
      </w:pPr>
      <w:r>
        <w:rPr>
          <w:rFonts w:ascii="Times New Roman" w:hAnsi="Times New Roman" w:cs="Times New Roman"/>
        </w:rPr>
        <w:t>The PUCO should revisit the Attorney Examiner’s ruling</w:t>
      </w:r>
      <w:r>
        <w:rPr>
          <w:rFonts w:ascii="Times New Roman" w:hAnsi="Times New Roman" w:cs="Times New Roman"/>
        </w:rPr>
        <w:t xml:space="preserve">.  </w:t>
      </w:r>
      <w:r w:rsidR="006220F0">
        <w:rPr>
          <w:rFonts w:ascii="Times New Roman" w:hAnsi="Times New Roman" w:cs="Times New Roman"/>
        </w:rPr>
        <w:t xml:space="preserve">The </w:t>
      </w:r>
      <w:r>
        <w:rPr>
          <w:rFonts w:ascii="Times New Roman" w:hAnsi="Times New Roman" w:cs="Times New Roman"/>
        </w:rPr>
        <w:t xml:space="preserve">PUCO has before it a settlement.  It is subject to a different standard – the three prong settlement test – than Vectren’s </w:t>
      </w:r>
      <w:r w:rsidR="002C71CA">
        <w:rPr>
          <w:rFonts w:ascii="Times New Roman" w:hAnsi="Times New Roman" w:cs="Times New Roman"/>
        </w:rPr>
        <w:t>A</w:t>
      </w:r>
      <w:r>
        <w:rPr>
          <w:rFonts w:ascii="Times New Roman" w:hAnsi="Times New Roman" w:cs="Times New Roman"/>
        </w:rPr>
        <w:t>pplication.</w:t>
      </w:r>
      <w:r>
        <w:rPr>
          <w:rStyle w:val="FootnoteReference"/>
          <w:rFonts w:ascii="Times New Roman" w:hAnsi="Times New Roman" w:cs="Times New Roman"/>
        </w:rPr>
        <w:footnoteReference w:id="38"/>
      </w:r>
      <w:r>
        <w:rPr>
          <w:rFonts w:ascii="Times New Roman" w:hAnsi="Times New Roman" w:cs="Times New Roman"/>
        </w:rPr>
        <w:t xml:space="preserve">  The scope of the hearing was governed by the settlement test, not </w:t>
      </w:r>
      <w:r w:rsidR="006220F0">
        <w:rPr>
          <w:rFonts w:ascii="Times New Roman" w:hAnsi="Times New Roman" w:cs="Times New Roman"/>
        </w:rPr>
        <w:t xml:space="preserve">by </w:t>
      </w:r>
      <w:r>
        <w:rPr>
          <w:rFonts w:ascii="Times New Roman" w:hAnsi="Times New Roman" w:cs="Times New Roman"/>
        </w:rPr>
        <w:t xml:space="preserve">Vectren’s </w:t>
      </w:r>
      <w:r w:rsidR="002C71CA">
        <w:rPr>
          <w:rFonts w:ascii="Times New Roman" w:hAnsi="Times New Roman" w:cs="Times New Roman"/>
        </w:rPr>
        <w:t>A</w:t>
      </w:r>
      <w:r>
        <w:rPr>
          <w:rFonts w:ascii="Times New Roman" w:hAnsi="Times New Roman" w:cs="Times New Roman"/>
        </w:rPr>
        <w:t>pplication.</w:t>
      </w:r>
      <w:r>
        <w:rPr>
          <w:rStyle w:val="FootnoteReference"/>
          <w:rFonts w:ascii="Times New Roman" w:hAnsi="Times New Roman" w:cs="Times New Roman"/>
        </w:rPr>
        <w:footnoteReference w:id="39"/>
      </w:r>
      <w:r>
        <w:rPr>
          <w:rFonts w:ascii="Times New Roman" w:hAnsi="Times New Roman" w:cs="Times New Roman"/>
        </w:rPr>
        <w:t xml:space="preserve">  So it was error for the Attorney Examiner to rule that </w:t>
      </w:r>
      <w:r w:rsidR="00B001DD">
        <w:rPr>
          <w:rFonts w:ascii="Times New Roman" w:hAnsi="Times New Roman" w:cs="Times New Roman"/>
        </w:rPr>
        <w:t xml:space="preserve">portions </w:t>
      </w:r>
      <w:r>
        <w:rPr>
          <w:rFonts w:ascii="Times New Roman" w:hAnsi="Times New Roman" w:cs="Times New Roman"/>
        </w:rPr>
        <w:t>Mr. Williams’ testimony should be stricken because OCC did not raise the issues</w:t>
      </w:r>
      <w:r w:rsidR="00D87134">
        <w:rPr>
          <w:rFonts w:ascii="Times New Roman" w:hAnsi="Times New Roman" w:cs="Times New Roman"/>
        </w:rPr>
        <w:t xml:space="preserve"> </w:t>
      </w:r>
      <w:r>
        <w:rPr>
          <w:rFonts w:ascii="Times New Roman" w:hAnsi="Times New Roman" w:cs="Times New Roman"/>
        </w:rPr>
        <w:t xml:space="preserve">in its objections to the PUCO Staff Report.  </w:t>
      </w:r>
      <w:r w:rsidR="006220F0">
        <w:rPr>
          <w:rFonts w:ascii="Times New Roman" w:hAnsi="Times New Roman" w:cs="Times New Roman"/>
        </w:rPr>
        <w:t xml:space="preserve">Instead, </w:t>
      </w:r>
      <w:r>
        <w:rPr>
          <w:rFonts w:ascii="Times New Roman" w:hAnsi="Times New Roman" w:cs="Times New Roman"/>
        </w:rPr>
        <w:t>Mr. Williams testified that the settlement was not in the public interest</w:t>
      </w:r>
      <w:r w:rsidRPr="00B706C7">
        <w:rPr>
          <w:rFonts w:ascii="Times New Roman" w:hAnsi="Times New Roman" w:cs="Times New Roman"/>
        </w:rPr>
        <w:t xml:space="preserve"> </w:t>
      </w:r>
      <w:r w:rsidR="006220F0">
        <w:rPr>
          <w:rFonts w:ascii="Times New Roman" w:hAnsi="Times New Roman" w:cs="Times New Roman"/>
        </w:rPr>
        <w:t xml:space="preserve">(under the second prong of the settlement test) </w:t>
      </w:r>
      <w:r>
        <w:rPr>
          <w:rFonts w:ascii="Times New Roman" w:hAnsi="Times New Roman" w:cs="Times New Roman"/>
        </w:rPr>
        <w:t xml:space="preserve">because it did </w:t>
      </w:r>
      <w:r w:rsidR="006220F0">
        <w:rPr>
          <w:rFonts w:ascii="Times New Roman" w:hAnsi="Times New Roman" w:cs="Times New Roman"/>
        </w:rPr>
        <w:t>not require</w:t>
      </w:r>
      <w:r>
        <w:rPr>
          <w:rFonts w:ascii="Times New Roman" w:hAnsi="Times New Roman" w:cs="Times New Roman"/>
        </w:rPr>
        <w:t xml:space="preserve"> Vectren to provide customers with information that would enable them to make informed shopping decisions – a price to compare and shadow billing.</w:t>
      </w:r>
      <w:r>
        <w:rPr>
          <w:rStyle w:val="FootnoteReference"/>
          <w:rFonts w:ascii="Times New Roman" w:hAnsi="Times New Roman" w:cs="Times New Roman"/>
        </w:rPr>
        <w:footnoteReference w:id="40"/>
      </w:r>
      <w:r>
        <w:rPr>
          <w:rFonts w:ascii="Times New Roman" w:hAnsi="Times New Roman" w:cs="Times New Roman"/>
        </w:rPr>
        <w:t xml:space="preserve">  </w:t>
      </w:r>
      <w:r w:rsidR="0072491F">
        <w:rPr>
          <w:rFonts w:ascii="Times New Roman" w:hAnsi="Times New Roman" w:cs="Times New Roman"/>
        </w:rPr>
        <w:t>This testimony was addressing new issues in the Settlement that were not in Vectren’s Application or the Staff Report.  Therefore, s</w:t>
      </w:r>
      <w:r>
        <w:rPr>
          <w:rFonts w:ascii="Times New Roman" w:hAnsi="Times New Roman" w:cs="Times New Roman"/>
        </w:rPr>
        <w:t>uch testimony fits squarely into the standard that governed the hearing – the three prong settlement test.</w:t>
      </w:r>
    </w:p>
    <w:p w:rsidR="000F0B53" w:rsidP="00B706C7">
      <w:pPr>
        <w:spacing w:line="480" w:lineRule="auto"/>
        <w:ind w:firstLine="720"/>
        <w:rPr>
          <w:rFonts w:ascii="Times New Roman" w:hAnsi="Times New Roman" w:cs="Times New Roman"/>
        </w:rPr>
      </w:pPr>
      <w:r>
        <w:rPr>
          <w:rFonts w:ascii="Times New Roman" w:hAnsi="Times New Roman" w:cs="Times New Roman"/>
        </w:rPr>
        <w:t xml:space="preserve">In fact, this </w:t>
      </w:r>
      <w:r>
        <w:rPr>
          <w:rFonts w:ascii="Times New Roman" w:hAnsi="Times New Roman" w:cs="Times New Roman"/>
        </w:rPr>
        <w:t xml:space="preserve">case </w:t>
      </w:r>
      <w:r>
        <w:rPr>
          <w:rFonts w:ascii="Times New Roman" w:hAnsi="Times New Roman" w:cs="Times New Roman"/>
        </w:rPr>
        <w:t xml:space="preserve">illustrates perfectly why parties contesting a settlement in a rate case cannot be, and should not be, </w:t>
      </w:r>
      <w:r>
        <w:rPr>
          <w:rFonts w:ascii="Times New Roman" w:hAnsi="Times New Roman" w:cs="Times New Roman"/>
        </w:rPr>
        <w:t>prohibited from offering testimony beyond their objections to the PUCO Staff Report.  Settlements</w:t>
      </w:r>
      <w:r w:rsidR="0072491F">
        <w:rPr>
          <w:rFonts w:ascii="Times New Roman" w:hAnsi="Times New Roman" w:cs="Times New Roman"/>
        </w:rPr>
        <w:t xml:space="preserve">, as the </w:t>
      </w:r>
      <w:r w:rsidR="002C71CA">
        <w:rPr>
          <w:rFonts w:ascii="Times New Roman" w:hAnsi="Times New Roman" w:cs="Times New Roman"/>
        </w:rPr>
        <w:t>s</w:t>
      </w:r>
      <w:r w:rsidR="0072491F">
        <w:rPr>
          <w:rFonts w:ascii="Times New Roman" w:hAnsi="Times New Roman" w:cs="Times New Roman"/>
        </w:rPr>
        <w:t>ettlement did in this case</w:t>
      </w:r>
      <w:r w:rsidR="00F432D2">
        <w:rPr>
          <w:rFonts w:ascii="Times New Roman" w:hAnsi="Times New Roman" w:cs="Times New Roman"/>
        </w:rPr>
        <w:t>,</w:t>
      </w:r>
      <w:r>
        <w:rPr>
          <w:rFonts w:ascii="Times New Roman" w:hAnsi="Times New Roman" w:cs="Times New Roman"/>
        </w:rPr>
        <w:t xml:space="preserve"> can contain provisions </w:t>
      </w:r>
      <w:r w:rsidR="006220F0">
        <w:rPr>
          <w:rFonts w:ascii="Times New Roman" w:hAnsi="Times New Roman" w:cs="Times New Roman"/>
        </w:rPr>
        <w:t xml:space="preserve">not raised in </w:t>
      </w:r>
      <w:r>
        <w:rPr>
          <w:rFonts w:ascii="Times New Roman" w:hAnsi="Times New Roman" w:cs="Times New Roman"/>
        </w:rPr>
        <w:t xml:space="preserve">a utility’s application.  The proposed settlement here did.  Various billing system matters (such as billing system enhancements) were part of the proposed settlement, but were nowhere raised in Vectren’s </w:t>
      </w:r>
      <w:r w:rsidR="002C71CA">
        <w:rPr>
          <w:rFonts w:ascii="Times New Roman" w:hAnsi="Times New Roman" w:cs="Times New Roman"/>
        </w:rPr>
        <w:t>A</w:t>
      </w:r>
      <w:r>
        <w:rPr>
          <w:rFonts w:ascii="Times New Roman" w:hAnsi="Times New Roman" w:cs="Times New Roman"/>
        </w:rPr>
        <w:t>pplication.</w:t>
      </w:r>
      <w:r>
        <w:rPr>
          <w:rStyle w:val="FootnoteReference"/>
          <w:rFonts w:ascii="Times New Roman" w:hAnsi="Times New Roman" w:cs="Times New Roman"/>
        </w:rPr>
        <w:footnoteReference w:id="41"/>
      </w:r>
      <w:r>
        <w:rPr>
          <w:rFonts w:ascii="Times New Roman" w:hAnsi="Times New Roman" w:cs="Times New Roman"/>
        </w:rPr>
        <w:t xml:space="preserve">  OCC could not possibly have raised any objections to issues in response to the PUCO Staff Report that were not part of </w:t>
      </w:r>
      <w:r w:rsidR="006220F0">
        <w:rPr>
          <w:rFonts w:ascii="Times New Roman" w:hAnsi="Times New Roman" w:cs="Times New Roman"/>
        </w:rPr>
        <w:t xml:space="preserve">either </w:t>
      </w:r>
      <w:r>
        <w:rPr>
          <w:rFonts w:ascii="Times New Roman" w:hAnsi="Times New Roman" w:cs="Times New Roman"/>
        </w:rPr>
        <w:t xml:space="preserve">Vectren’s application </w:t>
      </w:r>
      <w:r>
        <w:rPr>
          <w:rFonts w:ascii="Times New Roman" w:hAnsi="Times New Roman" w:cs="Times New Roman"/>
          <w:i/>
        </w:rPr>
        <w:t xml:space="preserve">or </w:t>
      </w:r>
      <w:r>
        <w:rPr>
          <w:rFonts w:ascii="Times New Roman" w:hAnsi="Times New Roman" w:cs="Times New Roman"/>
        </w:rPr>
        <w:t>the PUCO Staff Report.</w:t>
      </w:r>
    </w:p>
    <w:p w:rsidR="00B706C7" w:rsidP="002A5BAA">
      <w:pPr>
        <w:spacing w:line="480" w:lineRule="auto"/>
        <w:ind w:firstLine="720"/>
        <w:rPr>
          <w:rFonts w:ascii="Times New Roman" w:hAnsi="Times New Roman" w:cs="Times New Roman"/>
        </w:rPr>
      </w:pPr>
      <w:r>
        <w:rPr>
          <w:rFonts w:ascii="Times New Roman" w:hAnsi="Times New Roman" w:cs="Times New Roman"/>
        </w:rPr>
        <w:t>The Attorney Examiner’s rulings striking Mr. Williams’ testimony were wrong.  They should be reversed.</w:t>
      </w:r>
      <w:r>
        <w:rPr>
          <w:rStyle w:val="FootnoteReference"/>
          <w:rFonts w:ascii="Times New Roman" w:hAnsi="Times New Roman" w:cs="Times New Roman"/>
        </w:rPr>
        <w:footnoteReference w:id="42"/>
      </w:r>
      <w:r>
        <w:rPr>
          <w:rFonts w:ascii="Times New Roman" w:hAnsi="Times New Roman" w:cs="Times New Roman"/>
        </w:rPr>
        <w:t xml:space="preserve">  </w:t>
      </w:r>
    </w:p>
    <w:p w:rsidR="00CF43EB" w:rsidP="00CF43EB"/>
    <w:p w:rsidR="00FE273B" w:rsidRPr="006312D8" w:rsidP="00CF43EB">
      <w:pPr>
        <w:pStyle w:val="Heading1"/>
      </w:pPr>
      <w:bookmarkStart w:id="8" w:name="_Toc5960309"/>
      <w:r w:rsidRPr="006312D8">
        <w:t>IV.</w:t>
      </w:r>
      <w:r w:rsidRPr="006312D8">
        <w:tab/>
      </w:r>
      <w:r w:rsidRPr="00CF43EB">
        <w:t>CONCLUSION</w:t>
      </w:r>
      <w:bookmarkEnd w:id="8"/>
    </w:p>
    <w:p w:rsidR="00DE5F1A" w:rsidRPr="006312D8" w:rsidP="00DE5F1A">
      <w:pPr>
        <w:spacing w:line="480" w:lineRule="auto"/>
        <w:ind w:firstLine="720"/>
        <w:rPr>
          <w:rFonts w:ascii="Times New Roman" w:hAnsi="Times New Roman" w:cs="Times New Roman"/>
        </w:rPr>
      </w:pPr>
      <w:r w:rsidRPr="006312D8">
        <w:rPr>
          <w:rFonts w:ascii="Times New Roman" w:hAnsi="Times New Roman" w:cs="Times New Roman"/>
        </w:rPr>
        <w:t xml:space="preserve">In response to a settlement, OCC has made several consumer protection recommendations based on record evidence.  </w:t>
      </w:r>
      <w:r w:rsidR="006220F0">
        <w:rPr>
          <w:rFonts w:ascii="Times New Roman" w:hAnsi="Times New Roman" w:cs="Times New Roman"/>
        </w:rPr>
        <w:t xml:space="preserve">OCC’s recommendations were made in the context of reviewing the </w:t>
      </w:r>
      <w:r w:rsidR="002C71CA">
        <w:rPr>
          <w:rFonts w:ascii="Times New Roman" w:hAnsi="Times New Roman" w:cs="Times New Roman"/>
        </w:rPr>
        <w:t>s</w:t>
      </w:r>
      <w:r w:rsidR="006220F0">
        <w:rPr>
          <w:rFonts w:ascii="Times New Roman" w:hAnsi="Times New Roman" w:cs="Times New Roman"/>
        </w:rPr>
        <w:t xml:space="preserve">ettlement to determine if it was in the public interest. </w:t>
      </w:r>
      <w:r w:rsidRPr="006312D8">
        <w:rPr>
          <w:rFonts w:ascii="Times New Roman" w:hAnsi="Times New Roman" w:cs="Times New Roman"/>
        </w:rPr>
        <w:t xml:space="preserve">Vectren is asking that the PUCO not consider </w:t>
      </w:r>
      <w:r w:rsidR="006220F0">
        <w:rPr>
          <w:rFonts w:ascii="Times New Roman" w:hAnsi="Times New Roman" w:cs="Times New Roman"/>
        </w:rPr>
        <w:t>OCC’s recommendations when it is reviewing the settlement under the three prong test</w:t>
      </w:r>
      <w:r w:rsidR="00427FEA">
        <w:rPr>
          <w:rFonts w:ascii="Times New Roman" w:hAnsi="Times New Roman" w:cs="Times New Roman"/>
        </w:rPr>
        <w:t xml:space="preserve">.  But Vectren’s motion amounts to a late filed motion to strike additional OCC testimony and should be rejected. Additionally, the PUCO should overturn the Attorney Examiner’s faulty ruling that the permissible scope of testimony on a settlement should be limited to earlier </w:t>
      </w:r>
      <w:r w:rsidR="006220F0">
        <w:rPr>
          <w:rFonts w:ascii="Times New Roman" w:hAnsi="Times New Roman" w:cs="Times New Roman"/>
        </w:rPr>
        <w:t>objections made to a utility’s application</w:t>
      </w:r>
      <w:r w:rsidR="00427FEA">
        <w:rPr>
          <w:rFonts w:ascii="Times New Roman" w:hAnsi="Times New Roman" w:cs="Times New Roman"/>
        </w:rPr>
        <w:t xml:space="preserve"> that preceded the settlement.</w:t>
      </w:r>
      <w:r w:rsidR="002C71CA">
        <w:rPr>
          <w:rFonts w:ascii="Times New Roman" w:hAnsi="Times New Roman" w:cs="Times New Roman"/>
        </w:rPr>
        <w:t xml:space="preserve">  </w:t>
      </w:r>
      <w:r w:rsidRPr="006312D8">
        <w:rPr>
          <w:rFonts w:ascii="Times New Roman" w:hAnsi="Times New Roman" w:cs="Times New Roman"/>
        </w:rPr>
        <w:t>In the interests of consumers, the PUCO should decline Vectren’s request and consider OCC’s recommendations based on record evidence.</w:t>
      </w:r>
    </w:p>
    <w:p w:rsidR="00FE273B" w:rsidRPr="006312D8">
      <w:pPr>
        <w:tabs>
          <w:tab w:val="left" w:pos="-720"/>
          <w:tab w:val="left" w:pos="0"/>
        </w:tabs>
        <w:suppressAutoHyphens/>
        <w:spacing w:line="480" w:lineRule="auto"/>
        <w:rPr>
          <w:rFonts w:ascii="Times New Roman" w:hAnsi="Times New Roman" w:cs="Times New Roman"/>
        </w:rPr>
      </w:pPr>
      <w:r w:rsidRPr="006312D8">
        <w:rPr>
          <w:rFonts w:ascii="Times New Roman" w:hAnsi="Times New Roman" w:cs="Times New Roman"/>
        </w:rPr>
        <w:tab/>
      </w:r>
    </w:p>
    <w:p w:rsidR="00CF43EB" w:rsidP="006312D8">
      <w:pPr>
        <w:pStyle w:val="BodyTextIndent3"/>
        <w:widowControl w:val="0"/>
        <w:ind w:right="-672"/>
        <w:rPr>
          <w:rFonts w:ascii="Times New Roman" w:hAnsi="Times New Roman" w:cs="Times New Roman"/>
        </w:rPr>
        <w:sectPr w:rsidSect="00FE273B">
          <w:footerReference w:type="first" r:id="rId14"/>
          <w:pgSz w:w="12240" w:h="15840"/>
          <w:pgMar w:top="1440" w:right="1800" w:bottom="1440" w:left="1800" w:header="720" w:footer="432" w:gutter="0"/>
          <w:cols w:space="720"/>
          <w:titlePg/>
          <w:docGrid w:linePitch="360"/>
        </w:sectPr>
      </w:pP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rPr>
        <w:tab/>
      </w:r>
    </w:p>
    <w:p w:rsidR="006312D8" w:rsidRPr="006312D8" w:rsidP="006312D8">
      <w:pPr>
        <w:pStyle w:val="BodyTextIndent3"/>
        <w:widowControl w:val="0"/>
        <w:ind w:right="-67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12D8">
        <w:rPr>
          <w:rFonts w:ascii="Times New Roman" w:hAnsi="Times New Roman" w:cs="Times New Roman"/>
        </w:rPr>
        <w:t>Respectfully submitted,</w:t>
      </w:r>
    </w:p>
    <w:p w:rsidR="006312D8" w:rsidRPr="006312D8" w:rsidP="00CF43EB">
      <w:pPr>
        <w:pStyle w:val="Footer"/>
        <w:tabs>
          <w:tab w:val="clear" w:pos="4320"/>
          <w:tab w:val="clear" w:pos="8640"/>
        </w:tabs>
        <w:spacing w:before="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12D8">
        <w:rPr>
          <w:rFonts w:ascii="Times New Roman" w:hAnsi="Times New Roman" w:cs="Times New Roman"/>
        </w:rPr>
        <w:t>Bruce Weston (0016973)</w:t>
      </w:r>
    </w:p>
    <w:p w:rsidR="006312D8" w:rsidRPr="006312D8" w:rsidP="00CF43EB">
      <w:pPr>
        <w:ind w:left="2880" w:firstLine="720"/>
        <w:rPr>
          <w:rFonts w:ascii="Times New Roman" w:hAnsi="Times New Roman" w:cs="Times New Roman"/>
        </w:rPr>
      </w:pPr>
      <w:r w:rsidRPr="006312D8">
        <w:rPr>
          <w:rFonts w:ascii="Times New Roman" w:hAnsi="Times New Roman" w:cs="Times New Roman"/>
        </w:rPr>
        <w:t>Ohio Consumers’ Counsel</w:t>
      </w:r>
    </w:p>
    <w:p w:rsidR="006312D8" w:rsidRPr="006312D8" w:rsidP="006312D8">
      <w:pPr>
        <w:tabs>
          <w:tab w:val="left" w:pos="4320"/>
        </w:tabs>
        <w:rPr>
          <w:rFonts w:ascii="Times New Roman" w:hAnsi="Times New Roman" w:cs="Times New Roman"/>
        </w:rPr>
      </w:pPr>
      <w:r w:rsidRPr="006312D8">
        <w:rPr>
          <w:rFonts w:ascii="Times New Roman" w:hAnsi="Times New Roman" w:cs="Times New Roman"/>
        </w:rPr>
        <w:tab/>
      </w:r>
    </w:p>
    <w:p w:rsidR="006312D8" w:rsidRPr="006312D8" w:rsidP="00CF43EB">
      <w:pPr>
        <w:rPr>
          <w:rFonts w:ascii="Times New Roman" w:hAnsi="Times New Roman" w:cs="Times New Roman"/>
          <w:u w:val="single"/>
        </w:rPr>
      </w:pPr>
      <w:r w:rsidRPr="00CF43EB">
        <w:rPr>
          <w:rFonts w:ascii="Times New Roman" w:hAnsi="Times New Roman" w:cs="Times New Roman"/>
        </w:rPr>
        <w:tab/>
      </w:r>
      <w:r w:rsidRPr="00CF43EB">
        <w:rPr>
          <w:rFonts w:ascii="Times New Roman" w:hAnsi="Times New Roman" w:cs="Times New Roman"/>
        </w:rPr>
        <w:tab/>
      </w:r>
      <w:r w:rsidRPr="00CF43EB">
        <w:rPr>
          <w:rFonts w:ascii="Times New Roman" w:hAnsi="Times New Roman" w:cs="Times New Roman"/>
        </w:rPr>
        <w:tab/>
      </w:r>
      <w:r w:rsidRPr="00CF43EB">
        <w:rPr>
          <w:rFonts w:ascii="Times New Roman" w:hAnsi="Times New Roman" w:cs="Times New Roman"/>
        </w:rPr>
        <w:tab/>
      </w:r>
      <w:r w:rsidRPr="00CF43EB">
        <w:rPr>
          <w:rFonts w:ascii="Times New Roman" w:hAnsi="Times New Roman" w:cs="Times New Roman"/>
        </w:rPr>
        <w:tab/>
      </w:r>
      <w:r w:rsidRPr="006312D8">
        <w:rPr>
          <w:rFonts w:ascii="Times New Roman" w:hAnsi="Times New Roman" w:cs="Times New Roman"/>
          <w:u w:val="single"/>
        </w:rPr>
        <w:t>/s/ William J. Michael__</w:t>
      </w:r>
    </w:p>
    <w:p w:rsidR="006312D8" w:rsidRPr="006312D8" w:rsidP="00CF43E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12D8">
        <w:rPr>
          <w:rFonts w:ascii="Times New Roman" w:hAnsi="Times New Roman" w:cs="Times New Roman"/>
        </w:rPr>
        <w:t>William J. Michael (0070921)</w:t>
      </w:r>
    </w:p>
    <w:p w:rsidR="006312D8" w:rsidRPr="006312D8" w:rsidP="00CF43E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12D8">
        <w:rPr>
          <w:rFonts w:ascii="Times New Roman" w:hAnsi="Times New Roman" w:cs="Times New Roman"/>
        </w:rPr>
        <w:t>Counsel of Record</w:t>
      </w:r>
    </w:p>
    <w:p w:rsidR="006312D8" w:rsidRPr="006312D8" w:rsidP="00CF43EB">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6312D8">
        <w:rPr>
          <w:rFonts w:ascii="Times New Roman" w:eastAsia="Calibri" w:hAnsi="Times New Roman" w:cs="Times New Roman"/>
        </w:rPr>
        <w:t>Amy Botschner-O’Brien (0074423)</w:t>
      </w:r>
    </w:p>
    <w:p w:rsidR="006312D8" w:rsidRPr="006312D8" w:rsidP="00CF43EB">
      <w:pPr>
        <w:ind w:left="2880" w:firstLine="720"/>
        <w:rPr>
          <w:rFonts w:ascii="Times New Roman" w:eastAsia="Calibri" w:hAnsi="Times New Roman" w:cs="Times New Roman"/>
        </w:rPr>
      </w:pPr>
      <w:r w:rsidRPr="006312D8">
        <w:rPr>
          <w:rFonts w:ascii="Times New Roman" w:eastAsia="Calibri" w:hAnsi="Times New Roman" w:cs="Times New Roman"/>
        </w:rPr>
        <w:t>Assistant Consumers’ Counsel</w:t>
      </w:r>
    </w:p>
    <w:p w:rsidR="006312D8" w:rsidRPr="006312D8" w:rsidP="00CF43EB">
      <w:pPr>
        <w:ind w:left="2880" w:firstLine="720"/>
        <w:rPr>
          <w:rFonts w:ascii="Times New Roman" w:hAnsi="Times New Roman" w:cs="Times New Roman"/>
        </w:rPr>
      </w:pPr>
      <w:r w:rsidRPr="006312D8">
        <w:rPr>
          <w:rFonts w:ascii="Times New Roman" w:hAnsi="Times New Roman" w:cs="Times New Roman"/>
        </w:rPr>
        <w:t>Christopher Healey (0086027)</w:t>
      </w:r>
    </w:p>
    <w:p w:rsidR="006312D8" w:rsidRPr="006312D8" w:rsidP="00CF43EB">
      <w:pPr>
        <w:ind w:left="2880" w:firstLine="720"/>
        <w:rPr>
          <w:rFonts w:ascii="Times New Roman" w:hAnsi="Times New Roman" w:cs="Times New Roman"/>
        </w:rPr>
      </w:pPr>
      <w:r w:rsidRPr="006312D8">
        <w:rPr>
          <w:rFonts w:ascii="Times New Roman" w:hAnsi="Times New Roman" w:cs="Times New Roman"/>
        </w:rPr>
        <w:t>Assistant Consumers’ Counsel</w:t>
      </w:r>
    </w:p>
    <w:p w:rsidR="006312D8" w:rsidRPr="006312D8" w:rsidP="00CF43EB">
      <w:pPr>
        <w:ind w:left="2880" w:firstLine="720"/>
        <w:rPr>
          <w:rFonts w:ascii="Times New Roman" w:hAnsi="Times New Roman" w:cs="Times New Roman"/>
        </w:rPr>
      </w:pPr>
      <w:r w:rsidRPr="006312D8">
        <w:rPr>
          <w:rFonts w:ascii="Times New Roman" w:hAnsi="Times New Roman" w:cs="Times New Roman"/>
        </w:rPr>
        <w:t>Angela O’Brien (0097579)</w:t>
      </w:r>
    </w:p>
    <w:p w:rsidR="006312D8" w:rsidRPr="006312D8" w:rsidP="00CF43EB">
      <w:pPr>
        <w:ind w:left="2880" w:firstLine="720"/>
        <w:rPr>
          <w:rFonts w:ascii="Times New Roman" w:hAnsi="Times New Roman" w:cs="Times New Roman"/>
        </w:rPr>
      </w:pPr>
      <w:r w:rsidRPr="006312D8">
        <w:rPr>
          <w:rFonts w:ascii="Times New Roman" w:hAnsi="Times New Roman" w:cs="Times New Roman"/>
        </w:rPr>
        <w:t>Assistant Consumers’ Counsel</w:t>
      </w:r>
    </w:p>
    <w:p w:rsidR="006312D8" w:rsidRPr="006312D8" w:rsidP="006312D8">
      <w:pPr>
        <w:tabs>
          <w:tab w:val="left" w:pos="4320"/>
        </w:tabs>
        <w:ind w:left="4320"/>
        <w:rPr>
          <w:rFonts w:ascii="Times New Roman" w:eastAsia="Calibri" w:hAnsi="Times New Roman" w:cs="Times New Roman"/>
        </w:rPr>
      </w:pPr>
    </w:p>
    <w:p w:rsidR="006312D8" w:rsidRPr="006312D8" w:rsidP="00CF43EB">
      <w:pPr>
        <w:rPr>
          <w:rFonts w:ascii="Times New Roman" w:hAnsi="Times New Roman" w:cs="Times New Roman"/>
          <w:b/>
        </w:rPr>
      </w:pPr>
      <w:r w:rsidRPr="006312D8">
        <w:rPr>
          <w:rFonts w:ascii="Times New Roman" w:hAnsi="Times New Roman" w:cs="Times New Roman"/>
        </w:rPr>
        <w:tab/>
      </w:r>
      <w:r w:rsidR="00CF43EB">
        <w:rPr>
          <w:rFonts w:ascii="Times New Roman" w:hAnsi="Times New Roman" w:cs="Times New Roman"/>
        </w:rPr>
        <w:tab/>
      </w:r>
      <w:r w:rsidR="00CF43EB">
        <w:rPr>
          <w:rFonts w:ascii="Times New Roman" w:hAnsi="Times New Roman" w:cs="Times New Roman"/>
        </w:rPr>
        <w:tab/>
      </w:r>
      <w:r w:rsidR="00CF43EB">
        <w:rPr>
          <w:rFonts w:ascii="Times New Roman" w:hAnsi="Times New Roman" w:cs="Times New Roman"/>
        </w:rPr>
        <w:tab/>
      </w:r>
      <w:r w:rsidR="00CF43EB">
        <w:rPr>
          <w:rFonts w:ascii="Times New Roman" w:hAnsi="Times New Roman" w:cs="Times New Roman"/>
        </w:rPr>
        <w:tab/>
      </w:r>
      <w:r w:rsidRPr="006312D8">
        <w:rPr>
          <w:rFonts w:ascii="Times New Roman" w:hAnsi="Times New Roman" w:cs="Times New Roman"/>
          <w:b/>
        </w:rPr>
        <w:t>Office of the Ohio Consumers’ Counsel</w:t>
      </w:r>
    </w:p>
    <w:p w:rsidR="006312D8" w:rsidRPr="006312D8" w:rsidP="006312D8">
      <w:pPr>
        <w:rPr>
          <w:rFonts w:ascii="Times New Roman" w:hAnsi="Times New Roman" w:cs="Times New Roman"/>
        </w:rPr>
      </w:pPr>
      <w:r w:rsidRPr="006312D8">
        <w:rPr>
          <w:rFonts w:ascii="Times New Roman" w:hAnsi="Times New Roman" w:cs="Times New Roman"/>
          <w:b/>
        </w:rPr>
        <w:tab/>
      </w:r>
      <w:r w:rsidRPr="006312D8">
        <w:rPr>
          <w:rFonts w:ascii="Times New Roman" w:hAnsi="Times New Roman" w:cs="Times New Roman"/>
          <w:b/>
        </w:rPr>
        <w:tab/>
      </w:r>
      <w:r w:rsidRPr="006312D8">
        <w:rPr>
          <w:rFonts w:ascii="Times New Roman" w:hAnsi="Times New Roman" w:cs="Times New Roman"/>
          <w:b/>
        </w:rPr>
        <w:tab/>
      </w:r>
      <w:r w:rsidRPr="006312D8">
        <w:rPr>
          <w:rFonts w:ascii="Times New Roman" w:hAnsi="Times New Roman" w:cs="Times New Roman"/>
          <w:b/>
        </w:rPr>
        <w:tab/>
      </w:r>
      <w:r w:rsidRPr="006312D8">
        <w:rPr>
          <w:rFonts w:ascii="Times New Roman" w:hAnsi="Times New Roman" w:cs="Times New Roman"/>
          <w:b/>
        </w:rPr>
        <w:tab/>
      </w:r>
      <w:r w:rsidRPr="006312D8">
        <w:rPr>
          <w:rFonts w:ascii="Times New Roman" w:hAnsi="Times New Roman" w:cs="Times New Roman"/>
        </w:rPr>
        <w:t>65 East State Street, 7</w:t>
      </w:r>
      <w:r w:rsidRPr="006312D8">
        <w:rPr>
          <w:rFonts w:ascii="Times New Roman" w:hAnsi="Times New Roman" w:cs="Times New Roman"/>
          <w:vertAlign w:val="superscript"/>
        </w:rPr>
        <w:t>th</w:t>
      </w:r>
      <w:r w:rsidRPr="006312D8">
        <w:rPr>
          <w:rFonts w:ascii="Times New Roman" w:hAnsi="Times New Roman" w:cs="Times New Roman"/>
        </w:rPr>
        <w:t xml:space="preserve"> Floor</w:t>
      </w:r>
    </w:p>
    <w:p w:rsidR="006312D8" w:rsidRPr="006312D8" w:rsidP="006312D8">
      <w:pPr>
        <w:rPr>
          <w:rFonts w:ascii="Times New Roman" w:hAnsi="Times New Roman" w:cs="Times New Roman"/>
        </w:rPr>
      </w:pP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rPr>
        <w:tab/>
        <w:t>Columbus, Ohio 43215-4213</w:t>
      </w:r>
    </w:p>
    <w:p w:rsidR="006312D8" w:rsidRPr="006312D8" w:rsidP="00CF43EB">
      <w:pPr>
        <w:autoSpaceDE w:val="0"/>
        <w:autoSpaceDN w:val="0"/>
        <w:adjustRightInd w:val="0"/>
        <w:ind w:left="2880" w:firstLine="720"/>
        <w:rPr>
          <w:rFonts w:ascii="Times New Roman" w:hAnsi="Times New Roman" w:cs="Times New Roman"/>
        </w:rPr>
      </w:pPr>
      <w:r w:rsidRPr="006312D8">
        <w:rPr>
          <w:rFonts w:ascii="Times New Roman" w:hAnsi="Times New Roman" w:cs="Times New Roman"/>
        </w:rPr>
        <w:t>Telephone: [Michael] 614-466-1291</w:t>
      </w:r>
    </w:p>
    <w:p w:rsidR="006312D8" w:rsidRPr="006312D8" w:rsidP="00CF43EB">
      <w:pPr>
        <w:ind w:left="3600"/>
        <w:rPr>
          <w:rFonts w:ascii="Times New Roman" w:hAnsi="Times New Roman" w:cs="Times New Roman"/>
        </w:rPr>
      </w:pPr>
      <w:r w:rsidRPr="006312D8">
        <w:rPr>
          <w:rFonts w:ascii="Times New Roman" w:hAnsi="Times New Roman" w:cs="Times New Roman"/>
        </w:rPr>
        <w:t>Telephone: [Botschner O’Brien] (614) 466-9575</w:t>
      </w:r>
    </w:p>
    <w:p w:rsidR="006312D8" w:rsidRPr="006312D8" w:rsidP="00CF43EB">
      <w:pPr>
        <w:autoSpaceDE w:val="0"/>
        <w:autoSpaceDN w:val="0"/>
        <w:adjustRightInd w:val="0"/>
        <w:ind w:left="2880" w:firstLine="720"/>
        <w:rPr>
          <w:rFonts w:ascii="Times New Roman" w:hAnsi="Times New Roman" w:cs="Times New Roman"/>
        </w:rPr>
      </w:pPr>
      <w:r w:rsidRPr="006312D8">
        <w:rPr>
          <w:rFonts w:ascii="Times New Roman" w:hAnsi="Times New Roman" w:cs="Times New Roman"/>
        </w:rPr>
        <w:t>Telephone: [Healey] 614-466-9571</w:t>
      </w:r>
    </w:p>
    <w:p w:rsidR="006312D8" w:rsidRPr="006312D8" w:rsidP="00CF43EB">
      <w:pPr>
        <w:autoSpaceDE w:val="0"/>
        <w:autoSpaceDN w:val="0"/>
        <w:adjustRightInd w:val="0"/>
        <w:ind w:left="2880" w:firstLine="720"/>
        <w:rPr>
          <w:rFonts w:ascii="Times New Roman" w:hAnsi="Times New Roman" w:cs="Times New Roman"/>
        </w:rPr>
      </w:pPr>
      <w:r w:rsidRPr="006312D8">
        <w:rPr>
          <w:rFonts w:ascii="Times New Roman" w:hAnsi="Times New Roman" w:cs="Times New Roman"/>
        </w:rPr>
        <w:t>Telephone: [O’Brien] 614-466-9531</w:t>
      </w:r>
    </w:p>
    <w:p w:rsidR="006312D8" w:rsidRPr="006312D8" w:rsidP="00CF43EB">
      <w:pPr>
        <w:ind w:left="2880" w:firstLine="720"/>
        <w:rPr>
          <w:rFonts w:ascii="Times New Roman" w:hAnsi="Times New Roman" w:cs="Times New Roman"/>
        </w:rPr>
      </w:pPr>
      <w:r w:rsidRPr="006312D8">
        <w:rPr>
          <w:rFonts w:ascii="Times New Roman" w:hAnsi="Times New Roman" w:cs="Times New Roman"/>
        </w:rPr>
        <w:t>william.michael@occ.ohio.gov</w:t>
      </w:r>
    </w:p>
    <w:p w:rsidR="006312D8" w:rsidRPr="006312D8" w:rsidP="00CF43EB">
      <w:pPr>
        <w:ind w:left="2880" w:firstLine="720"/>
        <w:rPr>
          <w:rFonts w:ascii="Times New Roman" w:hAnsi="Times New Roman" w:cs="Times New Roman"/>
        </w:rPr>
      </w:pPr>
      <w:r w:rsidRPr="006312D8">
        <w:rPr>
          <w:rFonts w:ascii="Times New Roman" w:hAnsi="Times New Roman" w:cs="Times New Roman"/>
        </w:rPr>
        <w:t>amy.botschner.obrien@occ.ohio.gov</w:t>
      </w:r>
    </w:p>
    <w:p w:rsidR="006312D8" w:rsidRPr="006312D8" w:rsidP="00CF43EB">
      <w:pPr>
        <w:ind w:left="2880" w:firstLine="720"/>
        <w:rPr>
          <w:rFonts w:ascii="Times New Roman" w:hAnsi="Times New Roman" w:cs="Times New Roman"/>
        </w:rPr>
      </w:pPr>
      <w:r w:rsidRPr="006312D8">
        <w:rPr>
          <w:rFonts w:ascii="Times New Roman" w:hAnsi="Times New Roman" w:cs="Times New Roman"/>
        </w:rPr>
        <w:t xml:space="preserve">christopher.healey@occ.ohio.gov </w:t>
      </w:r>
    </w:p>
    <w:p w:rsidR="006312D8" w:rsidRPr="006312D8" w:rsidP="00CF43EB">
      <w:pPr>
        <w:ind w:left="2880" w:firstLine="720"/>
        <w:rPr>
          <w:rStyle w:val="Hyperlink"/>
          <w:rFonts w:ascii="Times New Roman" w:hAnsi="Times New Roman" w:cs="Times New Roman"/>
          <w:color w:val="auto"/>
          <w:u w:val="none"/>
        </w:rPr>
      </w:pPr>
      <w:r w:rsidRPr="006312D8">
        <w:rPr>
          <w:rStyle w:val="Hyperlink"/>
          <w:rFonts w:ascii="Times New Roman" w:hAnsi="Times New Roman" w:cs="Times New Roman"/>
          <w:color w:val="auto"/>
          <w:u w:val="none"/>
        </w:rPr>
        <w:t>angela.obrien@occ.ohio.gov</w:t>
      </w:r>
    </w:p>
    <w:p w:rsidR="00FE273B" w:rsidRPr="006312D8" w:rsidP="00CF43EB">
      <w:pPr>
        <w:spacing w:line="480" w:lineRule="auto"/>
        <w:ind w:left="3600"/>
        <w:rPr>
          <w:rFonts w:ascii="Times New Roman" w:hAnsi="Times New Roman" w:cs="Times New Roman"/>
          <w:b/>
          <w:bCs/>
          <w:u w:val="single"/>
        </w:rPr>
        <w:sectPr w:rsidSect="00FE273B">
          <w:pgSz w:w="12240" w:h="15840"/>
          <w:pgMar w:top="1440" w:right="1800" w:bottom="1440" w:left="1800" w:header="720" w:footer="432" w:gutter="0"/>
          <w:cols w:space="720"/>
          <w:titlePg/>
          <w:docGrid w:linePitch="360"/>
        </w:sectPr>
      </w:pPr>
      <w:r w:rsidRPr="006312D8">
        <w:rPr>
          <w:rFonts w:ascii="Times New Roman" w:hAnsi="Times New Roman" w:cs="Times New Roman"/>
        </w:rPr>
        <w:t>(will accept service via email)</w:t>
      </w:r>
    </w:p>
    <w:p w:rsidR="00FE273B" w:rsidRPr="006312D8">
      <w:pPr>
        <w:jc w:val="center"/>
        <w:rPr>
          <w:rFonts w:ascii="Times New Roman" w:hAnsi="Times New Roman" w:cs="Times New Roman"/>
          <w:b/>
          <w:bCs/>
          <w:u w:val="single"/>
        </w:rPr>
      </w:pPr>
      <w:r w:rsidRPr="006312D8">
        <w:rPr>
          <w:rFonts w:ascii="Times New Roman" w:hAnsi="Times New Roman" w:cs="Times New Roman"/>
          <w:b/>
          <w:bCs/>
          <w:u w:val="single"/>
        </w:rPr>
        <w:t>CERTIFICATE OF SERVICE</w:t>
      </w:r>
    </w:p>
    <w:p w:rsidR="00FE273B" w:rsidRPr="006312D8">
      <w:pPr>
        <w:pStyle w:val="EndnoteText"/>
        <w:widowControl/>
        <w:tabs>
          <w:tab w:val="left" w:pos="-720"/>
        </w:tabs>
        <w:suppressAutoHyphens/>
        <w:rPr>
          <w:rFonts w:ascii="Times New Roman" w:hAnsi="Times New Roman"/>
          <w:spacing w:val="-3"/>
          <w:szCs w:val="24"/>
        </w:rPr>
      </w:pPr>
    </w:p>
    <w:p w:rsidR="00FE273B" w:rsidRPr="006312D8">
      <w:pPr>
        <w:tabs>
          <w:tab w:val="left" w:pos="-720"/>
        </w:tabs>
        <w:suppressAutoHyphens/>
        <w:spacing w:line="480" w:lineRule="auto"/>
        <w:rPr>
          <w:rFonts w:ascii="Times New Roman" w:hAnsi="Times New Roman" w:cs="Times New Roman"/>
        </w:rPr>
      </w:pPr>
      <w:r w:rsidRPr="006312D8">
        <w:rPr>
          <w:rFonts w:ascii="Times New Roman" w:hAnsi="Times New Roman" w:cs="Times New Roman"/>
          <w:b/>
          <w:bCs/>
        </w:rPr>
        <w:tab/>
      </w:r>
      <w:r w:rsidRPr="006312D8">
        <w:rPr>
          <w:rFonts w:ascii="Times New Roman" w:hAnsi="Times New Roman" w:cs="Times New Roman"/>
        </w:rPr>
        <w:t xml:space="preserve">It is hereby certified that a true copy of the foregoing </w:t>
      </w:r>
      <w:r w:rsidRPr="006312D8">
        <w:rPr>
          <w:rFonts w:ascii="Times New Roman" w:hAnsi="Times New Roman" w:cs="Times New Roman"/>
          <w:i/>
          <w:iCs/>
        </w:rPr>
        <w:t xml:space="preserve">Motion to Strike </w:t>
      </w:r>
      <w:r w:rsidRPr="006312D8">
        <w:rPr>
          <w:rFonts w:ascii="Times New Roman" w:hAnsi="Times New Roman" w:cs="Times New Roman"/>
        </w:rPr>
        <w:t xml:space="preserve">was served by electronic transmission upon the parties below this </w:t>
      </w:r>
      <w:r w:rsidR="002C71CA">
        <w:rPr>
          <w:rFonts w:ascii="Times New Roman" w:hAnsi="Times New Roman" w:cs="Times New Roman"/>
        </w:rPr>
        <w:t>12th</w:t>
      </w:r>
      <w:r w:rsidRPr="006312D8">
        <w:rPr>
          <w:rFonts w:ascii="Times New Roman" w:hAnsi="Times New Roman" w:cs="Times New Roman"/>
        </w:rPr>
        <w:t xml:space="preserve"> day of </w:t>
      </w:r>
      <w:r w:rsidRPr="006312D8" w:rsidR="00DE5F1A">
        <w:rPr>
          <w:rFonts w:ascii="Times New Roman" w:hAnsi="Times New Roman" w:cs="Times New Roman"/>
        </w:rPr>
        <w:t>April 2019</w:t>
      </w:r>
      <w:r w:rsidRPr="006312D8">
        <w:rPr>
          <w:rFonts w:ascii="Times New Roman" w:hAnsi="Times New Roman" w:cs="Times New Roman"/>
        </w:rPr>
        <w:t>.</w:t>
      </w:r>
    </w:p>
    <w:p w:rsidR="00FE273B" w:rsidRPr="006312D8">
      <w:pPr>
        <w:pStyle w:val="EndnoteText"/>
        <w:widowControl/>
        <w:rPr>
          <w:rFonts w:ascii="Times New Roman" w:hAnsi="Times New Roman"/>
          <w:snapToGrid/>
          <w:szCs w:val="24"/>
        </w:rPr>
      </w:pPr>
    </w:p>
    <w:p w:rsidR="006312D8" w:rsidRPr="006312D8" w:rsidP="006312D8">
      <w:pPr>
        <w:autoSpaceDE w:val="0"/>
        <w:autoSpaceDN w:val="0"/>
        <w:adjustRightInd w:val="0"/>
        <w:rPr>
          <w:rFonts w:ascii="Times New Roman" w:hAnsi="Times New Roman" w:cs="Times New Roman"/>
          <w:i/>
          <w:color w:val="000000"/>
          <w:u w:val="single"/>
        </w:rPr>
      </w:pP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rPr>
        <w:tab/>
      </w:r>
      <w:r w:rsidRPr="006312D8">
        <w:rPr>
          <w:rFonts w:ascii="Times New Roman" w:hAnsi="Times New Roman" w:cs="Times New Roman"/>
          <w:i/>
          <w:color w:val="000000"/>
          <w:u w:val="single"/>
        </w:rPr>
        <w:t>/s/ William J. Michael___</w:t>
      </w:r>
    </w:p>
    <w:p w:rsidR="006312D8" w:rsidRPr="006312D8" w:rsidP="006312D8">
      <w:pPr>
        <w:autoSpaceDE w:val="0"/>
        <w:autoSpaceDN w:val="0"/>
        <w:adjustRightInd w:val="0"/>
        <w:rPr>
          <w:rFonts w:ascii="Times New Roman" w:hAnsi="Times New Roman" w:cs="Times New Roman"/>
          <w:color w:val="000000"/>
        </w:rPr>
      </w:pPr>
      <w:r w:rsidRPr="006312D8">
        <w:rPr>
          <w:rFonts w:ascii="Times New Roman" w:hAnsi="Times New Roman" w:cs="Times New Roman"/>
          <w:color w:val="000000"/>
        </w:rPr>
        <w:tab/>
      </w:r>
      <w:r w:rsidRPr="006312D8">
        <w:rPr>
          <w:rFonts w:ascii="Times New Roman" w:hAnsi="Times New Roman" w:cs="Times New Roman"/>
          <w:color w:val="000000"/>
        </w:rPr>
        <w:tab/>
      </w:r>
      <w:r w:rsidRPr="006312D8">
        <w:rPr>
          <w:rFonts w:ascii="Times New Roman" w:hAnsi="Times New Roman" w:cs="Times New Roman"/>
          <w:color w:val="000000"/>
        </w:rPr>
        <w:tab/>
      </w:r>
      <w:r w:rsidRPr="006312D8">
        <w:rPr>
          <w:rFonts w:ascii="Times New Roman" w:hAnsi="Times New Roman" w:cs="Times New Roman"/>
          <w:color w:val="000000"/>
        </w:rPr>
        <w:tab/>
      </w:r>
      <w:r w:rsidRPr="006312D8">
        <w:rPr>
          <w:rFonts w:ascii="Times New Roman" w:hAnsi="Times New Roman" w:cs="Times New Roman"/>
          <w:color w:val="000000"/>
        </w:rPr>
        <w:tab/>
      </w:r>
      <w:r w:rsidRPr="006312D8">
        <w:rPr>
          <w:rFonts w:ascii="Times New Roman" w:hAnsi="Times New Roman" w:cs="Times New Roman"/>
          <w:color w:val="000000"/>
        </w:rPr>
        <w:tab/>
        <w:t>William J. Michael</w:t>
      </w:r>
    </w:p>
    <w:p w:rsidR="006312D8" w:rsidRPr="006312D8" w:rsidP="006312D8">
      <w:pPr>
        <w:autoSpaceDE w:val="0"/>
        <w:autoSpaceDN w:val="0"/>
        <w:adjustRightInd w:val="0"/>
        <w:rPr>
          <w:rFonts w:ascii="Times New Roman" w:hAnsi="Times New Roman" w:cs="Times New Roman"/>
          <w:color w:val="000000"/>
        </w:rPr>
      </w:pPr>
      <w:r w:rsidRPr="006312D8">
        <w:rPr>
          <w:rFonts w:ascii="Times New Roman" w:hAnsi="Times New Roman" w:cs="Times New Roman"/>
          <w:color w:val="000000"/>
        </w:rPr>
        <w:tab/>
      </w:r>
      <w:r w:rsidRPr="006312D8">
        <w:rPr>
          <w:rFonts w:ascii="Times New Roman" w:hAnsi="Times New Roman" w:cs="Times New Roman"/>
          <w:color w:val="000000"/>
        </w:rPr>
        <w:tab/>
      </w:r>
      <w:r w:rsidRPr="006312D8">
        <w:rPr>
          <w:rFonts w:ascii="Times New Roman" w:hAnsi="Times New Roman" w:cs="Times New Roman"/>
          <w:color w:val="000000"/>
        </w:rPr>
        <w:tab/>
      </w:r>
      <w:r w:rsidRPr="006312D8">
        <w:rPr>
          <w:rFonts w:ascii="Times New Roman" w:hAnsi="Times New Roman" w:cs="Times New Roman"/>
          <w:color w:val="000000"/>
        </w:rPr>
        <w:tab/>
      </w:r>
      <w:r w:rsidRPr="006312D8">
        <w:rPr>
          <w:rFonts w:ascii="Times New Roman" w:hAnsi="Times New Roman" w:cs="Times New Roman"/>
          <w:color w:val="000000"/>
        </w:rPr>
        <w:tab/>
      </w:r>
      <w:r w:rsidRPr="006312D8">
        <w:rPr>
          <w:rFonts w:ascii="Times New Roman" w:hAnsi="Times New Roman" w:cs="Times New Roman"/>
          <w:color w:val="000000"/>
        </w:rPr>
        <w:tab/>
        <w:t>Assistant Consumers’ Counsel</w:t>
      </w:r>
    </w:p>
    <w:p w:rsidR="00FE273B" w:rsidRPr="006312D8" w:rsidP="006312D8">
      <w:pPr>
        <w:pStyle w:val="EndnoteText"/>
        <w:widowControl/>
        <w:rPr>
          <w:rFonts w:ascii="Times New Roman" w:hAnsi="Times New Roman"/>
          <w:b/>
          <w:bCs/>
          <w:snapToGrid/>
          <w:szCs w:val="24"/>
        </w:rPr>
      </w:pPr>
    </w:p>
    <w:p w:rsidR="00FE273B" w:rsidRPr="006312D8">
      <w:pPr>
        <w:tabs>
          <w:tab w:val="left" w:pos="4320"/>
        </w:tabs>
        <w:jc w:val="center"/>
        <w:rPr>
          <w:rFonts w:ascii="Times New Roman" w:hAnsi="Times New Roman" w:cs="Times New Roman"/>
          <w:b/>
          <w:u w:val="single"/>
        </w:rPr>
      </w:pPr>
    </w:p>
    <w:p w:rsidR="00FE273B" w:rsidRPr="006312D8" w:rsidP="00FE273B">
      <w:pPr>
        <w:spacing w:line="480" w:lineRule="auto"/>
        <w:jc w:val="center"/>
        <w:rPr>
          <w:rFonts w:ascii="Times New Roman" w:hAnsi="Times New Roman" w:cs="Times New Roman"/>
          <w:b/>
          <w:u w:val="single"/>
        </w:rPr>
      </w:pPr>
      <w:r w:rsidRPr="006312D8">
        <w:rPr>
          <w:rFonts w:ascii="Times New Roman" w:hAnsi="Times New Roman" w:cs="Times New Roman"/>
          <w:b/>
          <w:u w:val="single"/>
        </w:rPr>
        <w:t>SERVICE LIST</w:t>
      </w:r>
    </w:p>
    <w:tbl>
      <w:tblPr>
        <w:tblW w:w="0" w:type="auto"/>
        <w:tblInd w:w="0" w:type="dxa"/>
        <w:tblCellMar>
          <w:top w:w="0" w:type="dxa"/>
          <w:left w:w="108" w:type="dxa"/>
          <w:bottom w:w="0" w:type="dxa"/>
          <w:right w:w="108" w:type="dxa"/>
        </w:tblCellMar>
        <w:tblLook w:val="04A0"/>
      </w:tblPr>
      <w:tblGrid>
        <w:gridCol w:w="4541"/>
        <w:gridCol w:w="4099"/>
      </w:tblGrid>
      <w:tr w:rsidTr="006312D8">
        <w:tblPrEx>
          <w:tblW w:w="0" w:type="auto"/>
          <w:tblInd w:w="0" w:type="dxa"/>
          <w:tblCellMar>
            <w:top w:w="0" w:type="dxa"/>
            <w:left w:w="108" w:type="dxa"/>
            <w:bottom w:w="0" w:type="dxa"/>
            <w:right w:w="108" w:type="dxa"/>
          </w:tblCellMar>
          <w:tblLook w:val="04A0"/>
        </w:tblPrEx>
        <w:tc>
          <w:tcPr>
            <w:tcW w:w="4675" w:type="dxa"/>
            <w:shd w:val="clear" w:color="auto" w:fill="auto"/>
          </w:tcPr>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bookmarkStart w:id="9" w:name="_Hlk529364579"/>
            <w:r w:rsidRPr="006312D8">
              <w:rPr>
                <w:rFonts w:ascii="Times New Roman" w:hAnsi="Times New Roman" w:cs="Times New Roman"/>
                <w:sz w:val="24"/>
                <w:szCs w:val="24"/>
                <w:lang w:val="en-US" w:eastAsia="en-US" w:bidi="ar-SA"/>
              </w:rPr>
              <w:t>werner.margard@ohioattorneygeneral.gov</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mjsettineri@vorys.com</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 xml:space="preserve">glpetrucci@vorys.com </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joliker@igsenergy.com</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mnugent@igsenergy.com</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slesser@calfee.com</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mkeaney@calfee.com</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talexander@calfee.com</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2"/>
                <w:szCs w:val="24"/>
                <w:lang w:val="en-US" w:eastAsia="en-US" w:bidi="ar-SA"/>
              </w:rPr>
              <w:t>tony</w:t>
            </w:r>
            <w:r w:rsidRPr="006312D8">
              <w:rPr>
                <w:rFonts w:ascii="Times New Roman" w:hAnsi="Times New Roman" w:cs="Times New Roman"/>
                <w:sz w:val="22"/>
                <w:szCs w:val="24"/>
                <w:lang w:val="en-US" w:eastAsia="en-US" w:bidi="ar-SA"/>
              </w:rPr>
              <w:softHyphen/>
              <w:t>_long@hna.honda.com</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mfleisher@elpc.org</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cmooney@ohiopartners.org</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Attorney Examiner:</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Gregory.price@puc.state.oh.us</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 xml:space="preserve">patricia.schabo@puc.state.oh.us </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p>
          <w:p w:rsidR="006312D8" w:rsidRPr="006312D8" w:rsidP="00FE273B">
            <w:pPr>
              <w:rPr>
                <w:rStyle w:val="DefaultParagraphFont"/>
                <w:rFonts w:ascii="Times New Roman" w:hAnsi="Times New Roman" w:cs="Times New Roman"/>
                <w:sz w:val="24"/>
                <w:szCs w:val="24"/>
                <w:lang w:val="en-US" w:eastAsia="en-US" w:bidi="ar-SA"/>
              </w:rPr>
            </w:pPr>
          </w:p>
        </w:tc>
        <w:tc>
          <w:tcPr>
            <w:tcW w:w="4675" w:type="dxa"/>
            <w:shd w:val="clear" w:color="auto" w:fill="auto"/>
          </w:tcPr>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kennedy@whitt-sturtevant.com</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 xml:space="preserve">whitt@whitt-sturtevant.com </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 xml:space="preserve">rust@whitt-sturtevant.com </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kennedy@whitt-sturtevant.com</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 xml:space="preserve">fdarr@mcneeslaw.com </w:t>
            </w:r>
          </w:p>
          <w:p w:rsidR="006312D8" w:rsidRPr="006312D8" w:rsidP="006312D8">
            <w:pPr>
              <w:tabs>
                <w:tab w:val="left" w:pos="960"/>
              </w:tabs>
              <w:rPr>
                <w:rStyle w:val="Hyperlink"/>
                <w:rFonts w:ascii="Times New Roman" w:hAnsi="Times New Roman" w:cs="Times New Roman"/>
                <w:iCs/>
                <w:color w:val="0000FF"/>
                <w:sz w:val="24"/>
                <w:szCs w:val="24"/>
                <w:u w:val="single"/>
                <w:lang w:val="en-US" w:eastAsia="en-US" w:bidi="ar-SA"/>
              </w:rPr>
            </w:pPr>
            <w:r w:rsidRPr="006312D8">
              <w:rPr>
                <w:rFonts w:ascii="Times New Roman" w:hAnsi="Times New Roman" w:cs="Times New Roman"/>
                <w:iCs/>
                <w:sz w:val="24"/>
                <w:szCs w:val="24"/>
                <w:lang w:val="en-US" w:eastAsia="en-US" w:bidi="ar-SA"/>
              </w:rPr>
              <w:t>mpritchard@mcneeslaw.com</w:t>
            </w:r>
          </w:p>
          <w:p w:rsidR="006312D8" w:rsidRPr="006312D8" w:rsidP="006312D8">
            <w:pPr>
              <w:autoSpaceDE w:val="0"/>
              <w:autoSpaceDN w:val="0"/>
              <w:adjustRightInd w:val="0"/>
              <w:rPr>
                <w:rStyle w:val="DefaultParagraphFont"/>
                <w:rFonts w:ascii="Times New Roman" w:hAnsi="Times New Roman" w:cs="Times New Roman"/>
                <w:sz w:val="24"/>
                <w:szCs w:val="24"/>
                <w:lang w:val="en-US" w:eastAsia="en-US" w:bidi="ar-SA"/>
              </w:rPr>
            </w:pPr>
            <w:r w:rsidRPr="006312D8">
              <w:rPr>
                <w:rFonts w:ascii="Times New Roman" w:hAnsi="Times New Roman" w:cs="Times New Roman"/>
                <w:sz w:val="24"/>
                <w:szCs w:val="24"/>
                <w:lang w:val="en-US" w:eastAsia="en-US" w:bidi="ar-SA"/>
              </w:rPr>
              <w:t>jstephenson@vectren.com</w:t>
            </w:r>
          </w:p>
          <w:p w:rsidR="006312D8" w:rsidRPr="006312D8" w:rsidP="006312D8">
            <w:pPr>
              <w:tabs>
                <w:tab w:val="left" w:pos="960"/>
              </w:tabs>
              <w:rPr>
                <w:rStyle w:val="DefaultParagraphFont"/>
                <w:rFonts w:ascii="Times New Roman" w:hAnsi="Times New Roman" w:cs="Times New Roman"/>
                <w:iCs/>
                <w:sz w:val="24"/>
                <w:szCs w:val="20"/>
                <w:lang w:val="en-US" w:eastAsia="en-US" w:bidi="ar-SA"/>
              </w:rPr>
            </w:pPr>
            <w:r w:rsidRPr="006312D8">
              <w:rPr>
                <w:rFonts w:ascii="Times New Roman" w:hAnsi="Times New Roman" w:cs="Times New Roman"/>
                <w:iCs/>
                <w:sz w:val="24"/>
                <w:szCs w:val="24"/>
                <w:lang w:val="en-US" w:eastAsia="en-US" w:bidi="ar-SA"/>
              </w:rPr>
              <w:t>Thomas.jernigan.3@us.af.mil</w:t>
            </w:r>
          </w:p>
          <w:p w:rsidR="006312D8" w:rsidRPr="006312D8" w:rsidP="006312D8">
            <w:pPr>
              <w:tabs>
                <w:tab w:val="left" w:pos="960"/>
              </w:tabs>
              <w:rPr>
                <w:rStyle w:val="DefaultParagraphFont"/>
                <w:rFonts w:ascii="Times New Roman" w:hAnsi="Times New Roman" w:cs="Times New Roman"/>
                <w:iCs/>
                <w:sz w:val="24"/>
                <w:szCs w:val="20"/>
                <w:lang w:val="en-US" w:eastAsia="en-US" w:bidi="ar-SA"/>
              </w:rPr>
            </w:pPr>
            <w:r w:rsidRPr="006312D8">
              <w:rPr>
                <w:rFonts w:ascii="Times New Roman" w:hAnsi="Times New Roman" w:cs="Times New Roman"/>
                <w:iCs/>
                <w:sz w:val="24"/>
                <w:szCs w:val="24"/>
                <w:lang w:val="en-US" w:eastAsia="en-US" w:bidi="ar-SA"/>
              </w:rPr>
              <w:t>Andrew.unsicker@us.af.mil</w:t>
            </w:r>
          </w:p>
          <w:p w:rsidR="006312D8" w:rsidRPr="006312D8" w:rsidP="006312D8">
            <w:pPr>
              <w:tabs>
                <w:tab w:val="left" w:pos="960"/>
              </w:tabs>
              <w:rPr>
                <w:rStyle w:val="DefaultParagraphFont"/>
                <w:rFonts w:ascii="Times New Roman" w:hAnsi="Times New Roman" w:cs="Times New Roman"/>
                <w:sz w:val="24"/>
                <w:szCs w:val="24"/>
                <w:lang w:val="en-US" w:eastAsia="en-US" w:bidi="ar-SA"/>
              </w:rPr>
            </w:pPr>
          </w:p>
        </w:tc>
      </w:tr>
    </w:tbl>
    <w:p w:rsidR="00FE273B" w:rsidRPr="006312D8" w:rsidP="00FE273B">
      <w:pPr>
        <w:jc w:val="both"/>
        <w:rPr>
          <w:rFonts w:ascii="Times New Roman" w:hAnsi="Times New Roman" w:cs="Times New Roman"/>
          <w:b/>
          <w:bCs/>
        </w:rPr>
      </w:pPr>
      <w:bookmarkEnd w:id="9"/>
    </w:p>
    <w:sectPr>
      <w:footerReference w:type="first" r:id="rId15"/>
      <w:pgSz w:w="12240" w:h="15840"/>
      <w:pgMar w:top="1440" w:right="1800" w:bottom="1440" w:left="1800" w:header="720" w:footer="432"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73617218"/>
      <w:docPartObj>
        <w:docPartGallery w:val="Page Numbers (Bottom of Page)"/>
        <w:docPartUnique/>
      </w:docPartObj>
    </w:sdtPr>
    <w:sdtEndPr>
      <w:rPr>
        <w:rFonts w:asciiTheme="majorBidi" w:hAnsiTheme="majorBidi" w:cstheme="majorBidi"/>
        <w:noProof/>
      </w:rPr>
    </w:sdtEndPr>
    <w:sdtContent>
      <w:p w:rsidR="00CF43EB" w:rsidRPr="00CF43EB">
        <w:pPr>
          <w:pStyle w:val="Footer"/>
          <w:jc w:val="center"/>
          <w:rPr>
            <w:rFonts w:asciiTheme="majorBidi" w:hAnsiTheme="majorBidi" w:cstheme="majorBidi"/>
          </w:rPr>
        </w:pPr>
        <w:r w:rsidRPr="00CF43EB">
          <w:rPr>
            <w:rFonts w:asciiTheme="majorBidi" w:hAnsiTheme="majorBidi" w:cstheme="majorBidi"/>
          </w:rPr>
          <w:fldChar w:fldCharType="begin"/>
        </w:r>
        <w:r w:rsidRPr="00CF43EB">
          <w:rPr>
            <w:rFonts w:asciiTheme="majorBidi" w:hAnsiTheme="majorBidi" w:cstheme="majorBidi"/>
          </w:rPr>
          <w:instrText xml:space="preserve"> PAGE   \* MERGEFORMAT </w:instrText>
        </w:r>
        <w:r w:rsidRPr="00CF43EB">
          <w:rPr>
            <w:rFonts w:asciiTheme="majorBidi" w:hAnsiTheme="majorBidi" w:cstheme="majorBidi"/>
          </w:rPr>
          <w:fldChar w:fldCharType="separate"/>
        </w:r>
        <w:r w:rsidRPr="00CF43EB">
          <w:rPr>
            <w:rFonts w:asciiTheme="majorBidi" w:hAnsiTheme="majorBidi" w:cstheme="majorBidi"/>
            <w:noProof/>
          </w:rPr>
          <w:t>2</w:t>
        </w:r>
        <w:r w:rsidRPr="00CF43EB">
          <w:rPr>
            <w:rFonts w:asciiTheme="majorBidi" w:hAnsiTheme="majorBidi" w:cstheme="majorBid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2B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8592584"/>
      <w:docPartObj>
        <w:docPartGallery w:val="Page Numbers (Bottom of Page)"/>
        <w:docPartUnique/>
      </w:docPartObj>
    </w:sdtPr>
    <w:sdtEndPr>
      <w:rPr>
        <w:rFonts w:asciiTheme="majorBidi" w:hAnsiTheme="majorBidi" w:cstheme="majorBidi"/>
        <w:noProof/>
      </w:rPr>
    </w:sdtEndPr>
    <w:sdtContent>
      <w:p w:rsidR="008A6EC8" w:rsidRPr="008A6EC8">
        <w:pPr>
          <w:pStyle w:val="Footer"/>
          <w:jc w:val="center"/>
          <w:rPr>
            <w:rFonts w:asciiTheme="majorBidi" w:hAnsiTheme="majorBidi" w:cstheme="majorBidi"/>
          </w:rPr>
        </w:pPr>
        <w:r w:rsidRPr="008A6EC8">
          <w:rPr>
            <w:rFonts w:asciiTheme="majorBidi" w:hAnsiTheme="majorBidi" w:cstheme="majorBidi"/>
          </w:rPr>
          <w:fldChar w:fldCharType="begin"/>
        </w:r>
        <w:r w:rsidRPr="008A6EC8">
          <w:rPr>
            <w:rFonts w:asciiTheme="majorBidi" w:hAnsiTheme="majorBidi" w:cstheme="majorBidi"/>
          </w:rPr>
          <w:instrText xml:space="preserve"> PAGE   \* MERGEFORMAT </w:instrText>
        </w:r>
        <w:r w:rsidRPr="008A6EC8">
          <w:rPr>
            <w:rFonts w:asciiTheme="majorBidi" w:hAnsiTheme="majorBidi" w:cstheme="majorBidi"/>
          </w:rPr>
          <w:fldChar w:fldCharType="separate"/>
        </w:r>
        <w:r w:rsidRPr="008A6EC8">
          <w:rPr>
            <w:rFonts w:asciiTheme="majorBidi" w:hAnsiTheme="majorBidi" w:cstheme="majorBidi"/>
            <w:noProof/>
          </w:rPr>
          <w:t>11</w:t>
        </w:r>
        <w:r w:rsidRPr="008A6EC8">
          <w:rPr>
            <w:rFonts w:asciiTheme="majorBidi" w:hAnsiTheme="majorBidi" w:cstheme="majorBidi"/>
            <w:noProof/>
          </w:rPr>
          <w:fldChar w:fldCharType="end"/>
        </w:r>
      </w:p>
    </w:sdtContent>
  </w:sdt>
  <w:p w:rsidR="008A6EC8" w:rsidRPr="00CF43EB">
    <w:pPr>
      <w:pStyle w:val="Footer"/>
      <w:jc w:val="center"/>
      <w:rPr>
        <w:rFonts w:asciiTheme="majorBidi" w:hAnsiTheme="majorBidi" w:cstheme="majorBid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9029726"/>
      <w:docPartObj>
        <w:docPartGallery w:val="Page Numbers (Bottom of Page)"/>
        <w:docPartUnique/>
      </w:docPartObj>
    </w:sdtPr>
    <w:sdtEndPr>
      <w:rPr>
        <w:rFonts w:asciiTheme="majorBidi" w:hAnsiTheme="majorBidi" w:cstheme="majorBidi"/>
        <w:noProof/>
      </w:rPr>
    </w:sdtEndPr>
    <w:sdtContent>
      <w:p w:rsidR="008A6EC8" w:rsidRPr="008A6EC8">
        <w:pPr>
          <w:pStyle w:val="Footer"/>
          <w:jc w:val="center"/>
          <w:rPr>
            <w:rFonts w:asciiTheme="majorBidi" w:hAnsiTheme="majorBidi" w:cstheme="majorBidi"/>
          </w:rPr>
        </w:pPr>
        <w:r w:rsidRPr="008A6EC8">
          <w:rPr>
            <w:rFonts w:asciiTheme="majorBidi" w:hAnsiTheme="majorBidi" w:cstheme="majorBidi"/>
          </w:rPr>
          <w:fldChar w:fldCharType="begin"/>
        </w:r>
        <w:r w:rsidRPr="008A6EC8">
          <w:rPr>
            <w:rFonts w:asciiTheme="majorBidi" w:hAnsiTheme="majorBidi" w:cstheme="majorBidi"/>
          </w:rPr>
          <w:instrText xml:space="preserve"> PAGE   \* MERGEFORMAT </w:instrText>
        </w:r>
        <w:r w:rsidRPr="008A6EC8">
          <w:rPr>
            <w:rFonts w:asciiTheme="majorBidi" w:hAnsiTheme="majorBidi" w:cstheme="majorBidi"/>
          </w:rPr>
          <w:fldChar w:fldCharType="separate"/>
        </w:r>
        <w:r w:rsidRPr="008A6EC8">
          <w:rPr>
            <w:rFonts w:asciiTheme="majorBidi" w:hAnsiTheme="majorBidi" w:cstheme="majorBidi"/>
            <w:noProof/>
          </w:rPr>
          <w:t>i</w:t>
        </w:r>
        <w:r w:rsidRPr="008A6EC8">
          <w:rPr>
            <w:rFonts w:asciiTheme="majorBidi" w:hAnsiTheme="majorBidi" w:cstheme="majorBidi"/>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3128667"/>
      <w:docPartObj>
        <w:docPartGallery w:val="Page Numbers (Bottom of Page)"/>
        <w:docPartUnique/>
      </w:docPartObj>
    </w:sdtPr>
    <w:sdtEndPr>
      <w:rPr>
        <w:rFonts w:asciiTheme="majorBidi" w:hAnsiTheme="majorBidi" w:cstheme="majorBidi"/>
        <w:noProof/>
      </w:rPr>
    </w:sdtEndPr>
    <w:sdtContent>
      <w:p w:rsidR="008A6EC8" w:rsidRPr="008A6EC8">
        <w:pPr>
          <w:pStyle w:val="Footer"/>
          <w:jc w:val="center"/>
          <w:rPr>
            <w:rFonts w:asciiTheme="majorBidi" w:hAnsiTheme="majorBidi" w:cstheme="majorBidi"/>
          </w:rPr>
        </w:pPr>
        <w:r w:rsidRPr="008A6EC8">
          <w:rPr>
            <w:rFonts w:asciiTheme="majorBidi" w:hAnsiTheme="majorBidi" w:cstheme="majorBidi"/>
          </w:rPr>
          <w:fldChar w:fldCharType="begin"/>
        </w:r>
        <w:r w:rsidRPr="008A6EC8">
          <w:rPr>
            <w:rFonts w:asciiTheme="majorBidi" w:hAnsiTheme="majorBidi" w:cstheme="majorBidi"/>
          </w:rPr>
          <w:instrText xml:space="preserve"> PAGE   \* MERGEFORMAT </w:instrText>
        </w:r>
        <w:r w:rsidRPr="008A6EC8">
          <w:rPr>
            <w:rFonts w:asciiTheme="majorBidi" w:hAnsiTheme="majorBidi" w:cstheme="majorBidi"/>
          </w:rPr>
          <w:fldChar w:fldCharType="separate"/>
        </w:r>
        <w:r w:rsidRPr="008A6EC8">
          <w:rPr>
            <w:rFonts w:asciiTheme="majorBidi" w:hAnsiTheme="majorBidi" w:cstheme="majorBidi"/>
            <w:noProof/>
          </w:rPr>
          <w:t>1</w:t>
        </w:r>
        <w:r w:rsidRPr="008A6EC8">
          <w:rPr>
            <w:rFonts w:asciiTheme="majorBidi" w:hAnsiTheme="majorBidi" w:cstheme="majorBidi"/>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2D8" w:rsidRPr="006312D8">
    <w:pPr>
      <w:pStyle w:val="Footer"/>
      <w:jc w:val="center"/>
      <w:rPr>
        <w:rFonts w:ascii="Times New Roman" w:hAnsi="Times New Roman" w:cs="Times New Roman"/>
      </w:rPr>
    </w:pPr>
    <w:r w:rsidRPr="006312D8">
      <w:rPr>
        <w:rFonts w:ascii="Times New Roman" w:hAnsi="Times New Roman" w:cs="Times New Roman"/>
      </w:rPr>
      <w:fldChar w:fldCharType="begin"/>
    </w:r>
    <w:r w:rsidRPr="006312D8">
      <w:rPr>
        <w:rFonts w:ascii="Times New Roman" w:hAnsi="Times New Roman" w:cs="Times New Roman"/>
      </w:rPr>
      <w:instrText xml:space="preserve"> PAGE   \* MERGEFORMAT </w:instrText>
    </w:r>
    <w:r w:rsidRPr="006312D8">
      <w:rPr>
        <w:rFonts w:ascii="Times New Roman" w:hAnsi="Times New Roman" w:cs="Times New Roman"/>
      </w:rPr>
      <w:fldChar w:fldCharType="separate"/>
    </w:r>
    <w:r w:rsidRPr="006312D8">
      <w:rPr>
        <w:rFonts w:ascii="Times New Roman" w:hAnsi="Times New Roman" w:cs="Times New Roman"/>
        <w:noProof/>
      </w:rPr>
      <w:t>12</w:t>
    </w:r>
    <w:r w:rsidRPr="006312D8">
      <w:rPr>
        <w:rFonts w:ascii="Times New Roman" w:hAnsi="Times New Roman" w:cs="Times New Roman"/>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41FE">
      <w:r>
        <w:separator/>
      </w:r>
    </w:p>
  </w:footnote>
  <w:footnote w:type="continuationSeparator" w:id="1">
    <w:p w:rsidR="005D41FE">
      <w:r>
        <w:continuationSeparator/>
      </w:r>
    </w:p>
  </w:footnote>
  <w:footnote w:id="2">
    <w:p w:rsidR="0030688D"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Docket.</w:t>
      </w:r>
    </w:p>
  </w:footnote>
  <w:footnote w:id="3">
    <w:p w:rsidR="0030688D" w:rsidRPr="00CF43EB" w:rsidP="00CF43EB">
      <w:pPr>
        <w:pStyle w:val="FootnoteText"/>
        <w:spacing w:after="120"/>
        <w:rPr>
          <w:rFonts w:asciiTheme="majorBidi" w:hAnsiTheme="majorBidi" w:cstheme="majorBidi"/>
          <w: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See id.</w:t>
      </w:r>
    </w:p>
  </w:footnote>
  <w:footnote w:id="4">
    <w:p w:rsidR="0030688D" w:rsidRPr="00CF43EB" w:rsidP="00CF43EB">
      <w:pPr>
        <w:pStyle w:val="FootnoteText"/>
        <w:spacing w:after="120"/>
        <w:rPr>
          <w:rFonts w:asciiTheme="majorBidi" w:hAnsiTheme="majorBidi" w:cstheme="majorBidi"/>
          <w: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See id.</w:t>
      </w:r>
    </w:p>
  </w:footnote>
  <w:footnote w:id="5">
    <w:p w:rsidR="0030688D" w:rsidRPr="00CF43EB" w:rsidP="00CF43EB">
      <w:pPr>
        <w:pStyle w:val="FootnoteText"/>
        <w:spacing w:after="120"/>
        <w:rPr>
          <w:rFonts w:asciiTheme="majorBidi" w:hAnsiTheme="majorBidi" w:cstheme="majorBidi"/>
          <w: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See id.</w:t>
      </w:r>
    </w:p>
  </w:footnote>
  <w:footnote w:id="6">
    <w:p w:rsidR="0030688D"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See, e.g.,</w:t>
      </w:r>
      <w:r w:rsidRPr="00CF43EB" w:rsidR="00AE7960">
        <w:rPr>
          <w:rFonts w:asciiTheme="majorBidi" w:hAnsiTheme="majorBidi" w:cstheme="majorBidi"/>
          <w:i/>
        </w:rPr>
        <w:t xml:space="preserve"> </w:t>
      </w:r>
      <w:r w:rsidRPr="00CF43EB" w:rsidR="00AE7960">
        <w:rPr>
          <w:rFonts w:asciiTheme="majorBidi" w:hAnsiTheme="majorBidi" w:cstheme="majorBidi"/>
        </w:rPr>
        <w:t xml:space="preserve">Vectren’s Initial Brief at 5 (citing </w:t>
      </w:r>
      <w:r w:rsidRPr="00CF43EB" w:rsidR="00AE7960">
        <w:rPr>
          <w:rFonts w:asciiTheme="majorBidi" w:hAnsiTheme="majorBidi" w:cstheme="majorBidi"/>
          <w:i/>
        </w:rPr>
        <w:t>In re Ohio Edison Co.</w:t>
      </w:r>
      <w:r w:rsidRPr="00CF43EB" w:rsidR="00AE7960">
        <w:rPr>
          <w:rFonts w:asciiTheme="majorBidi" w:hAnsiTheme="majorBidi" w:cstheme="majorBidi"/>
        </w:rPr>
        <w:t>, 146 Ohio St. 3d 222 (2016).</w:t>
      </w:r>
    </w:p>
  </w:footnote>
  <w:footnote w:id="7">
    <w:p w:rsidR="00AE7960"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Docket.</w:t>
      </w:r>
    </w:p>
  </w:footnote>
  <w:footnote w:id="8">
    <w:p w:rsidR="00055566"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Docket.</w:t>
      </w:r>
    </w:p>
  </w:footnote>
  <w:footnote w:id="9">
    <w:p w:rsidR="00AE7960"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Hearing Transcript, Vol. IV at 226-241.</w:t>
      </w:r>
    </w:p>
  </w:footnote>
  <w:footnote w:id="10">
    <w:p w:rsidR="00AE7960" w:rsidRPr="00CF43EB" w:rsidP="00CF43EB">
      <w:pPr>
        <w:pStyle w:val="FootnoteText"/>
        <w:spacing w:after="120"/>
        <w:rPr>
          <w:rFonts w:asciiTheme="majorBidi" w:hAnsiTheme="majorBidi" w:cstheme="majorBidi"/>
          <w: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See id.</w:t>
      </w:r>
    </w:p>
  </w:footnote>
  <w:footnote w:id="11">
    <w:p w:rsidR="00D76656"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e.g, id. </w:t>
      </w:r>
      <w:r w:rsidRPr="00CF43EB">
        <w:rPr>
          <w:rFonts w:asciiTheme="majorBidi" w:hAnsiTheme="majorBidi" w:cstheme="majorBidi"/>
        </w:rPr>
        <w:t>at 230-31.</w:t>
      </w:r>
    </w:p>
  </w:footnote>
  <w:footnote w:id="12">
    <w:p w:rsidR="00D76656" w:rsidRPr="00CF43EB" w:rsidP="00CF43EB">
      <w:pPr>
        <w:pStyle w:val="FootnoteText"/>
        <w:spacing w:after="120"/>
        <w:rPr>
          <w:rFonts w:asciiTheme="majorBidi" w:hAnsiTheme="majorBidi" w:cstheme="majorBidi"/>
          <w: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See, e.g., id.</w:t>
      </w:r>
    </w:p>
  </w:footnote>
  <w:footnote w:id="13">
    <w:p w:rsidR="00055566"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Hearing Transcript, Vol. IV at 226-241 (discussing OCC Witness Williams’ Supplemental Direct Testimony at 12-13; 15).</w:t>
      </w:r>
    </w:p>
  </w:footnote>
  <w:footnote w:id="14">
    <w:p w:rsidR="00D76656"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Docket.</w:t>
      </w:r>
    </w:p>
  </w:footnote>
  <w:footnote w:id="15">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id. </w:t>
      </w:r>
      <w:r w:rsidRPr="00CF43EB">
        <w:rPr>
          <w:rFonts w:asciiTheme="majorBidi" w:hAnsiTheme="majorBidi" w:cstheme="majorBidi"/>
        </w:rPr>
        <w:t>at Attachment A (April 5, 2019 email from M. Pritchard to W. Michael).</w:t>
      </w:r>
    </w:p>
  </w:footnote>
  <w:footnote w:id="16">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 xml:space="preserve">April 8, 2019 Letter from W. Michael filed in the docket.  Vectren’s characterization that OCC attempted to “rewrite” its Initial Brief is simply wrong.  </w:t>
      </w:r>
      <w:r w:rsidRPr="00CF43EB">
        <w:rPr>
          <w:rFonts w:asciiTheme="majorBidi" w:hAnsiTheme="majorBidi" w:cstheme="majorBidi"/>
          <w:i/>
        </w:rPr>
        <w:t xml:space="preserve">See </w:t>
      </w:r>
      <w:r w:rsidRPr="00CF43EB">
        <w:rPr>
          <w:rFonts w:asciiTheme="majorBidi" w:hAnsiTheme="majorBidi" w:cstheme="majorBidi"/>
        </w:rPr>
        <w:t xml:space="preserve">Motion to Strike at 8-9.  First, OCC was simply responding in good-faith to Vectren’s request.  Second, it is worth noting that in a thirty-page brief, OCC’s inadvertent error amounted to two benign sentences, deleting four words, and changing a citation from one page to another.  </w:t>
      </w:r>
    </w:p>
  </w:footnote>
  <w:footnote w:id="17">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Motion to Strike at 9, footnote 13.</w:t>
      </w:r>
    </w:p>
  </w:footnote>
  <w:footnote w:id="18">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On this score, the PUCO should note that not less than three different attorneys experienced in PUCO proceedings representing sophisticated clients weighed-in favorably on the motions to strike made during hearing.  </w:t>
      </w:r>
      <w:r w:rsidRPr="00CF43EB">
        <w:rPr>
          <w:rFonts w:asciiTheme="majorBidi" w:hAnsiTheme="majorBidi" w:cstheme="majorBidi"/>
          <w:i/>
        </w:rPr>
        <w:t xml:space="preserve">See </w:t>
      </w:r>
      <w:r w:rsidRPr="00CF43EB">
        <w:rPr>
          <w:rFonts w:asciiTheme="majorBidi" w:hAnsiTheme="majorBidi" w:cstheme="majorBidi"/>
        </w:rPr>
        <w:t xml:space="preserve">Hearing Transcript, Vol. IV at 226-241.  Vectren’s Motion to Strike essentially says that OCC should have extended the Attorney Examiner’s ruling at hearing to strike certain testimony to include additional testimony that was neither stricken nor made the subject of a motion to strike.   </w:t>
      </w:r>
    </w:p>
  </w:footnote>
  <w:footnote w:id="19">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e.g., id. </w:t>
      </w:r>
      <w:r w:rsidRPr="00CF43EB">
        <w:rPr>
          <w:rFonts w:asciiTheme="majorBidi" w:hAnsiTheme="majorBidi" w:cstheme="majorBidi"/>
        </w:rPr>
        <w:t xml:space="preserve">at 5 (acknowledging that OCC modified its Initial Brief and asserting that “OCC still seeks to include the improper </w:t>
      </w:r>
      <w:r w:rsidRPr="00CF43EB">
        <w:rPr>
          <w:rFonts w:asciiTheme="majorBidi" w:hAnsiTheme="majorBidi" w:cstheme="majorBidi"/>
          <w:i/>
        </w:rPr>
        <w:t>recommendations</w:t>
      </w:r>
      <w:r w:rsidRPr="00CF43EB">
        <w:rPr>
          <w:rFonts w:asciiTheme="majorBidi" w:hAnsiTheme="majorBidi" w:cstheme="majorBidi"/>
        </w:rPr>
        <w:t xml:space="preserve">”); </w:t>
      </w:r>
      <w:r w:rsidRPr="00CF43EB">
        <w:rPr>
          <w:rFonts w:asciiTheme="majorBidi" w:hAnsiTheme="majorBidi" w:cstheme="majorBidi"/>
          <w:i/>
        </w:rPr>
        <w:t xml:space="preserve">id. </w:t>
      </w:r>
      <w:r w:rsidRPr="00CF43EB">
        <w:rPr>
          <w:rFonts w:asciiTheme="majorBidi" w:hAnsiTheme="majorBidi" w:cstheme="majorBidi"/>
        </w:rPr>
        <w:t>at 8 (inaccurately describing that Vectren gave OCC an opportunity to withdraw sections of its Initial Brief addressing its consumer protection recommendations, when in fact Vectren requested withdraw of material “based on testimony that was stricken”).</w:t>
      </w:r>
    </w:p>
  </w:footnote>
  <w:footnote w:id="20">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See, e.g., Duff v. PUCO</w:t>
      </w:r>
      <w:r w:rsidRPr="00CF43EB">
        <w:rPr>
          <w:rFonts w:asciiTheme="majorBidi" w:hAnsiTheme="majorBidi" w:cstheme="majorBidi"/>
        </w:rPr>
        <w:t>, 56 Ohio St. 2d 367 (1978); O.A.C. 4901-1-30(E).</w:t>
      </w:r>
    </w:p>
  </w:footnote>
  <w:footnote w:id="21">
    <w:p w:rsidR="00DE5F1A" w:rsidRPr="00CF43EB" w:rsidP="00CF43EB">
      <w:pPr>
        <w:pStyle w:val="FootnoteText"/>
        <w:spacing w:after="120"/>
        <w:rPr>
          <w:rFonts w:asciiTheme="majorBidi" w:hAnsiTheme="majorBidi" w:cstheme="majorBidi"/>
          <w: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See id.</w:t>
      </w:r>
    </w:p>
  </w:footnote>
  <w:footnote w:id="22">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 xml:space="preserve">R.C. 4903.09; </w:t>
      </w:r>
      <w:r w:rsidRPr="00CF43EB">
        <w:rPr>
          <w:rFonts w:asciiTheme="majorBidi" w:hAnsiTheme="majorBidi" w:cstheme="majorBidi"/>
          <w:i/>
        </w:rPr>
        <w:t>Elyria Foundry Co. v. PUCO</w:t>
      </w:r>
      <w:r w:rsidRPr="00CF43EB">
        <w:rPr>
          <w:rFonts w:asciiTheme="majorBidi" w:hAnsiTheme="majorBidi" w:cstheme="majorBidi"/>
        </w:rPr>
        <w:t xml:space="preserve">, 114 Ohio St. 3d 305 (2007); </w:t>
      </w:r>
      <w:r w:rsidRPr="00CF43EB">
        <w:rPr>
          <w:rFonts w:asciiTheme="majorBidi" w:hAnsiTheme="majorBidi" w:cstheme="majorBidi"/>
          <w:i/>
        </w:rPr>
        <w:t>OCC v. PUCO</w:t>
      </w:r>
      <w:r w:rsidRPr="00CF43EB">
        <w:rPr>
          <w:rFonts w:asciiTheme="majorBidi" w:hAnsiTheme="majorBidi" w:cstheme="majorBidi"/>
        </w:rPr>
        <w:t>, 111 Ohio St. 3d 300 (2006).</w:t>
      </w:r>
    </w:p>
  </w:footnote>
  <w:footnote w:id="23">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Motion to Strike at 6-7.</w:t>
      </w:r>
    </w:p>
  </w:footnote>
  <w:footnote w:id="24">
    <w:p w:rsidR="00DE5F1A" w:rsidRPr="00CF43EB" w:rsidP="00CF43EB">
      <w:pPr>
        <w:pStyle w:val="FootnoteText"/>
        <w:spacing w:after="120"/>
        <w:rPr>
          <w:rFonts w:asciiTheme="majorBidi" w:hAnsiTheme="majorBidi" w:cstheme="majorBidi"/>
          <w: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See id.</w:t>
      </w:r>
    </w:p>
  </w:footnote>
  <w:footnote w:id="25">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Motion to Strike at 9, footnote 13.</w:t>
      </w:r>
    </w:p>
  </w:footnote>
  <w:footnote w:id="26">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 xml:space="preserve">R.C. 4903.09; </w:t>
      </w:r>
      <w:r w:rsidRPr="00CF43EB">
        <w:rPr>
          <w:rFonts w:asciiTheme="majorBidi" w:hAnsiTheme="majorBidi" w:cstheme="majorBidi"/>
          <w:i/>
        </w:rPr>
        <w:t>Elyria Foundry Co. v. PUCO</w:t>
      </w:r>
      <w:r w:rsidRPr="00CF43EB">
        <w:rPr>
          <w:rFonts w:asciiTheme="majorBidi" w:hAnsiTheme="majorBidi" w:cstheme="majorBidi"/>
        </w:rPr>
        <w:t xml:space="preserve">, 114 Ohio St. 3d 305 (2007); </w:t>
      </w:r>
      <w:r w:rsidRPr="00CF43EB">
        <w:rPr>
          <w:rFonts w:asciiTheme="majorBidi" w:hAnsiTheme="majorBidi" w:cstheme="majorBidi"/>
          <w:i/>
        </w:rPr>
        <w:t>OCC v. PUCO</w:t>
      </w:r>
      <w:r w:rsidRPr="00CF43EB">
        <w:rPr>
          <w:rFonts w:asciiTheme="majorBidi" w:hAnsiTheme="majorBidi" w:cstheme="majorBidi"/>
        </w:rPr>
        <w:t>, 111 Ohio St. 3d 300 (2006).</w:t>
      </w:r>
    </w:p>
  </w:footnote>
  <w:footnote w:id="27">
    <w:p w:rsidR="00DE5F1A" w:rsidRPr="00CF43EB" w:rsidP="00CF43EB">
      <w:pPr>
        <w:pStyle w:val="FootnoteText"/>
        <w:spacing w:after="120"/>
        <w:rPr>
          <w:rFonts w:asciiTheme="majorBidi" w:hAnsiTheme="majorBidi" w:cstheme="majorBidi"/>
          <w: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See, e.g., Duff v. PUCO</w:t>
      </w:r>
      <w:r w:rsidRPr="00CF43EB">
        <w:rPr>
          <w:rFonts w:asciiTheme="majorBidi" w:hAnsiTheme="majorBidi" w:cstheme="majorBidi"/>
        </w:rPr>
        <w:t>, 56 Ohio St. 2d 367 (1978); O.A.C. 4901-1-30(E).</w:t>
      </w:r>
    </w:p>
  </w:footnote>
  <w:footnote w:id="28">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Vectren’s assertion that OCC failed to comply with the requirements to seek reversal of the Attorney Examiner’s ruling is a red-herring.  The Attorney Examiner did not strike the testimony on which OCC’s recommendations are based, as Vectren admits, nor any recommendations </w:t>
      </w:r>
      <w:r w:rsidRPr="00CF43EB">
        <w:rPr>
          <w:rFonts w:asciiTheme="majorBidi" w:hAnsiTheme="majorBidi" w:cstheme="majorBidi"/>
          <w:i/>
        </w:rPr>
        <w:t>per se</w:t>
      </w:r>
      <w:r w:rsidRPr="00CF43EB">
        <w:rPr>
          <w:rFonts w:asciiTheme="majorBidi" w:hAnsiTheme="majorBidi" w:cstheme="majorBidi"/>
        </w:rPr>
        <w:t>.</w:t>
      </w:r>
    </w:p>
  </w:footnote>
  <w:footnote w:id="29">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Motion to Strike at 10.</w:t>
      </w:r>
    </w:p>
  </w:footnote>
  <w:footnote w:id="30">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Vectren’s Initial Brief at 6.</w:t>
      </w:r>
    </w:p>
  </w:footnote>
  <w:footnote w:id="31">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 xml:space="preserve">Hearing Transcript, Vol. IV at 226-241.  </w:t>
      </w:r>
    </w:p>
  </w:footnote>
  <w:footnote w:id="32">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In its section discussing prejudice, Vectren asserts that that OCC’s consumer protection recommendations are based on testimony that was struck.  </w:t>
      </w:r>
      <w:r w:rsidRPr="00CF43EB">
        <w:rPr>
          <w:rFonts w:asciiTheme="majorBidi" w:hAnsiTheme="majorBidi" w:cstheme="majorBidi"/>
          <w:i/>
        </w:rPr>
        <w:t xml:space="preserve">See </w:t>
      </w:r>
      <w:r w:rsidRPr="00CF43EB">
        <w:rPr>
          <w:rFonts w:asciiTheme="majorBidi" w:hAnsiTheme="majorBidi" w:cstheme="majorBidi"/>
        </w:rPr>
        <w:t xml:space="preserve">Motion to Strike at 10.  This is simply not true, as Vectren elsewhere admits.  </w:t>
      </w:r>
      <w:r w:rsidRPr="00CF43EB">
        <w:rPr>
          <w:rFonts w:asciiTheme="majorBidi" w:hAnsiTheme="majorBidi" w:cstheme="majorBidi"/>
          <w:i/>
        </w:rPr>
        <w:t xml:space="preserve">See id. </w:t>
      </w:r>
      <w:r w:rsidRPr="00CF43EB">
        <w:rPr>
          <w:rFonts w:asciiTheme="majorBidi" w:hAnsiTheme="majorBidi" w:cstheme="majorBidi"/>
        </w:rPr>
        <w:t>at 9, footnote 13.</w:t>
      </w:r>
    </w:p>
  </w:footnote>
  <w:footnote w:id="33">
    <w:p w:rsidR="00DE5F1A"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Vectren also asserts that it would be reversible error to rule on an issue without record support.  </w:t>
      </w:r>
      <w:r w:rsidRPr="00CF43EB">
        <w:rPr>
          <w:rFonts w:asciiTheme="majorBidi" w:hAnsiTheme="majorBidi" w:cstheme="majorBidi"/>
          <w:i/>
        </w:rPr>
        <w:t xml:space="preserve">See id. </w:t>
      </w:r>
      <w:r w:rsidRPr="00CF43EB">
        <w:rPr>
          <w:rFonts w:asciiTheme="majorBidi" w:hAnsiTheme="majorBidi" w:cstheme="majorBidi"/>
        </w:rPr>
        <w:t xml:space="preserve">at 10.  Whether the record evidence underlying OCC’s consumer protection recommendations is sufficient or persuasive is something that the PUCO is more than capable of handling in its decision in this case.  Put simply, Vectren’s assertion goes to the record evidence’s weight, not whether it is properly in OCC’s Initial Brief. </w:t>
      </w:r>
    </w:p>
  </w:footnote>
  <w:footnote w:id="34">
    <w:p w:rsidR="00A8245D"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See, e.g., Duff v. PUCO</w:t>
      </w:r>
      <w:r w:rsidRPr="00CF43EB">
        <w:rPr>
          <w:rFonts w:asciiTheme="majorBidi" w:hAnsiTheme="majorBidi" w:cstheme="majorBidi"/>
        </w:rPr>
        <w:t>, 56 Ohio St. 2d 367 (1978); O.A.C. 4901-1-30(E).</w:t>
      </w:r>
    </w:p>
  </w:footnote>
  <w:footnote w:id="35">
    <w:p w:rsidR="00BB7682"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O.A.C. 4901-1-15(F)</w:t>
      </w:r>
      <w:r w:rsidRPr="00CF43EB" w:rsidR="0064237D">
        <w:rPr>
          <w:rFonts w:asciiTheme="majorBidi" w:hAnsiTheme="majorBidi" w:cstheme="majorBidi"/>
        </w:rPr>
        <w:t xml:space="preserve"> (emphasis added).</w:t>
      </w:r>
    </w:p>
  </w:footnote>
  <w:footnote w:id="36">
    <w:p w:rsidR="00706E48"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Motion to Strike at 8.</w:t>
      </w:r>
    </w:p>
  </w:footnote>
  <w:footnote w:id="37">
    <w:p w:rsidR="00706E48"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See id</w:t>
      </w:r>
      <w:r w:rsidRPr="00CF43EB">
        <w:rPr>
          <w:rFonts w:asciiTheme="majorBidi" w:hAnsiTheme="majorBidi" w:cstheme="majorBidi"/>
        </w:rPr>
        <w:t>.</w:t>
      </w:r>
    </w:p>
  </w:footnote>
  <w:footnote w:id="38">
    <w:p w:rsidR="00B706C7"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Hearing Transcript, Vol. IV at 226-41.</w:t>
      </w:r>
    </w:p>
  </w:footnote>
  <w:footnote w:id="39">
    <w:p w:rsidR="00B706C7"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e.g., </w:t>
      </w:r>
      <w:r w:rsidRPr="00CF43EB">
        <w:rPr>
          <w:rFonts w:asciiTheme="majorBidi" w:hAnsiTheme="majorBidi" w:cstheme="majorBidi"/>
        </w:rPr>
        <w:t xml:space="preserve">Vectren’s Initial Brief at 5 (citing </w:t>
      </w:r>
      <w:r w:rsidRPr="00CF43EB">
        <w:rPr>
          <w:rFonts w:asciiTheme="majorBidi" w:hAnsiTheme="majorBidi" w:cstheme="majorBidi"/>
          <w:i/>
        </w:rPr>
        <w:t>In re Ohio Edison Co.</w:t>
      </w:r>
      <w:r w:rsidRPr="00CF43EB">
        <w:rPr>
          <w:rFonts w:asciiTheme="majorBidi" w:hAnsiTheme="majorBidi" w:cstheme="majorBidi"/>
        </w:rPr>
        <w:t>, 146 Ohio St. 3d 222 (2016).</w:t>
      </w:r>
    </w:p>
  </w:footnote>
  <w:footnote w:id="40">
    <w:p w:rsidR="00B706C7"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See </w:t>
      </w:r>
      <w:r w:rsidRPr="00CF43EB">
        <w:rPr>
          <w:rFonts w:asciiTheme="majorBidi" w:hAnsiTheme="majorBidi" w:cstheme="majorBidi"/>
        </w:rPr>
        <w:t>Hearing Transcript, Vol. IV at 226-241 (discussing OCC Witness Williams’ Supplemental Direct Testimony at 12-13; 15).</w:t>
      </w:r>
    </w:p>
  </w:footnote>
  <w:footnote w:id="41">
    <w:p w:rsidR="000F0B53"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w:t>
      </w:r>
      <w:r w:rsidRPr="00CF43EB">
        <w:rPr>
          <w:rFonts w:asciiTheme="majorBidi" w:hAnsiTheme="majorBidi" w:cstheme="majorBidi"/>
          <w:i/>
        </w:rPr>
        <w:t xml:space="preserve">Compare </w:t>
      </w:r>
      <w:r w:rsidRPr="00CF43EB">
        <w:rPr>
          <w:rFonts w:asciiTheme="majorBidi" w:hAnsiTheme="majorBidi" w:cstheme="majorBidi"/>
        </w:rPr>
        <w:t xml:space="preserve">Settlement at 21 </w:t>
      </w:r>
      <w:r w:rsidRPr="00CF43EB">
        <w:rPr>
          <w:rFonts w:asciiTheme="majorBidi" w:hAnsiTheme="majorBidi" w:cstheme="majorBidi"/>
          <w:i/>
        </w:rPr>
        <w:t xml:space="preserve">with </w:t>
      </w:r>
      <w:r w:rsidRPr="00CF43EB">
        <w:rPr>
          <w:rFonts w:asciiTheme="majorBidi" w:hAnsiTheme="majorBidi" w:cstheme="majorBidi"/>
        </w:rPr>
        <w:t xml:space="preserve">Vectren’s </w:t>
      </w:r>
      <w:r w:rsidRPr="00CF43EB" w:rsidR="002C71CA">
        <w:rPr>
          <w:rFonts w:asciiTheme="majorBidi" w:hAnsiTheme="majorBidi" w:cstheme="majorBidi"/>
        </w:rPr>
        <w:t>A</w:t>
      </w:r>
      <w:r w:rsidRPr="00CF43EB">
        <w:rPr>
          <w:rFonts w:asciiTheme="majorBidi" w:hAnsiTheme="majorBidi" w:cstheme="majorBidi"/>
        </w:rPr>
        <w:t>pplication.</w:t>
      </w:r>
    </w:p>
  </w:footnote>
  <w:footnote w:id="42">
    <w:p w:rsidR="000F0B53" w:rsidRPr="00CF43EB" w:rsidP="00CF43EB">
      <w:pPr>
        <w:pStyle w:val="FootnoteText"/>
        <w:spacing w:after="120"/>
        <w:rPr>
          <w:rFonts w:asciiTheme="majorBidi" w:hAnsiTheme="majorBidi" w:cstheme="majorBidi"/>
        </w:rPr>
      </w:pPr>
      <w:r w:rsidRPr="00CF43EB">
        <w:rPr>
          <w:rStyle w:val="FootnoteReference"/>
          <w:rFonts w:asciiTheme="majorBidi" w:hAnsiTheme="majorBidi" w:cstheme="majorBidi"/>
        </w:rPr>
        <w:footnoteRef/>
      </w:r>
      <w:r w:rsidRPr="00CF43EB">
        <w:rPr>
          <w:rFonts w:asciiTheme="majorBidi" w:hAnsiTheme="majorBidi" w:cstheme="majorBidi"/>
        </w:rPr>
        <w:t xml:space="preserve"> As a result, the following pages and lines from Mr. Williams’ Supplemental Direct Testimony would </w:t>
      </w:r>
      <w:r w:rsidRPr="00CF43EB" w:rsidR="00D87134">
        <w:rPr>
          <w:rFonts w:asciiTheme="majorBidi" w:hAnsiTheme="majorBidi" w:cstheme="majorBidi"/>
        </w:rPr>
        <w:t>survive:  13:11-18; 15:16-17; 12:15-20; 13:1-3; 15:14-15; 15:1-3.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2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2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2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244CE"/>
    <w:multiLevelType w:val="hybridMultilevel"/>
    <w:tmpl w:val="BCD4ACE0"/>
    <w:lvl w:ilvl="0">
      <w:start w:val="1"/>
      <w:numFmt w:val="lowerLetter"/>
      <w:lvlText w:val="%1)"/>
      <w:lvlJc w:val="left"/>
      <w:pPr>
        <w:tabs>
          <w:tab w:val="num" w:pos="2160"/>
        </w:tabs>
        <w:ind w:left="2160" w:hanging="14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2076416"/>
    <w:multiLevelType w:val="hybridMultilevel"/>
    <w:tmpl w:val="C6428E46"/>
    <w:lvl w:ilvl="0">
      <w:start w:val="1"/>
      <w:numFmt w:val="lowerLetter"/>
      <w:lvlText w:val="%1."/>
      <w:lvlJc w:val="left"/>
      <w:pPr>
        <w:tabs>
          <w:tab w:val="num" w:pos="2160"/>
        </w:tabs>
        <w:ind w:left="21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111460"/>
    <w:multiLevelType w:val="hybridMultilevel"/>
    <w:tmpl w:val="B66AA1D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3"/>
      <w:numFmt w:val="upp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8804CB2"/>
    <w:multiLevelType w:val="hybridMultilevel"/>
    <w:tmpl w:val="E96A15CE"/>
    <w:lvl w:ilvl="0">
      <w:start w:val="3"/>
      <w:numFmt w:val="upperLetter"/>
      <w:lvlText w:val="%1."/>
      <w:lvlJc w:val="left"/>
      <w:pPr>
        <w:tabs>
          <w:tab w:val="num" w:pos="1140"/>
        </w:tabs>
        <w:ind w:left="1140" w:hanging="7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928003F"/>
    <w:multiLevelType w:val="hybridMultilevel"/>
    <w:tmpl w:val="FCAE24C2"/>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0F392A75"/>
    <w:multiLevelType w:val="hybridMultilevel"/>
    <w:tmpl w:val="938842E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FF27BCE"/>
    <w:multiLevelType w:val="hybridMultilevel"/>
    <w:tmpl w:val="B02E72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2FC0722"/>
    <w:multiLevelType w:val="hybridMultilevel"/>
    <w:tmpl w:val="CCAA3AD0"/>
    <w:lvl w:ilvl="0">
      <w:start w:val="1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6557393"/>
    <w:multiLevelType w:val="hybridMultilevel"/>
    <w:tmpl w:val="EC10E308"/>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1A502D0E"/>
    <w:multiLevelType w:val="hybridMultilevel"/>
    <w:tmpl w:val="4720EF72"/>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1BAF3A28"/>
    <w:multiLevelType w:val="hybridMultilevel"/>
    <w:tmpl w:val="4F144C5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3873439"/>
    <w:multiLevelType w:val="hybridMultilevel"/>
    <w:tmpl w:val="F788E0D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5FD063B"/>
    <w:multiLevelType w:val="hybridMultilevel"/>
    <w:tmpl w:val="7EEC9FC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A373A1F"/>
    <w:multiLevelType w:val="hybridMultilevel"/>
    <w:tmpl w:val="41B8A5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6517C7D"/>
    <w:multiLevelType w:val="hybridMultilevel"/>
    <w:tmpl w:val="2236D8C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37002902"/>
    <w:multiLevelType w:val="hybridMultilevel"/>
    <w:tmpl w:val="D30AB7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8D866F3"/>
    <w:multiLevelType w:val="hybridMultilevel"/>
    <w:tmpl w:val="938842E0"/>
    <w:lvl w:ilvl="0">
      <w:start w:val="1"/>
      <w:numFmt w:val="decimal"/>
      <w:lvlText w:val="%1."/>
      <w:lvlJc w:val="left"/>
      <w:pPr>
        <w:tabs>
          <w:tab w:val="num" w:pos="1800"/>
        </w:tabs>
        <w:ind w:left="1800" w:hanging="144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91051F1"/>
    <w:multiLevelType w:val="hybridMultilevel"/>
    <w:tmpl w:val="97E220E8"/>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8">
    <w:nsid w:val="3D1F0FFD"/>
    <w:multiLevelType w:val="hybridMultilevel"/>
    <w:tmpl w:val="2D86C31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41011471"/>
    <w:multiLevelType w:val="hybridMultilevel"/>
    <w:tmpl w:val="2C24EDEE"/>
    <w:lvl w:ilvl="0">
      <w:start w:val="1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424C2CED"/>
    <w:multiLevelType w:val="hybridMultilevel"/>
    <w:tmpl w:val="4622E58E"/>
    <w:lvl w:ilvl="0">
      <w:start w:val="1"/>
      <w:numFmt w:val="lowerLetter"/>
      <w:lvlText w:val="%1)"/>
      <w:lvlJc w:val="left"/>
      <w:pPr>
        <w:tabs>
          <w:tab w:val="num" w:pos="2160"/>
        </w:tabs>
        <w:ind w:left="2160" w:hanging="14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474A1B31"/>
    <w:multiLevelType w:val="hybridMultilevel"/>
    <w:tmpl w:val="503C5E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4A590144"/>
    <w:multiLevelType w:val="hybridMultilevel"/>
    <w:tmpl w:val="F1CCB406"/>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6013CBD"/>
    <w:multiLevelType w:val="hybridMultilevel"/>
    <w:tmpl w:val="5F629C62"/>
    <w:lvl w:ilvl="0">
      <w:start w:val="1"/>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7E4107C"/>
    <w:multiLevelType w:val="hybridMultilevel"/>
    <w:tmpl w:val="6FAA40B0"/>
    <w:lvl w:ilvl="0">
      <w:start w:val="9"/>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2"/>
      <w:numFmt w:val="lowerRoman"/>
      <w:lvlText w:val="%3."/>
      <w:lvlJc w:val="left"/>
      <w:pPr>
        <w:tabs>
          <w:tab w:val="num" w:pos="3780"/>
        </w:tabs>
        <w:ind w:left="3780" w:hanging="720"/>
      </w:pPr>
      <w:rPr>
        <w:rFonts w:hint="default"/>
      </w:rPr>
    </w:lvl>
    <w:lvl w:ilvl="3">
      <w:start w:val="1"/>
      <w:numFmt w:val="lowerLetter"/>
      <w:lvlText w:val="%4)"/>
      <w:lvlJc w:val="left"/>
      <w:pPr>
        <w:tabs>
          <w:tab w:val="num" w:pos="4320"/>
        </w:tabs>
        <w:ind w:left="4320" w:hanging="720"/>
      </w:pPr>
      <w:rPr>
        <w:rFonts w:hint="default"/>
      </w:r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5">
    <w:nsid w:val="5CB71C23"/>
    <w:multiLevelType w:val="hybridMultilevel"/>
    <w:tmpl w:val="58C63CA4"/>
    <w:lvl w:ilvl="0">
      <w:start w:val="3"/>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06D77AE"/>
    <w:multiLevelType w:val="hybridMultilevel"/>
    <w:tmpl w:val="14344C8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617C1101"/>
    <w:multiLevelType w:val="hybridMultilevel"/>
    <w:tmpl w:val="20EC4106"/>
    <w:lvl w:ilvl="0">
      <w:start w:val="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62C019A1"/>
    <w:multiLevelType w:val="hybridMultilevel"/>
    <w:tmpl w:val="C5FA803E"/>
    <w:lvl w:ilvl="0">
      <w:start w:val="1"/>
      <w:numFmt w:val="lowerLetter"/>
      <w:lvlText w:val="%1)"/>
      <w:lvlJc w:val="left"/>
      <w:pPr>
        <w:tabs>
          <w:tab w:val="num" w:pos="1800"/>
        </w:tabs>
        <w:ind w:left="1800" w:hanging="360"/>
      </w:pPr>
      <w:rPr>
        <w:rFonts w:cs="Times New Roman" w:hint="default"/>
        <w:b/>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9">
    <w:nsid w:val="66701680"/>
    <w:multiLevelType w:val="hybridMultilevel"/>
    <w:tmpl w:val="8648ECA0"/>
    <w:lvl w:ilvl="0">
      <w:start w:val="1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692C19F0"/>
    <w:multiLevelType w:val="hybridMultilevel"/>
    <w:tmpl w:val="263ADD72"/>
    <w:lvl w:ilvl="0">
      <w:start w:val="5"/>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6E395E0F"/>
    <w:multiLevelType w:val="hybridMultilevel"/>
    <w:tmpl w:val="4C7A6152"/>
    <w:lvl w:ilvl="0">
      <w:start w:val="3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716B57F0"/>
    <w:multiLevelType w:val="hybridMultilevel"/>
    <w:tmpl w:val="9ED2639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732177CF"/>
    <w:multiLevelType w:val="hybridMultilevel"/>
    <w:tmpl w:val="ABD0FAC4"/>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74594CE2"/>
    <w:multiLevelType w:val="hybridMultilevel"/>
    <w:tmpl w:val="3DDA568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7507CFB"/>
    <w:multiLevelType w:val="hybridMultilevel"/>
    <w:tmpl w:val="7F76573C"/>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6">
    <w:nsid w:val="7AF726EA"/>
    <w:multiLevelType w:val="hybridMultilevel"/>
    <w:tmpl w:val="B76083EA"/>
    <w:lvl w:ilvl="0">
      <w:start w:val="1"/>
      <w:numFmt w:val="lowerLetter"/>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37">
    <w:nsid w:val="7DC25618"/>
    <w:multiLevelType w:val="hybridMultilevel"/>
    <w:tmpl w:val="6F101D8E"/>
    <w:lvl w:ilvl="0">
      <w:start w:val="4"/>
      <w:numFmt w:val="upp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7"/>
  </w:num>
  <w:num w:numId="2">
    <w:abstractNumId w:val="37"/>
  </w:num>
  <w:num w:numId="3">
    <w:abstractNumId w:val="34"/>
  </w:num>
  <w:num w:numId="4">
    <w:abstractNumId w:val="30"/>
  </w:num>
  <w:num w:numId="5">
    <w:abstractNumId w:val="16"/>
  </w:num>
  <w:num w:numId="6">
    <w:abstractNumId w:val="5"/>
  </w:num>
  <w:num w:numId="7">
    <w:abstractNumId w:val="29"/>
  </w:num>
  <w:num w:numId="8">
    <w:abstractNumId w:val="19"/>
  </w:num>
  <w:num w:numId="9">
    <w:abstractNumId w:val="2"/>
  </w:num>
  <w:num w:numId="10">
    <w:abstractNumId w:val="33"/>
  </w:num>
  <w:num w:numId="11">
    <w:abstractNumId w:val="26"/>
  </w:num>
  <w:num w:numId="12">
    <w:abstractNumId w:val="28"/>
  </w:num>
  <w:num w:numId="13">
    <w:abstractNumId w:val="8"/>
  </w:num>
  <w:num w:numId="14">
    <w:abstractNumId w:val="9"/>
  </w:num>
  <w:num w:numId="15">
    <w:abstractNumId w:val="21"/>
  </w:num>
  <w:num w:numId="16">
    <w:abstractNumId w:val="7"/>
  </w:num>
  <w:num w:numId="17">
    <w:abstractNumId w:val="15"/>
  </w:num>
  <w:num w:numId="18">
    <w:abstractNumId w:val="32"/>
  </w:num>
  <w:num w:numId="19">
    <w:abstractNumId w:val="35"/>
  </w:num>
  <w:num w:numId="20">
    <w:abstractNumId w:val="36"/>
  </w:num>
  <w:num w:numId="21">
    <w:abstractNumId w:val="4"/>
  </w:num>
  <w:num w:numId="22">
    <w:abstractNumId w:val="17"/>
  </w:num>
  <w:num w:numId="23">
    <w:abstractNumId w:val="12"/>
  </w:num>
  <w:num w:numId="24">
    <w:abstractNumId w:val="1"/>
  </w:num>
  <w:num w:numId="25">
    <w:abstractNumId w:val="20"/>
  </w:num>
  <w:num w:numId="26">
    <w:abstractNumId w:val="0"/>
  </w:num>
  <w:num w:numId="27">
    <w:abstractNumId w:val="24"/>
  </w:num>
  <w:num w:numId="28">
    <w:abstractNumId w:val="18"/>
  </w:num>
  <w:num w:numId="29">
    <w:abstractNumId w:val="31"/>
  </w:num>
  <w:num w:numId="30">
    <w:abstractNumId w:val="6"/>
  </w:num>
  <w:num w:numId="31">
    <w:abstractNumId w:val="22"/>
  </w:num>
  <w:num w:numId="32">
    <w:abstractNumId w:val="3"/>
  </w:num>
  <w:num w:numId="33">
    <w:abstractNumId w:val="14"/>
  </w:num>
  <w:num w:numId="34">
    <w:abstractNumId w:val="25"/>
  </w:num>
  <w:num w:numId="35">
    <w:abstractNumId w:val="23"/>
  </w:num>
  <w:num w:numId="36">
    <w:abstractNumId w:val="10"/>
  </w:num>
  <w:num w:numId="37">
    <w:abstractNumId w:val="1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95"/>
    <w:rPr>
      <w:rFonts w:ascii="Arial" w:hAnsi="Arial" w:cs="Arial"/>
      <w:sz w:val="24"/>
      <w:szCs w:val="24"/>
    </w:rPr>
  </w:style>
  <w:style w:type="paragraph" w:styleId="Heading1">
    <w:name w:val="heading 1"/>
    <w:basedOn w:val="Normal"/>
    <w:next w:val="Normal"/>
    <w:autoRedefine/>
    <w:qFormat/>
    <w:rsid w:val="00CF43EB"/>
    <w:pPr>
      <w:keepNext/>
      <w:keepLines/>
      <w:widowControl w:val="0"/>
      <w:tabs>
        <w:tab w:val="left" w:pos="-720"/>
      </w:tabs>
      <w:suppressAutoHyphens/>
      <w:spacing w:after="240"/>
      <w:ind w:left="720" w:right="720" w:hanging="720"/>
      <w:outlineLvl w:val="0"/>
    </w:pPr>
    <w:rPr>
      <w:rFonts w:ascii="Times New Roman" w:hAnsi="Times New Roman" w:cs="Times New Roman"/>
      <w:b/>
      <w:caps/>
      <w:snapToGrid w:val="0"/>
    </w:rPr>
  </w:style>
  <w:style w:type="paragraph" w:styleId="Heading2">
    <w:name w:val="heading 2"/>
    <w:basedOn w:val="Normal"/>
    <w:next w:val="Normal"/>
    <w:autoRedefine/>
    <w:qFormat/>
    <w:rsid w:val="00CF43EB"/>
    <w:pPr>
      <w:widowControl w:val="0"/>
      <w:tabs>
        <w:tab w:val="left" w:pos="-720"/>
      </w:tabs>
      <w:suppressAutoHyphens/>
      <w:spacing w:after="240"/>
      <w:ind w:left="1440" w:right="720" w:hanging="720"/>
      <w:outlineLvl w:val="1"/>
    </w:pPr>
    <w:rPr>
      <w:rFonts w:ascii="Times New Roman" w:hAnsi="Times New Roman" w:cs="Times New Roman"/>
      <w:b/>
      <w:bCs/>
      <w:snapToGrid w:val="0"/>
    </w:rPr>
  </w:style>
  <w:style w:type="paragraph" w:styleId="Heading3">
    <w:name w:val="heading 3"/>
    <w:basedOn w:val="Normal"/>
    <w:next w:val="Normal"/>
    <w:qFormat/>
    <w:pPr>
      <w:keepNext/>
      <w:tabs>
        <w:tab w:val="center" w:pos="4680"/>
      </w:tabs>
      <w:suppressAutoHyphens/>
      <w:jc w:val="center"/>
      <w:outlineLvl w:val="2"/>
    </w:pPr>
    <w:rPr>
      <w:b/>
      <w:spacing w:val="-3"/>
      <w:u w:val="single"/>
    </w:rPr>
  </w:style>
  <w:style w:type="paragraph" w:styleId="Heading4">
    <w:name w:val="heading 4"/>
    <w:basedOn w:val="Normal"/>
    <w:next w:val="Normal"/>
    <w:qFormat/>
    <w:pPr>
      <w:keepNext/>
      <w:tabs>
        <w:tab w:val="center" w:pos="4680"/>
      </w:tabs>
      <w:suppressAutoHyphens/>
      <w:spacing w:before="180" w:line="480" w:lineRule="auto"/>
      <w:jc w:val="both"/>
      <w:outlineLvl w:val="3"/>
    </w:pPr>
    <w:rPr>
      <w:b/>
      <w:bCs/>
      <w:spacing w:val="-3"/>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widowControl w:val="0"/>
      <w:tabs>
        <w:tab w:val="left" w:pos="-720"/>
      </w:tabs>
      <w:suppressAutoHyphens/>
      <w:outlineLvl w:val="5"/>
    </w:pPr>
    <w:rPr>
      <w:rFonts w:ascii="Courier New" w:hAnsi="Courier New" w:cs="Times New Roman"/>
      <w:snapToGrid w:val="0"/>
      <w:szCs w:val="20"/>
    </w:rPr>
  </w:style>
  <w:style w:type="paragraph" w:styleId="Heading7">
    <w:name w:val="heading 7"/>
    <w:basedOn w:val="Normal"/>
    <w:next w:val="Normal"/>
    <w:qFormat/>
    <w:pPr>
      <w:keepNext/>
      <w:tabs>
        <w:tab w:val="left" w:pos="-720"/>
      </w:tabs>
      <w:suppressAutoHyphens/>
      <w:jc w:val="center"/>
      <w:outlineLvl w:val="6"/>
    </w:pPr>
    <w:rPr>
      <w:b/>
      <w:spacing w:val="-3"/>
      <w:sz w:val="28"/>
      <w:u w:val="single"/>
    </w:rPr>
  </w:style>
  <w:style w:type="paragraph" w:styleId="Heading8">
    <w:name w:val="heading 8"/>
    <w:basedOn w:val="Normal"/>
    <w:next w:val="Normal"/>
    <w:qFormat/>
    <w:pPr>
      <w:keepNext/>
      <w:spacing w:line="480" w:lineRule="auto"/>
      <w:jc w:val="both"/>
      <w:outlineLvl w:val="7"/>
    </w:pPr>
    <w:rPr>
      <w:b/>
      <w:bCs/>
      <w:i/>
      <w:iCs/>
      <w:u w:val="single"/>
    </w:rPr>
  </w:style>
  <w:style w:type="paragraph" w:styleId="Heading9">
    <w:name w:val="heading 9"/>
    <w:basedOn w:val="Normal"/>
    <w:next w:val="Normal"/>
    <w:qFormat/>
    <w:pPr>
      <w:keepNext/>
      <w:ind w:left="2880" w:firstLine="1440"/>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headin">
    <w:name w:val="index headin"/>
    <w:pPr>
      <w:widowControl w:val="0"/>
      <w:tabs>
        <w:tab w:val="left" w:pos="-720"/>
      </w:tabs>
      <w:suppressAutoHyphens/>
    </w:pPr>
    <w:rPr>
      <w:rFonts w:ascii="Courier New" w:hAnsi="Courier New"/>
      <w:b/>
      <w:snapToGrid w:val="0"/>
      <w:sz w:val="24"/>
    </w:rPr>
  </w:style>
  <w:style w:type="paragraph" w:styleId="BodyText">
    <w:name w:val="Body Text"/>
    <w:basedOn w:val="Normal"/>
    <w:pPr>
      <w:tabs>
        <w:tab w:val="left" w:pos="-720"/>
      </w:tabs>
      <w:suppressAutoHyphens/>
      <w:spacing w:line="480" w:lineRule="auto"/>
      <w:jc w:val="both"/>
    </w:pPr>
    <w:rPr>
      <w:rFonts w:ascii="Times New Roman" w:hAnsi="Times New Roman" w:cs="Times New Roman"/>
      <w:snapToGrid w:val="0"/>
      <w:spacing w:val="-3"/>
      <w:szCs w:val="20"/>
    </w:rPr>
  </w:style>
  <w:style w:type="paragraph" w:styleId="BodyTextIndent">
    <w:name w:val="Body Text Indent"/>
    <w:basedOn w:val="Normal"/>
    <w:pPr>
      <w:spacing w:line="480" w:lineRule="auto"/>
      <w:ind w:firstLine="720"/>
    </w:pPr>
    <w:rPr>
      <w:rFonts w:ascii="Times New Roman" w:hAnsi="Times New Roman" w:cs="Times New Roman"/>
      <w:b/>
      <w:bCs/>
    </w:rPr>
  </w:style>
  <w:style w:type="paragraph" w:styleId="EndnoteText">
    <w:name w:val="endnote text"/>
    <w:basedOn w:val="Normal"/>
    <w:semiHidden/>
    <w:pPr>
      <w:widowControl w:val="0"/>
    </w:pPr>
    <w:rPr>
      <w:rFonts w:ascii="Courier New" w:hAnsi="Courier New" w:cs="Times New Roman"/>
      <w:snapToGrid w:val="0"/>
      <w:szCs w:val="20"/>
    </w:rPr>
  </w:style>
  <w:style w:type="paragraph" w:styleId="BodyText2">
    <w:name w:val="Body Text 2"/>
    <w:basedOn w:val="Normal"/>
    <w:pPr>
      <w:spacing w:line="480" w:lineRule="auto"/>
      <w:jc w:val="both"/>
    </w:pPr>
    <w:rPr>
      <w:rFonts w:ascii="Times New Roman" w:hAnsi="Times New Roman" w:cs="Times New Roman"/>
      <w:b/>
      <w:bCs/>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 w:val="left" w:pos="-720"/>
      </w:tabs>
      <w:suppressAutoHyphens/>
      <w:spacing w:before="120" w:line="480" w:lineRule="auto"/>
      <w:ind w:left="1440" w:hanging="7"/>
      <w:jc w:val="both"/>
    </w:pPr>
    <w:rPr>
      <w:spacing w:val="-3"/>
    </w:r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odyTextIndent3">
    <w:name w:val="Body Text Indent 3"/>
    <w:basedOn w:val="Normal"/>
    <w:pPr>
      <w:tabs>
        <w:tab w:val="left" w:pos="-720"/>
      </w:tabs>
      <w:suppressAutoHyphens/>
      <w:spacing w:line="480" w:lineRule="auto"/>
      <w:ind w:firstLine="720"/>
      <w:jc w:val="both"/>
    </w:pPr>
    <w:rPr>
      <w:spacing w:val="-3"/>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styleId="BlockText">
    <w:name w:val="Block Text"/>
    <w:basedOn w:val="Normal"/>
    <w:pPr>
      <w:tabs>
        <w:tab w:val="left" w:pos="-720"/>
      </w:tabs>
      <w:suppressAutoHyphens/>
      <w:ind w:left="1440" w:right="1440"/>
    </w:pPr>
    <w:rPr>
      <w:rFonts w:ascii="Times New Roman" w:hAnsi="Times New Roman"/>
      <w:bCs/>
      <w:spacing w:val="-3"/>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TOC3">
    <w:name w:val="toc 3"/>
    <w:basedOn w:val="Normal"/>
    <w:next w:val="Normal"/>
    <w:autoRedefine/>
    <w:semiHidden/>
    <w:pPr>
      <w:spacing w:after="240"/>
      <w:ind w:left="1440"/>
    </w:pPr>
    <w:rPr>
      <w:rFonts w:ascii="Times New Roman" w:hAnsi="Times New Roman" w:cs="Times New Roman"/>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ink w:val="HTMLPreformatted"/>
    <w:semiHidden/>
    <w:locked/>
    <w:rPr>
      <w:rFonts w:ascii="Courier New" w:eastAsia="Courier New" w:hAnsi="Courier New" w:cs="Courier New"/>
      <w:lang w:val="en-US" w:eastAsia="en-US" w:bidi="ar-SA"/>
    </w:rPr>
  </w:style>
  <w:style w:type="character" w:customStyle="1" w:styleId="UnresolvedMention">
    <w:name w:val="Unresolved Mention"/>
    <w:uiPriority w:val="99"/>
    <w:semiHidden/>
    <w:unhideWhenUsed/>
    <w:rsid w:val="00A56A69"/>
    <w:rPr>
      <w:color w:val="605E5C"/>
      <w:shd w:val="clear" w:color="auto" w:fill="E1DFDD"/>
    </w:rPr>
  </w:style>
  <w:style w:type="character" w:customStyle="1" w:styleId="FooterChar">
    <w:name w:val="Footer Char"/>
    <w:link w:val="Footer"/>
    <w:uiPriority w:val="99"/>
    <w:rsid w:val="00490B51"/>
    <w:rPr>
      <w:rFonts w:ascii="Arial" w:hAnsi="Arial" w:cs="Arial"/>
      <w:sz w:val="24"/>
      <w:szCs w:val="24"/>
    </w:rPr>
  </w:style>
  <w:style w:type="character" w:customStyle="1" w:styleId="FootnoteTextChar">
    <w:name w:val="Footnote Text Char"/>
    <w:link w:val="FootnoteText"/>
    <w:uiPriority w:val="99"/>
    <w:semiHidden/>
    <w:rsid w:val="00DE5F1A"/>
    <w:rPr>
      <w:rFonts w:ascii="Arial" w:hAnsi="Arial" w:cs="Arial"/>
      <w:lang w:bidi="ar-SA"/>
    </w:rPr>
  </w:style>
  <w:style w:type="paragraph" w:styleId="ListParagraph">
    <w:name w:val="List Paragraph"/>
    <w:basedOn w:val="Normal"/>
    <w:uiPriority w:val="34"/>
    <w:qFormat/>
    <w:rsid w:val="00DE5F1A"/>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357D5D"/>
    <w:pPr>
      <w:tabs>
        <w:tab w:val="decimal" w:leader="dot" w:pos="8640"/>
      </w:tabs>
      <w:spacing w:after="240"/>
      <w:outlineLvl w:val="0"/>
    </w:pPr>
    <w:rPr>
      <w:rFonts w:ascii="Times New Roman" w:hAnsi="Times New Roman" w:cs="Times New Roman"/>
    </w:rPr>
  </w:style>
  <w:style w:type="paragraph" w:styleId="TOC2">
    <w:name w:val="toc 2"/>
    <w:basedOn w:val="Normal"/>
    <w:next w:val="Normal"/>
    <w:autoRedefine/>
    <w:uiPriority w:val="39"/>
    <w:rsid w:val="00357D5D"/>
    <w:pPr>
      <w:tabs>
        <w:tab w:val="decimal" w:leader="dot" w:pos="8640"/>
      </w:tabs>
      <w:spacing w:after="240"/>
      <w:ind w:left="720"/>
      <w:outlineLvl w:val="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Vectren.docx</vt:lpstr>
    </vt:vector>
  </TitlesOfParts>
  <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2019-04-12T15:19:08Z</dcterms:created>
  <dcterms:modified xsi:type="dcterms:W3CDTF">2019-04-12T15:19:08Z</dcterms:modified>
</cp:coreProperties>
</file>