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0D" w:rsidRPr="00A7466C" w:rsidRDefault="006A2A0D" w:rsidP="006A2A0D">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UNITED STATES OF AMERICA</w:t>
      </w:r>
    </w:p>
    <w:p w:rsidR="006A2A0D" w:rsidRPr="00A7466C" w:rsidRDefault="006A2A0D" w:rsidP="006A2A0D">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BEFORE THE</w:t>
      </w:r>
    </w:p>
    <w:p w:rsidR="006A2A0D" w:rsidRPr="00A7466C" w:rsidRDefault="006A2A0D" w:rsidP="006A2A0D">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FEDERAL ENERGY REGULATORY COMMISSION</w:t>
      </w:r>
    </w:p>
    <w:p w:rsidR="006A2A0D" w:rsidRPr="00A7466C" w:rsidRDefault="006A2A0D" w:rsidP="006A2A0D">
      <w:pPr>
        <w:spacing w:after="0" w:line="240" w:lineRule="auto"/>
        <w:jc w:val="center"/>
        <w:rPr>
          <w:rFonts w:ascii="Times New Roman" w:eastAsia="Times New Roman" w:hAnsi="Times New Roman" w:cs="Times New Roman"/>
          <w:sz w:val="26"/>
          <w:szCs w:val="26"/>
          <w:lang w:bidi="en-US"/>
        </w:rPr>
      </w:pPr>
    </w:p>
    <w:p w:rsidR="006A2A0D" w:rsidRPr="00A7466C" w:rsidRDefault="006A2A0D" w:rsidP="006A2A0D">
      <w:pPr>
        <w:spacing w:after="0" w:line="240" w:lineRule="auto"/>
        <w:jc w:val="center"/>
        <w:rPr>
          <w:rFonts w:ascii="Times New Roman" w:eastAsia="Times New Roman" w:hAnsi="Times New Roman" w:cs="Times New Roman"/>
          <w:sz w:val="26"/>
          <w:szCs w:val="26"/>
          <w:lang w:bidi="en-US"/>
        </w:rPr>
      </w:pPr>
    </w:p>
    <w:p w:rsidR="006A2A0D" w:rsidRPr="00A7466C" w:rsidRDefault="006A2A0D" w:rsidP="006A2A0D">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r w:rsidRPr="00A7466C">
        <w:rPr>
          <w:rFonts w:ascii="Times New Roman" w:eastAsia="Times New Roman" w:hAnsi="Times New Roman" w:cs="Times New Roman"/>
          <w:sz w:val="26"/>
          <w:szCs w:val="26"/>
          <w:lang w:bidi="en-US"/>
        </w:rPr>
        <w:tab/>
      </w:r>
      <w:r w:rsidRPr="00A7466C">
        <w:rPr>
          <w:rFonts w:ascii="Times New Roman" w:eastAsia="Times New Roman" w:hAnsi="Times New Roman" w:cs="Times New Roman"/>
          <w:sz w:val="26"/>
          <w:szCs w:val="26"/>
          <w:lang w:bidi="en-US"/>
        </w:rPr>
        <w:tab/>
        <w:t>:</w:t>
      </w:r>
      <w:r w:rsidRPr="00A7466C">
        <w:rPr>
          <w:rFonts w:ascii="Times New Roman" w:eastAsia="Times New Roman" w:hAnsi="Times New Roman" w:cs="Times New Roman"/>
          <w:sz w:val="26"/>
          <w:szCs w:val="26"/>
          <w:lang w:bidi="en-US"/>
        </w:rPr>
        <w:tab/>
      </w:r>
      <w:r>
        <w:rPr>
          <w:rFonts w:ascii="Times New Roman" w:eastAsia="Times New Roman" w:hAnsi="Times New Roman" w:cs="Times New Roman"/>
          <w:sz w:val="26"/>
          <w:szCs w:val="26"/>
          <w:lang w:bidi="en-US"/>
        </w:rPr>
        <w:t>ER15-623-000</w:t>
      </w:r>
    </w:p>
    <w:p w:rsidR="006A2A0D" w:rsidRPr="00A7466C" w:rsidRDefault="006A2A0D" w:rsidP="006A2A0D">
      <w:pPr>
        <w:spacing w:after="0" w:line="240" w:lineRule="auto"/>
        <w:jc w:val="center"/>
        <w:rPr>
          <w:rFonts w:ascii="Times New Roman" w:eastAsia="Times New Roman" w:hAnsi="Times New Roman" w:cs="Times New Roman"/>
          <w:sz w:val="26"/>
          <w:szCs w:val="26"/>
          <w:lang w:bidi="en-US"/>
        </w:rPr>
      </w:pPr>
    </w:p>
    <w:p w:rsidR="006A2A0D" w:rsidRDefault="006A2A0D" w:rsidP="006A2A0D">
      <w:pPr>
        <w:spacing w:after="0" w:line="240" w:lineRule="auto"/>
        <w:jc w:val="both"/>
        <w:rPr>
          <w:rFonts w:ascii="Times New Roman" w:eastAsia="Times New Roman" w:hAnsi="Times New Roman" w:cs="Times New Roman"/>
          <w:sz w:val="26"/>
          <w:szCs w:val="26"/>
          <w:lang w:bidi="en-US"/>
        </w:rPr>
      </w:pPr>
    </w:p>
    <w:p w:rsidR="006A2A0D" w:rsidRDefault="006A2A0D" w:rsidP="006A2A0D">
      <w:pPr>
        <w:spacing w:after="0" w:line="240" w:lineRule="auto"/>
        <w:jc w:val="both"/>
        <w:rPr>
          <w:rFonts w:ascii="Times New Roman" w:eastAsia="Times New Roman" w:hAnsi="Times New Roman" w:cs="Times New Roman"/>
          <w:sz w:val="26"/>
          <w:szCs w:val="26"/>
          <w:lang w:bidi="en-US"/>
        </w:rPr>
      </w:pPr>
    </w:p>
    <w:p w:rsidR="006A2A0D" w:rsidRDefault="006A2A0D" w:rsidP="006A2A0D">
      <w:pPr>
        <w:spacing w:after="0" w:line="240" w:lineRule="auto"/>
        <w:jc w:val="both"/>
        <w:rPr>
          <w:rFonts w:ascii="Times New Roman" w:eastAsia="Times New Roman" w:hAnsi="Times New Roman" w:cs="Times New Roman"/>
          <w:sz w:val="26"/>
          <w:szCs w:val="26"/>
          <w:lang w:bidi="en-US"/>
        </w:rPr>
      </w:pPr>
    </w:p>
    <w:p w:rsidR="006A2A0D" w:rsidRDefault="006A2A0D" w:rsidP="006A2A0D">
      <w:pPr>
        <w:spacing w:after="0" w:line="240" w:lineRule="auto"/>
        <w:jc w:val="both"/>
        <w:rPr>
          <w:rFonts w:ascii="Times New Roman" w:eastAsia="Times New Roman" w:hAnsi="Times New Roman" w:cs="Times New Roman"/>
          <w:sz w:val="26"/>
          <w:szCs w:val="26"/>
          <w:lang w:bidi="en-US"/>
        </w:rPr>
      </w:pPr>
    </w:p>
    <w:p w:rsidR="006A2A0D" w:rsidRDefault="006A2A0D" w:rsidP="006A2A0D">
      <w:pPr>
        <w:spacing w:after="0" w:line="240" w:lineRule="auto"/>
        <w:jc w:val="both"/>
        <w:rPr>
          <w:rFonts w:ascii="Times New Roman" w:eastAsia="Times New Roman" w:hAnsi="Times New Roman" w:cs="Times New Roman"/>
          <w:sz w:val="26"/>
          <w:szCs w:val="26"/>
          <w:lang w:bidi="en-US"/>
        </w:rPr>
      </w:pPr>
    </w:p>
    <w:p w:rsidR="006A2A0D" w:rsidRDefault="006A2A0D" w:rsidP="006A2A0D">
      <w:pPr>
        <w:spacing w:after="0" w:line="240" w:lineRule="auto"/>
        <w:jc w:val="both"/>
        <w:rPr>
          <w:rFonts w:ascii="Times New Roman" w:eastAsia="Times New Roman" w:hAnsi="Times New Roman" w:cs="Times New Roman"/>
          <w:sz w:val="26"/>
          <w:szCs w:val="26"/>
          <w:lang w:bidi="en-US"/>
        </w:rPr>
      </w:pPr>
    </w:p>
    <w:p w:rsidR="006A2A0D" w:rsidRDefault="006A2A0D" w:rsidP="006A2A0D">
      <w:pPr>
        <w:spacing w:after="0" w:line="240" w:lineRule="auto"/>
        <w:jc w:val="both"/>
        <w:rPr>
          <w:rFonts w:ascii="Times New Roman" w:eastAsia="Times New Roman" w:hAnsi="Times New Roman" w:cs="Times New Roman"/>
          <w:sz w:val="26"/>
          <w:szCs w:val="26"/>
          <w:lang w:bidi="en-US"/>
        </w:rPr>
      </w:pPr>
    </w:p>
    <w:p w:rsidR="006A2A0D" w:rsidRDefault="006A2A0D" w:rsidP="006A2A0D">
      <w:pPr>
        <w:spacing w:after="0" w:line="240" w:lineRule="auto"/>
        <w:jc w:val="both"/>
        <w:rPr>
          <w:rFonts w:ascii="Times New Roman" w:eastAsia="Times New Roman" w:hAnsi="Times New Roman" w:cs="Times New Roman"/>
          <w:sz w:val="26"/>
          <w:szCs w:val="26"/>
          <w:lang w:bidi="en-US"/>
        </w:rPr>
      </w:pPr>
    </w:p>
    <w:p w:rsidR="006A2A0D" w:rsidRDefault="006A2A0D" w:rsidP="006A2A0D">
      <w:pPr>
        <w:spacing w:after="0" w:line="240" w:lineRule="auto"/>
        <w:jc w:val="both"/>
        <w:rPr>
          <w:rFonts w:ascii="Times New Roman" w:eastAsia="Times New Roman" w:hAnsi="Times New Roman" w:cs="Times New Roman"/>
          <w:sz w:val="26"/>
          <w:szCs w:val="26"/>
          <w:lang w:bidi="en-US"/>
        </w:rPr>
      </w:pPr>
    </w:p>
    <w:p w:rsidR="006A2A0D" w:rsidRPr="00A7466C" w:rsidRDefault="006A2A0D" w:rsidP="006A2A0D">
      <w:pPr>
        <w:spacing w:after="0" w:line="240" w:lineRule="auto"/>
        <w:jc w:val="both"/>
        <w:rPr>
          <w:rFonts w:ascii="Times New Roman" w:eastAsia="Times New Roman" w:hAnsi="Times New Roman" w:cs="Times New Roman"/>
          <w:sz w:val="26"/>
          <w:szCs w:val="26"/>
          <w:lang w:bidi="en-US"/>
        </w:rPr>
      </w:pPr>
    </w:p>
    <w:p w:rsidR="006A2A0D" w:rsidRPr="00A7466C" w:rsidRDefault="008E0B4C" w:rsidP="006A2A0D">
      <w:pPr>
        <w:tabs>
          <w:tab w:val="left" w:pos="720"/>
          <w:tab w:val="left" w:pos="1440"/>
          <w:tab w:val="left" w:pos="2880"/>
          <w:tab w:val="left" w:pos="4320"/>
          <w:tab w:val="left" w:pos="5040"/>
          <w:tab w:val="left" w:pos="5760"/>
          <w:tab w:val="left" w:pos="6480"/>
          <w:tab w:val="left" w:pos="7200"/>
        </w:tabs>
        <w:spacing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std="t" o:hrnoshade="t" o:hr="t" fillcolor="black" stroked="f"/>
        </w:pict>
      </w:r>
    </w:p>
    <w:p w:rsidR="006A2A0D" w:rsidRPr="00A7466C" w:rsidRDefault="006A2A0D" w:rsidP="006A2A0D">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Pr>
          <w:rFonts w:ascii="Times New Roman" w:eastAsia="Times New Roman" w:hAnsi="Times New Roman" w:cs="Times New Roman"/>
          <w:b/>
          <w:sz w:val="36"/>
          <w:szCs w:val="36"/>
          <w:lang w:bidi="en-US"/>
        </w:rPr>
        <w:t>COMMENTS AND LIMITED PROTEST</w:t>
      </w:r>
    </w:p>
    <w:p w:rsidR="006A2A0D" w:rsidRPr="00A7466C" w:rsidRDefault="006A2A0D" w:rsidP="006A2A0D">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SUBMITTED ON BEHALF OF</w:t>
      </w:r>
    </w:p>
    <w:p w:rsidR="006A2A0D" w:rsidRPr="002B702B" w:rsidRDefault="006A2A0D" w:rsidP="006A2A0D">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color w:val="FF0000"/>
          <w:sz w:val="26"/>
          <w:szCs w:val="26"/>
          <w:lang w:bidi="en-US"/>
        </w:rPr>
      </w:pPr>
      <w:r w:rsidRPr="00A7466C">
        <w:rPr>
          <w:rFonts w:ascii="Times New Roman" w:eastAsia="Times New Roman" w:hAnsi="Times New Roman" w:cs="Times New Roman"/>
          <w:b/>
          <w:sz w:val="26"/>
          <w:szCs w:val="26"/>
          <w:lang w:bidi="en-US"/>
        </w:rPr>
        <w:t xml:space="preserve">THE </w:t>
      </w:r>
      <w:r>
        <w:rPr>
          <w:rFonts w:ascii="Times New Roman" w:eastAsia="Times New Roman" w:hAnsi="Times New Roman" w:cs="Times New Roman"/>
          <w:b/>
          <w:sz w:val="26"/>
          <w:szCs w:val="26"/>
          <w:lang w:bidi="en-US"/>
        </w:rPr>
        <w:t xml:space="preserve">PUBLIC UTILITIES COMMISSION OF OHIO </w:t>
      </w:r>
    </w:p>
    <w:p w:rsidR="006A2A0D" w:rsidRPr="006D0979" w:rsidRDefault="008E0B4C" w:rsidP="006A2A0D">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6A2A0D" w:rsidRDefault="006A2A0D" w:rsidP="006A2A0D">
      <w:pPr>
        <w:spacing w:after="0" w:line="240" w:lineRule="auto"/>
        <w:jc w:val="center"/>
        <w:rPr>
          <w:rFonts w:ascii="Times New Roman" w:hAnsi="Times New Roman" w:cs="Times New Roman"/>
          <w:sz w:val="40"/>
          <w:szCs w:val="40"/>
        </w:rPr>
      </w:pPr>
    </w:p>
    <w:p w:rsidR="006A2A0D" w:rsidRDefault="006A2A0D" w:rsidP="006A2A0D">
      <w:pPr>
        <w:spacing w:after="0" w:line="240" w:lineRule="auto"/>
        <w:jc w:val="center"/>
        <w:rPr>
          <w:rFonts w:ascii="Times New Roman" w:hAnsi="Times New Roman" w:cs="Times New Roman"/>
          <w:sz w:val="40"/>
          <w:szCs w:val="40"/>
        </w:rPr>
      </w:pPr>
    </w:p>
    <w:p w:rsidR="006A2A0D" w:rsidRDefault="006A2A0D" w:rsidP="006A2A0D">
      <w:pPr>
        <w:spacing w:after="0" w:line="240" w:lineRule="auto"/>
        <w:jc w:val="center"/>
        <w:rPr>
          <w:rFonts w:ascii="Times New Roman" w:hAnsi="Times New Roman" w:cs="Times New Roman"/>
          <w:sz w:val="40"/>
          <w:szCs w:val="40"/>
        </w:rPr>
      </w:pPr>
    </w:p>
    <w:p w:rsidR="006A2A0D" w:rsidRDefault="006A2A0D" w:rsidP="006A2A0D">
      <w:pPr>
        <w:spacing w:after="0" w:line="240" w:lineRule="auto"/>
        <w:jc w:val="center"/>
        <w:rPr>
          <w:rFonts w:ascii="Times New Roman" w:hAnsi="Times New Roman" w:cs="Times New Roman"/>
          <w:sz w:val="40"/>
          <w:szCs w:val="40"/>
        </w:rPr>
      </w:pPr>
    </w:p>
    <w:p w:rsidR="006A2A0D" w:rsidRDefault="006A2A0D" w:rsidP="006A2A0D">
      <w:pPr>
        <w:spacing w:after="0" w:line="240" w:lineRule="auto"/>
        <w:jc w:val="center"/>
        <w:rPr>
          <w:rFonts w:ascii="Times New Roman" w:hAnsi="Times New Roman" w:cs="Times New Roman"/>
          <w:sz w:val="40"/>
          <w:szCs w:val="40"/>
        </w:rPr>
      </w:pPr>
    </w:p>
    <w:p w:rsidR="006A2A0D" w:rsidRDefault="006A2A0D" w:rsidP="006A2A0D">
      <w:pPr>
        <w:spacing w:after="0" w:line="240" w:lineRule="auto"/>
        <w:jc w:val="center"/>
        <w:rPr>
          <w:rFonts w:ascii="Times New Roman" w:hAnsi="Times New Roman" w:cs="Times New Roman"/>
          <w:sz w:val="40"/>
          <w:szCs w:val="40"/>
        </w:rPr>
      </w:pPr>
    </w:p>
    <w:p w:rsidR="006A2A0D" w:rsidRDefault="006A2A0D" w:rsidP="006A2A0D">
      <w:pPr>
        <w:spacing w:after="0" w:line="240" w:lineRule="auto"/>
        <w:jc w:val="center"/>
        <w:rPr>
          <w:rFonts w:ascii="Times New Roman" w:hAnsi="Times New Roman" w:cs="Times New Roman"/>
          <w:sz w:val="40"/>
          <w:szCs w:val="40"/>
        </w:rPr>
      </w:pPr>
    </w:p>
    <w:p w:rsidR="006A2A0D" w:rsidRDefault="006A2A0D" w:rsidP="006A2A0D">
      <w:pPr>
        <w:spacing w:after="0" w:line="240" w:lineRule="auto"/>
        <w:jc w:val="center"/>
        <w:rPr>
          <w:rFonts w:ascii="Times New Roman" w:hAnsi="Times New Roman" w:cs="Times New Roman"/>
          <w:sz w:val="40"/>
          <w:szCs w:val="40"/>
        </w:rPr>
      </w:pPr>
    </w:p>
    <w:p w:rsidR="006A2A0D" w:rsidRDefault="006A2A0D" w:rsidP="006A2A0D">
      <w:pPr>
        <w:spacing w:after="0" w:line="240" w:lineRule="auto"/>
        <w:jc w:val="center"/>
        <w:rPr>
          <w:rFonts w:ascii="Times New Roman" w:hAnsi="Times New Roman" w:cs="Times New Roman"/>
          <w:sz w:val="40"/>
          <w:szCs w:val="40"/>
        </w:rPr>
      </w:pPr>
    </w:p>
    <w:p w:rsidR="006A2A0D" w:rsidRDefault="006A2A0D" w:rsidP="006A2A0D">
      <w:pPr>
        <w:spacing w:after="0" w:line="240" w:lineRule="auto"/>
        <w:jc w:val="center"/>
        <w:rPr>
          <w:rFonts w:ascii="Times New Roman" w:hAnsi="Times New Roman" w:cs="Times New Roman"/>
          <w:sz w:val="40"/>
          <w:szCs w:val="40"/>
        </w:rPr>
      </w:pPr>
    </w:p>
    <w:p w:rsidR="006A2A0D" w:rsidRDefault="006A2A0D" w:rsidP="006A2A0D">
      <w:pPr>
        <w:spacing w:after="0" w:line="240" w:lineRule="auto"/>
        <w:jc w:val="center"/>
        <w:rPr>
          <w:rFonts w:ascii="Times New Roman" w:hAnsi="Times New Roman" w:cs="Times New Roman"/>
          <w:sz w:val="40"/>
          <w:szCs w:val="40"/>
        </w:rPr>
      </w:pPr>
    </w:p>
    <w:p w:rsidR="006A2A0D" w:rsidRPr="006A2A0D" w:rsidRDefault="006A2A0D" w:rsidP="006A2A0D">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January 20, 2015</w:t>
      </w:r>
    </w:p>
    <w:p w:rsidR="006A2A0D" w:rsidRDefault="006A2A0D" w:rsidP="006A2A0D">
      <w:pPr>
        <w:spacing w:after="0" w:line="240" w:lineRule="auto"/>
        <w:jc w:val="center"/>
      </w:pPr>
    </w:p>
    <w:p w:rsidR="006A2A0D" w:rsidRDefault="006A2A0D" w:rsidP="006A2A0D">
      <w:pPr>
        <w:spacing w:after="0" w:line="240" w:lineRule="auto"/>
        <w:jc w:val="center"/>
        <w:rPr>
          <w:rFonts w:ascii="Times New Roman" w:eastAsia="Times New Roman" w:hAnsi="Times New Roman" w:cs="Times New Roman"/>
          <w:b/>
          <w:sz w:val="26"/>
          <w:szCs w:val="26"/>
          <w:lang w:bidi="en-US"/>
        </w:rPr>
        <w:sectPr w:rsidR="006A2A0D" w:rsidSect="00AC3620">
          <w:footerReference w:type="default" r:id="rId8"/>
          <w:pgSz w:w="12240" w:h="15840"/>
          <w:pgMar w:top="1440" w:right="1440" w:bottom="1440" w:left="1440" w:header="720" w:footer="720" w:gutter="0"/>
          <w:cols w:space="720"/>
          <w:titlePg/>
          <w:docGrid w:linePitch="360"/>
        </w:sectPr>
      </w:pPr>
    </w:p>
    <w:p w:rsidR="008E0B4C" w:rsidRDefault="006A2A0D">
      <w:pPr>
        <w:pStyle w:val="TOC1"/>
        <w:rPr>
          <w:rFonts w:asciiTheme="minorHAnsi" w:eastAsiaTheme="minorEastAsia" w:hAnsiTheme="minorHAnsi"/>
          <w:noProof/>
          <w:sz w:val="22"/>
        </w:rPr>
      </w:pPr>
      <w:r>
        <w:rPr>
          <w:rFonts w:eastAsia="Times New Roman" w:cs="Times New Roman"/>
          <w:b/>
          <w:szCs w:val="26"/>
          <w:lang w:bidi="en-US"/>
        </w:rPr>
        <w:lastRenderedPageBreak/>
        <w:fldChar w:fldCharType="begin"/>
      </w:r>
      <w:r>
        <w:rPr>
          <w:rFonts w:eastAsia="Times New Roman" w:cs="Times New Roman"/>
          <w:b/>
          <w:szCs w:val="26"/>
          <w:lang w:bidi="en-US"/>
        </w:rPr>
        <w:instrText xml:space="preserve"> TOC \o "1-5" \u </w:instrText>
      </w:r>
      <w:r>
        <w:rPr>
          <w:rFonts w:eastAsia="Times New Roman" w:cs="Times New Roman"/>
          <w:b/>
          <w:szCs w:val="26"/>
          <w:lang w:bidi="en-US"/>
        </w:rPr>
        <w:fldChar w:fldCharType="separate"/>
      </w:r>
      <w:bookmarkStart w:id="0" w:name="_GoBack"/>
      <w:bookmarkEnd w:id="0"/>
      <w:r w:rsidR="008E0B4C">
        <w:rPr>
          <w:noProof/>
        </w:rPr>
        <w:t>I.</w:t>
      </w:r>
      <w:r w:rsidR="008E0B4C">
        <w:rPr>
          <w:rFonts w:asciiTheme="minorHAnsi" w:eastAsiaTheme="minorEastAsia" w:hAnsiTheme="minorHAnsi"/>
          <w:noProof/>
          <w:sz w:val="22"/>
        </w:rPr>
        <w:tab/>
      </w:r>
      <w:r w:rsidR="008E0B4C">
        <w:rPr>
          <w:noProof/>
        </w:rPr>
        <w:t>Introduction</w:t>
      </w:r>
      <w:r w:rsidR="008E0B4C">
        <w:rPr>
          <w:noProof/>
        </w:rPr>
        <w:tab/>
      </w:r>
      <w:r w:rsidR="008E0B4C">
        <w:rPr>
          <w:noProof/>
        </w:rPr>
        <w:fldChar w:fldCharType="begin"/>
      </w:r>
      <w:r w:rsidR="008E0B4C">
        <w:rPr>
          <w:noProof/>
        </w:rPr>
        <w:instrText xml:space="preserve"> PAGEREF _Toc409516619 \h </w:instrText>
      </w:r>
      <w:r w:rsidR="008E0B4C">
        <w:rPr>
          <w:noProof/>
        </w:rPr>
      </w:r>
      <w:r w:rsidR="008E0B4C">
        <w:rPr>
          <w:noProof/>
        </w:rPr>
        <w:fldChar w:fldCharType="separate"/>
      </w:r>
      <w:r w:rsidR="008E0B4C">
        <w:rPr>
          <w:noProof/>
        </w:rPr>
        <w:t>1</w:t>
      </w:r>
      <w:r w:rsidR="008E0B4C">
        <w:rPr>
          <w:noProof/>
        </w:rPr>
        <w:fldChar w:fldCharType="end"/>
      </w:r>
    </w:p>
    <w:p w:rsidR="008E0B4C" w:rsidRDefault="008E0B4C">
      <w:pPr>
        <w:pStyle w:val="TOC1"/>
        <w:rPr>
          <w:rFonts w:asciiTheme="minorHAnsi" w:eastAsiaTheme="minorEastAsia" w:hAnsiTheme="minorHAnsi"/>
          <w:noProof/>
          <w:sz w:val="22"/>
        </w:rPr>
      </w:pPr>
      <w:r>
        <w:rPr>
          <w:noProof/>
        </w:rPr>
        <w:t>II.</w:t>
      </w:r>
      <w:r>
        <w:rPr>
          <w:rFonts w:asciiTheme="minorHAnsi" w:eastAsiaTheme="minorEastAsia" w:hAnsiTheme="minorHAnsi"/>
          <w:noProof/>
          <w:sz w:val="22"/>
        </w:rPr>
        <w:tab/>
      </w:r>
      <w:r>
        <w:rPr>
          <w:noProof/>
        </w:rPr>
        <w:t>Comments</w:t>
      </w:r>
      <w:r>
        <w:rPr>
          <w:noProof/>
        </w:rPr>
        <w:tab/>
      </w:r>
      <w:r>
        <w:rPr>
          <w:noProof/>
        </w:rPr>
        <w:fldChar w:fldCharType="begin"/>
      </w:r>
      <w:r>
        <w:rPr>
          <w:noProof/>
        </w:rPr>
        <w:instrText xml:space="preserve"> PAGEREF _Toc409516620 \h </w:instrText>
      </w:r>
      <w:r>
        <w:rPr>
          <w:noProof/>
        </w:rPr>
      </w:r>
      <w:r>
        <w:rPr>
          <w:noProof/>
        </w:rPr>
        <w:fldChar w:fldCharType="separate"/>
      </w:r>
      <w:r>
        <w:rPr>
          <w:noProof/>
        </w:rPr>
        <w:t>3</w:t>
      </w:r>
      <w:r>
        <w:rPr>
          <w:noProof/>
        </w:rPr>
        <w:fldChar w:fldCharType="end"/>
      </w:r>
    </w:p>
    <w:p w:rsidR="008E0B4C" w:rsidRDefault="008E0B4C">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Capacity performance will improve reliability.</w:t>
      </w:r>
      <w:r>
        <w:rPr>
          <w:noProof/>
        </w:rPr>
        <w:tab/>
      </w:r>
      <w:r>
        <w:rPr>
          <w:noProof/>
        </w:rPr>
        <w:fldChar w:fldCharType="begin"/>
      </w:r>
      <w:r>
        <w:rPr>
          <w:noProof/>
        </w:rPr>
        <w:instrText xml:space="preserve"> PAGEREF _Toc409516621 \h </w:instrText>
      </w:r>
      <w:r>
        <w:rPr>
          <w:noProof/>
        </w:rPr>
      </w:r>
      <w:r>
        <w:rPr>
          <w:noProof/>
        </w:rPr>
        <w:fldChar w:fldCharType="separate"/>
      </w:r>
      <w:r>
        <w:rPr>
          <w:noProof/>
        </w:rPr>
        <w:t>3</w:t>
      </w:r>
      <w:r>
        <w:rPr>
          <w:noProof/>
        </w:rPr>
        <w:fldChar w:fldCharType="end"/>
      </w:r>
    </w:p>
    <w:p w:rsidR="008E0B4C" w:rsidRDefault="008E0B4C">
      <w:pPr>
        <w:pStyle w:val="TOC3"/>
        <w:tabs>
          <w:tab w:val="left" w:pos="2160"/>
        </w:tabs>
        <w:rPr>
          <w:rFonts w:asciiTheme="minorHAnsi" w:eastAsiaTheme="minorEastAsia" w:hAnsiTheme="minorHAnsi"/>
          <w:noProof/>
          <w:sz w:val="22"/>
        </w:rPr>
      </w:pPr>
      <w:r>
        <w:rPr>
          <w:noProof/>
        </w:rPr>
        <w:t>1.</w:t>
      </w:r>
      <w:r>
        <w:rPr>
          <w:rFonts w:asciiTheme="minorHAnsi" w:eastAsiaTheme="minorEastAsia" w:hAnsiTheme="minorHAnsi"/>
          <w:noProof/>
          <w:sz w:val="22"/>
        </w:rPr>
        <w:tab/>
      </w:r>
      <w:r>
        <w:rPr>
          <w:noProof/>
        </w:rPr>
        <w:t>PJM needs reform to prepare for winter peaks.</w:t>
      </w:r>
      <w:r>
        <w:rPr>
          <w:noProof/>
        </w:rPr>
        <w:tab/>
      </w:r>
      <w:r>
        <w:rPr>
          <w:noProof/>
        </w:rPr>
        <w:fldChar w:fldCharType="begin"/>
      </w:r>
      <w:r>
        <w:rPr>
          <w:noProof/>
        </w:rPr>
        <w:instrText xml:space="preserve"> PAGEREF _Toc409516622 \h </w:instrText>
      </w:r>
      <w:r>
        <w:rPr>
          <w:noProof/>
        </w:rPr>
      </w:r>
      <w:r>
        <w:rPr>
          <w:noProof/>
        </w:rPr>
        <w:fldChar w:fldCharType="separate"/>
      </w:r>
      <w:r>
        <w:rPr>
          <w:noProof/>
        </w:rPr>
        <w:t>3</w:t>
      </w:r>
      <w:r>
        <w:rPr>
          <w:noProof/>
        </w:rPr>
        <w:fldChar w:fldCharType="end"/>
      </w:r>
    </w:p>
    <w:p w:rsidR="008E0B4C" w:rsidRDefault="008E0B4C">
      <w:pPr>
        <w:pStyle w:val="TOC3"/>
        <w:tabs>
          <w:tab w:val="left" w:pos="2160"/>
        </w:tabs>
        <w:rPr>
          <w:rFonts w:asciiTheme="minorHAnsi" w:eastAsiaTheme="minorEastAsia" w:hAnsiTheme="minorHAnsi"/>
          <w:noProof/>
          <w:sz w:val="22"/>
        </w:rPr>
      </w:pPr>
      <w:r>
        <w:rPr>
          <w:noProof/>
        </w:rPr>
        <w:t>2.</w:t>
      </w:r>
      <w:r>
        <w:rPr>
          <w:rFonts w:asciiTheme="minorHAnsi" w:eastAsiaTheme="minorEastAsia" w:hAnsiTheme="minorHAnsi"/>
          <w:noProof/>
          <w:sz w:val="22"/>
        </w:rPr>
        <w:tab/>
      </w:r>
      <w:r>
        <w:rPr>
          <w:noProof/>
        </w:rPr>
        <w:t>PJM provides transparency for generation units to understand performance obligations.</w:t>
      </w:r>
      <w:r>
        <w:rPr>
          <w:noProof/>
        </w:rPr>
        <w:tab/>
      </w:r>
      <w:r>
        <w:rPr>
          <w:noProof/>
        </w:rPr>
        <w:fldChar w:fldCharType="begin"/>
      </w:r>
      <w:r>
        <w:rPr>
          <w:noProof/>
        </w:rPr>
        <w:instrText xml:space="preserve"> PAGEREF _Toc409516623 \h </w:instrText>
      </w:r>
      <w:r>
        <w:rPr>
          <w:noProof/>
        </w:rPr>
      </w:r>
      <w:r>
        <w:rPr>
          <w:noProof/>
        </w:rPr>
        <w:fldChar w:fldCharType="separate"/>
      </w:r>
      <w:r>
        <w:rPr>
          <w:noProof/>
        </w:rPr>
        <w:t>4</w:t>
      </w:r>
      <w:r>
        <w:rPr>
          <w:noProof/>
        </w:rPr>
        <w:fldChar w:fldCharType="end"/>
      </w:r>
    </w:p>
    <w:p w:rsidR="008E0B4C" w:rsidRDefault="008E0B4C">
      <w:pPr>
        <w:pStyle w:val="TOC3"/>
        <w:tabs>
          <w:tab w:val="left" w:pos="2160"/>
        </w:tabs>
        <w:rPr>
          <w:rFonts w:asciiTheme="minorHAnsi" w:eastAsiaTheme="minorEastAsia" w:hAnsiTheme="minorHAnsi"/>
          <w:noProof/>
          <w:sz w:val="22"/>
        </w:rPr>
      </w:pPr>
      <w:r>
        <w:rPr>
          <w:noProof/>
        </w:rPr>
        <w:t>3.</w:t>
      </w:r>
      <w:r>
        <w:rPr>
          <w:rFonts w:asciiTheme="minorHAnsi" w:eastAsiaTheme="minorEastAsia" w:hAnsiTheme="minorHAnsi"/>
          <w:noProof/>
          <w:sz w:val="22"/>
        </w:rPr>
        <w:tab/>
      </w:r>
      <w:r>
        <w:rPr>
          <w:noProof/>
        </w:rPr>
        <w:t xml:space="preserve">Removing </w:t>
      </w:r>
      <w:r w:rsidRPr="007D1E33">
        <w:rPr>
          <w:i/>
          <w:noProof/>
        </w:rPr>
        <w:t>force majeure</w:t>
      </w:r>
      <w:r>
        <w:rPr>
          <w:noProof/>
        </w:rPr>
        <w:t xml:space="preserve"> provisions holds generation units accountable for meeting higher performance requirements.</w:t>
      </w:r>
      <w:r>
        <w:rPr>
          <w:noProof/>
        </w:rPr>
        <w:tab/>
      </w:r>
      <w:r>
        <w:rPr>
          <w:noProof/>
        </w:rPr>
        <w:fldChar w:fldCharType="begin"/>
      </w:r>
      <w:r>
        <w:rPr>
          <w:noProof/>
        </w:rPr>
        <w:instrText xml:space="preserve"> PAGEREF _Toc409516624 \h </w:instrText>
      </w:r>
      <w:r>
        <w:rPr>
          <w:noProof/>
        </w:rPr>
      </w:r>
      <w:r>
        <w:rPr>
          <w:noProof/>
        </w:rPr>
        <w:fldChar w:fldCharType="separate"/>
      </w:r>
      <w:r>
        <w:rPr>
          <w:noProof/>
        </w:rPr>
        <w:t>5</w:t>
      </w:r>
      <w:r>
        <w:rPr>
          <w:noProof/>
        </w:rPr>
        <w:fldChar w:fldCharType="end"/>
      </w:r>
    </w:p>
    <w:p w:rsidR="008E0B4C" w:rsidRDefault="008E0B4C">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PJM’s proposed penalty and incentive structure is consistent with Commission precedent.</w:t>
      </w:r>
      <w:r>
        <w:rPr>
          <w:noProof/>
        </w:rPr>
        <w:tab/>
      </w:r>
      <w:r>
        <w:rPr>
          <w:noProof/>
        </w:rPr>
        <w:fldChar w:fldCharType="begin"/>
      </w:r>
      <w:r>
        <w:rPr>
          <w:noProof/>
        </w:rPr>
        <w:instrText xml:space="preserve"> PAGEREF _Toc409516625 \h </w:instrText>
      </w:r>
      <w:r>
        <w:rPr>
          <w:noProof/>
        </w:rPr>
      </w:r>
      <w:r>
        <w:rPr>
          <w:noProof/>
        </w:rPr>
        <w:fldChar w:fldCharType="separate"/>
      </w:r>
      <w:r>
        <w:rPr>
          <w:noProof/>
        </w:rPr>
        <w:t>6</w:t>
      </w:r>
      <w:r>
        <w:rPr>
          <w:noProof/>
        </w:rPr>
        <w:fldChar w:fldCharType="end"/>
      </w:r>
    </w:p>
    <w:p w:rsidR="008E0B4C" w:rsidRDefault="008E0B4C">
      <w:pPr>
        <w:pStyle w:val="TOC3"/>
        <w:tabs>
          <w:tab w:val="left" w:pos="2160"/>
        </w:tabs>
        <w:rPr>
          <w:rFonts w:asciiTheme="minorHAnsi" w:eastAsiaTheme="minorEastAsia" w:hAnsiTheme="minorHAnsi"/>
          <w:noProof/>
          <w:sz w:val="22"/>
        </w:rPr>
      </w:pPr>
      <w:r>
        <w:rPr>
          <w:noProof/>
        </w:rPr>
        <w:t>1.</w:t>
      </w:r>
      <w:r>
        <w:rPr>
          <w:rFonts w:asciiTheme="minorHAnsi" w:eastAsiaTheme="minorEastAsia" w:hAnsiTheme="minorHAnsi"/>
          <w:noProof/>
          <w:sz w:val="22"/>
        </w:rPr>
        <w:tab/>
      </w:r>
      <w:r>
        <w:rPr>
          <w:noProof/>
        </w:rPr>
        <w:t>RPM requires an equitable balance of both penalties and incentives.</w:t>
      </w:r>
      <w:r>
        <w:rPr>
          <w:noProof/>
        </w:rPr>
        <w:tab/>
      </w:r>
      <w:r>
        <w:rPr>
          <w:noProof/>
        </w:rPr>
        <w:fldChar w:fldCharType="begin"/>
      </w:r>
      <w:r>
        <w:rPr>
          <w:noProof/>
        </w:rPr>
        <w:instrText xml:space="preserve"> PAGEREF _Toc409516626 \h </w:instrText>
      </w:r>
      <w:r>
        <w:rPr>
          <w:noProof/>
        </w:rPr>
      </w:r>
      <w:r>
        <w:rPr>
          <w:noProof/>
        </w:rPr>
        <w:fldChar w:fldCharType="separate"/>
      </w:r>
      <w:r>
        <w:rPr>
          <w:noProof/>
        </w:rPr>
        <w:t>6</w:t>
      </w:r>
      <w:r>
        <w:rPr>
          <w:noProof/>
        </w:rPr>
        <w:fldChar w:fldCharType="end"/>
      </w:r>
    </w:p>
    <w:p w:rsidR="008E0B4C" w:rsidRDefault="008E0B4C">
      <w:pPr>
        <w:pStyle w:val="TOC3"/>
        <w:tabs>
          <w:tab w:val="left" w:pos="2160"/>
        </w:tabs>
        <w:rPr>
          <w:rFonts w:asciiTheme="minorHAnsi" w:eastAsiaTheme="minorEastAsia" w:hAnsiTheme="minorHAnsi"/>
          <w:noProof/>
          <w:sz w:val="22"/>
        </w:rPr>
      </w:pPr>
      <w:r>
        <w:rPr>
          <w:noProof/>
        </w:rPr>
        <w:t>2.</w:t>
      </w:r>
      <w:r>
        <w:rPr>
          <w:rFonts w:asciiTheme="minorHAnsi" w:eastAsiaTheme="minorEastAsia" w:hAnsiTheme="minorHAnsi"/>
          <w:noProof/>
          <w:sz w:val="22"/>
        </w:rPr>
        <w:tab/>
      </w:r>
      <w:r>
        <w:rPr>
          <w:noProof/>
        </w:rPr>
        <w:t>PJM’s transition mechanism creates a reasonable glide path for generation units to meet more stringent performance standards.</w:t>
      </w:r>
      <w:r>
        <w:rPr>
          <w:noProof/>
        </w:rPr>
        <w:tab/>
      </w:r>
      <w:r>
        <w:rPr>
          <w:noProof/>
        </w:rPr>
        <w:fldChar w:fldCharType="begin"/>
      </w:r>
      <w:r>
        <w:rPr>
          <w:noProof/>
        </w:rPr>
        <w:instrText xml:space="preserve"> PAGEREF _Toc409516627 \h </w:instrText>
      </w:r>
      <w:r>
        <w:rPr>
          <w:noProof/>
        </w:rPr>
      </w:r>
      <w:r>
        <w:rPr>
          <w:noProof/>
        </w:rPr>
        <w:fldChar w:fldCharType="separate"/>
      </w:r>
      <w:r>
        <w:rPr>
          <w:noProof/>
        </w:rPr>
        <w:t>9</w:t>
      </w:r>
      <w:r>
        <w:rPr>
          <w:noProof/>
        </w:rPr>
        <w:fldChar w:fldCharType="end"/>
      </w:r>
    </w:p>
    <w:p w:rsidR="008E0B4C" w:rsidRDefault="008E0B4C">
      <w:pPr>
        <w:pStyle w:val="TOC3"/>
        <w:tabs>
          <w:tab w:val="left" w:pos="2160"/>
        </w:tabs>
        <w:rPr>
          <w:rFonts w:asciiTheme="minorHAnsi" w:eastAsiaTheme="minorEastAsia" w:hAnsiTheme="minorHAnsi"/>
          <w:noProof/>
          <w:sz w:val="22"/>
        </w:rPr>
      </w:pPr>
      <w:r>
        <w:rPr>
          <w:noProof/>
        </w:rPr>
        <w:t>3.</w:t>
      </w:r>
      <w:r>
        <w:rPr>
          <w:rFonts w:asciiTheme="minorHAnsi" w:eastAsiaTheme="minorEastAsia" w:hAnsiTheme="minorHAnsi"/>
          <w:noProof/>
          <w:sz w:val="22"/>
        </w:rPr>
        <w:tab/>
      </w:r>
      <w:r>
        <w:rPr>
          <w:noProof/>
        </w:rPr>
        <w:t>All resources physically capable of meeting capacity performance requirements should be required to submit capacity performance offers.</w:t>
      </w:r>
      <w:r>
        <w:rPr>
          <w:noProof/>
        </w:rPr>
        <w:tab/>
      </w:r>
      <w:r>
        <w:rPr>
          <w:noProof/>
        </w:rPr>
        <w:fldChar w:fldCharType="begin"/>
      </w:r>
      <w:r>
        <w:rPr>
          <w:noProof/>
        </w:rPr>
        <w:instrText xml:space="preserve"> PAGEREF _Toc409516628 \h </w:instrText>
      </w:r>
      <w:r>
        <w:rPr>
          <w:noProof/>
        </w:rPr>
      </w:r>
      <w:r>
        <w:rPr>
          <w:noProof/>
        </w:rPr>
        <w:fldChar w:fldCharType="separate"/>
      </w:r>
      <w:r>
        <w:rPr>
          <w:noProof/>
        </w:rPr>
        <w:t>11</w:t>
      </w:r>
      <w:r>
        <w:rPr>
          <w:noProof/>
        </w:rPr>
        <w:fldChar w:fldCharType="end"/>
      </w:r>
    </w:p>
    <w:p w:rsidR="008E0B4C" w:rsidRDefault="008E0B4C">
      <w:pPr>
        <w:pStyle w:val="TOC2"/>
        <w:tabs>
          <w:tab w:val="left" w:pos="1440"/>
        </w:tabs>
        <w:rPr>
          <w:rFonts w:asciiTheme="minorHAnsi" w:eastAsiaTheme="minorEastAsia" w:hAnsiTheme="minorHAnsi"/>
          <w:noProof/>
          <w:sz w:val="22"/>
        </w:rPr>
      </w:pPr>
      <w:r>
        <w:rPr>
          <w:noProof/>
        </w:rPr>
        <w:t>C.</w:t>
      </w:r>
      <w:r>
        <w:rPr>
          <w:rFonts w:asciiTheme="minorHAnsi" w:eastAsiaTheme="minorEastAsia" w:hAnsiTheme="minorHAnsi"/>
          <w:noProof/>
          <w:sz w:val="22"/>
        </w:rPr>
        <w:tab/>
      </w:r>
      <w:r>
        <w:rPr>
          <w:noProof/>
        </w:rPr>
        <w:t xml:space="preserve">Because capacity performance is a reliability initiative, it must apply to </w:t>
      </w:r>
      <w:r w:rsidRPr="007D1E33">
        <w:rPr>
          <w:noProof/>
          <w:u w:val="single"/>
        </w:rPr>
        <w:t>ALL</w:t>
      </w:r>
      <w:r>
        <w:rPr>
          <w:noProof/>
        </w:rPr>
        <w:t xml:space="preserve"> generation resources, including FRR entities.</w:t>
      </w:r>
      <w:r>
        <w:rPr>
          <w:noProof/>
        </w:rPr>
        <w:tab/>
      </w:r>
      <w:r>
        <w:rPr>
          <w:noProof/>
        </w:rPr>
        <w:fldChar w:fldCharType="begin"/>
      </w:r>
      <w:r>
        <w:rPr>
          <w:noProof/>
        </w:rPr>
        <w:instrText xml:space="preserve"> PAGEREF _Toc409516629 \h </w:instrText>
      </w:r>
      <w:r>
        <w:rPr>
          <w:noProof/>
        </w:rPr>
      </w:r>
      <w:r>
        <w:rPr>
          <w:noProof/>
        </w:rPr>
        <w:fldChar w:fldCharType="separate"/>
      </w:r>
      <w:r>
        <w:rPr>
          <w:noProof/>
        </w:rPr>
        <w:t>11</w:t>
      </w:r>
      <w:r>
        <w:rPr>
          <w:noProof/>
        </w:rPr>
        <w:fldChar w:fldCharType="end"/>
      </w:r>
    </w:p>
    <w:p w:rsidR="008E0B4C" w:rsidRDefault="008E0B4C">
      <w:pPr>
        <w:pStyle w:val="TOC1"/>
        <w:rPr>
          <w:rFonts w:asciiTheme="minorHAnsi" w:eastAsiaTheme="minorEastAsia" w:hAnsiTheme="minorHAnsi"/>
          <w:noProof/>
          <w:sz w:val="22"/>
        </w:rPr>
      </w:pPr>
      <w:r>
        <w:rPr>
          <w:noProof/>
        </w:rPr>
        <w:t>III.</w:t>
      </w:r>
      <w:r>
        <w:rPr>
          <w:rFonts w:asciiTheme="minorHAnsi" w:eastAsiaTheme="minorEastAsia" w:hAnsiTheme="minorHAnsi"/>
          <w:noProof/>
          <w:sz w:val="22"/>
        </w:rPr>
        <w:tab/>
      </w:r>
      <w:r>
        <w:rPr>
          <w:noProof/>
        </w:rPr>
        <w:t>Recommendations</w:t>
      </w:r>
      <w:r>
        <w:rPr>
          <w:noProof/>
        </w:rPr>
        <w:tab/>
      </w:r>
      <w:r>
        <w:rPr>
          <w:noProof/>
        </w:rPr>
        <w:fldChar w:fldCharType="begin"/>
      </w:r>
      <w:r>
        <w:rPr>
          <w:noProof/>
        </w:rPr>
        <w:instrText xml:space="preserve"> PAGEREF _Toc409516630 \h </w:instrText>
      </w:r>
      <w:r>
        <w:rPr>
          <w:noProof/>
        </w:rPr>
      </w:r>
      <w:r>
        <w:rPr>
          <w:noProof/>
        </w:rPr>
        <w:fldChar w:fldCharType="separate"/>
      </w:r>
      <w:r>
        <w:rPr>
          <w:noProof/>
        </w:rPr>
        <w:t>12</w:t>
      </w:r>
      <w:r>
        <w:rPr>
          <w:noProof/>
        </w:rPr>
        <w:fldChar w:fldCharType="end"/>
      </w:r>
    </w:p>
    <w:p w:rsidR="008E0B4C" w:rsidRDefault="008E0B4C">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The short-term resource procurement target should be maintained.</w:t>
      </w:r>
      <w:r>
        <w:rPr>
          <w:noProof/>
        </w:rPr>
        <w:tab/>
      </w:r>
      <w:r>
        <w:rPr>
          <w:noProof/>
        </w:rPr>
        <w:fldChar w:fldCharType="begin"/>
      </w:r>
      <w:r>
        <w:rPr>
          <w:noProof/>
        </w:rPr>
        <w:instrText xml:space="preserve"> PAGEREF _Toc409516631 \h </w:instrText>
      </w:r>
      <w:r>
        <w:rPr>
          <w:noProof/>
        </w:rPr>
      </w:r>
      <w:r>
        <w:rPr>
          <w:noProof/>
        </w:rPr>
        <w:fldChar w:fldCharType="separate"/>
      </w:r>
      <w:r>
        <w:rPr>
          <w:noProof/>
        </w:rPr>
        <w:t>13</w:t>
      </w:r>
      <w:r>
        <w:rPr>
          <w:noProof/>
        </w:rPr>
        <w:fldChar w:fldCharType="end"/>
      </w:r>
    </w:p>
    <w:p w:rsidR="008E0B4C" w:rsidRDefault="008E0B4C">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PJM must allow for the review of generation unit data to avoid the exercise of market power.</w:t>
      </w:r>
      <w:r>
        <w:rPr>
          <w:noProof/>
        </w:rPr>
        <w:tab/>
      </w:r>
      <w:r>
        <w:rPr>
          <w:noProof/>
        </w:rPr>
        <w:fldChar w:fldCharType="begin"/>
      </w:r>
      <w:r>
        <w:rPr>
          <w:noProof/>
        </w:rPr>
        <w:instrText xml:space="preserve"> PAGEREF _Toc409516632 \h </w:instrText>
      </w:r>
      <w:r>
        <w:rPr>
          <w:noProof/>
        </w:rPr>
      </w:r>
      <w:r>
        <w:rPr>
          <w:noProof/>
        </w:rPr>
        <w:fldChar w:fldCharType="separate"/>
      </w:r>
      <w:r>
        <w:rPr>
          <w:noProof/>
        </w:rPr>
        <w:t>14</w:t>
      </w:r>
      <w:r>
        <w:rPr>
          <w:noProof/>
        </w:rPr>
        <w:fldChar w:fldCharType="end"/>
      </w:r>
    </w:p>
    <w:p w:rsidR="008E0B4C" w:rsidRDefault="008E0B4C">
      <w:pPr>
        <w:pStyle w:val="TOC2"/>
        <w:tabs>
          <w:tab w:val="left" w:pos="1440"/>
        </w:tabs>
        <w:rPr>
          <w:rFonts w:asciiTheme="minorHAnsi" w:eastAsiaTheme="minorEastAsia" w:hAnsiTheme="minorHAnsi"/>
          <w:noProof/>
          <w:sz w:val="22"/>
        </w:rPr>
      </w:pPr>
      <w:r>
        <w:rPr>
          <w:noProof/>
        </w:rPr>
        <w:t>C.</w:t>
      </w:r>
      <w:r>
        <w:rPr>
          <w:rFonts w:asciiTheme="minorHAnsi" w:eastAsiaTheme="minorEastAsia" w:hAnsiTheme="minorHAnsi"/>
          <w:noProof/>
          <w:sz w:val="22"/>
        </w:rPr>
        <w:tab/>
      </w:r>
      <w:r>
        <w:rPr>
          <w:noProof/>
        </w:rPr>
        <w:t>PJM should avoid creating a “hybrid” base capacity demand resource product.</w:t>
      </w:r>
      <w:r>
        <w:rPr>
          <w:noProof/>
        </w:rPr>
        <w:tab/>
      </w:r>
      <w:r>
        <w:rPr>
          <w:noProof/>
        </w:rPr>
        <w:fldChar w:fldCharType="begin"/>
      </w:r>
      <w:r>
        <w:rPr>
          <w:noProof/>
        </w:rPr>
        <w:instrText xml:space="preserve"> PAGEREF _Toc409516633 \h </w:instrText>
      </w:r>
      <w:r>
        <w:rPr>
          <w:noProof/>
        </w:rPr>
      </w:r>
      <w:r>
        <w:rPr>
          <w:noProof/>
        </w:rPr>
        <w:fldChar w:fldCharType="separate"/>
      </w:r>
      <w:r>
        <w:rPr>
          <w:noProof/>
        </w:rPr>
        <w:t>16</w:t>
      </w:r>
      <w:r>
        <w:rPr>
          <w:noProof/>
        </w:rPr>
        <w:fldChar w:fldCharType="end"/>
      </w:r>
    </w:p>
    <w:p w:rsidR="008E0B4C" w:rsidRDefault="008E0B4C">
      <w:pPr>
        <w:pStyle w:val="TOC1"/>
        <w:rPr>
          <w:rFonts w:asciiTheme="minorHAnsi" w:eastAsiaTheme="minorEastAsia" w:hAnsiTheme="minorHAnsi"/>
          <w:noProof/>
          <w:sz w:val="22"/>
        </w:rPr>
      </w:pPr>
      <w:r>
        <w:rPr>
          <w:noProof/>
        </w:rPr>
        <w:lastRenderedPageBreak/>
        <w:t>IV.</w:t>
      </w:r>
      <w:r>
        <w:rPr>
          <w:rFonts w:asciiTheme="minorHAnsi" w:eastAsiaTheme="minorEastAsia" w:hAnsiTheme="minorHAnsi"/>
          <w:noProof/>
          <w:sz w:val="22"/>
        </w:rPr>
        <w:tab/>
      </w:r>
      <w:r>
        <w:rPr>
          <w:noProof/>
        </w:rPr>
        <w:t>Conclusion</w:t>
      </w:r>
      <w:r>
        <w:rPr>
          <w:noProof/>
        </w:rPr>
        <w:tab/>
      </w:r>
      <w:r>
        <w:rPr>
          <w:noProof/>
        </w:rPr>
        <w:fldChar w:fldCharType="begin"/>
      </w:r>
      <w:r>
        <w:rPr>
          <w:noProof/>
        </w:rPr>
        <w:instrText xml:space="preserve"> PAGEREF _Toc409516634 \h </w:instrText>
      </w:r>
      <w:r>
        <w:rPr>
          <w:noProof/>
        </w:rPr>
      </w:r>
      <w:r>
        <w:rPr>
          <w:noProof/>
        </w:rPr>
        <w:fldChar w:fldCharType="separate"/>
      </w:r>
      <w:r>
        <w:rPr>
          <w:noProof/>
        </w:rPr>
        <w:t>17</w:t>
      </w:r>
      <w:r>
        <w:rPr>
          <w:noProof/>
        </w:rPr>
        <w:fldChar w:fldCharType="end"/>
      </w:r>
    </w:p>
    <w:p w:rsidR="008E0B4C" w:rsidRDefault="008E0B4C">
      <w:pPr>
        <w:pStyle w:val="TOC1"/>
        <w:rPr>
          <w:rFonts w:asciiTheme="minorHAnsi" w:eastAsiaTheme="minorEastAsia" w:hAnsiTheme="minorHAnsi"/>
          <w:noProof/>
          <w:sz w:val="22"/>
        </w:rPr>
      </w:pPr>
      <w:r w:rsidRPr="007D1E33">
        <w:rPr>
          <w:rFonts w:eastAsia="Times New Roman"/>
          <w:noProof/>
        </w:rPr>
        <w:t>V.</w:t>
      </w:r>
      <w:r>
        <w:rPr>
          <w:rFonts w:asciiTheme="minorHAnsi" w:eastAsiaTheme="minorEastAsia" w:hAnsiTheme="minorHAnsi"/>
          <w:noProof/>
          <w:sz w:val="22"/>
        </w:rPr>
        <w:tab/>
      </w:r>
      <w:r w:rsidRPr="007D1E33">
        <w:rPr>
          <w:rFonts w:eastAsia="Times New Roman"/>
          <w:noProof/>
        </w:rPr>
        <w:t>Certificate of Service</w:t>
      </w:r>
      <w:r>
        <w:rPr>
          <w:noProof/>
        </w:rPr>
        <w:tab/>
      </w:r>
      <w:r>
        <w:rPr>
          <w:noProof/>
        </w:rPr>
        <w:fldChar w:fldCharType="begin"/>
      </w:r>
      <w:r>
        <w:rPr>
          <w:noProof/>
        </w:rPr>
        <w:instrText xml:space="preserve"> PAGEREF _Toc409516635 \h </w:instrText>
      </w:r>
      <w:r>
        <w:rPr>
          <w:noProof/>
        </w:rPr>
      </w:r>
      <w:r>
        <w:rPr>
          <w:noProof/>
        </w:rPr>
        <w:fldChar w:fldCharType="separate"/>
      </w:r>
      <w:r>
        <w:rPr>
          <w:noProof/>
        </w:rPr>
        <w:t>19</w:t>
      </w:r>
      <w:r>
        <w:rPr>
          <w:noProof/>
        </w:rPr>
        <w:fldChar w:fldCharType="end"/>
      </w:r>
    </w:p>
    <w:p w:rsidR="006A2A0D" w:rsidRDefault="006A2A0D" w:rsidP="00483BD3">
      <w:pPr>
        <w:spacing w:after="0" w:line="240" w:lineRule="auto"/>
        <w:jc w:val="center"/>
        <w:rPr>
          <w:rFonts w:ascii="Times New Roman" w:eastAsia="Times New Roman" w:hAnsi="Times New Roman" w:cs="Times New Roman"/>
          <w:b/>
          <w:sz w:val="26"/>
          <w:szCs w:val="26"/>
          <w:lang w:bidi="en-US"/>
        </w:rPr>
      </w:pPr>
      <w:r>
        <w:rPr>
          <w:rFonts w:ascii="Times New Roman" w:eastAsia="Times New Roman" w:hAnsi="Times New Roman" w:cs="Times New Roman"/>
          <w:b/>
          <w:sz w:val="26"/>
          <w:szCs w:val="26"/>
          <w:lang w:bidi="en-US"/>
        </w:rPr>
        <w:fldChar w:fldCharType="end"/>
      </w:r>
    </w:p>
    <w:p w:rsidR="006A2A0D" w:rsidRDefault="006A2A0D" w:rsidP="00483BD3">
      <w:pPr>
        <w:spacing w:after="0" w:line="240" w:lineRule="auto"/>
        <w:jc w:val="center"/>
        <w:rPr>
          <w:rFonts w:ascii="Times New Roman" w:eastAsia="Times New Roman" w:hAnsi="Times New Roman" w:cs="Times New Roman"/>
          <w:b/>
          <w:sz w:val="26"/>
          <w:szCs w:val="26"/>
          <w:lang w:bidi="en-US"/>
        </w:rPr>
        <w:sectPr w:rsidR="006A2A0D" w:rsidSect="00A266D7">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rsidR="00483BD3" w:rsidRPr="00A7466C" w:rsidRDefault="00483BD3" w:rsidP="00483BD3">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lastRenderedPageBreak/>
        <w:t>UNITED STATES OF AMERICA</w:t>
      </w:r>
    </w:p>
    <w:p w:rsidR="00483BD3" w:rsidRPr="00A7466C" w:rsidRDefault="00483BD3" w:rsidP="00483BD3">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BEFORE THE</w:t>
      </w:r>
    </w:p>
    <w:p w:rsidR="00483BD3" w:rsidRPr="00A7466C" w:rsidRDefault="00483BD3" w:rsidP="00483BD3">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FEDERAL ENERGY REGULATORY COMMISSION</w:t>
      </w:r>
    </w:p>
    <w:p w:rsidR="00483BD3" w:rsidRPr="00A7466C" w:rsidRDefault="00483BD3" w:rsidP="00483BD3">
      <w:pPr>
        <w:spacing w:after="0" w:line="240" w:lineRule="auto"/>
        <w:jc w:val="center"/>
        <w:rPr>
          <w:rFonts w:ascii="Times New Roman" w:eastAsia="Times New Roman" w:hAnsi="Times New Roman" w:cs="Times New Roman"/>
          <w:sz w:val="26"/>
          <w:szCs w:val="26"/>
          <w:lang w:bidi="en-US"/>
        </w:rPr>
      </w:pPr>
    </w:p>
    <w:p w:rsidR="00483BD3" w:rsidRPr="00A7466C" w:rsidRDefault="00483BD3" w:rsidP="00483BD3">
      <w:pPr>
        <w:spacing w:after="0" w:line="240" w:lineRule="auto"/>
        <w:jc w:val="center"/>
        <w:rPr>
          <w:rFonts w:ascii="Times New Roman" w:eastAsia="Times New Roman" w:hAnsi="Times New Roman" w:cs="Times New Roman"/>
          <w:sz w:val="26"/>
          <w:szCs w:val="26"/>
          <w:lang w:bidi="en-US"/>
        </w:rPr>
      </w:pPr>
    </w:p>
    <w:p w:rsidR="00483BD3" w:rsidRPr="00A7466C" w:rsidRDefault="00483BD3" w:rsidP="00483BD3">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r w:rsidRPr="00A7466C">
        <w:rPr>
          <w:rFonts w:ascii="Times New Roman" w:eastAsia="Times New Roman" w:hAnsi="Times New Roman" w:cs="Times New Roman"/>
          <w:sz w:val="26"/>
          <w:szCs w:val="26"/>
          <w:lang w:bidi="en-US"/>
        </w:rPr>
        <w:tab/>
      </w:r>
      <w:r w:rsidRPr="00A7466C">
        <w:rPr>
          <w:rFonts w:ascii="Times New Roman" w:eastAsia="Times New Roman" w:hAnsi="Times New Roman" w:cs="Times New Roman"/>
          <w:sz w:val="26"/>
          <w:szCs w:val="26"/>
          <w:lang w:bidi="en-US"/>
        </w:rPr>
        <w:tab/>
        <w:t>:</w:t>
      </w:r>
      <w:r w:rsidRPr="00A7466C">
        <w:rPr>
          <w:rFonts w:ascii="Times New Roman" w:eastAsia="Times New Roman" w:hAnsi="Times New Roman" w:cs="Times New Roman"/>
          <w:sz w:val="26"/>
          <w:szCs w:val="26"/>
          <w:lang w:bidi="en-US"/>
        </w:rPr>
        <w:tab/>
      </w:r>
      <w:r>
        <w:rPr>
          <w:rFonts w:ascii="Times New Roman" w:eastAsia="Times New Roman" w:hAnsi="Times New Roman" w:cs="Times New Roman"/>
          <w:sz w:val="26"/>
          <w:szCs w:val="26"/>
          <w:lang w:bidi="en-US"/>
        </w:rPr>
        <w:t>ER1</w:t>
      </w:r>
      <w:r w:rsidR="006D0979">
        <w:rPr>
          <w:rFonts w:ascii="Times New Roman" w:eastAsia="Times New Roman" w:hAnsi="Times New Roman" w:cs="Times New Roman"/>
          <w:sz w:val="26"/>
          <w:szCs w:val="26"/>
          <w:lang w:bidi="en-US"/>
        </w:rPr>
        <w:t>5-623</w:t>
      </w:r>
      <w:r>
        <w:rPr>
          <w:rFonts w:ascii="Times New Roman" w:eastAsia="Times New Roman" w:hAnsi="Times New Roman" w:cs="Times New Roman"/>
          <w:sz w:val="26"/>
          <w:szCs w:val="26"/>
          <w:lang w:bidi="en-US"/>
        </w:rPr>
        <w:t>-</w:t>
      </w:r>
      <w:r w:rsidR="006D0979">
        <w:rPr>
          <w:rFonts w:ascii="Times New Roman" w:eastAsia="Times New Roman" w:hAnsi="Times New Roman" w:cs="Times New Roman"/>
          <w:sz w:val="26"/>
          <w:szCs w:val="26"/>
          <w:lang w:bidi="en-US"/>
        </w:rPr>
        <w:t>000</w:t>
      </w:r>
    </w:p>
    <w:p w:rsidR="00483BD3" w:rsidRPr="00A7466C" w:rsidRDefault="00483BD3" w:rsidP="00483BD3">
      <w:pPr>
        <w:spacing w:after="0" w:line="240" w:lineRule="auto"/>
        <w:jc w:val="center"/>
        <w:rPr>
          <w:rFonts w:ascii="Times New Roman" w:eastAsia="Times New Roman" w:hAnsi="Times New Roman" w:cs="Times New Roman"/>
          <w:sz w:val="26"/>
          <w:szCs w:val="26"/>
          <w:lang w:bidi="en-US"/>
        </w:rPr>
      </w:pPr>
    </w:p>
    <w:p w:rsidR="00483BD3" w:rsidRPr="00A7466C" w:rsidRDefault="00483BD3" w:rsidP="00483BD3">
      <w:pPr>
        <w:spacing w:after="0" w:line="240" w:lineRule="auto"/>
        <w:jc w:val="both"/>
        <w:rPr>
          <w:rFonts w:ascii="Times New Roman" w:eastAsia="Times New Roman" w:hAnsi="Times New Roman" w:cs="Times New Roman"/>
          <w:sz w:val="26"/>
          <w:szCs w:val="26"/>
          <w:lang w:bidi="en-US"/>
        </w:rPr>
      </w:pPr>
    </w:p>
    <w:p w:rsidR="00483BD3" w:rsidRPr="00A7466C" w:rsidRDefault="008E0B4C" w:rsidP="00483BD3">
      <w:pPr>
        <w:tabs>
          <w:tab w:val="left" w:pos="720"/>
          <w:tab w:val="left" w:pos="1440"/>
          <w:tab w:val="left" w:pos="2880"/>
          <w:tab w:val="left" w:pos="4320"/>
          <w:tab w:val="left" w:pos="5040"/>
          <w:tab w:val="left" w:pos="5760"/>
          <w:tab w:val="left" w:pos="6480"/>
          <w:tab w:val="left" w:pos="7200"/>
        </w:tabs>
        <w:spacing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7" style="width:468pt;height:1.5pt" o:hrstd="t" o:hrnoshade="t" o:hr="t" fillcolor="black" stroked="f"/>
        </w:pict>
      </w:r>
    </w:p>
    <w:p w:rsidR="00483BD3" w:rsidRPr="00A7466C" w:rsidRDefault="00483BD3" w:rsidP="00483BD3">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Pr>
          <w:rFonts w:ascii="Times New Roman" w:eastAsia="Times New Roman" w:hAnsi="Times New Roman" w:cs="Times New Roman"/>
          <w:b/>
          <w:sz w:val="36"/>
          <w:szCs w:val="36"/>
          <w:lang w:bidi="en-US"/>
        </w:rPr>
        <w:t>COMMENTS</w:t>
      </w:r>
      <w:r w:rsidR="006D0979">
        <w:rPr>
          <w:rFonts w:ascii="Times New Roman" w:eastAsia="Times New Roman" w:hAnsi="Times New Roman" w:cs="Times New Roman"/>
          <w:b/>
          <w:sz w:val="36"/>
          <w:szCs w:val="36"/>
          <w:lang w:bidi="en-US"/>
        </w:rPr>
        <w:t xml:space="preserve"> </w:t>
      </w:r>
      <w:r w:rsidR="00881A2B">
        <w:rPr>
          <w:rFonts w:ascii="Times New Roman" w:eastAsia="Times New Roman" w:hAnsi="Times New Roman" w:cs="Times New Roman"/>
          <w:b/>
          <w:sz w:val="36"/>
          <w:szCs w:val="36"/>
          <w:lang w:bidi="en-US"/>
        </w:rPr>
        <w:t>AND</w:t>
      </w:r>
      <w:r w:rsidR="006D0979">
        <w:rPr>
          <w:rFonts w:ascii="Times New Roman" w:eastAsia="Times New Roman" w:hAnsi="Times New Roman" w:cs="Times New Roman"/>
          <w:b/>
          <w:sz w:val="36"/>
          <w:szCs w:val="36"/>
          <w:lang w:bidi="en-US"/>
        </w:rPr>
        <w:t xml:space="preserve"> LIMITED PROTEST</w:t>
      </w:r>
    </w:p>
    <w:p w:rsidR="00483BD3" w:rsidRPr="00A7466C" w:rsidRDefault="00483BD3" w:rsidP="00483BD3">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SUBMITTED ON BEHALF OF</w:t>
      </w:r>
    </w:p>
    <w:p w:rsidR="00483BD3" w:rsidRPr="002B702B" w:rsidRDefault="00483BD3" w:rsidP="00483BD3">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color w:val="FF0000"/>
          <w:sz w:val="26"/>
          <w:szCs w:val="26"/>
          <w:lang w:bidi="en-US"/>
        </w:rPr>
      </w:pPr>
      <w:r w:rsidRPr="00A7466C">
        <w:rPr>
          <w:rFonts w:ascii="Times New Roman" w:eastAsia="Times New Roman" w:hAnsi="Times New Roman" w:cs="Times New Roman"/>
          <w:b/>
          <w:sz w:val="26"/>
          <w:szCs w:val="26"/>
          <w:lang w:bidi="en-US"/>
        </w:rPr>
        <w:t xml:space="preserve">THE </w:t>
      </w:r>
      <w:r>
        <w:rPr>
          <w:rFonts w:ascii="Times New Roman" w:eastAsia="Times New Roman" w:hAnsi="Times New Roman" w:cs="Times New Roman"/>
          <w:b/>
          <w:sz w:val="26"/>
          <w:szCs w:val="26"/>
          <w:lang w:bidi="en-US"/>
        </w:rPr>
        <w:t xml:space="preserve">PUBLIC UTILITIES COMMISSION OF OHIO </w:t>
      </w:r>
    </w:p>
    <w:p w:rsidR="006D0979" w:rsidRPr="006D0979" w:rsidRDefault="008E0B4C" w:rsidP="006D0979">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8" style="width:468pt;height:1.5pt" o:hralign="center" o:hrstd="t" o:hrnoshade="t" o:hr="t" fillcolor="black" stroked="f"/>
        </w:pict>
      </w:r>
    </w:p>
    <w:p w:rsidR="00573C38" w:rsidRDefault="00573C38" w:rsidP="00303769">
      <w:pPr>
        <w:pStyle w:val="Textstyle"/>
      </w:pPr>
      <w:r>
        <w:tab/>
        <w:t>Pursuant to Rule 211 of the Federal Energy Regulatory Commission’s (Com</w:t>
      </w:r>
      <w:r w:rsidR="00AC3620">
        <w:softHyphen/>
      </w:r>
      <w:r>
        <w:t>mission) Rules of Practice and Procedure, 18 C.F.R. 385.211, and the notice issued by the Commission on December 12, 2014, the Public Utilities Commission of Ohio</w:t>
      </w:r>
      <w:r>
        <w:rPr>
          <w:color w:val="FF0000"/>
        </w:rPr>
        <w:t xml:space="preserve"> </w:t>
      </w:r>
      <w:r>
        <w:rPr>
          <w:color w:val="auto"/>
        </w:rPr>
        <w:t xml:space="preserve">(PUCO) </w:t>
      </w:r>
      <w:r>
        <w:t>hereby submits the following com</w:t>
      </w:r>
      <w:r>
        <w:softHyphen/>
        <w:t>ments and limited protest in response to PJM Intercon</w:t>
      </w:r>
      <w:r w:rsidR="00AC3620">
        <w:softHyphen/>
      </w:r>
      <w:r>
        <w:t xml:space="preserve">nection, </w:t>
      </w:r>
      <w:proofErr w:type="spellStart"/>
      <w:r>
        <w:t>L.L.C’s</w:t>
      </w:r>
      <w:proofErr w:type="spellEnd"/>
      <w:r>
        <w:t xml:space="preserve"> (PJM) proposed reforms to its Reliability Pricing Model (RPM), Open Access Transmission Tariff (Tariff) and Reliability Assurance Agreement (RAA).  The PUCO intervened in this matter on January 12, 2015.</w:t>
      </w:r>
    </w:p>
    <w:p w:rsidR="00EE1F49" w:rsidRPr="00EE1F49" w:rsidRDefault="00EE1F49" w:rsidP="00303769">
      <w:pPr>
        <w:pStyle w:val="Heading1"/>
      </w:pPr>
      <w:bookmarkStart w:id="1" w:name="_Toc409516619"/>
      <w:r w:rsidRPr="00EE1F49">
        <w:t>I.</w:t>
      </w:r>
      <w:r w:rsidRPr="00EE1F49">
        <w:tab/>
        <w:t>Introduction</w:t>
      </w:r>
      <w:bookmarkEnd w:id="1"/>
    </w:p>
    <w:p w:rsidR="00EE1F49" w:rsidRDefault="00EE1F49" w:rsidP="00303769">
      <w:pPr>
        <w:pStyle w:val="Textstyle"/>
      </w:pPr>
      <w:r>
        <w:rPr>
          <w:b/>
        </w:rPr>
        <w:tab/>
      </w:r>
      <w:r>
        <w:t xml:space="preserve">The </w:t>
      </w:r>
      <w:r w:rsidR="00573C38">
        <w:t>PUCO</w:t>
      </w:r>
      <w:r>
        <w:t xml:space="preserve"> supports PJM</w:t>
      </w:r>
      <w:r w:rsidR="00573C38">
        <w:t xml:space="preserve">’s </w:t>
      </w:r>
      <w:r>
        <w:t xml:space="preserve">proposed reforms to its </w:t>
      </w:r>
      <w:r w:rsidR="00573C38">
        <w:t xml:space="preserve">RPM </w:t>
      </w:r>
      <w:r>
        <w:t>(referred to herein as “Capacity Performance”).  The PUCO maintains that the proposed Capacity Perfor</w:t>
      </w:r>
      <w:r w:rsidR="00AC3620">
        <w:softHyphen/>
      </w:r>
      <w:r>
        <w:t xml:space="preserve">mance reforms reflect a reasonable </w:t>
      </w:r>
      <w:r w:rsidR="00946BEA">
        <w:t>approach to improve reliability and are</w:t>
      </w:r>
      <w:r>
        <w:t xml:space="preserve"> consistent with </w:t>
      </w:r>
      <w:r>
        <w:lastRenderedPageBreak/>
        <w:t xml:space="preserve">the </w:t>
      </w:r>
      <w:r w:rsidR="00573C38">
        <w:t>Commission’s</w:t>
      </w:r>
      <w:r>
        <w:t xml:space="preserve"> concerns regarding generation unit performance.</w:t>
      </w:r>
      <w:r w:rsidR="00946BEA">
        <w:rPr>
          <w:rStyle w:val="FootnoteReference"/>
        </w:rPr>
        <w:footnoteReference w:id="1"/>
      </w:r>
      <w:r>
        <w:t xml:space="preserve">  Specifically, the PUCO supports PJM’s efforts to:</w:t>
      </w:r>
    </w:p>
    <w:p w:rsidR="00EE1F49" w:rsidRDefault="00EE1F49" w:rsidP="00303769">
      <w:pPr>
        <w:pStyle w:val="Textstyle"/>
        <w:numPr>
          <w:ilvl w:val="0"/>
          <w:numId w:val="4"/>
        </w:numPr>
      </w:pPr>
      <w:r>
        <w:t>Improve reliability through the establishment of performance incentives.</w:t>
      </w:r>
    </w:p>
    <w:p w:rsidR="00EE1F49" w:rsidRDefault="00EE1F49" w:rsidP="00303769">
      <w:pPr>
        <w:pStyle w:val="Textstyle"/>
        <w:numPr>
          <w:ilvl w:val="0"/>
          <w:numId w:val="4"/>
        </w:numPr>
      </w:pPr>
      <w:r>
        <w:t>Provide transparency for generation units to value risk associated with becoming a Capacity Performance resource.</w:t>
      </w:r>
    </w:p>
    <w:p w:rsidR="00EE1F49" w:rsidRDefault="00EE1F49" w:rsidP="00303769">
      <w:pPr>
        <w:pStyle w:val="Textstyle"/>
        <w:numPr>
          <w:ilvl w:val="0"/>
          <w:numId w:val="4"/>
        </w:numPr>
      </w:pPr>
      <w:r>
        <w:t>Remove force majeure conditions to create a bright-line performance stand</w:t>
      </w:r>
      <w:r w:rsidR="00AC3620">
        <w:softHyphen/>
      </w:r>
      <w:r>
        <w:t>ard.</w:t>
      </w:r>
    </w:p>
    <w:p w:rsidR="00EE1F49" w:rsidRDefault="00EE1F49" w:rsidP="00303769">
      <w:pPr>
        <w:pStyle w:val="Textstyle"/>
        <w:numPr>
          <w:ilvl w:val="0"/>
          <w:numId w:val="4"/>
        </w:numPr>
      </w:pPr>
      <w:r>
        <w:t xml:space="preserve">Allow sufficient time for generation units to invest and update facilities to meet higher performance standards.  </w:t>
      </w:r>
    </w:p>
    <w:p w:rsidR="00EE1F49" w:rsidRDefault="00EE1F49" w:rsidP="00303769">
      <w:pPr>
        <w:pStyle w:val="Textstyle"/>
        <w:numPr>
          <w:ilvl w:val="0"/>
          <w:numId w:val="4"/>
        </w:numPr>
      </w:pPr>
      <w:r>
        <w:t>Apply its proposed penalty and incentive mechanism to all entities, including those with Fixed Resource Requirements</w:t>
      </w:r>
      <w:r w:rsidR="00157232">
        <w:t xml:space="preserve"> (FRR)</w:t>
      </w:r>
      <w:r>
        <w:t>.</w:t>
      </w:r>
    </w:p>
    <w:p w:rsidR="00EE1F49" w:rsidRDefault="00EE1F49" w:rsidP="00303769">
      <w:pPr>
        <w:pStyle w:val="Textstyle"/>
      </w:pPr>
      <w:r>
        <w:t xml:space="preserve">Although the PUCO generally supports PJM’s proposed tariff revisions, in order to ensure </w:t>
      </w:r>
      <w:r w:rsidR="00946BEA">
        <w:t xml:space="preserve">that </w:t>
      </w:r>
      <w:r>
        <w:t>the revisions are not unnecessarily complex and appropriately consider cost implications, the Commission should adopt the following modifications:</w:t>
      </w:r>
    </w:p>
    <w:p w:rsidR="00EE1F49" w:rsidRDefault="00EE1F49" w:rsidP="00303769">
      <w:pPr>
        <w:pStyle w:val="Textstyle"/>
        <w:numPr>
          <w:ilvl w:val="0"/>
          <w:numId w:val="5"/>
        </w:numPr>
      </w:pPr>
      <w:r>
        <w:t>Retain the short-term resource procurement target.</w:t>
      </w:r>
    </w:p>
    <w:p w:rsidR="00EE1F49" w:rsidRDefault="00EE1F49" w:rsidP="00303769">
      <w:pPr>
        <w:pStyle w:val="Textstyle"/>
        <w:numPr>
          <w:ilvl w:val="0"/>
          <w:numId w:val="5"/>
        </w:numPr>
      </w:pPr>
      <w:r>
        <w:t>Allow for the review of generation unit data to mitigate the exercise of mar</w:t>
      </w:r>
      <w:r w:rsidR="00AC3620">
        <w:softHyphen/>
      </w:r>
      <w:r>
        <w:t>ket power.</w:t>
      </w:r>
    </w:p>
    <w:p w:rsidR="00EE1F49" w:rsidRDefault="00946BEA" w:rsidP="00303769">
      <w:pPr>
        <w:pStyle w:val="Textstyle"/>
        <w:numPr>
          <w:ilvl w:val="0"/>
          <w:numId w:val="5"/>
        </w:numPr>
      </w:pPr>
      <w:r>
        <w:t>Simplify</w:t>
      </w:r>
      <w:r w:rsidR="00EE1F49">
        <w:t xml:space="preserve"> its treatment of demand resources.</w:t>
      </w:r>
    </w:p>
    <w:p w:rsidR="00EE1F49" w:rsidRDefault="00EE1F49" w:rsidP="00303769">
      <w:pPr>
        <w:pStyle w:val="Textstyle"/>
      </w:pPr>
      <w:r>
        <w:lastRenderedPageBreak/>
        <w:t xml:space="preserve">The PUCO </w:t>
      </w:r>
      <w:r w:rsidR="0030091C">
        <w:t>urges</w:t>
      </w:r>
      <w:r>
        <w:t xml:space="preserve"> the Commission </w:t>
      </w:r>
      <w:r w:rsidR="0030091C">
        <w:t xml:space="preserve">to </w:t>
      </w:r>
      <w:r>
        <w:t xml:space="preserve">approve PJM’s filing with the modifications discussed herein.  </w:t>
      </w:r>
    </w:p>
    <w:p w:rsidR="00EE1F49" w:rsidRDefault="00EE1F49" w:rsidP="00303769">
      <w:pPr>
        <w:pStyle w:val="Heading1"/>
      </w:pPr>
      <w:bookmarkStart w:id="2" w:name="_Toc409516620"/>
      <w:r>
        <w:t>II</w:t>
      </w:r>
      <w:r w:rsidR="00573C38">
        <w:t>.</w:t>
      </w:r>
      <w:r>
        <w:tab/>
      </w:r>
      <w:r w:rsidRPr="00EE1F49">
        <w:t>Comments</w:t>
      </w:r>
      <w:bookmarkEnd w:id="2"/>
    </w:p>
    <w:p w:rsidR="00EE1F49" w:rsidRDefault="00EE1F49" w:rsidP="00303769">
      <w:pPr>
        <w:pStyle w:val="Textstyle"/>
      </w:pPr>
      <w:r>
        <w:tab/>
        <w:t xml:space="preserve">The excessive generation forced outage rate of 22 percent from January 2014 reflects that RPM, in its current form, </w:t>
      </w:r>
      <w:r w:rsidR="00946BEA">
        <w:t xml:space="preserve">fails to safeguard </w:t>
      </w:r>
      <w:r>
        <w:t xml:space="preserve">resource adequacy and </w:t>
      </w:r>
      <w:r w:rsidR="0030091C">
        <w:t>sy</w:t>
      </w:r>
      <w:r w:rsidR="00070E42">
        <w:t>s</w:t>
      </w:r>
      <w:r w:rsidR="0030091C">
        <w:t xml:space="preserve">tem </w:t>
      </w:r>
      <w:r>
        <w:t>reliability.</w:t>
      </w:r>
      <w:r w:rsidR="00070E42">
        <w:rPr>
          <w:rStyle w:val="FootnoteReference"/>
        </w:rPr>
        <w:footnoteReference w:id="2"/>
      </w:r>
      <w:r>
        <w:t xml:space="preserve">  The PUCO places its trust in PJM to not only provide market efficiencies, but to also </w:t>
      </w:r>
      <w:r w:rsidR="00946BEA">
        <w:t>preserve</w:t>
      </w:r>
      <w:r>
        <w:t xml:space="preserve"> reliability during periods of peak demand.  As evidenced by the winter weather events from January 2014, RPM </w:t>
      </w:r>
      <w:r w:rsidR="0030091C">
        <w:t xml:space="preserve">in its current form </w:t>
      </w:r>
      <w:r>
        <w:t>does not encourage high gen</w:t>
      </w:r>
      <w:r w:rsidR="00AC3620">
        <w:softHyphen/>
      </w:r>
      <w:r>
        <w:t xml:space="preserve">eration performance during peak periods in the winter months.    </w:t>
      </w:r>
    </w:p>
    <w:p w:rsidR="002467A1" w:rsidRDefault="000F0E0A" w:rsidP="00303769">
      <w:pPr>
        <w:pStyle w:val="Heading2"/>
      </w:pPr>
      <w:bookmarkStart w:id="3" w:name="_Toc409516621"/>
      <w:r w:rsidRPr="00DD1519">
        <w:t>A</w:t>
      </w:r>
      <w:r w:rsidR="00B64AC1" w:rsidRPr="00DD1519">
        <w:t>.</w:t>
      </w:r>
      <w:r w:rsidR="00B64AC1" w:rsidRPr="00DD1519">
        <w:tab/>
      </w:r>
      <w:r w:rsidR="006754D8" w:rsidRPr="00EE1F49">
        <w:t xml:space="preserve">Capacity </w:t>
      </w:r>
      <w:r w:rsidR="00303769" w:rsidRPr="00EE1F49">
        <w:t>performance will improve reliability</w:t>
      </w:r>
      <w:r w:rsidR="00303769">
        <w:t>.</w:t>
      </w:r>
      <w:bookmarkEnd w:id="3"/>
      <w:r w:rsidR="002467A1" w:rsidRPr="00DD1519">
        <w:t xml:space="preserve"> </w:t>
      </w:r>
    </w:p>
    <w:p w:rsidR="00E406BC" w:rsidRPr="00DD1519" w:rsidRDefault="00DD1519" w:rsidP="00303769">
      <w:pPr>
        <w:pStyle w:val="Textstyle"/>
      </w:pPr>
      <w:r>
        <w:tab/>
        <w:t xml:space="preserve">The PUCO supports improvements to PJM’s capacity construct that will ensure reliability for Ohio’s electric consumers.  </w:t>
      </w:r>
      <w:r w:rsidR="00206351">
        <w:t xml:space="preserve">Without revisions to RPM, not only could generation performance continue to decline, but also higher energy and uplift costs would permeate as a result of </w:t>
      </w:r>
      <w:r w:rsidR="00946BEA">
        <w:t xml:space="preserve">a </w:t>
      </w:r>
      <w:r w:rsidR="00206351">
        <w:t xml:space="preserve">less efficient dispatch of PJM’s generation fleet.  </w:t>
      </w:r>
    </w:p>
    <w:p w:rsidR="002467A1" w:rsidRPr="004B3B20" w:rsidRDefault="002467A1" w:rsidP="00303769">
      <w:pPr>
        <w:pStyle w:val="Heading3"/>
      </w:pPr>
      <w:bookmarkStart w:id="4" w:name="_Toc409516622"/>
      <w:r w:rsidRPr="000A6185">
        <w:t>1.</w:t>
      </w:r>
      <w:r w:rsidRPr="000A6185">
        <w:tab/>
      </w:r>
      <w:r w:rsidR="00C96125" w:rsidRPr="00EE1F49">
        <w:t xml:space="preserve">PJM </w:t>
      </w:r>
      <w:r w:rsidR="00303769" w:rsidRPr="00EE1F49">
        <w:t>needs reform to prepare for winter peaks</w:t>
      </w:r>
      <w:r w:rsidR="00303769">
        <w:t>.</w:t>
      </w:r>
      <w:bookmarkEnd w:id="4"/>
    </w:p>
    <w:p w:rsidR="002467A1" w:rsidRDefault="00946BEA" w:rsidP="00303769">
      <w:pPr>
        <w:pStyle w:val="Textstyle"/>
      </w:pPr>
      <w:r>
        <w:tab/>
        <w:t xml:space="preserve">The PUCO maintains that </w:t>
      </w:r>
      <w:r w:rsidR="00394E25">
        <w:t>PJM</w:t>
      </w:r>
      <w:r>
        <w:t xml:space="preserve">’s </w:t>
      </w:r>
      <w:r w:rsidR="00394E25">
        <w:t xml:space="preserve">excessive forced outage rate </w:t>
      </w:r>
      <w:r>
        <w:t xml:space="preserve">from January 2014 </w:t>
      </w:r>
      <w:r w:rsidR="00394E25">
        <w:t>could have been substantially mitigated</w:t>
      </w:r>
      <w:r w:rsidR="00716CAB">
        <w:t>. T</w:t>
      </w:r>
      <w:r w:rsidR="00394E25">
        <w:t xml:space="preserve">he majority of forced outages reflect a lack </w:t>
      </w:r>
      <w:r w:rsidR="00394E25">
        <w:lastRenderedPageBreak/>
        <w:t>of appropriate weatherization or investment in generation facilities.</w:t>
      </w:r>
      <w:r w:rsidR="00323785">
        <w:rPr>
          <w:rStyle w:val="FootnoteReference"/>
        </w:rPr>
        <w:footnoteReference w:id="3"/>
      </w:r>
      <w:r w:rsidR="00394E25">
        <w:t xml:space="preserve">  PJM correctly points out the generation units within its footprint were unprepared to handle extreme winter weather conditions.  Absent changes to RPM,</w:t>
      </w:r>
      <w:r w:rsidR="00DA55D0">
        <w:t xml:space="preserve"> a </w:t>
      </w:r>
      <w:r w:rsidR="00394E25">
        <w:t>generation unit</w:t>
      </w:r>
      <w:r w:rsidR="00716CAB">
        <w:t xml:space="preserve"> may still lack the </w:t>
      </w:r>
      <w:r w:rsidR="00394E25">
        <w:t>financial incentive</w:t>
      </w:r>
      <w:r w:rsidR="00716CAB">
        <w:t>s</w:t>
      </w:r>
      <w:r w:rsidR="00394E25">
        <w:t xml:space="preserve"> </w:t>
      </w:r>
      <w:r>
        <w:t xml:space="preserve">that are necessary </w:t>
      </w:r>
      <w:r w:rsidR="00394E25">
        <w:t xml:space="preserve">to perform necessary maintenance or updates on </w:t>
      </w:r>
      <w:r w:rsidR="00B748F5">
        <w:t xml:space="preserve">their </w:t>
      </w:r>
      <w:r w:rsidR="00394E25">
        <w:t>facility</w:t>
      </w:r>
      <w:r w:rsidR="003D643B">
        <w:t>.</w:t>
      </w:r>
      <w:r w:rsidR="00350AEB">
        <w:t xml:space="preserve">  PJM’s</w:t>
      </w:r>
      <w:r w:rsidR="00394E25">
        <w:t xml:space="preserve"> holistic appro</w:t>
      </w:r>
      <w:r>
        <w:t xml:space="preserve">ach toward balancing </w:t>
      </w:r>
      <w:r w:rsidR="00394E25">
        <w:t xml:space="preserve">both penalties and incentives during winter months </w:t>
      </w:r>
      <w:r w:rsidR="00F36A7B">
        <w:t xml:space="preserve">is necessary to </w:t>
      </w:r>
      <w:r w:rsidR="0030091C">
        <w:t>align</w:t>
      </w:r>
      <w:r w:rsidR="00F36A7B">
        <w:t xml:space="preserve"> resource perform</w:t>
      </w:r>
      <w:r w:rsidR="00350AEB">
        <w:t>ance with reliability.  A reformed penalty and incentive structure also prevents the creation of excessive</w:t>
      </w:r>
      <w:r w:rsidR="00F36A7B">
        <w:t xml:space="preserve"> of uplift costs</w:t>
      </w:r>
      <w:r w:rsidR="00350AEB">
        <w:t xml:space="preserve"> by providing PJM </w:t>
      </w:r>
      <w:r w:rsidR="0030091C">
        <w:t xml:space="preserve">with </w:t>
      </w:r>
      <w:r w:rsidR="00350AEB">
        <w:t>access to a more efficient and flexible resource mix</w:t>
      </w:r>
      <w:r w:rsidR="00F36A7B">
        <w:t xml:space="preserve">.  </w:t>
      </w:r>
    </w:p>
    <w:p w:rsidR="00C96125" w:rsidRDefault="00B64AC1" w:rsidP="00303769">
      <w:pPr>
        <w:pStyle w:val="Heading3"/>
      </w:pPr>
      <w:bookmarkStart w:id="5" w:name="_Toc409516623"/>
      <w:r w:rsidRPr="00F36A7B">
        <w:t>2.</w:t>
      </w:r>
      <w:r w:rsidRPr="00F36A7B">
        <w:tab/>
      </w:r>
      <w:r w:rsidR="00303769" w:rsidRPr="00EE1F49">
        <w:t>PJM provides transparen</w:t>
      </w:r>
      <w:r w:rsidR="00303769">
        <w:t>cy for generation units to understand performance obligations.</w:t>
      </w:r>
      <w:bookmarkEnd w:id="5"/>
    </w:p>
    <w:p w:rsidR="00907988" w:rsidRDefault="004B3B20" w:rsidP="00303769">
      <w:pPr>
        <w:pStyle w:val="Textstyle"/>
      </w:pPr>
      <w:r>
        <w:tab/>
      </w:r>
      <w:r w:rsidR="00E262CA" w:rsidRPr="00E262CA">
        <w:t xml:space="preserve">PJM provides clarity on the attributes </w:t>
      </w:r>
      <w:r w:rsidR="00E262CA">
        <w:t xml:space="preserve">required </w:t>
      </w:r>
      <w:r w:rsidR="00E262CA" w:rsidRPr="00E262CA">
        <w:t xml:space="preserve">of a Capacity Performance resource to deliver energy and reserves when called upon to perform. </w:t>
      </w:r>
      <w:r w:rsidR="00CA72E9">
        <w:t>Transparency is essential for</w:t>
      </w:r>
      <w:r w:rsidR="00E262CA" w:rsidRPr="00E262CA">
        <w:t xml:space="preserve"> generation unit</w:t>
      </w:r>
      <w:r w:rsidR="00CA72E9">
        <w:t>s</w:t>
      </w:r>
      <w:r w:rsidR="00E262CA" w:rsidRPr="00E262CA">
        <w:t xml:space="preserve"> to understand </w:t>
      </w:r>
      <w:r w:rsidR="00CA72E9">
        <w:t>performance</w:t>
      </w:r>
      <w:r w:rsidR="00E262CA" w:rsidRPr="00E262CA">
        <w:t xml:space="preserve"> obligations and to value the risk associated with becoming a Capacity Performance resource.   </w:t>
      </w:r>
      <w:r w:rsidR="009C4EEF">
        <w:t>The PUCO supports these tariff revisions</w:t>
      </w:r>
      <w:r w:rsidR="00B748F5">
        <w:t xml:space="preserve">.  </w:t>
      </w:r>
    </w:p>
    <w:p w:rsidR="000A6185" w:rsidRDefault="00907988" w:rsidP="00303769">
      <w:pPr>
        <w:pStyle w:val="Textstyle"/>
      </w:pPr>
      <w:r>
        <w:t xml:space="preserve">PJM’s proposed </w:t>
      </w:r>
      <w:r w:rsidR="00B748F5">
        <w:t>tariff provisions</w:t>
      </w:r>
      <w:r>
        <w:t xml:space="preserve"> require generation units to be available for periods</w:t>
      </w:r>
      <w:r w:rsidR="009C4EEF">
        <w:t xml:space="preserve"> </w:t>
      </w:r>
      <w:r>
        <w:t xml:space="preserve">of </w:t>
      </w:r>
      <w:r w:rsidR="009C4EEF">
        <w:t>su</w:t>
      </w:r>
      <w:r>
        <w:t>stained performance.  However, PJM reasonably allows</w:t>
      </w:r>
      <w:r w:rsidR="00E330DC">
        <w:t xml:space="preserve"> a generation unit to flexibly determine the means </w:t>
      </w:r>
      <w:r w:rsidR="008D655C">
        <w:t xml:space="preserve">by </w:t>
      </w:r>
      <w:r w:rsidR="00E330DC">
        <w:t xml:space="preserve">which it </w:t>
      </w:r>
      <w:r w:rsidR="006B2535">
        <w:t>can meet</w:t>
      </w:r>
      <w:r w:rsidR="00E330DC">
        <w:t xml:space="preserve"> </w:t>
      </w:r>
      <w:r w:rsidR="00E72AFC">
        <w:t xml:space="preserve">the </w:t>
      </w:r>
      <w:r w:rsidR="00E330DC">
        <w:t xml:space="preserve">higher performance requirements.  The PUCO asserts that </w:t>
      </w:r>
      <w:r w:rsidR="00E72AFC">
        <w:t xml:space="preserve">by </w:t>
      </w:r>
      <w:r w:rsidR="00E330DC">
        <w:t xml:space="preserve">allowing a unit to determine how to manage its risk, whether through </w:t>
      </w:r>
      <w:r w:rsidR="00E330DC">
        <w:lastRenderedPageBreak/>
        <w:t>firm transportation, du</w:t>
      </w:r>
      <w:r w:rsidR="008D655C">
        <w:t>a</w:t>
      </w:r>
      <w:r w:rsidR="00E330DC">
        <w:t>l fuel capability, on-site storage, or general maintenance and weath</w:t>
      </w:r>
      <w:r w:rsidR="00AC3620">
        <w:softHyphen/>
      </w:r>
      <w:r w:rsidR="00E330DC">
        <w:t xml:space="preserve">erization upgrades, </w:t>
      </w:r>
      <w:r w:rsidR="00E72AFC">
        <w:t>PJM promotes reliability in an equitable manner</w:t>
      </w:r>
      <w:r w:rsidR="00F6055B">
        <w:t xml:space="preserve">.  </w:t>
      </w:r>
      <w:r w:rsidR="00E330DC">
        <w:t>By providing a gen</w:t>
      </w:r>
      <w:r w:rsidR="00AC3620">
        <w:softHyphen/>
      </w:r>
      <w:r w:rsidR="00E330DC">
        <w:t>eration unit with choice</w:t>
      </w:r>
      <w:r w:rsidR="008D655C">
        <w:t>,</w:t>
      </w:r>
      <w:r w:rsidR="00E330DC">
        <w:t xml:space="preserve"> PJM avoids creating an administrative overreach </w:t>
      </w:r>
      <w:r w:rsidR="008D655C">
        <w:t xml:space="preserve">that would </w:t>
      </w:r>
      <w:r w:rsidR="00E330DC">
        <w:t>dic</w:t>
      </w:r>
      <w:r w:rsidR="00AC3620">
        <w:softHyphen/>
      </w:r>
      <w:r w:rsidR="00E330DC">
        <w:t>tat</w:t>
      </w:r>
      <w:r w:rsidR="008D655C">
        <w:t>e</w:t>
      </w:r>
      <w:r w:rsidR="00E330DC">
        <w:t xml:space="preserve"> how a </w:t>
      </w:r>
      <w:r w:rsidR="006B2535">
        <w:t xml:space="preserve">generation </w:t>
      </w:r>
      <w:r w:rsidR="00E330DC">
        <w:t xml:space="preserve">unit should meet higher performance requirements.  </w:t>
      </w:r>
    </w:p>
    <w:p w:rsidR="00F36A7B" w:rsidRPr="00F36A7B" w:rsidRDefault="00E330DC" w:rsidP="00303769">
      <w:pPr>
        <w:pStyle w:val="Textstyle"/>
      </w:pPr>
      <w:r>
        <w:tab/>
      </w:r>
      <w:r w:rsidR="002C4DEC" w:rsidRPr="00B748F5">
        <w:t xml:space="preserve">In its proposal, PJM </w:t>
      </w:r>
      <w:r w:rsidR="000B3DCD">
        <w:t>creates</w:t>
      </w:r>
      <w:r w:rsidR="002C4DEC" w:rsidRPr="00B748F5">
        <w:t xml:space="preserve"> resource sell offer representations that must be made </w:t>
      </w:r>
      <w:r w:rsidR="00B748F5" w:rsidRPr="00EE1F49">
        <w:t xml:space="preserve">in order </w:t>
      </w:r>
      <w:r w:rsidR="002C4DEC" w:rsidRPr="00B748F5">
        <w:t>to be eligible for Capacity Performance.</w:t>
      </w:r>
      <w:r w:rsidR="00873B40" w:rsidRPr="00B748F5">
        <w:rPr>
          <w:rStyle w:val="FootnoteReference"/>
        </w:rPr>
        <w:footnoteReference w:id="4"/>
      </w:r>
      <w:r w:rsidR="002C4DEC">
        <w:t xml:space="preserve">  By placing these obligations front and center in the process before a party can submit a sell offer, PJM is able to send a strong message that generation units must make the necessary investment to ensure a unit has </w:t>
      </w:r>
      <w:r w:rsidR="006B2535">
        <w:t xml:space="preserve">the </w:t>
      </w:r>
      <w:r w:rsidR="002C4DEC">
        <w:t>capability</w:t>
      </w:r>
      <w:r w:rsidR="006B2535">
        <w:t xml:space="preserve"> </w:t>
      </w:r>
      <w:r w:rsidR="002C4DEC">
        <w:t>to perform in accordance with the Capacity Perfor</w:t>
      </w:r>
      <w:r w:rsidR="000B3DCD">
        <w:t xml:space="preserve">mance standards.  By creating </w:t>
      </w:r>
      <w:r w:rsidR="002C4DEC">
        <w:t xml:space="preserve">legally binding and </w:t>
      </w:r>
      <w:r w:rsidR="000B3DCD">
        <w:t xml:space="preserve">transparent </w:t>
      </w:r>
      <w:r w:rsidR="002C4DEC">
        <w:t xml:space="preserve">operational requirements, PJM </w:t>
      </w:r>
      <w:r w:rsidR="006B2535">
        <w:t xml:space="preserve">sends a strong message that generation </w:t>
      </w:r>
      <w:r w:rsidR="000B3DCD">
        <w:t xml:space="preserve">units </w:t>
      </w:r>
      <w:r w:rsidR="006B2535">
        <w:t xml:space="preserve">must comply with higher performance standards.  </w:t>
      </w:r>
    </w:p>
    <w:p w:rsidR="004B3B20" w:rsidRDefault="00B64AC1" w:rsidP="00303769">
      <w:pPr>
        <w:pStyle w:val="Heading3"/>
      </w:pPr>
      <w:bookmarkStart w:id="6" w:name="_Toc409516624"/>
      <w:r>
        <w:t>3.</w:t>
      </w:r>
      <w:r>
        <w:tab/>
      </w:r>
      <w:r w:rsidR="002944C1" w:rsidRPr="000B3DCD">
        <w:t xml:space="preserve">Removing </w:t>
      </w:r>
      <w:r w:rsidR="00303769" w:rsidRPr="00303769">
        <w:rPr>
          <w:i/>
        </w:rPr>
        <w:t>force majeure</w:t>
      </w:r>
      <w:r w:rsidR="00303769" w:rsidRPr="000B3DCD">
        <w:t xml:space="preserve"> provisions holds generation units accountable for meeting higher performance requirements</w:t>
      </w:r>
      <w:r w:rsidR="00303769">
        <w:t>.</w:t>
      </w:r>
      <w:bookmarkEnd w:id="6"/>
    </w:p>
    <w:p w:rsidR="002944C1" w:rsidRDefault="005F6A33" w:rsidP="00303769">
      <w:pPr>
        <w:pStyle w:val="Textstyle"/>
      </w:pPr>
      <w:r>
        <w:t>The PUCO supports PJM’s creation of a bright</w:t>
      </w:r>
      <w:r w:rsidR="008D655C">
        <w:t>-</w:t>
      </w:r>
      <w:r>
        <w:t xml:space="preserve">line standard </w:t>
      </w:r>
      <w:r w:rsidR="008D655C">
        <w:t xml:space="preserve">that </w:t>
      </w:r>
      <w:r>
        <w:t>remov</w:t>
      </w:r>
      <w:r w:rsidR="008D655C">
        <w:t>es</w:t>
      </w:r>
      <w:r>
        <w:t xml:space="preserve"> broad, unverifiable excuses f</w:t>
      </w:r>
      <w:r w:rsidR="008D655C">
        <w:t>or</w:t>
      </w:r>
      <w:r>
        <w:t xml:space="preserve"> generation unit unavailability.</w:t>
      </w:r>
      <w:r w:rsidR="00873B40">
        <w:rPr>
          <w:rStyle w:val="FootnoteReference"/>
        </w:rPr>
        <w:footnoteReference w:id="5"/>
      </w:r>
      <w:r>
        <w:t xml:space="preserve">  </w:t>
      </w:r>
      <w:r w:rsidR="00E27DA8">
        <w:t xml:space="preserve">As the PUCO </w:t>
      </w:r>
      <w:r w:rsidR="00873B40">
        <w:t>has</w:t>
      </w:r>
      <w:r w:rsidR="00E27DA8">
        <w:t xml:space="preserve"> consistently advocated, claiming “out of management control” is not a legitimate or acceptable exemp</w:t>
      </w:r>
      <w:r w:rsidR="00AC3620">
        <w:softHyphen/>
      </w:r>
      <w:r w:rsidR="00E27DA8">
        <w:t>tion from performance requirements.</w:t>
      </w:r>
      <w:r w:rsidR="00873B40">
        <w:rPr>
          <w:rStyle w:val="FootnoteReference"/>
        </w:rPr>
        <w:footnoteReference w:id="6"/>
      </w:r>
      <w:r w:rsidR="00E27DA8">
        <w:t xml:space="preserve">  While the removal of force majeure conditions does </w:t>
      </w:r>
      <w:r w:rsidR="00E27DA8">
        <w:lastRenderedPageBreak/>
        <w:t>place additional risk on generation units, PJM rightfully allows for a minimal exemption if a generation unit was unavailable because it was on a PJM</w:t>
      </w:r>
      <w:r w:rsidR="008D655C">
        <w:t>-</w:t>
      </w:r>
      <w:r w:rsidR="00E27DA8">
        <w:t>approved outage</w:t>
      </w:r>
      <w:r w:rsidR="006B2535">
        <w:t xml:space="preserve">.  </w:t>
      </w:r>
      <w:r w:rsidR="00E27DA8">
        <w:t xml:space="preserve">Nonetheless, </w:t>
      </w:r>
      <w:r w:rsidR="00F6055B">
        <w:t xml:space="preserve">the </w:t>
      </w:r>
      <w:r w:rsidR="00E27DA8">
        <w:t xml:space="preserve">Commission </w:t>
      </w:r>
      <w:r w:rsidR="00F6055B">
        <w:t>should ensure</w:t>
      </w:r>
      <w:r w:rsidR="00E27DA8">
        <w:t xml:space="preserve"> PJM diligently considers and </w:t>
      </w:r>
      <w:r w:rsidR="00F6055B">
        <w:t xml:space="preserve">carefully </w:t>
      </w:r>
      <w:r w:rsidR="00E27DA8">
        <w:t xml:space="preserve">approves requests for outages, particularly during potential periods of peak demand in the summer and winter months.  In the event PJM neglects to </w:t>
      </w:r>
      <w:r w:rsidR="004B3B20">
        <w:t>responsibly approve outages</w:t>
      </w:r>
      <w:r w:rsidR="003D643B">
        <w:t>,</w:t>
      </w:r>
      <w:r w:rsidR="004B3B20">
        <w:t xml:space="preserve"> </w:t>
      </w:r>
      <w:r w:rsidR="003D643B">
        <w:t>leading to</w:t>
      </w:r>
      <w:r w:rsidR="004B3B20">
        <w:t xml:space="preserve"> reliability issues </w:t>
      </w:r>
      <w:r w:rsidR="003D643B">
        <w:t xml:space="preserve">and </w:t>
      </w:r>
      <w:r w:rsidR="004B3B20">
        <w:t>unnecessary uplift payments, PJM, and not end-use c</w:t>
      </w:r>
      <w:r w:rsidR="001A69DF">
        <w:t>onsumers</w:t>
      </w:r>
      <w:r w:rsidR="004B3B20">
        <w:t>, should be held responsible</w:t>
      </w:r>
      <w:r w:rsidR="00F6055B">
        <w:t>.</w:t>
      </w:r>
    </w:p>
    <w:p w:rsidR="00546893" w:rsidRDefault="000F0E0A" w:rsidP="00303769">
      <w:pPr>
        <w:pStyle w:val="Heading2"/>
      </w:pPr>
      <w:bookmarkStart w:id="7" w:name="_Toc409516625"/>
      <w:r>
        <w:t>B</w:t>
      </w:r>
      <w:r w:rsidR="00BB7A50">
        <w:t>.</w:t>
      </w:r>
      <w:r w:rsidR="00BB7A50">
        <w:tab/>
      </w:r>
      <w:r w:rsidR="0088711E" w:rsidRPr="001A69DF">
        <w:t xml:space="preserve">PJM’s </w:t>
      </w:r>
      <w:r w:rsidR="00303769" w:rsidRPr="001A69DF">
        <w:t xml:space="preserve">proposed penalty and incentive structure </w:t>
      </w:r>
      <w:r w:rsidR="00303769">
        <w:t>is con</w:t>
      </w:r>
      <w:r w:rsidR="00AC3620">
        <w:softHyphen/>
      </w:r>
      <w:r w:rsidR="00303769">
        <w:t xml:space="preserve">sistent with </w:t>
      </w:r>
      <w:r w:rsidR="001A69DF">
        <w:t xml:space="preserve">Commission </w:t>
      </w:r>
      <w:r w:rsidR="00303769">
        <w:t>precedent.</w:t>
      </w:r>
      <w:bookmarkEnd w:id="7"/>
    </w:p>
    <w:p w:rsidR="00546893" w:rsidRDefault="007748C9" w:rsidP="00303769">
      <w:pPr>
        <w:pStyle w:val="Textstyle"/>
      </w:pPr>
      <w:r>
        <w:tab/>
      </w:r>
      <w:r w:rsidR="00BD11EF">
        <w:t xml:space="preserve">In order to ensure reliability and consistent </w:t>
      </w:r>
      <w:r w:rsidR="00D4372C">
        <w:t xml:space="preserve">generation unit </w:t>
      </w:r>
      <w:r w:rsidR="00BD11EF">
        <w:t>performance</w:t>
      </w:r>
      <w:r w:rsidR="00D4372C">
        <w:t xml:space="preserve">, </w:t>
      </w:r>
      <w:r w:rsidR="00BD11EF">
        <w:t xml:space="preserve">the PUCO supports PJM’s proposed penalty and incentive structure.  While PJM’s </w:t>
      </w:r>
      <w:r w:rsidR="00192CAF">
        <w:t>stop-</w:t>
      </w:r>
      <w:r w:rsidR="00945FEF">
        <w:t>loss</w:t>
      </w:r>
      <w:r w:rsidR="00192CAF">
        <w:t xml:space="preserve"> </w:t>
      </w:r>
      <w:r w:rsidR="00BD11EF">
        <w:t xml:space="preserve">penalty </w:t>
      </w:r>
      <w:r w:rsidR="00192CAF">
        <w:t>provision</w:t>
      </w:r>
      <w:r w:rsidR="00BD11EF">
        <w:t xml:space="preserve"> is</w:t>
      </w:r>
      <w:r w:rsidR="00F26DAD">
        <w:t xml:space="preserve"> stringent</w:t>
      </w:r>
      <w:r w:rsidR="00BD11EF">
        <w:t>, higher penalties are nece</w:t>
      </w:r>
      <w:r w:rsidR="00945FEF">
        <w:t xml:space="preserve">ssary to </w:t>
      </w:r>
      <w:r w:rsidR="00883FBA">
        <w:t xml:space="preserve">not only </w:t>
      </w:r>
      <w:r w:rsidR="00945FEF">
        <w:t>incent generation unit</w:t>
      </w:r>
      <w:r w:rsidR="00BD11EF">
        <w:t>s to</w:t>
      </w:r>
      <w:r w:rsidR="00B35239">
        <w:t xml:space="preserve"> perform</w:t>
      </w:r>
      <w:r w:rsidR="00883FBA">
        <w:t xml:space="preserve">, but also </w:t>
      </w:r>
      <w:r w:rsidR="00B35239">
        <w:t>to</w:t>
      </w:r>
      <w:r w:rsidR="00BD11EF">
        <w:t xml:space="preserve"> </w:t>
      </w:r>
      <w:r w:rsidR="00817321">
        <w:t>submit</w:t>
      </w:r>
      <w:r w:rsidR="00BD11EF">
        <w:t xml:space="preserve"> offers reflecting the risk associated with </w:t>
      </w:r>
      <w:r w:rsidR="00B35239">
        <w:t>higher</w:t>
      </w:r>
      <w:r w:rsidR="00BD11EF">
        <w:t xml:space="preserve"> perfor</w:t>
      </w:r>
      <w:r w:rsidR="00AC3620">
        <w:softHyphen/>
      </w:r>
      <w:r w:rsidR="00BD11EF">
        <w:t>mance</w:t>
      </w:r>
      <w:r w:rsidR="00B35239">
        <w:t xml:space="preserve"> standards.</w:t>
      </w:r>
      <w:r w:rsidR="00BD11EF">
        <w:t xml:space="preserve">  The PUCO notes that PJM’s transition mechanism </w:t>
      </w:r>
      <w:r w:rsidR="00817321">
        <w:t>reasonably</w:t>
      </w:r>
      <w:r w:rsidR="00BD11EF">
        <w:t xml:space="preserve"> creates a probationary period </w:t>
      </w:r>
      <w:r w:rsidR="00817321">
        <w:t>allowing generation units sufficient time to respond to higher</w:t>
      </w:r>
      <w:r w:rsidR="00BD11EF">
        <w:t xml:space="preserve"> penal</w:t>
      </w:r>
      <w:r w:rsidR="00AC3620">
        <w:softHyphen/>
      </w:r>
      <w:r w:rsidR="00BD11EF">
        <w:t>ties</w:t>
      </w:r>
      <w:r w:rsidR="00883FBA">
        <w:t>.</w:t>
      </w:r>
      <w:r w:rsidR="00BD11EF">
        <w:t xml:space="preserve"> </w:t>
      </w:r>
    </w:p>
    <w:p w:rsidR="003D643B" w:rsidRDefault="00BD11EF" w:rsidP="00303769">
      <w:pPr>
        <w:pStyle w:val="Heading3"/>
      </w:pPr>
      <w:bookmarkStart w:id="8" w:name="_Toc409516626"/>
      <w:r>
        <w:t>1.</w:t>
      </w:r>
      <w:r>
        <w:tab/>
      </w:r>
      <w:r w:rsidR="00DF5899" w:rsidRPr="00DF5899">
        <w:t xml:space="preserve">RPM </w:t>
      </w:r>
      <w:r w:rsidR="00303769">
        <w:t>requires</w:t>
      </w:r>
      <w:r w:rsidR="00303769" w:rsidRPr="00DF5899">
        <w:t xml:space="preserve"> an equitable balance of both penalties and incentives</w:t>
      </w:r>
      <w:r w:rsidR="00303769">
        <w:t>.</w:t>
      </w:r>
      <w:bookmarkEnd w:id="8"/>
    </w:p>
    <w:p w:rsidR="00DF5899" w:rsidRDefault="006E6601" w:rsidP="00303769">
      <w:pPr>
        <w:pStyle w:val="Textstyle"/>
      </w:pPr>
      <w:r>
        <w:tab/>
        <w:t xml:space="preserve">The proposed penalty and incentive structure reflects a reasonable balance necessary to </w:t>
      </w:r>
      <w:r w:rsidR="00427106">
        <w:t>protect</w:t>
      </w:r>
      <w:r>
        <w:t xml:space="preserve"> reliability while sending </w:t>
      </w:r>
      <w:r w:rsidR="00546893">
        <w:t>transparent</w:t>
      </w:r>
      <w:r>
        <w:t xml:space="preserve"> price signals for both new and </w:t>
      </w:r>
      <w:r>
        <w:lastRenderedPageBreak/>
        <w:t>existing generation resources</w:t>
      </w:r>
      <w:r w:rsidR="00DF5899">
        <w:t>.</w:t>
      </w:r>
      <w:r w:rsidR="00546893">
        <w:t xml:space="preserve"> </w:t>
      </w:r>
      <w:r>
        <w:t>Specifically, PJM proposes a non-performance penalty con</w:t>
      </w:r>
      <w:r w:rsidR="00AC3620">
        <w:softHyphen/>
      </w:r>
      <w:r>
        <w:t>sisting of Net CONE (in MWs per day) times 365, and divided by 30.</w:t>
      </w:r>
      <w:r w:rsidR="00873B40">
        <w:rPr>
          <w:rStyle w:val="FootnoteReference"/>
        </w:rPr>
        <w:footnoteReference w:id="7"/>
      </w:r>
      <w:r>
        <w:t xml:space="preserve">  </w:t>
      </w:r>
    </w:p>
    <w:p w:rsidR="00CD3268" w:rsidRDefault="00192CAF" w:rsidP="00303769">
      <w:pPr>
        <w:pStyle w:val="Textstyle"/>
      </w:pPr>
      <w:r>
        <w:t xml:space="preserve">Net CONE is an appropriate starting place, as PJM correctly points out that the non-performance charge rate should be the general value of capacity.  Further, the PUCO believes that PJM has justified 30 hours as a conservative allowance, consistent with the average number of hours PJM has issued Emergency Actions in the past.  </w:t>
      </w:r>
    </w:p>
    <w:p w:rsidR="002F18E4" w:rsidRDefault="00CD3268" w:rsidP="00303769">
      <w:pPr>
        <w:pStyle w:val="Textstyle"/>
      </w:pPr>
      <w:r>
        <w:tab/>
        <w:t>One distinguishing cha</w:t>
      </w:r>
      <w:r w:rsidR="002F18E4">
        <w:t>racteristic between the recent ISO-NE tariff revisions and PJM’s Capacity Performance propo</w:t>
      </w:r>
      <w:r w:rsidR="00427106">
        <w:t xml:space="preserve">sal is the stop-loss provision.  </w:t>
      </w:r>
      <w:r w:rsidR="002F18E4">
        <w:t>Specifically, PJM proposes an annual stop-loss at 1.5 times Net CONE, consistent with the maximum clear</w:t>
      </w:r>
      <w:r w:rsidR="00AC3620">
        <w:softHyphen/>
      </w:r>
      <w:r w:rsidR="002F18E4">
        <w:t>ing price permissible in accordance with PJM’s VRR curve.</w:t>
      </w:r>
      <w:r w:rsidR="000A3E7F">
        <w:rPr>
          <w:rStyle w:val="FootnoteReference"/>
        </w:rPr>
        <w:footnoteReference w:id="8"/>
      </w:r>
      <w:r w:rsidR="002F18E4">
        <w:t xml:space="preserve">  In light of the fact that gen</w:t>
      </w:r>
      <w:r w:rsidR="00AC3620">
        <w:softHyphen/>
      </w:r>
      <w:r w:rsidR="002F18E4">
        <w:t xml:space="preserve">eration resources have the ability to clear RPM at 1.5 times Net CONE, it is reasonable for the proposed penalty structure to match the proposed compensation structure.  </w:t>
      </w:r>
    </w:p>
    <w:p w:rsidR="00102714" w:rsidRDefault="002F18E4" w:rsidP="00303769">
      <w:pPr>
        <w:pStyle w:val="Textstyle"/>
      </w:pPr>
      <w:r>
        <w:tab/>
        <w:t xml:space="preserve">The PUCO understands that the annual stop-loss provision is </w:t>
      </w:r>
      <w:r w:rsidR="00546893">
        <w:t>significant</w:t>
      </w:r>
      <w:r>
        <w:t>.  However, the PUCO suggests that this provision is necessary in order to ensure the incen</w:t>
      </w:r>
      <w:r w:rsidR="00AC3620">
        <w:softHyphen/>
      </w:r>
      <w:r>
        <w:t xml:space="preserve">tive to perform is signaled through RPM.  </w:t>
      </w:r>
      <w:r w:rsidR="00102714">
        <w:t>By creating too low of a penalty structure, there is no guarantee tha</w:t>
      </w:r>
      <w:r w:rsidR="003D643B">
        <w:t>t</w:t>
      </w:r>
      <w:r w:rsidR="00102714">
        <w:t xml:space="preserve"> generation units will make </w:t>
      </w:r>
      <w:r w:rsidR="003D643B">
        <w:t xml:space="preserve">the </w:t>
      </w:r>
      <w:r w:rsidR="00102714">
        <w:t xml:space="preserve">necessary investments to </w:t>
      </w:r>
      <w:r w:rsidR="00427106">
        <w:t>improve gen</w:t>
      </w:r>
      <w:r w:rsidR="00AC3620">
        <w:softHyphen/>
      </w:r>
      <w:r w:rsidR="00427106">
        <w:t xml:space="preserve">eration performance.  </w:t>
      </w:r>
      <w:r>
        <w:t xml:space="preserve">If the penalty structure is not </w:t>
      </w:r>
      <w:r w:rsidR="00102714">
        <w:t>sufficient to encourage performance</w:t>
      </w:r>
      <w:r>
        <w:t>, then P</w:t>
      </w:r>
      <w:r w:rsidR="00102714">
        <w:t xml:space="preserve">JM will be essentially reforming </w:t>
      </w:r>
      <w:r w:rsidR="00192A26">
        <w:t xml:space="preserve">RPM </w:t>
      </w:r>
      <w:r w:rsidR="00102714">
        <w:t>in vain, a</w:t>
      </w:r>
      <w:r w:rsidR="00F6055B">
        <w:t>nd</w:t>
      </w:r>
      <w:r w:rsidR="00102714">
        <w:t xml:space="preserve"> the same problems from this </w:t>
      </w:r>
      <w:r w:rsidR="00F6055B">
        <w:t xml:space="preserve">last </w:t>
      </w:r>
      <w:r w:rsidR="00102714">
        <w:lastRenderedPageBreak/>
        <w:t>winter could perpetuate in the future</w:t>
      </w:r>
      <w:r w:rsidR="00427106">
        <w:t>,</w:t>
      </w:r>
      <w:r w:rsidR="00102714">
        <w:t xml:space="preserve"> </w:t>
      </w:r>
      <w:r w:rsidR="00427106">
        <w:t>placing</w:t>
      </w:r>
      <w:r w:rsidR="00102714">
        <w:t xml:space="preserve"> reliabi</w:t>
      </w:r>
      <w:r w:rsidR="00E71768">
        <w:t xml:space="preserve">lity in a precarious position.  </w:t>
      </w:r>
      <w:r w:rsidR="00E71768" w:rsidRPr="00DF5899">
        <w:t>Con</w:t>
      </w:r>
      <w:r w:rsidR="00AC3620">
        <w:softHyphen/>
      </w:r>
      <w:r w:rsidR="00E71768" w:rsidRPr="00DF5899">
        <w:t xml:space="preserve">versely, if PJM’s penalty structure is too extreme, generation units may leave RPM </w:t>
      </w:r>
      <w:r w:rsidR="008B0C58" w:rsidRPr="00DF5899">
        <w:t>al</w:t>
      </w:r>
      <w:r w:rsidR="00E71768" w:rsidRPr="00DF5899">
        <w:t>to</w:t>
      </w:r>
      <w:r w:rsidR="00AC3620">
        <w:softHyphen/>
      </w:r>
      <w:r w:rsidR="00E71768" w:rsidRPr="00DF5899">
        <w:t>gether, creating a new set of reliability challenges.  It is imperative that PJM strike</w:t>
      </w:r>
      <w:r w:rsidR="00DA55D0" w:rsidRPr="00DF5899">
        <w:t>s</w:t>
      </w:r>
      <w:r w:rsidR="00E71768" w:rsidRPr="00DF5899">
        <w:t xml:space="preserve"> the right balance.</w:t>
      </w:r>
      <w:r w:rsidR="00E71768">
        <w:t xml:space="preserve">  </w:t>
      </w:r>
    </w:p>
    <w:p w:rsidR="00102714" w:rsidRDefault="00102714" w:rsidP="00303769">
      <w:pPr>
        <w:pStyle w:val="Textstyle"/>
      </w:pPr>
      <w:r>
        <w:tab/>
        <w:t>While the stop-</w:t>
      </w:r>
      <w:r w:rsidR="00945FEF">
        <w:t>loss</w:t>
      </w:r>
      <w:r>
        <w:t xml:space="preserve"> provision certainly creates additional risk for generation units, the clear performance requirements coupled with the transparent penalty structure allow </w:t>
      </w:r>
      <w:r w:rsidR="00B748F5">
        <w:t xml:space="preserve">for a </w:t>
      </w:r>
      <w:r>
        <w:t xml:space="preserve">generation unit to account for risk prior to offering into the </w:t>
      </w:r>
      <w:r w:rsidR="00427106">
        <w:t>Base Residual A</w:t>
      </w:r>
      <w:r w:rsidR="00B748F5">
        <w:t>uc</w:t>
      </w:r>
      <w:r w:rsidR="00AC3620">
        <w:softHyphen/>
      </w:r>
      <w:r w:rsidR="00B748F5">
        <w:t>tion (</w:t>
      </w:r>
      <w:r>
        <w:t>BRA</w:t>
      </w:r>
      <w:r w:rsidR="00B748F5">
        <w:t>)</w:t>
      </w:r>
      <w:r>
        <w:t xml:space="preserve">.  The PUCO finds this concept beneficial </w:t>
      </w:r>
      <w:r w:rsidR="00F6055B">
        <w:t>because</w:t>
      </w:r>
      <w:r>
        <w:t xml:space="preserve"> higher risk considerations may help to quell the problems associated with certain units offering at zero or well below market costs, which has caused mixed </w:t>
      </w:r>
      <w:r w:rsidR="00192A26">
        <w:t xml:space="preserve">price </w:t>
      </w:r>
      <w:r>
        <w:t xml:space="preserve">signals in PJM’s markets and </w:t>
      </w:r>
      <w:r w:rsidR="00546893">
        <w:t>creates the pos</w:t>
      </w:r>
      <w:r w:rsidR="00AC3620">
        <w:softHyphen/>
      </w:r>
      <w:r w:rsidR="00546893">
        <w:t>sibility of</w:t>
      </w:r>
      <w:r>
        <w:t xml:space="preserve"> premature </w:t>
      </w:r>
      <w:r w:rsidR="00546893">
        <w:t xml:space="preserve">generation </w:t>
      </w:r>
      <w:r>
        <w:t xml:space="preserve">retirements.  PJM’s stronger penalties will likely limit the </w:t>
      </w:r>
      <w:r w:rsidR="00F94740">
        <w:t xml:space="preserve">number </w:t>
      </w:r>
      <w:r w:rsidR="00E71768">
        <w:t xml:space="preserve">of price-takers in RPM.  </w:t>
      </w:r>
      <w:r>
        <w:t>Consequently, although penalties are increasing, a con</w:t>
      </w:r>
      <w:r w:rsidR="00AC3620">
        <w:softHyphen/>
      </w:r>
      <w:r>
        <w:t xml:space="preserve">fiscatory environment </w:t>
      </w:r>
      <w:r w:rsidR="00F6055B">
        <w:t xml:space="preserve">is not being created </w:t>
      </w:r>
      <w:r>
        <w:t xml:space="preserve">as generation units </w:t>
      </w:r>
      <w:r w:rsidR="00F6055B">
        <w:t>can</w:t>
      </w:r>
      <w:r>
        <w:t xml:space="preserve"> </w:t>
      </w:r>
      <w:r w:rsidR="00F94740">
        <w:t xml:space="preserve">weigh </w:t>
      </w:r>
      <w:r>
        <w:t>costs and risks when placing offers into t</w:t>
      </w:r>
      <w:r w:rsidR="00E71768">
        <w:t xml:space="preserve">he BRA. </w:t>
      </w:r>
      <w:r w:rsidR="00DF5899">
        <w:t xml:space="preserve"> </w:t>
      </w:r>
    </w:p>
    <w:p w:rsidR="00BD11EF" w:rsidRDefault="00102714" w:rsidP="00303769">
      <w:pPr>
        <w:pStyle w:val="Textstyle"/>
      </w:pPr>
      <w:r>
        <w:tab/>
        <w:t>Likewise, PJM’s monthly stop</w:t>
      </w:r>
      <w:r w:rsidR="003372F7">
        <w:t>-</w:t>
      </w:r>
      <w:r>
        <w:t>loss value is also reasonable.  The approach mirrors ISO-NE by setting the monthly value at one-third of the annual value, or 0.5 times Net CONE.</w:t>
      </w:r>
      <w:r w:rsidR="000A3E7F">
        <w:rPr>
          <w:rStyle w:val="FootnoteReference"/>
        </w:rPr>
        <w:footnoteReference w:id="9"/>
      </w:r>
      <w:r>
        <w:t xml:space="preserve">  </w:t>
      </w:r>
      <w:r w:rsidR="007800CD">
        <w:t>As the monthly and annual stop-loss provisions provide the necessary incen</w:t>
      </w:r>
      <w:r w:rsidR="00AC3620">
        <w:softHyphen/>
      </w:r>
      <w:r w:rsidR="007800CD">
        <w:t>tives for generation performance, the Commission should a</w:t>
      </w:r>
      <w:r w:rsidR="00DA7B57">
        <w:t>pprove</w:t>
      </w:r>
      <w:r w:rsidR="007800CD">
        <w:t xml:space="preserve"> PJM’s stop-loss provi</w:t>
      </w:r>
      <w:r w:rsidR="00AC3620">
        <w:softHyphen/>
      </w:r>
      <w:r w:rsidR="007800CD">
        <w:t>sions</w:t>
      </w:r>
      <w:r w:rsidR="00DA7B57">
        <w:t>.</w:t>
      </w:r>
    </w:p>
    <w:p w:rsidR="00BB7A50" w:rsidRDefault="00BD11EF" w:rsidP="00303769">
      <w:pPr>
        <w:pStyle w:val="Heading3"/>
      </w:pPr>
      <w:bookmarkStart w:id="9" w:name="_Toc409516627"/>
      <w:r>
        <w:lastRenderedPageBreak/>
        <w:t>2</w:t>
      </w:r>
      <w:r w:rsidR="00BB7A50">
        <w:t>.</w:t>
      </w:r>
      <w:r w:rsidR="00BB7A50">
        <w:tab/>
      </w:r>
      <w:r w:rsidR="007F468E">
        <w:t xml:space="preserve">PJM’s </w:t>
      </w:r>
      <w:r w:rsidR="00303769" w:rsidRPr="00C8252D">
        <w:t xml:space="preserve">transition mechanism creates a reasonable glide path for generation units to </w:t>
      </w:r>
      <w:r w:rsidR="00303769">
        <w:t>meet</w:t>
      </w:r>
      <w:r w:rsidR="00303769" w:rsidRPr="00C8252D">
        <w:t xml:space="preserve"> more stringent performance standards</w:t>
      </w:r>
      <w:r w:rsidR="00303769">
        <w:t>.</w:t>
      </w:r>
      <w:bookmarkEnd w:id="9"/>
      <w:r w:rsidR="00303769" w:rsidRPr="00C8252D">
        <w:t xml:space="preserve"> </w:t>
      </w:r>
    </w:p>
    <w:p w:rsidR="005B6A52" w:rsidRDefault="003307F1" w:rsidP="00303769">
      <w:pPr>
        <w:pStyle w:val="Textstyle"/>
      </w:pPr>
      <w:r>
        <w:t>The PUCO supports PJM’s proposed transition toward a single Capacity Perfor</w:t>
      </w:r>
      <w:r w:rsidR="00AC3620">
        <w:softHyphen/>
      </w:r>
      <w:r>
        <w:t xml:space="preserve">mance product.  PJM sets forth a transition plan that calls for voluntary </w:t>
      </w:r>
      <w:r w:rsidR="007A6230">
        <w:t>Capacity Perfor</w:t>
      </w:r>
      <w:r w:rsidR="00AC3620">
        <w:softHyphen/>
      </w:r>
      <w:r w:rsidR="007A6230">
        <w:t xml:space="preserve">mance </w:t>
      </w:r>
      <w:r>
        <w:t>offers f</w:t>
      </w:r>
      <w:r w:rsidR="00C8252D">
        <w:t>or the 2016/2017 and 2017/2018 Delivery Y</w:t>
      </w:r>
      <w:r>
        <w:t xml:space="preserve">ears through an incremental auction structure.  Initially, PJM seeks to </w:t>
      </w:r>
      <w:r w:rsidR="002338BD">
        <w:t>procure 60 percent of PJM’s reliability require</w:t>
      </w:r>
      <w:r w:rsidR="00AC3620">
        <w:softHyphen/>
      </w:r>
      <w:r w:rsidR="002338BD">
        <w:t>ment in 2016/2017, and increase t</w:t>
      </w:r>
      <w:r w:rsidR="00C8252D">
        <w:t>o 70 percent for the 2017/2018 Delivery Y</w:t>
      </w:r>
      <w:r w:rsidR="002338BD">
        <w:t>ear.</w:t>
      </w:r>
      <w:r w:rsidR="000A3E7F">
        <w:rPr>
          <w:rStyle w:val="FootnoteReference"/>
        </w:rPr>
        <w:footnoteReference w:id="10"/>
      </w:r>
      <w:r w:rsidR="00C8252D">
        <w:t xml:space="preserve">  For Delivery Y</w:t>
      </w:r>
      <w:r w:rsidR="002338BD">
        <w:t xml:space="preserve">ears in 2018/2019 and 2019/2020, PJM aims to procure about 80 percent of its reliability requirement through Capacity Performance </w:t>
      </w:r>
      <w:r w:rsidR="00215C09">
        <w:t>r</w:t>
      </w:r>
      <w:r w:rsidR="00CA0811">
        <w:t>esources, with Base C</w:t>
      </w:r>
      <w:r w:rsidR="002338BD">
        <w:t>apacity resource</w:t>
      </w:r>
      <w:r w:rsidR="00CA0811">
        <w:t>s</w:t>
      </w:r>
      <w:r w:rsidR="002338BD">
        <w:t xml:space="preserve"> being p</w:t>
      </w:r>
      <w:r w:rsidR="00C8252D">
        <w:t>hased out by the 2020/2021 Delivery Y</w:t>
      </w:r>
      <w:r w:rsidR="002338BD">
        <w:t>ear.</w:t>
      </w:r>
      <w:r w:rsidR="000A3E7F">
        <w:rPr>
          <w:rStyle w:val="FootnoteReference"/>
        </w:rPr>
        <w:footnoteReference w:id="11"/>
      </w:r>
      <w:r w:rsidR="002338BD">
        <w:t xml:space="preserve">  </w:t>
      </w:r>
    </w:p>
    <w:p w:rsidR="002338BD" w:rsidRDefault="005B6A52" w:rsidP="00303769">
      <w:pPr>
        <w:pStyle w:val="Textstyle"/>
      </w:pPr>
      <w:r>
        <w:tab/>
        <w:t xml:space="preserve">In addition to phasing in </w:t>
      </w:r>
      <w:r w:rsidR="00C8252D">
        <w:t xml:space="preserve">Capacity Performance, </w:t>
      </w:r>
      <w:r>
        <w:t>PJM delicately rolls out the price cap for the new product beginning with 50 percent</w:t>
      </w:r>
      <w:r w:rsidR="00C8252D">
        <w:t xml:space="preserve"> of Net CONE for the 2016/2017 Delivery Y</w:t>
      </w:r>
      <w:r>
        <w:t>ear, and 60 perce</w:t>
      </w:r>
      <w:r w:rsidR="00C8252D">
        <w:t>nt  Net CONE for the 2017/2018 Delivery T</w:t>
      </w:r>
      <w:r>
        <w:t>ear.  Likewise, PJM’s penalty structure is the same, with the maxim</w:t>
      </w:r>
      <w:r w:rsidR="00C8252D">
        <w:t>um stop-loss for the 2016/2017 Deliv</w:t>
      </w:r>
      <w:r w:rsidR="00AC3620">
        <w:softHyphen/>
      </w:r>
      <w:r w:rsidR="00C8252D">
        <w:t>ery Y</w:t>
      </w:r>
      <w:r>
        <w:t xml:space="preserve">ear </w:t>
      </w:r>
      <w:r w:rsidR="0024315C">
        <w:t>at</w:t>
      </w:r>
      <w:r>
        <w:t xml:space="preserve"> 0.75 times Net CONE and for 2017/2018 the stop-loss increases to 0.9 times Net CONE.</w:t>
      </w:r>
      <w:r w:rsidR="0024315C">
        <w:rPr>
          <w:rStyle w:val="FootnoteReference"/>
        </w:rPr>
        <w:footnoteReference w:id="12"/>
      </w:r>
      <w:r>
        <w:t xml:space="preserve">  </w:t>
      </w:r>
    </w:p>
    <w:p w:rsidR="002338BD" w:rsidRDefault="002338BD" w:rsidP="00303769">
      <w:pPr>
        <w:pStyle w:val="Textstyle"/>
      </w:pPr>
      <w:r>
        <w:tab/>
        <w:t>PJM</w:t>
      </w:r>
      <w:r w:rsidR="00215C09">
        <w:t>’s gradual transition</w:t>
      </w:r>
      <w:r>
        <w:t xml:space="preserve"> provides sufficient time for generation units </w:t>
      </w:r>
      <w:r w:rsidR="005B303D">
        <w:t>not able</w:t>
      </w:r>
      <w:r>
        <w:t xml:space="preserve"> to offer as a Capacity Performance </w:t>
      </w:r>
      <w:r w:rsidR="00215C09">
        <w:t xml:space="preserve">resource </w:t>
      </w:r>
      <w:r>
        <w:t xml:space="preserve">to make </w:t>
      </w:r>
      <w:r w:rsidR="00C8252D">
        <w:t xml:space="preserve">the </w:t>
      </w:r>
      <w:r>
        <w:t xml:space="preserve">necessary improvements to </w:t>
      </w:r>
      <w:r>
        <w:lastRenderedPageBreak/>
        <w:t>ensure perform</w:t>
      </w:r>
      <w:r w:rsidR="00DA7B57">
        <w:t>ance</w:t>
      </w:r>
      <w:r>
        <w:t xml:space="preserve"> during periods of peak de</w:t>
      </w:r>
      <w:r w:rsidR="005B6A52">
        <w:t>mand.  The PUCO agrees with</w:t>
      </w:r>
      <w:r>
        <w:t xml:space="preserve"> PJM’s </w:t>
      </w:r>
      <w:r w:rsidR="005B303D">
        <w:t xml:space="preserve">plan to recognize </w:t>
      </w:r>
      <w:r>
        <w:t xml:space="preserve">generation units that are already able to </w:t>
      </w:r>
      <w:r w:rsidR="00945FEF">
        <w:t xml:space="preserve">perform </w:t>
      </w:r>
      <w:r w:rsidR="005B6A52">
        <w:t>by incrementally increasing the offer caps</w:t>
      </w:r>
      <w:r w:rsidR="00945FEF">
        <w:t xml:space="preserve">.  </w:t>
      </w:r>
      <w:r w:rsidR="005B303D">
        <w:t>Further, t</w:t>
      </w:r>
      <w:r w:rsidR="00945FEF">
        <w:t>he incremental increase in offer caps appropriately lines up with</w:t>
      </w:r>
      <w:r w:rsidR="005B6A52">
        <w:t xml:space="preserve"> the phased-in penalty provisions.  </w:t>
      </w:r>
      <w:r w:rsidR="004A1D0B">
        <w:t xml:space="preserve">These transition tariff revisions are just and reasonable, as they not only reflect higher performance obligations to </w:t>
      </w:r>
      <w:r w:rsidR="00C8252D">
        <w:t>promote system</w:t>
      </w:r>
      <w:r w:rsidR="004A1D0B">
        <w:t xml:space="preserve"> reliability </w:t>
      </w:r>
      <w:r w:rsidR="00375E4B">
        <w:t>on an expedited basis, but also provide</w:t>
      </w:r>
      <w:r w:rsidR="004A1D0B">
        <w:t xml:space="preserve"> sufficient time for generation units to implement</w:t>
      </w:r>
      <w:r w:rsidR="00CA0811">
        <w:t xml:space="preserve"> unit improvements.</w:t>
      </w:r>
    </w:p>
    <w:p w:rsidR="004A1D0B" w:rsidRDefault="004A1D0B" w:rsidP="00303769">
      <w:pPr>
        <w:pStyle w:val="Textstyle"/>
      </w:pPr>
      <w:r>
        <w:tab/>
        <w:t xml:space="preserve">Because Ohio is a restructured state, the PUCO stresses the importance of PJM maintaining a reliable electric system.  The PUCO notes that this transition period reflects the need for reliability improvements to </w:t>
      </w:r>
      <w:r w:rsidR="00945FEF">
        <w:t>begin</w:t>
      </w:r>
      <w:r>
        <w:t xml:space="preserve"> immediately.  It is not beneficial for generation units or end</w:t>
      </w:r>
      <w:r w:rsidR="00624B19">
        <w:t>-</w:t>
      </w:r>
      <w:r>
        <w:t>use custome</w:t>
      </w:r>
      <w:r w:rsidR="00C8252D">
        <w:t>rs to wait until the 2018/2019 Delivery Y</w:t>
      </w:r>
      <w:r>
        <w:t>ear to begin contemplating a new p</w:t>
      </w:r>
      <w:r w:rsidR="006754D8">
        <w:t>roduct.</w:t>
      </w:r>
      <w:r w:rsidR="00C8252D">
        <w:t xml:space="preserve">  Any delay would only extend market uncertainty</w:t>
      </w:r>
      <w:r w:rsidR="001612AF">
        <w:t>.</w:t>
      </w:r>
      <w:r w:rsidR="00C8252D">
        <w:t xml:space="preserve">  </w:t>
      </w:r>
    </w:p>
    <w:p w:rsidR="00CC13A8" w:rsidRDefault="004A1D0B" w:rsidP="00303769">
      <w:pPr>
        <w:pStyle w:val="Textstyle"/>
      </w:pPr>
      <w:r>
        <w:tab/>
        <w:t>Further, the PUCO urges the Commission to adopt PJM’s proposal to phase out its B</w:t>
      </w:r>
      <w:r w:rsidR="00DA1303">
        <w:t>ase Capaci</w:t>
      </w:r>
      <w:r w:rsidR="001612AF">
        <w:t>ty product after the 2019/2020 Delivery Y</w:t>
      </w:r>
      <w:r w:rsidR="00DA1303">
        <w:t>ear.</w:t>
      </w:r>
      <w:r w:rsidR="000A3E7F">
        <w:rPr>
          <w:rStyle w:val="FootnoteReference"/>
        </w:rPr>
        <w:footnoteReference w:id="13"/>
      </w:r>
      <w:r w:rsidR="00DA1303">
        <w:t xml:space="preserve">  Having a single capac</w:t>
      </w:r>
      <w:r w:rsidR="00AC3620">
        <w:softHyphen/>
      </w:r>
      <w:r w:rsidR="00DA1303">
        <w:t xml:space="preserve">ity product </w:t>
      </w:r>
      <w:r w:rsidR="005B303D">
        <w:t xml:space="preserve">allows for a </w:t>
      </w:r>
      <w:r w:rsidR="00DA1303">
        <w:t xml:space="preserve">more simplistic approach and avoids </w:t>
      </w:r>
      <w:r w:rsidR="00CC13A8">
        <w:t xml:space="preserve">administrative overreach by PJM.  Importantly, one product highlights the PUCO’s belief that </w:t>
      </w:r>
      <w:r w:rsidR="00CC13A8" w:rsidRPr="00CC13A8">
        <w:rPr>
          <w:u w:val="single"/>
        </w:rPr>
        <w:t>all</w:t>
      </w:r>
      <w:r w:rsidR="00CC13A8">
        <w:t xml:space="preserve"> generation units </w:t>
      </w:r>
      <w:r w:rsidR="00945FEF">
        <w:t xml:space="preserve">and capacity products </w:t>
      </w:r>
      <w:r w:rsidR="00CC13A8">
        <w:t xml:space="preserve">that clear in RPM must perform and be available when called upon.  </w:t>
      </w:r>
    </w:p>
    <w:p w:rsidR="005B303D" w:rsidRDefault="00CC13A8" w:rsidP="00303769">
      <w:pPr>
        <w:pStyle w:val="Heading3"/>
      </w:pPr>
      <w:bookmarkStart w:id="10" w:name="_Toc409516628"/>
      <w:r>
        <w:lastRenderedPageBreak/>
        <w:t>3.</w:t>
      </w:r>
      <w:r>
        <w:tab/>
      </w:r>
      <w:r w:rsidRPr="001612AF">
        <w:t xml:space="preserve">All </w:t>
      </w:r>
      <w:r w:rsidR="00303769" w:rsidRPr="001612AF">
        <w:t xml:space="preserve">resources physically capable of </w:t>
      </w:r>
      <w:r w:rsidR="00303769">
        <w:t xml:space="preserve">meeting capacity performance </w:t>
      </w:r>
      <w:r w:rsidR="00303769" w:rsidRPr="001612AF">
        <w:t>requirements should be required t</w:t>
      </w:r>
      <w:r w:rsidR="00303769">
        <w:t>o sub</w:t>
      </w:r>
      <w:r w:rsidR="00AC3620">
        <w:softHyphen/>
      </w:r>
      <w:r w:rsidR="00303769">
        <w:t xml:space="preserve">mit capacity performance </w:t>
      </w:r>
      <w:r w:rsidR="00303769" w:rsidRPr="001612AF">
        <w:t>offers</w:t>
      </w:r>
      <w:r w:rsidR="00303769">
        <w:t>.</w:t>
      </w:r>
      <w:bookmarkEnd w:id="10"/>
    </w:p>
    <w:p w:rsidR="00505700" w:rsidRDefault="00CC13A8" w:rsidP="00303769">
      <w:pPr>
        <w:pStyle w:val="Textstyle"/>
      </w:pPr>
      <w:r>
        <w:rPr>
          <w:b/>
        </w:rPr>
        <w:tab/>
      </w:r>
      <w:r>
        <w:t xml:space="preserve">As previously stated, the PUCO favors simplicity and transparency within </w:t>
      </w:r>
      <w:r w:rsidR="00157232">
        <w:t>the RPM construct</w:t>
      </w:r>
      <w:r>
        <w:t>.  The PUCO is agreeable to a Base Capacity Product on an interim basis in the interest of allowing for a reasonable transition to Capacity Performance require</w:t>
      </w:r>
      <w:r w:rsidR="00AC3620">
        <w:softHyphen/>
      </w:r>
      <w:r>
        <w:t>ments.  However, such acquiescence is dependent on safeguard provisions to ensure there is no withholding of resources that are capable of meeting Capacity Perform</w:t>
      </w:r>
      <w:r w:rsidR="006754D8">
        <w:t>ance require</w:t>
      </w:r>
      <w:r w:rsidR="00AC3620">
        <w:softHyphen/>
      </w:r>
      <w:r w:rsidR="006754D8">
        <w:t xml:space="preserve">ments. </w:t>
      </w:r>
      <w:r>
        <w:t xml:space="preserve">Accordingly, to prevent the exercise of market power, the Commission should adopt PJM’s </w:t>
      </w:r>
      <w:r w:rsidR="006754D8">
        <w:t>recommendation that all units capable of meeting Capacity Performance standard</w:t>
      </w:r>
      <w:r w:rsidR="00157232">
        <w:t>s be required to offer as a Capacity Performance</w:t>
      </w:r>
      <w:r w:rsidR="006754D8">
        <w:t xml:space="preserve"> resource in all RPM auctions for each delivery year.  </w:t>
      </w:r>
    </w:p>
    <w:p w:rsidR="00431F55" w:rsidRPr="007748C9" w:rsidRDefault="000F0E0A" w:rsidP="00303769">
      <w:pPr>
        <w:pStyle w:val="Heading2"/>
      </w:pPr>
      <w:bookmarkStart w:id="11" w:name="_Toc409516629"/>
      <w:r>
        <w:t>C</w:t>
      </w:r>
      <w:r w:rsidR="00431F55">
        <w:t>.</w:t>
      </w:r>
      <w:r w:rsidR="00431F55">
        <w:tab/>
      </w:r>
      <w:r w:rsidR="00157232" w:rsidRPr="00157232">
        <w:t xml:space="preserve">Because </w:t>
      </w:r>
      <w:r w:rsidR="00303769" w:rsidRPr="00157232">
        <w:t xml:space="preserve">capacity performance is a reliability initiative, it must apply to </w:t>
      </w:r>
      <w:r w:rsidR="00431F55" w:rsidRPr="00157232">
        <w:rPr>
          <w:u w:val="single"/>
        </w:rPr>
        <w:t>ALL</w:t>
      </w:r>
      <w:r w:rsidR="00431F55" w:rsidRPr="00AC3620">
        <w:t xml:space="preserve"> </w:t>
      </w:r>
      <w:r w:rsidR="00303769" w:rsidRPr="00157232">
        <w:t xml:space="preserve">generation resources, including </w:t>
      </w:r>
      <w:r w:rsidR="00157232">
        <w:t xml:space="preserve">FRR </w:t>
      </w:r>
      <w:r w:rsidR="00303769">
        <w:t>entities.</w:t>
      </w:r>
      <w:bookmarkEnd w:id="11"/>
    </w:p>
    <w:p w:rsidR="00881A2B" w:rsidRDefault="007748C9" w:rsidP="00303769">
      <w:pPr>
        <w:pStyle w:val="Textstyle"/>
      </w:pPr>
      <w:r>
        <w:tab/>
      </w:r>
      <w:r w:rsidR="005B303D">
        <w:t xml:space="preserve">The PUCO supports PJM’s inclusion of </w:t>
      </w:r>
      <w:r w:rsidR="00157232">
        <w:t>FRR</w:t>
      </w:r>
      <w:r w:rsidR="005B303D">
        <w:t xml:space="preserve"> entities in its Capacity Perfor</w:t>
      </w:r>
      <w:r w:rsidR="00AC3620">
        <w:softHyphen/>
      </w:r>
      <w:r w:rsidR="005B303D">
        <w:t>mance proposal.</w:t>
      </w:r>
      <w:r w:rsidR="000A3E7F">
        <w:rPr>
          <w:rStyle w:val="FootnoteReference"/>
        </w:rPr>
        <w:footnoteReference w:id="14"/>
      </w:r>
      <w:r w:rsidR="005B303D">
        <w:t xml:space="preserve">  </w:t>
      </w:r>
      <w:r w:rsidR="00725A7F">
        <w:t>The PUCO maintains that, absent the Capacity Performance require</w:t>
      </w:r>
      <w:r w:rsidR="00AC3620">
        <w:softHyphen/>
      </w:r>
      <w:r w:rsidR="00725A7F">
        <w:t xml:space="preserve">ments being extended to entities that have opted out of RPM, or </w:t>
      </w:r>
      <w:r w:rsidR="00157232">
        <w:t xml:space="preserve">FRR </w:t>
      </w:r>
      <w:r w:rsidR="00725A7F">
        <w:t>generation units, PJM create</w:t>
      </w:r>
      <w:r w:rsidR="005B303D">
        <w:t>s</w:t>
      </w:r>
      <w:r w:rsidR="00725A7F">
        <w:t xml:space="preserve"> an adm</w:t>
      </w:r>
      <w:r w:rsidR="00881A2B">
        <w:t>inistratively burdensome system.  Allowing generation units to have varying reliability responsibilities not only would act to the detriment of an RTO vested with reli</w:t>
      </w:r>
      <w:r w:rsidR="00AC3620">
        <w:softHyphen/>
      </w:r>
      <w:r w:rsidR="00881A2B">
        <w:t>ability responsibilities, but also creates different treatment standards for generation units</w:t>
      </w:r>
      <w:r w:rsidR="00157232">
        <w:t xml:space="preserve"> </w:t>
      </w:r>
      <w:r w:rsidR="00157232">
        <w:lastRenderedPageBreak/>
        <w:t>that are all within the same RTO</w:t>
      </w:r>
      <w:r w:rsidR="00725A7F">
        <w:t>.  Arguably, if FRR entities were able to opt-out of Capac</w:t>
      </w:r>
      <w:r w:rsidR="00AC3620">
        <w:softHyphen/>
      </w:r>
      <w:r w:rsidR="00725A7F">
        <w:t xml:space="preserve">ity Performance, PJM would be </w:t>
      </w:r>
      <w:r w:rsidR="00DA7B57">
        <w:t>holding</w:t>
      </w:r>
      <w:r w:rsidR="00725A7F">
        <w:t xml:space="preserve"> </w:t>
      </w:r>
      <w:r w:rsidR="00DA7B57">
        <w:t>certain</w:t>
      </w:r>
      <w:r w:rsidR="00725A7F">
        <w:t xml:space="preserve"> units within its footprint to </w:t>
      </w:r>
      <w:r w:rsidR="005B303D">
        <w:t xml:space="preserve">higher </w:t>
      </w:r>
      <w:r w:rsidR="00725A7F">
        <w:t>perfor</w:t>
      </w:r>
      <w:r w:rsidR="00AC3620">
        <w:softHyphen/>
      </w:r>
      <w:r w:rsidR="00725A7F">
        <w:t>mance standards</w:t>
      </w:r>
      <w:r w:rsidR="00DA7B57">
        <w:t xml:space="preserve"> than other generation units. </w:t>
      </w:r>
      <w:r w:rsidR="00881A2B">
        <w:t xml:space="preserve"> </w:t>
      </w:r>
    </w:p>
    <w:p w:rsidR="006754D8" w:rsidRDefault="00881A2B" w:rsidP="00303769">
      <w:pPr>
        <w:pStyle w:val="Textstyle"/>
      </w:pPr>
      <w:r>
        <w:tab/>
        <w:t xml:space="preserve">Removing FRR entities from Capacity Performance runs contrary </w:t>
      </w:r>
      <w:r w:rsidR="00945FEF">
        <w:t>to reliabil</w:t>
      </w:r>
      <w:r w:rsidR="00AC3620">
        <w:softHyphen/>
      </w:r>
      <w:r w:rsidR="00945FEF">
        <w:t>ity principles</w:t>
      </w:r>
      <w:r w:rsidR="00157232">
        <w:t xml:space="preserve">. </w:t>
      </w:r>
      <w:r w:rsidR="00725A7F">
        <w:t>FRR generation units with more lax performance standar</w:t>
      </w:r>
      <w:r w:rsidR="00157232">
        <w:t xml:space="preserve">ds may not be able to perform during periods of peak demand, </w:t>
      </w:r>
      <w:r w:rsidR="00725A7F">
        <w:t>causing PJM to lean on RPM units that are able to perform.  This type of a scenario unfairly punishes restructured states with RPM entities</w:t>
      </w:r>
      <w:r>
        <w:t xml:space="preserve">.  </w:t>
      </w:r>
      <w:r w:rsidR="00725A7F">
        <w:t xml:space="preserve">RPM units would bear costs associated with a Capacity Performance construct that benefits </w:t>
      </w:r>
      <w:r w:rsidR="00157232">
        <w:t xml:space="preserve">reliability for </w:t>
      </w:r>
      <w:r w:rsidR="00725A7F">
        <w:t xml:space="preserve">the entire PJM footprint.  Not only would precluding FRR entities violate cost causation principles, but it lends itself to the possibility </w:t>
      </w:r>
      <w:r w:rsidR="00945FEF">
        <w:t xml:space="preserve">of </w:t>
      </w:r>
      <w:r w:rsidR="00725A7F">
        <w:t xml:space="preserve">RPM entities switching over to FRR to avoid costs associated with generation unit maintenance and weatherization.  In order to avoid an absurd outcome, the PUCO urges the Commission </w:t>
      </w:r>
      <w:r>
        <w:t>to adopt PJM’s pro</w:t>
      </w:r>
      <w:r w:rsidR="00AC3620">
        <w:softHyphen/>
      </w:r>
      <w:r>
        <w:t xml:space="preserve">posal to allocate Capacity Performance standards to FRR entities.  </w:t>
      </w:r>
    </w:p>
    <w:p w:rsidR="00E3022C" w:rsidRDefault="00881A2B" w:rsidP="00303769">
      <w:pPr>
        <w:pStyle w:val="Heading1"/>
      </w:pPr>
      <w:bookmarkStart w:id="12" w:name="_Toc409516630"/>
      <w:r w:rsidRPr="00217856">
        <w:t>I</w:t>
      </w:r>
      <w:r w:rsidR="00573C38">
        <w:t>II</w:t>
      </w:r>
      <w:r w:rsidR="00E3022C" w:rsidRPr="00217856">
        <w:t>.</w:t>
      </w:r>
      <w:r w:rsidR="00E3022C">
        <w:tab/>
      </w:r>
      <w:r w:rsidR="001D5D9C" w:rsidRPr="00157232">
        <w:t>Recommendations</w:t>
      </w:r>
      <w:bookmarkEnd w:id="12"/>
    </w:p>
    <w:p w:rsidR="001D5D9C" w:rsidRPr="001D5D9C" w:rsidRDefault="001D5D9C" w:rsidP="00303769">
      <w:pPr>
        <w:pStyle w:val="Textstyle"/>
      </w:pPr>
      <w:r>
        <w:tab/>
      </w:r>
      <w:r w:rsidR="0004423D">
        <w:t>Although the PUCO generally supports PJM’s proposed tariff revisions, in order to ensure that the revisions are not unnecessarily complex and appropriately consider cost implications, the Commission should retain the short-term resource procurement tar</w:t>
      </w:r>
      <w:r w:rsidR="00AC3620">
        <w:softHyphen/>
      </w:r>
      <w:r w:rsidR="0004423D">
        <w:t xml:space="preserve">get and continue to conduct up-front generation unit reviews to prevent </w:t>
      </w:r>
      <w:r w:rsidR="00804BDE">
        <w:t xml:space="preserve">the exercise of </w:t>
      </w:r>
      <w:r w:rsidR="0004423D">
        <w:t xml:space="preserve">market power.  Further, in the interest of simplicity, PJM should avoid the creation of a “hybrid” demand response product.  </w:t>
      </w:r>
      <w:r w:rsidRPr="001D5D9C">
        <w:t xml:space="preserve"> </w:t>
      </w:r>
    </w:p>
    <w:p w:rsidR="004C2BA5" w:rsidRDefault="00303769" w:rsidP="00303769">
      <w:pPr>
        <w:pStyle w:val="Heading2"/>
      </w:pPr>
      <w:bookmarkStart w:id="13" w:name="_Toc409516631"/>
      <w:r>
        <w:lastRenderedPageBreak/>
        <w:t>A.</w:t>
      </w:r>
      <w:r w:rsidR="000834B9">
        <w:tab/>
      </w:r>
      <w:r w:rsidR="001D5D9C" w:rsidRPr="0004423D">
        <w:t xml:space="preserve">The </w:t>
      </w:r>
      <w:r w:rsidRPr="0004423D">
        <w:t>short-term resource procurement target should be maintained</w:t>
      </w:r>
      <w:r>
        <w:t>.</w:t>
      </w:r>
      <w:bookmarkEnd w:id="13"/>
    </w:p>
    <w:p w:rsidR="001D5D9C" w:rsidRPr="001D5D9C" w:rsidRDefault="001D5D9C" w:rsidP="00303769">
      <w:pPr>
        <w:pStyle w:val="Textstyle"/>
      </w:pPr>
      <w:r>
        <w:tab/>
      </w:r>
      <w:r w:rsidRPr="001D5D9C">
        <w:t>PJM explains that its Short</w:t>
      </w:r>
      <w:r w:rsidR="00F70EE0">
        <w:t>-</w:t>
      </w:r>
      <w:r w:rsidRPr="001D5D9C">
        <w:t>Term Resource Procurement Target</w:t>
      </w:r>
      <w:r w:rsidR="005B303D">
        <w:t>,</w:t>
      </w:r>
      <w:r w:rsidRPr="001D5D9C">
        <w:t xml:space="preserve"> known as the 2.5 percent holdback</w:t>
      </w:r>
      <w:r w:rsidR="005B303D">
        <w:t>,</w:t>
      </w:r>
      <w:r w:rsidRPr="001D5D9C">
        <w:t xml:space="preserve"> reduces the Reserve Requirement used in a BRA by 2.5 percent.</w:t>
      </w:r>
      <w:r w:rsidR="000A3E7F">
        <w:rPr>
          <w:rStyle w:val="FootnoteReference"/>
        </w:rPr>
        <w:footnoteReference w:id="15"/>
      </w:r>
      <w:r w:rsidRPr="001D5D9C">
        <w:t xml:space="preserve">  The holdback is spread over three </w:t>
      </w:r>
      <w:r w:rsidR="005B303D">
        <w:t>s</w:t>
      </w:r>
      <w:r w:rsidRPr="001D5D9C">
        <w:t>cheduled Incremental Auctions.  PJM maintains that the 2.5 percent holdback is no longer necessary, as it suppresses BRA clearing prices by withholding demand.</w:t>
      </w:r>
      <w:r w:rsidR="003008A0">
        <w:rPr>
          <w:rStyle w:val="FootnoteReference"/>
        </w:rPr>
        <w:footnoteReference w:id="16"/>
      </w:r>
      <w:r w:rsidRPr="001D5D9C">
        <w:t xml:space="preserve">  In support of the holdback removal, PJM reports that it has made load forecast adjustments that will reduce the peak</w:t>
      </w:r>
      <w:r w:rsidR="0004423D">
        <w:t xml:space="preserve"> load forecast for the 2018/19 Delivery Y</w:t>
      </w:r>
      <w:r w:rsidRPr="001D5D9C">
        <w:t>ear, as well as future refinements to its forecasting model.</w:t>
      </w:r>
      <w:r w:rsidR="003008A0">
        <w:rPr>
          <w:rStyle w:val="FootnoteReference"/>
        </w:rPr>
        <w:footnoteReference w:id="17"/>
      </w:r>
    </w:p>
    <w:p w:rsidR="001D5D9C" w:rsidRPr="001D5D9C" w:rsidRDefault="001D5D9C" w:rsidP="00303769">
      <w:pPr>
        <w:pStyle w:val="Textstyle"/>
      </w:pPr>
      <w:r>
        <w:tab/>
      </w:r>
      <w:r w:rsidRPr="001D5D9C">
        <w:t>The Commission should reject PJM’s removal of the 2.5 percent holdback provision.  Inaccurate forecasting by PJM results in the over-procurement of capacity and increases capacity costs.</w:t>
      </w:r>
      <w:r w:rsidRPr="001D5D9C">
        <w:rPr>
          <w:vertAlign w:val="superscript"/>
        </w:rPr>
        <w:footnoteReference w:id="18"/>
      </w:r>
      <w:r w:rsidRPr="001D5D9C">
        <w:t xml:space="preserve"> While the PUCO appreciates PJM’s efforts to review its fore</w:t>
      </w:r>
      <w:r w:rsidR="00AC3620">
        <w:softHyphen/>
      </w:r>
      <w:r w:rsidRPr="001D5D9C">
        <w:t>casting model for the upcoming BRA, PJM has not adequately demonstrated that its fore</w:t>
      </w:r>
      <w:r w:rsidR="00AC3620">
        <w:softHyphen/>
      </w:r>
      <w:r w:rsidRPr="001D5D9C">
        <w:t xml:space="preserve">casting changes will actually provide more consistent results. </w:t>
      </w:r>
    </w:p>
    <w:p w:rsidR="001D5D9C" w:rsidRPr="001D5D9C" w:rsidRDefault="001D5D9C" w:rsidP="00303769">
      <w:pPr>
        <w:pStyle w:val="Textstyle"/>
      </w:pPr>
      <w:r>
        <w:tab/>
      </w:r>
      <w:r w:rsidRPr="001D5D9C">
        <w:t>Accordingly, additional discussion and review of PJM’s forecasting method</w:t>
      </w:r>
      <w:r w:rsidR="00AC3620">
        <w:softHyphen/>
      </w:r>
      <w:r w:rsidRPr="001D5D9C">
        <w:t xml:space="preserve">ology must be completed prior to the elimination of the 2.5 percent holdback.  The 2.5 percent holdback is not germane to the reliability and operability issues addressed by PJM </w:t>
      </w:r>
      <w:r w:rsidRPr="001D5D9C">
        <w:lastRenderedPageBreak/>
        <w:t xml:space="preserve">in this proceeding.  PJM should retain its 2.5 percent holdback until PJM’s forecasting methodology has proven to be more consistent for the next three BRAs.  The PUCO urges the Commission </w:t>
      </w:r>
      <w:r w:rsidR="0024315C">
        <w:t xml:space="preserve">to </w:t>
      </w:r>
      <w:r w:rsidR="005B303D">
        <w:t>reject PJM’s removal</w:t>
      </w:r>
      <w:r w:rsidRPr="001D5D9C">
        <w:t xml:space="preserve"> </w:t>
      </w:r>
      <w:r w:rsidR="005B303D">
        <w:t>of</w:t>
      </w:r>
      <w:r w:rsidRPr="001D5D9C">
        <w:t xml:space="preserve"> the 2.5 percent holdback.</w:t>
      </w:r>
    </w:p>
    <w:p w:rsidR="001D5D9C" w:rsidRPr="0004423D" w:rsidRDefault="00303769" w:rsidP="00303769">
      <w:pPr>
        <w:pStyle w:val="Heading2"/>
      </w:pPr>
      <w:bookmarkStart w:id="14" w:name="_Toc409516632"/>
      <w:r>
        <w:t>B.</w:t>
      </w:r>
      <w:r>
        <w:tab/>
      </w:r>
      <w:r w:rsidR="001D5D9C" w:rsidRPr="0004423D">
        <w:t xml:space="preserve">PJM </w:t>
      </w:r>
      <w:r w:rsidRPr="0004423D">
        <w:t xml:space="preserve">must allow for </w:t>
      </w:r>
      <w:r>
        <w:t xml:space="preserve">the </w:t>
      </w:r>
      <w:r w:rsidRPr="0004423D">
        <w:t xml:space="preserve">review of </w:t>
      </w:r>
      <w:r>
        <w:t xml:space="preserve">generation </w:t>
      </w:r>
      <w:r w:rsidRPr="0004423D">
        <w:t>unit data to avoid the exercise of market power</w:t>
      </w:r>
      <w:r>
        <w:t>.</w:t>
      </w:r>
      <w:bookmarkEnd w:id="14"/>
    </w:p>
    <w:p w:rsidR="001D5D9C" w:rsidRPr="001D5D9C" w:rsidRDefault="001D5D9C" w:rsidP="00303769">
      <w:pPr>
        <w:pStyle w:val="Textstyle"/>
      </w:pPr>
      <w:r w:rsidRPr="001D5D9C">
        <w:t xml:space="preserve">PJM proposes to increase the </w:t>
      </w:r>
      <w:r w:rsidR="00555361">
        <w:t>M</w:t>
      </w:r>
      <w:r w:rsidR="00555361" w:rsidRPr="001D5D9C">
        <w:t xml:space="preserve">arket </w:t>
      </w:r>
      <w:r w:rsidR="00555361">
        <w:t>S</w:t>
      </w:r>
      <w:r w:rsidRPr="001D5D9C">
        <w:t xml:space="preserve">eller </w:t>
      </w:r>
      <w:r w:rsidR="00555361">
        <w:t>O</w:t>
      </w:r>
      <w:r w:rsidRPr="001D5D9C">
        <w:t xml:space="preserve">ffer </w:t>
      </w:r>
      <w:r w:rsidR="00555361">
        <w:t>C</w:t>
      </w:r>
      <w:r w:rsidRPr="001D5D9C">
        <w:t>ap for Capacity Performance</w:t>
      </w:r>
      <w:r w:rsidR="005B303D">
        <w:t xml:space="preserve"> generation resources</w:t>
      </w:r>
      <w:r w:rsidRPr="001D5D9C">
        <w:t xml:space="preserve"> to Net CONE for the applicable Delivery Year and LDA.</w:t>
      </w:r>
      <w:r w:rsidR="00303D1B">
        <w:rPr>
          <w:rStyle w:val="FootnoteReference"/>
        </w:rPr>
        <w:footnoteReference w:id="19"/>
      </w:r>
      <w:r w:rsidRPr="001D5D9C">
        <w:t xml:space="preserve">  In support of </w:t>
      </w:r>
      <w:r w:rsidR="00B4118E">
        <w:t>the increase</w:t>
      </w:r>
      <w:r w:rsidRPr="001D5D9C">
        <w:t xml:space="preserve">, PJM points out that the Commission recently approved changes to RPM </w:t>
      </w:r>
      <w:r w:rsidR="00841DE6">
        <w:t xml:space="preserve">in its Triennial Review Order </w:t>
      </w:r>
      <w:r w:rsidRPr="001D5D9C">
        <w:t>to ensure that Net CONE for the next three years is just and reasonable.</w:t>
      </w:r>
      <w:r w:rsidR="00841DE6">
        <w:rPr>
          <w:rStyle w:val="FootnoteReference"/>
        </w:rPr>
        <w:footnoteReference w:id="20"/>
      </w:r>
      <w:r w:rsidRPr="001D5D9C">
        <w:t xml:space="preserve"> </w:t>
      </w:r>
    </w:p>
    <w:p w:rsidR="00236D6F" w:rsidRDefault="001D5D9C" w:rsidP="00303769">
      <w:pPr>
        <w:pStyle w:val="Textstyle"/>
      </w:pPr>
      <w:r w:rsidRPr="001D5D9C">
        <w:t xml:space="preserve">PJM </w:t>
      </w:r>
      <w:r w:rsidR="009E2929">
        <w:t xml:space="preserve">reasons </w:t>
      </w:r>
      <w:r w:rsidRPr="001D5D9C">
        <w:t xml:space="preserve">that </w:t>
      </w:r>
      <w:r w:rsidR="00841DE6">
        <w:t xml:space="preserve">sell </w:t>
      </w:r>
      <w:r w:rsidRPr="001D5D9C">
        <w:t>offers at or below Net CONE provide reasonable flexibility to sellers of Capacity Performance resources.  Because the risk of non-performance rests with the market seller, PJM believes that the market seller is best positioned to determine what investments are necessary to ensure performance.  PJM further explains that the Non-Per</w:t>
      </w:r>
      <w:r w:rsidR="00AC3620">
        <w:softHyphen/>
      </w:r>
      <w:r w:rsidRPr="001D5D9C">
        <w:t>formance Penalty is a substantial cost of Capacity Performance participation that market sellers must contemplate when formulating offers.</w:t>
      </w:r>
      <w:r w:rsidR="00303D1B">
        <w:rPr>
          <w:rStyle w:val="FootnoteReference"/>
        </w:rPr>
        <w:footnoteReference w:id="21"/>
      </w:r>
      <w:r w:rsidRPr="001D5D9C">
        <w:t xml:space="preserve">  </w:t>
      </w:r>
    </w:p>
    <w:p w:rsidR="00B4118E" w:rsidRDefault="001D5D9C" w:rsidP="00303769">
      <w:pPr>
        <w:pStyle w:val="Textstyle"/>
      </w:pPr>
      <w:r w:rsidRPr="001D5D9C">
        <w:t>The PUCO supports PJM’s proposal to allow sell offers at or below Net C</w:t>
      </w:r>
      <w:r w:rsidR="00B4118E">
        <w:t>ONE</w:t>
      </w:r>
      <w:r w:rsidRPr="001D5D9C">
        <w:t xml:space="preserve"> as a reasonable reflection of the risk and investment required of a Capacity Performance </w:t>
      </w:r>
      <w:r w:rsidRPr="001D5D9C">
        <w:lastRenderedPageBreak/>
        <w:t>resource.</w:t>
      </w:r>
      <w:r w:rsidR="00236D6F">
        <w:t xml:space="preserve">  </w:t>
      </w:r>
      <w:r w:rsidR="00B4118E">
        <w:t xml:space="preserve">However, the PUCO does not agree with the presumption that no market power can be exercised so long as a sell offer is at or below Net CONE.  </w:t>
      </w:r>
      <w:r w:rsidRPr="001D5D9C">
        <w:t>PJM’s filing revises its tariff</w:t>
      </w:r>
      <w:r w:rsidR="00236D6F">
        <w:t>, without justification,</w:t>
      </w:r>
      <w:r w:rsidRPr="001D5D9C">
        <w:t xml:space="preserve"> to </w:t>
      </w:r>
      <w:r w:rsidR="00236D6F">
        <w:t>find that the</w:t>
      </w:r>
      <w:r w:rsidRPr="001D5D9C">
        <w:t xml:space="preserve"> submission of a sell offer with an offer price at or below the Market Seller Offer Cap (</w:t>
      </w:r>
      <w:r w:rsidR="006C1DE5" w:rsidRPr="001D5D9C">
        <w:t>i.e.</w:t>
      </w:r>
      <w:r w:rsidRPr="001D5D9C">
        <w:t>, Net Cone), “shall not, in and of itself, be deemed an exercise of market power in the RPM market.”</w:t>
      </w:r>
      <w:r w:rsidRPr="001D5D9C">
        <w:rPr>
          <w:vertAlign w:val="superscript"/>
        </w:rPr>
        <w:footnoteReference w:id="22"/>
      </w:r>
      <w:r w:rsidRPr="001D5D9C">
        <w:t xml:space="preserve"> </w:t>
      </w:r>
    </w:p>
    <w:p w:rsidR="001D5D9C" w:rsidRPr="001D5D9C" w:rsidRDefault="00236D6F" w:rsidP="00303769">
      <w:pPr>
        <w:pStyle w:val="Textstyle"/>
      </w:pPr>
      <w:r>
        <w:t xml:space="preserve">Currently, PJM </w:t>
      </w:r>
      <w:r w:rsidR="001D5D9C" w:rsidRPr="00B4118E">
        <w:t xml:space="preserve">requires that a capacity market seller must submit, </w:t>
      </w:r>
      <w:r>
        <w:t xml:space="preserve">both </w:t>
      </w:r>
      <w:r w:rsidR="001D5D9C" w:rsidRPr="00B4118E">
        <w:t xml:space="preserve">to the </w:t>
      </w:r>
      <w:r w:rsidR="000834B9">
        <w:t>Inde</w:t>
      </w:r>
      <w:r w:rsidR="00AC3620">
        <w:softHyphen/>
      </w:r>
      <w:r w:rsidR="000834B9">
        <w:t>pendent Market Monitor (</w:t>
      </w:r>
      <w:proofErr w:type="spellStart"/>
      <w:r w:rsidR="001D5D9C" w:rsidRPr="00B4118E">
        <w:t>IMM</w:t>
      </w:r>
      <w:proofErr w:type="spellEnd"/>
      <w:r w:rsidR="000834B9">
        <w:t>)</w:t>
      </w:r>
      <w:r w:rsidR="001D5D9C" w:rsidRPr="00B4118E">
        <w:t xml:space="preserve"> and PJM, unit-specific </w:t>
      </w:r>
      <w:r w:rsidR="00555361" w:rsidRPr="00B4118E">
        <w:t xml:space="preserve">cost </w:t>
      </w:r>
      <w:r w:rsidR="001D5D9C" w:rsidRPr="00B4118E">
        <w:t>data to establish each unit</w:t>
      </w:r>
      <w:r w:rsidR="00CB6C9F" w:rsidRPr="00B4118E">
        <w:t>’s Market Seller Offer Cap</w:t>
      </w:r>
      <w:r w:rsidR="001D5D9C" w:rsidRPr="00B4118E">
        <w:t>.</w:t>
      </w:r>
      <w:r w:rsidR="001D5D9C" w:rsidRPr="001D5D9C">
        <w:t xml:space="preserve">  The capacity market seller must communicate with the IMM to address any concerns regarding the data and documentation provided to support the pro</w:t>
      </w:r>
      <w:r w:rsidR="00AC3620">
        <w:softHyphen/>
      </w:r>
      <w:r w:rsidR="001D5D9C" w:rsidRPr="001D5D9C">
        <w:t xml:space="preserve">posed level of the </w:t>
      </w:r>
      <w:r w:rsidR="00555361">
        <w:t>M</w:t>
      </w:r>
      <w:r w:rsidR="00555361" w:rsidRPr="001D5D9C">
        <w:t xml:space="preserve">arket </w:t>
      </w:r>
      <w:r w:rsidR="00555361">
        <w:t>S</w:t>
      </w:r>
      <w:r w:rsidR="00555361" w:rsidRPr="001D5D9C">
        <w:t xml:space="preserve">eller </w:t>
      </w:r>
      <w:r w:rsidR="00555361">
        <w:t>O</w:t>
      </w:r>
      <w:r w:rsidR="00555361" w:rsidRPr="001D5D9C">
        <w:t xml:space="preserve">ffer </w:t>
      </w:r>
      <w:r w:rsidR="00555361">
        <w:t>C</w:t>
      </w:r>
      <w:r w:rsidR="00555361" w:rsidRPr="001D5D9C">
        <w:t>ap</w:t>
      </w:r>
      <w:r w:rsidR="001D5D9C" w:rsidRPr="001D5D9C">
        <w:t xml:space="preserve">.  This process allows for </w:t>
      </w:r>
      <w:r w:rsidR="009E2929">
        <w:t xml:space="preserve">the </w:t>
      </w:r>
      <w:r w:rsidR="001D5D9C" w:rsidRPr="001D5D9C">
        <w:t xml:space="preserve">up-front mitigation of market power by the IMM.  </w:t>
      </w:r>
    </w:p>
    <w:p w:rsidR="001D5D9C" w:rsidRPr="001D5D9C" w:rsidRDefault="001D5D9C" w:rsidP="00303769">
      <w:pPr>
        <w:pStyle w:val="Textstyle"/>
      </w:pPr>
      <w:r w:rsidRPr="001D5D9C">
        <w:t xml:space="preserve">The PUCO notes that </w:t>
      </w:r>
      <w:r w:rsidR="009E2929">
        <w:t>market power reviews</w:t>
      </w:r>
      <w:r w:rsidR="00B4118E">
        <w:t xml:space="preserve"> are</w:t>
      </w:r>
      <w:r w:rsidR="00236D6F">
        <w:t xml:space="preserve"> essential</w:t>
      </w:r>
      <w:r w:rsidRPr="001D5D9C">
        <w:t xml:space="preserve"> to </w:t>
      </w:r>
      <w:r w:rsidR="00B4118E">
        <w:t>allow</w:t>
      </w:r>
      <w:r w:rsidRPr="001D5D9C">
        <w:t xml:space="preserve"> RPM to operate effectivel</w:t>
      </w:r>
      <w:r w:rsidR="00236D6F">
        <w:t>y and avoid negative outcomes that act to distort</w:t>
      </w:r>
      <w:r w:rsidRPr="001D5D9C">
        <w:t xml:space="preserve"> market price signals. </w:t>
      </w:r>
      <w:r w:rsidR="009E2929">
        <w:t xml:space="preserve">It </w:t>
      </w:r>
      <w:r w:rsidRPr="001D5D9C">
        <w:t>is erro</w:t>
      </w:r>
      <w:r w:rsidR="00AC3620">
        <w:softHyphen/>
      </w:r>
      <w:r w:rsidRPr="001D5D9C">
        <w:t>neous to assume that market</w:t>
      </w:r>
      <w:r w:rsidR="00DA7B57">
        <w:t xml:space="preserve"> </w:t>
      </w:r>
      <w:r w:rsidRPr="001D5D9C">
        <w:t>power issues will no longer exist</w:t>
      </w:r>
      <w:r w:rsidR="00DC1BAD">
        <w:t xml:space="preserve"> at or</w:t>
      </w:r>
      <w:r w:rsidRPr="001D5D9C">
        <w:t xml:space="preserve"> below Net CONE for each unit or portfolio of generation resources.  Absent prior review, litigation at the Com</w:t>
      </w:r>
      <w:r w:rsidR="00AC3620">
        <w:softHyphen/>
      </w:r>
      <w:r w:rsidRPr="001D5D9C">
        <w:t xml:space="preserve">mission and </w:t>
      </w:r>
      <w:r w:rsidR="00DA7B57">
        <w:t xml:space="preserve">in </w:t>
      </w:r>
      <w:r w:rsidRPr="001D5D9C">
        <w:t>the Courts will likely occur if an after</w:t>
      </w:r>
      <w:r w:rsidR="001E6C5E">
        <w:t>-</w:t>
      </w:r>
      <w:r w:rsidRPr="001D5D9C">
        <w:t>the</w:t>
      </w:r>
      <w:r w:rsidR="001E6C5E">
        <w:t>-</w:t>
      </w:r>
      <w:r w:rsidRPr="001D5D9C">
        <w:t xml:space="preserve">fact claim of market power is raised.  Not only would </w:t>
      </w:r>
      <w:r w:rsidR="00DA7B57">
        <w:t>after-the-fact challenges</w:t>
      </w:r>
      <w:r w:rsidRPr="001D5D9C">
        <w:t xml:space="preserve"> be administratively </w:t>
      </w:r>
      <w:r w:rsidR="00DA7B57">
        <w:t>burdensome</w:t>
      </w:r>
      <w:r w:rsidRPr="001D5D9C">
        <w:t xml:space="preserve"> for all parties, but </w:t>
      </w:r>
      <w:r w:rsidR="00FF79F7">
        <w:t>PJM’s</w:t>
      </w:r>
      <w:r w:rsidR="00FF79F7" w:rsidRPr="001D5D9C">
        <w:t xml:space="preserve"> </w:t>
      </w:r>
      <w:r w:rsidRPr="001D5D9C">
        <w:t xml:space="preserve">energy and capacity </w:t>
      </w:r>
      <w:r w:rsidR="00B4118E">
        <w:t>mechanisms</w:t>
      </w:r>
      <w:r w:rsidRPr="001D5D9C">
        <w:t xml:space="preserve"> may be harmed as a result of poten</w:t>
      </w:r>
      <w:r w:rsidR="00AC3620">
        <w:softHyphen/>
      </w:r>
      <w:r w:rsidRPr="001D5D9C">
        <w:t xml:space="preserve">tially irreversible outcomes.  </w:t>
      </w:r>
    </w:p>
    <w:p w:rsidR="007748C9" w:rsidRPr="001D5D9C" w:rsidRDefault="001D5D9C" w:rsidP="00303769">
      <w:pPr>
        <w:pStyle w:val="Textstyle"/>
      </w:pPr>
      <w:r w:rsidRPr="001D5D9C">
        <w:lastRenderedPageBreak/>
        <w:t xml:space="preserve">Accordingly, the PUCO recommends, at a minimum, that PJM’s proposal be revised to require informational data </w:t>
      </w:r>
      <w:r w:rsidR="009E2929">
        <w:t xml:space="preserve">to </w:t>
      </w:r>
      <w:r w:rsidRPr="001D5D9C">
        <w:t>be submitted</w:t>
      </w:r>
      <w:r w:rsidR="001E6C5E" w:rsidRPr="001D5D9C">
        <w:t xml:space="preserve"> to</w:t>
      </w:r>
      <w:r w:rsidRPr="001D5D9C">
        <w:t xml:space="preserve"> the IMM and PJM.  The informational data should reflect each generation unit’s specific attributes and portfolio position under the new </w:t>
      </w:r>
      <w:r w:rsidR="006876FA">
        <w:t>M</w:t>
      </w:r>
      <w:r w:rsidR="006876FA" w:rsidRPr="001D5D9C">
        <w:t xml:space="preserve">arket </w:t>
      </w:r>
      <w:r w:rsidR="006876FA">
        <w:t>S</w:t>
      </w:r>
      <w:r w:rsidRPr="001D5D9C">
        <w:t xml:space="preserve">eller </w:t>
      </w:r>
      <w:r w:rsidR="006876FA">
        <w:t>O</w:t>
      </w:r>
      <w:r w:rsidRPr="001D5D9C">
        <w:t xml:space="preserve">ffer </w:t>
      </w:r>
      <w:r w:rsidR="006876FA">
        <w:t>C</w:t>
      </w:r>
      <w:r w:rsidRPr="001D5D9C">
        <w:t>ap.  Requiring the submission of generation unit data strikes an appropriate balance by allowing market offers to reflect unit costs while maintaining an opportunity for an up-front review of market</w:t>
      </w:r>
      <w:r w:rsidR="0006713B">
        <w:t>-</w:t>
      </w:r>
      <w:r w:rsidRPr="001D5D9C">
        <w:t xml:space="preserve">power issues as opposed to an extensive review in which all offers require approval from the IMM and PJM.   </w:t>
      </w:r>
    </w:p>
    <w:p w:rsidR="001D5D9C" w:rsidRPr="00236D6F" w:rsidRDefault="00303769" w:rsidP="00303769">
      <w:pPr>
        <w:pStyle w:val="Heading2"/>
      </w:pPr>
      <w:bookmarkStart w:id="15" w:name="_Toc409516633"/>
      <w:r>
        <w:t>C.</w:t>
      </w:r>
      <w:r>
        <w:tab/>
      </w:r>
      <w:r w:rsidR="001D5D9C" w:rsidRPr="00236D6F">
        <w:t xml:space="preserve">PJM </w:t>
      </w:r>
      <w:r w:rsidRPr="00236D6F">
        <w:t>should avoid creating a “hybrid” base capacity demand resource product</w:t>
      </w:r>
      <w:r>
        <w:t>.</w:t>
      </w:r>
      <w:bookmarkEnd w:id="15"/>
    </w:p>
    <w:p w:rsidR="001D5D9C" w:rsidRPr="001D5D9C" w:rsidRDefault="001D5D9C" w:rsidP="00303769">
      <w:pPr>
        <w:pStyle w:val="Textstyle"/>
      </w:pPr>
      <w:r w:rsidRPr="001D5D9C">
        <w:t xml:space="preserve">As with other Base Capacity products, PJM is proposing to transition from the three </w:t>
      </w:r>
      <w:r w:rsidR="00B4118E">
        <w:t xml:space="preserve">current </w:t>
      </w:r>
      <w:r w:rsidRPr="001D5D9C">
        <w:t>Demand Resource products to a single Annual Demand Re</w:t>
      </w:r>
      <w:r w:rsidR="00B4118E">
        <w:t>source</w:t>
      </w:r>
      <w:r w:rsidRPr="001D5D9C">
        <w:t xml:space="preserve"> product by the 2020/2021 Delivery Year.  Specifically, PJM is proposing to replace the Extended Summer and the Limited Demand Resources at the end of the 2017/2018 Delivery Year with a new Base Capacity Demand Resource. The proposed Base Capacity </w:t>
      </w:r>
      <w:r w:rsidR="0006713B">
        <w:t>D</w:t>
      </w:r>
      <w:r w:rsidRPr="001D5D9C">
        <w:t xml:space="preserve">emand </w:t>
      </w:r>
      <w:r w:rsidR="0006713B">
        <w:t>R</w:t>
      </w:r>
      <w:r w:rsidRPr="001D5D9C">
        <w:t>esource reflects a combination of the characteristics of the Limited and Extended Summer Demand Resource products.</w:t>
      </w:r>
      <w:r w:rsidRPr="001D5D9C">
        <w:rPr>
          <w:vertAlign w:val="superscript"/>
        </w:rPr>
        <w:footnoteReference w:id="23"/>
      </w:r>
    </w:p>
    <w:p w:rsidR="001D5D9C" w:rsidRPr="001D5D9C" w:rsidRDefault="001D5D9C" w:rsidP="00303769">
      <w:pPr>
        <w:pStyle w:val="Textstyle"/>
      </w:pPr>
      <w:r w:rsidRPr="001D5D9C">
        <w:t xml:space="preserve">The PUCO </w:t>
      </w:r>
      <w:r w:rsidR="00236D6F">
        <w:t>believes</w:t>
      </w:r>
      <w:r w:rsidRPr="001D5D9C">
        <w:t xml:space="preserve"> that demand resources have a vital role </w:t>
      </w:r>
      <w:r w:rsidR="0006713B">
        <w:t>in their</w:t>
      </w:r>
      <w:r w:rsidRPr="001D5D9C">
        <w:t xml:space="preserve"> ability to reduce load during times of critical demand</w:t>
      </w:r>
      <w:r w:rsidRPr="00B4118E">
        <w:t xml:space="preserve">.  By requiring an </w:t>
      </w:r>
      <w:r w:rsidR="00B4118E">
        <w:t>A</w:t>
      </w:r>
      <w:r w:rsidRPr="00B4118E">
        <w:t xml:space="preserve">nnual </w:t>
      </w:r>
      <w:r w:rsidR="00B4118E">
        <w:t>D</w:t>
      </w:r>
      <w:r w:rsidRPr="00B4118E">
        <w:t xml:space="preserve">emand </w:t>
      </w:r>
      <w:r w:rsidR="00B4118E">
        <w:t>R</w:t>
      </w:r>
      <w:r w:rsidRPr="00B4118E">
        <w:t xml:space="preserve">esource product, PJM appropriately aligns performance requirements and compensation with other </w:t>
      </w:r>
      <w:r w:rsidR="009E2929">
        <w:t xml:space="preserve">similarly </w:t>
      </w:r>
      <w:r w:rsidR="009E2929">
        <w:lastRenderedPageBreak/>
        <w:t xml:space="preserve">situated </w:t>
      </w:r>
      <w:r w:rsidRPr="00B4118E">
        <w:t>capacity p</w:t>
      </w:r>
      <w:r w:rsidR="009E2929">
        <w:t>roducts.  The PUCO supports an Annual Demand R</w:t>
      </w:r>
      <w:r w:rsidRPr="00B4118E">
        <w:t xml:space="preserve">esource product that will meet all of the CP requirements.  </w:t>
      </w:r>
      <w:r w:rsidRPr="001D5D9C">
        <w:t xml:space="preserve">However, in order to maintain simplicity and avoid an overly </w:t>
      </w:r>
      <w:r w:rsidR="009E2929">
        <w:t>burdensome</w:t>
      </w:r>
      <w:r w:rsidRPr="001D5D9C">
        <w:t xml:space="preserve"> process, the PUCO recommends </w:t>
      </w:r>
      <w:r w:rsidR="00B4118E">
        <w:t xml:space="preserve">that </w:t>
      </w:r>
      <w:r w:rsidRPr="001D5D9C">
        <w:t xml:space="preserve">PJM revise its consideration of </w:t>
      </w:r>
      <w:r w:rsidR="00B4118E">
        <w:t>D</w:t>
      </w:r>
      <w:r w:rsidRPr="001D5D9C">
        <w:t xml:space="preserve">emand </w:t>
      </w:r>
      <w:r w:rsidR="00B4118E">
        <w:t>R</w:t>
      </w:r>
      <w:r w:rsidRPr="001D5D9C">
        <w:t xml:space="preserve">esources.  Specifically, PJM should not create a new hybrid Base Capacity Demand Resource product for the final two transition years, but rather should eliminate Limited and Extended Summer </w:t>
      </w:r>
      <w:r w:rsidR="00B4118E">
        <w:t>D</w:t>
      </w:r>
      <w:r w:rsidRPr="001D5D9C">
        <w:t xml:space="preserve">emand </w:t>
      </w:r>
      <w:r w:rsidR="00B4118E">
        <w:t>R</w:t>
      </w:r>
      <w:r w:rsidRPr="001D5D9C">
        <w:t>esource products at the end of the 2017/2018 Delivery Year.</w:t>
      </w:r>
      <w:r w:rsidR="00236D6F">
        <w:t xml:space="preserve">  Beginning with the 2018/2019 Delivery Y</w:t>
      </w:r>
      <w:r w:rsidRPr="001D5D9C">
        <w:t>ear, PJM should only procure Annual Demand Resources.</w:t>
      </w:r>
      <w:r w:rsidRPr="001D5D9C">
        <w:rPr>
          <w:vertAlign w:val="superscript"/>
        </w:rPr>
        <w:footnoteReference w:id="24"/>
      </w:r>
      <w:r w:rsidRPr="001D5D9C">
        <w:t xml:space="preserve">   </w:t>
      </w:r>
    </w:p>
    <w:p w:rsidR="006D0979" w:rsidRDefault="001D5D9C" w:rsidP="00303769">
      <w:pPr>
        <w:pStyle w:val="Textstyle"/>
      </w:pPr>
      <w:r w:rsidRPr="001D5D9C">
        <w:t>Similar to the treatment of other C</w:t>
      </w:r>
      <w:r w:rsidR="00303D1B">
        <w:t xml:space="preserve">apacity Performance resources, </w:t>
      </w:r>
      <w:r w:rsidRPr="001D5D9C">
        <w:t xml:space="preserve">Annual Demand Resources should not have to meet the operational and performance requirements until the 2020/2021 Delivery Year.  By placing </w:t>
      </w:r>
      <w:r w:rsidR="009E2929">
        <w:t>Demand R</w:t>
      </w:r>
      <w:r w:rsidRPr="001D5D9C">
        <w:t>esources into a single product, PJM can maintain a clear, transparent, and simple process that avoids unnecessary costs that w</w:t>
      </w:r>
      <w:r w:rsidR="0006713B">
        <w:t>ould</w:t>
      </w:r>
      <w:r w:rsidRPr="001D5D9C">
        <w:t xml:space="preserve"> be created with the introduction of yet another demand resource product.</w:t>
      </w:r>
    </w:p>
    <w:p w:rsidR="001D5D9C" w:rsidRDefault="00573C38" w:rsidP="00646550">
      <w:pPr>
        <w:pStyle w:val="Heading1"/>
      </w:pPr>
      <w:bookmarkStart w:id="16" w:name="_Toc409516634"/>
      <w:r>
        <w:t>I</w:t>
      </w:r>
      <w:r w:rsidR="001D5D9C">
        <w:t>V.</w:t>
      </w:r>
      <w:r w:rsidR="001D5D9C">
        <w:tab/>
      </w:r>
      <w:r w:rsidR="001D5D9C" w:rsidRPr="00236D6F">
        <w:t>Conclusion</w:t>
      </w:r>
      <w:bookmarkEnd w:id="16"/>
    </w:p>
    <w:p w:rsidR="00A3212A" w:rsidRDefault="00217856" w:rsidP="00303769">
      <w:pPr>
        <w:pStyle w:val="Textstyle"/>
      </w:pPr>
      <w:r>
        <w:t>PJM’s Capacity Performance filing</w:t>
      </w:r>
      <w:r w:rsidR="00B4118E">
        <w:t xml:space="preserve">, with the modifications raised herein, </w:t>
      </w:r>
      <w:r>
        <w:t xml:space="preserve">reflects a reasonable approach to improve reliability </w:t>
      </w:r>
      <w:r w:rsidR="00B4118E">
        <w:t>and is consistent with</w:t>
      </w:r>
      <w:r w:rsidR="00A3212A">
        <w:t xml:space="preserve"> the</w:t>
      </w:r>
      <w:r>
        <w:t xml:space="preserve"> Commission’</w:t>
      </w:r>
      <w:r w:rsidR="00BC066A">
        <w:t>s stated</w:t>
      </w:r>
      <w:r w:rsidR="00DC03E6">
        <w:t xml:space="preserve"> concerns</w:t>
      </w:r>
      <w:r w:rsidR="00BC066A">
        <w:t xml:space="preserve"> regarding generator performance and efficient market operations in light of the </w:t>
      </w:r>
      <w:r w:rsidR="00BC066A">
        <w:lastRenderedPageBreak/>
        <w:t>winter of 2013/2014.</w:t>
      </w:r>
      <w:r w:rsidR="00BC066A">
        <w:rPr>
          <w:rStyle w:val="FootnoteReference"/>
        </w:rPr>
        <w:footnoteReference w:id="25"/>
      </w:r>
      <w:r w:rsidR="00FB6F44">
        <w:t xml:space="preserve">  PJM’s filing addresses the Commission’s requirement for each ISO/RTO to comprehensively address market and system performance and fuel assurance concerns.</w:t>
      </w:r>
      <w:r w:rsidR="00FB6F44">
        <w:rPr>
          <w:rStyle w:val="FootnoteReference"/>
        </w:rPr>
        <w:footnoteReference w:id="26"/>
      </w:r>
      <w:r w:rsidR="00FB6F44">
        <w:t xml:space="preserve">  </w:t>
      </w:r>
      <w:r w:rsidR="00B4118E">
        <w:t>The</w:t>
      </w:r>
      <w:r w:rsidR="00FB6F44">
        <w:t xml:space="preserve"> PUCO recommends that the Commission approve PJM’s Capacity Per</w:t>
      </w:r>
      <w:r w:rsidR="00AC3620">
        <w:softHyphen/>
      </w:r>
      <w:r w:rsidR="00FB6F44">
        <w:t>fo</w:t>
      </w:r>
      <w:r w:rsidR="00F80A86">
        <w:t xml:space="preserve">rmance filing including PJM’s new reliability requirements, transition, and inclusion of FRR entities under the plan. </w:t>
      </w:r>
      <w:r w:rsidR="00A3212A">
        <w:t xml:space="preserve">  </w:t>
      </w:r>
      <w:r w:rsidR="00B4118E">
        <w:t>In addition, t</w:t>
      </w:r>
      <w:r w:rsidR="00F80A86">
        <w:t xml:space="preserve">he PUCO urges the Commission to </w:t>
      </w:r>
      <w:r w:rsidR="00CE421A">
        <w:t>maintain</w:t>
      </w:r>
      <w:r w:rsidR="00F80A86">
        <w:t xml:space="preserve"> the 2.5 percent holdback, require </w:t>
      </w:r>
      <w:r w:rsidR="00FB6F44">
        <w:t xml:space="preserve">continued </w:t>
      </w:r>
      <w:r w:rsidR="00664630">
        <w:t xml:space="preserve">up-front review of market power </w:t>
      </w:r>
      <w:r w:rsidR="00F80A86">
        <w:t xml:space="preserve">and mitigation where warranted, and eliminate the proposed hybrid Demand Resource product for the last two transition years. </w:t>
      </w:r>
    </w:p>
    <w:p w:rsidR="001D5D9C" w:rsidRPr="001D5D9C" w:rsidRDefault="00664630" w:rsidP="00303769">
      <w:pPr>
        <w:pStyle w:val="Textstyle"/>
      </w:pPr>
      <w:r>
        <w:t xml:space="preserve">The PUCO appreciates the opportunity to provide comments on PJM’s filing and looks forward to continuing to work with the Commission to address challenges to grid reliability. </w:t>
      </w:r>
    </w:p>
    <w:p w:rsidR="00B262F2" w:rsidRDefault="00B262F2" w:rsidP="00483BD3">
      <w:pPr>
        <w:ind w:left="3600"/>
        <w:rPr>
          <w:rFonts w:ascii="Times New Roman" w:hAnsi="Times New Roman" w:cs="Times New Roman"/>
          <w:sz w:val="26"/>
          <w:szCs w:val="26"/>
        </w:rPr>
      </w:pPr>
      <w:r>
        <w:rPr>
          <w:rFonts w:ascii="Times New Roman" w:hAnsi="Times New Roman" w:cs="Times New Roman"/>
          <w:sz w:val="26"/>
          <w:szCs w:val="26"/>
        </w:rPr>
        <w:br w:type="page"/>
      </w:r>
    </w:p>
    <w:p w:rsidR="00483BD3" w:rsidRPr="00B0204D" w:rsidRDefault="00483BD3" w:rsidP="00B262F2">
      <w:pPr>
        <w:ind w:left="4320"/>
        <w:rPr>
          <w:rFonts w:ascii="Times New Roman" w:hAnsi="Times New Roman" w:cs="Times New Roman"/>
          <w:sz w:val="26"/>
          <w:szCs w:val="26"/>
        </w:rPr>
      </w:pPr>
      <w:r w:rsidRPr="00B0204D">
        <w:rPr>
          <w:rFonts w:ascii="Times New Roman" w:hAnsi="Times New Roman" w:cs="Times New Roman"/>
          <w:sz w:val="26"/>
          <w:szCs w:val="26"/>
        </w:rPr>
        <w:lastRenderedPageBreak/>
        <w:t>Respectfully submitted,</w:t>
      </w:r>
    </w:p>
    <w:p w:rsidR="00483BD3" w:rsidRPr="00646550" w:rsidRDefault="00646550" w:rsidP="00B262F2">
      <w:pPr>
        <w:pStyle w:val="NoSpacing"/>
        <w:tabs>
          <w:tab w:val="left" w:pos="9360"/>
        </w:tabs>
        <w:ind w:left="4320" w:right="0"/>
        <w:rPr>
          <w:rFonts w:ascii="AR BERKLEY" w:hAnsi="AR BERKLEY"/>
          <w:sz w:val="32"/>
          <w:szCs w:val="32"/>
          <w:u w:val="single"/>
        </w:rPr>
      </w:pPr>
      <w:r w:rsidRPr="00646550">
        <w:rPr>
          <w:rFonts w:ascii="AR BERKLEY" w:hAnsi="AR BERKLEY"/>
          <w:sz w:val="32"/>
          <w:szCs w:val="32"/>
          <w:u w:val="single"/>
        </w:rPr>
        <w:t>/s/ Jonathan J. Tauber</w:t>
      </w:r>
      <w:r w:rsidRPr="00646550">
        <w:rPr>
          <w:rFonts w:ascii="AR BERKLEY" w:hAnsi="AR BERKLEY"/>
          <w:sz w:val="32"/>
          <w:szCs w:val="32"/>
          <w:u w:val="single"/>
        </w:rPr>
        <w:tab/>
      </w:r>
    </w:p>
    <w:p w:rsidR="00483BD3" w:rsidRPr="00646550" w:rsidRDefault="00483BD3" w:rsidP="00B262F2">
      <w:pPr>
        <w:pStyle w:val="NoSpacing"/>
        <w:ind w:left="4320"/>
        <w:jc w:val="left"/>
        <w:rPr>
          <w:b/>
          <w:sz w:val="26"/>
          <w:szCs w:val="26"/>
        </w:rPr>
      </w:pPr>
      <w:r w:rsidRPr="00646550">
        <w:rPr>
          <w:b/>
          <w:sz w:val="26"/>
          <w:szCs w:val="26"/>
        </w:rPr>
        <w:t>Jonathan J. Tauber</w:t>
      </w:r>
    </w:p>
    <w:p w:rsidR="00483BD3" w:rsidRPr="00646550" w:rsidRDefault="00483BD3" w:rsidP="00B262F2">
      <w:pPr>
        <w:pStyle w:val="NoSpacing"/>
        <w:ind w:left="4320"/>
        <w:jc w:val="left"/>
        <w:rPr>
          <w:sz w:val="26"/>
          <w:szCs w:val="26"/>
        </w:rPr>
      </w:pPr>
      <w:r w:rsidRPr="00646550">
        <w:rPr>
          <w:sz w:val="26"/>
          <w:szCs w:val="26"/>
        </w:rPr>
        <w:t>Ohio Federal Energy Advocate</w:t>
      </w:r>
    </w:p>
    <w:p w:rsidR="00483BD3" w:rsidRPr="00646550" w:rsidRDefault="00483BD3" w:rsidP="00B262F2">
      <w:pPr>
        <w:pStyle w:val="NoSpacing"/>
        <w:ind w:left="4320"/>
        <w:jc w:val="left"/>
        <w:rPr>
          <w:sz w:val="26"/>
          <w:szCs w:val="26"/>
        </w:rPr>
      </w:pPr>
      <w:r w:rsidRPr="00646550">
        <w:rPr>
          <w:sz w:val="26"/>
          <w:szCs w:val="26"/>
        </w:rPr>
        <w:t>Public Utilities Commission of Ohio</w:t>
      </w:r>
    </w:p>
    <w:p w:rsidR="00483BD3" w:rsidRPr="00646550" w:rsidRDefault="00483BD3" w:rsidP="00B262F2">
      <w:pPr>
        <w:pStyle w:val="NoSpacing"/>
        <w:ind w:left="4320"/>
        <w:jc w:val="left"/>
        <w:rPr>
          <w:sz w:val="26"/>
          <w:szCs w:val="26"/>
        </w:rPr>
      </w:pPr>
      <w:r w:rsidRPr="00646550">
        <w:rPr>
          <w:sz w:val="26"/>
          <w:szCs w:val="26"/>
        </w:rPr>
        <w:t>180 East Broad Street</w:t>
      </w:r>
    </w:p>
    <w:p w:rsidR="00483BD3" w:rsidRPr="00646550" w:rsidRDefault="00483BD3" w:rsidP="00B262F2">
      <w:pPr>
        <w:pStyle w:val="NoSpacing"/>
        <w:ind w:left="4320"/>
        <w:jc w:val="left"/>
        <w:rPr>
          <w:sz w:val="26"/>
          <w:szCs w:val="26"/>
        </w:rPr>
      </w:pPr>
      <w:r w:rsidRPr="00646550">
        <w:rPr>
          <w:sz w:val="26"/>
          <w:szCs w:val="26"/>
        </w:rPr>
        <w:t>Columbus, OH 43215-3793</w:t>
      </w:r>
    </w:p>
    <w:p w:rsidR="00483BD3" w:rsidRPr="00646550" w:rsidRDefault="00483BD3" w:rsidP="00B262F2">
      <w:pPr>
        <w:pStyle w:val="NoSpacing"/>
        <w:ind w:left="4320"/>
        <w:jc w:val="left"/>
        <w:rPr>
          <w:sz w:val="26"/>
          <w:szCs w:val="26"/>
        </w:rPr>
      </w:pPr>
      <w:r w:rsidRPr="00646550">
        <w:rPr>
          <w:sz w:val="26"/>
          <w:szCs w:val="26"/>
        </w:rPr>
        <w:t>614.644.7797</w:t>
      </w:r>
      <w:r w:rsidR="00646550">
        <w:rPr>
          <w:sz w:val="26"/>
          <w:szCs w:val="26"/>
        </w:rPr>
        <w:t xml:space="preserve"> (telephone)</w:t>
      </w:r>
    </w:p>
    <w:p w:rsidR="00483BD3" w:rsidRPr="00646550" w:rsidRDefault="00483BD3" w:rsidP="00B262F2">
      <w:pPr>
        <w:pStyle w:val="NoSpacing"/>
        <w:ind w:left="4320"/>
        <w:jc w:val="left"/>
        <w:rPr>
          <w:sz w:val="26"/>
          <w:szCs w:val="26"/>
        </w:rPr>
      </w:pPr>
      <w:r w:rsidRPr="00646550">
        <w:rPr>
          <w:sz w:val="26"/>
          <w:szCs w:val="26"/>
        </w:rPr>
        <w:t>614.644.8764</w:t>
      </w:r>
      <w:r w:rsidR="00646550">
        <w:rPr>
          <w:sz w:val="26"/>
          <w:szCs w:val="26"/>
        </w:rPr>
        <w:t xml:space="preserve"> (fax)</w:t>
      </w:r>
    </w:p>
    <w:p w:rsidR="00483BD3" w:rsidRPr="00646550" w:rsidRDefault="008E0B4C" w:rsidP="00B262F2">
      <w:pPr>
        <w:pStyle w:val="NoSpacing"/>
        <w:ind w:left="4320"/>
        <w:jc w:val="left"/>
        <w:rPr>
          <w:rFonts w:eastAsia="Times New Roman"/>
          <w:sz w:val="26"/>
          <w:szCs w:val="26"/>
        </w:rPr>
      </w:pPr>
      <w:hyperlink r:id="rId13" w:history="1">
        <w:r w:rsidR="00483BD3" w:rsidRPr="00646550">
          <w:rPr>
            <w:rFonts w:eastAsia="Times New Roman"/>
            <w:color w:val="0000FF"/>
            <w:sz w:val="26"/>
            <w:szCs w:val="26"/>
            <w:u w:val="single"/>
          </w:rPr>
          <w:t>jonathan.tauber@puc.state.oh.us</w:t>
        </w:r>
      </w:hyperlink>
    </w:p>
    <w:p w:rsidR="00483BD3" w:rsidRPr="00646550" w:rsidRDefault="00483BD3" w:rsidP="00B262F2">
      <w:pPr>
        <w:pStyle w:val="NoSpacing"/>
        <w:ind w:left="4320"/>
        <w:jc w:val="left"/>
        <w:rPr>
          <w:sz w:val="26"/>
          <w:szCs w:val="26"/>
        </w:rPr>
      </w:pPr>
    </w:p>
    <w:p w:rsidR="00483BD3" w:rsidRPr="00646550" w:rsidRDefault="00483BD3" w:rsidP="00B262F2">
      <w:pPr>
        <w:pStyle w:val="NoSpacing"/>
        <w:ind w:left="4320"/>
        <w:jc w:val="left"/>
        <w:rPr>
          <w:sz w:val="26"/>
          <w:szCs w:val="26"/>
        </w:rPr>
      </w:pPr>
    </w:p>
    <w:p w:rsidR="00646550" w:rsidRDefault="00646550" w:rsidP="00B262F2">
      <w:pPr>
        <w:pStyle w:val="NoSpacing"/>
        <w:tabs>
          <w:tab w:val="left" w:pos="9360"/>
        </w:tabs>
        <w:ind w:left="4320" w:right="0"/>
        <w:jc w:val="left"/>
        <w:rPr>
          <w:b/>
          <w:sz w:val="26"/>
          <w:szCs w:val="26"/>
        </w:rPr>
      </w:pPr>
      <w:r w:rsidRPr="00646550">
        <w:rPr>
          <w:rFonts w:ascii="AR BERKLEY" w:hAnsi="AR BERKLEY"/>
          <w:sz w:val="32"/>
          <w:szCs w:val="32"/>
          <w:u w:val="single"/>
        </w:rPr>
        <w:t>/</w:t>
      </w:r>
      <w:r>
        <w:rPr>
          <w:rFonts w:ascii="AR BERKLEY" w:hAnsi="AR BERKLEY"/>
          <w:sz w:val="32"/>
          <w:szCs w:val="32"/>
          <w:u w:val="single"/>
        </w:rPr>
        <w:t>s/ Thomas W. McNamee</w:t>
      </w:r>
      <w:r>
        <w:rPr>
          <w:rFonts w:ascii="AR BERKLEY" w:hAnsi="AR BERKLEY"/>
          <w:sz w:val="32"/>
          <w:szCs w:val="32"/>
          <w:u w:val="single"/>
        </w:rPr>
        <w:tab/>
      </w:r>
    </w:p>
    <w:p w:rsidR="00483BD3" w:rsidRPr="00646550" w:rsidRDefault="00483BD3" w:rsidP="00B262F2">
      <w:pPr>
        <w:pStyle w:val="NoSpacing"/>
        <w:ind w:left="4320"/>
        <w:jc w:val="left"/>
        <w:rPr>
          <w:b/>
          <w:sz w:val="26"/>
          <w:szCs w:val="26"/>
        </w:rPr>
      </w:pPr>
      <w:r w:rsidRPr="00646550">
        <w:rPr>
          <w:b/>
          <w:sz w:val="26"/>
          <w:szCs w:val="26"/>
        </w:rPr>
        <w:t>Thomas W. McNamee</w:t>
      </w:r>
    </w:p>
    <w:p w:rsidR="00483BD3" w:rsidRPr="00646550" w:rsidRDefault="00483BD3" w:rsidP="00B262F2">
      <w:pPr>
        <w:pStyle w:val="NoSpacing"/>
        <w:ind w:left="4320"/>
        <w:jc w:val="left"/>
        <w:rPr>
          <w:sz w:val="26"/>
          <w:szCs w:val="26"/>
        </w:rPr>
      </w:pPr>
      <w:r w:rsidRPr="00646550">
        <w:rPr>
          <w:sz w:val="26"/>
          <w:szCs w:val="26"/>
        </w:rPr>
        <w:t>180 East Broad Street</w:t>
      </w:r>
    </w:p>
    <w:p w:rsidR="00483BD3" w:rsidRPr="00646550" w:rsidRDefault="00483BD3" w:rsidP="00B262F2">
      <w:pPr>
        <w:pStyle w:val="NoSpacing"/>
        <w:ind w:left="4320"/>
        <w:jc w:val="left"/>
        <w:rPr>
          <w:sz w:val="26"/>
          <w:szCs w:val="26"/>
        </w:rPr>
      </w:pPr>
      <w:r w:rsidRPr="00646550">
        <w:rPr>
          <w:sz w:val="26"/>
          <w:szCs w:val="26"/>
        </w:rPr>
        <w:t>Columbus, OH 43215-3793</w:t>
      </w:r>
    </w:p>
    <w:p w:rsidR="00483BD3" w:rsidRPr="00646550" w:rsidRDefault="00483BD3" w:rsidP="00B262F2">
      <w:pPr>
        <w:pStyle w:val="NoSpacing"/>
        <w:ind w:left="4320"/>
        <w:jc w:val="left"/>
        <w:rPr>
          <w:sz w:val="26"/>
          <w:szCs w:val="26"/>
        </w:rPr>
      </w:pPr>
      <w:r w:rsidRPr="00646550">
        <w:rPr>
          <w:sz w:val="26"/>
          <w:szCs w:val="26"/>
        </w:rPr>
        <w:t>614.466.4397 (telephone)</w:t>
      </w:r>
    </w:p>
    <w:p w:rsidR="00483BD3" w:rsidRPr="00646550" w:rsidRDefault="00483BD3" w:rsidP="00B262F2">
      <w:pPr>
        <w:pStyle w:val="NoSpacing"/>
        <w:ind w:left="4320"/>
        <w:jc w:val="left"/>
        <w:rPr>
          <w:sz w:val="26"/>
          <w:szCs w:val="26"/>
        </w:rPr>
      </w:pPr>
      <w:r w:rsidRPr="00646550">
        <w:rPr>
          <w:sz w:val="26"/>
          <w:szCs w:val="26"/>
        </w:rPr>
        <w:t>614.644.8764 (fax)</w:t>
      </w:r>
    </w:p>
    <w:p w:rsidR="00483BD3" w:rsidRDefault="008E0B4C" w:rsidP="00B262F2">
      <w:pPr>
        <w:pStyle w:val="NoSpacing"/>
        <w:ind w:left="4320"/>
        <w:jc w:val="left"/>
        <w:rPr>
          <w:rFonts w:eastAsia="Times New Roman"/>
          <w:color w:val="0000FF"/>
          <w:sz w:val="26"/>
          <w:szCs w:val="26"/>
          <w:u w:val="single"/>
        </w:rPr>
      </w:pPr>
      <w:hyperlink r:id="rId14" w:history="1">
        <w:r w:rsidR="00483BD3" w:rsidRPr="00646550">
          <w:rPr>
            <w:rFonts w:eastAsia="Times New Roman"/>
            <w:color w:val="0000FF"/>
            <w:sz w:val="26"/>
            <w:szCs w:val="26"/>
            <w:u w:val="single"/>
          </w:rPr>
          <w:t>thomas.mcnamee@puc.state.oh.us</w:t>
        </w:r>
      </w:hyperlink>
    </w:p>
    <w:p w:rsidR="00646550" w:rsidRPr="00646550" w:rsidRDefault="00646550" w:rsidP="00B262F2">
      <w:pPr>
        <w:pStyle w:val="NoSpacing"/>
        <w:ind w:left="4320"/>
        <w:jc w:val="left"/>
        <w:rPr>
          <w:rFonts w:eastAsia="Times New Roman"/>
          <w:sz w:val="26"/>
          <w:szCs w:val="26"/>
        </w:rPr>
      </w:pPr>
    </w:p>
    <w:p w:rsidR="00DF0529" w:rsidRPr="00646550" w:rsidRDefault="00483BD3" w:rsidP="00B262F2">
      <w:pPr>
        <w:pStyle w:val="NoSpacing"/>
        <w:ind w:left="4320" w:right="0"/>
        <w:jc w:val="left"/>
        <w:rPr>
          <w:b/>
          <w:sz w:val="26"/>
          <w:szCs w:val="26"/>
        </w:rPr>
      </w:pPr>
      <w:r w:rsidRPr="00646550">
        <w:rPr>
          <w:b/>
          <w:sz w:val="26"/>
          <w:szCs w:val="26"/>
        </w:rPr>
        <w:t xml:space="preserve">Attorney for the Public </w:t>
      </w:r>
      <w:r w:rsidR="00725A7F" w:rsidRPr="00646550">
        <w:rPr>
          <w:b/>
          <w:sz w:val="26"/>
          <w:szCs w:val="26"/>
        </w:rPr>
        <w:t>Utilities Commission of Ohi</w:t>
      </w:r>
      <w:r w:rsidR="001D5D9C" w:rsidRPr="00646550">
        <w:rPr>
          <w:b/>
          <w:sz w:val="26"/>
          <w:szCs w:val="26"/>
        </w:rPr>
        <w:t>o</w:t>
      </w:r>
    </w:p>
    <w:p w:rsidR="00C60BB0" w:rsidRDefault="00C60BB0" w:rsidP="00756031">
      <w:pPr>
        <w:pStyle w:val="NoSpacing"/>
        <w:ind w:left="4320"/>
        <w:jc w:val="left"/>
        <w:rPr>
          <w:b/>
        </w:rPr>
      </w:pPr>
    </w:p>
    <w:p w:rsidR="00C60BB0" w:rsidRDefault="00646550" w:rsidP="00646550">
      <w:pPr>
        <w:pStyle w:val="Heading1"/>
        <w:rPr>
          <w:rFonts w:eastAsia="Times New Roman"/>
          <w:snapToGrid w:val="0"/>
          <w:sz w:val="26"/>
        </w:rPr>
      </w:pPr>
      <w:bookmarkStart w:id="17" w:name="_Toc409516635"/>
      <w:r>
        <w:rPr>
          <w:rFonts w:eastAsia="Times New Roman"/>
        </w:rPr>
        <w:t>V.</w:t>
      </w:r>
      <w:r>
        <w:rPr>
          <w:rFonts w:eastAsia="Times New Roman"/>
        </w:rPr>
        <w:tab/>
      </w:r>
      <w:r w:rsidR="00D738BC">
        <w:rPr>
          <w:rFonts w:eastAsia="Times New Roman"/>
        </w:rPr>
        <w:t xml:space="preserve">Certificate </w:t>
      </w:r>
      <w:r w:rsidR="00CA44D0">
        <w:rPr>
          <w:rFonts w:eastAsia="Times New Roman"/>
        </w:rPr>
        <w:t>of</w:t>
      </w:r>
      <w:r w:rsidR="00C60BB0">
        <w:rPr>
          <w:rFonts w:eastAsia="Times New Roman"/>
        </w:rPr>
        <w:t xml:space="preserve"> </w:t>
      </w:r>
      <w:r w:rsidR="00D738BC">
        <w:rPr>
          <w:rFonts w:eastAsia="Times New Roman"/>
        </w:rPr>
        <w:t>Service</w:t>
      </w:r>
      <w:bookmarkEnd w:id="17"/>
    </w:p>
    <w:p w:rsidR="00C60BB0" w:rsidRDefault="00646550" w:rsidP="00C60BB0">
      <w:pPr>
        <w:widowControl w:val="0"/>
        <w:spacing w:after="0" w:line="480" w:lineRule="auto"/>
        <w:rPr>
          <w:rFonts w:ascii="Times New Roman" w:eastAsia="Times New Roman" w:hAnsi="Times New Roman" w:cs="Times New Roman"/>
          <w:snapToGrid w:val="0"/>
          <w:sz w:val="26"/>
          <w:szCs w:val="28"/>
        </w:rPr>
      </w:pPr>
      <w:r>
        <w:rPr>
          <w:rFonts w:ascii="Times New Roman" w:eastAsia="Times New Roman" w:hAnsi="Times New Roman" w:cs="Times New Roman"/>
          <w:snapToGrid w:val="0"/>
          <w:sz w:val="26"/>
          <w:szCs w:val="28"/>
        </w:rPr>
        <w:tab/>
      </w:r>
      <w:r w:rsidR="00C60BB0">
        <w:rPr>
          <w:rFonts w:ascii="Times New Roman" w:eastAsia="Times New Roman" w:hAnsi="Times New Roman" w:cs="Times New Roman"/>
          <w:snapToGrid w:val="0"/>
          <w:sz w:val="26"/>
          <w:szCs w:val="28"/>
        </w:rPr>
        <w:t>I hereby certify that the foregoing has been served in accordance with 18 C.F.R. Section 385.2010 upon each person designated on the official service list compiled by the Secretary in this proceeding.</w:t>
      </w:r>
    </w:p>
    <w:p w:rsidR="00646550" w:rsidRPr="00646550" w:rsidRDefault="00646550" w:rsidP="00C60BB0">
      <w:pPr>
        <w:widowControl w:val="0"/>
        <w:tabs>
          <w:tab w:val="left" w:pos="9360"/>
        </w:tabs>
        <w:spacing w:after="0"/>
        <w:ind w:left="4320"/>
        <w:rPr>
          <w:rFonts w:ascii="Times New Roman" w:eastAsia="Times New Roman" w:hAnsi="Times New Roman" w:cs="Times New Roman"/>
          <w:sz w:val="26"/>
          <w:szCs w:val="26"/>
          <w:u w:val="single"/>
        </w:rPr>
      </w:pPr>
      <w:r w:rsidRPr="00646550">
        <w:rPr>
          <w:rFonts w:ascii="AR BERKLEY" w:hAnsi="AR BERKLEY"/>
          <w:sz w:val="32"/>
          <w:szCs w:val="32"/>
          <w:u w:val="single"/>
        </w:rPr>
        <w:t>/</w:t>
      </w:r>
      <w:r>
        <w:rPr>
          <w:rFonts w:ascii="AR BERKLEY" w:hAnsi="AR BERKLEY"/>
          <w:sz w:val="32"/>
          <w:szCs w:val="32"/>
          <w:u w:val="single"/>
        </w:rPr>
        <w:t>s/ Thomas W. McNamee)</w:t>
      </w:r>
      <w:r>
        <w:rPr>
          <w:rFonts w:ascii="AR BERKLEY" w:hAnsi="AR BERKLEY"/>
          <w:sz w:val="32"/>
          <w:szCs w:val="32"/>
          <w:u w:val="single"/>
        </w:rPr>
        <w:tab/>
      </w:r>
    </w:p>
    <w:p w:rsidR="00C60BB0" w:rsidRDefault="00C60BB0" w:rsidP="00C60BB0">
      <w:pPr>
        <w:widowControl w:val="0"/>
        <w:tabs>
          <w:tab w:val="left" w:pos="9360"/>
        </w:tabs>
        <w:spacing w:after="0"/>
        <w:ind w:left="4320"/>
        <w:rPr>
          <w:rFonts w:ascii="Times New Roman" w:eastAsia="Times New Roman" w:hAnsi="Times New Roman" w:cs="Times New Roman"/>
          <w:b/>
          <w:sz w:val="26"/>
          <w:szCs w:val="26"/>
        </w:rPr>
      </w:pPr>
      <w:r>
        <w:rPr>
          <w:rFonts w:ascii="Times New Roman" w:eastAsia="Times New Roman" w:hAnsi="Times New Roman" w:cs="Times New Roman"/>
          <w:b/>
          <w:sz w:val="26"/>
          <w:szCs w:val="26"/>
        </w:rPr>
        <w:t>Thomas W. McNamee</w:t>
      </w:r>
    </w:p>
    <w:p w:rsidR="00C60BB0" w:rsidRDefault="00C60BB0" w:rsidP="00C60BB0">
      <w:pPr>
        <w:widowControl w:val="0"/>
        <w:tabs>
          <w:tab w:val="left" w:pos="9360"/>
        </w:tabs>
        <w:spacing w:after="0"/>
        <w:ind w:left="4760"/>
        <w:rPr>
          <w:rFonts w:ascii="Times New (W1)" w:eastAsia="Times New Roman" w:hAnsi="Times New (W1)" w:cs="Times New Roman"/>
          <w:sz w:val="26"/>
          <w:szCs w:val="26"/>
        </w:rPr>
      </w:pPr>
    </w:p>
    <w:p w:rsidR="00C60BB0" w:rsidRDefault="00C60BB0" w:rsidP="00C60BB0">
      <w:pPr>
        <w:widowControl w:val="0"/>
        <w:spacing w:after="0" w:line="480" w:lineRule="auto"/>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8"/>
        </w:rPr>
        <w:t>Dated at Columbus, Ohio this January 20, 2015.</w:t>
      </w:r>
    </w:p>
    <w:p w:rsidR="00C60BB0" w:rsidRDefault="00C60BB0" w:rsidP="00756031">
      <w:pPr>
        <w:pStyle w:val="NoSpacing"/>
        <w:ind w:left="4320"/>
        <w:jc w:val="left"/>
      </w:pPr>
    </w:p>
    <w:sectPr w:rsidR="00C60BB0" w:rsidSect="00A266D7">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6A" w:rsidRDefault="0097776A" w:rsidP="00483BD3">
      <w:pPr>
        <w:spacing w:after="0" w:line="240" w:lineRule="auto"/>
      </w:pPr>
      <w:r>
        <w:separator/>
      </w:r>
    </w:p>
  </w:endnote>
  <w:endnote w:type="continuationSeparator" w:id="0">
    <w:p w:rsidR="0097776A" w:rsidRDefault="0097776A" w:rsidP="0048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436860"/>
      <w:docPartObj>
        <w:docPartGallery w:val="Page Numbers (Bottom of Page)"/>
        <w:docPartUnique/>
      </w:docPartObj>
    </w:sdtPr>
    <w:sdtEndPr>
      <w:rPr>
        <w:noProof/>
      </w:rPr>
    </w:sdtEndPr>
    <w:sdtContent>
      <w:p w:rsidR="00817321" w:rsidRDefault="00EC7929" w:rsidP="00817321">
        <w:pPr>
          <w:pStyle w:val="Footer"/>
          <w:jc w:val="center"/>
        </w:pPr>
        <w:r>
          <w:fldChar w:fldCharType="begin"/>
        </w:r>
        <w:r>
          <w:instrText xml:space="preserve"> PAGE  \* Arabic  \* MERGEFORMAT </w:instrText>
        </w:r>
        <w:r>
          <w:fldChar w:fldCharType="separate"/>
        </w:r>
        <w:r w:rsidR="00A266D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031769"/>
      <w:docPartObj>
        <w:docPartGallery w:val="Page Numbers (Bottom of Page)"/>
        <w:docPartUnique/>
      </w:docPartObj>
    </w:sdtPr>
    <w:sdtEndPr>
      <w:rPr>
        <w:noProof/>
      </w:rPr>
    </w:sdtEndPr>
    <w:sdtContent>
      <w:p w:rsidR="00A266D7" w:rsidRDefault="00A266D7" w:rsidP="00817321">
        <w:pPr>
          <w:pStyle w:val="Footer"/>
          <w:jc w:val="center"/>
        </w:pPr>
        <w:r>
          <w:fldChar w:fldCharType="begin"/>
        </w:r>
        <w:r>
          <w:instrText xml:space="preserve"> PAGE   \* MERGEFORMAT </w:instrText>
        </w:r>
        <w:r>
          <w:fldChar w:fldCharType="separate"/>
        </w:r>
        <w:r w:rsidR="008E0B4C">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594654"/>
      <w:docPartObj>
        <w:docPartGallery w:val="Page Numbers (Bottom of Page)"/>
        <w:docPartUnique/>
      </w:docPartObj>
    </w:sdtPr>
    <w:sdtEndPr>
      <w:rPr>
        <w:noProof/>
      </w:rPr>
    </w:sdtEndPr>
    <w:sdtContent>
      <w:p w:rsidR="00A266D7" w:rsidRDefault="00A266D7" w:rsidP="00A266D7">
        <w:pPr>
          <w:pStyle w:val="Footer"/>
          <w:jc w:val="center"/>
        </w:pPr>
        <w:r>
          <w:fldChar w:fldCharType="begin"/>
        </w:r>
        <w:r>
          <w:instrText xml:space="preserve"> PAGE   \* MERGEFORMAT </w:instrText>
        </w:r>
        <w:r>
          <w:fldChar w:fldCharType="separate"/>
        </w:r>
        <w:r w:rsidR="008E0B4C">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98285"/>
      <w:docPartObj>
        <w:docPartGallery w:val="Page Numbers (Bottom of Page)"/>
        <w:docPartUnique/>
      </w:docPartObj>
    </w:sdtPr>
    <w:sdtEndPr>
      <w:rPr>
        <w:noProof/>
      </w:rPr>
    </w:sdtEndPr>
    <w:sdtContent>
      <w:p w:rsidR="00A266D7" w:rsidRDefault="00A266D7" w:rsidP="00817321">
        <w:pPr>
          <w:pStyle w:val="Footer"/>
          <w:jc w:val="center"/>
        </w:pPr>
        <w:r>
          <w:fldChar w:fldCharType="begin"/>
        </w:r>
        <w:r>
          <w:instrText xml:space="preserve"> PAGE   \* MERGEFORMAT </w:instrText>
        </w:r>
        <w:r>
          <w:fldChar w:fldCharType="separate"/>
        </w:r>
        <w:r w:rsidR="008E0B4C">
          <w:rPr>
            <w:noProof/>
          </w:rPr>
          <w:t>18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D7" w:rsidRPr="00A266D7" w:rsidRDefault="00A266D7" w:rsidP="00A26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6A" w:rsidRDefault="0097776A" w:rsidP="00483BD3">
      <w:pPr>
        <w:spacing w:after="0" w:line="240" w:lineRule="auto"/>
      </w:pPr>
      <w:r>
        <w:separator/>
      </w:r>
    </w:p>
  </w:footnote>
  <w:footnote w:type="continuationSeparator" w:id="0">
    <w:p w:rsidR="0097776A" w:rsidRDefault="0097776A" w:rsidP="00483BD3">
      <w:pPr>
        <w:spacing w:after="0" w:line="240" w:lineRule="auto"/>
      </w:pPr>
      <w:r>
        <w:continuationSeparator/>
      </w:r>
    </w:p>
  </w:footnote>
  <w:footnote w:id="1">
    <w:p w:rsidR="00817321" w:rsidRDefault="00817321" w:rsidP="00303769">
      <w:pPr>
        <w:pStyle w:val="FootnoteText"/>
      </w:pPr>
      <w:r>
        <w:rPr>
          <w:rStyle w:val="FootnoteReference"/>
        </w:rPr>
        <w:footnoteRef/>
      </w:r>
      <w:r>
        <w:t xml:space="preserve"> </w:t>
      </w:r>
      <w:r w:rsidR="00303769">
        <w:tab/>
      </w:r>
      <w:r w:rsidR="00303769">
        <w:tab/>
      </w:r>
      <w:r w:rsidRPr="00303769">
        <w:rPr>
          <w:i/>
        </w:rPr>
        <w:t>Order on Technical Conferences re Centralized Capacity Markets in Regional Transmission Organizations and Independent System Operators</w:t>
      </w:r>
      <w:r w:rsidR="00303769" w:rsidRPr="00303769">
        <w:rPr>
          <w:i/>
        </w:rPr>
        <w:t>,</w:t>
      </w:r>
      <w:r w:rsidRPr="00303769">
        <w:rPr>
          <w:i/>
        </w:rPr>
        <w:t xml:space="preserve"> et al</w:t>
      </w:r>
      <w:r w:rsidR="00303769" w:rsidRPr="00303769">
        <w:rPr>
          <w:i/>
        </w:rPr>
        <w:t>,</w:t>
      </w:r>
      <w:r>
        <w:t xml:space="preserve"> under AD13-7</w:t>
      </w:r>
      <w:r w:rsidR="00303769">
        <w:t>,</w:t>
      </w:r>
      <w:r>
        <w:t xml:space="preserve"> </w:t>
      </w:r>
      <w:r w:rsidRPr="00303769">
        <w:rPr>
          <w:i/>
        </w:rPr>
        <w:t>et al.</w:t>
      </w:r>
      <w:r>
        <w:t xml:space="preserve">, </w:t>
      </w:r>
      <w:r w:rsidRPr="00E661EE">
        <w:t>149 FERC ¶ 61,145</w:t>
      </w:r>
      <w:r>
        <w:t xml:space="preserve"> at 2  (2014).</w:t>
      </w:r>
    </w:p>
  </w:footnote>
  <w:footnote w:id="2">
    <w:p w:rsidR="00070E42" w:rsidRDefault="00070E42" w:rsidP="00303769">
      <w:pPr>
        <w:pStyle w:val="FootnoteText"/>
      </w:pPr>
      <w:r>
        <w:rPr>
          <w:rStyle w:val="FootnoteReference"/>
        </w:rPr>
        <w:footnoteRef/>
      </w:r>
      <w:r>
        <w:t xml:space="preserve"> </w:t>
      </w:r>
      <w:r w:rsidR="00303769">
        <w:tab/>
      </w:r>
      <w:r w:rsidR="00303769">
        <w:tab/>
      </w:r>
      <w:hyperlink r:id="rId1" w:history="1">
        <w:r w:rsidRPr="00210BBF">
          <w:rPr>
            <w:rStyle w:val="Hyperlink"/>
          </w:rPr>
          <w:t>http://www.pjm.com/~/media/documents/reports/20140509-analysis-of-operational-events-and-market-impacts-during-the-jan-2014-cold-weather-events.ashx</w:t>
        </w:r>
      </w:hyperlink>
    </w:p>
  </w:footnote>
  <w:footnote w:id="3">
    <w:p w:rsidR="00817321" w:rsidRDefault="00817321" w:rsidP="00303769">
      <w:pPr>
        <w:pStyle w:val="FootnoteText"/>
      </w:pPr>
      <w:r>
        <w:rPr>
          <w:rStyle w:val="FootnoteReference"/>
        </w:rPr>
        <w:footnoteRef/>
      </w:r>
      <w:r>
        <w:t xml:space="preserve"> </w:t>
      </w:r>
      <w:r w:rsidR="00303769">
        <w:tab/>
      </w:r>
      <w:r w:rsidR="00303769">
        <w:tab/>
      </w:r>
      <w:r w:rsidRPr="006179B2">
        <w:rPr>
          <w:i/>
        </w:rPr>
        <w:t>PJM Interconnection, L.L.C.,</w:t>
      </w:r>
      <w:r w:rsidRPr="006179B2">
        <w:t xml:space="preserve"> Docket No. ER1</w:t>
      </w:r>
      <w:r>
        <w:t>5</w:t>
      </w:r>
      <w:r w:rsidRPr="006179B2">
        <w:t>-</w:t>
      </w:r>
      <w:r>
        <w:t>623</w:t>
      </w:r>
      <w:r w:rsidRPr="006179B2">
        <w:t>-000</w:t>
      </w:r>
      <w:r w:rsidR="00303769">
        <w:t xml:space="preserve"> (</w:t>
      </w:r>
      <w:r w:rsidR="00070E42">
        <w:t>PJM Transmittal Letter</w:t>
      </w:r>
      <w:r w:rsidR="00303769">
        <w:t xml:space="preserve"> at 17) (</w:t>
      </w:r>
      <w:r w:rsidR="00070E42">
        <w:t>Dec</w:t>
      </w:r>
      <w:r w:rsidR="00303769">
        <w:t>. </w:t>
      </w:r>
      <w:r w:rsidR="00070E42">
        <w:t>12, 2014</w:t>
      </w:r>
      <w:r w:rsidR="00303769">
        <w:t>)</w:t>
      </w:r>
      <w:r>
        <w:t>.</w:t>
      </w:r>
    </w:p>
  </w:footnote>
  <w:footnote w:id="4">
    <w:p w:rsidR="00817321" w:rsidRDefault="00817321" w:rsidP="00303769">
      <w:pPr>
        <w:pStyle w:val="FootnoteText"/>
      </w:pPr>
      <w:r>
        <w:rPr>
          <w:rStyle w:val="FootnoteReference"/>
        </w:rPr>
        <w:footnoteRef/>
      </w:r>
      <w:r>
        <w:t xml:space="preserve"> </w:t>
      </w:r>
      <w:r w:rsidR="00303769">
        <w:tab/>
      </w:r>
      <w:r w:rsidR="00303769">
        <w:tab/>
      </w:r>
      <w:r w:rsidR="00070E42" w:rsidRPr="006179B2">
        <w:rPr>
          <w:i/>
        </w:rPr>
        <w:t>PJM Interconnection, L.L.C.,</w:t>
      </w:r>
      <w:r w:rsidR="00070E42" w:rsidRPr="006179B2">
        <w:t xml:space="preserve"> Docket No. ER1</w:t>
      </w:r>
      <w:r w:rsidR="00070E42">
        <w:t>5</w:t>
      </w:r>
      <w:r w:rsidR="00070E42" w:rsidRPr="006179B2">
        <w:t>-</w:t>
      </w:r>
      <w:r w:rsidR="00070E42">
        <w:t>623</w:t>
      </w:r>
      <w:r w:rsidR="00070E42" w:rsidRPr="006179B2">
        <w:t>-000</w:t>
      </w:r>
      <w:r w:rsidR="00303769">
        <w:t xml:space="preserve"> (</w:t>
      </w:r>
      <w:r w:rsidR="00070E42">
        <w:t>PJM Transmittal Letter</w:t>
      </w:r>
      <w:r w:rsidR="00303769">
        <w:t xml:space="preserve"> at 22-25) (</w:t>
      </w:r>
      <w:r w:rsidR="00070E42">
        <w:t>Dec</w:t>
      </w:r>
      <w:r w:rsidR="00303769">
        <w:t>. </w:t>
      </w:r>
      <w:r w:rsidR="00070E42">
        <w:t>12, 2014</w:t>
      </w:r>
      <w:r w:rsidR="00303769">
        <w:t>)</w:t>
      </w:r>
      <w:r>
        <w:t>.</w:t>
      </w:r>
    </w:p>
  </w:footnote>
  <w:footnote w:id="5">
    <w:p w:rsidR="00817321" w:rsidRDefault="00817321" w:rsidP="00303769">
      <w:pPr>
        <w:pStyle w:val="FootnoteText"/>
      </w:pPr>
      <w:r>
        <w:rPr>
          <w:rStyle w:val="FootnoteReference"/>
        </w:rPr>
        <w:footnoteRef/>
      </w:r>
      <w:r>
        <w:t xml:space="preserve"> </w:t>
      </w:r>
      <w:r w:rsidR="00303769">
        <w:tab/>
      </w:r>
      <w:r w:rsidR="00303769">
        <w:tab/>
      </w:r>
      <w:r w:rsidR="00303769">
        <w:rPr>
          <w:i/>
        </w:rPr>
        <w:t>Id</w:t>
      </w:r>
      <w:r w:rsidR="00303769">
        <w:t>.</w:t>
      </w:r>
      <w:r w:rsidR="00070E42">
        <w:t xml:space="preserve"> </w:t>
      </w:r>
      <w:r w:rsidRPr="006179B2">
        <w:t xml:space="preserve">at </w:t>
      </w:r>
      <w:r>
        <w:t>44-46.</w:t>
      </w:r>
    </w:p>
  </w:footnote>
  <w:footnote w:id="6">
    <w:p w:rsidR="00817321" w:rsidRDefault="00817321" w:rsidP="00303769">
      <w:pPr>
        <w:pStyle w:val="FootnoteText"/>
      </w:pPr>
      <w:r>
        <w:rPr>
          <w:rStyle w:val="FootnoteReference"/>
        </w:rPr>
        <w:footnoteRef/>
      </w:r>
      <w:r>
        <w:t xml:space="preserve"> </w:t>
      </w:r>
      <w:r w:rsidR="00303769">
        <w:tab/>
      </w:r>
      <w:r w:rsidR="00303769">
        <w:tab/>
      </w:r>
      <w:r w:rsidRPr="00873B40">
        <w:t xml:space="preserve">See, </w:t>
      </w:r>
      <w:r>
        <w:t>PUCO Comments on Capacity Performance Proposal, Enhanced Liaison Committee, (Sep</w:t>
      </w:r>
      <w:r w:rsidR="00303769">
        <w:t>.</w:t>
      </w:r>
      <w:r w:rsidR="00B262F2">
        <w:t> </w:t>
      </w:r>
      <w:r>
        <w:t xml:space="preserve">17, 2014) at 1-2.  </w:t>
      </w:r>
    </w:p>
  </w:footnote>
  <w:footnote w:id="7">
    <w:p w:rsidR="00817321" w:rsidRDefault="00817321" w:rsidP="00303769">
      <w:pPr>
        <w:pStyle w:val="FootnoteText"/>
      </w:pPr>
      <w:r>
        <w:rPr>
          <w:rStyle w:val="FootnoteReference"/>
        </w:rPr>
        <w:footnoteRef/>
      </w:r>
      <w:r>
        <w:t xml:space="preserve"> </w:t>
      </w:r>
      <w:r w:rsidR="00303769">
        <w:tab/>
      </w:r>
      <w:r w:rsidR="00303769">
        <w:tab/>
      </w:r>
      <w:r w:rsidR="00070E42" w:rsidRPr="006179B2">
        <w:rPr>
          <w:i/>
        </w:rPr>
        <w:t>PJM Interconnection, L.L.C.,</w:t>
      </w:r>
      <w:r w:rsidR="00070E42" w:rsidRPr="006179B2">
        <w:t xml:space="preserve"> Docket No. ER1</w:t>
      </w:r>
      <w:r w:rsidR="00070E42">
        <w:t>5</w:t>
      </w:r>
      <w:r w:rsidR="00070E42" w:rsidRPr="006179B2">
        <w:t>-</w:t>
      </w:r>
      <w:r w:rsidR="00070E42">
        <w:t>623</w:t>
      </w:r>
      <w:r w:rsidR="00070E42" w:rsidRPr="006179B2">
        <w:t>-000</w:t>
      </w:r>
      <w:r w:rsidR="00303769">
        <w:t xml:space="preserve"> (</w:t>
      </w:r>
      <w:r w:rsidR="00070E42">
        <w:t>PJM Transmittal Letter</w:t>
      </w:r>
      <w:r w:rsidR="00303769">
        <w:t xml:space="preserve"> at 43-44) (</w:t>
      </w:r>
      <w:r w:rsidR="00070E42">
        <w:t>Dec</w:t>
      </w:r>
      <w:r w:rsidR="00303769">
        <w:t>. </w:t>
      </w:r>
      <w:r w:rsidR="00070E42">
        <w:t>12, 2014</w:t>
      </w:r>
      <w:r w:rsidR="00303769">
        <w:t>)</w:t>
      </w:r>
    </w:p>
  </w:footnote>
  <w:footnote w:id="8">
    <w:p w:rsidR="00817321" w:rsidRPr="000A3E7F" w:rsidRDefault="00817321" w:rsidP="00303769">
      <w:pPr>
        <w:pStyle w:val="FootnoteText"/>
      </w:pPr>
      <w:r>
        <w:rPr>
          <w:rStyle w:val="FootnoteReference"/>
        </w:rPr>
        <w:footnoteRef/>
      </w:r>
      <w:r>
        <w:t xml:space="preserve"> </w:t>
      </w:r>
      <w:r w:rsidR="00303769">
        <w:tab/>
      </w:r>
      <w:r w:rsidR="00303769">
        <w:tab/>
      </w:r>
      <w:r>
        <w:rPr>
          <w:i/>
        </w:rPr>
        <w:t xml:space="preserve">Id. </w:t>
      </w:r>
      <w:r>
        <w:t xml:space="preserve">at 44-46. </w:t>
      </w:r>
    </w:p>
  </w:footnote>
  <w:footnote w:id="9">
    <w:p w:rsidR="00817321" w:rsidRPr="000A3E7F" w:rsidRDefault="00817321" w:rsidP="00303769">
      <w:pPr>
        <w:pStyle w:val="FootnoteText"/>
      </w:pPr>
      <w:r>
        <w:rPr>
          <w:rStyle w:val="FootnoteReference"/>
        </w:rPr>
        <w:footnoteRef/>
      </w:r>
      <w:r>
        <w:t xml:space="preserve"> </w:t>
      </w:r>
      <w:r w:rsidR="00303769">
        <w:tab/>
      </w:r>
      <w:r w:rsidR="00303769">
        <w:tab/>
      </w:r>
      <w:r w:rsidR="00303769" w:rsidRPr="006179B2">
        <w:rPr>
          <w:i/>
        </w:rPr>
        <w:t>PJM Interconnection, L.L.C.,</w:t>
      </w:r>
      <w:r w:rsidR="00303769" w:rsidRPr="006179B2">
        <w:t xml:space="preserve"> Docket No. ER1</w:t>
      </w:r>
      <w:r w:rsidR="00303769">
        <w:t>5</w:t>
      </w:r>
      <w:r w:rsidR="00303769" w:rsidRPr="006179B2">
        <w:t>-</w:t>
      </w:r>
      <w:r w:rsidR="00303769">
        <w:t>623</w:t>
      </w:r>
      <w:r w:rsidR="00303769" w:rsidRPr="006179B2">
        <w:t>-000</w:t>
      </w:r>
      <w:r w:rsidR="00303769">
        <w:t xml:space="preserve"> (PJM Transmittal Letter at 44-46) (Dec. 12, 2014)</w:t>
      </w:r>
      <w:r>
        <w:t>.</w:t>
      </w:r>
    </w:p>
  </w:footnote>
  <w:footnote w:id="10">
    <w:p w:rsidR="00817321" w:rsidRPr="000A3E7F" w:rsidRDefault="00817321" w:rsidP="00303769">
      <w:pPr>
        <w:pStyle w:val="FootnoteText"/>
        <w:rPr>
          <w:i/>
        </w:rPr>
      </w:pPr>
      <w:r>
        <w:rPr>
          <w:rStyle w:val="FootnoteReference"/>
        </w:rPr>
        <w:footnoteRef/>
      </w:r>
      <w:r>
        <w:t xml:space="preserve"> </w:t>
      </w:r>
      <w:r w:rsidR="00303769">
        <w:tab/>
      </w:r>
      <w:r w:rsidR="00303769">
        <w:tab/>
      </w:r>
      <w:r w:rsidR="00303769" w:rsidRPr="006179B2">
        <w:rPr>
          <w:i/>
        </w:rPr>
        <w:t>PJM Interconnection, L.L.C.,</w:t>
      </w:r>
      <w:r w:rsidR="00303769" w:rsidRPr="006179B2">
        <w:t xml:space="preserve"> Docket No. ER1</w:t>
      </w:r>
      <w:r w:rsidR="00303769">
        <w:t>5</w:t>
      </w:r>
      <w:r w:rsidR="00303769" w:rsidRPr="006179B2">
        <w:t>-</w:t>
      </w:r>
      <w:r w:rsidR="00303769">
        <w:t>623</w:t>
      </w:r>
      <w:r w:rsidR="00303769" w:rsidRPr="006179B2">
        <w:t>-000</w:t>
      </w:r>
      <w:r w:rsidR="00303769">
        <w:t xml:space="preserve"> (PJM Transmittal Letter at 29-31) (Dec. 12, 2014)</w:t>
      </w:r>
      <w:r w:rsidRPr="000A3E7F">
        <w:t>.</w:t>
      </w:r>
    </w:p>
  </w:footnote>
  <w:footnote w:id="11">
    <w:p w:rsidR="00817321" w:rsidRPr="000A3E7F" w:rsidRDefault="00817321" w:rsidP="00303769">
      <w:pPr>
        <w:pStyle w:val="FootnoteText"/>
      </w:pPr>
      <w:r>
        <w:rPr>
          <w:rStyle w:val="FootnoteReference"/>
        </w:rPr>
        <w:footnoteRef/>
      </w:r>
      <w:r>
        <w:t xml:space="preserve"> </w:t>
      </w:r>
      <w:r w:rsidR="00303769">
        <w:tab/>
      </w:r>
      <w:r w:rsidR="00303769">
        <w:tab/>
      </w:r>
      <w:r w:rsidRPr="00303769">
        <w:rPr>
          <w:i/>
        </w:rPr>
        <w:t>Id</w:t>
      </w:r>
      <w:r>
        <w:t xml:space="preserve">. </w:t>
      </w:r>
    </w:p>
  </w:footnote>
  <w:footnote w:id="12">
    <w:p w:rsidR="00817321" w:rsidRPr="0024315C" w:rsidRDefault="00817321" w:rsidP="00303769">
      <w:pPr>
        <w:pStyle w:val="FootnoteText"/>
      </w:pPr>
      <w:r>
        <w:rPr>
          <w:rStyle w:val="FootnoteReference"/>
        </w:rPr>
        <w:footnoteRef/>
      </w:r>
      <w:r>
        <w:t xml:space="preserve"> </w:t>
      </w:r>
      <w:r w:rsidR="00303769">
        <w:tab/>
      </w:r>
      <w:r w:rsidR="00303769">
        <w:tab/>
      </w:r>
      <w:r w:rsidRPr="00303769">
        <w:rPr>
          <w:i/>
        </w:rPr>
        <w:t>Id</w:t>
      </w:r>
      <w:r>
        <w:t xml:space="preserve">. </w:t>
      </w:r>
    </w:p>
  </w:footnote>
  <w:footnote w:id="13">
    <w:p w:rsidR="00817321" w:rsidRPr="000A3E7F" w:rsidRDefault="00817321" w:rsidP="00303769">
      <w:pPr>
        <w:pStyle w:val="FootnoteText"/>
      </w:pPr>
      <w:r>
        <w:rPr>
          <w:rStyle w:val="FootnoteReference"/>
        </w:rPr>
        <w:footnoteRef/>
      </w:r>
      <w:r>
        <w:t xml:space="preserve"> </w:t>
      </w:r>
      <w:r w:rsidR="00303769">
        <w:tab/>
      </w:r>
      <w:r w:rsidR="00303769">
        <w:tab/>
      </w:r>
      <w:r w:rsidR="00303769" w:rsidRPr="006179B2">
        <w:rPr>
          <w:i/>
        </w:rPr>
        <w:t>PJM Interconnection, L.L.C.,</w:t>
      </w:r>
      <w:r w:rsidR="00303769" w:rsidRPr="006179B2">
        <w:t xml:space="preserve"> Docket No. ER1</w:t>
      </w:r>
      <w:r w:rsidR="00303769">
        <w:t>5</w:t>
      </w:r>
      <w:r w:rsidR="00303769" w:rsidRPr="006179B2">
        <w:t>-</w:t>
      </w:r>
      <w:r w:rsidR="00303769">
        <w:t>623</w:t>
      </w:r>
      <w:r w:rsidR="00303769" w:rsidRPr="006179B2">
        <w:t>-000</w:t>
      </w:r>
      <w:r w:rsidR="00303769">
        <w:t xml:space="preserve"> (PJM Transmittal Letter at 32) (Dec. 12, 2014)</w:t>
      </w:r>
      <w:r>
        <w:t>.</w:t>
      </w:r>
    </w:p>
  </w:footnote>
  <w:footnote w:id="14">
    <w:p w:rsidR="00817321" w:rsidRPr="000A3E7F" w:rsidRDefault="00817321" w:rsidP="00303769">
      <w:pPr>
        <w:pStyle w:val="FootnoteText"/>
      </w:pPr>
      <w:r>
        <w:rPr>
          <w:rStyle w:val="FootnoteReference"/>
        </w:rPr>
        <w:footnoteRef/>
      </w:r>
      <w:r>
        <w:t xml:space="preserve"> </w:t>
      </w:r>
      <w:r w:rsidR="00303769">
        <w:tab/>
      </w:r>
      <w:r w:rsidR="00303769">
        <w:tab/>
      </w:r>
      <w:r w:rsidR="00303769" w:rsidRPr="006179B2">
        <w:rPr>
          <w:i/>
        </w:rPr>
        <w:t>PJM Interconnection, L.L.C.,</w:t>
      </w:r>
      <w:r w:rsidR="00303769" w:rsidRPr="006179B2">
        <w:t xml:space="preserve"> Docket No. ER1</w:t>
      </w:r>
      <w:r w:rsidR="00303769">
        <w:t>5</w:t>
      </w:r>
      <w:r w:rsidR="00303769" w:rsidRPr="006179B2">
        <w:t>-</w:t>
      </w:r>
      <w:r w:rsidR="00303769">
        <w:t>623</w:t>
      </w:r>
      <w:r w:rsidR="00303769" w:rsidRPr="006179B2">
        <w:t>-000</w:t>
      </w:r>
      <w:r w:rsidR="00303769">
        <w:t xml:space="preserve"> (PJM Transmittal Letter at 77-78) (Dec. 12, 2014).</w:t>
      </w:r>
    </w:p>
  </w:footnote>
  <w:footnote w:id="15">
    <w:p w:rsidR="00817321" w:rsidRPr="003008A0" w:rsidRDefault="00817321" w:rsidP="00303769">
      <w:pPr>
        <w:pStyle w:val="FootnoteText"/>
      </w:pPr>
      <w:r>
        <w:rPr>
          <w:rStyle w:val="FootnoteReference"/>
        </w:rPr>
        <w:footnoteRef/>
      </w:r>
      <w:r>
        <w:t xml:space="preserve"> </w:t>
      </w:r>
      <w:r w:rsidR="00303769">
        <w:tab/>
      </w:r>
      <w:r w:rsidR="00303769">
        <w:tab/>
      </w:r>
      <w:r w:rsidR="00303769" w:rsidRPr="006179B2">
        <w:rPr>
          <w:i/>
        </w:rPr>
        <w:t>PJM Interconnection, L.L.C.,</w:t>
      </w:r>
      <w:r w:rsidR="00303769" w:rsidRPr="006179B2">
        <w:t xml:space="preserve"> Docket No. ER1</w:t>
      </w:r>
      <w:r w:rsidR="00303769">
        <w:t>5</w:t>
      </w:r>
      <w:r w:rsidR="00303769" w:rsidRPr="006179B2">
        <w:t>-</w:t>
      </w:r>
      <w:r w:rsidR="00303769">
        <w:t>623</w:t>
      </w:r>
      <w:r w:rsidR="00303769" w:rsidRPr="006179B2">
        <w:t>-000</w:t>
      </w:r>
      <w:r w:rsidR="00303769">
        <w:t xml:space="preserve"> (PJM Transmittal Letter at 75-77) (Dec. 12, 2014)</w:t>
      </w:r>
      <w:r>
        <w:t>.</w:t>
      </w:r>
    </w:p>
  </w:footnote>
  <w:footnote w:id="16">
    <w:p w:rsidR="00817321" w:rsidRPr="003008A0" w:rsidRDefault="00817321" w:rsidP="00303769">
      <w:pPr>
        <w:pStyle w:val="FootnoteText"/>
      </w:pPr>
      <w:r>
        <w:rPr>
          <w:rStyle w:val="FootnoteReference"/>
        </w:rPr>
        <w:footnoteRef/>
      </w:r>
      <w:r>
        <w:t xml:space="preserve"> </w:t>
      </w:r>
      <w:r w:rsidR="00303769">
        <w:tab/>
      </w:r>
      <w:r w:rsidR="00303769">
        <w:tab/>
      </w:r>
      <w:r w:rsidRPr="00303769">
        <w:rPr>
          <w:i/>
        </w:rPr>
        <w:t>Id</w:t>
      </w:r>
      <w:r>
        <w:t xml:space="preserve">. </w:t>
      </w:r>
    </w:p>
  </w:footnote>
  <w:footnote w:id="17">
    <w:p w:rsidR="00817321" w:rsidRPr="003008A0" w:rsidRDefault="00817321" w:rsidP="00303769">
      <w:pPr>
        <w:pStyle w:val="FootnoteText"/>
      </w:pPr>
      <w:r>
        <w:rPr>
          <w:rStyle w:val="FootnoteReference"/>
        </w:rPr>
        <w:footnoteRef/>
      </w:r>
      <w:r>
        <w:t xml:space="preserve"> </w:t>
      </w:r>
      <w:r w:rsidR="00303769">
        <w:tab/>
      </w:r>
      <w:r w:rsidR="00303769">
        <w:tab/>
      </w:r>
      <w:r w:rsidRPr="00303769">
        <w:rPr>
          <w:i/>
        </w:rPr>
        <w:t>Id</w:t>
      </w:r>
      <w:r>
        <w:rPr>
          <w:i/>
        </w:rPr>
        <w:t xml:space="preserve">. </w:t>
      </w:r>
      <w:r>
        <w:t>at 76-77</w:t>
      </w:r>
    </w:p>
  </w:footnote>
  <w:footnote w:id="18">
    <w:p w:rsidR="00817321" w:rsidRDefault="00817321" w:rsidP="00303769">
      <w:pPr>
        <w:pStyle w:val="FootnoteText"/>
      </w:pPr>
      <w:r>
        <w:rPr>
          <w:rStyle w:val="FootnoteReference"/>
        </w:rPr>
        <w:footnoteRef/>
      </w:r>
      <w:r>
        <w:t xml:space="preserve"> </w:t>
      </w:r>
      <w:r w:rsidR="00303769">
        <w:tab/>
      </w:r>
      <w:r w:rsidR="00303769">
        <w:tab/>
      </w:r>
      <w:r w:rsidR="00070E42" w:rsidRPr="006179B2">
        <w:rPr>
          <w:i/>
        </w:rPr>
        <w:t>PJM Interconnection, L.L.C.,</w:t>
      </w:r>
      <w:r w:rsidR="00070E42" w:rsidRPr="006179B2">
        <w:t xml:space="preserve"> Docket No. ER1</w:t>
      </w:r>
      <w:r w:rsidR="00070E42">
        <w:t>4</w:t>
      </w:r>
      <w:r w:rsidR="00070E42" w:rsidRPr="006179B2">
        <w:t>-</w:t>
      </w:r>
      <w:r w:rsidR="00070E42">
        <w:t>1461</w:t>
      </w:r>
      <w:r w:rsidR="00070E42" w:rsidRPr="006179B2">
        <w:t>-000</w:t>
      </w:r>
      <w:r w:rsidR="00303769">
        <w:t xml:space="preserve"> (</w:t>
      </w:r>
      <w:r w:rsidR="00070E42">
        <w:t>Public Utilities Commission of Ohio Comments</w:t>
      </w:r>
      <w:r w:rsidR="00303769">
        <w:t xml:space="preserve"> at 14-16) (</w:t>
      </w:r>
      <w:r w:rsidR="00070E42">
        <w:t>Mar</w:t>
      </w:r>
      <w:r w:rsidR="00303769">
        <w:t xml:space="preserve">, </w:t>
      </w:r>
      <w:r w:rsidR="00070E42">
        <w:t>31, 2014</w:t>
      </w:r>
      <w:r w:rsidR="00303769">
        <w:t>)</w:t>
      </w:r>
      <w:r w:rsidR="00EC7929">
        <w:t xml:space="preserve">.  </w:t>
      </w:r>
    </w:p>
  </w:footnote>
  <w:footnote w:id="19">
    <w:p w:rsidR="00817321" w:rsidRPr="00303D1B" w:rsidRDefault="00817321" w:rsidP="00303769">
      <w:pPr>
        <w:pStyle w:val="FootnoteText"/>
      </w:pPr>
      <w:r>
        <w:rPr>
          <w:rStyle w:val="FootnoteReference"/>
        </w:rPr>
        <w:footnoteRef/>
      </w:r>
      <w:r>
        <w:t xml:space="preserve"> </w:t>
      </w:r>
      <w:r w:rsidR="00303769">
        <w:tab/>
      </w:r>
      <w:r w:rsidR="00303769">
        <w:tab/>
      </w:r>
      <w:r w:rsidR="00EC7929" w:rsidRPr="006179B2">
        <w:rPr>
          <w:i/>
        </w:rPr>
        <w:t>PJM Interconnection, L.L.C.,</w:t>
      </w:r>
      <w:r w:rsidR="00EC7929" w:rsidRPr="006179B2">
        <w:t xml:space="preserve"> Docket No. ER1</w:t>
      </w:r>
      <w:r w:rsidR="00EC7929">
        <w:t>5</w:t>
      </w:r>
      <w:r w:rsidR="00EC7929" w:rsidRPr="006179B2">
        <w:t>-</w:t>
      </w:r>
      <w:r w:rsidR="00EC7929">
        <w:t>623</w:t>
      </w:r>
      <w:r w:rsidR="00EC7929" w:rsidRPr="006179B2">
        <w:t>-000</w:t>
      </w:r>
      <w:r w:rsidR="00646550">
        <w:t xml:space="preserve"> (</w:t>
      </w:r>
      <w:r w:rsidR="00EC7929">
        <w:t>PJM Transmittal Letter</w:t>
      </w:r>
      <w:r w:rsidR="00303769">
        <w:t xml:space="preserve"> at 54-62) (</w:t>
      </w:r>
      <w:r w:rsidR="00EC7929">
        <w:t>Dec</w:t>
      </w:r>
      <w:r w:rsidR="00303769">
        <w:t>. </w:t>
      </w:r>
      <w:r w:rsidR="00EC7929">
        <w:t>12, 2014</w:t>
      </w:r>
      <w:r w:rsidR="00303769">
        <w:t>)</w:t>
      </w:r>
      <w:r>
        <w:t>.</w:t>
      </w:r>
    </w:p>
  </w:footnote>
  <w:footnote w:id="20">
    <w:p w:rsidR="00817321" w:rsidRDefault="00817321" w:rsidP="00303769">
      <w:pPr>
        <w:pStyle w:val="FootnoteText"/>
      </w:pPr>
      <w:r>
        <w:rPr>
          <w:rStyle w:val="FootnoteReference"/>
        </w:rPr>
        <w:footnoteRef/>
      </w:r>
      <w:r>
        <w:t xml:space="preserve"> </w:t>
      </w:r>
      <w:r w:rsidR="00303769">
        <w:tab/>
      </w:r>
      <w:r w:rsidR="00303769">
        <w:tab/>
      </w:r>
      <w:r>
        <w:rPr>
          <w:i/>
        </w:rPr>
        <w:t xml:space="preserve">Id. </w:t>
      </w:r>
      <w:r>
        <w:t>at 55.</w:t>
      </w:r>
    </w:p>
  </w:footnote>
  <w:footnote w:id="21">
    <w:p w:rsidR="00817321" w:rsidRPr="00303D1B" w:rsidRDefault="00817321" w:rsidP="00303769">
      <w:pPr>
        <w:pStyle w:val="FootnoteText"/>
      </w:pPr>
      <w:r>
        <w:rPr>
          <w:rStyle w:val="FootnoteReference"/>
        </w:rPr>
        <w:footnoteRef/>
      </w:r>
      <w:r>
        <w:t xml:space="preserve"> </w:t>
      </w:r>
      <w:r w:rsidR="00303769">
        <w:tab/>
      </w:r>
      <w:r w:rsidR="00303769">
        <w:tab/>
      </w:r>
      <w:r>
        <w:rPr>
          <w:i/>
        </w:rPr>
        <w:t xml:space="preserve">Id. </w:t>
      </w:r>
      <w:r>
        <w:t>at 55-56.</w:t>
      </w:r>
    </w:p>
  </w:footnote>
  <w:footnote w:id="22">
    <w:p w:rsidR="00817321" w:rsidRDefault="00817321" w:rsidP="00303769">
      <w:pPr>
        <w:pStyle w:val="FootnoteText"/>
      </w:pPr>
      <w:r>
        <w:rPr>
          <w:rStyle w:val="FootnoteReference"/>
        </w:rPr>
        <w:footnoteRef/>
      </w:r>
      <w:r>
        <w:t xml:space="preserve"> </w:t>
      </w:r>
      <w:r w:rsidR="00303769">
        <w:tab/>
      </w:r>
      <w:r w:rsidR="00303769">
        <w:tab/>
      </w:r>
      <w:r>
        <w:t>See Proposed Tariff, Attachment DD, Section 6.4(a).</w:t>
      </w:r>
    </w:p>
  </w:footnote>
  <w:footnote w:id="23">
    <w:p w:rsidR="00817321" w:rsidRDefault="00817321" w:rsidP="00303769">
      <w:pPr>
        <w:pStyle w:val="FootnoteText"/>
      </w:pPr>
      <w:r>
        <w:rPr>
          <w:rStyle w:val="FootnoteReference"/>
        </w:rPr>
        <w:footnoteRef/>
      </w:r>
      <w:r>
        <w:t xml:space="preserve"> </w:t>
      </w:r>
      <w:r w:rsidR="00303769">
        <w:tab/>
      </w:r>
      <w:r w:rsidR="00303769">
        <w:tab/>
      </w:r>
      <w:r w:rsidR="00303769" w:rsidRPr="006179B2">
        <w:rPr>
          <w:i/>
        </w:rPr>
        <w:t>PJM Interconnection, L.L.C.,</w:t>
      </w:r>
      <w:r w:rsidR="00303769" w:rsidRPr="006179B2">
        <w:t xml:space="preserve"> Docket No. ER1</w:t>
      </w:r>
      <w:r w:rsidR="00303769">
        <w:t>5</w:t>
      </w:r>
      <w:r w:rsidR="00303769" w:rsidRPr="006179B2">
        <w:t>-</w:t>
      </w:r>
      <w:r w:rsidR="00303769">
        <w:t>623</w:t>
      </w:r>
      <w:r w:rsidR="00303769" w:rsidRPr="006179B2">
        <w:t>-000</w:t>
      </w:r>
      <w:r w:rsidR="00646550">
        <w:t xml:space="preserve"> (</w:t>
      </w:r>
      <w:r w:rsidR="00303769">
        <w:t xml:space="preserve">PJM Transmittal Letter at </w:t>
      </w:r>
      <w:r w:rsidR="00646550">
        <w:t>35</w:t>
      </w:r>
      <w:r w:rsidR="00303769">
        <w:t>) (Dec. 12, 2014)</w:t>
      </w:r>
      <w:r>
        <w:t xml:space="preserve">.  </w:t>
      </w:r>
      <w:r w:rsidRPr="00EF5FC4">
        <w:t xml:space="preserve">Base Capacity resources are only expected to perform during the months of June through September but are available for an unlimited number of interruptions lasting up to 10 hours each during that period. </w:t>
      </w:r>
    </w:p>
  </w:footnote>
  <w:footnote w:id="24">
    <w:p w:rsidR="00817321" w:rsidRDefault="00817321" w:rsidP="00303769">
      <w:pPr>
        <w:pStyle w:val="FootnoteText"/>
      </w:pPr>
      <w:r>
        <w:rPr>
          <w:rStyle w:val="FootnoteReference"/>
        </w:rPr>
        <w:footnoteRef/>
      </w:r>
      <w:r>
        <w:t xml:space="preserve"> </w:t>
      </w:r>
      <w:r w:rsidR="00646550">
        <w:tab/>
      </w:r>
      <w:r w:rsidR="00646550">
        <w:tab/>
      </w:r>
      <w:r w:rsidRPr="00EF5FC4">
        <w:t xml:space="preserve">The jurisdiction of Demand Resources and its ability to participate in wholesale electric markets is subject to ongoing litigation.  </w:t>
      </w:r>
      <w:r w:rsidRPr="00EF5FC4">
        <w:rPr>
          <w:i/>
        </w:rPr>
        <w:t>See: Electric Power Supply Association v. FERC</w:t>
      </w:r>
      <w:r w:rsidRPr="00EF5FC4">
        <w:t>, 753 F.3d 216 (DC Circuit 2014).</w:t>
      </w:r>
    </w:p>
  </w:footnote>
  <w:footnote w:id="25">
    <w:p w:rsidR="00817321" w:rsidRPr="00E661EE" w:rsidRDefault="00817321" w:rsidP="00303769">
      <w:pPr>
        <w:pStyle w:val="FootnoteText"/>
      </w:pPr>
      <w:r>
        <w:rPr>
          <w:rStyle w:val="FootnoteReference"/>
        </w:rPr>
        <w:footnoteRef/>
      </w:r>
      <w:r>
        <w:t xml:space="preserve"> </w:t>
      </w:r>
      <w:r w:rsidR="00646550">
        <w:tab/>
      </w:r>
      <w:r w:rsidR="00646550">
        <w:tab/>
      </w:r>
      <w:r w:rsidRPr="00646550">
        <w:rPr>
          <w:i/>
        </w:rPr>
        <w:t>Order on Technical Conferences re Centralized Capacity Markets in Regional Transmission Organizations and Independent System Operators</w:t>
      </w:r>
      <w:r w:rsidR="00646550" w:rsidRPr="00646550">
        <w:rPr>
          <w:i/>
        </w:rPr>
        <w:t>,</w:t>
      </w:r>
      <w:r w:rsidRPr="00646550">
        <w:rPr>
          <w:i/>
        </w:rPr>
        <w:t xml:space="preserve"> et al</w:t>
      </w:r>
      <w:r>
        <w:t xml:space="preserve"> under AD13-7</w:t>
      </w:r>
      <w:r w:rsidR="00646550">
        <w:t>,</w:t>
      </w:r>
      <w:r>
        <w:t xml:space="preserve"> </w:t>
      </w:r>
      <w:r w:rsidRPr="00646550">
        <w:rPr>
          <w:i/>
        </w:rPr>
        <w:t>et al.</w:t>
      </w:r>
      <w:r>
        <w:t xml:space="preserve">, </w:t>
      </w:r>
      <w:r w:rsidRPr="00E661EE">
        <w:t>149 FERC ¶ 61,145</w:t>
      </w:r>
      <w:r>
        <w:t xml:space="preserve"> at 2  (2014).</w:t>
      </w:r>
    </w:p>
  </w:footnote>
  <w:footnote w:id="26">
    <w:p w:rsidR="00817321" w:rsidRDefault="00817321" w:rsidP="00303769">
      <w:pPr>
        <w:pStyle w:val="FootnoteText"/>
      </w:pPr>
      <w:r>
        <w:rPr>
          <w:rStyle w:val="FootnoteReference"/>
        </w:rPr>
        <w:footnoteRef/>
      </w:r>
      <w:r>
        <w:t xml:space="preserve"> </w:t>
      </w:r>
      <w:r w:rsidR="00646550">
        <w:tab/>
      </w:r>
      <w:r w:rsidR="00646550">
        <w:tab/>
      </w:r>
      <w:r w:rsidRPr="00FB6F44">
        <w:rPr>
          <w:i/>
        </w:rPr>
        <w:t>Id</w:t>
      </w:r>
      <w:r>
        <w:t xml:space="preserve"> at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D7" w:rsidRDefault="00A266D7" w:rsidP="00A266D7">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 (cont’d)</w:t>
    </w:r>
  </w:p>
  <w:p w:rsidR="00A266D7" w:rsidRDefault="00A266D7" w:rsidP="00A266D7">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A266D7" w:rsidRDefault="00A266D7" w:rsidP="00A266D7">
    <w:pPr>
      <w:pStyle w:val="Header"/>
      <w:jc w:val="right"/>
      <w:rPr>
        <w:rFonts w:ascii="Times New Roman" w:hAnsi="Times New Roman" w:cs="Times New Roman"/>
        <w:b/>
        <w:sz w:val="28"/>
        <w:szCs w:val="28"/>
      </w:rPr>
    </w:pPr>
  </w:p>
  <w:p w:rsidR="00A266D7" w:rsidRPr="00A266D7" w:rsidRDefault="00A266D7" w:rsidP="00A266D7">
    <w:pPr>
      <w:pStyle w:val="Header"/>
      <w:jc w:val="right"/>
      <w:rPr>
        <w:rFonts w:ascii="Times New Roman" w:hAnsi="Times New Roman" w:cs="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D7" w:rsidRDefault="00A266D7" w:rsidP="00A266D7">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A266D7" w:rsidRDefault="00A266D7" w:rsidP="00A266D7">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A266D7" w:rsidRPr="00A266D7" w:rsidRDefault="00A266D7" w:rsidP="00A266D7">
    <w:pPr>
      <w:pStyle w:val="Header"/>
      <w:jc w:val="right"/>
      <w:rPr>
        <w:rFonts w:ascii="Times New Roman" w:hAnsi="Times New Roman" w:cs="Times New Roman"/>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D7" w:rsidRPr="00A266D7" w:rsidRDefault="00A266D7" w:rsidP="00A266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D7" w:rsidRPr="00A266D7" w:rsidRDefault="00A266D7" w:rsidP="00A26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60875"/>
    <w:multiLevelType w:val="hybridMultilevel"/>
    <w:tmpl w:val="65B2C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6C292D"/>
    <w:multiLevelType w:val="hybridMultilevel"/>
    <w:tmpl w:val="D786B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CC6B59"/>
    <w:multiLevelType w:val="hybridMultilevel"/>
    <w:tmpl w:val="77B82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D3"/>
    <w:rsid w:val="0004423D"/>
    <w:rsid w:val="0006713B"/>
    <w:rsid w:val="00070E42"/>
    <w:rsid w:val="000834B9"/>
    <w:rsid w:val="000A3E7F"/>
    <w:rsid w:val="000A6185"/>
    <w:rsid w:val="000B3DCD"/>
    <w:rsid w:val="000E42C2"/>
    <w:rsid w:val="000F0E0A"/>
    <w:rsid w:val="00102714"/>
    <w:rsid w:val="00120D97"/>
    <w:rsid w:val="00152E22"/>
    <w:rsid w:val="00157232"/>
    <w:rsid w:val="001612AF"/>
    <w:rsid w:val="00192A26"/>
    <w:rsid w:val="00192CAF"/>
    <w:rsid w:val="001A69DF"/>
    <w:rsid w:val="001D5D9C"/>
    <w:rsid w:val="001E6C5E"/>
    <w:rsid w:val="00206351"/>
    <w:rsid w:val="00215C09"/>
    <w:rsid w:val="00217856"/>
    <w:rsid w:val="002338BD"/>
    <w:rsid w:val="00236D6F"/>
    <w:rsid w:val="0024315C"/>
    <w:rsid w:val="002467A1"/>
    <w:rsid w:val="00290C63"/>
    <w:rsid w:val="002944C1"/>
    <w:rsid w:val="00297844"/>
    <w:rsid w:val="002A3FC1"/>
    <w:rsid w:val="002C4DEC"/>
    <w:rsid w:val="002F18E4"/>
    <w:rsid w:val="003008A0"/>
    <w:rsid w:val="0030091C"/>
    <w:rsid w:val="00303769"/>
    <w:rsid w:val="00303D1B"/>
    <w:rsid w:val="00320BF7"/>
    <w:rsid w:val="00323785"/>
    <w:rsid w:val="003307F1"/>
    <w:rsid w:val="003372F7"/>
    <w:rsid w:val="00350AEB"/>
    <w:rsid w:val="00367C17"/>
    <w:rsid w:val="00375E4B"/>
    <w:rsid w:val="00394E25"/>
    <w:rsid w:val="00396660"/>
    <w:rsid w:val="003D643B"/>
    <w:rsid w:val="00405091"/>
    <w:rsid w:val="00422F05"/>
    <w:rsid w:val="00427106"/>
    <w:rsid w:val="00427BF3"/>
    <w:rsid w:val="00431F55"/>
    <w:rsid w:val="0043412C"/>
    <w:rsid w:val="00483BD3"/>
    <w:rsid w:val="00494A0F"/>
    <w:rsid w:val="004A1D0B"/>
    <w:rsid w:val="004B3B20"/>
    <w:rsid w:val="004B59C5"/>
    <w:rsid w:val="004B72DF"/>
    <w:rsid w:val="004C2BA5"/>
    <w:rsid w:val="004C7200"/>
    <w:rsid w:val="00501DC7"/>
    <w:rsid w:val="00505700"/>
    <w:rsid w:val="00546893"/>
    <w:rsid w:val="00555361"/>
    <w:rsid w:val="00573C38"/>
    <w:rsid w:val="005B303D"/>
    <w:rsid w:val="005B6A52"/>
    <w:rsid w:val="005F6A33"/>
    <w:rsid w:val="00624B19"/>
    <w:rsid w:val="00640668"/>
    <w:rsid w:val="00646550"/>
    <w:rsid w:val="00664630"/>
    <w:rsid w:val="006754D8"/>
    <w:rsid w:val="006876FA"/>
    <w:rsid w:val="006A2A0D"/>
    <w:rsid w:val="006B2535"/>
    <w:rsid w:val="006C1DE5"/>
    <w:rsid w:val="006D0979"/>
    <w:rsid w:val="006E6601"/>
    <w:rsid w:val="00715EAD"/>
    <w:rsid w:val="00716CAB"/>
    <w:rsid w:val="00725A7F"/>
    <w:rsid w:val="00756031"/>
    <w:rsid w:val="007748C9"/>
    <w:rsid w:val="007800CD"/>
    <w:rsid w:val="00787747"/>
    <w:rsid w:val="007A05C0"/>
    <w:rsid w:val="007A6230"/>
    <w:rsid w:val="007B680C"/>
    <w:rsid w:val="007D444E"/>
    <w:rsid w:val="007F468E"/>
    <w:rsid w:val="00804BDE"/>
    <w:rsid w:val="00810650"/>
    <w:rsid w:val="00817321"/>
    <w:rsid w:val="008345B6"/>
    <w:rsid w:val="00841DE6"/>
    <w:rsid w:val="00852D6E"/>
    <w:rsid w:val="00873B40"/>
    <w:rsid w:val="00881A2B"/>
    <w:rsid w:val="00883FBA"/>
    <w:rsid w:val="0088711E"/>
    <w:rsid w:val="008A3B66"/>
    <w:rsid w:val="008B0C58"/>
    <w:rsid w:val="008C331E"/>
    <w:rsid w:val="008C339A"/>
    <w:rsid w:val="008D655C"/>
    <w:rsid w:val="008E0B4C"/>
    <w:rsid w:val="00907988"/>
    <w:rsid w:val="00943938"/>
    <w:rsid w:val="00945FEF"/>
    <w:rsid w:val="00946BEA"/>
    <w:rsid w:val="009577FB"/>
    <w:rsid w:val="0097776A"/>
    <w:rsid w:val="009B7AAF"/>
    <w:rsid w:val="009C4EEF"/>
    <w:rsid w:val="009E2929"/>
    <w:rsid w:val="00A266D7"/>
    <w:rsid w:val="00A3212A"/>
    <w:rsid w:val="00A54DE7"/>
    <w:rsid w:val="00AC3620"/>
    <w:rsid w:val="00AD1BC1"/>
    <w:rsid w:val="00B13F5A"/>
    <w:rsid w:val="00B262F2"/>
    <w:rsid w:val="00B35239"/>
    <w:rsid w:val="00B4118E"/>
    <w:rsid w:val="00B612F3"/>
    <w:rsid w:val="00B64AC1"/>
    <w:rsid w:val="00B748F5"/>
    <w:rsid w:val="00BB7A50"/>
    <w:rsid w:val="00BC066A"/>
    <w:rsid w:val="00BC6122"/>
    <w:rsid w:val="00BD11EF"/>
    <w:rsid w:val="00BD39AD"/>
    <w:rsid w:val="00BE0289"/>
    <w:rsid w:val="00BF50B7"/>
    <w:rsid w:val="00C60BB0"/>
    <w:rsid w:val="00C8252D"/>
    <w:rsid w:val="00C83A71"/>
    <w:rsid w:val="00C96125"/>
    <w:rsid w:val="00CA0811"/>
    <w:rsid w:val="00CA44D0"/>
    <w:rsid w:val="00CA72E9"/>
    <w:rsid w:val="00CB4FBB"/>
    <w:rsid w:val="00CB6C9F"/>
    <w:rsid w:val="00CC13A8"/>
    <w:rsid w:val="00CC3B2B"/>
    <w:rsid w:val="00CD3268"/>
    <w:rsid w:val="00CE421A"/>
    <w:rsid w:val="00D12033"/>
    <w:rsid w:val="00D4372C"/>
    <w:rsid w:val="00D54C25"/>
    <w:rsid w:val="00D738BC"/>
    <w:rsid w:val="00DA1303"/>
    <w:rsid w:val="00DA55D0"/>
    <w:rsid w:val="00DA7B57"/>
    <w:rsid w:val="00DC03E6"/>
    <w:rsid w:val="00DC1BAD"/>
    <w:rsid w:val="00DD1519"/>
    <w:rsid w:val="00DF0529"/>
    <w:rsid w:val="00DF5899"/>
    <w:rsid w:val="00E262CA"/>
    <w:rsid w:val="00E27DA8"/>
    <w:rsid w:val="00E3022C"/>
    <w:rsid w:val="00E330DC"/>
    <w:rsid w:val="00E406BC"/>
    <w:rsid w:val="00E5370A"/>
    <w:rsid w:val="00E54DCF"/>
    <w:rsid w:val="00E661EE"/>
    <w:rsid w:val="00E71768"/>
    <w:rsid w:val="00E72AFC"/>
    <w:rsid w:val="00EC7929"/>
    <w:rsid w:val="00ED68AC"/>
    <w:rsid w:val="00EE1F49"/>
    <w:rsid w:val="00EF5FC4"/>
    <w:rsid w:val="00F26DAD"/>
    <w:rsid w:val="00F36A7B"/>
    <w:rsid w:val="00F6055B"/>
    <w:rsid w:val="00F70EE0"/>
    <w:rsid w:val="00F778E5"/>
    <w:rsid w:val="00F80A86"/>
    <w:rsid w:val="00F94740"/>
    <w:rsid w:val="00FB6F44"/>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71D7B24-74FA-4563-8EE3-328B1A22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BD3"/>
  </w:style>
  <w:style w:type="paragraph" w:styleId="Heading1">
    <w:name w:val="heading 1"/>
    <w:basedOn w:val="Normal"/>
    <w:next w:val="Normal"/>
    <w:link w:val="Heading1Char"/>
    <w:autoRedefine/>
    <w:uiPriority w:val="99"/>
    <w:qFormat/>
    <w:rsid w:val="00483BD3"/>
    <w:pPr>
      <w:keepNext/>
      <w:keepLines/>
      <w:spacing w:before="360" w:after="240" w:line="240" w:lineRule="auto"/>
      <w:ind w:left="720" w:hanging="72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303769"/>
    <w:pPr>
      <w:keepNext/>
      <w:keepLines/>
      <w:spacing w:before="360" w:after="240" w:line="240" w:lineRule="auto"/>
      <w:ind w:left="1440" w:right="720" w:hanging="72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autoRedefine/>
    <w:uiPriority w:val="9"/>
    <w:unhideWhenUsed/>
    <w:qFormat/>
    <w:rsid w:val="00303769"/>
    <w:pPr>
      <w:keepNext/>
      <w:keepLines/>
      <w:spacing w:before="360" w:after="240" w:line="240" w:lineRule="auto"/>
      <w:ind w:left="2160" w:right="720" w:hanging="720"/>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BD3"/>
    <w:rPr>
      <w:rFonts w:ascii="Times New Roman" w:eastAsiaTheme="majorEastAsia" w:hAnsi="Times New Roman" w:cstheme="majorBidi"/>
      <w:b/>
      <w:bCs/>
      <w:sz w:val="28"/>
      <w:szCs w:val="28"/>
    </w:rPr>
  </w:style>
  <w:style w:type="paragraph" w:customStyle="1" w:styleId="Textstyle">
    <w:name w:val="Text style"/>
    <w:basedOn w:val="Normal"/>
    <w:autoRedefine/>
    <w:rsid w:val="00303769"/>
    <w:pPr>
      <w:autoSpaceDE w:val="0"/>
      <w:autoSpaceDN w:val="0"/>
      <w:adjustRightInd w:val="0"/>
      <w:spacing w:after="0" w:line="480" w:lineRule="auto"/>
      <w:ind w:firstLine="720"/>
      <w:contextualSpacing/>
      <w:jc w:val="both"/>
    </w:pPr>
    <w:rPr>
      <w:rFonts w:ascii="Times New Roman" w:hAnsi="Times New Roman" w:cs="Times New Roman"/>
      <w:color w:val="000000"/>
      <w:sz w:val="26"/>
      <w:szCs w:val="26"/>
    </w:rPr>
  </w:style>
  <w:style w:type="paragraph" w:styleId="FootnoteText">
    <w:name w:val="footnote text"/>
    <w:basedOn w:val="Normal"/>
    <w:link w:val="FootnoteTextChar"/>
    <w:autoRedefine/>
    <w:uiPriority w:val="99"/>
    <w:unhideWhenUsed/>
    <w:rsid w:val="00303769"/>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303769"/>
    <w:rPr>
      <w:rFonts w:ascii="Times New Roman" w:hAnsi="Times New Roman"/>
      <w:sz w:val="20"/>
      <w:szCs w:val="20"/>
    </w:rPr>
  </w:style>
  <w:style w:type="character" w:styleId="FootnoteReference">
    <w:name w:val="footnote reference"/>
    <w:basedOn w:val="DefaultParagraphFont"/>
    <w:uiPriority w:val="99"/>
    <w:semiHidden/>
    <w:unhideWhenUsed/>
    <w:rsid w:val="00483BD3"/>
    <w:rPr>
      <w:vertAlign w:val="superscript"/>
    </w:rPr>
  </w:style>
  <w:style w:type="paragraph" w:styleId="Footer">
    <w:name w:val="footer"/>
    <w:basedOn w:val="Normal"/>
    <w:link w:val="FooterChar"/>
    <w:uiPriority w:val="99"/>
    <w:unhideWhenUsed/>
    <w:rsid w:val="00483BD3"/>
    <w:pPr>
      <w:tabs>
        <w:tab w:val="center" w:pos="4680"/>
        <w:tab w:val="right" w:pos="9360"/>
      </w:tabs>
      <w:spacing w:after="0" w:line="240" w:lineRule="auto"/>
      <w:ind w:firstLine="720"/>
      <w:contextualSpacing/>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483BD3"/>
    <w:rPr>
      <w:rFonts w:ascii="Times New Roman" w:hAnsi="Times New Roman" w:cs="Times New Roman"/>
      <w:sz w:val="24"/>
      <w:szCs w:val="24"/>
    </w:rPr>
  </w:style>
  <w:style w:type="paragraph" w:styleId="NoSpacing">
    <w:name w:val="No Spacing"/>
    <w:uiPriority w:val="1"/>
    <w:qFormat/>
    <w:rsid w:val="00483BD3"/>
    <w:pPr>
      <w:spacing w:after="0" w:line="240" w:lineRule="auto"/>
      <w:ind w:left="1440" w:right="1440"/>
      <w:contextualSpacing/>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0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00"/>
    <w:rPr>
      <w:rFonts w:ascii="Tahoma" w:hAnsi="Tahoma" w:cs="Tahoma"/>
      <w:sz w:val="16"/>
      <w:szCs w:val="16"/>
    </w:rPr>
  </w:style>
  <w:style w:type="character" w:styleId="CommentReference">
    <w:name w:val="annotation reference"/>
    <w:basedOn w:val="DefaultParagraphFont"/>
    <w:uiPriority w:val="99"/>
    <w:semiHidden/>
    <w:unhideWhenUsed/>
    <w:rsid w:val="00DC1BAD"/>
    <w:rPr>
      <w:sz w:val="16"/>
      <w:szCs w:val="16"/>
    </w:rPr>
  </w:style>
  <w:style w:type="paragraph" w:styleId="CommentText">
    <w:name w:val="annotation text"/>
    <w:basedOn w:val="Normal"/>
    <w:link w:val="CommentTextChar"/>
    <w:uiPriority w:val="99"/>
    <w:semiHidden/>
    <w:unhideWhenUsed/>
    <w:rsid w:val="00DC1BAD"/>
    <w:pPr>
      <w:spacing w:line="240" w:lineRule="auto"/>
    </w:pPr>
    <w:rPr>
      <w:sz w:val="20"/>
      <w:szCs w:val="20"/>
    </w:rPr>
  </w:style>
  <w:style w:type="character" w:customStyle="1" w:styleId="CommentTextChar">
    <w:name w:val="Comment Text Char"/>
    <w:basedOn w:val="DefaultParagraphFont"/>
    <w:link w:val="CommentText"/>
    <w:uiPriority w:val="99"/>
    <w:semiHidden/>
    <w:rsid w:val="00DC1BAD"/>
    <w:rPr>
      <w:sz w:val="20"/>
      <w:szCs w:val="20"/>
    </w:rPr>
  </w:style>
  <w:style w:type="paragraph" w:styleId="CommentSubject">
    <w:name w:val="annotation subject"/>
    <w:basedOn w:val="CommentText"/>
    <w:next w:val="CommentText"/>
    <w:link w:val="CommentSubjectChar"/>
    <w:uiPriority w:val="99"/>
    <w:semiHidden/>
    <w:unhideWhenUsed/>
    <w:rsid w:val="00DC1BAD"/>
    <w:rPr>
      <w:b/>
      <w:bCs/>
    </w:rPr>
  </w:style>
  <w:style w:type="character" w:customStyle="1" w:styleId="CommentSubjectChar">
    <w:name w:val="Comment Subject Char"/>
    <w:basedOn w:val="CommentTextChar"/>
    <w:link w:val="CommentSubject"/>
    <w:uiPriority w:val="99"/>
    <w:semiHidden/>
    <w:rsid w:val="00DC1BAD"/>
    <w:rPr>
      <w:b/>
      <w:bCs/>
      <w:sz w:val="20"/>
      <w:szCs w:val="20"/>
    </w:rPr>
  </w:style>
  <w:style w:type="character" w:styleId="Hyperlink">
    <w:name w:val="Hyperlink"/>
    <w:basedOn w:val="DefaultParagraphFont"/>
    <w:uiPriority w:val="99"/>
    <w:unhideWhenUsed/>
    <w:rsid w:val="00070E42"/>
    <w:rPr>
      <w:color w:val="0000FF" w:themeColor="hyperlink"/>
      <w:u w:val="single"/>
    </w:rPr>
  </w:style>
  <w:style w:type="character" w:customStyle="1" w:styleId="Heading2Char">
    <w:name w:val="Heading 2 Char"/>
    <w:basedOn w:val="DefaultParagraphFont"/>
    <w:link w:val="Heading2"/>
    <w:uiPriority w:val="9"/>
    <w:rsid w:val="00303769"/>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303769"/>
    <w:rPr>
      <w:rFonts w:ascii="Times New Roman" w:eastAsiaTheme="majorEastAsia" w:hAnsi="Times New Roman" w:cstheme="majorBidi"/>
      <w:b/>
      <w:sz w:val="28"/>
      <w:szCs w:val="24"/>
    </w:rPr>
  </w:style>
  <w:style w:type="paragraph" w:styleId="Header">
    <w:name w:val="header"/>
    <w:basedOn w:val="Normal"/>
    <w:link w:val="HeaderChar"/>
    <w:uiPriority w:val="99"/>
    <w:unhideWhenUsed/>
    <w:rsid w:val="00AC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620"/>
  </w:style>
  <w:style w:type="paragraph" w:styleId="TOC1">
    <w:name w:val="toc 1"/>
    <w:basedOn w:val="Normal"/>
    <w:next w:val="Normal"/>
    <w:autoRedefine/>
    <w:uiPriority w:val="39"/>
    <w:unhideWhenUsed/>
    <w:rsid w:val="00A266D7"/>
    <w:pPr>
      <w:tabs>
        <w:tab w:val="right" w:leader="dot" w:pos="9350"/>
      </w:tabs>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A266D7"/>
    <w:pPr>
      <w:tabs>
        <w:tab w:val="right" w:leader="dot" w:pos="9346"/>
      </w:tabs>
      <w:spacing w:before="240" w:after="240" w:line="240" w:lineRule="auto"/>
      <w:ind w:left="1440" w:right="1440" w:hanging="720"/>
    </w:pPr>
    <w:rPr>
      <w:rFonts w:ascii="Times New Roman" w:hAnsi="Times New Roman"/>
      <w:sz w:val="26"/>
    </w:rPr>
  </w:style>
  <w:style w:type="paragraph" w:styleId="TOC3">
    <w:name w:val="toc 3"/>
    <w:basedOn w:val="Normal"/>
    <w:next w:val="Normal"/>
    <w:autoRedefine/>
    <w:uiPriority w:val="39"/>
    <w:unhideWhenUsed/>
    <w:rsid w:val="00A266D7"/>
    <w:pPr>
      <w:tabs>
        <w:tab w:val="right" w:leader="dot" w:pos="9350"/>
      </w:tabs>
      <w:spacing w:before="240" w:after="240" w:line="240" w:lineRule="auto"/>
      <w:ind w:left="2160" w:right="1440" w:hanging="720"/>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4778">
      <w:bodyDiv w:val="1"/>
      <w:marLeft w:val="0"/>
      <w:marRight w:val="0"/>
      <w:marTop w:val="0"/>
      <w:marBottom w:val="0"/>
      <w:divBdr>
        <w:top w:val="none" w:sz="0" w:space="0" w:color="auto"/>
        <w:left w:val="none" w:sz="0" w:space="0" w:color="auto"/>
        <w:bottom w:val="none" w:sz="0" w:space="0" w:color="auto"/>
        <w:right w:val="none" w:sz="0" w:space="0" w:color="auto"/>
      </w:divBdr>
    </w:div>
    <w:div w:id="452290220">
      <w:bodyDiv w:val="1"/>
      <w:marLeft w:val="0"/>
      <w:marRight w:val="0"/>
      <w:marTop w:val="0"/>
      <w:marBottom w:val="0"/>
      <w:divBdr>
        <w:top w:val="none" w:sz="0" w:space="0" w:color="auto"/>
        <w:left w:val="none" w:sz="0" w:space="0" w:color="auto"/>
        <w:bottom w:val="none" w:sz="0" w:space="0" w:color="auto"/>
        <w:right w:val="none" w:sz="0" w:space="0" w:color="auto"/>
      </w:divBdr>
    </w:div>
    <w:div w:id="528419678">
      <w:bodyDiv w:val="1"/>
      <w:marLeft w:val="0"/>
      <w:marRight w:val="0"/>
      <w:marTop w:val="0"/>
      <w:marBottom w:val="0"/>
      <w:divBdr>
        <w:top w:val="none" w:sz="0" w:space="0" w:color="auto"/>
        <w:left w:val="none" w:sz="0" w:space="0" w:color="auto"/>
        <w:bottom w:val="none" w:sz="0" w:space="0" w:color="auto"/>
        <w:right w:val="none" w:sz="0" w:space="0" w:color="auto"/>
      </w:divBdr>
    </w:div>
    <w:div w:id="1092898395">
      <w:bodyDiv w:val="1"/>
      <w:marLeft w:val="0"/>
      <w:marRight w:val="0"/>
      <w:marTop w:val="0"/>
      <w:marBottom w:val="0"/>
      <w:divBdr>
        <w:top w:val="none" w:sz="0" w:space="0" w:color="auto"/>
        <w:left w:val="none" w:sz="0" w:space="0" w:color="auto"/>
        <w:bottom w:val="none" w:sz="0" w:space="0" w:color="auto"/>
        <w:right w:val="none" w:sz="0" w:space="0" w:color="auto"/>
      </w:divBdr>
    </w:div>
    <w:div w:id="1208030055">
      <w:bodyDiv w:val="1"/>
      <w:marLeft w:val="0"/>
      <w:marRight w:val="0"/>
      <w:marTop w:val="0"/>
      <w:marBottom w:val="0"/>
      <w:divBdr>
        <w:top w:val="none" w:sz="0" w:space="0" w:color="auto"/>
        <w:left w:val="none" w:sz="0" w:space="0" w:color="auto"/>
        <w:bottom w:val="none" w:sz="0" w:space="0" w:color="auto"/>
        <w:right w:val="none" w:sz="0" w:space="0" w:color="auto"/>
      </w:divBdr>
    </w:div>
    <w:div w:id="15513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nathan.tauber@puc.state.oh.us"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homas.mcnamee@puc.state.oh.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jm.com/~/media/documents/reports/20140509-analysis-of-operational-events-and-market-impacts-during-the-jan-2014-cold-weather-event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31F4-CB43-417E-ADCA-7BD27D66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Tauber, Jonathan</dc:creator>
  <cp:lastModifiedBy>Keeton, Kim</cp:lastModifiedBy>
  <cp:revision>8</cp:revision>
  <cp:lastPrinted>2015-01-15T18:31:00Z</cp:lastPrinted>
  <dcterms:created xsi:type="dcterms:W3CDTF">2015-01-20T14:15:00Z</dcterms:created>
  <dcterms:modified xsi:type="dcterms:W3CDTF">2015-01-20T16:28:00Z</dcterms:modified>
</cp:coreProperties>
</file>