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517C65">
        <w:rPr>
          <w:rFonts w:ascii="Times New Roman" w:eastAsia="Calibri" w:hAnsi="Times New Roman" w:cs="Times New Roman"/>
          <w:b/>
          <w:bCs/>
          <w:sz w:val="24"/>
          <w:szCs w:val="24"/>
        </w:rPr>
        <w:t>BEFORE</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17C65">
        <w:rPr>
          <w:rFonts w:ascii="Times New Roman" w:eastAsia="Calibri" w:hAnsi="Times New Roman" w:cs="Times New Roman"/>
          <w:b/>
          <w:bCs/>
          <w:sz w:val="24"/>
          <w:szCs w:val="24"/>
        </w:rPr>
        <w:t>THE PUBLIC UTILITIES COMMISSION OF OHIO</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Look w:val="01E0"/>
      </w:tblPr>
      <w:tblGrid>
        <w:gridCol w:w="4332"/>
        <w:gridCol w:w="360"/>
        <w:gridCol w:w="4400"/>
      </w:tblGrid>
      <w:tr w:rsidTr="00C86495">
        <w:tblPrEx>
          <w:tblW w:w="9092" w:type="dxa"/>
          <w:tblInd w:w="-106" w:type="dxa"/>
          <w:tblLook w:val="01E0"/>
        </w:tblPrEx>
        <w:trPr>
          <w:trHeight w:val="807"/>
        </w:trPr>
        <w:tc>
          <w:tcPr>
            <w:tcW w:w="4332" w:type="dxa"/>
          </w:tcPr>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 xml:space="preserve">In the Matter of the Application of </w:t>
            </w: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the Dayton Power and Light Company for</w:t>
            </w: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Approval of its Electric Security Plan.</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In the Matter of the Application of the Dayton Power and Light Company for Approval of Revised Tariffs.</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In the Matter of the Application of the Dayton Power and Light Company for Approval of Certain Accounting Authority Pursuant to Ohio Rev. Code § 4905.13.</w:t>
            </w:r>
          </w:p>
        </w:tc>
        <w:tc>
          <w:tcPr>
            <w:tcW w:w="360" w:type="dxa"/>
            <w:hideMark/>
          </w:tcPr>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tc>
        <w:tc>
          <w:tcPr>
            <w:tcW w:w="4400" w:type="dxa"/>
          </w:tcPr>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Case No. 16-0395-EL-SSO</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Case No. 16-0396-EL-ATA</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Case No. 16-0397-EL-AAM</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tc>
      </w:tr>
    </w:tbl>
    <w:p w:rsidR="00C86495" w:rsidRPr="00517C65" w:rsidP="00C86495">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C86495" w:rsidRPr="00517C65" w:rsidP="00C86495">
      <w:pPr>
        <w:autoSpaceDE w:val="0"/>
        <w:autoSpaceDN w:val="0"/>
        <w:adjustRightInd w:val="0"/>
        <w:spacing w:after="0" w:line="240" w:lineRule="auto"/>
        <w:rPr>
          <w:rFonts w:ascii="Times New Roman" w:eastAsia="Calibri" w:hAnsi="Times New Roman" w:cs="Times New Roman"/>
          <w:sz w:val="24"/>
          <w:szCs w:val="24"/>
        </w:rPr>
      </w:pPr>
    </w:p>
    <w:p w:rsidR="00C86495" w:rsidRPr="00517C65"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517C65">
        <w:rPr>
          <w:rFonts w:ascii="Times New Roman" w:eastAsia="Calibri" w:hAnsi="Times New Roman" w:cs="Times New Roman"/>
          <w:b/>
          <w:bCs/>
          <w:sz w:val="24"/>
          <w:szCs w:val="24"/>
        </w:rPr>
        <w:t>INITIAL POST-HEARING BRIEF</w:t>
      </w:r>
    </w:p>
    <w:p w:rsidR="00C86495" w:rsidRPr="00517C65"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517C65">
        <w:rPr>
          <w:rFonts w:ascii="Times New Roman" w:eastAsia="Calibri" w:hAnsi="Times New Roman" w:cs="Times New Roman"/>
          <w:b/>
          <w:bCs/>
          <w:sz w:val="24"/>
          <w:szCs w:val="24"/>
        </w:rPr>
        <w:t>BY</w:t>
      </w:r>
    </w:p>
    <w:p w:rsidR="00C86495" w:rsidRPr="00517C65"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517C65">
        <w:rPr>
          <w:rFonts w:ascii="Times New Roman" w:eastAsia="Calibri" w:hAnsi="Times New Roman" w:cs="Times New Roman"/>
          <w:b/>
          <w:bCs/>
          <w:sz w:val="24"/>
          <w:szCs w:val="24"/>
        </w:rPr>
        <w:t>THE OFFICE OF THE OHIO CONSUMERS’ COUNSEL</w:t>
      </w:r>
    </w:p>
    <w:p w:rsidR="00C86495" w:rsidRPr="00517C65" w:rsidP="00C86495">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C86495" w:rsidRPr="00517C65" w:rsidP="00C86495">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C86495" w:rsidRPr="00517C65" w:rsidP="00C86495">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BRUCE WESTON (0016973)</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OHIO CONSUMERS’ COUNSEL</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b/>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William J. Michael, (0070921)</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Counsel of Record</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Kevin F. Moore (0089228)</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Ajay Kumar (0092208)</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Andrew Garver (PHV-10193-2017)</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Assistant Consumers’ Counsel</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b/>
      </w:r>
    </w:p>
    <w:p w:rsidR="00C86495" w:rsidRPr="00517C65" w:rsidP="00C86495">
      <w:pPr>
        <w:spacing w:after="0" w:line="240" w:lineRule="auto"/>
        <w:ind w:left="4320"/>
        <w:rPr>
          <w:rFonts w:ascii="Times New Roman" w:eastAsia="Times New Roman" w:hAnsi="Times New Roman" w:cs="Times New Roman"/>
          <w:b/>
          <w:sz w:val="24"/>
          <w:szCs w:val="24"/>
        </w:rPr>
      </w:pPr>
      <w:r w:rsidRPr="00517C65">
        <w:rPr>
          <w:rFonts w:ascii="Times New Roman" w:eastAsia="Times New Roman" w:hAnsi="Times New Roman" w:cs="Times New Roman"/>
          <w:b/>
          <w:sz w:val="24"/>
          <w:szCs w:val="24"/>
        </w:rPr>
        <w:t>Office of the Ohio Consumers’ Counsel</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10 West Broad Street, Suite 1800</w:t>
      </w:r>
    </w:p>
    <w:p w:rsidR="00C86495" w:rsidRPr="00517C65" w:rsidP="00C86495">
      <w:pPr>
        <w:spacing w:after="0" w:line="240" w:lineRule="auto"/>
        <w:ind w:left="4320"/>
        <w:rPr>
          <w:rFonts w:ascii="Times New Roman" w:eastAsia="Times New Roman" w:hAnsi="Times New Roman" w:cs="Times New Roman"/>
          <w:b/>
          <w:sz w:val="24"/>
          <w:szCs w:val="24"/>
        </w:rPr>
      </w:pPr>
      <w:r w:rsidRPr="00517C65">
        <w:rPr>
          <w:rFonts w:ascii="Times New Roman" w:eastAsia="Times New Roman" w:hAnsi="Times New Roman" w:cs="Times New Roman"/>
          <w:sz w:val="24"/>
          <w:szCs w:val="24"/>
        </w:rPr>
        <w:t>Columbus, Ohio 43215-3485</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Telephone: [Michael] (614) 466-1291</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Telephone: [Moore] (614) 387-2965</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Telephone: [Kumar] (614) 466-1292</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Telephone: [Garver] (614) 466-9569</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color w:val="0000FF" w:themeColor="hyperlink"/>
          <w:sz w:val="24"/>
          <w:szCs w:val="24"/>
          <w:u w:val="single"/>
        </w:rPr>
        <w:t>william.michael@occ.ohio.gov</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color w:val="0000FF" w:themeColor="hyperlink"/>
          <w:sz w:val="24"/>
          <w:szCs w:val="24"/>
          <w:u w:val="single"/>
        </w:rPr>
        <w:t>kevin.moore@occ.ohio.gov</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color w:val="0000FF" w:themeColor="hyperlink"/>
          <w:sz w:val="24"/>
          <w:szCs w:val="24"/>
          <w:u w:val="single"/>
        </w:rPr>
        <w:t>ajay.kumar@occ.ohio.gov</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color w:val="0000FF" w:themeColor="hyperlink"/>
          <w:sz w:val="24"/>
          <w:szCs w:val="24"/>
          <w:u w:val="single"/>
        </w:rPr>
        <w:t>andrew.garver@occ.ohio.gov</w:t>
      </w:r>
    </w:p>
    <w:p w:rsidR="005A0C60" w:rsidRPr="00517C65" w:rsidP="00C86495">
      <w:pPr>
        <w:spacing w:after="0" w:line="240" w:lineRule="auto"/>
        <w:rPr>
          <w:rFonts w:ascii="Times New Roman" w:eastAsia="Times New Roman" w:hAnsi="Times New Roman" w:cs="Times New Roman"/>
          <w:sz w:val="24"/>
          <w:szCs w:val="24"/>
        </w:rPr>
        <w:sectPr w:rsidSect="00EE3469">
          <w:pgSz w:w="12240" w:h="15840"/>
          <w:pgMar w:top="1440" w:right="1800" w:bottom="1440" w:left="1800" w:header="720" w:footer="720" w:gutter="0"/>
          <w:pgNumType w:fmt="lowerRoman" w:start="1"/>
          <w:cols w:space="720"/>
          <w:docGrid w:linePitch="360"/>
        </w:sectPr>
      </w:pPr>
      <w:r w:rsidRPr="00517C65">
        <w:rPr>
          <w:rFonts w:ascii="Times New Roman" w:eastAsia="Times New Roman" w:hAnsi="Times New Roman" w:cs="Times New Roman"/>
          <w:sz w:val="24"/>
          <w:szCs w:val="24"/>
        </w:rPr>
        <w:t>May 5, 2017</w:t>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t xml:space="preserve">            (Will accept service via email)</w:t>
      </w:r>
    </w:p>
    <w:p w:rsidR="00C86495" w:rsidRPr="00517C65" w:rsidP="00C86495">
      <w:pPr>
        <w:spacing w:after="0" w:line="240" w:lineRule="auto"/>
        <w:jc w:val="center"/>
        <w:rPr>
          <w:rFonts w:ascii="Times New Roman" w:eastAsia="Times New Roman" w:hAnsi="Times New Roman" w:cs="Times New Roman"/>
          <w:b/>
          <w:sz w:val="24"/>
          <w:szCs w:val="24"/>
        </w:rPr>
      </w:pPr>
      <w:r w:rsidRPr="00517C65">
        <w:rPr>
          <w:rFonts w:ascii="Times New Roman" w:eastAsia="Times New Roman" w:hAnsi="Times New Roman" w:cs="Times New Roman"/>
          <w:b/>
          <w:sz w:val="24"/>
          <w:szCs w:val="24"/>
        </w:rPr>
        <w:t>TABLE OF CONTENTS</w:t>
      </w:r>
    </w:p>
    <w:p w:rsidR="00C86495" w:rsidRPr="00517C65" w:rsidP="00C86495">
      <w:pPr>
        <w:spacing w:after="0" w:line="240" w:lineRule="auto"/>
        <w:jc w:val="center"/>
        <w:rPr>
          <w:rFonts w:ascii="Times New Roman" w:eastAsia="Times New Roman" w:hAnsi="Times New Roman" w:cs="Times New Roman"/>
          <w:sz w:val="24"/>
          <w:szCs w:val="24"/>
        </w:rPr>
      </w:pPr>
    </w:p>
    <w:p w:rsidR="00EE3469" w:rsidP="00807366">
      <w:pPr>
        <w:spacing w:after="0" w:line="240" w:lineRule="auto"/>
        <w:jc w:val="center"/>
        <w:rPr>
          <w:rFonts w:ascii="Times New Roman" w:eastAsia="Times New Roman" w:hAnsi="Times New Roman" w:cs="Times New Roman"/>
          <w:b/>
          <w:sz w:val="24"/>
          <w:szCs w:val="24"/>
        </w:rPr>
      </w:pP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b/>
          <w:sz w:val="24"/>
          <w:szCs w:val="24"/>
        </w:rPr>
        <w:t>PAGE</w:t>
      </w:r>
    </w:p>
    <w:p w:rsidR="00761D0A" w:rsidRPr="00517C65" w:rsidP="00807366">
      <w:pPr>
        <w:spacing w:after="0" w:line="240" w:lineRule="auto"/>
        <w:jc w:val="center"/>
        <w:rPr>
          <w:rFonts w:ascii="Times New Roman" w:eastAsia="Times New Roman" w:hAnsi="Times New Roman" w:cs="Times New Roman"/>
          <w:b/>
          <w:sz w:val="24"/>
          <w:szCs w:val="24"/>
        </w:rPr>
      </w:pPr>
    </w:p>
    <w:p w:rsidR="00D94F5F">
      <w:pPr>
        <w:pStyle w:val="TOC1"/>
        <w:tabs>
          <w:tab w:val="right" w:leader="dot" w:pos="8630"/>
        </w:tabs>
        <w:rPr>
          <w:rFonts w:asciiTheme="minorHAnsi" w:eastAsiaTheme="minorEastAsia" w:hAnsiTheme="minorHAnsi"/>
          <w:noProof/>
          <w:sz w:val="22"/>
        </w:rPr>
      </w:pPr>
      <w:r w:rsidRPr="00517C65">
        <w:rPr>
          <w:rFonts w:cs="Times New Roman"/>
          <w:szCs w:val="24"/>
        </w:rPr>
        <w:fldChar w:fldCharType="begin"/>
      </w:r>
      <w:r w:rsidRPr="00517C65">
        <w:rPr>
          <w:rFonts w:cs="Times New Roman"/>
          <w:szCs w:val="24"/>
        </w:rPr>
        <w:instrText xml:space="preserve"> TOC \o "1-4" \h \z \u </w:instrText>
      </w:r>
      <w:r w:rsidRPr="00517C65">
        <w:rPr>
          <w:rFonts w:cs="Times New Roman"/>
          <w:szCs w:val="24"/>
        </w:rPr>
        <w:fldChar w:fldCharType="separate"/>
      </w:r>
      <w:r>
        <w:fldChar w:fldCharType="begin"/>
      </w:r>
      <w:r>
        <w:instrText xml:space="preserve"> HYPERLINK \l "_Toc481762029" </w:instrText>
      </w:r>
      <w:r>
        <w:fldChar w:fldCharType="separate"/>
      </w:r>
      <w:r w:rsidRPr="00AB279C">
        <w:rPr>
          <w:rStyle w:val="Hyperlink"/>
          <w:noProof/>
        </w:rPr>
        <w:t>I.</w:t>
      </w:r>
      <w:r>
        <w:rPr>
          <w:rFonts w:asciiTheme="minorHAnsi" w:eastAsiaTheme="minorEastAsia" w:hAnsiTheme="minorHAnsi"/>
          <w:noProof/>
          <w:sz w:val="22"/>
        </w:rPr>
        <w:tab/>
      </w:r>
      <w:r w:rsidRPr="00AB279C">
        <w:rPr>
          <w:rStyle w:val="Hyperlink"/>
          <w:noProof/>
        </w:rPr>
        <w:t>INTRODUCTION</w:t>
      </w:r>
      <w:r>
        <w:rPr>
          <w:noProof/>
          <w:webHidden/>
        </w:rPr>
        <w:tab/>
      </w:r>
      <w:r>
        <w:rPr>
          <w:noProof/>
          <w:webHidden/>
        </w:rPr>
        <w:fldChar w:fldCharType="begin"/>
      </w:r>
      <w:r>
        <w:rPr>
          <w:noProof/>
          <w:webHidden/>
        </w:rPr>
        <w:instrText xml:space="preserve"> PAGEREF _Toc481762029 \h </w:instrText>
      </w:r>
      <w:r>
        <w:rPr>
          <w:noProof/>
          <w:webHidden/>
        </w:rPr>
        <w:fldChar w:fldCharType="separate"/>
      </w:r>
      <w:r>
        <w:rPr>
          <w:noProof/>
          <w:webHidden/>
        </w:rPr>
        <w:t>2</w:t>
      </w:r>
      <w:r>
        <w:rPr>
          <w:noProof/>
          <w:webHidden/>
        </w:rPr>
        <w:fldChar w:fldCharType="end"/>
      </w:r>
      <w:r>
        <w:fldChar w:fldCharType="end"/>
      </w:r>
    </w:p>
    <w:p w:rsidR="00D94F5F">
      <w:pPr>
        <w:pStyle w:val="TOC1"/>
        <w:tabs>
          <w:tab w:val="right" w:leader="dot" w:pos="8630"/>
        </w:tabs>
        <w:rPr>
          <w:rFonts w:asciiTheme="minorHAnsi" w:eastAsiaTheme="minorEastAsia" w:hAnsiTheme="minorHAnsi"/>
          <w:noProof/>
          <w:sz w:val="22"/>
        </w:rPr>
      </w:pPr>
      <w:r>
        <w:fldChar w:fldCharType="begin"/>
      </w:r>
      <w:r>
        <w:instrText xml:space="preserve"> HYPERLINK \l "_Toc481762030" </w:instrText>
      </w:r>
      <w:r>
        <w:fldChar w:fldCharType="separate"/>
      </w:r>
      <w:r w:rsidRPr="00AB279C" w:rsidR="00AE22F3">
        <w:rPr>
          <w:rStyle w:val="Hyperlink"/>
          <w:noProof/>
        </w:rPr>
        <w:t>II.</w:t>
      </w:r>
      <w:r w:rsidR="00AE22F3">
        <w:rPr>
          <w:rFonts w:asciiTheme="minorHAnsi" w:eastAsiaTheme="minorEastAsia" w:hAnsiTheme="minorHAnsi"/>
          <w:noProof/>
          <w:sz w:val="22"/>
        </w:rPr>
        <w:tab/>
      </w:r>
      <w:r w:rsidRPr="00AB279C" w:rsidR="00AE22F3">
        <w:rPr>
          <w:rStyle w:val="Hyperlink"/>
          <w:noProof/>
        </w:rPr>
        <w:t>BACKGROUND</w:t>
      </w:r>
      <w:r w:rsidR="00AE22F3">
        <w:rPr>
          <w:noProof/>
          <w:webHidden/>
        </w:rPr>
        <w:tab/>
      </w:r>
      <w:r w:rsidR="00AE22F3">
        <w:rPr>
          <w:noProof/>
          <w:webHidden/>
        </w:rPr>
        <w:fldChar w:fldCharType="begin"/>
      </w:r>
      <w:r w:rsidR="00AE22F3">
        <w:rPr>
          <w:noProof/>
          <w:webHidden/>
        </w:rPr>
        <w:instrText xml:space="preserve"> PAGEREF _Toc481762030 \h </w:instrText>
      </w:r>
      <w:r w:rsidR="00AE22F3">
        <w:rPr>
          <w:noProof/>
          <w:webHidden/>
        </w:rPr>
        <w:fldChar w:fldCharType="separate"/>
      </w:r>
      <w:r w:rsidR="00AE22F3">
        <w:rPr>
          <w:noProof/>
          <w:webHidden/>
        </w:rPr>
        <w:t>5</w:t>
      </w:r>
      <w:r w:rsidR="00AE22F3">
        <w:rPr>
          <w:noProof/>
          <w:webHidden/>
        </w:rPr>
        <w:fldChar w:fldCharType="end"/>
      </w:r>
      <w:r>
        <w:fldChar w:fldCharType="end"/>
      </w:r>
    </w:p>
    <w:p w:rsidR="00D94F5F">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"_Toc481762031" </w:instrText>
      </w:r>
      <w:r>
        <w:fldChar w:fldCharType="separate"/>
      </w:r>
      <w:r w:rsidRPr="00AB279C" w:rsidR="00AE22F3">
        <w:rPr>
          <w:rStyle w:val="Hyperlink"/>
          <w:noProof/>
        </w:rPr>
        <w:t>A.</w:t>
      </w:r>
      <w:r w:rsidR="00AE22F3">
        <w:rPr>
          <w:rFonts w:asciiTheme="minorHAnsi" w:eastAsiaTheme="minorEastAsia" w:hAnsiTheme="minorHAnsi"/>
          <w:noProof/>
          <w:sz w:val="22"/>
        </w:rPr>
        <w:tab/>
      </w:r>
      <w:r w:rsidRPr="00AB279C" w:rsidR="00AE22F3">
        <w:rPr>
          <w:rStyle w:val="Hyperlink"/>
          <w:noProof/>
        </w:rPr>
        <w:t>The Ohio General Assembly chose competition to protect consumers.</w:t>
      </w:r>
      <w:r w:rsidR="00AE22F3">
        <w:rPr>
          <w:noProof/>
          <w:webHidden/>
        </w:rPr>
        <w:tab/>
      </w:r>
      <w:r w:rsidR="00AE22F3">
        <w:rPr>
          <w:noProof/>
          <w:webHidden/>
        </w:rPr>
        <w:fldChar w:fldCharType="begin"/>
      </w:r>
      <w:r w:rsidR="00AE22F3">
        <w:rPr>
          <w:noProof/>
          <w:webHidden/>
        </w:rPr>
        <w:instrText xml:space="preserve"> PAGEREF _Toc481762031 \h </w:instrText>
      </w:r>
      <w:r w:rsidR="00AE22F3">
        <w:rPr>
          <w:noProof/>
          <w:webHidden/>
        </w:rPr>
        <w:fldChar w:fldCharType="separate"/>
      </w:r>
      <w:r w:rsidR="00AE22F3">
        <w:rPr>
          <w:noProof/>
          <w:webHidden/>
        </w:rPr>
        <w:t>5</w:t>
      </w:r>
      <w:r w:rsidR="00AE22F3">
        <w:rPr>
          <w:noProof/>
          <w:webHidden/>
        </w:rPr>
        <w:fldChar w:fldCharType="end"/>
      </w:r>
      <w:r>
        <w:fldChar w:fldCharType="end"/>
      </w:r>
    </w:p>
    <w:p w:rsidR="00D94F5F">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"_Toc481762032" </w:instrText>
      </w:r>
      <w:r>
        <w:fldChar w:fldCharType="separate"/>
      </w:r>
      <w:r w:rsidRPr="00AB279C" w:rsidR="00AE22F3">
        <w:rPr>
          <w:rStyle w:val="Hyperlink"/>
          <w:noProof/>
        </w:rPr>
        <w:t>B.</w:t>
      </w:r>
      <w:r w:rsidR="00AE22F3">
        <w:rPr>
          <w:rFonts w:asciiTheme="minorHAnsi" w:eastAsiaTheme="minorEastAsia" w:hAnsiTheme="minorHAnsi"/>
          <w:noProof/>
          <w:sz w:val="22"/>
        </w:rPr>
        <w:tab/>
      </w:r>
      <w:r w:rsidRPr="00AB279C" w:rsidR="00AE22F3">
        <w:rPr>
          <w:rStyle w:val="Hyperlink"/>
          <w:noProof/>
        </w:rPr>
        <w:t>The General Assembly protected consumers by allowing utilities to collect transition charges, but only for a limited time that has now passed.</w:t>
      </w:r>
      <w:r w:rsidR="00AE22F3">
        <w:rPr>
          <w:noProof/>
          <w:webHidden/>
        </w:rPr>
        <w:tab/>
      </w:r>
      <w:r w:rsidR="00AE22F3">
        <w:rPr>
          <w:noProof/>
          <w:webHidden/>
        </w:rPr>
        <w:fldChar w:fldCharType="begin"/>
      </w:r>
      <w:r w:rsidR="00AE22F3">
        <w:rPr>
          <w:noProof/>
          <w:webHidden/>
        </w:rPr>
        <w:instrText xml:space="preserve"> PAGEREF _Toc481762032 \h </w:instrText>
      </w:r>
      <w:r w:rsidR="00AE22F3">
        <w:rPr>
          <w:noProof/>
          <w:webHidden/>
        </w:rPr>
        <w:fldChar w:fldCharType="separate"/>
      </w:r>
      <w:r w:rsidR="00AE22F3">
        <w:rPr>
          <w:noProof/>
          <w:webHidden/>
        </w:rPr>
        <w:t>6</w:t>
      </w:r>
      <w:r w:rsidR="00AE22F3">
        <w:rPr>
          <w:noProof/>
          <w:webHidden/>
        </w:rPr>
        <w:fldChar w:fldCharType="end"/>
      </w:r>
      <w:r>
        <w:fldChar w:fldCharType="end"/>
      </w:r>
    </w:p>
    <w:p w:rsidR="00D94F5F">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"_Toc481762033" </w:instrText>
      </w:r>
      <w:r>
        <w:fldChar w:fldCharType="separate"/>
      </w:r>
      <w:r w:rsidRPr="00AB279C" w:rsidR="00AE22F3">
        <w:rPr>
          <w:rStyle w:val="Hyperlink"/>
          <w:noProof/>
        </w:rPr>
        <w:t>C.</w:t>
      </w:r>
      <w:r w:rsidR="00AE22F3">
        <w:rPr>
          <w:rFonts w:asciiTheme="minorHAnsi" w:eastAsiaTheme="minorEastAsia" w:hAnsiTheme="minorHAnsi"/>
          <w:noProof/>
          <w:sz w:val="22"/>
        </w:rPr>
        <w:tab/>
      </w:r>
      <w:r w:rsidRPr="00AB279C" w:rsidR="00AE22F3">
        <w:rPr>
          <w:rStyle w:val="Hyperlink"/>
          <w:noProof/>
        </w:rPr>
        <w:t>DP&amp;L charged consumers $673.3 million in “stability charges,” the most recent of which was held to be an illegal transition charge by the Ohio Supreme Court, and now wants to take $315 million more of consumers’ money.</w:t>
      </w:r>
      <w:r w:rsidR="00AE22F3">
        <w:rPr>
          <w:noProof/>
          <w:webHidden/>
        </w:rPr>
        <w:tab/>
      </w:r>
      <w:r w:rsidR="00AE22F3">
        <w:rPr>
          <w:noProof/>
          <w:webHidden/>
        </w:rPr>
        <w:fldChar w:fldCharType="begin"/>
      </w:r>
      <w:r w:rsidR="00AE22F3">
        <w:rPr>
          <w:noProof/>
          <w:webHidden/>
        </w:rPr>
        <w:instrText xml:space="preserve"> PAGEREF _Toc481762033 \h </w:instrText>
      </w:r>
      <w:r w:rsidR="00AE22F3">
        <w:rPr>
          <w:noProof/>
          <w:webHidden/>
        </w:rPr>
        <w:fldChar w:fldCharType="separate"/>
      </w:r>
      <w:r w:rsidR="00AE22F3">
        <w:rPr>
          <w:noProof/>
          <w:webHidden/>
        </w:rPr>
        <w:t>7</w:t>
      </w:r>
      <w:r w:rsidR="00AE22F3">
        <w:rPr>
          <w:noProof/>
          <w:webHidden/>
        </w:rPr>
        <w:fldChar w:fldCharType="end"/>
      </w:r>
      <w:r>
        <w:fldChar w:fldCharType="end"/>
      </w:r>
    </w:p>
    <w:p w:rsidR="00D94F5F">
      <w:pPr>
        <w:pStyle w:val="TOC1"/>
        <w:tabs>
          <w:tab w:val="right" w:leader="dot" w:pos="8630"/>
        </w:tabs>
        <w:rPr>
          <w:rFonts w:asciiTheme="minorHAnsi" w:eastAsiaTheme="minorEastAsia" w:hAnsiTheme="minorHAnsi"/>
          <w:noProof/>
          <w:sz w:val="22"/>
        </w:rPr>
      </w:pPr>
      <w:r>
        <w:fldChar w:fldCharType="begin"/>
      </w:r>
      <w:r>
        <w:instrText xml:space="preserve"> HYPERLINK \l "_Toc481762034" </w:instrText>
      </w:r>
      <w:r>
        <w:fldChar w:fldCharType="separate"/>
      </w:r>
      <w:r w:rsidRPr="00AB279C" w:rsidR="00AE22F3">
        <w:rPr>
          <w:rStyle w:val="Hyperlink"/>
          <w:noProof/>
        </w:rPr>
        <w:t xml:space="preserve">III. </w:t>
      </w:r>
      <w:r w:rsidR="00AE22F3">
        <w:rPr>
          <w:rFonts w:asciiTheme="minorHAnsi" w:eastAsiaTheme="minorEastAsia" w:hAnsiTheme="minorHAnsi"/>
          <w:noProof/>
          <w:sz w:val="22"/>
        </w:rPr>
        <w:tab/>
      </w:r>
      <w:r w:rsidRPr="00AB279C" w:rsidR="00AE22F3">
        <w:rPr>
          <w:rStyle w:val="Hyperlink"/>
          <w:noProof/>
        </w:rPr>
        <w:t>STANDARD OF REVIEW</w:t>
      </w:r>
      <w:r w:rsidR="00AE22F3">
        <w:rPr>
          <w:noProof/>
          <w:webHidden/>
        </w:rPr>
        <w:tab/>
      </w:r>
      <w:r w:rsidR="00AE22F3">
        <w:rPr>
          <w:noProof/>
          <w:webHidden/>
        </w:rPr>
        <w:fldChar w:fldCharType="begin"/>
      </w:r>
      <w:r w:rsidR="00AE22F3">
        <w:rPr>
          <w:noProof/>
          <w:webHidden/>
        </w:rPr>
        <w:instrText xml:space="preserve"> PAGEREF _Toc481762034 \h </w:instrText>
      </w:r>
      <w:r w:rsidR="00AE22F3">
        <w:rPr>
          <w:noProof/>
          <w:webHidden/>
        </w:rPr>
        <w:fldChar w:fldCharType="separate"/>
      </w:r>
      <w:r w:rsidR="00AE22F3">
        <w:rPr>
          <w:noProof/>
          <w:webHidden/>
        </w:rPr>
        <w:t>9</w:t>
      </w:r>
      <w:r w:rsidR="00AE22F3">
        <w:rPr>
          <w:noProof/>
          <w:webHidden/>
        </w:rPr>
        <w:fldChar w:fldCharType="end"/>
      </w:r>
      <w:r>
        <w:fldChar w:fldCharType="end"/>
      </w:r>
    </w:p>
    <w:p w:rsidR="00D94F5F">
      <w:pPr>
        <w:pStyle w:val="TOC1"/>
        <w:tabs>
          <w:tab w:val="right" w:leader="dot" w:pos="8630"/>
        </w:tabs>
        <w:rPr>
          <w:rFonts w:asciiTheme="minorHAnsi" w:eastAsiaTheme="minorEastAsia" w:hAnsiTheme="minorHAnsi"/>
          <w:noProof/>
          <w:sz w:val="22"/>
        </w:rPr>
      </w:pPr>
      <w:r>
        <w:fldChar w:fldCharType="begin"/>
      </w:r>
      <w:r>
        <w:instrText xml:space="preserve"> HYPERLINK \l "_Toc481762035" </w:instrText>
      </w:r>
      <w:r>
        <w:fldChar w:fldCharType="separate"/>
      </w:r>
      <w:r w:rsidRPr="00AB279C" w:rsidR="00AE22F3">
        <w:rPr>
          <w:rStyle w:val="Hyperlink"/>
          <w:noProof/>
        </w:rPr>
        <w:t>IV.</w:t>
      </w:r>
      <w:r w:rsidR="00AE22F3">
        <w:rPr>
          <w:rFonts w:asciiTheme="minorHAnsi" w:eastAsiaTheme="minorEastAsia" w:hAnsiTheme="minorHAnsi"/>
          <w:noProof/>
          <w:sz w:val="22"/>
        </w:rPr>
        <w:tab/>
      </w:r>
      <w:r w:rsidRPr="00AB279C" w:rsidR="00AE22F3">
        <w:rPr>
          <w:rStyle w:val="Hyperlink"/>
          <w:noProof/>
        </w:rPr>
        <w:t>RECOMMENDATIONS</w:t>
      </w:r>
      <w:r w:rsidR="00AE22F3">
        <w:rPr>
          <w:noProof/>
          <w:webHidden/>
        </w:rPr>
        <w:tab/>
      </w:r>
      <w:r w:rsidR="00AE22F3">
        <w:rPr>
          <w:noProof/>
          <w:webHidden/>
        </w:rPr>
        <w:fldChar w:fldCharType="begin"/>
      </w:r>
      <w:r w:rsidR="00AE22F3">
        <w:rPr>
          <w:noProof/>
          <w:webHidden/>
        </w:rPr>
        <w:instrText xml:space="preserve"> PAGEREF _Toc481762035 \h </w:instrText>
      </w:r>
      <w:r w:rsidR="00AE22F3">
        <w:rPr>
          <w:noProof/>
          <w:webHidden/>
        </w:rPr>
        <w:fldChar w:fldCharType="separate"/>
      </w:r>
      <w:r w:rsidR="00AE22F3">
        <w:rPr>
          <w:noProof/>
          <w:webHidden/>
        </w:rPr>
        <w:t>12</w:t>
      </w:r>
      <w:r w:rsidR="00AE22F3">
        <w:rPr>
          <w:noProof/>
          <w:webHidden/>
        </w:rPr>
        <w:fldChar w:fldCharType="end"/>
      </w:r>
      <w:r>
        <w:fldChar w:fldCharType="end"/>
      </w:r>
    </w:p>
    <w:p w:rsidR="00D94F5F">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"_Toc481762036" </w:instrText>
      </w:r>
      <w:r>
        <w:fldChar w:fldCharType="separate"/>
      </w:r>
      <w:r w:rsidRPr="00AB279C" w:rsidR="00AE22F3">
        <w:rPr>
          <w:rStyle w:val="Hyperlink"/>
          <w:noProof/>
        </w:rPr>
        <w:t xml:space="preserve">A. </w:t>
      </w:r>
      <w:r w:rsidR="00AE22F3">
        <w:rPr>
          <w:rFonts w:asciiTheme="minorHAnsi" w:eastAsiaTheme="minorEastAsia" w:hAnsiTheme="minorHAnsi"/>
          <w:noProof/>
          <w:sz w:val="22"/>
        </w:rPr>
        <w:tab/>
      </w:r>
      <w:r w:rsidRPr="00AB279C" w:rsidR="00AE22F3">
        <w:rPr>
          <w:rStyle w:val="Hyperlink"/>
          <w:noProof/>
        </w:rPr>
        <w:t>The DMR and Reconciliation Riders are illegal transition charges or equivalent revenues that should be rejected to protect consumers.</w:t>
      </w:r>
      <w:r w:rsidR="00AE22F3">
        <w:rPr>
          <w:noProof/>
          <w:webHidden/>
        </w:rPr>
        <w:tab/>
      </w:r>
      <w:r w:rsidR="00AE22F3">
        <w:rPr>
          <w:noProof/>
          <w:webHidden/>
        </w:rPr>
        <w:fldChar w:fldCharType="begin"/>
      </w:r>
      <w:r w:rsidR="00AE22F3">
        <w:rPr>
          <w:noProof/>
          <w:webHidden/>
        </w:rPr>
        <w:instrText xml:space="preserve"> PAGEREF _Toc481762036 \h </w:instrText>
      </w:r>
      <w:r w:rsidR="00AE22F3">
        <w:rPr>
          <w:noProof/>
          <w:webHidden/>
        </w:rPr>
        <w:fldChar w:fldCharType="separate"/>
      </w:r>
      <w:r w:rsidR="00AE22F3">
        <w:rPr>
          <w:noProof/>
          <w:webHidden/>
        </w:rPr>
        <w:t>12</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"_Toc481762037" </w:instrText>
      </w:r>
      <w:r>
        <w:fldChar w:fldCharType="separate"/>
      </w:r>
      <w:r w:rsidRPr="00AB279C" w:rsidR="00AE22F3">
        <w:rPr>
          <w:rStyle w:val="Hyperlink"/>
          <w:noProof/>
        </w:rPr>
        <w:t>1.</w:t>
      </w:r>
      <w:r w:rsidR="00AE22F3">
        <w:rPr>
          <w:rFonts w:asciiTheme="minorHAnsi" w:eastAsiaTheme="minorEastAsia" w:hAnsiTheme="minorHAnsi"/>
          <w:noProof/>
          <w:sz w:val="22"/>
        </w:rPr>
        <w:tab/>
      </w:r>
      <w:r w:rsidRPr="00AB279C" w:rsidR="00AE22F3">
        <w:rPr>
          <w:rStyle w:val="Hyperlink"/>
          <w:noProof/>
        </w:rPr>
        <w:t>Approximately $1 billion in debt at DPL is linked to AES’s acquisition of DP&amp;L, including DP&amp;L’s generation assets, and DP&amp;L is asking consumers to pay that debt.</w:t>
      </w:r>
      <w:r w:rsidR="00AE22F3">
        <w:rPr>
          <w:noProof/>
          <w:webHidden/>
        </w:rPr>
        <w:tab/>
      </w:r>
      <w:r w:rsidR="00AE22F3">
        <w:rPr>
          <w:noProof/>
          <w:webHidden/>
        </w:rPr>
        <w:fldChar w:fldCharType="begin"/>
      </w:r>
      <w:r w:rsidR="00AE22F3">
        <w:rPr>
          <w:noProof/>
          <w:webHidden/>
        </w:rPr>
        <w:instrText xml:space="preserve"> PAGEREF _Toc481762037 \h </w:instrText>
      </w:r>
      <w:r w:rsidR="00AE22F3">
        <w:rPr>
          <w:noProof/>
          <w:webHidden/>
        </w:rPr>
        <w:fldChar w:fldCharType="separate"/>
      </w:r>
      <w:r w:rsidR="00AE22F3">
        <w:rPr>
          <w:noProof/>
          <w:webHidden/>
        </w:rPr>
        <w:t>12</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"_Toc481762038" </w:instrText>
      </w:r>
      <w:r>
        <w:fldChar w:fldCharType="separate"/>
      </w:r>
      <w:r w:rsidRPr="00AB279C" w:rsidR="00AE22F3">
        <w:rPr>
          <w:rStyle w:val="Hyperlink"/>
          <w:noProof/>
        </w:rPr>
        <w:t xml:space="preserve">2. </w:t>
      </w:r>
      <w:r w:rsidR="00AE22F3">
        <w:rPr>
          <w:rFonts w:asciiTheme="minorHAnsi" w:eastAsiaTheme="minorEastAsia" w:hAnsiTheme="minorHAnsi"/>
          <w:noProof/>
          <w:sz w:val="22"/>
        </w:rPr>
        <w:tab/>
      </w:r>
      <w:r w:rsidRPr="00AB279C" w:rsidR="00AE22F3">
        <w:rPr>
          <w:rStyle w:val="Hyperlink"/>
          <w:noProof/>
        </w:rPr>
        <w:t>The approximately $1 billion in debt cannot be repaid because revenue from unregulated generation assets is not enough – but consumers should not bail out the generation assets.</w:t>
      </w:r>
      <w:r w:rsidR="00AE22F3">
        <w:rPr>
          <w:noProof/>
          <w:webHidden/>
        </w:rPr>
        <w:tab/>
      </w:r>
      <w:r w:rsidR="00AE22F3">
        <w:rPr>
          <w:noProof/>
          <w:webHidden/>
        </w:rPr>
        <w:fldChar w:fldCharType="begin"/>
      </w:r>
      <w:r w:rsidR="00AE22F3">
        <w:rPr>
          <w:noProof/>
          <w:webHidden/>
        </w:rPr>
        <w:instrText xml:space="preserve"> PAGEREF _Toc481762038 \h </w:instrText>
      </w:r>
      <w:r w:rsidR="00AE22F3">
        <w:rPr>
          <w:noProof/>
          <w:webHidden/>
        </w:rPr>
        <w:fldChar w:fldCharType="separate"/>
      </w:r>
      <w:r w:rsidR="00AE22F3">
        <w:rPr>
          <w:noProof/>
          <w:webHidden/>
        </w:rPr>
        <w:t>13</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"_Toc481762039" </w:instrText>
      </w:r>
      <w:r>
        <w:fldChar w:fldCharType="separate"/>
      </w:r>
      <w:r w:rsidRPr="00AB279C" w:rsidR="00AE22F3">
        <w:rPr>
          <w:rStyle w:val="Hyperlink"/>
          <w:noProof/>
        </w:rPr>
        <w:t>3.</w:t>
      </w:r>
      <w:r w:rsidR="00AE22F3">
        <w:rPr>
          <w:rFonts w:asciiTheme="minorHAnsi" w:eastAsiaTheme="minorEastAsia" w:hAnsiTheme="minorHAnsi"/>
          <w:noProof/>
          <w:sz w:val="22"/>
        </w:rPr>
        <w:tab/>
      </w:r>
      <w:r w:rsidRPr="00AB279C" w:rsidR="00AE22F3">
        <w:rPr>
          <w:rStyle w:val="Hyperlink"/>
          <w:noProof/>
        </w:rPr>
        <w:t>The DMR revenues needed to pay DP&amp;L and DPL’s bills are caused by their financially underperforming generation assets, so DMR clearly and illegally would charge consumers for transition or any equivalent revenues.</w:t>
      </w:r>
      <w:r w:rsidR="00AE22F3">
        <w:rPr>
          <w:noProof/>
          <w:webHidden/>
        </w:rPr>
        <w:tab/>
      </w:r>
      <w:r w:rsidR="00AE22F3">
        <w:rPr>
          <w:noProof/>
          <w:webHidden/>
        </w:rPr>
        <w:fldChar w:fldCharType="begin"/>
      </w:r>
      <w:r w:rsidR="00AE22F3">
        <w:rPr>
          <w:noProof/>
          <w:webHidden/>
        </w:rPr>
        <w:instrText xml:space="preserve"> PAGEREF _Toc481762039 \h </w:instrText>
      </w:r>
      <w:r w:rsidR="00AE22F3">
        <w:rPr>
          <w:noProof/>
          <w:webHidden/>
        </w:rPr>
        <w:fldChar w:fldCharType="separate"/>
      </w:r>
      <w:r w:rsidR="00AE22F3">
        <w:rPr>
          <w:noProof/>
          <w:webHidden/>
        </w:rPr>
        <w:t>16</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"_Toc481762040" </w:instrText>
      </w:r>
      <w:r>
        <w:fldChar w:fldCharType="separate"/>
      </w:r>
      <w:r w:rsidRPr="00AB279C" w:rsidR="00AE22F3">
        <w:rPr>
          <w:rStyle w:val="Hyperlink"/>
          <w:noProof/>
        </w:rPr>
        <w:t>4.</w:t>
      </w:r>
      <w:r w:rsidR="00AE22F3">
        <w:rPr>
          <w:rFonts w:asciiTheme="minorHAnsi" w:eastAsiaTheme="minorEastAsia" w:hAnsiTheme="minorHAnsi"/>
          <w:noProof/>
          <w:sz w:val="22"/>
        </w:rPr>
        <w:tab/>
      </w:r>
      <w:r w:rsidRPr="00AB279C" w:rsidR="00AE22F3">
        <w:rPr>
          <w:rStyle w:val="Hyperlink"/>
          <w:noProof/>
        </w:rPr>
        <w:t>The DMR paid for by distribution customers allows DP&amp;L to collect generation-related costs, violating R.C. 4928.08(H) to consumers’ detriment.</w:t>
      </w:r>
      <w:r w:rsidR="00AE22F3">
        <w:rPr>
          <w:noProof/>
          <w:webHidden/>
        </w:rPr>
        <w:tab/>
      </w:r>
      <w:r w:rsidR="00AE22F3">
        <w:rPr>
          <w:noProof/>
          <w:webHidden/>
        </w:rPr>
        <w:fldChar w:fldCharType="begin"/>
      </w:r>
      <w:r w:rsidR="00AE22F3">
        <w:rPr>
          <w:noProof/>
          <w:webHidden/>
        </w:rPr>
        <w:instrText xml:space="preserve"> PAGEREF _Toc481762040 \h </w:instrText>
      </w:r>
      <w:r w:rsidR="00AE22F3">
        <w:rPr>
          <w:noProof/>
          <w:webHidden/>
        </w:rPr>
        <w:fldChar w:fldCharType="separate"/>
      </w:r>
      <w:r w:rsidR="00AE22F3">
        <w:rPr>
          <w:noProof/>
          <w:webHidden/>
        </w:rPr>
        <w:t>18</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"_Toc481762041" </w:instrText>
      </w:r>
      <w:r>
        <w:fldChar w:fldCharType="separate"/>
      </w:r>
      <w:r w:rsidRPr="00AB279C" w:rsidR="00AE22F3">
        <w:rPr>
          <w:rStyle w:val="Hyperlink"/>
          <w:noProof/>
        </w:rPr>
        <w:t>5.</w:t>
      </w:r>
      <w:r w:rsidR="00AE22F3">
        <w:rPr>
          <w:rFonts w:asciiTheme="minorHAnsi" w:eastAsiaTheme="minorEastAsia" w:hAnsiTheme="minorHAnsi"/>
          <w:noProof/>
          <w:sz w:val="22"/>
        </w:rPr>
        <w:tab/>
      </w:r>
      <w:r w:rsidRPr="00AB279C" w:rsidR="00AE22F3">
        <w:rPr>
          <w:rStyle w:val="Hyperlink"/>
          <w:noProof/>
        </w:rPr>
        <w:t>The Reconciliation Rider is also an illegal transition charge that should be rejected.</w:t>
      </w:r>
      <w:r w:rsidR="00AE22F3">
        <w:rPr>
          <w:noProof/>
          <w:webHidden/>
        </w:rPr>
        <w:tab/>
      </w:r>
      <w:r w:rsidR="00AE22F3">
        <w:rPr>
          <w:noProof/>
          <w:webHidden/>
        </w:rPr>
        <w:fldChar w:fldCharType="begin"/>
      </w:r>
      <w:r w:rsidR="00AE22F3">
        <w:rPr>
          <w:noProof/>
          <w:webHidden/>
        </w:rPr>
        <w:instrText xml:space="preserve"> PAGEREF _Toc481762041 \h </w:instrText>
      </w:r>
      <w:r w:rsidR="00AE22F3">
        <w:rPr>
          <w:noProof/>
          <w:webHidden/>
        </w:rPr>
        <w:fldChar w:fldCharType="separate"/>
      </w:r>
      <w:r w:rsidR="00AE22F3">
        <w:rPr>
          <w:noProof/>
          <w:webHidden/>
        </w:rPr>
        <w:t>20</w:t>
      </w:r>
      <w:r w:rsidR="00AE22F3">
        <w:rPr>
          <w:noProof/>
          <w:webHidden/>
        </w:rPr>
        <w:fldChar w:fldCharType="end"/>
      </w:r>
      <w:r>
        <w:fldChar w:fldCharType="end"/>
      </w:r>
    </w:p>
    <w:p w:rsidR="00D94F5F">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"_Toc481762042" </w:instrText>
      </w:r>
      <w:r>
        <w:fldChar w:fldCharType="separate"/>
      </w:r>
      <w:r w:rsidRPr="00AB279C" w:rsidR="00AE22F3">
        <w:rPr>
          <w:rStyle w:val="Hyperlink"/>
          <w:noProof/>
        </w:rPr>
        <w:t>B.</w:t>
      </w:r>
      <w:r w:rsidR="00AE22F3">
        <w:rPr>
          <w:rFonts w:asciiTheme="minorHAnsi" w:eastAsiaTheme="minorEastAsia" w:hAnsiTheme="minorHAnsi"/>
          <w:noProof/>
          <w:sz w:val="22"/>
        </w:rPr>
        <w:tab/>
      </w:r>
      <w:r w:rsidRPr="00AB279C" w:rsidR="00AE22F3">
        <w:rPr>
          <w:rStyle w:val="Hyperlink"/>
          <w:noProof/>
        </w:rPr>
        <w:t>The Settlement does not meet the PUCO’s three-prong test for analyzing the reasonableness of a stipulation and thus harms consumers.</w:t>
      </w:r>
      <w:r w:rsidR="00AE22F3">
        <w:rPr>
          <w:noProof/>
          <w:webHidden/>
        </w:rPr>
        <w:tab/>
      </w:r>
      <w:r w:rsidR="00AE22F3">
        <w:rPr>
          <w:noProof/>
          <w:webHidden/>
        </w:rPr>
        <w:fldChar w:fldCharType="begin"/>
      </w:r>
      <w:r w:rsidR="00AE22F3">
        <w:rPr>
          <w:noProof/>
          <w:webHidden/>
        </w:rPr>
        <w:instrText xml:space="preserve"> PAGEREF _Toc481762042 \h </w:instrText>
      </w:r>
      <w:r w:rsidR="00AE22F3">
        <w:rPr>
          <w:noProof/>
          <w:webHidden/>
        </w:rPr>
        <w:fldChar w:fldCharType="separate"/>
      </w:r>
      <w:r w:rsidR="00AE22F3">
        <w:rPr>
          <w:noProof/>
          <w:webHidden/>
        </w:rPr>
        <w:t>21</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"_Toc481762043" </w:instrText>
      </w:r>
      <w:r>
        <w:fldChar w:fldCharType="separate"/>
      </w:r>
      <w:r w:rsidRPr="00AB279C" w:rsidR="00AE22F3">
        <w:rPr>
          <w:rStyle w:val="Hyperlink"/>
          <w:noProof/>
        </w:rPr>
        <w:t>1.</w:t>
      </w:r>
      <w:r w:rsidR="00AE22F3">
        <w:rPr>
          <w:rFonts w:asciiTheme="minorHAnsi" w:eastAsiaTheme="minorEastAsia" w:hAnsiTheme="minorHAnsi"/>
          <w:noProof/>
          <w:sz w:val="22"/>
        </w:rPr>
        <w:tab/>
      </w:r>
      <w:r w:rsidRPr="00AB279C" w:rsidR="00AE22F3">
        <w:rPr>
          <w:rStyle w:val="Hyperlink"/>
          <w:noProof/>
        </w:rPr>
        <w:t>The Settlement is not the product of serious bargaining among capable, knowledgeable parties.</w:t>
      </w:r>
      <w:r w:rsidR="00AE22F3">
        <w:rPr>
          <w:noProof/>
          <w:webHidden/>
        </w:rPr>
        <w:tab/>
      </w:r>
      <w:r w:rsidR="00AE22F3">
        <w:rPr>
          <w:noProof/>
          <w:webHidden/>
        </w:rPr>
        <w:fldChar w:fldCharType="begin"/>
      </w:r>
      <w:r w:rsidR="00AE22F3">
        <w:rPr>
          <w:noProof/>
          <w:webHidden/>
        </w:rPr>
        <w:instrText xml:space="preserve"> PAGEREF _Toc481762043 \h </w:instrText>
      </w:r>
      <w:r w:rsidR="00AE22F3">
        <w:rPr>
          <w:noProof/>
          <w:webHidden/>
        </w:rPr>
        <w:fldChar w:fldCharType="separate"/>
      </w:r>
      <w:r w:rsidR="00AE22F3">
        <w:rPr>
          <w:noProof/>
          <w:webHidden/>
        </w:rPr>
        <w:t>21</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"_Toc481762044" </w:instrText>
      </w:r>
      <w:r>
        <w:fldChar w:fldCharType="separate"/>
      </w:r>
      <w:r w:rsidRPr="00AB279C" w:rsidR="00AE22F3">
        <w:rPr>
          <w:rStyle w:val="Hyperlink"/>
          <w:noProof/>
        </w:rPr>
        <w:t>a.</w:t>
      </w:r>
      <w:r w:rsidR="00AE22F3">
        <w:rPr>
          <w:rFonts w:asciiTheme="minorHAnsi" w:eastAsiaTheme="minorEastAsia" w:hAnsiTheme="minorHAnsi"/>
          <w:noProof/>
          <w:sz w:val="22"/>
        </w:rPr>
        <w:tab/>
      </w:r>
      <w:r w:rsidRPr="00AB279C" w:rsidR="00AE22F3">
        <w:rPr>
          <w:rStyle w:val="Hyperlink"/>
          <w:noProof/>
        </w:rPr>
        <w:t>The Settlement is not supported by a diversity of interests.</w:t>
      </w:r>
      <w:r w:rsidR="00AE22F3">
        <w:rPr>
          <w:noProof/>
          <w:webHidden/>
        </w:rPr>
        <w:tab/>
      </w:r>
      <w:r w:rsidR="00AE22F3">
        <w:rPr>
          <w:noProof/>
          <w:webHidden/>
        </w:rPr>
        <w:fldChar w:fldCharType="begin"/>
      </w:r>
      <w:r w:rsidR="00AE22F3">
        <w:rPr>
          <w:noProof/>
          <w:webHidden/>
        </w:rPr>
        <w:instrText xml:space="preserve"> PAGEREF _Toc481762044 \h </w:instrText>
      </w:r>
      <w:r w:rsidR="00AE22F3">
        <w:rPr>
          <w:noProof/>
          <w:webHidden/>
        </w:rPr>
        <w:fldChar w:fldCharType="separate"/>
      </w:r>
      <w:r w:rsidR="00AE22F3">
        <w:rPr>
          <w:noProof/>
          <w:webHidden/>
        </w:rPr>
        <w:t>21</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"_Toc481762045" </w:instrText>
      </w:r>
      <w:r>
        <w:fldChar w:fldCharType="separate"/>
      </w:r>
      <w:r w:rsidRPr="00AB279C" w:rsidR="00AE22F3">
        <w:rPr>
          <w:rStyle w:val="Hyperlink"/>
          <w:noProof/>
        </w:rPr>
        <w:t>b.</w:t>
      </w:r>
      <w:r w:rsidR="00AE22F3">
        <w:rPr>
          <w:rFonts w:asciiTheme="minorHAnsi" w:eastAsiaTheme="minorEastAsia" w:hAnsiTheme="minorHAnsi"/>
          <w:noProof/>
          <w:sz w:val="22"/>
        </w:rPr>
        <w:tab/>
      </w:r>
      <w:r w:rsidRPr="00AB279C" w:rsidR="00AE22F3">
        <w:rPr>
          <w:rStyle w:val="Hyperlink"/>
          <w:noProof/>
        </w:rPr>
        <w:t>The Settlement was not the product of serious bargaining, but instead handouts from DP&amp;L to parties in return for their support or non-opposition, thereby harming consumers.</w:t>
      </w:r>
      <w:r w:rsidR="00AE22F3">
        <w:rPr>
          <w:noProof/>
          <w:webHidden/>
        </w:rPr>
        <w:tab/>
      </w:r>
      <w:r w:rsidR="00AE22F3">
        <w:rPr>
          <w:noProof/>
          <w:webHidden/>
        </w:rPr>
        <w:fldChar w:fldCharType="begin"/>
      </w:r>
      <w:r w:rsidR="00AE22F3">
        <w:rPr>
          <w:noProof/>
          <w:webHidden/>
        </w:rPr>
        <w:instrText xml:space="preserve"> PAGEREF _Toc481762045 \h </w:instrText>
      </w:r>
      <w:r w:rsidR="00AE22F3">
        <w:rPr>
          <w:noProof/>
          <w:webHidden/>
        </w:rPr>
        <w:fldChar w:fldCharType="separate"/>
      </w:r>
      <w:r w:rsidR="00AE22F3">
        <w:rPr>
          <w:noProof/>
          <w:webHidden/>
        </w:rPr>
        <w:t>24</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"_Toc481762046" </w:instrText>
      </w:r>
      <w:r>
        <w:fldChar w:fldCharType="separate"/>
      </w:r>
      <w:r w:rsidRPr="00AB279C" w:rsidR="00AE22F3">
        <w:rPr>
          <w:rStyle w:val="Hyperlink"/>
          <w:noProof/>
        </w:rPr>
        <w:t>2.</w:t>
      </w:r>
      <w:r w:rsidR="00AE22F3">
        <w:rPr>
          <w:rFonts w:asciiTheme="minorHAnsi" w:eastAsiaTheme="minorEastAsia" w:hAnsiTheme="minorHAnsi"/>
          <w:noProof/>
          <w:sz w:val="22"/>
        </w:rPr>
        <w:tab/>
      </w:r>
      <w:r w:rsidRPr="00AB279C" w:rsidR="00AE22F3">
        <w:rPr>
          <w:rStyle w:val="Hyperlink"/>
          <w:noProof/>
        </w:rPr>
        <w:t>The Settlement, as a package, does not benefit customers or the public interest.</w:t>
      </w:r>
      <w:r w:rsidR="00AE22F3">
        <w:rPr>
          <w:noProof/>
          <w:webHidden/>
        </w:rPr>
        <w:tab/>
      </w:r>
      <w:r w:rsidR="00AE22F3">
        <w:rPr>
          <w:noProof/>
          <w:webHidden/>
        </w:rPr>
        <w:fldChar w:fldCharType="begin"/>
      </w:r>
      <w:r w:rsidR="00AE22F3">
        <w:rPr>
          <w:noProof/>
          <w:webHidden/>
        </w:rPr>
        <w:instrText xml:space="preserve"> PAGEREF _Toc481762046 \h </w:instrText>
      </w:r>
      <w:r w:rsidR="00AE22F3">
        <w:rPr>
          <w:noProof/>
          <w:webHidden/>
        </w:rPr>
        <w:fldChar w:fldCharType="separate"/>
      </w:r>
      <w:r w:rsidR="00AE22F3">
        <w:rPr>
          <w:noProof/>
          <w:webHidden/>
        </w:rPr>
        <w:t>24</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"_Toc481762047" </w:instrText>
      </w:r>
      <w:r>
        <w:fldChar w:fldCharType="separate"/>
      </w:r>
      <w:r w:rsidRPr="00AB279C" w:rsidR="00AE22F3">
        <w:rPr>
          <w:rStyle w:val="Hyperlink"/>
          <w:noProof/>
        </w:rPr>
        <w:t xml:space="preserve">a. </w:t>
      </w:r>
      <w:r w:rsidR="00AE22F3">
        <w:rPr>
          <w:rFonts w:asciiTheme="minorHAnsi" w:eastAsiaTheme="minorEastAsia" w:hAnsiTheme="minorHAnsi"/>
          <w:noProof/>
          <w:sz w:val="22"/>
        </w:rPr>
        <w:tab/>
      </w:r>
      <w:r w:rsidRPr="00AB279C" w:rsidR="00AE22F3">
        <w:rPr>
          <w:rStyle w:val="Hyperlink"/>
          <w:noProof/>
        </w:rPr>
        <w:t>Customers will be worse off if the Settlement is approved.</w:t>
      </w:r>
      <w:r w:rsidR="00AE22F3">
        <w:rPr>
          <w:noProof/>
          <w:webHidden/>
        </w:rPr>
        <w:tab/>
      </w:r>
      <w:r w:rsidR="00AE22F3">
        <w:rPr>
          <w:noProof/>
          <w:webHidden/>
        </w:rPr>
        <w:fldChar w:fldCharType="begin"/>
      </w:r>
      <w:r w:rsidR="00AE22F3">
        <w:rPr>
          <w:noProof/>
          <w:webHidden/>
        </w:rPr>
        <w:instrText xml:space="preserve"> PAGEREF _Toc481762047 \h </w:instrText>
      </w:r>
      <w:r w:rsidR="00AE22F3">
        <w:rPr>
          <w:noProof/>
          <w:webHidden/>
        </w:rPr>
        <w:fldChar w:fldCharType="separate"/>
      </w:r>
      <w:r w:rsidR="00AE22F3">
        <w:rPr>
          <w:noProof/>
          <w:webHidden/>
        </w:rPr>
        <w:t>24</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"_Toc481762048" </w:instrText>
      </w:r>
      <w:r>
        <w:fldChar w:fldCharType="separate"/>
      </w:r>
      <w:r w:rsidRPr="00AB279C" w:rsidR="00AE22F3">
        <w:rPr>
          <w:rStyle w:val="Hyperlink"/>
          <w:noProof/>
        </w:rPr>
        <w:t>b.</w:t>
      </w:r>
      <w:r w:rsidR="00AE22F3">
        <w:rPr>
          <w:rFonts w:asciiTheme="minorHAnsi" w:eastAsiaTheme="minorEastAsia" w:hAnsiTheme="minorHAnsi"/>
          <w:noProof/>
          <w:sz w:val="22"/>
        </w:rPr>
        <w:tab/>
      </w:r>
      <w:r w:rsidRPr="00AB279C" w:rsidR="00AE22F3">
        <w:rPr>
          <w:rStyle w:val="Hyperlink"/>
          <w:noProof/>
        </w:rPr>
        <w:t>The proposed Settlement shoulders consumers with a burden that should be borne by AES, and is therefore not in the public interest.</w:t>
      </w:r>
      <w:r w:rsidR="00AE22F3">
        <w:rPr>
          <w:noProof/>
          <w:webHidden/>
        </w:rPr>
        <w:tab/>
      </w:r>
      <w:r w:rsidR="00AE22F3">
        <w:rPr>
          <w:noProof/>
          <w:webHidden/>
        </w:rPr>
        <w:fldChar w:fldCharType="begin"/>
      </w:r>
      <w:r w:rsidR="00AE22F3">
        <w:rPr>
          <w:noProof/>
          <w:webHidden/>
        </w:rPr>
        <w:instrText xml:space="preserve"> PAGEREF _Toc481762048 \h </w:instrText>
      </w:r>
      <w:r w:rsidR="00AE22F3">
        <w:rPr>
          <w:noProof/>
          <w:webHidden/>
        </w:rPr>
        <w:fldChar w:fldCharType="separate"/>
      </w:r>
      <w:r w:rsidR="00AE22F3">
        <w:rPr>
          <w:noProof/>
          <w:webHidden/>
        </w:rPr>
        <w:t>26</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"_Toc481762049" </w:instrText>
      </w:r>
      <w:r>
        <w:fldChar w:fldCharType="separate"/>
      </w:r>
      <w:r w:rsidRPr="00AB279C" w:rsidR="00AE22F3">
        <w:rPr>
          <w:rStyle w:val="Hyperlink"/>
          <w:noProof/>
        </w:rPr>
        <w:t>c.</w:t>
      </w:r>
      <w:r w:rsidR="00AE22F3">
        <w:rPr>
          <w:rFonts w:asciiTheme="minorHAnsi" w:eastAsiaTheme="minorEastAsia" w:hAnsiTheme="minorHAnsi"/>
          <w:noProof/>
          <w:sz w:val="22"/>
        </w:rPr>
        <w:tab/>
      </w:r>
      <w:r w:rsidRPr="00AB279C" w:rsidR="00AE22F3">
        <w:rPr>
          <w:rStyle w:val="Hyperlink"/>
          <w:noProof/>
        </w:rPr>
        <w:t>AES, DPL, and DP&amp;L promised the PUCO that they would not charge consumers for the merger debt.</w:t>
      </w:r>
      <w:r w:rsidR="00AE22F3">
        <w:rPr>
          <w:noProof/>
          <w:webHidden/>
        </w:rPr>
        <w:tab/>
      </w:r>
      <w:r w:rsidR="00AE22F3">
        <w:rPr>
          <w:noProof/>
          <w:webHidden/>
        </w:rPr>
        <w:fldChar w:fldCharType="begin"/>
      </w:r>
      <w:r w:rsidR="00AE22F3">
        <w:rPr>
          <w:noProof/>
          <w:webHidden/>
        </w:rPr>
        <w:instrText xml:space="preserve"> PAGEREF _Toc481762049 \h </w:instrText>
      </w:r>
      <w:r w:rsidR="00AE22F3">
        <w:rPr>
          <w:noProof/>
          <w:webHidden/>
        </w:rPr>
        <w:fldChar w:fldCharType="separate"/>
      </w:r>
      <w:r w:rsidR="00AE22F3">
        <w:rPr>
          <w:noProof/>
          <w:webHidden/>
        </w:rPr>
        <w:t>27</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"_Toc481762050" </w:instrText>
      </w:r>
      <w:r>
        <w:fldChar w:fldCharType="separate"/>
      </w:r>
      <w:r w:rsidRPr="00AB279C" w:rsidR="00AE22F3">
        <w:rPr>
          <w:rStyle w:val="Hyperlink"/>
          <w:noProof/>
        </w:rPr>
        <w:t>d.</w:t>
      </w:r>
      <w:r w:rsidR="00AE22F3">
        <w:rPr>
          <w:rFonts w:asciiTheme="minorHAnsi" w:eastAsiaTheme="minorEastAsia" w:hAnsiTheme="minorHAnsi"/>
          <w:noProof/>
          <w:sz w:val="22"/>
        </w:rPr>
        <w:tab/>
      </w:r>
      <w:r w:rsidRPr="00AB279C" w:rsidR="00AE22F3">
        <w:rPr>
          <w:rStyle w:val="Hyperlink"/>
          <w:noProof/>
        </w:rPr>
        <w:t>AES is not making any commitments in the Settlement that benefit the public interest.</w:t>
      </w:r>
      <w:r w:rsidR="00AE22F3">
        <w:rPr>
          <w:noProof/>
          <w:webHidden/>
        </w:rPr>
        <w:tab/>
      </w:r>
      <w:r w:rsidR="00AE22F3">
        <w:rPr>
          <w:noProof/>
          <w:webHidden/>
        </w:rPr>
        <w:fldChar w:fldCharType="begin"/>
      </w:r>
      <w:r w:rsidR="00AE22F3">
        <w:rPr>
          <w:noProof/>
          <w:webHidden/>
        </w:rPr>
        <w:instrText xml:space="preserve"> PAGEREF _Toc481762050 \h </w:instrText>
      </w:r>
      <w:r w:rsidR="00AE22F3">
        <w:rPr>
          <w:noProof/>
          <w:webHidden/>
        </w:rPr>
        <w:fldChar w:fldCharType="separate"/>
      </w:r>
      <w:r w:rsidR="00AE22F3">
        <w:rPr>
          <w:noProof/>
          <w:webHidden/>
        </w:rPr>
        <w:t>28</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"_Toc481762051" </w:instrText>
      </w:r>
      <w:r>
        <w:fldChar w:fldCharType="separate"/>
      </w:r>
      <w:r w:rsidRPr="00AB279C" w:rsidR="00AE22F3">
        <w:rPr>
          <w:rStyle w:val="Hyperlink"/>
          <w:noProof/>
        </w:rPr>
        <w:t xml:space="preserve">e. </w:t>
      </w:r>
      <w:r w:rsidR="00AE22F3">
        <w:rPr>
          <w:rFonts w:asciiTheme="minorHAnsi" w:eastAsiaTheme="minorEastAsia" w:hAnsiTheme="minorHAnsi"/>
          <w:noProof/>
          <w:sz w:val="22"/>
        </w:rPr>
        <w:tab/>
      </w:r>
      <w:r w:rsidRPr="00AB279C" w:rsidR="00AE22F3">
        <w:rPr>
          <w:rStyle w:val="Hyperlink"/>
          <w:noProof/>
        </w:rPr>
        <w:t>DPL’s financial integrity can be bolstered in other ways that do not, like DMR, harm consumers.</w:t>
      </w:r>
      <w:r w:rsidR="00AE22F3">
        <w:rPr>
          <w:noProof/>
          <w:webHidden/>
        </w:rPr>
        <w:tab/>
      </w:r>
      <w:r w:rsidR="00AE22F3">
        <w:rPr>
          <w:noProof/>
          <w:webHidden/>
        </w:rPr>
        <w:fldChar w:fldCharType="begin"/>
      </w:r>
      <w:r w:rsidR="00AE22F3">
        <w:rPr>
          <w:noProof/>
          <w:webHidden/>
        </w:rPr>
        <w:instrText xml:space="preserve"> PAGEREF _Toc481762051 \h </w:instrText>
      </w:r>
      <w:r w:rsidR="00AE22F3">
        <w:rPr>
          <w:noProof/>
          <w:webHidden/>
        </w:rPr>
        <w:fldChar w:fldCharType="separate"/>
      </w:r>
      <w:r w:rsidR="00AE22F3">
        <w:rPr>
          <w:noProof/>
          <w:webHidden/>
        </w:rPr>
        <w:t>29</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"_Toc481762052" </w:instrText>
      </w:r>
      <w:r>
        <w:fldChar w:fldCharType="separate"/>
      </w:r>
      <w:r w:rsidRPr="00AB279C" w:rsidR="00AE22F3">
        <w:rPr>
          <w:rStyle w:val="Hyperlink"/>
          <w:noProof/>
        </w:rPr>
        <w:t xml:space="preserve">f. </w:t>
      </w:r>
      <w:r w:rsidR="00AE22F3">
        <w:rPr>
          <w:rFonts w:asciiTheme="minorHAnsi" w:eastAsiaTheme="minorEastAsia" w:hAnsiTheme="minorHAnsi"/>
          <w:noProof/>
          <w:sz w:val="22"/>
        </w:rPr>
        <w:tab/>
      </w:r>
      <w:r w:rsidRPr="00AB279C" w:rsidR="00AE22F3">
        <w:rPr>
          <w:rStyle w:val="Hyperlink"/>
          <w:noProof/>
        </w:rPr>
        <w:t>The DMR is a costly charge that would hurt consumers and is not necessary for providing safe and reliable service.</w:t>
      </w:r>
      <w:r w:rsidR="00AE22F3">
        <w:rPr>
          <w:noProof/>
          <w:webHidden/>
        </w:rPr>
        <w:tab/>
      </w:r>
      <w:r w:rsidR="00AE22F3">
        <w:rPr>
          <w:noProof/>
          <w:webHidden/>
        </w:rPr>
        <w:fldChar w:fldCharType="begin"/>
      </w:r>
      <w:r w:rsidR="00AE22F3">
        <w:rPr>
          <w:noProof/>
          <w:webHidden/>
        </w:rPr>
        <w:instrText xml:space="preserve"> PAGEREF _Toc481762052 \h </w:instrText>
      </w:r>
      <w:r w:rsidR="00AE22F3">
        <w:rPr>
          <w:noProof/>
          <w:webHidden/>
        </w:rPr>
        <w:fldChar w:fldCharType="separate"/>
      </w:r>
      <w:r w:rsidR="00AE22F3">
        <w:rPr>
          <w:noProof/>
          <w:webHidden/>
        </w:rPr>
        <w:t>31</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"_Toc481762053" </w:instrText>
      </w:r>
      <w:r>
        <w:fldChar w:fldCharType="separate"/>
      </w:r>
      <w:r w:rsidRPr="00AB279C" w:rsidR="00AE22F3">
        <w:rPr>
          <w:rStyle w:val="Hyperlink"/>
          <w:noProof/>
        </w:rPr>
        <w:t xml:space="preserve">g. </w:t>
      </w:r>
      <w:r w:rsidR="00AE22F3">
        <w:rPr>
          <w:rFonts w:asciiTheme="minorHAnsi" w:eastAsiaTheme="minorEastAsia" w:hAnsiTheme="minorHAnsi"/>
          <w:noProof/>
          <w:sz w:val="22"/>
        </w:rPr>
        <w:tab/>
      </w:r>
      <w:r w:rsidRPr="00AB279C" w:rsidR="00AE22F3">
        <w:rPr>
          <w:rStyle w:val="Hyperlink"/>
          <w:noProof/>
        </w:rPr>
        <w:t>The Settlement, as a package, is not in the public interest because it harms low-income customers.</w:t>
      </w:r>
      <w:r w:rsidR="00AE22F3">
        <w:rPr>
          <w:noProof/>
          <w:webHidden/>
        </w:rPr>
        <w:tab/>
      </w:r>
      <w:r w:rsidR="00AE22F3">
        <w:rPr>
          <w:noProof/>
          <w:webHidden/>
        </w:rPr>
        <w:fldChar w:fldCharType="begin"/>
      </w:r>
      <w:r w:rsidR="00AE22F3">
        <w:rPr>
          <w:noProof/>
          <w:webHidden/>
        </w:rPr>
        <w:instrText xml:space="preserve"> PAGEREF _Toc481762053 \h </w:instrText>
      </w:r>
      <w:r w:rsidR="00AE22F3">
        <w:rPr>
          <w:noProof/>
          <w:webHidden/>
        </w:rPr>
        <w:fldChar w:fldCharType="separate"/>
      </w:r>
      <w:r w:rsidR="00AE22F3">
        <w:rPr>
          <w:noProof/>
          <w:webHidden/>
        </w:rPr>
        <w:t>33</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"_Toc481762054" </w:instrText>
      </w:r>
      <w:r>
        <w:fldChar w:fldCharType="separate"/>
      </w:r>
      <w:r w:rsidRPr="00AB279C" w:rsidR="00AE22F3">
        <w:rPr>
          <w:rStyle w:val="Hyperlink"/>
          <w:noProof/>
        </w:rPr>
        <w:t xml:space="preserve">h. </w:t>
      </w:r>
      <w:r w:rsidR="00AE22F3">
        <w:rPr>
          <w:rFonts w:asciiTheme="minorHAnsi" w:eastAsiaTheme="minorEastAsia" w:hAnsiTheme="minorHAnsi"/>
          <w:noProof/>
          <w:sz w:val="22"/>
        </w:rPr>
        <w:tab/>
      </w:r>
      <w:r w:rsidRPr="00AB279C" w:rsidR="00AE22F3">
        <w:rPr>
          <w:rStyle w:val="Hyperlink"/>
          <w:noProof/>
        </w:rPr>
        <w:t>The proposed return on equity that DP&amp;L seeks on investment is not in the public interest and would harm consumers.</w:t>
      </w:r>
      <w:r w:rsidR="00AE22F3">
        <w:rPr>
          <w:noProof/>
          <w:webHidden/>
        </w:rPr>
        <w:tab/>
      </w:r>
      <w:r w:rsidR="00AE22F3">
        <w:rPr>
          <w:noProof/>
          <w:webHidden/>
        </w:rPr>
        <w:fldChar w:fldCharType="begin"/>
      </w:r>
      <w:r w:rsidR="00AE22F3">
        <w:rPr>
          <w:noProof/>
          <w:webHidden/>
        </w:rPr>
        <w:instrText xml:space="preserve"> PAGEREF _Toc481762054 \h </w:instrText>
      </w:r>
      <w:r w:rsidR="00AE22F3">
        <w:rPr>
          <w:noProof/>
          <w:webHidden/>
        </w:rPr>
        <w:fldChar w:fldCharType="separate"/>
      </w:r>
      <w:r w:rsidR="00AE22F3">
        <w:rPr>
          <w:noProof/>
          <w:webHidden/>
        </w:rPr>
        <w:t>34</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"_Toc481762055" </w:instrText>
      </w:r>
      <w:r>
        <w:fldChar w:fldCharType="separate"/>
      </w:r>
      <w:r w:rsidRPr="00AB279C" w:rsidR="00AE22F3">
        <w:rPr>
          <w:rStyle w:val="Hyperlink"/>
          <w:noProof/>
        </w:rPr>
        <w:t xml:space="preserve">i. </w:t>
      </w:r>
      <w:r w:rsidR="00AE22F3">
        <w:rPr>
          <w:rFonts w:asciiTheme="minorHAnsi" w:eastAsiaTheme="minorEastAsia" w:hAnsiTheme="minorHAnsi"/>
          <w:noProof/>
          <w:sz w:val="22"/>
        </w:rPr>
        <w:tab/>
      </w:r>
      <w:r w:rsidRPr="00AB279C" w:rsidR="00AE22F3">
        <w:rPr>
          <w:rStyle w:val="Hyperlink"/>
          <w:noProof/>
        </w:rPr>
        <w:t>The Smart Grid Rider does not benefit customers and is not in the public interest.</w:t>
      </w:r>
      <w:r w:rsidR="00AE22F3">
        <w:rPr>
          <w:noProof/>
          <w:webHidden/>
        </w:rPr>
        <w:tab/>
      </w:r>
      <w:r w:rsidR="00AE22F3">
        <w:rPr>
          <w:noProof/>
          <w:webHidden/>
        </w:rPr>
        <w:fldChar w:fldCharType="begin"/>
      </w:r>
      <w:r w:rsidR="00AE22F3">
        <w:rPr>
          <w:noProof/>
          <w:webHidden/>
        </w:rPr>
        <w:instrText xml:space="preserve"> PAGEREF _Toc481762055 \h </w:instrText>
      </w:r>
      <w:r w:rsidR="00AE22F3">
        <w:rPr>
          <w:noProof/>
          <w:webHidden/>
        </w:rPr>
        <w:fldChar w:fldCharType="separate"/>
      </w:r>
      <w:r w:rsidR="00AE22F3">
        <w:rPr>
          <w:noProof/>
          <w:webHidden/>
        </w:rPr>
        <w:t>34</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"_Toc481762056" </w:instrText>
      </w:r>
      <w:r>
        <w:fldChar w:fldCharType="separate"/>
      </w:r>
      <w:r w:rsidRPr="00AB279C" w:rsidR="00AE22F3">
        <w:rPr>
          <w:rStyle w:val="Hyperlink"/>
          <w:noProof/>
        </w:rPr>
        <w:t xml:space="preserve">j. </w:t>
      </w:r>
      <w:r w:rsidR="00AE22F3">
        <w:rPr>
          <w:rFonts w:asciiTheme="minorHAnsi" w:eastAsiaTheme="minorEastAsia" w:hAnsiTheme="minorHAnsi"/>
          <w:noProof/>
          <w:sz w:val="22"/>
        </w:rPr>
        <w:tab/>
      </w:r>
      <w:r w:rsidRPr="00AB279C" w:rsidR="00AE22F3">
        <w:rPr>
          <w:rStyle w:val="Hyperlink"/>
          <w:noProof/>
        </w:rPr>
        <w:t>The TCRR-N pilot program does not have enough safeguards to protect consumers and the public interest.</w:t>
      </w:r>
      <w:r w:rsidR="00AE22F3">
        <w:rPr>
          <w:noProof/>
          <w:webHidden/>
        </w:rPr>
        <w:tab/>
      </w:r>
      <w:r w:rsidR="00AE22F3">
        <w:rPr>
          <w:noProof/>
          <w:webHidden/>
        </w:rPr>
        <w:fldChar w:fldCharType="begin"/>
      </w:r>
      <w:r w:rsidR="00AE22F3">
        <w:rPr>
          <w:noProof/>
          <w:webHidden/>
        </w:rPr>
        <w:instrText xml:space="preserve"> PAGEREF _Toc481762056 \h </w:instrText>
      </w:r>
      <w:r w:rsidR="00AE22F3">
        <w:rPr>
          <w:noProof/>
          <w:webHidden/>
        </w:rPr>
        <w:fldChar w:fldCharType="separate"/>
      </w:r>
      <w:r w:rsidR="00AE22F3">
        <w:rPr>
          <w:noProof/>
          <w:webHidden/>
        </w:rPr>
        <w:t>36</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"_Toc481762057" </w:instrText>
      </w:r>
      <w:r>
        <w:fldChar w:fldCharType="separate"/>
      </w:r>
      <w:r w:rsidRPr="00AB279C" w:rsidR="00AE22F3">
        <w:rPr>
          <w:rStyle w:val="Hyperlink"/>
          <w:noProof/>
        </w:rPr>
        <w:t xml:space="preserve">k. </w:t>
      </w:r>
      <w:r w:rsidR="00AE22F3">
        <w:rPr>
          <w:rFonts w:asciiTheme="minorHAnsi" w:eastAsiaTheme="minorEastAsia" w:hAnsiTheme="minorHAnsi"/>
          <w:noProof/>
          <w:sz w:val="22"/>
        </w:rPr>
        <w:tab/>
      </w:r>
      <w:r w:rsidRPr="00AB279C" w:rsidR="00AE22F3">
        <w:rPr>
          <w:rStyle w:val="Hyperlink"/>
          <w:noProof/>
        </w:rPr>
        <w:t>The proposed supplier consolidated billing program does not provide any customer benefits and is therefore not in the public interest.</w:t>
      </w:r>
      <w:r w:rsidR="00AE22F3">
        <w:rPr>
          <w:noProof/>
          <w:webHidden/>
        </w:rPr>
        <w:tab/>
      </w:r>
      <w:r w:rsidR="00AE22F3">
        <w:rPr>
          <w:noProof/>
          <w:webHidden/>
        </w:rPr>
        <w:fldChar w:fldCharType="begin"/>
      </w:r>
      <w:r w:rsidR="00AE22F3">
        <w:rPr>
          <w:noProof/>
          <w:webHidden/>
        </w:rPr>
        <w:instrText xml:space="preserve"> PAGEREF _Toc481762057 \h </w:instrText>
      </w:r>
      <w:r w:rsidR="00AE22F3">
        <w:rPr>
          <w:noProof/>
          <w:webHidden/>
        </w:rPr>
        <w:fldChar w:fldCharType="separate"/>
      </w:r>
      <w:r w:rsidR="00AE22F3">
        <w:rPr>
          <w:noProof/>
          <w:webHidden/>
        </w:rPr>
        <w:t>37</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"_Toc481762058" </w:instrText>
      </w:r>
      <w:r>
        <w:fldChar w:fldCharType="separate"/>
      </w:r>
      <w:r w:rsidRPr="00AB279C" w:rsidR="00AE22F3">
        <w:rPr>
          <w:rStyle w:val="Hyperlink"/>
          <w:noProof/>
        </w:rPr>
        <w:t xml:space="preserve">l. </w:t>
      </w:r>
      <w:r w:rsidR="00AE22F3">
        <w:rPr>
          <w:rFonts w:asciiTheme="minorHAnsi" w:eastAsiaTheme="minorEastAsia" w:hAnsiTheme="minorHAnsi"/>
          <w:noProof/>
          <w:sz w:val="22"/>
        </w:rPr>
        <w:tab/>
      </w:r>
      <w:r w:rsidRPr="00AB279C" w:rsidR="00AE22F3">
        <w:rPr>
          <w:rStyle w:val="Hyperlink"/>
          <w:noProof/>
        </w:rPr>
        <w:t>The purported benefits identified by DP&amp;L Witnesses Schroder do not actually benefit consumers.</w:t>
      </w:r>
      <w:r w:rsidR="00AE22F3">
        <w:rPr>
          <w:noProof/>
          <w:webHidden/>
        </w:rPr>
        <w:tab/>
      </w:r>
      <w:r w:rsidR="00AE22F3">
        <w:rPr>
          <w:noProof/>
          <w:webHidden/>
        </w:rPr>
        <w:fldChar w:fldCharType="begin"/>
      </w:r>
      <w:r w:rsidR="00AE22F3">
        <w:rPr>
          <w:noProof/>
          <w:webHidden/>
        </w:rPr>
        <w:instrText xml:space="preserve"> PAGEREF _Toc481762058 \h </w:instrText>
      </w:r>
      <w:r w:rsidR="00AE22F3">
        <w:rPr>
          <w:noProof/>
          <w:webHidden/>
        </w:rPr>
        <w:fldChar w:fldCharType="separate"/>
      </w:r>
      <w:r w:rsidR="00AE22F3">
        <w:rPr>
          <w:noProof/>
          <w:webHidden/>
        </w:rPr>
        <w:t>38</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"_Toc481762059" </w:instrText>
      </w:r>
      <w:r>
        <w:fldChar w:fldCharType="separate"/>
      </w:r>
      <w:r w:rsidRPr="00AB279C" w:rsidR="00AE22F3">
        <w:rPr>
          <w:rStyle w:val="Hyperlink"/>
          <w:noProof/>
        </w:rPr>
        <w:t xml:space="preserve">m. </w:t>
      </w:r>
      <w:r w:rsidR="00AE22F3">
        <w:rPr>
          <w:rFonts w:asciiTheme="minorHAnsi" w:eastAsiaTheme="minorEastAsia" w:hAnsiTheme="minorHAnsi"/>
          <w:noProof/>
          <w:sz w:val="22"/>
        </w:rPr>
        <w:tab/>
      </w:r>
      <w:r w:rsidRPr="00AB279C" w:rsidR="00AE22F3">
        <w:rPr>
          <w:rStyle w:val="Hyperlink"/>
          <w:noProof/>
        </w:rPr>
        <w:t>The Settlement’s proposed allocation of DMR costs is not in the public interest.</w:t>
      </w:r>
      <w:r w:rsidR="00AE22F3">
        <w:rPr>
          <w:noProof/>
          <w:webHidden/>
        </w:rPr>
        <w:tab/>
      </w:r>
      <w:r w:rsidR="00AE22F3">
        <w:rPr>
          <w:noProof/>
          <w:webHidden/>
        </w:rPr>
        <w:fldChar w:fldCharType="begin"/>
      </w:r>
      <w:r w:rsidR="00AE22F3">
        <w:rPr>
          <w:noProof/>
          <w:webHidden/>
        </w:rPr>
        <w:instrText xml:space="preserve"> PAGEREF _Toc481762059 \h </w:instrText>
      </w:r>
      <w:r w:rsidR="00AE22F3">
        <w:rPr>
          <w:noProof/>
          <w:webHidden/>
        </w:rPr>
        <w:fldChar w:fldCharType="separate"/>
      </w:r>
      <w:r w:rsidR="00AE22F3">
        <w:rPr>
          <w:noProof/>
          <w:webHidden/>
        </w:rPr>
        <w:t>41</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"_Toc481762060" </w:instrText>
      </w:r>
      <w:r>
        <w:fldChar w:fldCharType="separate"/>
      </w:r>
      <w:r w:rsidRPr="00AB279C" w:rsidR="00AE22F3">
        <w:rPr>
          <w:rStyle w:val="Hyperlink"/>
          <w:noProof/>
        </w:rPr>
        <w:t xml:space="preserve">n. </w:t>
      </w:r>
      <w:r w:rsidR="00AE22F3">
        <w:rPr>
          <w:rFonts w:asciiTheme="minorHAnsi" w:eastAsiaTheme="minorEastAsia" w:hAnsiTheme="minorHAnsi"/>
          <w:noProof/>
          <w:sz w:val="22"/>
        </w:rPr>
        <w:tab/>
      </w:r>
      <w:r w:rsidRPr="00AB279C" w:rsidR="00AE22F3">
        <w:rPr>
          <w:rStyle w:val="Hyperlink"/>
          <w:noProof/>
        </w:rPr>
        <w:t>Burdening SSO customers (largely residential and small commercial) with the Reconciliation Rider’s costs is not in the public interest.</w:t>
      </w:r>
      <w:r w:rsidR="00AE22F3">
        <w:rPr>
          <w:noProof/>
          <w:webHidden/>
        </w:rPr>
        <w:tab/>
      </w:r>
      <w:r w:rsidR="00AE22F3">
        <w:rPr>
          <w:noProof/>
          <w:webHidden/>
        </w:rPr>
        <w:fldChar w:fldCharType="begin"/>
      </w:r>
      <w:r w:rsidR="00AE22F3">
        <w:rPr>
          <w:noProof/>
          <w:webHidden/>
        </w:rPr>
        <w:instrText xml:space="preserve"> PAGEREF _Toc481762060 \h </w:instrText>
      </w:r>
      <w:r w:rsidR="00AE22F3">
        <w:rPr>
          <w:noProof/>
          <w:webHidden/>
        </w:rPr>
        <w:fldChar w:fldCharType="separate"/>
      </w:r>
      <w:r w:rsidR="00AE22F3">
        <w:rPr>
          <w:noProof/>
          <w:webHidden/>
        </w:rPr>
        <w:t>42</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"_Toc481762061" </w:instrText>
      </w:r>
      <w:r>
        <w:fldChar w:fldCharType="separate"/>
      </w:r>
      <w:r w:rsidRPr="00AB279C" w:rsidR="00AE22F3">
        <w:rPr>
          <w:rStyle w:val="Hyperlink"/>
          <w:noProof/>
        </w:rPr>
        <w:t xml:space="preserve">3. </w:t>
      </w:r>
      <w:r w:rsidR="00AE22F3">
        <w:rPr>
          <w:rFonts w:asciiTheme="minorHAnsi" w:eastAsiaTheme="minorEastAsia" w:hAnsiTheme="minorHAnsi"/>
          <w:noProof/>
          <w:sz w:val="22"/>
        </w:rPr>
        <w:tab/>
      </w:r>
      <w:r w:rsidRPr="00AB279C" w:rsidR="00AE22F3">
        <w:rPr>
          <w:rStyle w:val="Hyperlink"/>
          <w:noProof/>
        </w:rPr>
        <w:t>The Settlement violates several important regulatory principles and practices.</w:t>
      </w:r>
      <w:r w:rsidR="00AE22F3">
        <w:rPr>
          <w:noProof/>
          <w:webHidden/>
        </w:rPr>
        <w:tab/>
      </w:r>
      <w:r w:rsidR="00AE22F3">
        <w:rPr>
          <w:noProof/>
          <w:webHidden/>
        </w:rPr>
        <w:fldChar w:fldCharType="begin"/>
      </w:r>
      <w:r w:rsidR="00AE22F3">
        <w:rPr>
          <w:noProof/>
          <w:webHidden/>
        </w:rPr>
        <w:instrText xml:space="preserve"> PAGEREF _Toc481762061 \h </w:instrText>
      </w:r>
      <w:r w:rsidR="00AE22F3">
        <w:rPr>
          <w:noProof/>
          <w:webHidden/>
        </w:rPr>
        <w:fldChar w:fldCharType="separate"/>
      </w:r>
      <w:r w:rsidR="00AE22F3">
        <w:rPr>
          <w:noProof/>
          <w:webHidden/>
        </w:rPr>
        <w:t>43</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"_Toc481762062" </w:instrText>
      </w:r>
      <w:r>
        <w:fldChar w:fldCharType="separate"/>
      </w:r>
      <w:r w:rsidRPr="00AB279C" w:rsidR="00AE22F3">
        <w:rPr>
          <w:rStyle w:val="Hyperlink"/>
          <w:noProof/>
        </w:rPr>
        <w:t xml:space="preserve">a. </w:t>
      </w:r>
      <w:r w:rsidR="00AE22F3">
        <w:rPr>
          <w:rFonts w:asciiTheme="minorHAnsi" w:eastAsiaTheme="minorEastAsia" w:hAnsiTheme="minorHAnsi"/>
          <w:noProof/>
          <w:sz w:val="22"/>
        </w:rPr>
        <w:tab/>
      </w:r>
      <w:r w:rsidRPr="00AB279C" w:rsidR="00AE22F3">
        <w:rPr>
          <w:rStyle w:val="Hyperlink"/>
          <w:noProof/>
        </w:rPr>
        <w:t>The Settlement allows DP&amp;L to earn significantly excessive earnings, harming consumers.</w:t>
      </w:r>
      <w:r w:rsidR="00AE22F3">
        <w:rPr>
          <w:noProof/>
          <w:webHidden/>
        </w:rPr>
        <w:tab/>
      </w:r>
      <w:r w:rsidR="00AE22F3">
        <w:rPr>
          <w:noProof/>
          <w:webHidden/>
        </w:rPr>
        <w:fldChar w:fldCharType="begin"/>
      </w:r>
      <w:r w:rsidR="00AE22F3">
        <w:rPr>
          <w:noProof/>
          <w:webHidden/>
        </w:rPr>
        <w:instrText xml:space="preserve"> PAGEREF _Toc481762062 \h </w:instrText>
      </w:r>
      <w:r w:rsidR="00AE22F3">
        <w:rPr>
          <w:noProof/>
          <w:webHidden/>
        </w:rPr>
        <w:fldChar w:fldCharType="separate"/>
      </w:r>
      <w:r w:rsidR="00AE22F3">
        <w:rPr>
          <w:noProof/>
          <w:webHidden/>
        </w:rPr>
        <w:t>44</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"_Toc481762063" </w:instrText>
      </w:r>
      <w:r>
        <w:fldChar w:fldCharType="separate"/>
      </w:r>
      <w:r w:rsidRPr="00AB279C" w:rsidR="00AE22F3">
        <w:rPr>
          <w:rStyle w:val="Hyperlink"/>
          <w:noProof/>
        </w:rPr>
        <w:t xml:space="preserve">b. </w:t>
      </w:r>
      <w:r w:rsidR="00AE22F3">
        <w:rPr>
          <w:rFonts w:asciiTheme="minorHAnsi" w:eastAsiaTheme="minorEastAsia" w:hAnsiTheme="minorHAnsi"/>
          <w:noProof/>
          <w:sz w:val="22"/>
        </w:rPr>
        <w:tab/>
      </w:r>
      <w:r w:rsidRPr="00AB279C" w:rsidR="00AE22F3">
        <w:rPr>
          <w:rStyle w:val="Hyperlink"/>
          <w:noProof/>
        </w:rPr>
        <w:t>The Settlement includes financial inducements that are not supported by regulatory practice or principle and should be striken to protect consumers.</w:t>
      </w:r>
      <w:r w:rsidR="00AE22F3">
        <w:rPr>
          <w:noProof/>
          <w:webHidden/>
        </w:rPr>
        <w:tab/>
      </w:r>
      <w:r w:rsidR="00AE22F3">
        <w:rPr>
          <w:noProof/>
          <w:webHidden/>
        </w:rPr>
        <w:fldChar w:fldCharType="begin"/>
      </w:r>
      <w:r w:rsidR="00AE22F3">
        <w:rPr>
          <w:noProof/>
          <w:webHidden/>
        </w:rPr>
        <w:instrText xml:space="preserve"> PAGEREF _Toc481762063 \h </w:instrText>
      </w:r>
      <w:r w:rsidR="00AE22F3">
        <w:rPr>
          <w:noProof/>
          <w:webHidden/>
        </w:rPr>
        <w:fldChar w:fldCharType="separate"/>
      </w:r>
      <w:r w:rsidR="00AE22F3">
        <w:rPr>
          <w:noProof/>
          <w:webHidden/>
        </w:rPr>
        <w:t>45</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"_Toc481762064" </w:instrText>
      </w:r>
      <w:r>
        <w:fldChar w:fldCharType="separate"/>
      </w:r>
      <w:r w:rsidRPr="00AB279C" w:rsidR="00AE22F3">
        <w:rPr>
          <w:rStyle w:val="Hyperlink"/>
          <w:noProof/>
        </w:rPr>
        <w:t xml:space="preserve">c. </w:t>
      </w:r>
      <w:r w:rsidR="00AE22F3">
        <w:rPr>
          <w:rFonts w:asciiTheme="minorHAnsi" w:eastAsiaTheme="minorEastAsia" w:hAnsiTheme="minorHAnsi"/>
          <w:noProof/>
          <w:sz w:val="22"/>
        </w:rPr>
        <w:tab/>
      </w:r>
      <w:r w:rsidRPr="00AB279C" w:rsidR="00AE22F3">
        <w:rPr>
          <w:rStyle w:val="Hyperlink"/>
          <w:noProof/>
        </w:rPr>
        <w:t>DP&amp;L has failed to comply with the standard-filing requirements for its Distribution Investment Rider, so the PUCO should reject the rider to protect consumers.</w:t>
      </w:r>
      <w:r w:rsidR="00AE22F3">
        <w:rPr>
          <w:noProof/>
          <w:webHidden/>
        </w:rPr>
        <w:tab/>
      </w:r>
      <w:r w:rsidR="00AE22F3">
        <w:rPr>
          <w:noProof/>
          <w:webHidden/>
        </w:rPr>
        <w:fldChar w:fldCharType="begin"/>
      </w:r>
      <w:r w:rsidR="00AE22F3">
        <w:rPr>
          <w:noProof/>
          <w:webHidden/>
        </w:rPr>
        <w:instrText xml:space="preserve"> PAGEREF _Toc481762064 \h </w:instrText>
      </w:r>
      <w:r w:rsidR="00AE22F3">
        <w:rPr>
          <w:noProof/>
          <w:webHidden/>
        </w:rPr>
        <w:fldChar w:fldCharType="separate"/>
      </w:r>
      <w:r w:rsidR="00AE22F3">
        <w:rPr>
          <w:noProof/>
          <w:webHidden/>
        </w:rPr>
        <w:t>48</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"_Toc481762065" </w:instrText>
      </w:r>
      <w:r>
        <w:fldChar w:fldCharType="separate"/>
      </w:r>
      <w:r w:rsidRPr="00AB279C" w:rsidR="00AE22F3">
        <w:rPr>
          <w:rStyle w:val="Hyperlink"/>
          <w:noProof/>
        </w:rPr>
        <w:t xml:space="preserve">d. </w:t>
      </w:r>
      <w:r w:rsidR="00AE22F3">
        <w:rPr>
          <w:rFonts w:asciiTheme="minorHAnsi" w:eastAsiaTheme="minorEastAsia" w:hAnsiTheme="minorHAnsi"/>
          <w:noProof/>
          <w:sz w:val="22"/>
        </w:rPr>
        <w:tab/>
      </w:r>
      <w:r w:rsidRPr="00AB279C" w:rsidR="00AE22F3">
        <w:rPr>
          <w:rStyle w:val="Hyperlink"/>
          <w:noProof/>
        </w:rPr>
        <w:t>DP&amp;L’s DIR should not be approved because it does not conform to Ohio law and past PUCO practice.</w:t>
      </w:r>
      <w:r w:rsidR="00AE22F3">
        <w:rPr>
          <w:noProof/>
          <w:webHidden/>
        </w:rPr>
        <w:tab/>
      </w:r>
      <w:r w:rsidR="00AE22F3">
        <w:rPr>
          <w:noProof/>
          <w:webHidden/>
        </w:rPr>
        <w:fldChar w:fldCharType="begin"/>
      </w:r>
      <w:r w:rsidR="00AE22F3">
        <w:rPr>
          <w:noProof/>
          <w:webHidden/>
        </w:rPr>
        <w:instrText xml:space="preserve"> PAGEREF _Toc481762065 \h </w:instrText>
      </w:r>
      <w:r w:rsidR="00AE22F3">
        <w:rPr>
          <w:noProof/>
          <w:webHidden/>
        </w:rPr>
        <w:fldChar w:fldCharType="separate"/>
      </w:r>
      <w:r w:rsidR="00AE22F3">
        <w:rPr>
          <w:noProof/>
          <w:webHidden/>
        </w:rPr>
        <w:t>49</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"_Toc481762066" </w:instrText>
      </w:r>
      <w:r>
        <w:fldChar w:fldCharType="separate"/>
      </w:r>
      <w:r w:rsidRPr="00AB279C" w:rsidR="00AE22F3">
        <w:rPr>
          <w:rStyle w:val="Hyperlink"/>
          <w:noProof/>
        </w:rPr>
        <w:t xml:space="preserve">e. </w:t>
      </w:r>
      <w:r w:rsidR="00AE22F3">
        <w:rPr>
          <w:rFonts w:asciiTheme="minorHAnsi" w:eastAsiaTheme="minorEastAsia" w:hAnsiTheme="minorHAnsi"/>
          <w:noProof/>
          <w:sz w:val="22"/>
        </w:rPr>
        <w:tab/>
      </w:r>
      <w:r w:rsidRPr="00AB279C" w:rsidR="00AE22F3">
        <w:rPr>
          <w:rStyle w:val="Hyperlink"/>
          <w:noProof/>
        </w:rPr>
        <w:t>The Settlement includes a series of unsupported and unnecessary riders.</w:t>
      </w:r>
      <w:r w:rsidR="00AE22F3">
        <w:rPr>
          <w:noProof/>
          <w:webHidden/>
        </w:rPr>
        <w:tab/>
      </w:r>
      <w:r w:rsidR="00AE22F3">
        <w:rPr>
          <w:noProof/>
          <w:webHidden/>
        </w:rPr>
        <w:fldChar w:fldCharType="begin"/>
      </w:r>
      <w:r w:rsidR="00AE22F3">
        <w:rPr>
          <w:noProof/>
          <w:webHidden/>
        </w:rPr>
        <w:instrText xml:space="preserve"> PAGEREF _Toc481762066 \h </w:instrText>
      </w:r>
      <w:r w:rsidR="00AE22F3">
        <w:rPr>
          <w:noProof/>
          <w:webHidden/>
        </w:rPr>
        <w:fldChar w:fldCharType="separate"/>
      </w:r>
      <w:r w:rsidR="00AE22F3">
        <w:rPr>
          <w:noProof/>
          <w:webHidden/>
        </w:rPr>
        <w:t>51</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"_Toc481762067" </w:instrText>
      </w:r>
      <w:r>
        <w:fldChar w:fldCharType="separate"/>
      </w:r>
      <w:r w:rsidRPr="00AB279C" w:rsidR="00AE22F3">
        <w:rPr>
          <w:rStyle w:val="Hyperlink"/>
          <w:noProof/>
        </w:rPr>
        <w:t xml:space="preserve">f. </w:t>
      </w:r>
      <w:r w:rsidR="00AE22F3">
        <w:rPr>
          <w:rFonts w:asciiTheme="minorHAnsi" w:eastAsiaTheme="minorEastAsia" w:hAnsiTheme="minorHAnsi"/>
          <w:noProof/>
          <w:sz w:val="22"/>
        </w:rPr>
        <w:tab/>
      </w:r>
      <w:r w:rsidRPr="00AB279C" w:rsidR="00AE22F3">
        <w:rPr>
          <w:rStyle w:val="Hyperlink"/>
          <w:noProof/>
        </w:rPr>
        <w:t>In accordance with regulatory practice, a rules review regarding non-commodity billing should be conducted during the comprehensive review of all the CRES rules.</w:t>
      </w:r>
      <w:r w:rsidR="00AE22F3">
        <w:rPr>
          <w:noProof/>
          <w:webHidden/>
        </w:rPr>
        <w:tab/>
      </w:r>
      <w:r w:rsidR="00AE22F3">
        <w:rPr>
          <w:noProof/>
          <w:webHidden/>
        </w:rPr>
        <w:fldChar w:fldCharType="begin"/>
      </w:r>
      <w:r w:rsidR="00AE22F3">
        <w:rPr>
          <w:noProof/>
          <w:webHidden/>
        </w:rPr>
        <w:instrText xml:space="preserve"> PAGEREF _Toc481762067 \h </w:instrText>
      </w:r>
      <w:r w:rsidR="00AE22F3">
        <w:rPr>
          <w:noProof/>
          <w:webHidden/>
        </w:rPr>
        <w:fldChar w:fldCharType="separate"/>
      </w:r>
      <w:r w:rsidR="00AE22F3">
        <w:rPr>
          <w:noProof/>
          <w:webHidden/>
        </w:rPr>
        <w:t>53</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"_Toc481762068" </w:instrText>
      </w:r>
      <w:r>
        <w:fldChar w:fldCharType="separate"/>
      </w:r>
      <w:r w:rsidRPr="00AB279C" w:rsidR="00AE22F3">
        <w:rPr>
          <w:rStyle w:val="Hyperlink"/>
          <w:noProof/>
        </w:rPr>
        <w:t xml:space="preserve">g. </w:t>
      </w:r>
      <w:r w:rsidR="00AE22F3">
        <w:rPr>
          <w:rFonts w:asciiTheme="minorHAnsi" w:eastAsiaTheme="minorEastAsia" w:hAnsiTheme="minorHAnsi"/>
          <w:noProof/>
          <w:sz w:val="22"/>
        </w:rPr>
        <w:tab/>
      </w:r>
      <w:r w:rsidRPr="00AB279C" w:rsidR="00AE22F3">
        <w:rPr>
          <w:rStyle w:val="Hyperlink"/>
          <w:noProof/>
        </w:rPr>
        <w:t>The proposed allocation of the DMR’s costs harms consumers by violating numerous important regulatory principles and practices.</w:t>
      </w:r>
      <w:r w:rsidR="00AE22F3">
        <w:rPr>
          <w:noProof/>
          <w:webHidden/>
        </w:rPr>
        <w:tab/>
      </w:r>
      <w:r w:rsidR="00AE22F3">
        <w:rPr>
          <w:noProof/>
          <w:webHidden/>
        </w:rPr>
        <w:fldChar w:fldCharType="begin"/>
      </w:r>
      <w:r w:rsidR="00AE22F3">
        <w:rPr>
          <w:noProof/>
          <w:webHidden/>
        </w:rPr>
        <w:instrText xml:space="preserve"> PAGEREF _Toc481762068 \h </w:instrText>
      </w:r>
      <w:r w:rsidR="00AE22F3">
        <w:rPr>
          <w:noProof/>
          <w:webHidden/>
        </w:rPr>
        <w:fldChar w:fldCharType="separate"/>
      </w:r>
      <w:r w:rsidR="00AE22F3">
        <w:rPr>
          <w:noProof/>
          <w:webHidden/>
        </w:rPr>
        <w:t>53</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"_Toc481762069" </w:instrText>
      </w:r>
      <w:r>
        <w:fldChar w:fldCharType="separate"/>
      </w:r>
      <w:r w:rsidRPr="00AB279C" w:rsidR="00AE22F3">
        <w:rPr>
          <w:rStyle w:val="Hyperlink"/>
          <w:noProof/>
        </w:rPr>
        <w:t xml:space="preserve">h. </w:t>
      </w:r>
      <w:r w:rsidR="00AE22F3">
        <w:rPr>
          <w:rFonts w:asciiTheme="minorHAnsi" w:eastAsiaTheme="minorEastAsia" w:hAnsiTheme="minorHAnsi"/>
          <w:noProof/>
          <w:sz w:val="22"/>
        </w:rPr>
        <w:tab/>
      </w:r>
      <w:r w:rsidRPr="00AB279C" w:rsidR="00AE22F3">
        <w:rPr>
          <w:rStyle w:val="Hyperlink"/>
          <w:noProof/>
        </w:rPr>
        <w:t>The Reconciliation Rider violates fundamental regulatory principles.</w:t>
      </w:r>
      <w:r w:rsidR="00AE22F3">
        <w:rPr>
          <w:noProof/>
          <w:webHidden/>
        </w:rPr>
        <w:tab/>
      </w:r>
      <w:r w:rsidR="00AE22F3">
        <w:rPr>
          <w:noProof/>
          <w:webHidden/>
        </w:rPr>
        <w:fldChar w:fldCharType="begin"/>
      </w:r>
      <w:r w:rsidR="00AE22F3">
        <w:rPr>
          <w:noProof/>
          <w:webHidden/>
        </w:rPr>
        <w:instrText xml:space="preserve"> PAGEREF _Toc481762069 \h </w:instrText>
      </w:r>
      <w:r w:rsidR="00AE22F3">
        <w:rPr>
          <w:noProof/>
          <w:webHidden/>
        </w:rPr>
        <w:fldChar w:fldCharType="separate"/>
      </w:r>
      <w:r w:rsidR="00AE22F3">
        <w:rPr>
          <w:noProof/>
          <w:webHidden/>
        </w:rPr>
        <w:t>55</w:t>
      </w:r>
      <w:r w:rsidR="00AE22F3">
        <w:rPr>
          <w:noProof/>
          <w:webHidden/>
        </w:rPr>
        <w:fldChar w:fldCharType="end"/>
      </w:r>
      <w:r>
        <w:fldChar w:fldCharType="end"/>
      </w:r>
    </w:p>
    <w:p w:rsidR="00D94F5F">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"_Toc481762070" </w:instrText>
      </w:r>
      <w:r>
        <w:fldChar w:fldCharType="separate"/>
      </w:r>
      <w:r w:rsidRPr="00AB279C" w:rsidR="00AE22F3">
        <w:rPr>
          <w:rStyle w:val="Hyperlink"/>
          <w:noProof/>
        </w:rPr>
        <w:t xml:space="preserve">C. </w:t>
      </w:r>
      <w:r w:rsidR="00AE22F3">
        <w:rPr>
          <w:rFonts w:asciiTheme="minorHAnsi" w:eastAsiaTheme="minorEastAsia" w:hAnsiTheme="minorHAnsi"/>
          <w:noProof/>
          <w:sz w:val="22"/>
        </w:rPr>
        <w:tab/>
      </w:r>
      <w:r w:rsidRPr="00AB279C" w:rsidR="00AE22F3">
        <w:rPr>
          <w:rStyle w:val="Hyperlink"/>
          <w:noProof/>
        </w:rPr>
        <w:t>The ESP embodied in the Settlement fails the ESP versus MRO test.</w:t>
      </w:r>
      <w:r w:rsidR="00AE22F3">
        <w:rPr>
          <w:noProof/>
          <w:webHidden/>
        </w:rPr>
        <w:tab/>
      </w:r>
      <w:r w:rsidR="00AE22F3">
        <w:rPr>
          <w:noProof/>
          <w:webHidden/>
        </w:rPr>
        <w:fldChar w:fldCharType="begin"/>
      </w:r>
      <w:r w:rsidR="00AE22F3">
        <w:rPr>
          <w:noProof/>
          <w:webHidden/>
        </w:rPr>
        <w:instrText xml:space="preserve"> PAGEREF _Toc481762070 \h </w:instrText>
      </w:r>
      <w:r w:rsidR="00AE22F3">
        <w:rPr>
          <w:noProof/>
          <w:webHidden/>
        </w:rPr>
        <w:fldChar w:fldCharType="separate"/>
      </w:r>
      <w:r w:rsidR="00AE22F3">
        <w:rPr>
          <w:noProof/>
          <w:webHidden/>
        </w:rPr>
        <w:t>56</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"_Toc481762071" </w:instrText>
      </w:r>
      <w:r>
        <w:fldChar w:fldCharType="separate"/>
      </w:r>
      <w:r w:rsidRPr="00AB279C" w:rsidR="00AE22F3">
        <w:rPr>
          <w:rStyle w:val="Hyperlink"/>
          <w:noProof/>
        </w:rPr>
        <w:t>1.</w:t>
      </w:r>
      <w:r w:rsidR="00AE22F3">
        <w:rPr>
          <w:rFonts w:asciiTheme="minorHAnsi" w:eastAsiaTheme="minorEastAsia" w:hAnsiTheme="minorHAnsi"/>
          <w:noProof/>
          <w:sz w:val="22"/>
        </w:rPr>
        <w:tab/>
      </w:r>
      <w:r w:rsidRPr="00AB279C" w:rsidR="00AE22F3">
        <w:rPr>
          <w:rStyle w:val="Hyperlink"/>
          <w:noProof/>
        </w:rPr>
        <w:t>The governing standard.</w:t>
      </w:r>
      <w:r w:rsidR="00AE22F3">
        <w:rPr>
          <w:noProof/>
          <w:webHidden/>
        </w:rPr>
        <w:tab/>
      </w:r>
      <w:r w:rsidR="00AE22F3">
        <w:rPr>
          <w:noProof/>
          <w:webHidden/>
        </w:rPr>
        <w:fldChar w:fldCharType="begin"/>
      </w:r>
      <w:r w:rsidR="00AE22F3">
        <w:rPr>
          <w:noProof/>
          <w:webHidden/>
        </w:rPr>
        <w:instrText xml:space="preserve"> PAGEREF _Toc481762071 \h </w:instrText>
      </w:r>
      <w:r w:rsidR="00AE22F3">
        <w:rPr>
          <w:noProof/>
          <w:webHidden/>
        </w:rPr>
        <w:fldChar w:fldCharType="separate"/>
      </w:r>
      <w:r w:rsidR="00AE22F3">
        <w:rPr>
          <w:noProof/>
          <w:webHidden/>
        </w:rPr>
        <w:t>56</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"_Toc481762072" </w:instrText>
      </w:r>
      <w:r>
        <w:fldChar w:fldCharType="separate"/>
      </w:r>
      <w:r w:rsidRPr="00AB279C" w:rsidR="00AE22F3">
        <w:rPr>
          <w:rStyle w:val="Hyperlink"/>
          <w:noProof/>
        </w:rPr>
        <w:t>2.</w:t>
      </w:r>
      <w:r w:rsidR="00AE22F3">
        <w:rPr>
          <w:rFonts w:asciiTheme="minorHAnsi" w:eastAsiaTheme="minorEastAsia" w:hAnsiTheme="minorHAnsi"/>
          <w:noProof/>
          <w:sz w:val="22"/>
        </w:rPr>
        <w:tab/>
      </w:r>
      <w:r w:rsidRPr="00AB279C" w:rsidR="00AE22F3">
        <w:rPr>
          <w:rStyle w:val="Hyperlink"/>
          <w:noProof/>
        </w:rPr>
        <w:t>DP&amp;L asserts that the MRO v. ESP test is passed.</w:t>
      </w:r>
      <w:r w:rsidR="00AE22F3">
        <w:rPr>
          <w:noProof/>
          <w:webHidden/>
        </w:rPr>
        <w:tab/>
      </w:r>
      <w:r w:rsidR="00AE22F3">
        <w:rPr>
          <w:noProof/>
          <w:webHidden/>
        </w:rPr>
        <w:fldChar w:fldCharType="begin"/>
      </w:r>
      <w:r w:rsidR="00AE22F3">
        <w:rPr>
          <w:noProof/>
          <w:webHidden/>
        </w:rPr>
        <w:instrText xml:space="preserve"> PAGEREF _Toc481762072 \h </w:instrText>
      </w:r>
      <w:r w:rsidR="00AE22F3">
        <w:rPr>
          <w:noProof/>
          <w:webHidden/>
        </w:rPr>
        <w:fldChar w:fldCharType="separate"/>
      </w:r>
      <w:r w:rsidR="00AE22F3">
        <w:rPr>
          <w:noProof/>
          <w:webHidden/>
        </w:rPr>
        <w:t>56</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"_Toc481762073" </w:instrText>
      </w:r>
      <w:r>
        <w:fldChar w:fldCharType="separate"/>
      </w:r>
      <w:r w:rsidRPr="00AB279C" w:rsidR="00AE22F3">
        <w:rPr>
          <w:rStyle w:val="Hyperlink"/>
          <w:noProof/>
        </w:rPr>
        <w:t>3.</w:t>
      </w:r>
      <w:r w:rsidR="00AE22F3">
        <w:rPr>
          <w:rFonts w:asciiTheme="minorHAnsi" w:eastAsiaTheme="minorEastAsia" w:hAnsiTheme="minorHAnsi"/>
          <w:noProof/>
          <w:sz w:val="22"/>
        </w:rPr>
        <w:tab/>
      </w:r>
      <w:r w:rsidRPr="00AB279C" w:rsidR="00AE22F3">
        <w:rPr>
          <w:rStyle w:val="Hyperlink"/>
          <w:noProof/>
        </w:rPr>
        <w:t>The ESP embodied in the Settlement does not pass the ESP versus MRO test and, therefore, the ESP embodied in the Settlement would harm consumers.</w:t>
      </w:r>
      <w:r w:rsidR="00AE22F3">
        <w:rPr>
          <w:noProof/>
          <w:webHidden/>
        </w:rPr>
        <w:tab/>
      </w:r>
      <w:r w:rsidR="00AE22F3">
        <w:rPr>
          <w:noProof/>
          <w:webHidden/>
        </w:rPr>
        <w:fldChar w:fldCharType="begin"/>
      </w:r>
      <w:r w:rsidR="00AE22F3">
        <w:rPr>
          <w:noProof/>
          <w:webHidden/>
        </w:rPr>
        <w:instrText xml:space="preserve"> PAGEREF _Toc481762073 \h </w:instrText>
      </w:r>
      <w:r w:rsidR="00AE22F3">
        <w:rPr>
          <w:noProof/>
          <w:webHidden/>
        </w:rPr>
        <w:fldChar w:fldCharType="separate"/>
      </w:r>
      <w:r w:rsidR="00AE22F3">
        <w:rPr>
          <w:noProof/>
          <w:webHidden/>
        </w:rPr>
        <w:t>57</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"_Toc481762074" </w:instrText>
      </w:r>
      <w:r>
        <w:fldChar w:fldCharType="separate"/>
      </w:r>
      <w:r w:rsidRPr="00AB279C" w:rsidR="00AE22F3">
        <w:rPr>
          <w:rStyle w:val="Hyperlink"/>
          <w:noProof/>
        </w:rPr>
        <w:t xml:space="preserve">a. </w:t>
      </w:r>
      <w:r w:rsidR="00AE22F3">
        <w:rPr>
          <w:rFonts w:asciiTheme="minorHAnsi" w:eastAsiaTheme="minorEastAsia" w:hAnsiTheme="minorHAnsi"/>
          <w:noProof/>
          <w:sz w:val="22"/>
        </w:rPr>
        <w:tab/>
      </w:r>
      <w:r w:rsidRPr="00AB279C" w:rsidR="00AE22F3">
        <w:rPr>
          <w:rStyle w:val="Hyperlink"/>
          <w:noProof/>
        </w:rPr>
        <w:t>The purported quantifiable benefits in the ESP embodied in the Settlement should be disregarded because they are equally available under an MRO.</w:t>
      </w:r>
      <w:r w:rsidR="00AE22F3">
        <w:rPr>
          <w:noProof/>
          <w:webHidden/>
        </w:rPr>
        <w:tab/>
      </w:r>
      <w:r w:rsidR="00AE22F3">
        <w:rPr>
          <w:noProof/>
          <w:webHidden/>
        </w:rPr>
        <w:fldChar w:fldCharType="begin"/>
      </w:r>
      <w:r w:rsidR="00AE22F3">
        <w:rPr>
          <w:noProof/>
          <w:webHidden/>
        </w:rPr>
        <w:instrText xml:space="preserve"> PAGEREF _Toc481762074 \h </w:instrText>
      </w:r>
      <w:r w:rsidR="00AE22F3">
        <w:rPr>
          <w:noProof/>
          <w:webHidden/>
        </w:rPr>
        <w:fldChar w:fldCharType="separate"/>
      </w:r>
      <w:r w:rsidR="00AE22F3">
        <w:rPr>
          <w:noProof/>
          <w:webHidden/>
        </w:rPr>
        <w:t>58</w:t>
      </w:r>
      <w:r w:rsidR="00AE22F3">
        <w:rPr>
          <w:noProof/>
          <w:webHidden/>
        </w:rPr>
        <w:fldChar w:fldCharType="end"/>
      </w:r>
      <w:r>
        <w:fldChar w:fldCharType="end"/>
      </w:r>
    </w:p>
    <w:p w:rsidR="00D94F5F">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"_Toc481762075" </w:instrText>
      </w:r>
      <w:r>
        <w:fldChar w:fldCharType="separate"/>
      </w:r>
      <w:r w:rsidRPr="00AB279C" w:rsidR="00AE22F3">
        <w:rPr>
          <w:rStyle w:val="Hyperlink"/>
          <w:noProof/>
        </w:rPr>
        <w:t xml:space="preserve">b. </w:t>
      </w:r>
      <w:r w:rsidR="00AE22F3">
        <w:rPr>
          <w:rFonts w:asciiTheme="minorHAnsi" w:eastAsiaTheme="minorEastAsia" w:hAnsiTheme="minorHAnsi"/>
          <w:noProof/>
          <w:sz w:val="22"/>
        </w:rPr>
        <w:tab/>
      </w:r>
      <w:r w:rsidRPr="00AB279C" w:rsidR="00AE22F3">
        <w:rPr>
          <w:rStyle w:val="Hyperlink"/>
          <w:noProof/>
        </w:rPr>
        <w:t>DP&amp;L Witness Malinak does not appropriately account for the purportedly non-quantitative benefits in his second and third scenarios.</w:t>
      </w:r>
      <w:r w:rsidR="00AE22F3">
        <w:rPr>
          <w:noProof/>
          <w:webHidden/>
        </w:rPr>
        <w:tab/>
      </w:r>
      <w:r w:rsidR="00AE22F3">
        <w:rPr>
          <w:noProof/>
          <w:webHidden/>
        </w:rPr>
        <w:fldChar w:fldCharType="begin"/>
      </w:r>
      <w:r w:rsidR="00AE22F3">
        <w:rPr>
          <w:noProof/>
          <w:webHidden/>
        </w:rPr>
        <w:instrText xml:space="preserve"> PAGEREF _Toc481762075 \h </w:instrText>
      </w:r>
      <w:r w:rsidR="00AE22F3">
        <w:rPr>
          <w:noProof/>
          <w:webHidden/>
        </w:rPr>
        <w:fldChar w:fldCharType="separate"/>
      </w:r>
      <w:r w:rsidR="00AE22F3">
        <w:rPr>
          <w:noProof/>
          <w:webHidden/>
        </w:rPr>
        <w:t>61</w:t>
      </w:r>
      <w:r w:rsidR="00AE22F3">
        <w:rPr>
          <w:noProof/>
          <w:webHidden/>
        </w:rPr>
        <w:fldChar w:fldCharType="end"/>
      </w:r>
      <w:r>
        <w:fldChar w:fldCharType="end"/>
      </w:r>
    </w:p>
    <w:p w:rsidR="00D94F5F">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"_Toc481762076" </w:instrText>
      </w:r>
      <w:r>
        <w:fldChar w:fldCharType="separate"/>
      </w:r>
      <w:r w:rsidRPr="00AB279C" w:rsidR="00AE22F3">
        <w:rPr>
          <w:rStyle w:val="Hyperlink"/>
          <w:noProof/>
        </w:rPr>
        <w:t xml:space="preserve">4. </w:t>
      </w:r>
      <w:r w:rsidR="00AE22F3">
        <w:rPr>
          <w:rFonts w:asciiTheme="minorHAnsi" w:eastAsiaTheme="minorEastAsia" w:hAnsiTheme="minorHAnsi"/>
          <w:noProof/>
          <w:sz w:val="22"/>
        </w:rPr>
        <w:tab/>
      </w:r>
      <w:r w:rsidRPr="00AB279C" w:rsidR="00AE22F3">
        <w:rPr>
          <w:rStyle w:val="Hyperlink"/>
          <w:noProof/>
        </w:rPr>
        <w:t>The ESP embodied in the Settlement fails the MRO v. ESP test under DP&amp;L Witness Malinak’s scenarios and, therefore, it should be rejected to protect consumers.</w:t>
      </w:r>
      <w:r w:rsidR="00AE22F3">
        <w:rPr>
          <w:noProof/>
          <w:webHidden/>
        </w:rPr>
        <w:tab/>
      </w:r>
      <w:r w:rsidR="00AE22F3">
        <w:rPr>
          <w:noProof/>
          <w:webHidden/>
        </w:rPr>
        <w:fldChar w:fldCharType="begin"/>
      </w:r>
      <w:r w:rsidR="00AE22F3">
        <w:rPr>
          <w:noProof/>
          <w:webHidden/>
        </w:rPr>
        <w:instrText xml:space="preserve"> PAGEREF _Toc481762076 \h </w:instrText>
      </w:r>
      <w:r w:rsidR="00AE22F3">
        <w:rPr>
          <w:noProof/>
          <w:webHidden/>
        </w:rPr>
        <w:fldChar w:fldCharType="separate"/>
      </w:r>
      <w:r w:rsidR="00AE22F3">
        <w:rPr>
          <w:noProof/>
          <w:webHidden/>
        </w:rPr>
        <w:t>67</w:t>
      </w:r>
      <w:r w:rsidR="00AE22F3">
        <w:rPr>
          <w:noProof/>
          <w:webHidden/>
        </w:rPr>
        <w:fldChar w:fldCharType="end"/>
      </w:r>
      <w:r>
        <w:fldChar w:fldCharType="end"/>
      </w:r>
    </w:p>
    <w:p w:rsidR="00D94F5F">
      <w:pPr>
        <w:pStyle w:val="TOC1"/>
        <w:tabs>
          <w:tab w:val="right" w:leader="dot" w:pos="8630"/>
        </w:tabs>
        <w:rPr>
          <w:rFonts w:asciiTheme="minorHAnsi" w:eastAsiaTheme="minorEastAsia" w:hAnsiTheme="minorHAnsi"/>
          <w:noProof/>
          <w:sz w:val="22"/>
        </w:rPr>
      </w:pPr>
      <w:r>
        <w:fldChar w:fldCharType="begin"/>
      </w:r>
      <w:r>
        <w:instrText xml:space="preserve"> HYPERLINK \l "_Toc481762077" </w:instrText>
      </w:r>
      <w:r>
        <w:fldChar w:fldCharType="separate"/>
      </w:r>
      <w:r w:rsidRPr="00AB279C" w:rsidR="00AE22F3">
        <w:rPr>
          <w:rStyle w:val="Hyperlink"/>
          <w:noProof/>
        </w:rPr>
        <w:t xml:space="preserve">V. </w:t>
      </w:r>
      <w:r w:rsidR="00AE22F3">
        <w:rPr>
          <w:rFonts w:asciiTheme="minorHAnsi" w:eastAsiaTheme="minorEastAsia" w:hAnsiTheme="minorHAnsi"/>
          <w:noProof/>
          <w:sz w:val="22"/>
        </w:rPr>
        <w:tab/>
      </w:r>
      <w:r w:rsidRPr="00AB279C" w:rsidR="00AE22F3">
        <w:rPr>
          <w:rStyle w:val="Hyperlink"/>
          <w:noProof/>
        </w:rPr>
        <w:t>CONCLUSION</w:t>
      </w:r>
      <w:r w:rsidR="00AE22F3">
        <w:rPr>
          <w:noProof/>
          <w:webHidden/>
        </w:rPr>
        <w:tab/>
      </w:r>
      <w:r w:rsidR="00AE22F3">
        <w:rPr>
          <w:noProof/>
          <w:webHidden/>
        </w:rPr>
        <w:fldChar w:fldCharType="begin"/>
      </w:r>
      <w:r w:rsidR="00AE22F3">
        <w:rPr>
          <w:noProof/>
          <w:webHidden/>
        </w:rPr>
        <w:instrText xml:space="preserve"> PAGEREF _Toc481762077 \h </w:instrText>
      </w:r>
      <w:r w:rsidR="00AE22F3">
        <w:rPr>
          <w:noProof/>
          <w:webHidden/>
        </w:rPr>
        <w:fldChar w:fldCharType="separate"/>
      </w:r>
      <w:r w:rsidR="00AE22F3">
        <w:rPr>
          <w:noProof/>
          <w:webHidden/>
        </w:rPr>
        <w:t>69</w:t>
      </w:r>
      <w:r w:rsidR="00AE22F3">
        <w:rPr>
          <w:noProof/>
          <w:webHidden/>
        </w:rPr>
        <w:fldChar w:fldCharType="end"/>
      </w:r>
      <w:r>
        <w:fldChar w:fldCharType="end"/>
      </w:r>
    </w:p>
    <w:p w:rsidR="00C86495" w:rsidRPr="00517C65">
      <w:pPr>
        <w:rPr>
          <w:rFonts w:ascii="Times New Roman" w:hAnsi="Times New Roman" w:cs="Times New Roman"/>
          <w:sz w:val="24"/>
          <w:szCs w:val="24"/>
        </w:rPr>
      </w:pPr>
      <w:r w:rsidRPr="00517C65">
        <w:rPr>
          <w:rFonts w:ascii="Times New Roman" w:hAnsi="Times New Roman" w:cs="Times New Roman"/>
        </w:rPr>
        <w:fldChar w:fldCharType="end"/>
      </w:r>
    </w:p>
    <w:p w:rsidR="00EE3469" w:rsidRPr="00517C65">
      <w:pPr>
        <w:rPr>
          <w:rFonts w:ascii="Times New Roman" w:hAnsi="Times New Roman" w:cs="Times New Roman"/>
          <w:sz w:val="24"/>
          <w:szCs w:val="24"/>
        </w:rPr>
        <w:sectPr w:rsidSect="00EE3469">
          <w:footerReference w:type="default" r:id="rId5"/>
          <w:pgSz w:w="12240" w:h="15840"/>
          <w:pgMar w:top="1440" w:right="1800" w:bottom="1440" w:left="1800" w:header="720" w:footer="720" w:gutter="0"/>
          <w:pgNumType w:fmt="lowerRoman" w:start="1"/>
          <w:cols w:space="720"/>
          <w:docGrid w:linePitch="360"/>
        </w:sectPr>
      </w:pP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17C65">
        <w:rPr>
          <w:rFonts w:ascii="Times New Roman" w:eastAsia="Calibri" w:hAnsi="Times New Roman" w:cs="Times New Roman"/>
          <w:b/>
          <w:bCs/>
          <w:sz w:val="24"/>
          <w:szCs w:val="24"/>
        </w:rPr>
        <w:t>BEFORE</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17C65">
        <w:rPr>
          <w:rFonts w:ascii="Times New Roman" w:eastAsia="Calibri" w:hAnsi="Times New Roman" w:cs="Times New Roman"/>
          <w:b/>
          <w:bCs/>
          <w:sz w:val="24"/>
          <w:szCs w:val="24"/>
        </w:rPr>
        <w:t>THE PUBLIC UTILITIES COMMISSION OF OHIO</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Look w:val="01E0"/>
      </w:tblPr>
      <w:tblGrid>
        <w:gridCol w:w="4332"/>
        <w:gridCol w:w="360"/>
        <w:gridCol w:w="4400"/>
      </w:tblGrid>
      <w:tr w:rsidTr="00C86495">
        <w:tblPrEx>
          <w:tblW w:w="9092" w:type="dxa"/>
          <w:tblInd w:w="-106" w:type="dxa"/>
          <w:tblLook w:val="01E0"/>
        </w:tblPrEx>
        <w:trPr>
          <w:trHeight w:val="807"/>
        </w:trPr>
        <w:tc>
          <w:tcPr>
            <w:tcW w:w="4332" w:type="dxa"/>
          </w:tcPr>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 xml:space="preserve">In the Matter of the Application of </w:t>
            </w: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the Dayton Power and Light Company for</w:t>
            </w: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Approval of its Electric Security Plan.</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In the Matter of the Application of the Dayton Power and Light Company for Approval of Revised Tariffs.</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In the Matter of the Application of the Dayton Power and Light Company for Approval of Certain Accounting Authority Pursuant to Ohio Rev. Code § 4905.13.</w:t>
            </w:r>
          </w:p>
        </w:tc>
        <w:tc>
          <w:tcPr>
            <w:tcW w:w="360" w:type="dxa"/>
            <w:hideMark/>
          </w:tcPr>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w:t>
            </w:r>
          </w:p>
        </w:tc>
        <w:tc>
          <w:tcPr>
            <w:tcW w:w="4400" w:type="dxa"/>
          </w:tcPr>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Case No. 16-0395-EL-SSO</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Case No. 16-0396-EL-ATA</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autoSpaceDE w:val="0"/>
              <w:autoSpaceDN w:val="0"/>
              <w:adjustRightInd w:val="0"/>
              <w:spacing w:after="0"/>
              <w:rPr>
                <w:rFonts w:ascii="Times New Roman" w:eastAsia="Calibri" w:hAnsi="Times New Roman" w:cs="Times New Roman"/>
                <w:sz w:val="24"/>
                <w:szCs w:val="24"/>
              </w:rPr>
            </w:pPr>
            <w:r w:rsidRPr="00517C65">
              <w:rPr>
                <w:rFonts w:ascii="Times New Roman" w:eastAsia="Calibri" w:hAnsi="Times New Roman" w:cs="Times New Roman"/>
                <w:sz w:val="24"/>
                <w:szCs w:val="24"/>
              </w:rPr>
              <w:t>Case No. 16-0397-EL-AAM</w:t>
            </w:r>
          </w:p>
          <w:p w:rsidR="00C86495" w:rsidRPr="00517C65" w:rsidP="00C86495">
            <w:pPr>
              <w:autoSpaceDE w:val="0"/>
              <w:autoSpaceDN w:val="0"/>
              <w:adjustRightInd w:val="0"/>
              <w:spacing w:after="0"/>
              <w:rPr>
                <w:rFonts w:ascii="Times New Roman" w:eastAsia="Calibri" w:hAnsi="Times New Roman" w:cs="Times New Roman"/>
                <w:sz w:val="24"/>
                <w:szCs w:val="24"/>
              </w:rPr>
            </w:pPr>
          </w:p>
          <w:p w:rsidR="00C86495" w:rsidRPr="00517C65"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tc>
      </w:tr>
    </w:tbl>
    <w:p w:rsidR="00C86495" w:rsidRPr="00517C65" w:rsidP="00C86495">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C86495" w:rsidRPr="00517C65" w:rsidP="00C86495">
      <w:pPr>
        <w:autoSpaceDE w:val="0"/>
        <w:autoSpaceDN w:val="0"/>
        <w:adjustRightInd w:val="0"/>
        <w:spacing w:after="0" w:line="240" w:lineRule="auto"/>
        <w:rPr>
          <w:rFonts w:ascii="Times New Roman" w:eastAsia="Calibri" w:hAnsi="Times New Roman" w:cs="Times New Roman"/>
          <w:sz w:val="24"/>
          <w:szCs w:val="24"/>
        </w:rPr>
      </w:pPr>
    </w:p>
    <w:p w:rsidR="00C86495" w:rsidRPr="00517C65"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517C65">
        <w:rPr>
          <w:rFonts w:ascii="Times New Roman" w:eastAsia="Calibri" w:hAnsi="Times New Roman" w:cs="Times New Roman"/>
          <w:b/>
          <w:bCs/>
          <w:sz w:val="24"/>
          <w:szCs w:val="24"/>
        </w:rPr>
        <w:t>INITIAL POST-HEARING BRIEF</w:t>
      </w:r>
    </w:p>
    <w:p w:rsidR="00C86495" w:rsidRPr="00517C65"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517C65">
        <w:rPr>
          <w:rFonts w:ascii="Times New Roman" w:eastAsia="Calibri" w:hAnsi="Times New Roman" w:cs="Times New Roman"/>
          <w:b/>
          <w:bCs/>
          <w:sz w:val="24"/>
          <w:szCs w:val="24"/>
        </w:rPr>
        <w:t>BY</w:t>
      </w:r>
    </w:p>
    <w:p w:rsidR="00C86495" w:rsidRPr="00517C65"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517C65">
        <w:rPr>
          <w:rFonts w:ascii="Times New Roman" w:eastAsia="Calibri" w:hAnsi="Times New Roman" w:cs="Times New Roman"/>
          <w:b/>
          <w:bCs/>
          <w:sz w:val="24"/>
          <w:szCs w:val="24"/>
        </w:rPr>
        <w:t>THE OFFICE OF THE OHIO CONSUMERS’ COUNSEL</w:t>
      </w:r>
    </w:p>
    <w:p w:rsidR="00C86495" w:rsidRPr="00517C65" w:rsidP="00C86495">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C86495" w:rsidRPr="00517C65" w:rsidP="00C86495">
      <w:pPr>
        <w:autoSpaceDE w:val="0"/>
        <w:autoSpaceDN w:val="0"/>
        <w:adjustRightInd w:val="0"/>
        <w:spacing w:after="0" w:line="240" w:lineRule="auto"/>
        <w:rPr>
          <w:rFonts w:ascii="Times New Roman" w:eastAsia="Calibri" w:hAnsi="Times New Roman" w:cs="Times New Roman"/>
          <w:b/>
          <w:bCs/>
          <w:sz w:val="24"/>
          <w:szCs w:val="24"/>
        </w:rPr>
      </w:pPr>
    </w:p>
    <w:p w:rsidR="00070034" w:rsidRPr="00517C65" w:rsidP="00EE3469">
      <w:pPr>
        <w:spacing w:after="0" w:line="480" w:lineRule="auto"/>
        <w:ind w:firstLine="720"/>
        <w:rPr>
          <w:rFonts w:ascii="Times New Roman" w:hAnsi="Times New Roman" w:cs="Times New Roman"/>
          <w:sz w:val="24"/>
          <w:szCs w:val="24"/>
        </w:rPr>
        <w:sectPr w:rsidSect="00EE3469">
          <w:headerReference w:type="default" r:id="rId6"/>
          <w:footerReference w:type="default" r:id="rId7"/>
          <w:pgSz w:w="12240" w:h="15840"/>
          <w:pgMar w:top="1440" w:right="1800" w:bottom="1440" w:left="1800" w:header="720" w:footer="720" w:gutter="0"/>
          <w:pgNumType w:start="1"/>
          <w:cols w:space="720"/>
          <w:docGrid w:linePitch="360"/>
        </w:sectPr>
      </w:pPr>
      <w:r w:rsidRPr="00517C65">
        <w:rPr>
          <w:rFonts w:ascii="Times New Roman" w:hAnsi="Times New Roman" w:cs="Times New Roman"/>
          <w:sz w:val="24"/>
          <w:szCs w:val="24"/>
        </w:rPr>
        <w:t xml:space="preserve">To bail out its parent companies, DPL, Inc. (“DPL”) and AES Corporation (“AES”), from imprudent management decisions, Dayton Power &amp; Light Company (“DP&amp;L”) offers up a settlement that breaks a promise made to consumers and the Public Utilities Commission of Ohio (“PUCO”).  It also contains an illegal transition charge.  And as a testament to what is possible using other people’s money, the broken </w:t>
      </w:r>
      <w:r>
        <w:rPr>
          <w:rFonts w:ascii="Times New Roman" w:hAnsi="Times New Roman" w:cs="Times New Roman"/>
          <w:sz w:val="24"/>
          <w:szCs w:val="24"/>
        </w:rPr>
        <w:t xml:space="preserve">promise </w:t>
      </w:r>
      <w:r w:rsidRPr="00517C65">
        <w:rPr>
          <w:rFonts w:ascii="Times New Roman" w:hAnsi="Times New Roman" w:cs="Times New Roman"/>
          <w:sz w:val="24"/>
          <w:szCs w:val="24"/>
        </w:rPr>
        <w:t>and illegal transition charge</w:t>
      </w:r>
      <w:r>
        <w:rPr>
          <w:rFonts w:ascii="Times New Roman" w:hAnsi="Times New Roman" w:cs="Times New Roman"/>
          <w:sz w:val="24"/>
          <w:szCs w:val="24"/>
        </w:rPr>
        <w:t>s</w:t>
      </w:r>
      <w:r w:rsidRPr="00517C65">
        <w:rPr>
          <w:rFonts w:ascii="Times New Roman" w:hAnsi="Times New Roman" w:cs="Times New Roman"/>
          <w:sz w:val="24"/>
          <w:szCs w:val="24"/>
        </w:rPr>
        <w:t xml:space="preserve"> </w:t>
      </w:r>
      <w:r>
        <w:rPr>
          <w:rFonts w:ascii="Times New Roman" w:hAnsi="Times New Roman" w:cs="Times New Roman"/>
          <w:sz w:val="24"/>
          <w:szCs w:val="24"/>
        </w:rPr>
        <w:t xml:space="preserve">to consumers </w:t>
      </w:r>
      <w:r w:rsidRPr="00517C65">
        <w:rPr>
          <w:rFonts w:ascii="Times New Roman" w:hAnsi="Times New Roman" w:cs="Times New Roman"/>
          <w:sz w:val="24"/>
          <w:szCs w:val="24"/>
        </w:rPr>
        <w:t>are just a couple of the reasons why the settlement will cost hard-working Ohioans dearly.  The settlement could add $432 (or much more) to 515,000 Ohioans’ electric bills to bail out businesses that are not even subject to the PUCO’s jurisdiction.</w:t>
      </w:r>
    </w:p>
    <w:p w:rsidR="005C560E" w:rsidRPr="00517C65" w:rsidP="00EE3469">
      <w:pPr>
        <w:pStyle w:val="Heading1"/>
      </w:pPr>
      <w:bookmarkStart w:id="1" w:name="_Toc481762029"/>
      <w:r w:rsidRPr="00517C65">
        <w:t>I.</w:t>
      </w:r>
      <w:r w:rsidRPr="00517C65">
        <w:tab/>
        <w:t>INTRODUCTION</w:t>
      </w:r>
      <w:bookmarkEnd w:id="1"/>
    </w:p>
    <w:p w:rsidR="00A0395A" w:rsidRPr="00517C65" w:rsidP="00CA448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has already charged Ohioans $673.3 million in “stability” charges to bolster its financial integrity.</w:t>
      </w:r>
      <w:r>
        <w:rPr>
          <w:rStyle w:val="FootnoteReference"/>
          <w:rFonts w:ascii="Times New Roman" w:hAnsi="Times New Roman" w:cs="Times New Roman"/>
          <w:sz w:val="24"/>
          <w:szCs w:val="24"/>
        </w:rPr>
        <w:footnoteReference w:id="2"/>
      </w:r>
      <w:r w:rsidRPr="00517C65">
        <w:rPr>
          <w:rFonts w:ascii="Times New Roman" w:hAnsi="Times New Roman" w:cs="Times New Roman"/>
          <w:sz w:val="24"/>
          <w:szCs w:val="24"/>
        </w:rPr>
        <w:t xml:space="preserve">  Since 2012, AES has not contributed any money to help stabilize or bolster DPL or DP&amp;L’s financial integrity.  Notwithstanding the enormous transfer of wealth from Ohioans to DP&amp;L, DP&amp;L is in a “financial crisis.”</w:t>
      </w:r>
      <w:r>
        <w:rPr>
          <w:rStyle w:val="FootnoteReference"/>
          <w:rFonts w:ascii="Times New Roman" w:hAnsi="Times New Roman" w:cs="Times New Roman"/>
          <w:sz w:val="24"/>
          <w:szCs w:val="24"/>
        </w:rPr>
        <w:footnoteReference w:id="3"/>
      </w:r>
      <w:r w:rsidRPr="00517C65">
        <w:rPr>
          <w:rFonts w:ascii="Times New Roman" w:hAnsi="Times New Roman" w:cs="Times New Roman"/>
          <w:sz w:val="24"/>
          <w:szCs w:val="24"/>
        </w:rPr>
        <w:t xml:space="preserve">  By its own admission, it did not get there as a result of sound management.</w:t>
      </w:r>
      <w:r>
        <w:rPr>
          <w:rStyle w:val="FootnoteReference"/>
          <w:rFonts w:ascii="Times New Roman" w:hAnsi="Times New Roman" w:cs="Times New Roman"/>
          <w:sz w:val="24"/>
          <w:szCs w:val="24"/>
        </w:rPr>
        <w:footnoteReference w:id="4"/>
      </w:r>
      <w:r w:rsidRPr="00517C65">
        <w:rPr>
          <w:rFonts w:ascii="Times New Roman" w:hAnsi="Times New Roman" w:cs="Times New Roman"/>
          <w:sz w:val="24"/>
          <w:szCs w:val="24"/>
        </w:rPr>
        <w:t xml:space="preserve">  </w:t>
      </w:r>
    </w:p>
    <w:p w:rsidR="00F01C32" w:rsidRPr="00517C65" w:rsidP="00CA448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Once again, DP&amp;L is back at the PUCO asking for authority to charge consumers to bail it out – to the tune of $315 million (and perhaps up to $525 million).  This charge, though DP&amp;L calls it a “Distribution Modernization Rider” (“DMR”),</w:t>
      </w:r>
      <w:r>
        <w:rPr>
          <w:rFonts w:ascii="Times New Roman" w:hAnsi="Times New Roman" w:cs="Times New Roman"/>
          <w:sz w:val="24"/>
          <w:szCs w:val="24"/>
        </w:rPr>
        <w:t xml:space="preserve"> has nothing to do with modernization but everything to do with </w:t>
      </w:r>
      <w:r w:rsidRPr="00517C65">
        <w:rPr>
          <w:rFonts w:ascii="Times New Roman" w:hAnsi="Times New Roman" w:cs="Times New Roman"/>
          <w:sz w:val="24"/>
          <w:szCs w:val="24"/>
        </w:rPr>
        <w:t>financial integrity.</w:t>
      </w:r>
      <w:r>
        <w:rPr>
          <w:rStyle w:val="FootnoteReference"/>
          <w:rFonts w:ascii="Times New Roman" w:hAnsi="Times New Roman" w:cs="Times New Roman"/>
          <w:sz w:val="24"/>
          <w:szCs w:val="24"/>
        </w:rPr>
        <w:footnoteReference w:id="5"/>
      </w:r>
      <w:r w:rsidRPr="00517C65">
        <w:rPr>
          <w:rFonts w:ascii="Times New Roman" w:hAnsi="Times New Roman" w:cs="Times New Roman"/>
          <w:sz w:val="24"/>
          <w:szCs w:val="24"/>
        </w:rPr>
        <w:t xml:space="preserve">  But if DP&amp;L’s financial integrity is threatened, it is because of the nearly $1 billion in debt that AES saddled DP&amp;L’s parent, DPL, with as a result of AES’s acquisition of DP&amp;L (“the Merger”).</w:t>
      </w:r>
      <w:r>
        <w:rPr>
          <w:rStyle w:val="FootnoteReference"/>
          <w:rFonts w:ascii="Times New Roman" w:hAnsi="Times New Roman" w:cs="Times New Roman"/>
          <w:sz w:val="24"/>
          <w:szCs w:val="24"/>
        </w:rPr>
        <w:footnoteReference w:id="6"/>
      </w:r>
      <w:r w:rsidRPr="00517C65">
        <w:rPr>
          <w:rFonts w:ascii="Times New Roman" w:hAnsi="Times New Roman" w:cs="Times New Roman"/>
          <w:sz w:val="24"/>
          <w:szCs w:val="24"/>
        </w:rPr>
        <w:t xml:space="preserve">  DPL cannot pay that debt back due to the poor financial performance of the generation assets that were part of the AES/DP&amp;L acquisition.</w:t>
      </w:r>
      <w:r>
        <w:rPr>
          <w:rStyle w:val="FootnoteReference"/>
          <w:rFonts w:ascii="Times New Roman" w:hAnsi="Times New Roman" w:cs="Times New Roman"/>
          <w:sz w:val="24"/>
          <w:szCs w:val="24"/>
        </w:rPr>
        <w:footnoteReference w:id="7"/>
      </w:r>
      <w:r w:rsidRPr="00517C65">
        <w:rPr>
          <w:rFonts w:ascii="Times New Roman" w:hAnsi="Times New Roman" w:cs="Times New Roman"/>
          <w:sz w:val="24"/>
          <w:szCs w:val="24"/>
        </w:rPr>
        <w:t xml:space="preserve">  So DPL (and by extension, AES) needs more money out of DP&amp;L.</w:t>
      </w:r>
      <w:r>
        <w:rPr>
          <w:rStyle w:val="FootnoteReference"/>
          <w:rFonts w:ascii="Times New Roman" w:hAnsi="Times New Roman" w:cs="Times New Roman"/>
          <w:sz w:val="24"/>
          <w:szCs w:val="24"/>
        </w:rPr>
        <w:footnoteReference w:id="8"/>
      </w:r>
      <w:r w:rsidRPr="00517C65">
        <w:rPr>
          <w:rFonts w:ascii="Times New Roman" w:hAnsi="Times New Roman" w:cs="Times New Roman"/>
          <w:sz w:val="24"/>
          <w:szCs w:val="24"/>
        </w:rPr>
        <w:t xml:space="preserve">  Hence the Amended Stipulation and Recommendation (“Settlement”) with </w:t>
      </w:r>
      <w:r>
        <w:rPr>
          <w:rFonts w:ascii="Times New Roman" w:hAnsi="Times New Roman" w:cs="Times New Roman"/>
          <w:sz w:val="24"/>
          <w:szCs w:val="24"/>
        </w:rPr>
        <w:t xml:space="preserve">a </w:t>
      </w:r>
      <w:r w:rsidRPr="00517C65">
        <w:rPr>
          <w:rFonts w:ascii="Times New Roman" w:hAnsi="Times New Roman" w:cs="Times New Roman"/>
          <w:sz w:val="24"/>
          <w:szCs w:val="24"/>
        </w:rPr>
        <w:t xml:space="preserve">DMR.  </w:t>
      </w:r>
    </w:p>
    <w:p w:rsidR="00176F33" w:rsidRPr="00517C65" w:rsidP="00244E6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Settlement should be rejected because the so-called DMR violates the Merger Finding and Order and it is an illegal transition charge.  AES, DPL, and DP&amp;L</w:t>
      </w:r>
      <w:r>
        <w:rPr>
          <w:rStyle w:val="FootnoteReference"/>
          <w:rFonts w:ascii="Times New Roman" w:hAnsi="Times New Roman" w:cs="Times New Roman"/>
          <w:sz w:val="24"/>
          <w:szCs w:val="24"/>
        </w:rPr>
        <w:footnoteReference w:id="9"/>
      </w:r>
      <w:r w:rsidRPr="00517C65">
        <w:rPr>
          <w:rFonts w:ascii="Times New Roman" w:hAnsi="Times New Roman" w:cs="Times New Roman"/>
          <w:sz w:val="24"/>
          <w:szCs w:val="24"/>
        </w:rPr>
        <w:t xml:space="preserve"> committed to the PUCO that they would not charge customers costs related to the negotiation, approval, and closing, nor any acquisition premium, associated with AES’s acquisition of DP&amp;L.</w:t>
      </w:r>
      <w:r>
        <w:rPr>
          <w:rStyle w:val="FootnoteReference"/>
          <w:rFonts w:ascii="Times New Roman" w:hAnsi="Times New Roman" w:cs="Times New Roman"/>
          <w:sz w:val="24"/>
          <w:szCs w:val="24"/>
        </w:rPr>
        <w:footnoteReference w:id="10"/>
      </w:r>
      <w:r w:rsidRPr="00517C65">
        <w:rPr>
          <w:rFonts w:ascii="Times New Roman" w:hAnsi="Times New Roman" w:cs="Times New Roman"/>
          <w:sz w:val="24"/>
          <w:szCs w:val="24"/>
        </w:rPr>
        <w:t xml:space="preserve">  But that is exactly what they are trying to do here with the DMR.</w:t>
      </w:r>
      <w:r>
        <w:rPr>
          <w:rStyle w:val="FootnoteReference"/>
          <w:rFonts w:ascii="Times New Roman" w:hAnsi="Times New Roman" w:cs="Times New Roman"/>
          <w:sz w:val="24"/>
          <w:szCs w:val="24"/>
        </w:rPr>
        <w:footnoteReference w:id="11"/>
      </w:r>
      <w:r w:rsidRPr="00517C65">
        <w:rPr>
          <w:rFonts w:ascii="Times New Roman" w:hAnsi="Times New Roman" w:cs="Times New Roman"/>
          <w:sz w:val="24"/>
          <w:szCs w:val="24"/>
        </w:rPr>
        <w:t xml:space="preserve">  The Ohio Supreme Court has told the PUCO and multiple electric utilities, including DP&amp;L specifically, that transition charges and equivalent revenue are illegal no matter how hard they try to dress up the charges as something else.</w:t>
      </w:r>
      <w:r>
        <w:rPr>
          <w:rStyle w:val="FootnoteReference"/>
          <w:rFonts w:ascii="Times New Roman" w:hAnsi="Times New Roman" w:cs="Times New Roman"/>
          <w:sz w:val="24"/>
          <w:szCs w:val="24"/>
        </w:rPr>
        <w:footnoteReference w:id="12"/>
      </w:r>
      <w:r w:rsidRPr="00517C65">
        <w:rPr>
          <w:rFonts w:ascii="Times New Roman" w:hAnsi="Times New Roman" w:cs="Times New Roman"/>
          <w:sz w:val="24"/>
          <w:szCs w:val="24"/>
        </w:rPr>
        <w:t xml:space="preserve">  But the DMR is a transition charge or equivalent revenue.  Money from the DMR will “be used to pay down debt[]”</w:t>
      </w:r>
      <w:r>
        <w:rPr>
          <w:rStyle w:val="FootnoteReference"/>
          <w:rFonts w:ascii="Times New Roman" w:hAnsi="Times New Roman" w:cs="Times New Roman"/>
          <w:sz w:val="24"/>
          <w:szCs w:val="24"/>
        </w:rPr>
        <w:footnoteReference w:id="13"/>
      </w:r>
      <w:r w:rsidRPr="00517C65">
        <w:rPr>
          <w:rFonts w:ascii="Times New Roman" w:hAnsi="Times New Roman" w:cs="Times New Roman"/>
          <w:sz w:val="24"/>
          <w:szCs w:val="24"/>
        </w:rPr>
        <w:t xml:space="preserve"> at DP&amp;L and DPL.</w:t>
      </w:r>
      <w:r>
        <w:rPr>
          <w:rStyle w:val="FootnoteReference"/>
          <w:rFonts w:ascii="Times New Roman" w:hAnsi="Times New Roman" w:cs="Times New Roman"/>
          <w:sz w:val="24"/>
          <w:szCs w:val="24"/>
        </w:rPr>
        <w:footnoteReference w:id="14"/>
      </w:r>
      <w:r w:rsidRPr="00517C65">
        <w:rPr>
          <w:rFonts w:ascii="Times New Roman" w:hAnsi="Times New Roman" w:cs="Times New Roman"/>
          <w:sz w:val="24"/>
          <w:szCs w:val="24"/>
        </w:rPr>
        <w:t xml:space="preserve">  Approximately $1 billion of that debt is associated with the </w:t>
      </w:r>
      <w:r>
        <w:rPr>
          <w:rFonts w:ascii="Times New Roman" w:hAnsi="Times New Roman" w:cs="Times New Roman"/>
          <w:sz w:val="24"/>
          <w:szCs w:val="24"/>
        </w:rPr>
        <w:t>m</w:t>
      </w:r>
      <w:r w:rsidRPr="00517C65">
        <w:rPr>
          <w:rFonts w:ascii="Times New Roman" w:hAnsi="Times New Roman" w:cs="Times New Roman"/>
          <w:sz w:val="24"/>
          <w:szCs w:val="24"/>
        </w:rPr>
        <w:t>erger.</w:t>
      </w:r>
      <w:r>
        <w:rPr>
          <w:rStyle w:val="FootnoteReference"/>
          <w:rFonts w:ascii="Times New Roman" w:hAnsi="Times New Roman" w:cs="Times New Roman"/>
          <w:sz w:val="24"/>
          <w:szCs w:val="24"/>
        </w:rPr>
        <w:footnoteReference w:id="15"/>
      </w:r>
      <w:r w:rsidRPr="00517C65">
        <w:rPr>
          <w:rFonts w:ascii="Times New Roman" w:hAnsi="Times New Roman" w:cs="Times New Roman"/>
          <w:sz w:val="24"/>
          <w:szCs w:val="24"/>
        </w:rPr>
        <w:t xml:space="preserve">  The </w:t>
      </w:r>
      <w:r>
        <w:rPr>
          <w:rFonts w:ascii="Times New Roman" w:hAnsi="Times New Roman" w:cs="Times New Roman"/>
          <w:sz w:val="24"/>
          <w:szCs w:val="24"/>
        </w:rPr>
        <w:t>m</w:t>
      </w:r>
      <w:r w:rsidRPr="00517C65">
        <w:rPr>
          <w:rFonts w:ascii="Times New Roman" w:hAnsi="Times New Roman" w:cs="Times New Roman"/>
          <w:sz w:val="24"/>
          <w:szCs w:val="24"/>
        </w:rPr>
        <w:t>erger included the purchase of generation assets,</w:t>
      </w:r>
      <w:r>
        <w:rPr>
          <w:rStyle w:val="FootnoteReference"/>
          <w:rFonts w:ascii="Times New Roman" w:hAnsi="Times New Roman" w:cs="Times New Roman"/>
          <w:sz w:val="24"/>
          <w:szCs w:val="24"/>
        </w:rPr>
        <w:footnoteReference w:id="16"/>
      </w:r>
      <w:r w:rsidRPr="00517C65">
        <w:rPr>
          <w:rFonts w:ascii="Times New Roman" w:hAnsi="Times New Roman" w:cs="Times New Roman"/>
          <w:sz w:val="24"/>
          <w:szCs w:val="24"/>
        </w:rPr>
        <w:t xml:space="preserve"> the </w:t>
      </w:r>
      <w:r>
        <w:rPr>
          <w:rFonts w:ascii="Times New Roman" w:hAnsi="Times New Roman" w:cs="Times New Roman"/>
          <w:sz w:val="24"/>
          <w:szCs w:val="24"/>
        </w:rPr>
        <w:t>m</w:t>
      </w:r>
      <w:r w:rsidRPr="00517C65">
        <w:rPr>
          <w:rFonts w:ascii="Times New Roman" w:hAnsi="Times New Roman" w:cs="Times New Roman"/>
          <w:sz w:val="24"/>
          <w:szCs w:val="24"/>
        </w:rPr>
        <w:t>erger debt cannot be paid due to reduced revenues from generation,</w:t>
      </w:r>
      <w:r>
        <w:rPr>
          <w:rStyle w:val="FootnoteReference"/>
          <w:rFonts w:ascii="Times New Roman" w:hAnsi="Times New Roman" w:cs="Times New Roman"/>
          <w:sz w:val="24"/>
          <w:szCs w:val="24"/>
        </w:rPr>
        <w:footnoteReference w:id="17"/>
      </w:r>
      <w:r w:rsidRPr="00517C65">
        <w:rPr>
          <w:rFonts w:ascii="Times New Roman" w:hAnsi="Times New Roman" w:cs="Times New Roman"/>
          <w:sz w:val="24"/>
          <w:szCs w:val="24"/>
        </w:rPr>
        <w:t xml:space="preserve"> and but for the financial losses incurred in the competitive generation market, the DMR would not be needed.</w:t>
      </w:r>
      <w:r>
        <w:rPr>
          <w:rStyle w:val="FootnoteReference"/>
          <w:rFonts w:ascii="Times New Roman" w:hAnsi="Times New Roman" w:cs="Times New Roman"/>
          <w:sz w:val="24"/>
          <w:szCs w:val="24"/>
        </w:rPr>
        <w:footnoteReference w:id="18"/>
      </w:r>
    </w:p>
    <w:p w:rsidR="00294938" w:rsidRPr="00517C65" w:rsidP="00CA44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more reasons to reject the Settlement besides the illegal DMR.  </w:t>
      </w:r>
      <w:r w:rsidRPr="00517C65">
        <w:rPr>
          <w:rFonts w:ascii="Times New Roman" w:hAnsi="Times New Roman" w:cs="Times New Roman"/>
          <w:sz w:val="24"/>
          <w:szCs w:val="24"/>
        </w:rPr>
        <w:t xml:space="preserve">The record and the largely uncontroverted evidence offered by </w:t>
      </w:r>
      <w:r>
        <w:rPr>
          <w:rFonts w:ascii="Times New Roman" w:hAnsi="Times New Roman" w:cs="Times New Roman"/>
          <w:sz w:val="24"/>
          <w:szCs w:val="24"/>
        </w:rPr>
        <w:t>t</w:t>
      </w:r>
      <w:r w:rsidRPr="00517C65">
        <w:rPr>
          <w:rFonts w:ascii="Times New Roman" w:hAnsi="Times New Roman" w:cs="Times New Roman"/>
          <w:sz w:val="24"/>
          <w:szCs w:val="24"/>
        </w:rPr>
        <w:t>he Office of the Ohio Consumers' Counsel (“OCC”) show that the Settlement fails the three-part test.</w:t>
      </w:r>
      <w:r>
        <w:rPr>
          <w:rStyle w:val="FootnoteReference"/>
          <w:rFonts w:ascii="Times New Roman" w:hAnsi="Times New Roman" w:cs="Times New Roman"/>
          <w:sz w:val="24"/>
          <w:szCs w:val="24"/>
        </w:rPr>
        <w:footnoteReference w:id="19"/>
      </w:r>
      <w:r w:rsidRPr="00517C65">
        <w:rPr>
          <w:rFonts w:ascii="Times New Roman" w:hAnsi="Times New Roman" w:cs="Times New Roman"/>
          <w:sz w:val="24"/>
          <w:szCs w:val="24"/>
        </w:rPr>
        <w:t xml:space="preserve">  There was not serious bargaining among capable, knowledgeable parties </w:t>
      </w:r>
      <w:r>
        <w:rPr>
          <w:rFonts w:ascii="Times New Roman" w:hAnsi="Times New Roman" w:cs="Times New Roman"/>
          <w:sz w:val="24"/>
          <w:szCs w:val="24"/>
        </w:rPr>
        <w:t xml:space="preserve">with a diversity of interests </w:t>
      </w:r>
      <w:r w:rsidRPr="00517C65">
        <w:rPr>
          <w:rFonts w:ascii="Times New Roman" w:hAnsi="Times New Roman" w:cs="Times New Roman"/>
          <w:sz w:val="24"/>
          <w:szCs w:val="24"/>
        </w:rPr>
        <w:t>in light of the multiple, signed stipulations filed.  Approving the Settlement would create dangerous precedent fostering uncertainty, chilling settlements, and give a party an after-the-fact veto power in the settlement process – a prospect that the PUCO,</w:t>
      </w:r>
      <w:r>
        <w:rPr>
          <w:rStyle w:val="FootnoteReference"/>
          <w:rFonts w:ascii="Times New Roman" w:hAnsi="Times New Roman" w:cs="Times New Roman"/>
          <w:sz w:val="24"/>
          <w:szCs w:val="24"/>
        </w:rPr>
        <w:footnoteReference w:id="20"/>
      </w:r>
      <w:r w:rsidRPr="00517C65">
        <w:rPr>
          <w:rFonts w:ascii="Times New Roman" w:hAnsi="Times New Roman" w:cs="Times New Roman"/>
          <w:sz w:val="24"/>
          <w:szCs w:val="24"/>
        </w:rPr>
        <w:t xml:space="preserve"> and Staff itself,</w:t>
      </w:r>
      <w:r w:rsidRPr="00517C65">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1"/>
      </w:r>
      <w:r w:rsidRPr="00517C65">
        <w:rPr>
          <w:rFonts w:ascii="Times New Roman" w:hAnsi="Times New Roman" w:cs="Times New Roman"/>
          <w:sz w:val="24"/>
          <w:szCs w:val="24"/>
        </w:rPr>
        <w:t xml:space="preserve"> recognizes as inappropriate.  The Settlement, as a package, does not benefit ratepayers and the public interest.  DP&amp;L’s financial integrity could be better protected, without using customer-funded subsidies from DMR, by using a combination of ring fencing and equity contributions from AES.  The Settlement’s high </w:t>
      </w:r>
      <w:r>
        <w:rPr>
          <w:rFonts w:ascii="Times New Roman" w:hAnsi="Times New Roman" w:cs="Times New Roman"/>
          <w:sz w:val="24"/>
          <w:szCs w:val="24"/>
        </w:rPr>
        <w:t>charges to customers will</w:t>
      </w:r>
      <w:r w:rsidRPr="00517C65">
        <w:rPr>
          <w:rFonts w:ascii="Times New Roman" w:hAnsi="Times New Roman" w:cs="Times New Roman"/>
          <w:sz w:val="24"/>
          <w:szCs w:val="24"/>
        </w:rPr>
        <w:t xml:space="preserve"> hurt economic activity and development in DP&amp;L’s service territory.  And the Settlement violates important regulatory principles and practices.  It is too costly, contains expensive provisions (such as DMR) that are not necessary to provide safe and reliable service, would result in extraordinary earnings, and provides for handouts to signatory parties/non-opposing parties in return for their signatures/non-opposition.</w:t>
      </w:r>
    </w:p>
    <w:p w:rsidR="00E7794B" w:rsidRPr="00517C65" w:rsidP="00CA44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t</w:t>
      </w:r>
      <w:r w:rsidRPr="00517C65">
        <w:rPr>
          <w:rFonts w:ascii="Times New Roman" w:hAnsi="Times New Roman" w:cs="Times New Roman"/>
          <w:sz w:val="24"/>
          <w:szCs w:val="24"/>
        </w:rPr>
        <w:t xml:space="preserve">he Electric Security Plan (“ESP”) in the Settlement </w:t>
      </w:r>
      <w:r>
        <w:rPr>
          <w:rFonts w:ascii="Times New Roman" w:hAnsi="Times New Roman" w:cs="Times New Roman"/>
          <w:sz w:val="24"/>
          <w:szCs w:val="24"/>
        </w:rPr>
        <w:t xml:space="preserve">does not pass the statutory test that requires DP&amp;L to prove that the ESP is </w:t>
      </w:r>
      <w:r w:rsidRPr="00517C65">
        <w:rPr>
          <w:rFonts w:ascii="Times New Roman" w:hAnsi="Times New Roman" w:cs="Times New Roman"/>
          <w:sz w:val="24"/>
          <w:szCs w:val="24"/>
        </w:rPr>
        <w:t xml:space="preserve">more favorable in the aggregate </w:t>
      </w:r>
      <w:r>
        <w:rPr>
          <w:rFonts w:ascii="Times New Roman" w:hAnsi="Times New Roman" w:cs="Times New Roman"/>
          <w:sz w:val="24"/>
          <w:szCs w:val="24"/>
        </w:rPr>
        <w:t xml:space="preserve">to customers </w:t>
      </w:r>
      <w:r w:rsidRPr="00517C65">
        <w:rPr>
          <w:rFonts w:ascii="Times New Roman" w:hAnsi="Times New Roman" w:cs="Times New Roman"/>
          <w:sz w:val="24"/>
          <w:szCs w:val="24"/>
        </w:rPr>
        <w:t>than the expected results under a market rate offer (“MRO”).</w:t>
      </w:r>
      <w:r>
        <w:rPr>
          <w:rStyle w:val="FootnoteReference"/>
          <w:rFonts w:ascii="Times New Roman" w:hAnsi="Times New Roman" w:cs="Times New Roman"/>
          <w:sz w:val="24"/>
          <w:szCs w:val="24"/>
        </w:rPr>
        <w:footnoteReference w:id="22"/>
      </w:r>
      <w:r w:rsidRPr="00517C65">
        <w:rPr>
          <w:rFonts w:ascii="Times New Roman" w:hAnsi="Times New Roman" w:cs="Times New Roman"/>
          <w:sz w:val="24"/>
          <w:szCs w:val="24"/>
        </w:rPr>
        <w:t xml:space="preserve">  Rates under an MRO would be substantially lower, with no impairment to service quality, reliability, or interference with </w:t>
      </w:r>
      <w:r>
        <w:rPr>
          <w:rFonts w:ascii="Times New Roman" w:hAnsi="Times New Roman" w:cs="Times New Roman"/>
          <w:sz w:val="24"/>
          <w:szCs w:val="24"/>
        </w:rPr>
        <w:t>grid modernization investments</w:t>
      </w:r>
      <w:r w:rsidRPr="00517C65">
        <w:rPr>
          <w:rFonts w:ascii="Times New Roman" w:hAnsi="Times New Roman" w:cs="Times New Roman"/>
          <w:sz w:val="24"/>
          <w:szCs w:val="24"/>
        </w:rPr>
        <w:t>.</w:t>
      </w:r>
    </w:p>
    <w:p w:rsidR="00EE3469" w:rsidRPr="00517C65" w:rsidP="00EE3469">
      <w:pPr>
        <w:spacing w:after="0" w:line="240" w:lineRule="auto"/>
        <w:ind w:firstLine="720"/>
        <w:rPr>
          <w:rFonts w:ascii="Times New Roman" w:hAnsi="Times New Roman" w:cs="Times New Roman"/>
          <w:sz w:val="24"/>
          <w:szCs w:val="24"/>
        </w:rPr>
      </w:pPr>
    </w:p>
    <w:p w:rsidR="00E7794B" w:rsidRPr="00517C65" w:rsidP="00EE3469">
      <w:pPr>
        <w:pStyle w:val="Heading1"/>
      </w:pPr>
      <w:bookmarkStart w:id="2" w:name="_Toc481762030"/>
      <w:r w:rsidRPr="00517C65">
        <w:t>II.</w:t>
      </w:r>
      <w:r w:rsidRPr="00517C65">
        <w:tab/>
        <w:t>BACKGROUND</w:t>
      </w:r>
      <w:bookmarkEnd w:id="2"/>
    </w:p>
    <w:p w:rsidR="001D3C4F" w:rsidRPr="00517C65" w:rsidP="00225B94">
      <w:pPr>
        <w:pStyle w:val="Heading2"/>
      </w:pPr>
      <w:bookmarkStart w:id="3" w:name="_Toc435428192"/>
      <w:bookmarkStart w:id="4" w:name="_Toc442104125"/>
      <w:bookmarkStart w:id="5" w:name="_Toc481762031"/>
      <w:r w:rsidRPr="00517C65">
        <w:t>The Ohio General Assembly chose competition to protect consumers</w:t>
      </w:r>
      <w:bookmarkEnd w:id="3"/>
      <w:bookmarkEnd w:id="4"/>
      <w:r>
        <w:t>.</w:t>
      </w:r>
      <w:bookmarkEnd w:id="5"/>
    </w:p>
    <w:p w:rsidR="00EC6E77" w:rsidRPr="00517C65" w:rsidP="00EC6E77">
      <w:pPr>
        <w:autoSpaceDE w:val="0"/>
        <w:autoSpaceDN w:val="0"/>
        <w:adjustRightInd w:val="0"/>
        <w:spacing w:after="0" w:line="480" w:lineRule="auto"/>
        <w:ind w:firstLine="720"/>
        <w:rPr>
          <w:rFonts w:ascii="Times New Roman" w:hAnsi="Times New Roman" w:cs="Times New Roman"/>
          <w:color w:val="000000"/>
          <w:sz w:val="24"/>
          <w:szCs w:val="24"/>
        </w:rPr>
      </w:pPr>
      <w:r w:rsidRPr="00517C65">
        <w:rPr>
          <w:rFonts w:ascii="Times New Roman" w:hAnsi="Times New Roman" w:cs="Times New Roman"/>
          <w:color w:val="000000"/>
          <w:sz w:val="24"/>
          <w:szCs w:val="24"/>
        </w:rPr>
        <w:t>In Senate Bill 3 (“S.B. 3”), the Ohio General Assembly adopted a comprehensive statutory plan to facilitate and encourage competition in the retail electric market as a means to protect consumers from increasing electric rates.</w:t>
      </w:r>
      <w:r>
        <w:rPr>
          <w:rStyle w:val="FootnoteReference"/>
          <w:rFonts w:ascii="Times New Roman" w:hAnsi="Times New Roman" w:cs="Times New Roman"/>
          <w:color w:val="000000"/>
          <w:sz w:val="24"/>
          <w:szCs w:val="24"/>
        </w:rPr>
        <w:footnoteReference w:id="23"/>
      </w:r>
      <w:r w:rsidRPr="00517C65">
        <w:rPr>
          <w:rFonts w:ascii="Times New Roman" w:hAnsi="Times New Roman" w:cs="Times New Roman"/>
          <w:color w:val="000000"/>
          <w:sz w:val="24"/>
          <w:szCs w:val="24"/>
        </w:rPr>
        <w:t xml:space="preserve">  It also recognized that things could change as competition matured.  </w:t>
      </w:r>
    </w:p>
    <w:p w:rsidR="00EC6E77" w:rsidRPr="00517C65" w:rsidP="00EC6E77">
      <w:pPr>
        <w:autoSpaceDE w:val="0"/>
        <w:autoSpaceDN w:val="0"/>
        <w:adjustRightInd w:val="0"/>
        <w:spacing w:after="0" w:line="480" w:lineRule="auto"/>
        <w:ind w:firstLine="720"/>
        <w:rPr>
          <w:rFonts w:ascii="Times New Roman" w:hAnsi="Times New Roman" w:cs="Times New Roman"/>
          <w:color w:val="000000"/>
          <w:sz w:val="24"/>
          <w:szCs w:val="24"/>
        </w:rPr>
      </w:pPr>
      <w:r w:rsidRPr="00517C65">
        <w:rPr>
          <w:rFonts w:ascii="Times New Roman" w:hAnsi="Times New Roman" w:cs="Times New Roman"/>
          <w:color w:val="000000"/>
          <w:sz w:val="24"/>
          <w:szCs w:val="24"/>
        </w:rPr>
        <w:t>As competition evolved, the Ohio Supreme Court noted that things were not proceeding as expected.</w:t>
      </w:r>
      <w:r>
        <w:rPr>
          <w:rStyle w:val="FootnoteReference"/>
          <w:rFonts w:ascii="Times New Roman" w:hAnsi="Times New Roman" w:cs="Times New Roman"/>
          <w:color w:val="000000"/>
          <w:sz w:val="24"/>
          <w:szCs w:val="24"/>
        </w:rPr>
        <w:footnoteReference w:id="24"/>
      </w:r>
      <w:r w:rsidRPr="00517C65">
        <w:rPr>
          <w:rFonts w:ascii="Times New Roman" w:hAnsi="Times New Roman" w:cs="Times New Roman"/>
          <w:color w:val="000000"/>
          <w:sz w:val="24"/>
          <w:szCs w:val="24"/>
        </w:rPr>
        <w:t xml:space="preserve">  The PUCO and utilities responded with rate plans not expressly contemplated by statute.</w:t>
      </w:r>
      <w:r>
        <w:rPr>
          <w:rStyle w:val="FootnoteReference"/>
          <w:rFonts w:ascii="Times New Roman" w:hAnsi="Times New Roman" w:cs="Times New Roman"/>
          <w:color w:val="000000"/>
          <w:sz w:val="24"/>
          <w:szCs w:val="24"/>
        </w:rPr>
        <w:footnoteReference w:id="25"/>
      </w:r>
      <w:r w:rsidRPr="00517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reviewing those plans,</w:t>
      </w:r>
      <w:r w:rsidRPr="00517C65">
        <w:rPr>
          <w:rFonts w:ascii="Times New Roman" w:hAnsi="Times New Roman" w:cs="Times New Roman"/>
          <w:color w:val="000000"/>
          <w:sz w:val="24"/>
          <w:szCs w:val="24"/>
        </w:rPr>
        <w:t xml:space="preserve"> the Ohio Supreme Court acknowledged the primary role the Ohio General Assembly had to play (and intended to play) in connection with S.B. 3, and asserted that additional legislative action might be required.</w:t>
      </w:r>
      <w:r>
        <w:rPr>
          <w:rStyle w:val="FootnoteReference"/>
          <w:rFonts w:ascii="Times New Roman" w:hAnsi="Times New Roman" w:cs="Times New Roman"/>
          <w:color w:val="000000"/>
          <w:sz w:val="24"/>
          <w:szCs w:val="24"/>
        </w:rPr>
        <w:footnoteReference w:id="26"/>
      </w:r>
      <w:r w:rsidRPr="00517C65">
        <w:rPr>
          <w:rFonts w:ascii="Times New Roman" w:hAnsi="Times New Roman" w:cs="Times New Roman"/>
          <w:color w:val="000000"/>
          <w:sz w:val="24"/>
          <w:szCs w:val="24"/>
        </w:rPr>
        <w:t xml:space="preserve">  </w:t>
      </w:r>
    </w:p>
    <w:p w:rsidR="00EC6E77" w:rsidRPr="00517C65" w:rsidP="00EC6E77">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w:t>
      </w:r>
      <w:r w:rsidRPr="00517C65">
        <w:rPr>
          <w:rFonts w:ascii="Times New Roman" w:hAnsi="Times New Roman" w:cs="Times New Roman"/>
          <w:color w:val="000000"/>
          <w:sz w:val="24"/>
          <w:szCs w:val="24"/>
        </w:rPr>
        <w:t>he General Assembly responded with Senate Bill 221 (“S.B. 221”).  Broadly speaking, it required electric distribution utilities to provide consumers with a standard service offer (“SSO”).</w:t>
      </w:r>
      <w:r>
        <w:rPr>
          <w:rStyle w:val="FootnoteReference"/>
          <w:rFonts w:ascii="Times New Roman" w:hAnsi="Times New Roman" w:cs="Times New Roman"/>
          <w:color w:val="000000"/>
          <w:sz w:val="24"/>
          <w:szCs w:val="24"/>
        </w:rPr>
        <w:footnoteReference w:id="27"/>
      </w:r>
      <w:r w:rsidRPr="00517C65">
        <w:rPr>
          <w:rFonts w:ascii="Times New Roman" w:hAnsi="Times New Roman" w:cs="Times New Roman"/>
          <w:color w:val="000000"/>
          <w:sz w:val="24"/>
          <w:szCs w:val="24"/>
        </w:rPr>
        <w:t xml:space="preserve">  The Ohio General Assembly adhered to its belief in competition and provided that electric distribution utilities had to fulfill this requirement with a MRO</w:t>
      </w:r>
      <w:r>
        <w:rPr>
          <w:rStyle w:val="FootnoteReference"/>
          <w:rFonts w:ascii="Times New Roman" w:hAnsi="Times New Roman" w:cs="Times New Roman"/>
          <w:color w:val="000000"/>
          <w:sz w:val="24"/>
          <w:szCs w:val="24"/>
        </w:rPr>
        <w:footnoteReference w:id="28"/>
      </w:r>
      <w:r w:rsidRPr="00517C65">
        <w:rPr>
          <w:rFonts w:ascii="Times New Roman" w:hAnsi="Times New Roman" w:cs="Times New Roman"/>
          <w:color w:val="000000"/>
          <w:sz w:val="24"/>
          <w:szCs w:val="24"/>
        </w:rPr>
        <w:t xml:space="preserve"> unless they could show that an ESP</w:t>
      </w:r>
      <w:r>
        <w:rPr>
          <w:rStyle w:val="FootnoteReference"/>
          <w:rFonts w:ascii="Times New Roman" w:hAnsi="Times New Roman" w:cs="Times New Roman"/>
          <w:color w:val="000000"/>
          <w:sz w:val="24"/>
          <w:szCs w:val="24"/>
        </w:rPr>
        <w:footnoteReference w:id="29"/>
      </w:r>
      <w:r w:rsidRPr="00517C65">
        <w:rPr>
          <w:rFonts w:ascii="Times New Roman" w:hAnsi="Times New Roman" w:cs="Times New Roman"/>
          <w:color w:val="000000"/>
          <w:sz w:val="24"/>
          <w:szCs w:val="24"/>
        </w:rPr>
        <w:t xml:space="preserve"> is more favorable in the aggregate than a MRO.</w:t>
      </w:r>
      <w:r>
        <w:rPr>
          <w:rStyle w:val="FootnoteReference"/>
          <w:rFonts w:ascii="Times New Roman" w:hAnsi="Times New Roman" w:cs="Times New Roman"/>
          <w:color w:val="000000"/>
          <w:sz w:val="24"/>
          <w:szCs w:val="24"/>
        </w:rPr>
        <w:footnoteReference w:id="30"/>
      </w:r>
    </w:p>
    <w:p w:rsidR="001D3C4F" w:rsidRPr="00517C65" w:rsidP="00225B94">
      <w:pPr>
        <w:pStyle w:val="Heading2"/>
      </w:pPr>
      <w:bookmarkStart w:id="6" w:name="_Toc481762032"/>
      <w:r w:rsidRPr="00517C65">
        <w:t>The General Assembly protected consumers by allowing utilities to collect transition charges, but only for a limited time that has now passed</w:t>
      </w:r>
      <w:r>
        <w:t>.</w:t>
      </w:r>
      <w:bookmarkEnd w:id="6"/>
    </w:p>
    <w:p w:rsidR="00AD4CE2" w:rsidRPr="00517C65" w:rsidP="00775C0C">
      <w:pPr>
        <w:spacing w:after="0" w:line="480" w:lineRule="auto"/>
        <w:ind w:firstLine="720"/>
        <w:rPr>
          <w:rFonts w:ascii="Times New Roman" w:eastAsia="Times New Roman" w:hAnsi="Times New Roman" w:cs="Times New Roman"/>
          <w:color w:val="373739"/>
          <w:sz w:val="24"/>
          <w:szCs w:val="24"/>
        </w:rPr>
      </w:pPr>
      <w:r w:rsidRPr="00517C65">
        <w:rPr>
          <w:rFonts w:ascii="Times New Roman" w:eastAsia="Times New Roman" w:hAnsi="Times New Roman" w:cs="Times New Roman"/>
          <w:color w:val="373739"/>
          <w:sz w:val="24"/>
          <w:szCs w:val="24"/>
        </w:rPr>
        <w:t>Transition charges are costs incurred by a utility before retail competition began that would not be recoverable through market-based rates.</w:t>
      </w:r>
      <w:r>
        <w:rPr>
          <w:rStyle w:val="FootnoteReference"/>
          <w:rFonts w:ascii="Times New Roman" w:eastAsia="Times New Roman" w:hAnsi="Times New Roman" w:cs="Times New Roman"/>
          <w:color w:val="373739"/>
          <w:sz w:val="24"/>
          <w:szCs w:val="24"/>
        </w:rPr>
        <w:footnoteReference w:id="31"/>
      </w:r>
      <w:r w:rsidRPr="00517C65">
        <w:rPr>
          <w:rFonts w:ascii="Times New Roman" w:eastAsia="Times New Roman" w:hAnsi="Times New Roman" w:cs="Times New Roman"/>
          <w:i/>
          <w:iCs/>
          <w:color w:val="373739"/>
          <w:sz w:val="24"/>
          <w:szCs w:val="24"/>
        </w:rPr>
        <w:t xml:space="preserve"> </w:t>
      </w:r>
      <w:r w:rsidRPr="00517C65">
        <w:rPr>
          <w:rFonts w:ascii="Times New Roman" w:eastAsia="Times New Roman" w:hAnsi="Times New Roman" w:cs="Times New Roman"/>
          <w:color w:val="373739"/>
          <w:sz w:val="24"/>
          <w:szCs w:val="24"/>
        </w:rPr>
        <w:t>Generally, these were generation costs that a utility incurred to serve its customers that would have been recovered</w:t>
      </w:r>
      <w:bookmarkStart w:id="7" w:name="PAGE_5093"/>
      <w:r w:rsidRPr="00517C65">
        <w:rPr>
          <w:rFonts w:ascii="Times New Roman" w:eastAsia="Times New Roman" w:hAnsi="Times New Roman" w:cs="Times New Roman"/>
          <w:color w:val="373739"/>
          <w:sz w:val="24"/>
          <w:szCs w:val="24"/>
        </w:rPr>
        <w:t xml:space="preserve"> through regulated rates before</w:t>
      </w:r>
      <w:bookmarkEnd w:id="7"/>
      <w:r w:rsidRPr="00517C65">
        <w:rPr>
          <w:rFonts w:ascii="Times New Roman" w:eastAsia="Times New Roman" w:hAnsi="Times New Roman" w:cs="Times New Roman"/>
          <w:color w:val="373739"/>
          <w:sz w:val="24"/>
          <w:szCs w:val="24"/>
        </w:rPr>
        <w:t xml:space="preserve"> competition began, but that were no longer recoverable from customers who switched to another generation provider.</w:t>
      </w:r>
      <w:r>
        <w:rPr>
          <w:rStyle w:val="FootnoteReference"/>
          <w:rFonts w:ascii="Times New Roman" w:eastAsia="Times New Roman" w:hAnsi="Times New Roman" w:cs="Times New Roman"/>
          <w:color w:val="373739"/>
          <w:sz w:val="24"/>
          <w:szCs w:val="24"/>
        </w:rPr>
        <w:footnoteReference w:id="32"/>
      </w:r>
      <w:r w:rsidRPr="00517C65">
        <w:rPr>
          <w:rFonts w:ascii="Times New Roman" w:eastAsia="Times New Roman" w:hAnsi="Times New Roman" w:cs="Times New Roman"/>
          <w:color w:val="373739"/>
          <w:sz w:val="24"/>
          <w:szCs w:val="24"/>
        </w:rPr>
        <w:t xml:space="preserve">  The idea behind transition revenue was to allow the utility to avoid having to either absorb these costs or shift the burden of recovery onto remaining customers.</w:t>
      </w:r>
      <w:r>
        <w:rPr>
          <w:rStyle w:val="FootnoteReference"/>
          <w:rFonts w:ascii="Times New Roman" w:eastAsia="Times New Roman" w:hAnsi="Times New Roman" w:cs="Times New Roman"/>
          <w:color w:val="373739"/>
          <w:sz w:val="24"/>
          <w:szCs w:val="24"/>
        </w:rPr>
        <w:footnoteReference w:id="33"/>
      </w:r>
      <w:bookmarkStart w:id="8" w:name="PAGE_3359"/>
    </w:p>
    <w:p w:rsidR="00AD4CE2" w:rsidRPr="00517C65" w:rsidP="00775C0C">
      <w:pPr>
        <w:spacing w:after="0" w:line="480" w:lineRule="auto"/>
        <w:ind w:firstLine="720"/>
        <w:rPr>
          <w:rFonts w:ascii="Times New Roman" w:eastAsia="Times New Roman" w:hAnsi="Times New Roman" w:cs="Times New Roman"/>
          <w:color w:val="373739"/>
          <w:sz w:val="24"/>
          <w:szCs w:val="24"/>
        </w:rPr>
      </w:pPr>
      <w:r w:rsidRPr="00517C65">
        <w:rPr>
          <w:rFonts w:ascii="Times New Roman" w:eastAsia="Times New Roman" w:hAnsi="Times New Roman" w:cs="Times New Roman"/>
          <w:color w:val="373739"/>
          <w:sz w:val="24"/>
          <w:szCs w:val="24"/>
        </w:rPr>
        <w:t>In 1999, the General Assembly enacted S.B. 3 "to facilitate and encourage development of competition in the retail electric market."</w:t>
      </w:r>
      <w:r>
        <w:rPr>
          <w:rStyle w:val="FootnoteReference"/>
          <w:rFonts w:ascii="Times New Roman" w:eastAsia="Times New Roman" w:hAnsi="Times New Roman" w:cs="Times New Roman"/>
          <w:color w:val="373739"/>
          <w:sz w:val="24"/>
          <w:szCs w:val="24"/>
        </w:rPr>
        <w:footnoteReference w:id="34"/>
      </w:r>
      <w:r w:rsidRPr="00517C65">
        <w:rPr>
          <w:rFonts w:ascii="Times New Roman" w:eastAsia="Times New Roman" w:hAnsi="Times New Roman" w:cs="Times New Roman"/>
          <w:color w:val="373739"/>
          <w:sz w:val="24"/>
          <w:szCs w:val="24"/>
        </w:rPr>
        <w:t xml:space="preserve"> Enacted as part of S.B. 3, </w:t>
      </w:r>
      <w:r w:rsidRPr="00517C65">
        <w:rPr>
          <w:rFonts w:ascii="Times New Roman" w:eastAsia="Times New Roman" w:hAnsi="Times New Roman" w:cs="Times New Roman"/>
          <w:sz w:val="24"/>
          <w:szCs w:val="24"/>
        </w:rPr>
        <w:t>R.C. 4928.37</w:t>
      </w:r>
      <w:r w:rsidRPr="00517C65">
        <w:rPr>
          <w:rFonts w:ascii="Times New Roman" w:eastAsia="Times New Roman" w:hAnsi="Times New Roman" w:cs="Times New Roman"/>
          <w:color w:val="373739"/>
          <w:sz w:val="24"/>
          <w:szCs w:val="24"/>
        </w:rPr>
        <w:t xml:space="preserve"> provided each electric utility with a limited opportunity "to receive transition revenues that may assist it in making the transition to a fully competitive retail electric generation market." Utilities had until December 31, 2005</w:t>
      </w:r>
      <w:r>
        <w:rPr>
          <w:rStyle w:val="FootnoteReference"/>
          <w:rFonts w:ascii="Times New Roman" w:eastAsia="Times New Roman" w:hAnsi="Times New Roman" w:cs="Times New Roman"/>
          <w:color w:val="373739"/>
          <w:sz w:val="24"/>
          <w:szCs w:val="24"/>
        </w:rPr>
        <w:footnoteReference w:id="35"/>
      </w:r>
      <w:r w:rsidRPr="00517C65">
        <w:rPr>
          <w:rFonts w:ascii="Times New Roman" w:eastAsia="Times New Roman" w:hAnsi="Times New Roman" w:cs="Times New Roman"/>
          <w:color w:val="373739"/>
          <w:sz w:val="24"/>
          <w:szCs w:val="24"/>
        </w:rPr>
        <w:t xml:space="preserve"> to receive generation transition revenue.</w:t>
      </w:r>
      <w:r>
        <w:rPr>
          <w:rStyle w:val="FootnoteReference"/>
          <w:rFonts w:ascii="Times New Roman" w:eastAsia="Times New Roman" w:hAnsi="Times New Roman" w:cs="Times New Roman"/>
          <w:color w:val="373739"/>
          <w:sz w:val="24"/>
          <w:szCs w:val="24"/>
        </w:rPr>
        <w:footnoteReference w:id="36"/>
      </w:r>
      <w:r w:rsidRPr="00517C65">
        <w:rPr>
          <w:rFonts w:ascii="Times New Roman" w:eastAsia="Times New Roman" w:hAnsi="Times New Roman" w:cs="Times New Roman"/>
          <w:color w:val="373739"/>
          <w:sz w:val="24"/>
          <w:szCs w:val="24"/>
        </w:rPr>
        <w:t xml:space="preserve">  After the market development period, </w:t>
      </w:r>
      <w:r w:rsidRPr="00517C65">
        <w:rPr>
          <w:rFonts w:ascii="Times New Roman" w:eastAsia="Times New Roman" w:hAnsi="Times New Roman" w:cs="Times New Roman"/>
          <w:sz w:val="24"/>
          <w:szCs w:val="24"/>
        </w:rPr>
        <w:t>R.C. 4928.38</w:t>
      </w:r>
      <w:r w:rsidRPr="00517C65">
        <w:rPr>
          <w:rFonts w:ascii="Times New Roman" w:eastAsia="Times New Roman" w:hAnsi="Times New Roman" w:cs="Times New Roman"/>
          <w:color w:val="373739"/>
          <w:sz w:val="24"/>
          <w:szCs w:val="24"/>
        </w:rPr>
        <w:t xml:space="preserve"> prohibits the PUCO from "authoriz[ing] the receipt of transition revenues or any equivalent revenues by an electric utility[.]" </w:t>
      </w:r>
      <w:bookmarkEnd w:id="8"/>
    </w:p>
    <w:p w:rsidR="00E7794B" w:rsidRPr="00517C65" w:rsidP="00775C0C">
      <w:pPr>
        <w:spacing w:after="0" w:line="480" w:lineRule="auto"/>
        <w:ind w:firstLine="720"/>
        <w:rPr>
          <w:rFonts w:ascii="Times New Roman" w:eastAsia="Times New Roman" w:hAnsi="Times New Roman" w:cs="Times New Roman"/>
          <w:color w:val="373739"/>
          <w:sz w:val="24"/>
          <w:szCs w:val="24"/>
        </w:rPr>
      </w:pPr>
      <w:r w:rsidRPr="00517C65">
        <w:rPr>
          <w:rFonts w:ascii="Times New Roman" w:eastAsia="Times New Roman" w:hAnsi="Times New Roman" w:cs="Times New Roman"/>
          <w:sz w:val="24"/>
          <w:szCs w:val="24"/>
        </w:rPr>
        <w:t>R.C. 4928.141(A)</w:t>
      </w:r>
      <w:r w:rsidRPr="00517C65">
        <w:rPr>
          <w:rFonts w:ascii="Times New Roman" w:eastAsia="Times New Roman" w:hAnsi="Times New Roman" w:cs="Times New Roman"/>
          <w:color w:val="373739"/>
          <w:sz w:val="24"/>
          <w:szCs w:val="24"/>
        </w:rPr>
        <w:t>, enacted as part of S.B. 221, expressly prohibits the recovery of transition costs by providing that a</w:t>
      </w:r>
      <w:r>
        <w:rPr>
          <w:rFonts w:ascii="Times New Roman" w:eastAsia="Times New Roman" w:hAnsi="Times New Roman" w:cs="Times New Roman"/>
          <w:color w:val="373739"/>
          <w:sz w:val="24"/>
          <w:szCs w:val="24"/>
        </w:rPr>
        <w:t>n</w:t>
      </w:r>
      <w:r w:rsidRPr="00517C65">
        <w:rPr>
          <w:rFonts w:ascii="Times New Roman" w:eastAsia="Times New Roman" w:hAnsi="Times New Roman" w:cs="Times New Roman"/>
          <w:color w:val="373739"/>
          <w:sz w:val="24"/>
          <w:szCs w:val="24"/>
        </w:rPr>
        <w:t xml:space="preserve"> </w:t>
      </w:r>
      <w:r>
        <w:rPr>
          <w:rFonts w:ascii="Times New Roman" w:eastAsia="Times New Roman" w:hAnsi="Times New Roman" w:cs="Times New Roman"/>
          <w:color w:val="373739"/>
          <w:sz w:val="24"/>
          <w:szCs w:val="24"/>
        </w:rPr>
        <w:t>SSO</w:t>
      </w:r>
      <w:r w:rsidRPr="00517C65">
        <w:rPr>
          <w:rFonts w:ascii="Times New Roman" w:eastAsia="Times New Roman" w:hAnsi="Times New Roman" w:cs="Times New Roman"/>
          <w:color w:val="373739"/>
          <w:sz w:val="24"/>
          <w:szCs w:val="24"/>
        </w:rPr>
        <w:t xml:space="preserve"> made through an ESP "shall exclude any previously authorized allowances for transition costs, with such exclusion being effective on and after the date that the allowance is scheduled to end under the utility's rate plan."  The Ohio Supreme Court, on two recent and separate occasions (one of which involved DP&amp;L), found that charges to support utilities’ financially floundering generation assets are illegal transition charges regardless of what a utility – or the PUCO – calls them.</w:t>
      </w:r>
      <w:r>
        <w:rPr>
          <w:rStyle w:val="FootnoteReference"/>
          <w:rFonts w:ascii="Times New Roman" w:eastAsia="Times New Roman" w:hAnsi="Times New Roman" w:cs="Times New Roman"/>
          <w:color w:val="373739"/>
          <w:sz w:val="24"/>
          <w:szCs w:val="24"/>
        </w:rPr>
        <w:footnoteReference w:id="37"/>
      </w:r>
    </w:p>
    <w:p w:rsidR="001D3C4F" w:rsidRPr="00517C65" w:rsidP="00225B94">
      <w:pPr>
        <w:pStyle w:val="Heading2"/>
      </w:pPr>
      <w:bookmarkStart w:id="9" w:name="_Toc481762033"/>
      <w:r w:rsidRPr="00517C65">
        <w:t>DP&amp;L charged consumers $673.3 million in “stability charges</w:t>
      </w:r>
      <w:r>
        <w:t>,</w:t>
      </w:r>
      <w:r w:rsidRPr="00517C65">
        <w:t>” the most recent of which was held to be an illegal transition charge by the Ohio Supreme Court, and now wants to take $315 million more of consumers’ money</w:t>
      </w:r>
      <w:r>
        <w:t>.</w:t>
      </w:r>
      <w:bookmarkEnd w:id="9"/>
    </w:p>
    <w:p w:rsidR="004E0227" w:rsidRPr="00517C65" w:rsidP="004E0227">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In its first ESP, DP&amp;L asked for and received a Rate Stabilization Charge (“RSC”) to compensate it for providing stabilized rates and Provider of Last Resort</w:t>
      </w:r>
      <w:r>
        <w:rPr>
          <w:rFonts w:ascii="Times New Roman" w:hAnsi="Times New Roman" w:cs="Times New Roman"/>
          <w:sz w:val="24"/>
          <w:szCs w:val="24"/>
        </w:rPr>
        <w:t xml:space="preserve"> </w:t>
      </w:r>
      <w:r w:rsidRPr="00517C65">
        <w:rPr>
          <w:rFonts w:ascii="Times New Roman" w:hAnsi="Times New Roman" w:cs="Times New Roman"/>
          <w:sz w:val="24"/>
          <w:szCs w:val="24"/>
        </w:rPr>
        <w:t>service.</w:t>
      </w:r>
      <w:r>
        <w:rPr>
          <w:rStyle w:val="FootnoteReference"/>
          <w:rFonts w:ascii="Times New Roman" w:hAnsi="Times New Roman" w:cs="Times New Roman"/>
          <w:sz w:val="24"/>
          <w:szCs w:val="24"/>
        </w:rPr>
        <w:footnoteReference w:id="38"/>
      </w:r>
      <w:r w:rsidRPr="00517C65">
        <w:rPr>
          <w:rFonts w:ascii="Times New Roman" w:hAnsi="Times New Roman" w:cs="Times New Roman"/>
          <w:sz w:val="24"/>
          <w:szCs w:val="24"/>
        </w:rPr>
        <w:t xml:space="preserve">  Under the RSC, DP&amp;L charged consumers $76,250,127 a year.</w:t>
      </w:r>
      <w:r>
        <w:rPr>
          <w:rStyle w:val="FootnoteReference"/>
          <w:rFonts w:ascii="Times New Roman" w:hAnsi="Times New Roman" w:cs="Times New Roman"/>
          <w:sz w:val="24"/>
          <w:szCs w:val="24"/>
        </w:rPr>
        <w:footnoteReference w:id="39"/>
      </w:r>
      <w:r w:rsidRPr="00517C65">
        <w:rPr>
          <w:rFonts w:ascii="Times New Roman" w:hAnsi="Times New Roman" w:cs="Times New Roman"/>
          <w:sz w:val="24"/>
          <w:szCs w:val="24"/>
        </w:rPr>
        <w:t xml:space="preserve">  In its second ESP, DP&amp;L asked for and received a Service Stability Rider to stabilize electric service by maintaining its financial integrity.</w:t>
      </w:r>
      <w:r>
        <w:rPr>
          <w:rStyle w:val="FootnoteReference"/>
          <w:rFonts w:ascii="Times New Roman" w:hAnsi="Times New Roman" w:cs="Times New Roman"/>
          <w:sz w:val="24"/>
          <w:szCs w:val="24"/>
        </w:rPr>
        <w:footnoteReference w:id="40"/>
      </w:r>
      <w:r w:rsidRPr="00517C65">
        <w:rPr>
          <w:rFonts w:ascii="Times New Roman" w:hAnsi="Times New Roman" w:cs="Times New Roman"/>
          <w:sz w:val="24"/>
          <w:szCs w:val="24"/>
        </w:rPr>
        <w:t xml:space="preserve">  Under the SSR, DP&amp;L charged consumers $110 million a year.  The Ohio Supreme Court recently held that the SSR was an illegal transition charge.</w:t>
      </w:r>
      <w:r>
        <w:rPr>
          <w:rStyle w:val="FootnoteReference"/>
          <w:rFonts w:ascii="Times New Roman" w:hAnsi="Times New Roman" w:cs="Times New Roman"/>
          <w:sz w:val="24"/>
          <w:szCs w:val="24"/>
        </w:rPr>
        <w:footnoteReference w:id="41"/>
      </w:r>
      <w:r w:rsidRPr="00517C65">
        <w:rPr>
          <w:rFonts w:ascii="Times New Roman" w:hAnsi="Times New Roman" w:cs="Times New Roman"/>
          <w:sz w:val="24"/>
          <w:szCs w:val="24"/>
        </w:rPr>
        <w:t xml:space="preserve">  Despite this ruling, DP&amp;L has kept all of its customers’ money – money that it never should have collected.  </w:t>
      </w:r>
    </w:p>
    <w:p w:rsidR="00AB3ACD" w:rsidRPr="00517C65" w:rsidP="00CA448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$673.3 million charged by DP&amp;L to stabilize electric service by maintaining its financial integrity was apparently not enough.  DP&amp;L is back again.  The DMR, now proposed by DP&amp;L, is also alleged to be about stabilizing electric service by maintaining DP&amp;L’s financial integrity.</w:t>
      </w:r>
      <w:r>
        <w:rPr>
          <w:rStyle w:val="FootnoteReference"/>
          <w:rFonts w:ascii="Times New Roman" w:hAnsi="Times New Roman" w:cs="Times New Roman"/>
          <w:sz w:val="24"/>
          <w:szCs w:val="24"/>
        </w:rPr>
        <w:footnoteReference w:id="42"/>
      </w:r>
      <w:r w:rsidRPr="00517C65">
        <w:rPr>
          <w:rFonts w:ascii="Times New Roman" w:hAnsi="Times New Roman" w:cs="Times New Roman"/>
          <w:sz w:val="24"/>
          <w:szCs w:val="24"/>
        </w:rPr>
        <w:t xml:space="preserve">  After allowing DP&amp;L to take nearly $700 million of Ohioans’ money (including hundreds of millions of </w:t>
      </w:r>
      <w:r>
        <w:rPr>
          <w:rFonts w:ascii="Times New Roman" w:hAnsi="Times New Roman" w:cs="Times New Roman"/>
          <w:sz w:val="24"/>
          <w:szCs w:val="24"/>
        </w:rPr>
        <w:t>dollars the Ohio Supreme Court found to be unlawful</w:t>
      </w:r>
      <w:r w:rsidRPr="00517C65">
        <w:rPr>
          <w:rFonts w:ascii="Times New Roman" w:hAnsi="Times New Roman" w:cs="Times New Roman"/>
          <w:sz w:val="24"/>
          <w:szCs w:val="24"/>
        </w:rPr>
        <w:t xml:space="preserve">) </w:t>
      </w:r>
      <w:r>
        <w:rPr>
          <w:rFonts w:ascii="Times New Roman" w:hAnsi="Times New Roman" w:cs="Times New Roman"/>
          <w:sz w:val="24"/>
          <w:szCs w:val="24"/>
        </w:rPr>
        <w:t xml:space="preserve">for financial integrity, </w:t>
      </w:r>
      <w:r w:rsidRPr="00517C65">
        <w:rPr>
          <w:rFonts w:ascii="Times New Roman" w:hAnsi="Times New Roman" w:cs="Times New Roman"/>
          <w:sz w:val="24"/>
          <w:szCs w:val="24"/>
        </w:rPr>
        <w:t xml:space="preserve">the PUCO should be wary of throwing more of consumer’s good money after bad. This is particularly true given that the PUCO has already </w:t>
      </w:r>
      <w:r>
        <w:rPr>
          <w:rFonts w:ascii="Times New Roman" w:hAnsi="Times New Roman" w:cs="Times New Roman"/>
          <w:sz w:val="24"/>
          <w:szCs w:val="24"/>
        </w:rPr>
        <w:t xml:space="preserve">created a windfall for </w:t>
      </w:r>
      <w:r w:rsidRPr="00517C65">
        <w:rPr>
          <w:rFonts w:ascii="Times New Roman" w:hAnsi="Times New Roman" w:cs="Times New Roman"/>
          <w:sz w:val="24"/>
          <w:szCs w:val="24"/>
        </w:rPr>
        <w:t xml:space="preserve">DP&amp;L by allowing it to </w:t>
      </w:r>
      <w:r>
        <w:rPr>
          <w:rFonts w:ascii="Times New Roman" w:hAnsi="Times New Roman" w:cs="Times New Roman"/>
          <w:sz w:val="24"/>
          <w:szCs w:val="24"/>
        </w:rPr>
        <w:t xml:space="preserve">keep </w:t>
      </w:r>
      <w:r w:rsidRPr="00517C65">
        <w:rPr>
          <w:rFonts w:ascii="Times New Roman" w:hAnsi="Times New Roman" w:cs="Times New Roman"/>
          <w:sz w:val="24"/>
          <w:szCs w:val="24"/>
        </w:rPr>
        <w:t>hundreds of millions of dollars of consumers’ money under the SSR</w:t>
      </w:r>
      <w:r>
        <w:rPr>
          <w:rFonts w:ascii="Times New Roman" w:hAnsi="Times New Roman" w:cs="Times New Roman"/>
          <w:sz w:val="24"/>
          <w:szCs w:val="24"/>
        </w:rPr>
        <w:t>, even though the Supreme Court ruled the SSR was unlawful</w:t>
      </w:r>
      <w:r w:rsidRPr="00517C65">
        <w:rPr>
          <w:rFonts w:ascii="Times New Roman" w:hAnsi="Times New Roman" w:cs="Times New Roman"/>
          <w:sz w:val="24"/>
          <w:szCs w:val="24"/>
        </w:rPr>
        <w:t>.</w:t>
      </w:r>
    </w:p>
    <w:p w:rsidR="00CA4485" w:rsidRPr="00517C65" w:rsidP="00613D45">
      <w:pPr>
        <w:spacing w:after="0" w:line="240" w:lineRule="auto"/>
        <w:ind w:firstLine="720"/>
        <w:rPr>
          <w:rFonts w:ascii="Times New Roman" w:hAnsi="Times New Roman" w:cs="Times New Roman"/>
          <w:sz w:val="24"/>
          <w:szCs w:val="24"/>
        </w:rPr>
      </w:pPr>
    </w:p>
    <w:p w:rsidR="006D5B11" w:rsidRPr="00517C65" w:rsidP="005715B3">
      <w:pPr>
        <w:pStyle w:val="Heading1"/>
      </w:pPr>
      <w:bookmarkStart w:id="10" w:name="_Toc481762034"/>
      <w:r w:rsidRPr="00517C65">
        <w:t xml:space="preserve">III. </w:t>
      </w:r>
      <w:r w:rsidRPr="00517C65">
        <w:tab/>
        <w:t>STANDARD OF REVIEW</w:t>
      </w:r>
      <w:bookmarkEnd w:id="10"/>
    </w:p>
    <w:p w:rsidR="006D5B11" w:rsidRPr="00517C65" w:rsidP="00090D45">
      <w:pPr>
        <w:autoSpaceDE w:val="0"/>
        <w:autoSpaceDN w:val="0"/>
        <w:adjustRightInd w:val="0"/>
        <w:spacing w:after="0" w:line="480" w:lineRule="auto"/>
        <w:ind w:firstLine="720"/>
        <w:jc w:val="both"/>
        <w:rPr>
          <w:rFonts w:ascii="Times New Roman" w:hAnsi="Times New Roman" w:cs="Times New Roman"/>
          <w:sz w:val="24"/>
          <w:szCs w:val="24"/>
        </w:rPr>
      </w:pPr>
      <w:r w:rsidRPr="00517C65">
        <w:rPr>
          <w:rFonts w:ascii="Times New Roman" w:hAnsi="Times New Roman" w:cs="Times New Roman"/>
          <w:sz w:val="24"/>
          <w:szCs w:val="24"/>
        </w:rPr>
        <w:t xml:space="preserve">The Ohio Supreme Court stated in </w:t>
      </w:r>
      <w:r w:rsidRPr="00517C65">
        <w:rPr>
          <w:rFonts w:ascii="Times New Roman" w:hAnsi="Times New Roman" w:cs="Times New Roman"/>
          <w:i/>
          <w:iCs/>
          <w:sz w:val="24"/>
          <w:szCs w:val="24"/>
        </w:rPr>
        <w:t>Duff v. Pub. Util. Comm.</w:t>
      </w:r>
      <w:r>
        <w:rPr>
          <w:rStyle w:val="FootnoteReference"/>
          <w:rFonts w:ascii="Times New Roman" w:hAnsi="Times New Roman" w:cs="Times New Roman"/>
          <w:i/>
          <w:iCs/>
          <w:sz w:val="24"/>
          <w:szCs w:val="24"/>
        </w:rPr>
        <w:footnoteReference w:id="43"/>
      </w:r>
      <w:r w:rsidRPr="00517C65">
        <w:rPr>
          <w:rFonts w:ascii="Times New Roman" w:hAnsi="Times New Roman" w:cs="Times New Roman"/>
          <w:sz w:val="24"/>
          <w:szCs w:val="24"/>
        </w:rPr>
        <w:t xml:space="preserve"> that a stipulation is</w:t>
      </w:r>
    </w:p>
    <w:p w:rsidR="006D5B11" w:rsidRPr="00517C65" w:rsidP="00090D45">
      <w:pPr>
        <w:autoSpaceDE w:val="0"/>
        <w:autoSpaceDN w:val="0"/>
        <w:adjustRightInd w:val="0"/>
        <w:spacing w:after="0" w:line="480" w:lineRule="auto"/>
        <w:jc w:val="both"/>
        <w:rPr>
          <w:rFonts w:ascii="Times New Roman" w:hAnsi="Times New Roman" w:cs="Times New Roman"/>
          <w:sz w:val="24"/>
          <w:szCs w:val="24"/>
        </w:rPr>
      </w:pPr>
      <w:r w:rsidRPr="00517C65">
        <w:rPr>
          <w:rFonts w:ascii="Times New Roman" w:hAnsi="Times New Roman" w:cs="Times New Roman"/>
          <w:sz w:val="24"/>
          <w:szCs w:val="24"/>
        </w:rPr>
        <w:t>merely a recommendation that is not legally binding upon the PUCO. The PUCO “may</w:t>
      </w:r>
    </w:p>
    <w:p w:rsidR="006D5B11" w:rsidRPr="00517C65" w:rsidP="00090D45">
      <w:pPr>
        <w:autoSpaceDE w:val="0"/>
        <w:autoSpaceDN w:val="0"/>
        <w:adjustRightInd w:val="0"/>
        <w:spacing w:after="0" w:line="480" w:lineRule="auto"/>
        <w:jc w:val="both"/>
        <w:rPr>
          <w:rFonts w:ascii="Times New Roman" w:hAnsi="Times New Roman" w:cs="Times New Roman"/>
          <w:sz w:val="24"/>
          <w:szCs w:val="24"/>
        </w:rPr>
      </w:pPr>
      <w:r w:rsidRPr="00517C65">
        <w:rPr>
          <w:rFonts w:ascii="Times New Roman" w:hAnsi="Times New Roman" w:cs="Times New Roman"/>
          <w:sz w:val="24"/>
          <w:szCs w:val="24"/>
        </w:rPr>
        <w:t>take the stipulation into consideration, but must determine what is just and reasonable</w:t>
      </w:r>
    </w:p>
    <w:p w:rsidR="006D5B11" w:rsidRPr="00517C65" w:rsidP="00090D45">
      <w:pPr>
        <w:autoSpaceDE w:val="0"/>
        <w:autoSpaceDN w:val="0"/>
        <w:adjustRightInd w:val="0"/>
        <w:spacing w:after="0" w:line="480" w:lineRule="auto"/>
        <w:jc w:val="both"/>
        <w:rPr>
          <w:rFonts w:ascii="Times New Roman" w:hAnsi="Times New Roman" w:cs="Times New Roman"/>
          <w:sz w:val="24"/>
          <w:szCs w:val="24"/>
        </w:rPr>
      </w:pPr>
      <w:r w:rsidRPr="00517C65">
        <w:rPr>
          <w:rFonts w:ascii="Times New Roman" w:hAnsi="Times New Roman" w:cs="Times New Roman"/>
          <w:sz w:val="24"/>
          <w:szCs w:val="24"/>
        </w:rPr>
        <w:t>from the evidence presented at the hearing.”</w:t>
      </w:r>
      <w:r>
        <w:rPr>
          <w:rStyle w:val="FootnoteReference"/>
          <w:rFonts w:ascii="Times New Roman" w:hAnsi="Times New Roman" w:cs="Times New Roman"/>
          <w:sz w:val="24"/>
          <w:szCs w:val="24"/>
        </w:rPr>
        <w:footnoteReference w:id="44"/>
      </w:r>
      <w:r w:rsidRPr="00517C65">
        <w:rPr>
          <w:rFonts w:ascii="Times New Roman" w:hAnsi="Times New Roman" w:cs="Times New Roman"/>
          <w:sz w:val="24"/>
          <w:szCs w:val="24"/>
        </w:rPr>
        <w:t xml:space="preserve">  The </w:t>
      </w:r>
      <w:r>
        <w:rPr>
          <w:rFonts w:ascii="Times New Roman" w:hAnsi="Times New Roman" w:cs="Times New Roman"/>
          <w:sz w:val="24"/>
          <w:szCs w:val="24"/>
        </w:rPr>
        <w:t xml:space="preserve">Ohio Supreme </w:t>
      </w:r>
      <w:r w:rsidRPr="00517C65">
        <w:rPr>
          <w:rFonts w:ascii="Times New Roman" w:hAnsi="Times New Roman" w:cs="Times New Roman"/>
          <w:sz w:val="24"/>
          <w:szCs w:val="24"/>
        </w:rPr>
        <w:t xml:space="preserve">Court in </w:t>
      </w:r>
      <w:r w:rsidRPr="00517C65">
        <w:rPr>
          <w:rFonts w:ascii="Times New Roman" w:hAnsi="Times New Roman" w:cs="Times New Roman"/>
          <w:i/>
          <w:iCs/>
          <w:sz w:val="24"/>
          <w:szCs w:val="24"/>
        </w:rPr>
        <w:t>Consumers’ Counsel v. Pub. Util. Com.</w:t>
      </w:r>
      <w:r>
        <w:rPr>
          <w:rStyle w:val="FootnoteReference"/>
          <w:rFonts w:ascii="Times New Roman" w:hAnsi="Times New Roman" w:cs="Times New Roman"/>
          <w:iCs/>
          <w:sz w:val="24"/>
          <w:szCs w:val="24"/>
        </w:rPr>
        <w:footnoteReference w:id="45"/>
      </w:r>
      <w:r w:rsidRPr="00517C65">
        <w:rPr>
          <w:rFonts w:ascii="Times New Roman" w:hAnsi="Times New Roman" w:cs="Times New Roman"/>
          <w:sz w:val="24"/>
          <w:szCs w:val="24"/>
        </w:rPr>
        <w:t xml:space="preserve"> considered whether a just and reasonable result was achieved with reference to criteria adopted by the PUCO in evaluating settlements:</w:t>
      </w:r>
    </w:p>
    <w:p w:rsidR="006D5B11" w:rsidRPr="00517C65" w:rsidP="004A25FC">
      <w:pPr>
        <w:autoSpaceDE w:val="0"/>
        <w:autoSpaceDN w:val="0"/>
        <w:adjustRightInd w:val="0"/>
        <w:spacing w:after="0" w:line="240" w:lineRule="auto"/>
        <w:jc w:val="both"/>
        <w:rPr>
          <w:rFonts w:ascii="Times New Roman" w:hAnsi="Times New Roman" w:cs="Times New Roman"/>
          <w:sz w:val="24"/>
          <w:szCs w:val="24"/>
        </w:rPr>
      </w:pPr>
    </w:p>
    <w:p w:rsidR="006D5B11" w:rsidRPr="00517C65" w:rsidP="00C81B66">
      <w:pPr>
        <w:pStyle w:val="ListParagraph"/>
        <w:numPr>
          <w:ilvl w:val="0"/>
          <w:numId w:val="8"/>
        </w:numPr>
        <w:spacing w:after="0" w:line="240" w:lineRule="auto"/>
        <w:ind w:left="2160" w:right="720" w:hanging="720"/>
        <w:rPr>
          <w:rFonts w:ascii="Times New Roman" w:hAnsi="Times New Roman" w:cs="Times New Roman"/>
          <w:sz w:val="24"/>
          <w:szCs w:val="24"/>
        </w:rPr>
      </w:pPr>
      <w:r w:rsidRPr="00517C65">
        <w:rPr>
          <w:rFonts w:ascii="Times New Roman" w:hAnsi="Times New Roman" w:cs="Times New Roman"/>
          <w:sz w:val="24"/>
          <w:szCs w:val="24"/>
        </w:rPr>
        <w:t>Is the settlement a product of serious bargaining among</w:t>
      </w:r>
    </w:p>
    <w:p w:rsidR="006D5B11" w:rsidRPr="00517C65" w:rsidP="00225B94">
      <w:pPr>
        <w:spacing w:after="0" w:line="240" w:lineRule="auto"/>
        <w:ind w:left="2160" w:right="720"/>
        <w:rPr>
          <w:rFonts w:ascii="Times New Roman" w:hAnsi="Times New Roman" w:cs="Times New Roman"/>
          <w:sz w:val="24"/>
          <w:szCs w:val="24"/>
        </w:rPr>
      </w:pPr>
      <w:r w:rsidRPr="00517C65">
        <w:rPr>
          <w:rFonts w:ascii="Times New Roman" w:hAnsi="Times New Roman" w:cs="Times New Roman"/>
          <w:sz w:val="24"/>
          <w:szCs w:val="24"/>
        </w:rPr>
        <w:t>capable, knowledgeable parties, where there is diversity of</w:t>
      </w:r>
    </w:p>
    <w:p w:rsidR="006D5B11" w:rsidP="00C81B66">
      <w:pPr>
        <w:spacing w:after="0" w:line="240" w:lineRule="auto"/>
        <w:ind w:left="2160"/>
        <w:rPr>
          <w:rFonts w:ascii="Times New Roman" w:hAnsi="Times New Roman" w:cs="Times New Roman"/>
          <w:sz w:val="24"/>
          <w:szCs w:val="24"/>
        </w:rPr>
      </w:pPr>
      <w:r w:rsidRPr="00517C65">
        <w:rPr>
          <w:rFonts w:ascii="Times New Roman" w:hAnsi="Times New Roman" w:cs="Times New Roman"/>
          <w:sz w:val="24"/>
          <w:szCs w:val="24"/>
        </w:rPr>
        <w:t>interests among the stipulating parties?</w:t>
      </w:r>
    </w:p>
    <w:p w:rsidR="00C81B66" w:rsidRPr="00517C65" w:rsidP="00C81B66">
      <w:pPr>
        <w:spacing w:after="0" w:line="240" w:lineRule="auto"/>
        <w:ind w:left="2160"/>
        <w:rPr>
          <w:rFonts w:ascii="Times New Roman" w:hAnsi="Times New Roman" w:cs="Times New Roman"/>
          <w:sz w:val="24"/>
          <w:szCs w:val="24"/>
        </w:rPr>
      </w:pPr>
    </w:p>
    <w:p w:rsidR="00117728" w:rsidRPr="00517C65" w:rsidP="00CA4485">
      <w:pPr>
        <w:pStyle w:val="ListParagraph"/>
        <w:numPr>
          <w:ilvl w:val="0"/>
          <w:numId w:val="8"/>
        </w:numPr>
        <w:autoSpaceDE w:val="0"/>
        <w:autoSpaceDN w:val="0"/>
        <w:adjustRightInd w:val="0"/>
        <w:spacing w:after="0" w:line="240" w:lineRule="auto"/>
        <w:ind w:left="2160" w:right="720" w:hanging="720"/>
        <w:rPr>
          <w:rFonts w:ascii="Times New Roman" w:hAnsi="Times New Roman" w:cs="Times New Roman"/>
          <w:sz w:val="24"/>
          <w:szCs w:val="24"/>
        </w:rPr>
      </w:pPr>
      <w:r w:rsidRPr="00517C65">
        <w:rPr>
          <w:rFonts w:ascii="Times New Roman" w:hAnsi="Times New Roman" w:cs="Times New Roman"/>
          <w:sz w:val="24"/>
          <w:szCs w:val="24"/>
        </w:rPr>
        <w:t>Does the settlement, as a package, benefit ratepayers and the public interest?</w:t>
      </w:r>
    </w:p>
    <w:p w:rsidR="00CA4485" w:rsidRPr="00517C65" w:rsidP="00CA4485">
      <w:pPr>
        <w:pStyle w:val="ListParagraph"/>
        <w:autoSpaceDE w:val="0"/>
        <w:autoSpaceDN w:val="0"/>
        <w:adjustRightInd w:val="0"/>
        <w:spacing w:after="0" w:line="240" w:lineRule="auto"/>
        <w:ind w:left="2160" w:right="720"/>
        <w:rPr>
          <w:rFonts w:ascii="Times New Roman" w:hAnsi="Times New Roman" w:cs="Times New Roman"/>
          <w:sz w:val="24"/>
          <w:szCs w:val="24"/>
        </w:rPr>
      </w:pPr>
    </w:p>
    <w:p w:rsidR="00117728" w:rsidRPr="00517C65" w:rsidP="00CA4485">
      <w:pPr>
        <w:pStyle w:val="ListParagraph"/>
        <w:numPr>
          <w:ilvl w:val="0"/>
          <w:numId w:val="8"/>
        </w:numPr>
        <w:autoSpaceDE w:val="0"/>
        <w:autoSpaceDN w:val="0"/>
        <w:adjustRightInd w:val="0"/>
        <w:spacing w:after="0" w:line="240" w:lineRule="auto"/>
        <w:ind w:left="2160" w:hanging="720"/>
        <w:rPr>
          <w:rFonts w:ascii="Times New Roman" w:hAnsi="Times New Roman" w:cs="Times New Roman"/>
          <w:sz w:val="24"/>
          <w:szCs w:val="24"/>
        </w:rPr>
      </w:pPr>
      <w:r w:rsidRPr="00517C65">
        <w:rPr>
          <w:rFonts w:ascii="Times New Roman" w:hAnsi="Times New Roman" w:cs="Times New Roman"/>
          <w:sz w:val="24"/>
          <w:szCs w:val="24"/>
        </w:rPr>
        <w:t>Does the settlement package violate any important</w:t>
      </w:r>
    </w:p>
    <w:p w:rsidR="006D5B11" w:rsidRPr="00517C65" w:rsidP="00CA4485">
      <w:pPr>
        <w:ind w:left="2160" w:right="720"/>
        <w:rPr>
          <w:rFonts w:ascii="Times New Roman" w:hAnsi="Times New Roman" w:cs="Times New Roman"/>
          <w:sz w:val="24"/>
          <w:szCs w:val="24"/>
        </w:rPr>
      </w:pPr>
      <w:r w:rsidRPr="00517C65">
        <w:rPr>
          <w:rFonts w:ascii="Times New Roman" w:hAnsi="Times New Roman" w:cs="Times New Roman"/>
          <w:sz w:val="24"/>
          <w:szCs w:val="24"/>
        </w:rPr>
        <w:t>regulatory principle or practice?</w:t>
      </w:r>
    </w:p>
    <w:p w:rsidR="00117728" w:rsidRPr="00517C65" w:rsidP="008B11B3">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In evaluating settlements in ESP cases, the PUCO should recognize the parties’ asymmetrical bargaining positions, where the utility possesses superior bargaining power. As Commissioner Roberto noted in FirstEnergy’s initial ESP case filed in 2008:</w:t>
      </w:r>
    </w:p>
    <w:p w:rsidR="00225B94">
      <w:pPr>
        <w:rPr>
          <w:rFonts w:ascii="Times New Roman" w:hAnsi="Times New Roman" w:cs="Times New Roman"/>
          <w:sz w:val="24"/>
          <w:szCs w:val="24"/>
        </w:rPr>
      </w:pPr>
      <w:r>
        <w:rPr>
          <w:rFonts w:ascii="Times New Roman" w:hAnsi="Times New Roman" w:cs="Times New Roman"/>
          <w:sz w:val="24"/>
          <w:szCs w:val="24"/>
        </w:rPr>
        <w:br w:type="page"/>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When parties are capable, knowledgeable and stand equal before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the Commission, a stipulation is a valuable indicator of the parties’</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general satisfaction that the jointly recommended result will meet</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private or collective needs. It is not a substitute, however, for the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Commission’s judgment as to the public interest. The Commission</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is obligated to exercise independent judgment based on the statutes</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that it has been entrusted to implement, the record before it, and its</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specialized expertise and discretion.</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In the case of an ESP, the balance of power created by an electric</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distribution utility’s authority to withdraw a Commission-modified</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and approved plan creates a dynamic that is impossible to ignore. I</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have no reservation that the parties are indeed capable and</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knowledgeable but, because of the utility's ability to withdraw, the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remaining parties certainly do not possess equal bargaining power</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in an ESP action before the Commission. The Commission must</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consider whether an agreed-upon stipulation arising under an ESP</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represents what the parties truly view to be in their best interest –</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or simply the best that they can hope to achieve when one party</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has the singular authority to reject not only any and all modifications proffered by the other parties but the Commission’s independent judgment as to what is just and reasonable. In light of</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the Commission’s fundamental lack of authority in the context of</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an ESP application to serve as the binding arbiter of what is</w:t>
      </w:r>
    </w:p>
    <w:p w:rsidR="00117728" w:rsidRPr="00517C65" w:rsidP="00CA4485">
      <w:pPr>
        <w:autoSpaceDE w:val="0"/>
        <w:autoSpaceDN w:val="0"/>
        <w:adjustRightInd w:val="0"/>
        <w:spacing w:after="0" w:line="240" w:lineRule="auto"/>
        <w:ind w:left="1440"/>
        <w:rPr>
          <w:rFonts w:ascii="Times New Roman" w:hAnsi="Times New Roman" w:cs="Times New Roman"/>
          <w:sz w:val="24"/>
          <w:szCs w:val="24"/>
        </w:rPr>
      </w:pPr>
      <w:r w:rsidRPr="00517C65">
        <w:rPr>
          <w:rFonts w:ascii="Times New Roman" w:hAnsi="Times New Roman" w:cs="Times New Roman"/>
          <w:sz w:val="24"/>
          <w:szCs w:val="24"/>
        </w:rPr>
        <w:t>reasonable, a party’s willingness to agree with an electric</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distribution utility application cannot be afforded the same weight</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due as when an agreement arises within the context of other</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regulatory frameworks. As such, the Commission must review</w:t>
      </w:r>
    </w:p>
    <w:p w:rsidR="00117728" w:rsidRPr="00517C65" w:rsidP="00CA4485">
      <w:pPr>
        <w:ind w:left="1440" w:right="720"/>
        <w:jc w:val="both"/>
        <w:rPr>
          <w:rFonts w:ascii="Times New Roman" w:hAnsi="Times New Roman" w:cs="Times New Roman"/>
          <w:sz w:val="24"/>
          <w:szCs w:val="24"/>
        </w:rPr>
      </w:pPr>
      <w:r w:rsidRPr="00517C65">
        <w:rPr>
          <w:rFonts w:ascii="Times New Roman" w:hAnsi="Times New Roman" w:cs="Times New Roman"/>
          <w:sz w:val="24"/>
          <w:szCs w:val="24"/>
        </w:rPr>
        <w:t>carefully all terms and conditions of this stipulation.</w:t>
      </w:r>
      <w:r>
        <w:rPr>
          <w:rStyle w:val="FootnoteReference"/>
          <w:rFonts w:ascii="Times New Roman" w:hAnsi="Times New Roman" w:cs="Times New Roman"/>
          <w:sz w:val="24"/>
          <w:szCs w:val="24"/>
        </w:rPr>
        <w:footnoteReference w:id="46"/>
      </w:r>
    </w:p>
    <w:p w:rsidR="00117728" w:rsidRPr="00517C65" w:rsidP="00090D45">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Commissioners Centolella and Lemmie expressed similar concerns.</w:t>
      </w:r>
      <w:r>
        <w:rPr>
          <w:rStyle w:val="FootnoteReference"/>
          <w:rFonts w:ascii="Times New Roman" w:hAnsi="Times New Roman" w:cs="Times New Roman"/>
          <w:sz w:val="24"/>
          <w:szCs w:val="24"/>
        </w:rPr>
        <w:footnoteReference w:id="47"/>
      </w:r>
    </w:p>
    <w:p w:rsidR="00117728" w:rsidRPr="00517C65" w:rsidP="00090D45">
      <w:pPr>
        <w:autoSpaceDE w:val="0"/>
        <w:autoSpaceDN w:val="0"/>
        <w:adjustRightInd w:val="0"/>
        <w:spacing w:after="0" w:line="480" w:lineRule="auto"/>
        <w:rPr>
          <w:rFonts w:ascii="Times New Roman" w:hAnsi="Times New Roman" w:cs="Times New Roman"/>
          <w:sz w:val="24"/>
          <w:szCs w:val="24"/>
        </w:rPr>
      </w:pPr>
      <w:r w:rsidRPr="00517C65">
        <w:rPr>
          <w:rFonts w:ascii="Times New Roman" w:hAnsi="Times New Roman" w:cs="Times New Roman"/>
          <w:sz w:val="24"/>
          <w:szCs w:val="24"/>
        </w:rPr>
        <w:t>As reflected in Commissioner Roberto’s opinion, the bargaining position of an electric</w:t>
      </w:r>
    </w:p>
    <w:p w:rsidR="00117728" w:rsidRPr="00517C65" w:rsidP="00090D45">
      <w:pPr>
        <w:autoSpaceDE w:val="0"/>
        <w:autoSpaceDN w:val="0"/>
        <w:adjustRightInd w:val="0"/>
        <w:spacing w:after="0" w:line="480" w:lineRule="auto"/>
        <w:rPr>
          <w:rFonts w:ascii="Times New Roman" w:hAnsi="Times New Roman" w:cs="Times New Roman"/>
          <w:sz w:val="24"/>
          <w:szCs w:val="24"/>
        </w:rPr>
      </w:pPr>
      <w:r w:rsidRPr="00517C65">
        <w:rPr>
          <w:rFonts w:ascii="Times New Roman" w:hAnsi="Times New Roman" w:cs="Times New Roman"/>
          <w:sz w:val="24"/>
          <w:szCs w:val="24"/>
        </w:rPr>
        <w:t>distribution utility relative to other parties in an ESP proceeding is strengthened by the</w:t>
      </w:r>
    </w:p>
    <w:p w:rsidR="00117728" w:rsidRPr="00517C65" w:rsidP="00090D45">
      <w:pPr>
        <w:autoSpaceDE w:val="0"/>
        <w:autoSpaceDN w:val="0"/>
        <w:adjustRightInd w:val="0"/>
        <w:spacing w:after="0" w:line="480" w:lineRule="auto"/>
        <w:rPr>
          <w:rFonts w:ascii="Times New Roman" w:hAnsi="Times New Roman" w:cs="Times New Roman"/>
          <w:sz w:val="24"/>
          <w:szCs w:val="24"/>
        </w:rPr>
      </w:pPr>
      <w:r w:rsidRPr="00517C65">
        <w:rPr>
          <w:rFonts w:ascii="Times New Roman" w:hAnsi="Times New Roman" w:cs="Times New Roman"/>
          <w:sz w:val="24"/>
          <w:szCs w:val="24"/>
        </w:rPr>
        <w:t>ability of the electric distribution utility to reject the results from a fully litigated ESP</w:t>
      </w:r>
    </w:p>
    <w:p w:rsidR="00117728" w:rsidRPr="00517C65" w:rsidP="00090D45">
      <w:pPr>
        <w:autoSpaceDE w:val="0"/>
        <w:autoSpaceDN w:val="0"/>
        <w:adjustRightInd w:val="0"/>
        <w:spacing w:after="0" w:line="480" w:lineRule="auto"/>
        <w:rPr>
          <w:rFonts w:ascii="Times New Roman" w:hAnsi="Times New Roman" w:cs="Times New Roman"/>
          <w:sz w:val="24"/>
          <w:szCs w:val="24"/>
        </w:rPr>
      </w:pPr>
      <w:r w:rsidRPr="00517C65">
        <w:rPr>
          <w:rFonts w:ascii="Times New Roman" w:hAnsi="Times New Roman" w:cs="Times New Roman"/>
          <w:sz w:val="24"/>
          <w:szCs w:val="24"/>
        </w:rPr>
        <w:t>proceeding. And the utility’s advantage is further increased by the utility’s ability to</w:t>
      </w:r>
    </w:p>
    <w:p w:rsidR="00117728" w:rsidRPr="00517C65" w:rsidP="00090D45">
      <w:pPr>
        <w:autoSpaceDE w:val="0"/>
        <w:autoSpaceDN w:val="0"/>
        <w:adjustRightInd w:val="0"/>
        <w:spacing w:after="0" w:line="480" w:lineRule="auto"/>
        <w:rPr>
          <w:rFonts w:ascii="Times New Roman" w:hAnsi="Times New Roman" w:cs="Times New Roman"/>
          <w:sz w:val="24"/>
          <w:szCs w:val="24"/>
        </w:rPr>
      </w:pPr>
      <w:r w:rsidRPr="00517C65">
        <w:rPr>
          <w:rFonts w:ascii="Times New Roman" w:hAnsi="Times New Roman" w:cs="Times New Roman"/>
          <w:sz w:val="24"/>
          <w:szCs w:val="24"/>
        </w:rPr>
        <w:t>offer inducements, including inducements funded by other people’s money, to gain</w:t>
      </w:r>
    </w:p>
    <w:p w:rsidR="00117728" w:rsidRPr="00517C65" w:rsidP="00090D45">
      <w:pPr>
        <w:autoSpaceDE w:val="0"/>
        <w:autoSpaceDN w:val="0"/>
        <w:adjustRightInd w:val="0"/>
        <w:spacing w:after="0" w:line="480" w:lineRule="auto"/>
        <w:rPr>
          <w:rFonts w:ascii="Times New Roman" w:hAnsi="Times New Roman" w:cs="Times New Roman"/>
          <w:sz w:val="24"/>
          <w:szCs w:val="24"/>
        </w:rPr>
      </w:pPr>
      <w:r w:rsidRPr="00517C65">
        <w:rPr>
          <w:rFonts w:ascii="Times New Roman" w:hAnsi="Times New Roman" w:cs="Times New Roman"/>
          <w:sz w:val="24"/>
          <w:szCs w:val="24"/>
        </w:rPr>
        <w:t>signatures. These utility advantages should prompt a wary eye by regulators considering</w:t>
      </w:r>
    </w:p>
    <w:p w:rsidR="00117728" w:rsidRPr="00517C65" w:rsidP="00090D45">
      <w:pPr>
        <w:autoSpaceDE w:val="0"/>
        <w:autoSpaceDN w:val="0"/>
        <w:adjustRightInd w:val="0"/>
        <w:spacing w:after="0" w:line="240" w:lineRule="auto"/>
        <w:rPr>
          <w:rFonts w:ascii="Times New Roman" w:hAnsi="Times New Roman" w:cs="Times New Roman"/>
          <w:sz w:val="24"/>
          <w:szCs w:val="24"/>
        </w:rPr>
      </w:pPr>
      <w:r w:rsidRPr="00517C65">
        <w:rPr>
          <w:rFonts w:ascii="Times New Roman" w:hAnsi="Times New Roman" w:cs="Times New Roman"/>
          <w:sz w:val="24"/>
          <w:szCs w:val="24"/>
        </w:rPr>
        <w:t>the terms of a settlement that the utility negotiated.</w:t>
      </w:r>
    </w:p>
    <w:p w:rsidR="00117728" w:rsidRPr="00517C65" w:rsidP="00117728">
      <w:pPr>
        <w:autoSpaceDE w:val="0"/>
        <w:autoSpaceDN w:val="0"/>
        <w:adjustRightInd w:val="0"/>
        <w:spacing w:after="0" w:line="240" w:lineRule="auto"/>
        <w:rPr>
          <w:rFonts w:ascii="Times New Roman" w:hAnsi="Times New Roman" w:cs="Times New Roman"/>
          <w:sz w:val="24"/>
          <w:szCs w:val="24"/>
        </w:rPr>
      </w:pPr>
    </w:p>
    <w:p w:rsidR="00117728" w:rsidRPr="00517C65" w:rsidP="00090D45">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ultimate question to be answered is whether, in light of the record, DP&amp;L’s proposals are reasonable, comply with Ohio law, and are in the public interest. As</w:t>
      </w:r>
    </w:p>
    <w:p w:rsidR="00117728" w:rsidRPr="00517C65" w:rsidP="00090D45">
      <w:pPr>
        <w:autoSpaceDE w:val="0"/>
        <w:autoSpaceDN w:val="0"/>
        <w:adjustRightInd w:val="0"/>
        <w:spacing w:after="0" w:line="240" w:lineRule="auto"/>
        <w:rPr>
          <w:rFonts w:ascii="Times New Roman" w:hAnsi="Times New Roman" w:cs="Times New Roman"/>
          <w:sz w:val="24"/>
          <w:szCs w:val="24"/>
        </w:rPr>
      </w:pPr>
      <w:r w:rsidRPr="00517C65">
        <w:rPr>
          <w:rFonts w:ascii="Times New Roman" w:hAnsi="Times New Roman" w:cs="Times New Roman"/>
          <w:sz w:val="24"/>
          <w:szCs w:val="24"/>
        </w:rPr>
        <w:t>OCC shows below, DP&amp;L does not meet this standard.</w:t>
      </w:r>
    </w:p>
    <w:p w:rsidR="00117728" w:rsidRPr="00517C65" w:rsidP="00090D45">
      <w:pPr>
        <w:autoSpaceDE w:val="0"/>
        <w:autoSpaceDN w:val="0"/>
        <w:adjustRightInd w:val="0"/>
        <w:spacing w:after="0" w:line="240" w:lineRule="auto"/>
        <w:rPr>
          <w:rFonts w:ascii="Times New Roman" w:hAnsi="Times New Roman" w:cs="Times New Roman"/>
          <w:sz w:val="24"/>
          <w:szCs w:val="24"/>
        </w:rPr>
      </w:pPr>
    </w:p>
    <w:p w:rsidR="00117728" w:rsidRPr="00517C65" w:rsidP="00090D45">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In addition, the PUCO must ensure that the Settlement meets the provisions of the</w:t>
      </w:r>
    </w:p>
    <w:p w:rsidR="00117728" w:rsidRPr="00517C65" w:rsidP="00090D45">
      <w:pPr>
        <w:autoSpaceDE w:val="0"/>
        <w:autoSpaceDN w:val="0"/>
        <w:adjustRightInd w:val="0"/>
        <w:spacing w:after="0" w:line="480" w:lineRule="auto"/>
        <w:rPr>
          <w:rFonts w:ascii="Times New Roman" w:hAnsi="Times New Roman" w:cs="Times New Roman"/>
          <w:sz w:val="24"/>
          <w:szCs w:val="24"/>
        </w:rPr>
      </w:pPr>
      <w:r w:rsidRPr="00517C65">
        <w:rPr>
          <w:rFonts w:ascii="Times New Roman" w:hAnsi="Times New Roman" w:cs="Times New Roman"/>
          <w:sz w:val="24"/>
          <w:szCs w:val="24"/>
        </w:rPr>
        <w:t>Ohio Revised Code governing ESPs. The standard of review for ESP cases is found in</w:t>
      </w:r>
    </w:p>
    <w:p w:rsidR="00117728" w:rsidRPr="00517C65" w:rsidP="00090D45">
      <w:pPr>
        <w:spacing w:after="0" w:line="480" w:lineRule="auto"/>
        <w:jc w:val="both"/>
        <w:rPr>
          <w:rFonts w:ascii="Times New Roman" w:hAnsi="Times New Roman" w:cs="Times New Roman"/>
          <w:sz w:val="24"/>
          <w:szCs w:val="24"/>
        </w:rPr>
      </w:pPr>
      <w:r w:rsidRPr="00517C65">
        <w:rPr>
          <w:rFonts w:ascii="Times New Roman" w:hAnsi="Times New Roman" w:cs="Times New Roman"/>
          <w:sz w:val="24"/>
          <w:szCs w:val="24"/>
        </w:rPr>
        <w:t>R.C. 4928.143(C)(1), which states in pertinent part:</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[T]he commission by order shall approve or modify and approve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an application filed under division (A) of this section if it finds that</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the electric security plan so approved, including its pricing and all</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other terms and conditions, including any deferrals and any future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recovery of deferrals, is more favorable in the aggregate as</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compared to the expected results that would otherwise apply under</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section 4928.142 of the Revised Code. Additionally, if the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commission so approves an application that contains a surcharge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under division (B)(2)(b) or (c) of this section, the commission shall</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ensure that the benefits derived for any purpose for which the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surcharge is established are reserved and made available to those</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that bear the surcharge. Otherwise, the commission by order shall</w:t>
      </w:r>
    </w:p>
    <w:p w:rsidR="00117728" w:rsidRPr="00517C65" w:rsidP="00CA4485">
      <w:pPr>
        <w:autoSpaceDE w:val="0"/>
        <w:autoSpaceDN w:val="0"/>
        <w:adjustRightInd w:val="0"/>
        <w:spacing w:after="0" w:line="240" w:lineRule="auto"/>
        <w:ind w:left="1440" w:right="720"/>
        <w:rPr>
          <w:rFonts w:ascii="Times New Roman" w:hAnsi="Times New Roman" w:cs="Times New Roman"/>
          <w:sz w:val="24"/>
          <w:szCs w:val="24"/>
        </w:rPr>
      </w:pPr>
      <w:r w:rsidRPr="00517C65">
        <w:rPr>
          <w:rFonts w:ascii="Times New Roman" w:hAnsi="Times New Roman" w:cs="Times New Roman"/>
          <w:sz w:val="24"/>
          <w:szCs w:val="24"/>
        </w:rPr>
        <w:t>disapprove the application.</w:t>
      </w:r>
    </w:p>
    <w:p w:rsidR="00117728" w:rsidRPr="00517C65" w:rsidP="00117728">
      <w:pPr>
        <w:autoSpaceDE w:val="0"/>
        <w:autoSpaceDN w:val="0"/>
        <w:adjustRightInd w:val="0"/>
        <w:spacing w:after="0" w:line="240" w:lineRule="auto"/>
        <w:ind w:firstLine="720"/>
        <w:rPr>
          <w:rFonts w:ascii="Times New Roman" w:hAnsi="Times New Roman" w:cs="Times New Roman"/>
          <w:sz w:val="24"/>
          <w:szCs w:val="24"/>
        </w:rPr>
      </w:pPr>
      <w:r w:rsidRPr="00517C65">
        <w:rPr>
          <w:rFonts w:ascii="Times New Roman" w:hAnsi="Times New Roman" w:cs="Times New Roman"/>
          <w:sz w:val="24"/>
          <w:szCs w:val="24"/>
        </w:rPr>
        <w:tab/>
      </w:r>
    </w:p>
    <w:p w:rsidR="00117728" w:rsidRPr="00517C65" w:rsidP="00090D45">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Further, R.C. 4905.22 requires that every public utility furnish necessary and</w:t>
      </w:r>
    </w:p>
    <w:p w:rsidR="00761D0A" w:rsidP="00090D45">
      <w:pPr>
        <w:autoSpaceDE w:val="0"/>
        <w:autoSpaceDN w:val="0"/>
        <w:adjustRightInd w:val="0"/>
        <w:spacing w:after="0" w:line="480" w:lineRule="auto"/>
        <w:rPr>
          <w:rFonts w:ascii="Times New Roman" w:hAnsi="Times New Roman" w:cs="Times New Roman"/>
          <w:sz w:val="24"/>
          <w:szCs w:val="24"/>
        </w:rPr>
      </w:pPr>
      <w:r w:rsidRPr="00517C65">
        <w:rPr>
          <w:rFonts w:ascii="Times New Roman" w:hAnsi="Times New Roman" w:cs="Times New Roman"/>
          <w:sz w:val="24"/>
          <w:szCs w:val="24"/>
        </w:rPr>
        <w:t>adequate service and facilities, and that all charges for any service must be just and</w:t>
      </w:r>
    </w:p>
    <w:p w:rsidR="006D5B11" w:rsidRPr="00517C65" w:rsidP="00090D45">
      <w:pPr>
        <w:spacing w:after="0" w:line="480" w:lineRule="auto"/>
        <w:rPr>
          <w:rFonts w:ascii="Times New Roman" w:hAnsi="Times New Roman" w:cs="Times New Roman"/>
          <w:sz w:val="24"/>
          <w:szCs w:val="24"/>
        </w:rPr>
      </w:pPr>
      <w:r w:rsidRPr="00517C65">
        <w:rPr>
          <w:rFonts w:ascii="Times New Roman" w:hAnsi="Times New Roman" w:cs="Times New Roman"/>
          <w:sz w:val="24"/>
          <w:szCs w:val="24"/>
        </w:rPr>
        <w:t>reasonable. Of course, DP&amp;L as the applicant bears the burden of proof.</w:t>
      </w:r>
      <w:r>
        <w:rPr>
          <w:rStyle w:val="FootnoteReference"/>
          <w:rFonts w:ascii="Times New Roman" w:hAnsi="Times New Roman" w:cs="Times New Roman"/>
          <w:sz w:val="24"/>
          <w:szCs w:val="24"/>
        </w:rPr>
        <w:footnoteReference w:id="48"/>
      </w:r>
    </w:p>
    <w:p w:rsidR="00090D45" w:rsidRPr="00517C65" w:rsidP="005715B3">
      <w:pPr>
        <w:pStyle w:val="Heading1"/>
      </w:pPr>
      <w:bookmarkStart w:id="11" w:name="_Toc481762035"/>
      <w:r w:rsidRPr="00517C65">
        <w:t>IV.</w:t>
      </w:r>
      <w:r w:rsidRPr="00517C65">
        <w:tab/>
        <w:t>RECOMMENDATIONS</w:t>
      </w:r>
      <w:bookmarkEnd w:id="11"/>
    </w:p>
    <w:p w:rsidR="001D3C4F" w:rsidRPr="00517C65" w:rsidP="00233AE6">
      <w:pPr>
        <w:pStyle w:val="Heading2"/>
        <w:numPr>
          <w:ilvl w:val="0"/>
          <w:numId w:val="0"/>
        </w:numPr>
        <w:ind w:left="1440" w:hanging="720"/>
      </w:pPr>
      <w:bookmarkStart w:id="12" w:name="_Toc481762036"/>
      <w:r w:rsidRPr="00517C65">
        <w:t xml:space="preserve">A. </w:t>
      </w:r>
      <w:r w:rsidRPr="00517C65">
        <w:tab/>
        <w:t xml:space="preserve">The DMR and Reconciliation Riders are illegal transition charges </w:t>
      </w:r>
      <w:r>
        <w:t xml:space="preserve">or equivalent revenues </w:t>
      </w:r>
      <w:r w:rsidRPr="00517C65">
        <w:t>that should be rejected to protect consumers</w:t>
      </w:r>
      <w:r>
        <w:t>.</w:t>
      </w:r>
      <w:bookmarkEnd w:id="12"/>
    </w:p>
    <w:p w:rsidR="009B2909" w:rsidRPr="00517C65" w:rsidP="00225B94">
      <w:pPr>
        <w:pStyle w:val="Heading3"/>
      </w:pPr>
      <w:bookmarkStart w:id="13" w:name="_Toc481762037"/>
      <w:r w:rsidRPr="00517C65">
        <w:t>1.</w:t>
      </w:r>
      <w:r w:rsidRPr="00517C65">
        <w:tab/>
        <w:t xml:space="preserve">Approximately $1 billion in debt at DPL is linked to AES’s acquisition of DP&amp;L, including DP&amp;L’s generation assets, and DP&amp;L is asking consumers </w:t>
      </w:r>
      <w:r>
        <w:t xml:space="preserve">to </w:t>
      </w:r>
      <w:r w:rsidRPr="00517C65">
        <w:t>pay that debt</w:t>
      </w:r>
      <w:r>
        <w:t>.</w:t>
      </w:r>
      <w:bookmarkEnd w:id="13"/>
    </w:p>
    <w:p w:rsidR="00761D0A"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DPL has approximately $1 billion in debt </w:t>
      </w:r>
      <w:r>
        <w:rPr>
          <w:rFonts w:ascii="Times New Roman" w:hAnsi="Times New Roman" w:cs="Times New Roman"/>
          <w:sz w:val="24"/>
          <w:szCs w:val="24"/>
        </w:rPr>
        <w:t xml:space="preserve">from </w:t>
      </w:r>
      <w:r w:rsidRPr="00517C65">
        <w:rPr>
          <w:rFonts w:ascii="Times New Roman" w:hAnsi="Times New Roman" w:cs="Times New Roman"/>
          <w:sz w:val="24"/>
          <w:szCs w:val="24"/>
        </w:rPr>
        <w:t xml:space="preserve"> AES’s acquisition of DP&amp;L.</w:t>
      </w:r>
      <w:r>
        <w:rPr>
          <w:rStyle w:val="FootnoteReference"/>
          <w:rFonts w:ascii="Times New Roman" w:hAnsi="Times New Roman" w:cs="Times New Roman"/>
          <w:sz w:val="24"/>
          <w:szCs w:val="24"/>
        </w:rPr>
        <w:footnoteReference w:id="49"/>
      </w:r>
      <w:r w:rsidRPr="00517C65">
        <w:rPr>
          <w:rFonts w:ascii="Times New Roman" w:hAnsi="Times New Roman" w:cs="Times New Roman"/>
          <w:sz w:val="24"/>
          <w:szCs w:val="24"/>
        </w:rPr>
        <w:t xml:space="preserve">  That acquisition involved the purchase of DP&amp;L’s distribution, transmission, and generation assets.</w:t>
      </w:r>
      <w:r>
        <w:rPr>
          <w:rStyle w:val="FootnoteReference"/>
          <w:rFonts w:ascii="Times New Roman" w:hAnsi="Times New Roman" w:cs="Times New Roman"/>
          <w:sz w:val="24"/>
          <w:szCs w:val="24"/>
        </w:rPr>
        <w:footnoteReference w:id="50"/>
      </w:r>
      <w:r w:rsidRPr="00517C65">
        <w:rPr>
          <w:rFonts w:ascii="Times New Roman" w:hAnsi="Times New Roman" w:cs="Times New Roman"/>
          <w:sz w:val="24"/>
          <w:szCs w:val="24"/>
        </w:rPr>
        <w:t xml:space="preserve">  DPL is in a financial crisis and, as a result, so is DP&amp;L.</w:t>
      </w:r>
      <w:r>
        <w:rPr>
          <w:rStyle w:val="FootnoteReference"/>
          <w:rFonts w:ascii="Times New Roman" w:hAnsi="Times New Roman" w:cs="Times New Roman"/>
          <w:sz w:val="24"/>
          <w:szCs w:val="24"/>
        </w:rPr>
        <w:footnoteReference w:id="51"/>
      </w:r>
      <w:r w:rsidRPr="00517C65">
        <w:rPr>
          <w:rFonts w:ascii="Times New Roman" w:hAnsi="Times New Roman" w:cs="Times New Roman"/>
          <w:sz w:val="24"/>
          <w:szCs w:val="24"/>
        </w:rPr>
        <w:t xml:space="preserve">  DPL cannot service its debt without taking more money out of DP&amp;L, which represents 96% of DPL’s revenues.</w:t>
      </w:r>
      <w:r>
        <w:rPr>
          <w:rStyle w:val="FootnoteReference"/>
          <w:rFonts w:ascii="Times New Roman" w:hAnsi="Times New Roman" w:cs="Times New Roman"/>
          <w:sz w:val="24"/>
          <w:szCs w:val="24"/>
        </w:rPr>
        <w:footnoteReference w:id="52"/>
      </w:r>
      <w:r w:rsidRPr="00517C65">
        <w:rPr>
          <w:rFonts w:ascii="Times New Roman" w:hAnsi="Times New Roman" w:cs="Times New Roman"/>
          <w:sz w:val="24"/>
          <w:szCs w:val="24"/>
        </w:rPr>
        <w:t xml:space="preserve"> </w:t>
      </w:r>
    </w:p>
    <w:p w:rsidR="00EE6A24" w:rsidRPr="00517C65" w:rsidP="00E678AB">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“[I]f the debt at DPL Inc. cannot be serviced, which does rely on cash flow from DP&amp;L, it may prevent us from meeting our debt obligations </w:t>
      </w:r>
      <w:r w:rsidRPr="00517C65">
        <w:rPr>
          <w:rFonts w:ascii="Times New Roman" w:hAnsi="Times New Roman" w:cs="Times New Roman"/>
          <w:i/>
          <w:sz w:val="24"/>
          <w:szCs w:val="24"/>
        </w:rPr>
        <w:t>at the parent</w:t>
      </w:r>
      <w:r w:rsidRPr="00517C65">
        <w:rPr>
          <w:rFonts w:ascii="Times New Roman" w:hAnsi="Times New Roman" w:cs="Times New Roman"/>
          <w:sz w:val="24"/>
          <w:szCs w:val="24"/>
        </w:rPr>
        <w:t xml:space="preserve"> . . . .”</w:t>
      </w:r>
      <w:r>
        <w:rPr>
          <w:rStyle w:val="FootnoteReference"/>
          <w:rFonts w:ascii="Times New Roman" w:hAnsi="Times New Roman" w:cs="Times New Roman"/>
          <w:sz w:val="24"/>
          <w:szCs w:val="24"/>
        </w:rPr>
        <w:footnoteReference w:id="53"/>
      </w:r>
      <w:r w:rsidRPr="00517C65">
        <w:rPr>
          <w:rFonts w:ascii="Times New Roman" w:hAnsi="Times New Roman" w:cs="Times New Roman"/>
          <w:sz w:val="24"/>
          <w:szCs w:val="24"/>
        </w:rPr>
        <w:t xml:space="preserve">  So DP&amp;L is asking for the DMR to generate sufficient revenues so it can meet debt obligations, predominately if not exclusively DPL’s,</w:t>
      </w:r>
      <w:r>
        <w:rPr>
          <w:rStyle w:val="FootnoteReference"/>
          <w:rFonts w:ascii="Times New Roman" w:hAnsi="Times New Roman" w:cs="Times New Roman"/>
          <w:sz w:val="24"/>
          <w:szCs w:val="24"/>
        </w:rPr>
        <w:footnoteReference w:id="54"/>
      </w:r>
      <w:r w:rsidRPr="00517C65">
        <w:rPr>
          <w:rFonts w:ascii="Times New Roman" w:hAnsi="Times New Roman" w:cs="Times New Roman"/>
          <w:sz w:val="24"/>
          <w:szCs w:val="24"/>
        </w:rPr>
        <w:t xml:space="preserve"> and bolster their financial integrity.</w:t>
      </w:r>
      <w:r>
        <w:rPr>
          <w:rStyle w:val="FootnoteReference"/>
          <w:rFonts w:ascii="Times New Roman" w:hAnsi="Times New Roman" w:cs="Times New Roman"/>
          <w:sz w:val="24"/>
          <w:szCs w:val="24"/>
        </w:rPr>
        <w:footnoteReference w:id="55"/>
      </w:r>
      <w:r w:rsidRPr="00517C65">
        <w:rPr>
          <w:rFonts w:ascii="Times New Roman" w:hAnsi="Times New Roman" w:cs="Times New Roman"/>
          <w:sz w:val="24"/>
          <w:szCs w:val="24"/>
        </w:rPr>
        <w:t xml:space="preserve">  Though DP&amp;L says it will transfer its generation assets and commence a sale of those assets</w:t>
      </w:r>
      <w:r>
        <w:rPr>
          <w:rFonts w:ascii="Times New Roman" w:hAnsi="Times New Roman" w:cs="Times New Roman"/>
          <w:sz w:val="24"/>
          <w:szCs w:val="24"/>
        </w:rPr>
        <w:t xml:space="preserve"> (though it was supposed to have divested its generating assets by January 1, 2017, per the PUCO’s Order in Case No. 12-426-EL-SSO)</w:t>
      </w:r>
      <w:r w:rsidRPr="00517C65">
        <w:rPr>
          <w:rFonts w:ascii="Times New Roman" w:hAnsi="Times New Roman" w:cs="Times New Roman"/>
          <w:sz w:val="24"/>
          <w:szCs w:val="24"/>
        </w:rPr>
        <w:t>, the responsibility for paying the debt incurred to buy those assets will remain with DP&amp;L, the regulated utility, and be paid by its customers.</w:t>
      </w:r>
      <w:r>
        <w:rPr>
          <w:rStyle w:val="FootnoteReference"/>
          <w:rFonts w:ascii="Times New Roman" w:hAnsi="Times New Roman" w:cs="Times New Roman"/>
          <w:sz w:val="24"/>
          <w:szCs w:val="24"/>
        </w:rPr>
        <w:footnoteReference w:id="56"/>
      </w:r>
    </w:p>
    <w:p w:rsidR="002C0924" w:rsidRPr="00517C65"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Only non-debt liabilities will be transferred if and when DP&amp;L divests its generation assets.</w:t>
      </w:r>
      <w:r>
        <w:rPr>
          <w:rStyle w:val="FootnoteReference"/>
          <w:rFonts w:ascii="Times New Roman" w:hAnsi="Times New Roman" w:cs="Times New Roman"/>
          <w:sz w:val="24"/>
          <w:szCs w:val="24"/>
        </w:rPr>
        <w:footnoteReference w:id="57"/>
      </w:r>
      <w:r w:rsidRPr="00517C65">
        <w:rPr>
          <w:rFonts w:ascii="Times New Roman" w:hAnsi="Times New Roman" w:cs="Times New Roman"/>
          <w:sz w:val="24"/>
          <w:szCs w:val="24"/>
        </w:rPr>
        <w:t xml:space="preserve">  The debt will remain on DPL’s balance sheet irrespective of DP&amp;L transferring or selling the generation assets.</w:t>
      </w:r>
      <w:r>
        <w:rPr>
          <w:rStyle w:val="FootnoteReference"/>
          <w:rFonts w:ascii="Times New Roman" w:hAnsi="Times New Roman" w:cs="Times New Roman"/>
          <w:sz w:val="24"/>
          <w:szCs w:val="24"/>
        </w:rPr>
        <w:footnoteReference w:id="58"/>
      </w:r>
      <w:r w:rsidRPr="00517C65">
        <w:rPr>
          <w:rFonts w:ascii="Times New Roman" w:hAnsi="Times New Roman" w:cs="Times New Roman"/>
          <w:sz w:val="24"/>
          <w:szCs w:val="24"/>
        </w:rPr>
        <w:t xml:space="preserve">  Further, there would be no need for the DMR were the debt no longer DPL’s.  And the only real source of DPL’s revenue is the regulated utility, DP&amp;L.</w:t>
      </w:r>
      <w:r>
        <w:rPr>
          <w:rStyle w:val="FootnoteReference"/>
          <w:rFonts w:ascii="Times New Roman" w:hAnsi="Times New Roman" w:cs="Times New Roman"/>
          <w:sz w:val="24"/>
          <w:szCs w:val="24"/>
        </w:rPr>
        <w:footnoteReference w:id="59"/>
      </w:r>
      <w:r w:rsidRPr="00517C65">
        <w:rPr>
          <w:rFonts w:ascii="Times New Roman" w:hAnsi="Times New Roman" w:cs="Times New Roman"/>
          <w:sz w:val="24"/>
          <w:szCs w:val="24"/>
        </w:rPr>
        <w:t xml:space="preserve"> </w:t>
      </w:r>
    </w:p>
    <w:p w:rsidR="002435E1" w:rsidRPr="00517C65" w:rsidP="00225B94">
      <w:pPr>
        <w:pStyle w:val="Heading3"/>
      </w:pPr>
      <w:bookmarkStart w:id="14" w:name="_Toc481762038"/>
      <w:r w:rsidRPr="00517C65">
        <w:t xml:space="preserve">2. </w:t>
      </w:r>
      <w:r w:rsidRPr="00517C65">
        <w:tab/>
        <w:t xml:space="preserve">The approximately $1 billion in debt cannot be repaid because revenue from </w:t>
      </w:r>
      <w:r>
        <w:t xml:space="preserve">unregulated </w:t>
      </w:r>
      <w:r w:rsidRPr="00517C65">
        <w:t>generation assets</w:t>
      </w:r>
      <w:r>
        <w:t xml:space="preserve"> </w:t>
      </w:r>
      <w:r w:rsidRPr="00517C65">
        <w:t>is not enough – but consumers should not bail out the generation assets</w:t>
      </w:r>
      <w:r>
        <w:t>.</w:t>
      </w:r>
      <w:bookmarkEnd w:id="14"/>
    </w:p>
    <w:p w:rsidR="002435E1" w:rsidRPr="00517C65"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DP&amp;L and DPL assert that there are four reasons that they cannot repay their debt and, thus, explain the need for DMR.  All are tied to generation.  Accordingly, DMR is clearly aimed at charging consumers for transition revenues or </w:t>
      </w:r>
      <w:r>
        <w:rPr>
          <w:rFonts w:ascii="Times New Roman" w:hAnsi="Times New Roman" w:cs="Times New Roman"/>
          <w:sz w:val="24"/>
          <w:szCs w:val="24"/>
        </w:rPr>
        <w:t xml:space="preserve">any </w:t>
      </w:r>
      <w:r w:rsidRPr="00517C65">
        <w:rPr>
          <w:rFonts w:ascii="Times New Roman" w:hAnsi="Times New Roman" w:cs="Times New Roman"/>
          <w:sz w:val="24"/>
          <w:szCs w:val="24"/>
        </w:rPr>
        <w:t>equivalent revenues.</w:t>
      </w:r>
      <w:r>
        <w:rPr>
          <w:rStyle w:val="FootnoteReference"/>
          <w:rFonts w:ascii="Times New Roman" w:hAnsi="Times New Roman" w:cs="Times New Roman"/>
          <w:sz w:val="24"/>
          <w:szCs w:val="24"/>
        </w:rPr>
        <w:footnoteReference w:id="60"/>
      </w:r>
    </w:p>
    <w:p w:rsidR="004D1AE5" w:rsidRPr="00517C65"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first reason is slow load growth.</w:t>
      </w:r>
      <w:r>
        <w:rPr>
          <w:rStyle w:val="FootnoteReference"/>
          <w:rFonts w:ascii="Times New Roman" w:hAnsi="Times New Roman" w:cs="Times New Roman"/>
          <w:sz w:val="24"/>
          <w:szCs w:val="24"/>
        </w:rPr>
        <w:footnoteReference w:id="61"/>
      </w:r>
      <w:r w:rsidRPr="00517C65">
        <w:rPr>
          <w:rFonts w:ascii="Times New Roman" w:hAnsi="Times New Roman" w:cs="Times New Roman"/>
          <w:sz w:val="24"/>
          <w:szCs w:val="24"/>
        </w:rPr>
        <w:t xml:space="preserve">  The second reason is the Ohio Supreme Court’s ruling that DP&amp;L’s SSR illegally charged consumers for transition or equivalent revenues.</w:t>
      </w:r>
      <w:r>
        <w:rPr>
          <w:rStyle w:val="FootnoteReference"/>
          <w:rFonts w:ascii="Times New Roman" w:hAnsi="Times New Roman" w:cs="Times New Roman"/>
          <w:sz w:val="24"/>
          <w:szCs w:val="24"/>
        </w:rPr>
        <w:footnoteReference w:id="62"/>
      </w:r>
      <w:r w:rsidRPr="00517C65">
        <w:rPr>
          <w:rFonts w:ascii="Times New Roman" w:hAnsi="Times New Roman" w:cs="Times New Roman"/>
          <w:sz w:val="24"/>
          <w:szCs w:val="24"/>
        </w:rPr>
        <w:t xml:space="preserve">  The third reason is depressed capacity prices.</w:t>
      </w:r>
      <w:r>
        <w:rPr>
          <w:rStyle w:val="FootnoteReference"/>
          <w:rFonts w:ascii="Times New Roman" w:hAnsi="Times New Roman" w:cs="Times New Roman"/>
          <w:sz w:val="24"/>
          <w:szCs w:val="24"/>
        </w:rPr>
        <w:footnoteReference w:id="63"/>
      </w:r>
      <w:r w:rsidRPr="00517C65">
        <w:rPr>
          <w:rFonts w:ascii="Times New Roman" w:hAnsi="Times New Roman" w:cs="Times New Roman"/>
          <w:sz w:val="24"/>
          <w:szCs w:val="24"/>
        </w:rPr>
        <w:t xml:space="preserve">  And the fourth reason is low natural gas prices, which have depressed wholesale electricity prices.</w:t>
      </w:r>
      <w:r>
        <w:rPr>
          <w:rStyle w:val="FootnoteReference"/>
          <w:rFonts w:ascii="Times New Roman" w:hAnsi="Times New Roman" w:cs="Times New Roman"/>
          <w:sz w:val="24"/>
          <w:szCs w:val="24"/>
        </w:rPr>
        <w:footnoteReference w:id="64"/>
      </w:r>
      <w:r w:rsidRPr="00517C65">
        <w:rPr>
          <w:rFonts w:ascii="Times New Roman" w:hAnsi="Times New Roman" w:cs="Times New Roman"/>
          <w:sz w:val="24"/>
          <w:szCs w:val="24"/>
        </w:rPr>
        <w:t xml:space="preserve">  All of these are “market-driven factors[.]”</w:t>
      </w:r>
      <w:r>
        <w:rPr>
          <w:rStyle w:val="FootnoteReference"/>
          <w:rFonts w:ascii="Times New Roman" w:hAnsi="Times New Roman" w:cs="Times New Roman"/>
          <w:sz w:val="24"/>
          <w:szCs w:val="24"/>
        </w:rPr>
        <w:footnoteReference w:id="65"/>
      </w:r>
    </w:p>
    <w:p w:rsidR="002435E1" w:rsidRPr="00517C65"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These reasons underlying the need for DMR are not tied to DP&amp;L’s distribution business.  Distribution is non-competitive,</w:t>
      </w:r>
      <w:r>
        <w:rPr>
          <w:rStyle w:val="FootnoteReference"/>
          <w:rFonts w:ascii="Times New Roman" w:hAnsi="Times New Roman" w:cs="Times New Roman"/>
          <w:sz w:val="24"/>
          <w:szCs w:val="24"/>
        </w:rPr>
        <w:footnoteReference w:id="66"/>
      </w:r>
      <w:r w:rsidRPr="00517C65">
        <w:rPr>
          <w:rFonts w:ascii="Times New Roman" w:hAnsi="Times New Roman" w:cs="Times New Roman"/>
          <w:sz w:val="24"/>
          <w:szCs w:val="24"/>
        </w:rPr>
        <w:t xml:space="preserve"> and DP&amp;L Witness Jackson acknowledged that the reasons underlying the need for DMR are “market-driven factors.”</w:t>
      </w:r>
      <w:r>
        <w:rPr>
          <w:rStyle w:val="FootnoteReference"/>
          <w:rFonts w:ascii="Times New Roman" w:hAnsi="Times New Roman" w:cs="Times New Roman"/>
          <w:sz w:val="24"/>
          <w:szCs w:val="24"/>
        </w:rPr>
        <w:footnoteReference w:id="67"/>
      </w:r>
      <w:r w:rsidRPr="00517C65">
        <w:rPr>
          <w:rFonts w:ascii="Times New Roman" w:hAnsi="Times New Roman" w:cs="Times New Roman"/>
          <w:sz w:val="24"/>
          <w:szCs w:val="24"/>
        </w:rPr>
        <w:t xml:space="preserve">  To generate additional distribution revenue, DP&amp;L can file a traditional base rate case – nothing in the Settlement prevents that.</w:t>
      </w:r>
      <w:r>
        <w:rPr>
          <w:rStyle w:val="FootnoteReference"/>
          <w:rFonts w:ascii="Times New Roman" w:hAnsi="Times New Roman" w:cs="Times New Roman"/>
          <w:sz w:val="24"/>
          <w:szCs w:val="24"/>
        </w:rPr>
        <w:footnoteReference w:id="68"/>
      </w:r>
      <w:r w:rsidRPr="00517C65">
        <w:rPr>
          <w:rFonts w:ascii="Times New Roman" w:hAnsi="Times New Roman" w:cs="Times New Roman"/>
          <w:sz w:val="24"/>
          <w:szCs w:val="24"/>
        </w:rPr>
        <w:t xml:space="preserve">  DP&amp;L currently has a pending base rate case in which it has asked for an increase in revenue.</w:t>
      </w:r>
      <w:r>
        <w:rPr>
          <w:rStyle w:val="FootnoteReference"/>
          <w:rFonts w:ascii="Times New Roman" w:hAnsi="Times New Roman" w:cs="Times New Roman"/>
          <w:sz w:val="24"/>
          <w:szCs w:val="24"/>
        </w:rPr>
        <w:footnoteReference w:id="69"/>
      </w:r>
      <w:r w:rsidRPr="00517C65">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517C65">
        <w:rPr>
          <w:rFonts w:ascii="Times New Roman" w:hAnsi="Times New Roman" w:cs="Times New Roman"/>
          <w:sz w:val="24"/>
          <w:szCs w:val="24"/>
        </w:rPr>
        <w:t xml:space="preserve">that base rate case, DP&amp;L </w:t>
      </w:r>
      <w:r>
        <w:rPr>
          <w:rFonts w:ascii="Times New Roman" w:hAnsi="Times New Roman" w:cs="Times New Roman"/>
          <w:sz w:val="24"/>
          <w:szCs w:val="24"/>
        </w:rPr>
        <w:t xml:space="preserve">has an opportunity to seek </w:t>
      </w:r>
      <w:r w:rsidRPr="00517C65">
        <w:rPr>
          <w:rFonts w:ascii="Times New Roman" w:hAnsi="Times New Roman" w:cs="Times New Roman"/>
          <w:sz w:val="24"/>
          <w:szCs w:val="24"/>
        </w:rPr>
        <w:t>a fair and reasonable return on investment in its distribution assets.</w:t>
      </w:r>
      <w:r>
        <w:rPr>
          <w:rStyle w:val="FootnoteReference"/>
          <w:rFonts w:ascii="Times New Roman" w:hAnsi="Times New Roman" w:cs="Times New Roman"/>
          <w:sz w:val="24"/>
          <w:szCs w:val="24"/>
        </w:rPr>
        <w:footnoteReference w:id="70"/>
      </w:r>
      <w:r w:rsidRPr="00517C65">
        <w:rPr>
          <w:rFonts w:ascii="Times New Roman" w:hAnsi="Times New Roman" w:cs="Times New Roman"/>
          <w:sz w:val="24"/>
          <w:szCs w:val="24"/>
        </w:rPr>
        <w:t xml:space="preserve">  Further, DP&amp;L charges retail consumers for any lost distribution revenue due to energy efficiency.</w:t>
      </w:r>
      <w:r>
        <w:rPr>
          <w:rStyle w:val="FootnoteReference"/>
          <w:rFonts w:ascii="Times New Roman" w:hAnsi="Times New Roman" w:cs="Times New Roman"/>
          <w:sz w:val="24"/>
          <w:szCs w:val="24"/>
        </w:rPr>
        <w:footnoteReference w:id="71"/>
      </w:r>
    </w:p>
    <w:p w:rsidR="004D1AE5" w:rsidRPr="00517C65"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Likewise, the reasons underlying the need for DMR are not tied to DP&amp;L’s transmission business.  DP&amp;L does not claim that it is earning insufficient revenue from its transmission assets.</w:t>
      </w:r>
      <w:r>
        <w:rPr>
          <w:rStyle w:val="FootnoteReference"/>
          <w:rFonts w:ascii="Times New Roman" w:hAnsi="Times New Roman" w:cs="Times New Roman"/>
          <w:sz w:val="24"/>
          <w:szCs w:val="24"/>
        </w:rPr>
        <w:footnoteReference w:id="72"/>
      </w:r>
      <w:r w:rsidRPr="00517C65">
        <w:rPr>
          <w:rFonts w:ascii="Times New Roman" w:hAnsi="Times New Roman" w:cs="Times New Roman"/>
          <w:sz w:val="24"/>
          <w:szCs w:val="24"/>
        </w:rPr>
        <w:t xml:space="preserve">  In any event, if it were earning insufficient revenue from its transmission assets, DP&amp;L could go to FERC for a rate case to increase transmission rates.</w:t>
      </w:r>
      <w:r>
        <w:rPr>
          <w:rStyle w:val="FootnoteReference"/>
          <w:rFonts w:ascii="Times New Roman" w:hAnsi="Times New Roman" w:cs="Times New Roman"/>
          <w:sz w:val="24"/>
          <w:szCs w:val="24"/>
        </w:rPr>
        <w:footnoteReference w:id="73"/>
      </w:r>
      <w:r w:rsidRPr="00517C65">
        <w:rPr>
          <w:rFonts w:ascii="Times New Roman" w:hAnsi="Times New Roman" w:cs="Times New Roman"/>
          <w:sz w:val="24"/>
          <w:szCs w:val="24"/>
        </w:rPr>
        <w:t xml:space="preserve">  Transmission costs are just a pass-through to DP&amp;L’s retail distribution customers, and DP&amp;L has no reason to believe that transmission revenues will be inadequate during the course of the proposed ESP.</w:t>
      </w:r>
      <w:r>
        <w:rPr>
          <w:rStyle w:val="FootnoteReference"/>
          <w:rFonts w:ascii="Times New Roman" w:hAnsi="Times New Roman" w:cs="Times New Roman"/>
          <w:sz w:val="24"/>
          <w:szCs w:val="24"/>
        </w:rPr>
        <w:footnoteReference w:id="74"/>
      </w:r>
    </w:p>
    <w:p w:rsidR="00CB1537" w:rsidRPr="00517C65"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Depressed capacity and wholesale electricity prices are both linked to generation service.</w:t>
      </w:r>
      <w:r>
        <w:rPr>
          <w:rStyle w:val="FootnoteReference"/>
          <w:rFonts w:ascii="Times New Roman" w:hAnsi="Times New Roman" w:cs="Times New Roman"/>
          <w:sz w:val="24"/>
          <w:szCs w:val="24"/>
        </w:rPr>
        <w:footnoteReference w:id="75"/>
      </w:r>
      <w:r w:rsidRPr="00517C65">
        <w:rPr>
          <w:rFonts w:ascii="Times New Roman" w:hAnsi="Times New Roman" w:cs="Times New Roman"/>
          <w:sz w:val="24"/>
          <w:szCs w:val="24"/>
        </w:rPr>
        <w:t xml:space="preserve">  Both the capacity and wholesale electricity markets are competitive.</w:t>
      </w:r>
      <w:r>
        <w:rPr>
          <w:rStyle w:val="FootnoteReference"/>
          <w:rFonts w:ascii="Times New Roman" w:hAnsi="Times New Roman" w:cs="Times New Roman"/>
          <w:sz w:val="24"/>
          <w:szCs w:val="24"/>
        </w:rPr>
        <w:footnoteReference w:id="76"/>
      </w:r>
      <w:r w:rsidRPr="00517C65">
        <w:rPr>
          <w:rFonts w:ascii="Times New Roman" w:hAnsi="Times New Roman" w:cs="Times New Roman"/>
          <w:sz w:val="24"/>
          <w:szCs w:val="24"/>
        </w:rPr>
        <w:t xml:space="preserve">  Lower prices in those markets lead to less revenue for DP&amp;L’s generation.</w:t>
      </w:r>
      <w:r>
        <w:rPr>
          <w:rStyle w:val="FootnoteReference"/>
          <w:rFonts w:ascii="Times New Roman" w:hAnsi="Times New Roman" w:cs="Times New Roman"/>
          <w:sz w:val="24"/>
          <w:szCs w:val="24"/>
        </w:rPr>
        <w:footnoteReference w:id="77"/>
      </w:r>
      <w:r w:rsidRPr="00517C65">
        <w:rPr>
          <w:rFonts w:ascii="Times New Roman" w:hAnsi="Times New Roman" w:cs="Times New Roman"/>
          <w:sz w:val="24"/>
          <w:szCs w:val="24"/>
        </w:rPr>
        <w:t xml:space="preserve"> </w:t>
      </w:r>
    </w:p>
    <w:p w:rsidR="00096BE5" w:rsidRPr="00517C65"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second alleged reason underlying DP&amp;L’s request for DMR – the Ohio Supreme Court’s ruling that DP&amp;L’s SSR illegally charged consumers for transition or equivalent revenues</w:t>
      </w:r>
      <w:r>
        <w:rPr>
          <w:rStyle w:val="FootnoteReference"/>
          <w:rFonts w:ascii="Times New Roman" w:hAnsi="Times New Roman" w:cs="Times New Roman"/>
          <w:sz w:val="24"/>
          <w:szCs w:val="24"/>
        </w:rPr>
        <w:footnoteReference w:id="78"/>
      </w:r>
      <w:r w:rsidRPr="00517C65">
        <w:rPr>
          <w:rFonts w:ascii="Times New Roman" w:hAnsi="Times New Roman" w:cs="Times New Roman"/>
          <w:sz w:val="24"/>
          <w:szCs w:val="24"/>
        </w:rPr>
        <w:t xml:space="preserve"> – only serves to confirm that DMR is an illegal transition charge or equivalent revenue.  DP&amp;L Witness Jackson testified in Case No. 12-426-EL-SSO, the case that gave rise to the illegal SSR.</w:t>
      </w:r>
      <w:r>
        <w:rPr>
          <w:rStyle w:val="FootnoteReference"/>
          <w:rFonts w:ascii="Times New Roman" w:hAnsi="Times New Roman" w:cs="Times New Roman"/>
          <w:sz w:val="24"/>
          <w:szCs w:val="24"/>
        </w:rPr>
        <w:footnoteReference w:id="79"/>
      </w:r>
      <w:r w:rsidRPr="00517C65">
        <w:rPr>
          <w:rFonts w:ascii="Times New Roman" w:hAnsi="Times New Roman" w:cs="Times New Roman"/>
          <w:sz w:val="24"/>
          <w:szCs w:val="24"/>
        </w:rPr>
        <w:t xml:space="preserve">  He testified in that case that SSR was needed due to increased customer shopping and declining capacity and wholesale power prices.</w:t>
      </w:r>
      <w:r>
        <w:rPr>
          <w:rStyle w:val="FootnoteReference"/>
          <w:rFonts w:ascii="Times New Roman" w:hAnsi="Times New Roman" w:cs="Times New Roman"/>
          <w:sz w:val="24"/>
          <w:szCs w:val="24"/>
        </w:rPr>
        <w:footnoteReference w:id="80"/>
      </w:r>
      <w:r w:rsidRPr="00517C65">
        <w:rPr>
          <w:rFonts w:ascii="Times New Roman" w:hAnsi="Times New Roman" w:cs="Times New Roman"/>
          <w:sz w:val="24"/>
          <w:szCs w:val="24"/>
        </w:rPr>
        <w:t xml:space="preserve">  Increased customer shopping results from Ohio deregulating generation – and shopping has continued to increase.</w:t>
      </w:r>
      <w:r>
        <w:rPr>
          <w:rStyle w:val="FootnoteReference"/>
          <w:rFonts w:ascii="Times New Roman" w:hAnsi="Times New Roman" w:cs="Times New Roman"/>
          <w:sz w:val="24"/>
          <w:szCs w:val="24"/>
        </w:rPr>
        <w:footnoteReference w:id="81"/>
      </w:r>
      <w:r w:rsidRPr="00517C65">
        <w:rPr>
          <w:rFonts w:ascii="Times New Roman" w:hAnsi="Times New Roman" w:cs="Times New Roman"/>
          <w:sz w:val="24"/>
          <w:szCs w:val="24"/>
        </w:rPr>
        <w:t xml:space="preserve">  DP&amp;L makes no claims in this docket that increased customer shopping is hurting its bottom line.  To the contrary, DP&amp;L has actually agreed to provisions in the Settlement that are aimed at increasing customer shopping.</w:t>
      </w:r>
      <w:r>
        <w:rPr>
          <w:rStyle w:val="FootnoteReference"/>
          <w:rFonts w:ascii="Times New Roman" w:hAnsi="Times New Roman" w:cs="Times New Roman"/>
          <w:sz w:val="24"/>
          <w:szCs w:val="24"/>
        </w:rPr>
        <w:footnoteReference w:id="82"/>
      </w:r>
      <w:r w:rsidRPr="00517C65">
        <w:rPr>
          <w:rFonts w:ascii="Times New Roman" w:hAnsi="Times New Roman" w:cs="Times New Roman"/>
          <w:sz w:val="24"/>
          <w:szCs w:val="24"/>
        </w:rPr>
        <w:t xml:space="preserve"> </w:t>
      </w:r>
    </w:p>
    <w:p w:rsidR="005C627C" w:rsidRPr="00517C65"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Decreasing capacity and wholesale energy prices – underlying the rationale for DMR here – were also reasons to which DP&amp;L Witness Jackson testified regarding the need for SSR.</w:t>
      </w:r>
      <w:r>
        <w:rPr>
          <w:rStyle w:val="FootnoteReference"/>
          <w:rFonts w:ascii="Times New Roman" w:hAnsi="Times New Roman" w:cs="Times New Roman"/>
          <w:sz w:val="24"/>
          <w:szCs w:val="24"/>
        </w:rPr>
        <w:footnoteReference w:id="83"/>
      </w:r>
      <w:r w:rsidRPr="00517C65">
        <w:rPr>
          <w:rFonts w:ascii="Times New Roman" w:hAnsi="Times New Roman" w:cs="Times New Roman"/>
          <w:sz w:val="24"/>
          <w:szCs w:val="24"/>
        </w:rPr>
        <w:t xml:space="preserve">  So the rationale underlying SSR – </w:t>
      </w:r>
      <w:r>
        <w:rPr>
          <w:rFonts w:ascii="Times New Roman" w:hAnsi="Times New Roman" w:cs="Times New Roman"/>
          <w:sz w:val="24"/>
          <w:szCs w:val="24"/>
        </w:rPr>
        <w:t xml:space="preserve">decreased generation revenue in the competitive </w:t>
      </w:r>
      <w:r w:rsidRPr="00517C65">
        <w:rPr>
          <w:rFonts w:ascii="Times New Roman" w:hAnsi="Times New Roman" w:cs="Times New Roman"/>
          <w:sz w:val="24"/>
          <w:szCs w:val="24"/>
        </w:rPr>
        <w:t xml:space="preserve">generation market – is the very same rationale underlying </w:t>
      </w:r>
      <w:r>
        <w:rPr>
          <w:rFonts w:ascii="Times New Roman" w:hAnsi="Times New Roman" w:cs="Times New Roman"/>
          <w:sz w:val="24"/>
          <w:szCs w:val="24"/>
        </w:rPr>
        <w:t xml:space="preserve">DP&amp;L's present request for the </w:t>
      </w:r>
      <w:r w:rsidRPr="00517C65">
        <w:rPr>
          <w:rFonts w:ascii="Times New Roman" w:hAnsi="Times New Roman" w:cs="Times New Roman"/>
          <w:sz w:val="24"/>
          <w:szCs w:val="24"/>
        </w:rPr>
        <w:t xml:space="preserve">DMR.  Instead of a credible reason for granting DMR, the Supreme Court’s decision striking down SSR is all the </w:t>
      </w:r>
      <w:r>
        <w:rPr>
          <w:rFonts w:ascii="Times New Roman" w:hAnsi="Times New Roman" w:cs="Times New Roman"/>
          <w:sz w:val="24"/>
          <w:szCs w:val="24"/>
        </w:rPr>
        <w:t xml:space="preserve">more </w:t>
      </w:r>
      <w:r w:rsidRPr="00517C65">
        <w:rPr>
          <w:rFonts w:ascii="Times New Roman" w:hAnsi="Times New Roman" w:cs="Times New Roman"/>
          <w:sz w:val="24"/>
          <w:szCs w:val="24"/>
        </w:rPr>
        <w:t xml:space="preserve">reason the PUCO needs for rejecting DMR. </w:t>
      </w:r>
    </w:p>
    <w:p w:rsidR="00142396" w:rsidRPr="00517C65" w:rsidP="00225B94">
      <w:pPr>
        <w:pStyle w:val="Heading3"/>
      </w:pPr>
      <w:bookmarkStart w:id="15" w:name="_Toc481762039"/>
      <w:r w:rsidRPr="00517C65">
        <w:t>3.</w:t>
      </w:r>
      <w:r w:rsidRPr="00517C65">
        <w:tab/>
        <w:t xml:space="preserve">The DMR revenues needed to pay DP&amp;L and DPL’s bills </w:t>
      </w:r>
      <w:r>
        <w:t xml:space="preserve">are caused by </w:t>
      </w:r>
      <w:r w:rsidRPr="00517C65">
        <w:t xml:space="preserve">their financially underperforming generation assets, so DMR clearly and illegally would charge consumers for transition or </w:t>
      </w:r>
      <w:r>
        <w:t xml:space="preserve">any </w:t>
      </w:r>
      <w:r w:rsidRPr="00517C65">
        <w:t>equivalent revenues</w:t>
      </w:r>
      <w:r>
        <w:t>.</w:t>
      </w:r>
      <w:bookmarkEnd w:id="15"/>
      <w:r w:rsidRPr="00517C65">
        <w:t xml:space="preserve">    </w:t>
      </w:r>
    </w:p>
    <w:p w:rsidR="00EA64DD" w:rsidP="00090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As noted above, the approximately $1 billion in debt that DPL cannot repay flows from AES’s acquisition of DP&amp;L, including DP&amp;L’s generation assets.  There is no assurance that DMR dollars will be segregated from other dollars that DP&amp;L brings in so as to ensure that DMR dollars will not support generation.</w:t>
      </w:r>
      <w:r>
        <w:rPr>
          <w:rStyle w:val="FootnoteReference"/>
          <w:rFonts w:ascii="Times New Roman" w:hAnsi="Times New Roman" w:cs="Times New Roman"/>
          <w:sz w:val="24"/>
          <w:szCs w:val="24"/>
        </w:rPr>
        <w:footnoteReference w:id="84"/>
      </w:r>
      <w:r w:rsidRPr="00517C65">
        <w:rPr>
          <w:rFonts w:ascii="Times New Roman" w:hAnsi="Times New Roman" w:cs="Times New Roman"/>
          <w:sz w:val="24"/>
          <w:szCs w:val="24"/>
        </w:rPr>
        <w:t xml:space="preserve">  </w:t>
      </w:r>
      <w:r>
        <w:rPr>
          <w:rFonts w:ascii="Times New Roman" w:hAnsi="Times New Roman" w:cs="Times New Roman"/>
          <w:sz w:val="24"/>
          <w:szCs w:val="24"/>
        </w:rPr>
        <w:t xml:space="preserve">Despite  the PUCO's directives that DP&amp;L was to divest by January 1, 2017, </w:t>
      </w:r>
      <w:r w:rsidRPr="00517C65">
        <w:rPr>
          <w:rFonts w:ascii="Times New Roman" w:hAnsi="Times New Roman" w:cs="Times New Roman"/>
          <w:sz w:val="24"/>
          <w:szCs w:val="24"/>
        </w:rPr>
        <w:t>DP&amp;L is not structurally separated, so the revenues from DMR will go to support all three operations (distribution, transmission, and generation) – including generation.</w:t>
      </w:r>
      <w:r>
        <w:rPr>
          <w:rStyle w:val="FootnoteReference"/>
          <w:rFonts w:ascii="Times New Roman" w:hAnsi="Times New Roman" w:cs="Times New Roman"/>
          <w:sz w:val="24"/>
          <w:szCs w:val="24"/>
        </w:rPr>
        <w:footnoteReference w:id="85"/>
      </w:r>
      <w:r w:rsidRPr="00517C65">
        <w:rPr>
          <w:rFonts w:ascii="Times New Roman" w:hAnsi="Times New Roman" w:cs="Times New Roman"/>
          <w:sz w:val="24"/>
          <w:szCs w:val="24"/>
        </w:rPr>
        <w:t xml:space="preserve">  Even were DP&amp;L to structurally separate as a result of the Settlement, the debt that DP&amp;L and DPL will pay off with DMR funds is</w:t>
      </w:r>
      <w:r>
        <w:rPr>
          <w:rFonts w:ascii="Times New Roman" w:hAnsi="Times New Roman" w:cs="Times New Roman"/>
          <w:sz w:val="24"/>
          <w:szCs w:val="24"/>
        </w:rPr>
        <w:t xml:space="preserve"> fundamentally linked to </w:t>
      </w:r>
      <w:r w:rsidRPr="00517C65">
        <w:rPr>
          <w:rFonts w:ascii="Times New Roman" w:hAnsi="Times New Roman" w:cs="Times New Roman"/>
          <w:sz w:val="24"/>
          <w:szCs w:val="24"/>
        </w:rPr>
        <w:t xml:space="preserve">the acquisition of generation assets. </w:t>
      </w:r>
    </w:p>
    <w:p w:rsidR="00401FC1" w:rsidRPr="00517C65" w:rsidP="00761D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DP&amp;L’s DMR</w:t>
      </w:r>
      <w:r w:rsidRPr="00EE4AD4">
        <w:rPr>
          <w:rFonts w:ascii="Times New Roman" w:hAnsi="Times New Roman" w:cs="Times New Roman"/>
          <w:sz w:val="24"/>
          <w:szCs w:val="24"/>
        </w:rPr>
        <w:t xml:space="preserve"> proposal is an unlawful transition charge that </w:t>
      </w:r>
      <w:r>
        <w:rPr>
          <w:rFonts w:ascii="Times New Roman" w:hAnsi="Times New Roman" w:cs="Times New Roman"/>
          <w:sz w:val="24"/>
          <w:szCs w:val="24"/>
        </w:rPr>
        <w:t>would require</w:t>
      </w:r>
      <w:r w:rsidRPr="00EE4AD4">
        <w:rPr>
          <w:rFonts w:ascii="Times New Roman" w:hAnsi="Times New Roman" w:cs="Times New Roman"/>
          <w:sz w:val="24"/>
          <w:szCs w:val="24"/>
        </w:rPr>
        <w:t xml:space="preserve"> consumers to improperly subsidize competitive generation. </w:t>
      </w:r>
      <w:r>
        <w:rPr>
          <w:rFonts w:ascii="Times New Roman" w:hAnsi="Times New Roman" w:cs="Times New Roman"/>
          <w:sz w:val="24"/>
          <w:szCs w:val="24"/>
        </w:rPr>
        <w:t xml:space="preserve"> </w:t>
      </w:r>
      <w:r w:rsidRPr="00EE4AD4">
        <w:rPr>
          <w:rFonts w:ascii="Times New Roman" w:hAnsi="Times New Roman" w:cs="Times New Roman"/>
          <w:sz w:val="24"/>
          <w:szCs w:val="24"/>
        </w:rPr>
        <w:t xml:space="preserve">Ohio law bars the PUCO from authorizing “the receipt of transition revenues or </w:t>
      </w:r>
      <w:r w:rsidRPr="00EE4AD4">
        <w:rPr>
          <w:rFonts w:ascii="Times New Roman" w:hAnsi="Times New Roman" w:cs="Times New Roman"/>
          <w:b/>
          <w:i/>
          <w:sz w:val="24"/>
          <w:szCs w:val="24"/>
        </w:rPr>
        <w:t>any equivalent revenues</w:t>
      </w:r>
      <w:r w:rsidRPr="00EE4AD4">
        <w:rPr>
          <w:rFonts w:ascii="Times New Roman" w:hAnsi="Times New Roman" w:cs="Times New Roman"/>
          <w:sz w:val="24"/>
          <w:szCs w:val="24"/>
        </w:rPr>
        <w:t xml:space="preserve"> by an electric ut</w:t>
      </w:r>
      <w:r>
        <w:rPr>
          <w:rFonts w:ascii="Times New Roman" w:hAnsi="Times New Roman" w:cs="Times New Roman"/>
          <w:sz w:val="24"/>
          <w:szCs w:val="24"/>
        </w:rPr>
        <w:t>ility</w:t>
      </w:r>
      <w:r w:rsidRPr="00EE4AD4">
        <w:rPr>
          <w:rFonts w:ascii="Times New Roman" w:hAnsi="Times New Roman" w:cs="Times New Roman"/>
          <w:sz w:val="24"/>
          <w:szCs w:val="24"/>
        </w:rPr>
        <w:t xml:space="preserve">” after the market development period </w:t>
      </w:r>
      <w:r>
        <w:rPr>
          <w:rFonts w:ascii="Times New Roman" w:hAnsi="Times New Roman" w:cs="Times New Roman"/>
          <w:sz w:val="24"/>
          <w:szCs w:val="24"/>
        </w:rPr>
        <w:t xml:space="preserve">ended in </w:t>
      </w:r>
      <w:r w:rsidRPr="00EE4AD4">
        <w:rPr>
          <w:rFonts w:ascii="Times New Roman" w:hAnsi="Times New Roman" w:cs="Times New Roman"/>
          <w:sz w:val="24"/>
          <w:szCs w:val="24"/>
        </w:rPr>
        <w:t>2005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6"/>
      </w:r>
      <w:r w:rsidRPr="00EE4AD4">
        <w:rPr>
          <w:rFonts w:ascii="Times New Roman" w:hAnsi="Times New Roman" w:cs="Times New Roman"/>
          <w:sz w:val="24"/>
          <w:szCs w:val="24"/>
        </w:rPr>
        <w:t xml:space="preserve"> The Ohio Supreme Court has determined that even though something was not explicitly labeled as transition revenue, it can still be considered </w:t>
      </w:r>
      <w:r>
        <w:rPr>
          <w:rFonts w:ascii="Times New Roman" w:hAnsi="Times New Roman" w:cs="Times New Roman"/>
          <w:sz w:val="24"/>
          <w:szCs w:val="24"/>
        </w:rPr>
        <w:t>“</w:t>
      </w:r>
      <w:r w:rsidRPr="00EE4AD4">
        <w:rPr>
          <w:rFonts w:ascii="Times New Roman" w:hAnsi="Times New Roman" w:cs="Times New Roman"/>
          <w:sz w:val="24"/>
          <w:szCs w:val="24"/>
        </w:rPr>
        <w:t>transition revenue</w:t>
      </w:r>
      <w:r>
        <w:rPr>
          <w:rFonts w:ascii="Times New Roman" w:hAnsi="Times New Roman" w:cs="Times New Roman"/>
          <w:sz w:val="24"/>
          <w:szCs w:val="24"/>
        </w:rPr>
        <w:t>”</w:t>
      </w:r>
      <w:r w:rsidRPr="00EE4AD4">
        <w:rPr>
          <w:rFonts w:ascii="Times New Roman" w:hAnsi="Times New Roman" w:cs="Times New Roman"/>
          <w:sz w:val="24"/>
          <w:szCs w:val="24"/>
        </w:rPr>
        <w:t>.</w:t>
      </w:r>
      <w:r>
        <w:rPr>
          <w:rStyle w:val="FootnoteReference"/>
          <w:rFonts w:ascii="Times New Roman" w:hAnsi="Times New Roman" w:cs="Times New Roman"/>
          <w:sz w:val="24"/>
          <w:szCs w:val="24"/>
        </w:rPr>
        <w:footnoteReference w:id="87"/>
      </w:r>
      <w:r w:rsidRPr="00EE4AD4">
        <w:rPr>
          <w:rFonts w:ascii="Times New Roman" w:hAnsi="Times New Roman" w:cs="Times New Roman"/>
          <w:sz w:val="24"/>
          <w:szCs w:val="24"/>
        </w:rPr>
        <w:t xml:space="preserve"> As part of that case, the Court determined that AEP’s Retail Stability Rider (“RSR”) included the recovery of unlawful transition revenue</w:t>
      </w:r>
      <w:r>
        <w:rPr>
          <w:rFonts w:ascii="Times New Roman" w:hAnsi="Times New Roman" w:cs="Times New Roman"/>
          <w:sz w:val="24"/>
          <w:szCs w:val="24"/>
        </w:rPr>
        <w:t xml:space="preserve">.  </w:t>
      </w:r>
      <w:r w:rsidRPr="00EE4AD4">
        <w:rPr>
          <w:rFonts w:ascii="Times New Roman" w:hAnsi="Times New Roman" w:cs="Times New Roman"/>
          <w:sz w:val="24"/>
          <w:szCs w:val="24"/>
        </w:rPr>
        <w:t>The Court overturned the PUCO’s approval of that rider.</w:t>
      </w:r>
      <w:r>
        <w:rPr>
          <w:rStyle w:val="FootnoteReference"/>
          <w:rFonts w:ascii="Times New Roman" w:hAnsi="Times New Roman" w:cs="Times New Roman"/>
          <w:sz w:val="24"/>
          <w:szCs w:val="24"/>
        </w:rPr>
        <w:footnoteReference w:id="88"/>
      </w:r>
      <w:r w:rsidRPr="00EE4AD4">
        <w:rPr>
          <w:rFonts w:ascii="Times New Roman" w:hAnsi="Times New Roman" w:cs="Times New Roman"/>
          <w:sz w:val="24"/>
          <w:szCs w:val="24"/>
        </w:rPr>
        <w:t xml:space="preserve"> When looking at AEP’s transition revenues the Court noted that Rider RSR was approved to “provide AEP-Ohio with sufficient revenue to ensure it maintains its financial integrity as well as its ability to attract capital.”</w:t>
      </w:r>
      <w:r>
        <w:rPr>
          <w:rStyle w:val="FootnoteReference"/>
          <w:rFonts w:ascii="Times New Roman" w:hAnsi="Times New Roman" w:cs="Times New Roman"/>
          <w:sz w:val="24"/>
          <w:szCs w:val="24"/>
        </w:rPr>
        <w:footnoteReference w:id="89"/>
      </w:r>
      <w:r w:rsidRPr="00EE4AD4">
        <w:rPr>
          <w:rFonts w:ascii="Times New Roman" w:hAnsi="Times New Roman" w:cs="Times New Roman"/>
          <w:sz w:val="24"/>
          <w:szCs w:val="24"/>
        </w:rPr>
        <w:t xml:space="preserve"> The Court’s decision was subsequently reinforced when the Court recently and summarily rejected DP&amp;L’s </w:t>
      </w:r>
      <w:r>
        <w:rPr>
          <w:rFonts w:ascii="Times New Roman" w:hAnsi="Times New Roman" w:cs="Times New Roman"/>
          <w:sz w:val="24"/>
          <w:szCs w:val="24"/>
        </w:rPr>
        <w:t>s</w:t>
      </w:r>
      <w:r w:rsidRPr="00EE4AD4">
        <w:rPr>
          <w:rFonts w:ascii="Times New Roman" w:hAnsi="Times New Roman" w:cs="Times New Roman"/>
          <w:sz w:val="24"/>
          <w:szCs w:val="24"/>
        </w:rPr>
        <w:t xml:space="preserve">ervice </w:t>
      </w:r>
      <w:r>
        <w:rPr>
          <w:rFonts w:ascii="Times New Roman" w:hAnsi="Times New Roman" w:cs="Times New Roman"/>
          <w:sz w:val="24"/>
          <w:szCs w:val="24"/>
        </w:rPr>
        <w:t>s</w:t>
      </w:r>
      <w:r w:rsidRPr="00EE4AD4">
        <w:rPr>
          <w:rFonts w:ascii="Times New Roman" w:hAnsi="Times New Roman" w:cs="Times New Roman"/>
          <w:sz w:val="24"/>
          <w:szCs w:val="24"/>
        </w:rPr>
        <w:t>tability charge as an unlawful transition charge.</w:t>
      </w:r>
      <w:r>
        <w:rPr>
          <w:rStyle w:val="FootnoteReference"/>
          <w:rFonts w:ascii="Times New Roman" w:hAnsi="Times New Roman" w:cs="Times New Roman"/>
          <w:sz w:val="24"/>
          <w:szCs w:val="24"/>
        </w:rPr>
        <w:footnoteReference w:id="90"/>
      </w:r>
      <w:r w:rsidRPr="00EE4AD4">
        <w:rPr>
          <w:rFonts w:ascii="Times New Roman" w:hAnsi="Times New Roman" w:cs="Times New Roman"/>
          <w:sz w:val="24"/>
          <w:szCs w:val="24"/>
        </w:rPr>
        <w:t xml:space="preserve"> </w:t>
      </w:r>
    </w:p>
    <w:p w:rsidR="005C627C" w:rsidRPr="00517C65" w:rsidP="004D5A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Further, insufficient revenues from DP&amp;L’s distribution and transmission business cannot explain the need for DMR revenue.  That leaves only the financial underperformance of DP&amp;L’s generation assets as explaining the need for DMR.  Indeed, this was precisely the reason DP&amp;L gave in initially filing this ESP.</w:t>
      </w:r>
      <w:r>
        <w:rPr>
          <w:rStyle w:val="FootnoteReference"/>
          <w:rFonts w:ascii="Times New Roman" w:hAnsi="Times New Roman" w:cs="Times New Roman"/>
          <w:sz w:val="24"/>
          <w:szCs w:val="24"/>
        </w:rPr>
        <w:footnoteReference w:id="91"/>
      </w:r>
      <w:r w:rsidRPr="00517C65">
        <w:rPr>
          <w:rFonts w:ascii="Times New Roman" w:hAnsi="Times New Roman" w:cs="Times New Roman"/>
          <w:sz w:val="24"/>
          <w:szCs w:val="24"/>
        </w:rPr>
        <w:t xml:space="preserve">  DMR compensates DP&amp;L for reduced revenues it is collecting due to generation competition.  Because DMR compensates DP&amp;L for revenues it is not collecting and cannot collect in the competitive generation markets, it is equivalent to customer funded transition charges</w:t>
      </w:r>
      <w:r>
        <w:rPr>
          <w:rFonts w:ascii="Times New Roman" w:hAnsi="Times New Roman" w:cs="Times New Roman"/>
          <w:sz w:val="24"/>
          <w:szCs w:val="24"/>
        </w:rPr>
        <w:t xml:space="preserve"> or any equivalent revenues</w:t>
      </w:r>
      <w:r w:rsidRPr="00517C65">
        <w:rPr>
          <w:rFonts w:ascii="Times New Roman" w:hAnsi="Times New Roman" w:cs="Times New Roman"/>
          <w:sz w:val="24"/>
          <w:szCs w:val="24"/>
        </w:rPr>
        <w:t>.  Customer funded transition charges are, by definition, related to costs that are not recoverable in a competitive market.</w:t>
      </w:r>
      <w:r>
        <w:rPr>
          <w:rStyle w:val="FootnoteReference"/>
          <w:rFonts w:ascii="Times New Roman" w:hAnsi="Times New Roman" w:cs="Times New Roman"/>
          <w:sz w:val="24"/>
          <w:szCs w:val="24"/>
        </w:rPr>
        <w:footnoteReference w:id="92"/>
      </w:r>
      <w:r w:rsidRPr="00517C65">
        <w:rPr>
          <w:rFonts w:ascii="Times New Roman" w:hAnsi="Times New Roman" w:cs="Times New Roman"/>
          <w:sz w:val="24"/>
          <w:szCs w:val="24"/>
        </w:rPr>
        <w:t xml:space="preserve">  Accordingly, DMR revenue is transition or </w:t>
      </w:r>
      <w:r>
        <w:rPr>
          <w:rFonts w:ascii="Times New Roman" w:hAnsi="Times New Roman" w:cs="Times New Roman"/>
          <w:sz w:val="24"/>
          <w:szCs w:val="24"/>
        </w:rPr>
        <w:t xml:space="preserve">any </w:t>
      </w:r>
      <w:r w:rsidRPr="00517C65">
        <w:rPr>
          <w:rFonts w:ascii="Times New Roman" w:hAnsi="Times New Roman" w:cs="Times New Roman"/>
          <w:sz w:val="24"/>
          <w:szCs w:val="24"/>
        </w:rPr>
        <w:t>equivalent revenue.</w:t>
      </w:r>
      <w:r>
        <w:rPr>
          <w:rStyle w:val="FootnoteReference"/>
          <w:rFonts w:ascii="Times New Roman" w:hAnsi="Times New Roman" w:cs="Times New Roman"/>
          <w:sz w:val="24"/>
          <w:szCs w:val="24"/>
        </w:rPr>
        <w:footnoteReference w:id="93"/>
      </w:r>
      <w:r w:rsidRPr="00517C65">
        <w:rPr>
          <w:rFonts w:ascii="Times New Roman" w:hAnsi="Times New Roman" w:cs="Times New Roman"/>
          <w:sz w:val="24"/>
          <w:szCs w:val="24"/>
        </w:rPr>
        <w:t xml:space="preserve">  The PUCO should reject DP&amp;L’s attempt to charge consumers for such revenue by rejecting the DMR.</w:t>
      </w:r>
    </w:p>
    <w:p w:rsidR="00401FC1" w:rsidRPr="00517C65" w:rsidP="00225B94">
      <w:pPr>
        <w:pStyle w:val="Heading3"/>
      </w:pPr>
      <w:bookmarkStart w:id="16" w:name="_Toc481762040"/>
      <w:r w:rsidRPr="00517C65">
        <w:t>4.</w:t>
      </w:r>
      <w:r w:rsidRPr="00517C65">
        <w:tab/>
        <w:t>The DMR paid for by distribution customers allows DP&amp;L to collect generation-related costs, violating R.C. 4928.08(H) to consumers’ detriment</w:t>
      </w:r>
      <w:r>
        <w:t>.</w:t>
      </w:r>
      <w:bookmarkEnd w:id="16"/>
      <w:r w:rsidRPr="00517C65">
        <w:t xml:space="preserve"> </w:t>
      </w:r>
    </w:p>
    <w:p w:rsidR="00401FC1" w:rsidRPr="00517C65" w:rsidP="004D5A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R.C. 4928.02(H) prohibits public utilities from using revenues from distribution service to subsidize the cost of providing competitive generation service.  “In short, each service component [is] required to stand on its own.”</w:t>
      </w:r>
      <w:r>
        <w:rPr>
          <w:rStyle w:val="FootnoteReference"/>
          <w:rFonts w:ascii="Times New Roman" w:hAnsi="Times New Roman" w:cs="Times New Roman"/>
          <w:sz w:val="24"/>
          <w:szCs w:val="24"/>
        </w:rPr>
        <w:footnoteReference w:id="94"/>
      </w:r>
    </w:p>
    <w:p w:rsidR="00401FC1" w:rsidRPr="00517C65" w:rsidP="00F1414A">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DMR supports DP&amp;L’s competitive generation services – either directly (if no structural separation) or indirectly (</w:t>
      </w:r>
      <w:r>
        <w:rPr>
          <w:rFonts w:ascii="Times New Roman" w:hAnsi="Times New Roman" w:cs="Times New Roman"/>
          <w:sz w:val="24"/>
          <w:szCs w:val="24"/>
        </w:rPr>
        <w:t xml:space="preserve">because </w:t>
      </w:r>
      <w:r w:rsidRPr="00517C65">
        <w:rPr>
          <w:rFonts w:ascii="Times New Roman" w:hAnsi="Times New Roman" w:cs="Times New Roman"/>
          <w:sz w:val="24"/>
          <w:szCs w:val="24"/>
        </w:rPr>
        <w:t>generation-related debt</w:t>
      </w:r>
      <w:r>
        <w:rPr>
          <w:rFonts w:ascii="Times New Roman" w:hAnsi="Times New Roman" w:cs="Times New Roman"/>
          <w:sz w:val="24"/>
          <w:szCs w:val="24"/>
        </w:rPr>
        <w:t xml:space="preserve"> </w:t>
      </w:r>
      <w:r w:rsidRPr="00517C65">
        <w:rPr>
          <w:rFonts w:ascii="Times New Roman" w:hAnsi="Times New Roman" w:cs="Times New Roman"/>
          <w:sz w:val="24"/>
          <w:szCs w:val="24"/>
        </w:rPr>
        <w:t>stays with DPL and DP&amp;L even after structural separation</w:t>
      </w:r>
      <w:r>
        <w:rPr>
          <w:rFonts w:ascii="Times New Roman" w:hAnsi="Times New Roman" w:cs="Times New Roman"/>
          <w:sz w:val="24"/>
          <w:szCs w:val="24"/>
        </w:rPr>
        <w:t xml:space="preserve"> and</w:t>
      </w:r>
      <w:r w:rsidRPr="00517C65">
        <w:rPr>
          <w:rFonts w:ascii="Times New Roman" w:hAnsi="Times New Roman" w:cs="Times New Roman"/>
          <w:sz w:val="24"/>
          <w:szCs w:val="24"/>
        </w:rPr>
        <w:t xml:space="preserve"> is paid by DP&amp;L customers with DMR revenue). If DP&amp;L is suffering losses from its distribution business, it can file a traditional base rate case for financial relief. The PUCO treats FERC-approved transmission costs as a pass through to DP&amp;L’s distribution customers, thus creating no financial hardship for DP&amp;L from its transmission business. Therefore, but for the financial losses being incurred in the competitive generation market, DMR would not be needed. Calling the charge a "distribution modernization rider" does not undo the fact that the revenues collected will offset the </w:t>
      </w:r>
      <w:r>
        <w:rPr>
          <w:rFonts w:ascii="Times New Roman" w:hAnsi="Times New Roman" w:cs="Times New Roman"/>
          <w:sz w:val="24"/>
          <w:szCs w:val="24"/>
        </w:rPr>
        <w:t>insufficient</w:t>
      </w:r>
      <w:r w:rsidRPr="00517C65">
        <w:rPr>
          <w:rFonts w:ascii="Times New Roman" w:hAnsi="Times New Roman" w:cs="Times New Roman"/>
          <w:sz w:val="24"/>
          <w:szCs w:val="24"/>
        </w:rPr>
        <w:t xml:space="preserve"> revenues being produced for the </w:t>
      </w:r>
      <w:r>
        <w:rPr>
          <w:rFonts w:ascii="Times New Roman" w:hAnsi="Times New Roman" w:cs="Times New Roman"/>
          <w:sz w:val="24"/>
          <w:szCs w:val="24"/>
        </w:rPr>
        <w:t xml:space="preserve">uneconomic </w:t>
      </w:r>
      <w:r w:rsidRPr="00517C65">
        <w:rPr>
          <w:rFonts w:ascii="Times New Roman" w:hAnsi="Times New Roman" w:cs="Times New Roman"/>
          <w:sz w:val="24"/>
          <w:szCs w:val="24"/>
        </w:rPr>
        <w:t>competitive generation service offered by DP&amp;L.</w:t>
      </w:r>
      <w:r>
        <w:rPr>
          <w:rStyle w:val="FootnoteReference"/>
          <w:rFonts w:ascii="Times New Roman" w:hAnsi="Times New Roman" w:cs="Times New Roman"/>
          <w:sz w:val="24"/>
          <w:szCs w:val="24"/>
        </w:rPr>
        <w:footnoteReference w:id="95"/>
      </w:r>
    </w:p>
    <w:p w:rsidR="000860DD" w:rsidRPr="00517C65" w:rsidP="004D5A9C">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Authorizing DMR would undermine the entire premise of S.B. 3 and the competitive service framework that has evolved under S.B. 221.  S.B. 3 required the unbundling of the three components of service – generation, distribution</w:t>
      </w:r>
      <w:r>
        <w:rPr>
          <w:rFonts w:ascii="Times New Roman" w:hAnsi="Times New Roman" w:cs="Times New Roman"/>
          <w:sz w:val="24"/>
          <w:szCs w:val="24"/>
        </w:rPr>
        <w:t>,</w:t>
      </w:r>
      <w:r w:rsidRPr="00517C65">
        <w:rPr>
          <w:rFonts w:ascii="Times New Roman" w:hAnsi="Times New Roman" w:cs="Times New Roman"/>
          <w:sz w:val="24"/>
          <w:szCs w:val="24"/>
        </w:rPr>
        <w:t xml:space="preserve"> and transmission. Before S.B. 3, customers received and paid for the three major components on a </w:t>
      </w:r>
      <w:r w:rsidRPr="00517C65">
        <w:rPr>
          <w:rFonts w:ascii="Times New Roman" w:hAnsi="Times New Roman" w:cs="Times New Roman"/>
          <w:bCs/>
          <w:sz w:val="24"/>
          <w:szCs w:val="24"/>
        </w:rPr>
        <w:t>bundled basis.</w:t>
      </w:r>
      <w:r>
        <w:rPr>
          <w:rStyle w:val="FootnoteReference"/>
          <w:rFonts w:ascii="Times New Roman" w:hAnsi="Times New Roman" w:cs="Times New Roman"/>
          <w:bCs/>
          <w:sz w:val="24"/>
          <w:szCs w:val="24"/>
        </w:rPr>
        <w:footnoteReference w:id="96"/>
      </w:r>
      <w:r w:rsidRPr="00517C65">
        <w:rPr>
          <w:rFonts w:ascii="Times New Roman" w:hAnsi="Times New Roman" w:cs="Times New Roman"/>
          <w:b/>
          <w:bCs/>
          <w:sz w:val="24"/>
          <w:szCs w:val="24"/>
        </w:rPr>
        <w:t xml:space="preserve"> </w:t>
      </w:r>
      <w:r w:rsidRPr="00517C65">
        <w:rPr>
          <w:rFonts w:ascii="Times New Roman" w:hAnsi="Times New Roman" w:cs="Times New Roman"/>
          <w:sz w:val="24"/>
          <w:szCs w:val="24"/>
        </w:rPr>
        <w:t>In that scenario, electric utilities used revenues from the bundled electric services to support their generation, distribution, and transmission expenses</w:t>
      </w:r>
      <w:r>
        <w:rPr>
          <w:rFonts w:ascii="Times New Roman" w:hAnsi="Times New Roman" w:cs="Times New Roman"/>
          <w:sz w:val="24"/>
          <w:szCs w:val="24"/>
        </w:rPr>
        <w:t>.</w:t>
      </w:r>
    </w:p>
    <w:p w:rsidR="007E03E8" w:rsidRPr="00517C65" w:rsidP="00F1414A">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But with S.B. 3, the road to competition was forged.  S.B. 3 provided for restructuring of Ohio's electric-utility industry with a goal of achieving retail competition for generation service.</w:t>
      </w:r>
      <w:r>
        <w:rPr>
          <w:rStyle w:val="FootnoteReference"/>
          <w:rFonts w:ascii="Times New Roman" w:hAnsi="Times New Roman" w:cs="Times New Roman"/>
          <w:sz w:val="24"/>
          <w:szCs w:val="24"/>
        </w:rPr>
        <w:footnoteReference w:id="97"/>
      </w:r>
      <w:r w:rsidRPr="00517C65">
        <w:rPr>
          <w:rFonts w:ascii="Times New Roman" w:hAnsi="Times New Roman" w:cs="Times New Roman"/>
          <w:sz w:val="24"/>
          <w:szCs w:val="24"/>
        </w:rPr>
        <w:t xml:space="preserve">  The components of electric service were unbundled to ensure that an electric utility would not subsidize the competitive generation portion of its business by allocating generation expenses to the regulated distribution service.</w:t>
      </w:r>
      <w:r>
        <w:rPr>
          <w:rStyle w:val="FootnoteReference"/>
          <w:rFonts w:ascii="Times New Roman" w:hAnsi="Times New Roman" w:cs="Times New Roman"/>
          <w:sz w:val="24"/>
          <w:szCs w:val="24"/>
        </w:rPr>
        <w:footnoteReference w:id="98"/>
      </w:r>
      <w:r w:rsidRPr="00517C65">
        <w:rPr>
          <w:rFonts w:ascii="Times New Roman" w:hAnsi="Times New Roman" w:cs="Times New Roman"/>
          <w:sz w:val="24"/>
          <w:szCs w:val="24"/>
        </w:rPr>
        <w:t xml:space="preserve"> Additionally, S.B. 3 established corporate separation requirements to ensure that utilities would not undermine generation competition by extending undue preference or advantage to affiliates engaged in generation service.</w:t>
      </w:r>
      <w:r>
        <w:rPr>
          <w:rStyle w:val="FootnoteReference"/>
          <w:rFonts w:ascii="Times New Roman" w:hAnsi="Times New Roman" w:cs="Times New Roman"/>
          <w:sz w:val="24"/>
          <w:szCs w:val="24"/>
        </w:rPr>
        <w:footnoteReference w:id="99"/>
      </w:r>
    </w:p>
    <w:p w:rsidR="007E03E8" w:rsidRPr="00517C65" w:rsidP="008B11B3">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Here, </w:t>
      </w:r>
      <w:r>
        <w:rPr>
          <w:rFonts w:ascii="Times New Roman" w:hAnsi="Times New Roman" w:cs="Times New Roman"/>
          <w:sz w:val="24"/>
          <w:szCs w:val="24"/>
        </w:rPr>
        <w:t xml:space="preserve">seventeen years after the General Assembly called for divestiture, </w:t>
      </w:r>
      <w:r w:rsidRPr="00517C65">
        <w:rPr>
          <w:rFonts w:ascii="Times New Roman" w:hAnsi="Times New Roman" w:cs="Times New Roman"/>
          <w:sz w:val="24"/>
          <w:szCs w:val="24"/>
        </w:rPr>
        <w:t>DP&amp;L is asking to charge distribution customers $315 million (and perhaps up to $525 million) for the financial integrity of its entire operations, including generation.  But as explained above, the financial integrity of DP&amp;L’s distribution and transmission businesses can be addressed through traditional ratemaking at the PUCO and FERC.</w:t>
      </w:r>
      <w:r>
        <w:rPr>
          <w:rStyle w:val="FootnoteReference"/>
          <w:rFonts w:ascii="Times New Roman" w:hAnsi="Times New Roman" w:cs="Times New Roman"/>
          <w:sz w:val="24"/>
          <w:szCs w:val="24"/>
        </w:rPr>
        <w:footnoteReference w:id="100"/>
      </w:r>
    </w:p>
    <w:p w:rsidR="00055B52" w:rsidRPr="00517C65" w:rsidP="008B11B3">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DMR is a subsidy that supports generation service, either directly (pre-structural separation) or indirectly (by paying off generation-related debt).  That is exactly what </w:t>
      </w:r>
      <w:r>
        <w:rPr>
          <w:rFonts w:ascii="Times New Roman" w:hAnsi="Times New Roman" w:cs="Times New Roman"/>
          <w:sz w:val="24"/>
          <w:szCs w:val="24"/>
        </w:rPr>
        <w:t xml:space="preserve">Ohio law </w:t>
      </w:r>
      <w:r w:rsidRPr="00517C65">
        <w:rPr>
          <w:rFonts w:ascii="Times New Roman" w:hAnsi="Times New Roman" w:cs="Times New Roman"/>
          <w:sz w:val="24"/>
          <w:szCs w:val="24"/>
        </w:rPr>
        <w:t>preclude</w:t>
      </w:r>
      <w:r>
        <w:rPr>
          <w:rFonts w:ascii="Times New Roman" w:hAnsi="Times New Roman" w:cs="Times New Roman"/>
          <w:sz w:val="24"/>
          <w:szCs w:val="24"/>
        </w:rPr>
        <w:t>s.</w:t>
      </w:r>
      <w:r w:rsidRPr="00517C65">
        <w:rPr>
          <w:rFonts w:ascii="Times New Roman" w:hAnsi="Times New Roman" w:cs="Times New Roman"/>
          <w:sz w:val="24"/>
          <w:szCs w:val="24"/>
        </w:rPr>
        <w:t xml:space="preserve">  The PUCO should not allow DP&amp;L to push it in the opposite direction – away from unbundling – under the guise of maintaining DP&amp;L’s financial integrity or “distribution modernization.”  It should reject </w:t>
      </w:r>
      <w:r>
        <w:rPr>
          <w:rFonts w:ascii="Times New Roman" w:hAnsi="Times New Roman" w:cs="Times New Roman"/>
          <w:sz w:val="24"/>
          <w:szCs w:val="24"/>
        </w:rPr>
        <w:t xml:space="preserve">the </w:t>
      </w:r>
      <w:r w:rsidRPr="00517C65">
        <w:rPr>
          <w:rFonts w:ascii="Times New Roman" w:hAnsi="Times New Roman" w:cs="Times New Roman"/>
          <w:sz w:val="24"/>
          <w:szCs w:val="24"/>
        </w:rPr>
        <w:t>DMR.</w:t>
      </w:r>
    </w:p>
    <w:p w:rsidR="00055B52" w:rsidRPr="00517C65" w:rsidP="00225B94">
      <w:pPr>
        <w:pStyle w:val="Heading3"/>
      </w:pPr>
      <w:bookmarkStart w:id="17" w:name="_Toc481762041"/>
      <w:r w:rsidRPr="00517C65">
        <w:t>5.</w:t>
      </w:r>
      <w:r w:rsidRPr="00517C65">
        <w:tab/>
        <w:t xml:space="preserve">The Reconciliation Rider is </w:t>
      </w:r>
      <w:r>
        <w:t xml:space="preserve">also </w:t>
      </w:r>
      <w:r w:rsidRPr="00517C65">
        <w:t>an illegal transition charge that should be rejected</w:t>
      </w:r>
      <w:r>
        <w:t>.</w:t>
      </w:r>
      <w:bookmarkEnd w:id="17"/>
    </w:p>
    <w:p w:rsidR="008C2782" w:rsidRPr="00517C65" w:rsidP="00055B52">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Under the Reconciliation Rider, DP&amp;L proposes to recover the difference between the net proceeds from selling Ohio Valley Electric Cooperative (“OVEC”) energy and capacity into the PJM marketplace and OVEC’s costs.</w:t>
      </w:r>
      <w:r>
        <w:rPr>
          <w:rStyle w:val="FootnoteReference"/>
          <w:rFonts w:ascii="Times New Roman" w:hAnsi="Times New Roman" w:cs="Times New Roman"/>
          <w:sz w:val="24"/>
          <w:szCs w:val="24"/>
        </w:rPr>
        <w:footnoteReference w:id="101"/>
      </w:r>
      <w:r w:rsidRPr="00517C65">
        <w:rPr>
          <w:rFonts w:ascii="Times New Roman" w:hAnsi="Times New Roman" w:cs="Times New Roman"/>
          <w:sz w:val="24"/>
          <w:szCs w:val="24"/>
        </w:rPr>
        <w:t xml:space="preserve">  Though DP&amp;L hypothesizes that the rider could be a credit, DP&amp;L forecasts it to be a net cost.</w:t>
      </w:r>
      <w:r>
        <w:rPr>
          <w:rStyle w:val="FootnoteReference"/>
          <w:rFonts w:ascii="Times New Roman" w:hAnsi="Times New Roman" w:cs="Times New Roman"/>
          <w:sz w:val="24"/>
          <w:szCs w:val="24"/>
        </w:rPr>
        <w:footnoteReference w:id="102"/>
      </w:r>
      <w:r w:rsidRPr="00517C65">
        <w:rPr>
          <w:rFonts w:ascii="Times New Roman" w:hAnsi="Times New Roman" w:cs="Times New Roman"/>
          <w:sz w:val="24"/>
          <w:szCs w:val="24"/>
        </w:rPr>
        <w:t xml:space="preserve">  That the Reconciliation Rider, like DMR, is meant to bolster DP&amp;L’s financial integrity by propping up its financially underperforming generation assets is acknowledged by DP&amp;L Witness Schroder when she explains that without the rider, “DP&amp;L’s financial integrity issues would be further exacerbated.”</w:t>
      </w:r>
      <w:r>
        <w:rPr>
          <w:rStyle w:val="FootnoteReference"/>
          <w:rFonts w:ascii="Times New Roman" w:hAnsi="Times New Roman" w:cs="Times New Roman"/>
          <w:sz w:val="24"/>
          <w:szCs w:val="24"/>
        </w:rPr>
        <w:footnoteReference w:id="103"/>
      </w:r>
    </w:p>
    <w:p w:rsidR="005715B3" w:rsidRPr="00517C65" w:rsidP="005715B3">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Reconciliation Rider would charge customers for above-market costs that will not be used either for utility service or to provide power supply for DP&amp;L customers.</w:t>
      </w:r>
      <w:r>
        <w:rPr>
          <w:rStyle w:val="FootnoteReference"/>
          <w:rFonts w:ascii="Times New Roman" w:hAnsi="Times New Roman" w:cs="Times New Roman"/>
          <w:sz w:val="24"/>
          <w:szCs w:val="24"/>
        </w:rPr>
        <w:footnoteReference w:id="104"/>
      </w:r>
      <w:r w:rsidRPr="00517C65">
        <w:rPr>
          <w:rFonts w:ascii="Times New Roman" w:hAnsi="Times New Roman" w:cs="Times New Roman"/>
          <w:sz w:val="24"/>
          <w:szCs w:val="24"/>
        </w:rPr>
        <w:t xml:space="preserve">  </w:t>
      </w:r>
    </w:p>
    <w:p w:rsidR="00775C0C" w:rsidRPr="00517C65" w:rsidP="008B11B3">
      <w:pPr>
        <w:autoSpaceDE w:val="0"/>
        <w:autoSpaceDN w:val="0"/>
        <w:adjustRightInd w:val="0"/>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It is a transition charge or equivalent revenue</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that DP&amp;L is seeking long after its market development period has ended. </w:t>
      </w:r>
      <w:r w:rsidRPr="00517C65">
        <w:rPr>
          <w:rFonts w:ascii="Times New Roman" w:hAnsi="Times New Roman" w:cs="Times New Roman"/>
          <w:sz w:val="24"/>
          <w:szCs w:val="24"/>
        </w:rPr>
        <w:t xml:space="preserve">    </w:t>
      </w:r>
    </w:p>
    <w:p w:rsidR="00775C0C" w:rsidRPr="00517C65" w:rsidP="00EB0EF4">
      <w:pPr>
        <w:pStyle w:val="Heading2"/>
        <w:numPr>
          <w:ilvl w:val="0"/>
          <w:numId w:val="0"/>
        </w:numPr>
        <w:ind w:left="1440" w:hanging="720"/>
      </w:pPr>
      <w:bookmarkStart w:id="18" w:name="_Toc481762042"/>
      <w:r w:rsidRPr="00517C65">
        <w:t>B.</w:t>
      </w:r>
      <w:r w:rsidRPr="00517C65">
        <w:tab/>
        <w:t>The Settlement does not meet the PUCO’s three-prong test for analyzing the reasonableness of a stipulation and thus harms consumers</w:t>
      </w:r>
      <w:r>
        <w:t>.</w:t>
      </w:r>
      <w:bookmarkEnd w:id="18"/>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PUCO should deny the Settlement in its entirety because it does not meet the PUCO’S three-prong test for analyzing the reasonableness of a stipulation.  Ohio Adm. Code 4901-1-30 permits parties to enter into stipulations for review by the PUCO.  The PUCO uses the following criteria when evaluating whether a stipulation is reasonable and should be adopted:</w:t>
      </w:r>
    </w:p>
    <w:p w:rsidR="00775C0C" w:rsidRPr="00C81B66" w:rsidP="00517C65">
      <w:pPr>
        <w:pStyle w:val="ListParagraph"/>
        <w:numPr>
          <w:ilvl w:val="0"/>
          <w:numId w:val="40"/>
        </w:numPr>
        <w:ind w:right="720" w:hanging="720"/>
        <w:rPr>
          <w:rFonts w:ascii="Times New Roman" w:hAnsi="Times New Roman" w:cs="Times New Roman"/>
        </w:rPr>
      </w:pPr>
      <w:r w:rsidRPr="00517C65">
        <w:rPr>
          <w:rFonts w:ascii="Times New Roman" w:hAnsi="Times New Roman" w:cs="Times New Roman"/>
        </w:rPr>
        <w:t xml:space="preserve">Is the stipulation a product of serious bargaining among capable, </w:t>
      </w:r>
      <w:r w:rsidRPr="00517C65">
        <w:rPr>
          <w:rFonts w:ascii="Times New Roman" w:hAnsi="Times New Roman" w:cs="Times New Roman"/>
          <w:szCs w:val="24"/>
        </w:rPr>
        <w:t>knowledgeable parties?</w:t>
      </w:r>
    </w:p>
    <w:p w:rsidR="00C81B66" w:rsidRPr="00517C65" w:rsidP="00C81B66">
      <w:pPr>
        <w:pStyle w:val="ListParagraph"/>
        <w:ind w:left="2880" w:right="720"/>
        <w:rPr>
          <w:rFonts w:ascii="Times New Roman" w:hAnsi="Times New Roman" w:cs="Times New Roman"/>
        </w:rPr>
      </w:pPr>
    </w:p>
    <w:p w:rsidR="00775C0C" w:rsidRPr="00C81B66" w:rsidP="00517C65">
      <w:pPr>
        <w:pStyle w:val="ListParagraph"/>
        <w:numPr>
          <w:ilvl w:val="0"/>
          <w:numId w:val="40"/>
        </w:numPr>
        <w:ind w:right="720" w:hanging="720"/>
        <w:rPr>
          <w:rFonts w:ascii="Times New Roman" w:hAnsi="Times New Roman" w:cs="Times New Roman"/>
        </w:rPr>
      </w:pPr>
      <w:r w:rsidRPr="00517C65">
        <w:rPr>
          <w:rFonts w:ascii="Times New Roman" w:hAnsi="Times New Roman" w:cs="Times New Roman"/>
        </w:rPr>
        <w:t xml:space="preserve">Does the stipulation, as a package, benefit ratepayers and the </w:t>
      </w:r>
      <w:r w:rsidRPr="00517C65">
        <w:rPr>
          <w:rFonts w:ascii="Times New Roman" w:hAnsi="Times New Roman" w:cs="Times New Roman"/>
          <w:szCs w:val="24"/>
        </w:rPr>
        <w:t>public interest?</w:t>
      </w:r>
    </w:p>
    <w:p w:rsidR="00C81B66" w:rsidRPr="00517C65" w:rsidP="00C81B66">
      <w:pPr>
        <w:pStyle w:val="ListParagraph"/>
        <w:ind w:left="2880" w:right="720"/>
        <w:rPr>
          <w:rFonts w:ascii="Times New Roman" w:hAnsi="Times New Roman" w:cs="Times New Roman"/>
        </w:rPr>
      </w:pPr>
    </w:p>
    <w:p w:rsidR="00775C0C" w:rsidRPr="00517C65" w:rsidP="00517C65">
      <w:pPr>
        <w:pStyle w:val="ListParagraph"/>
        <w:numPr>
          <w:ilvl w:val="0"/>
          <w:numId w:val="40"/>
        </w:numPr>
        <w:ind w:right="720" w:hanging="720"/>
        <w:rPr>
          <w:rFonts w:ascii="Times New Roman" w:hAnsi="Times New Roman" w:cs="Times New Roman"/>
        </w:rPr>
      </w:pPr>
      <w:r w:rsidRPr="00517C65">
        <w:rPr>
          <w:rFonts w:ascii="Times New Roman" w:hAnsi="Times New Roman" w:cs="Times New Roman"/>
        </w:rPr>
        <w:t>Does the settlement package violate any important regulatory principle or practice?</w:t>
      </w:r>
    </w:p>
    <w:p w:rsidR="00775C0C" w:rsidRPr="00517C65" w:rsidP="00775C0C">
      <w:pPr>
        <w:autoSpaceDE w:val="0"/>
        <w:autoSpaceDN w:val="0"/>
        <w:adjustRightInd w:val="0"/>
        <w:spacing w:after="0" w:line="240" w:lineRule="auto"/>
        <w:rPr>
          <w:rFonts w:ascii="Times New Roman" w:hAnsi="Times New Roman" w:cs="Times New Roman"/>
          <w:sz w:val="24"/>
          <w:szCs w:val="24"/>
        </w:rPr>
      </w:pPr>
    </w:p>
    <w:p w:rsidR="00775C0C" w:rsidRPr="00517C65" w:rsidP="008B11B3">
      <w:pPr>
        <w:autoSpaceDE w:val="0"/>
        <w:autoSpaceDN w:val="0"/>
        <w:adjustRightInd w:val="0"/>
        <w:spacing w:after="0" w:line="24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As explained below, the Settlement fails each prong of this test.  </w:t>
      </w:r>
    </w:p>
    <w:p w:rsidR="00775C0C" w:rsidRPr="00517C65" w:rsidP="00775C0C">
      <w:pPr>
        <w:rPr>
          <w:rFonts w:ascii="Times New Roman" w:hAnsi="Times New Roman" w:cs="Times New Roman"/>
          <w:sz w:val="24"/>
          <w:szCs w:val="24"/>
        </w:rPr>
      </w:pPr>
    </w:p>
    <w:p w:rsidR="00775C0C" w:rsidRPr="00517C65" w:rsidP="00225B94">
      <w:pPr>
        <w:pStyle w:val="Heading3"/>
      </w:pPr>
      <w:bookmarkStart w:id="19" w:name="_Toc481762043"/>
      <w:r w:rsidRPr="00517C65">
        <w:t>1.</w:t>
      </w:r>
      <w:r w:rsidRPr="00517C65">
        <w:tab/>
        <w:t>The Settlement is not the product of serious bargaining among capable, knowledgeable parties.</w:t>
      </w:r>
      <w:bookmarkEnd w:id="19"/>
    </w:p>
    <w:p w:rsidR="00D83C5B" w:rsidRPr="00517C65" w:rsidP="00517C65">
      <w:pPr>
        <w:pStyle w:val="Heading4"/>
      </w:pPr>
      <w:bookmarkStart w:id="20" w:name="_Toc481762044"/>
      <w:r w:rsidRPr="00517C65">
        <w:t>a.</w:t>
      </w:r>
      <w:r w:rsidRPr="00517C65">
        <w:tab/>
        <w:t>The Settlement is not supported by a diversity of interests</w:t>
      </w:r>
      <w:r>
        <w:t>.</w:t>
      </w:r>
      <w:bookmarkEnd w:id="20"/>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first step of the settlement test requires there to be “serious bargaining among capable and knowledgeable parties.”</w:t>
      </w:r>
      <w:r>
        <w:rPr>
          <w:rStyle w:val="FootnoteReference"/>
          <w:rFonts w:ascii="Times New Roman" w:hAnsi="Times New Roman" w:cs="Times New Roman"/>
          <w:sz w:val="24"/>
          <w:szCs w:val="24"/>
        </w:rPr>
        <w:footnoteReference w:id="106"/>
      </w:r>
      <w:r w:rsidRPr="00517C65">
        <w:rPr>
          <w:rFonts w:ascii="Times New Roman" w:hAnsi="Times New Roman" w:cs="Times New Roman"/>
          <w:sz w:val="24"/>
          <w:szCs w:val="24"/>
        </w:rPr>
        <w:t xml:space="preserve"> When assessing this portion of the settlement test, the PUCO often considers whether there is “a diversity of interests” that are represented in the terms of the stipulation.</w:t>
      </w:r>
      <w:r>
        <w:rPr>
          <w:rStyle w:val="FootnoteReference"/>
          <w:rFonts w:ascii="Times New Roman" w:hAnsi="Times New Roman" w:cs="Times New Roman"/>
          <w:sz w:val="24"/>
          <w:szCs w:val="24"/>
        </w:rPr>
        <w:footnoteReference w:id="107"/>
      </w:r>
      <w:r w:rsidRPr="00517C65">
        <w:rPr>
          <w:rFonts w:ascii="Times New Roman" w:hAnsi="Times New Roman" w:cs="Times New Roman"/>
          <w:sz w:val="24"/>
          <w:szCs w:val="24"/>
        </w:rPr>
        <w:t xml:space="preserve"> While the PUCO considers diversity to be important, it has also often determined that no one class of customers has the ability to “veto” a settlement.</w:t>
      </w:r>
      <w:r>
        <w:rPr>
          <w:rStyle w:val="FootnoteReference"/>
          <w:rFonts w:ascii="Times New Roman" w:hAnsi="Times New Roman" w:cs="Times New Roman"/>
          <w:sz w:val="24"/>
          <w:szCs w:val="24"/>
        </w:rPr>
        <w:footnoteReference w:id="108"/>
      </w:r>
      <w:r w:rsidRPr="00517C65">
        <w:rPr>
          <w:rFonts w:ascii="Times New Roman" w:hAnsi="Times New Roman" w:cs="Times New Roman"/>
          <w:sz w:val="24"/>
          <w:szCs w:val="24"/>
        </w:rPr>
        <w:t xml:space="preserve"> </w:t>
      </w:r>
    </w:p>
    <w:p w:rsidR="004B6C7A"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Settlement is not supported by a diversity of interests.  It is only supported by a fraction of the many parties that intervened in this case.</w:t>
      </w:r>
      <w:r>
        <w:rPr>
          <w:rStyle w:val="FootnoteReference"/>
          <w:rFonts w:ascii="Times New Roman" w:hAnsi="Times New Roman" w:cs="Times New Roman"/>
          <w:sz w:val="24"/>
          <w:szCs w:val="24"/>
        </w:rPr>
        <w:footnoteReference w:id="109"/>
      </w:r>
      <w:r w:rsidRPr="00517C65">
        <w:rPr>
          <w:rFonts w:ascii="Times New Roman" w:hAnsi="Times New Roman" w:cs="Times New Roman"/>
          <w:sz w:val="24"/>
          <w:szCs w:val="24"/>
        </w:rPr>
        <w:t xml:space="preserve">  Excluding DP&amp;L and DPL, “[t]here are only ten supporting parties from the approximately 30 parties listed by [DP&amp;L] Witness Schroder.  This means that the vast majority of parties are not supporting the proposed Stipulation.”</w:t>
      </w:r>
      <w:r>
        <w:rPr>
          <w:rStyle w:val="FootnoteReference"/>
          <w:rFonts w:ascii="Times New Roman" w:hAnsi="Times New Roman" w:cs="Times New Roman"/>
          <w:sz w:val="24"/>
          <w:szCs w:val="24"/>
        </w:rPr>
        <w:footnoteReference w:id="110"/>
      </w:r>
      <w:r w:rsidRPr="00517C65">
        <w:rPr>
          <w:rFonts w:ascii="Times New Roman" w:hAnsi="Times New Roman" w:cs="Times New Roman"/>
          <w:sz w:val="24"/>
          <w:szCs w:val="24"/>
        </w:rPr>
        <w:t xml:space="preserve">  The non-utility parties that support the Settlement appear to be more motivated by the handouts that they received rather than by support for the Settlement.</w:t>
      </w:r>
      <w:r>
        <w:rPr>
          <w:rStyle w:val="FootnoteReference"/>
          <w:rFonts w:ascii="Times New Roman" w:hAnsi="Times New Roman" w:cs="Times New Roman"/>
          <w:sz w:val="24"/>
          <w:szCs w:val="24"/>
        </w:rPr>
        <w:footnoteReference w:id="111"/>
      </w:r>
      <w:r w:rsidRPr="00517C65">
        <w:rPr>
          <w:rFonts w:ascii="Times New Roman" w:hAnsi="Times New Roman" w:cs="Times New Roman"/>
          <w:sz w:val="24"/>
          <w:szCs w:val="24"/>
        </w:rPr>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For example, IGS, RESA, and the Ohio Manufacturing Association Energy Group do not explicitly support the DIR or the DMR, unquestionably the centerpiece of the settlement.</w:t>
      </w:r>
      <w:r>
        <w:rPr>
          <w:rStyle w:val="FootnoteReference"/>
          <w:rFonts w:ascii="Times New Roman" w:hAnsi="Times New Roman" w:cs="Times New Roman"/>
          <w:sz w:val="24"/>
          <w:szCs w:val="24"/>
        </w:rPr>
        <w:footnoteReference w:id="112"/>
      </w:r>
      <w:r w:rsidRPr="00517C65">
        <w:rPr>
          <w:rFonts w:ascii="Times New Roman" w:hAnsi="Times New Roman" w:cs="Times New Roman"/>
          <w:sz w:val="24"/>
          <w:szCs w:val="24"/>
        </w:rPr>
        <w:t xml:space="preserve">  IGS and RESA submitted testimony but instead of supporting the Settlement, they only sought to “testify about certain measures and programs” included in the Settlement – the handouts that they received.</w:t>
      </w:r>
      <w:r>
        <w:rPr>
          <w:rStyle w:val="FootnoteReference"/>
          <w:rFonts w:ascii="Times New Roman" w:hAnsi="Times New Roman" w:cs="Times New Roman"/>
          <w:sz w:val="24"/>
          <w:szCs w:val="24"/>
        </w:rPr>
        <w:footnoteReference w:id="113"/>
      </w:r>
      <w:r w:rsidRPr="00517C65">
        <w:rPr>
          <w:rFonts w:ascii="Times New Roman" w:hAnsi="Times New Roman" w:cs="Times New Roman"/>
          <w:sz w:val="24"/>
          <w:szCs w:val="24"/>
        </w:rPr>
        <w:t xml:space="preserve">  The PUCO should find this testimony to be unpersuasive because it does not attempt to explain why the Settlement, </w:t>
      </w:r>
      <w:r w:rsidRPr="00244E65">
        <w:rPr>
          <w:rFonts w:ascii="Times New Roman" w:hAnsi="Times New Roman" w:cs="Times New Roman"/>
          <w:i/>
          <w:sz w:val="24"/>
          <w:szCs w:val="24"/>
        </w:rPr>
        <w:t>taken as a whole</w:t>
      </w:r>
      <w:r w:rsidRPr="00517C65">
        <w:rPr>
          <w:rFonts w:ascii="Times New Roman" w:hAnsi="Times New Roman" w:cs="Times New Roman"/>
          <w:sz w:val="24"/>
          <w:szCs w:val="24"/>
        </w:rPr>
        <w:t xml:space="preserve">, is in the public interest and should be approved.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narrow support for the Settlement does not include the bulk of DP&amp;L’s customers.  456,000 of DP&amp;L’s 515,000 customers are residential customers.</w:t>
      </w:r>
      <w:r>
        <w:rPr>
          <w:rStyle w:val="FootnoteReference"/>
          <w:rFonts w:ascii="Times New Roman" w:hAnsi="Times New Roman" w:cs="Times New Roman"/>
          <w:sz w:val="24"/>
          <w:szCs w:val="24"/>
        </w:rPr>
        <w:footnoteReference w:id="114"/>
      </w:r>
      <w:r w:rsidRPr="00517C65">
        <w:rPr>
          <w:rFonts w:ascii="Times New Roman" w:hAnsi="Times New Roman" w:cs="Times New Roman"/>
          <w:sz w:val="24"/>
          <w:szCs w:val="24"/>
        </w:rPr>
        <w:t xml:space="preserve"> The costs of the Settlement will disproportionately be borne by those </w:t>
      </w:r>
      <w:r>
        <w:rPr>
          <w:rFonts w:ascii="Times New Roman" w:hAnsi="Times New Roman" w:cs="Times New Roman"/>
          <w:sz w:val="24"/>
          <w:szCs w:val="24"/>
        </w:rPr>
        <w:t xml:space="preserve">residential </w:t>
      </w:r>
      <w:r w:rsidRPr="00517C65">
        <w:rPr>
          <w:rFonts w:ascii="Times New Roman" w:hAnsi="Times New Roman" w:cs="Times New Roman"/>
          <w:sz w:val="24"/>
          <w:szCs w:val="24"/>
        </w:rPr>
        <w:t xml:space="preserve">customers. In contrast to the burden placed on residential customers, the Settlement includes specific benefits to </w:t>
      </w:r>
      <w:r w:rsidRPr="00517C65">
        <w:rPr>
          <w:rFonts w:ascii="Times New Roman" w:hAnsi="Times New Roman" w:cs="Times New Roman"/>
          <w:i/>
          <w:sz w:val="24"/>
          <w:szCs w:val="24"/>
        </w:rPr>
        <w:t>offset</w:t>
      </w:r>
      <w:r w:rsidRPr="00517C65">
        <w:rPr>
          <w:rFonts w:ascii="Times New Roman" w:hAnsi="Times New Roman" w:cs="Times New Roman"/>
          <w:sz w:val="24"/>
          <w:szCs w:val="24"/>
        </w:rPr>
        <w:t xml:space="preserve"> rate increases for a select group of industrial and commercial customers.</w:t>
      </w:r>
      <w:r>
        <w:rPr>
          <w:rStyle w:val="FootnoteReference"/>
          <w:rFonts w:ascii="Times New Roman" w:hAnsi="Times New Roman" w:cs="Times New Roman"/>
          <w:sz w:val="24"/>
          <w:szCs w:val="24"/>
        </w:rPr>
        <w:footnoteReference w:id="115"/>
      </w:r>
      <w:r w:rsidRPr="00517C65">
        <w:rPr>
          <w:rFonts w:ascii="Times New Roman" w:hAnsi="Times New Roman" w:cs="Times New Roman"/>
          <w:sz w:val="24"/>
          <w:szCs w:val="24"/>
        </w:rPr>
        <w:t xml:space="preserve"> Low-income advocates – who help low-income customers, only a portion of residential consumers – receive only a pittance that does not begin to offset the harm caused by the illegal transition charge (DMR) that DP&amp;L seeks. This </w:t>
      </w:r>
      <w:r w:rsidRPr="00A201B4">
        <w:rPr>
          <w:rFonts w:ascii="Times New Roman" w:hAnsi="Times New Roman" w:cs="Times New Roman"/>
          <w:sz w:val="24"/>
          <w:szCs w:val="24"/>
        </w:rPr>
        <w:t xml:space="preserve">is not a single class of customers seeking to veto a settlement, but rather a </w:t>
      </w:r>
      <w:r w:rsidRPr="00517C65">
        <w:rPr>
          <w:rFonts w:ascii="Times New Roman" w:hAnsi="Times New Roman" w:cs="Times New Roman"/>
          <w:sz w:val="24"/>
          <w:szCs w:val="24"/>
        </w:rPr>
        <w:t xml:space="preserve">complete </w:t>
      </w:r>
      <w:r>
        <w:rPr>
          <w:rFonts w:ascii="Times New Roman" w:hAnsi="Times New Roman" w:cs="Times New Roman"/>
          <w:sz w:val="24"/>
          <w:szCs w:val="24"/>
        </w:rPr>
        <w:t xml:space="preserve">lack of </w:t>
      </w:r>
      <w:r w:rsidRPr="00517C65">
        <w:rPr>
          <w:rFonts w:ascii="Times New Roman" w:hAnsi="Times New Roman" w:cs="Times New Roman"/>
          <w:sz w:val="24"/>
          <w:szCs w:val="24"/>
        </w:rPr>
        <w:t>diversity of interests because the Settlement overwhelmingly burdens roughly 89% of DP&amp;L’s customers</w:t>
      </w:r>
      <w:r>
        <w:rPr>
          <w:rFonts w:ascii="Times New Roman" w:hAnsi="Times New Roman" w:cs="Times New Roman"/>
          <w:sz w:val="24"/>
          <w:szCs w:val="24"/>
        </w:rPr>
        <w:t xml:space="preserve"> that the OCC represents</w:t>
      </w:r>
      <w:r w:rsidRPr="00517C65">
        <w:rPr>
          <w:rFonts w:ascii="Times New Roman" w:hAnsi="Times New Roman" w:cs="Times New Roman"/>
          <w:sz w:val="24"/>
          <w:szCs w:val="24"/>
        </w:rPr>
        <w:t>.</w:t>
      </w:r>
      <w:r>
        <w:rPr>
          <w:rStyle w:val="FootnoteReference"/>
          <w:rFonts w:ascii="Times New Roman" w:hAnsi="Times New Roman" w:cs="Times New Roman"/>
          <w:sz w:val="24"/>
          <w:szCs w:val="24"/>
        </w:rPr>
        <w:footnoteReference w:id="116"/>
      </w:r>
      <w:r w:rsidRPr="00517C65">
        <w:rPr>
          <w:rFonts w:ascii="Times New Roman" w:hAnsi="Times New Roman" w:cs="Times New Roman"/>
          <w:sz w:val="24"/>
          <w:szCs w:val="24"/>
        </w:rPr>
        <w:t xml:space="preserve"> </w:t>
      </w:r>
    </w:p>
    <w:p w:rsidR="00D83C5B" w:rsidRPr="00517C65" w:rsidP="008B11B3">
      <w:pPr>
        <w:spacing w:after="0" w:line="480" w:lineRule="auto"/>
        <w:ind w:firstLine="720"/>
        <w:rPr>
          <w:rFonts w:ascii="Times New Roman" w:hAnsi="Times New Roman" w:cs="Times New Roman"/>
          <w:b/>
          <w:sz w:val="24"/>
          <w:szCs w:val="24"/>
        </w:rPr>
      </w:pPr>
      <w:r w:rsidRPr="00517C65">
        <w:rPr>
          <w:rFonts w:ascii="Times New Roman" w:hAnsi="Times New Roman" w:cs="Times New Roman"/>
          <w:sz w:val="24"/>
          <w:szCs w:val="24"/>
        </w:rPr>
        <w:t>The Settlement does not have support, as a package, from a diverse set of interests.  As such, the proposed Settlement fails the first prong of the PUCO’s standard for evaluating settlements. The PUCO should reject it.</w:t>
      </w:r>
    </w:p>
    <w:p w:rsidR="001D3C4F" w:rsidRPr="00517C65" w:rsidP="00517C65">
      <w:pPr>
        <w:pStyle w:val="Heading4"/>
      </w:pPr>
      <w:bookmarkStart w:id="21" w:name="_Toc481762045"/>
      <w:r w:rsidRPr="00517C65">
        <w:t>b.</w:t>
      </w:r>
      <w:r w:rsidRPr="00517C65">
        <w:tab/>
        <w:t>The Settlement was not the product of serious bargaining, but instead handouts from DP&amp;L to parties in return for their support or non-opposition, thereby harming consumers</w:t>
      </w:r>
      <w:r>
        <w:t>.</w:t>
      </w:r>
      <w:bookmarkEnd w:id="21"/>
    </w:p>
    <w:p w:rsidR="006268A9" w:rsidRPr="00517C65" w:rsidP="00613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Provisions in the Settlement are “clearly intended to purchase the signatures of individual parties in exchange for DP&amp;L securing its own investor benefits.”</w:t>
      </w:r>
      <w:r>
        <w:rPr>
          <w:rStyle w:val="FootnoteReference"/>
          <w:rFonts w:ascii="Times New Roman" w:hAnsi="Times New Roman" w:cs="Times New Roman"/>
          <w:sz w:val="24"/>
          <w:szCs w:val="24"/>
        </w:rPr>
        <w:footnoteReference w:id="117"/>
      </w:r>
      <w:r w:rsidRPr="00517C65">
        <w:rPr>
          <w:rFonts w:ascii="Times New Roman" w:hAnsi="Times New Roman" w:cs="Times New Roman"/>
          <w:sz w:val="24"/>
          <w:szCs w:val="24"/>
        </w:rPr>
        <w:t xml:space="preserve">  Section IV of the Settlement provides rate discounts that are available only to a few signatory parties.</w:t>
      </w:r>
      <w:r>
        <w:rPr>
          <w:rStyle w:val="FootnoteReference"/>
          <w:rFonts w:ascii="Times New Roman" w:hAnsi="Times New Roman" w:cs="Times New Roman"/>
          <w:sz w:val="24"/>
          <w:szCs w:val="24"/>
        </w:rPr>
        <w:footnoteReference w:id="118"/>
      </w:r>
      <w:r w:rsidRPr="00517C65">
        <w:rPr>
          <w:rFonts w:ascii="Times New Roman" w:hAnsi="Times New Roman" w:cs="Times New Roman"/>
          <w:sz w:val="24"/>
          <w:szCs w:val="24"/>
        </w:rPr>
        <w:t xml:space="preserve">  Section X of the Settlement extends for nine pages and describes the cash or cash-equivalents that DP&amp;L provides in exchange for signatures.</w:t>
      </w:r>
      <w:r>
        <w:rPr>
          <w:rStyle w:val="FootnoteReference"/>
          <w:rFonts w:ascii="Times New Roman" w:hAnsi="Times New Roman" w:cs="Times New Roman"/>
          <w:sz w:val="24"/>
          <w:szCs w:val="24"/>
        </w:rPr>
        <w:footnoteReference w:id="119"/>
      </w:r>
      <w:r w:rsidRPr="00517C65">
        <w:rPr>
          <w:rFonts w:ascii="Times New Roman" w:hAnsi="Times New Roman" w:cs="Times New Roman"/>
          <w:sz w:val="24"/>
          <w:szCs w:val="24"/>
        </w:rPr>
        <w:t xml:space="preserve">  Such handouts are no reason for PUCO approval of the Settlement.</w:t>
      </w:r>
      <w:r>
        <w:rPr>
          <w:rStyle w:val="FootnoteReference"/>
          <w:rFonts w:ascii="Times New Roman" w:hAnsi="Times New Roman" w:cs="Times New Roman"/>
          <w:sz w:val="24"/>
          <w:szCs w:val="24"/>
        </w:rPr>
        <w:footnoteReference w:id="120"/>
      </w:r>
      <w:r w:rsidRPr="00517C65">
        <w:rPr>
          <w:rFonts w:ascii="Times New Roman" w:hAnsi="Times New Roman" w:cs="Times New Roman"/>
          <w:sz w:val="24"/>
          <w:szCs w:val="24"/>
        </w:rPr>
        <w:t xml:space="preserve">  They are, in fact, reason to reject the Settlement.</w:t>
      </w:r>
      <w:r>
        <w:rPr>
          <w:rStyle w:val="FootnoteReference"/>
          <w:rFonts w:ascii="Times New Roman" w:hAnsi="Times New Roman" w:cs="Times New Roman"/>
          <w:sz w:val="24"/>
          <w:szCs w:val="24"/>
        </w:rPr>
        <w:footnoteReference w:id="121"/>
      </w:r>
    </w:p>
    <w:p w:rsidR="001D3C4F" w:rsidRPr="00517C65" w:rsidP="00225B94">
      <w:pPr>
        <w:pStyle w:val="Heading3"/>
      </w:pPr>
      <w:bookmarkStart w:id="22" w:name="_Toc481762046"/>
      <w:r w:rsidRPr="00517C65">
        <w:t>2.</w:t>
      </w:r>
      <w:r w:rsidRPr="00517C65">
        <w:tab/>
        <w:t>The Settlement, as a package, does not benefit customers or the public interest</w:t>
      </w:r>
      <w:r>
        <w:t>.</w:t>
      </w:r>
      <w:bookmarkEnd w:id="22"/>
    </w:p>
    <w:p w:rsidR="00775C0C" w:rsidRPr="00517C65" w:rsidP="00517C65">
      <w:pPr>
        <w:pStyle w:val="Heading4"/>
      </w:pPr>
      <w:bookmarkStart w:id="23" w:name="_Toc481762047"/>
      <w:r w:rsidRPr="00517C65">
        <w:t xml:space="preserve">a. </w:t>
      </w:r>
      <w:r w:rsidRPr="00517C65">
        <w:tab/>
        <w:t>Customers will be worse off if the Settlement is approved</w:t>
      </w:r>
      <w:r>
        <w:t>.</w:t>
      </w:r>
      <w:bookmarkEnd w:id="23"/>
    </w:p>
    <w:p w:rsidR="00775C0C"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bill impacts supported by Company Witness Schroder do not carry DP&amp;L’s burden to show that consumers will be better off as a result of the Settlement.  In her Exhibit A, DP&amp;L Witness Schroder calculates customer bill impacts from the proposed settlement, ultimately finding that any increases will be minimal, or in the case of a residential consumer using 1,000 kWh per month, a slight decrease. These calculations are misleading for several reasons.  The rate decrease is a result of (1) the Rate Stability Charge from DP&amp;L’s ESP I expiring and (2) reduced market-based costs from a fully competitive SSO auction.</w:t>
      </w:r>
      <w:r>
        <w:rPr>
          <w:rStyle w:val="FootnoteReference"/>
          <w:rFonts w:ascii="Times New Roman" w:hAnsi="Times New Roman" w:cs="Times New Roman"/>
          <w:sz w:val="24"/>
          <w:szCs w:val="24"/>
        </w:rPr>
        <w:footnoteReference w:id="122"/>
      </w:r>
      <w:r w:rsidRPr="00517C65">
        <w:rPr>
          <w:rFonts w:ascii="Times New Roman" w:hAnsi="Times New Roman" w:cs="Times New Roman"/>
          <w:sz w:val="24"/>
          <w:szCs w:val="24"/>
        </w:rPr>
        <w:t xml:space="preserve">  Both of these benefits are independent of the Settlement and would likewise occur under an MRO.</w:t>
      </w:r>
      <w:r>
        <w:rPr>
          <w:rStyle w:val="FootnoteReference"/>
          <w:rFonts w:ascii="Times New Roman" w:hAnsi="Times New Roman" w:cs="Times New Roman"/>
          <w:sz w:val="24"/>
          <w:szCs w:val="24"/>
        </w:rPr>
        <w:footnoteReference w:id="123"/>
      </w:r>
      <w:r w:rsidRPr="00517C65">
        <w:rPr>
          <w:rFonts w:ascii="Times New Roman" w:hAnsi="Times New Roman" w:cs="Times New Roman"/>
          <w:sz w:val="24"/>
          <w:szCs w:val="24"/>
        </w:rPr>
        <w:t xml:space="preserve">  </w:t>
      </w:r>
    </w:p>
    <w:p w:rsidR="00775C0C"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OCC Witness Kahal presented customer bill impacts for the DMR</w:t>
      </w:r>
      <w:r>
        <w:rPr>
          <w:rFonts w:ascii="Times New Roman" w:hAnsi="Times New Roman" w:cs="Times New Roman"/>
          <w:sz w:val="24"/>
          <w:szCs w:val="24"/>
        </w:rPr>
        <w:t xml:space="preserve"> that are more reliable</w:t>
      </w:r>
      <w:r w:rsidRPr="00517C65">
        <w:rPr>
          <w:rFonts w:ascii="Times New Roman" w:hAnsi="Times New Roman" w:cs="Times New Roman"/>
          <w:sz w:val="24"/>
          <w:szCs w:val="24"/>
        </w:rPr>
        <w:t>.  He calculated that the DMR alone “would add about $9 per month for the 1,000 kWh per month customer, or $108 per year.”</w:t>
      </w:r>
      <w:r>
        <w:rPr>
          <w:rStyle w:val="FootnoteReference"/>
          <w:rFonts w:ascii="Times New Roman" w:hAnsi="Times New Roman" w:cs="Times New Roman"/>
          <w:sz w:val="24"/>
          <w:szCs w:val="24"/>
        </w:rPr>
        <w:footnoteReference w:id="124"/>
      </w:r>
      <w:r w:rsidRPr="00517C65">
        <w:rPr>
          <w:rFonts w:ascii="Times New Roman" w:hAnsi="Times New Roman" w:cs="Times New Roman"/>
          <w:sz w:val="24"/>
          <w:szCs w:val="24"/>
        </w:rPr>
        <w:t xml:space="preserve">  When added to the $3 per month that DP&amp;L Witness Schroder calculates for the Reconciliation Rider, Regulatory Compliance Rider, and Economic Development Rider,</w:t>
      </w:r>
      <w:r>
        <w:rPr>
          <w:rStyle w:val="FootnoteReference"/>
          <w:rFonts w:ascii="Times New Roman" w:hAnsi="Times New Roman" w:cs="Times New Roman"/>
          <w:sz w:val="24"/>
          <w:szCs w:val="24"/>
        </w:rPr>
        <w:footnoteReference w:id="125"/>
      </w:r>
      <w:r w:rsidRPr="00517C65">
        <w:rPr>
          <w:rFonts w:ascii="Times New Roman" w:hAnsi="Times New Roman" w:cs="Times New Roman"/>
          <w:sz w:val="24"/>
          <w:szCs w:val="24"/>
        </w:rPr>
        <w:t xml:space="preserve"> this results in “a total monthly bill impact of about $12 (or $144 per year) from the proposed Settlement.”</w:t>
      </w:r>
      <w:r>
        <w:rPr>
          <w:rStyle w:val="FootnoteReference"/>
          <w:rFonts w:ascii="Times New Roman" w:hAnsi="Times New Roman" w:cs="Times New Roman"/>
          <w:sz w:val="24"/>
          <w:szCs w:val="24"/>
        </w:rPr>
        <w:footnoteReference w:id="126"/>
      </w:r>
      <w:r w:rsidRPr="00517C65">
        <w:rPr>
          <w:rFonts w:ascii="Times New Roman" w:hAnsi="Times New Roman" w:cs="Times New Roman"/>
          <w:sz w:val="24"/>
          <w:szCs w:val="24"/>
        </w:rPr>
        <w:t xml:space="preserve">  This bill impact does not include the cost of other riders – because DP&amp;L does not know what their cost will be – nor </w:t>
      </w:r>
      <w:r>
        <w:rPr>
          <w:rFonts w:ascii="Times New Roman" w:hAnsi="Times New Roman" w:cs="Times New Roman"/>
          <w:sz w:val="24"/>
          <w:szCs w:val="24"/>
        </w:rPr>
        <w:t xml:space="preserve">does it include </w:t>
      </w:r>
      <w:r w:rsidRPr="00517C65">
        <w:rPr>
          <w:rFonts w:ascii="Times New Roman" w:hAnsi="Times New Roman" w:cs="Times New Roman"/>
          <w:sz w:val="24"/>
          <w:szCs w:val="24"/>
        </w:rPr>
        <w:t>the pending base rate increase of approximately $65 million.</w:t>
      </w:r>
      <w:r>
        <w:rPr>
          <w:rStyle w:val="FootnoteReference"/>
          <w:rFonts w:ascii="Times New Roman" w:hAnsi="Times New Roman" w:cs="Times New Roman"/>
          <w:sz w:val="24"/>
          <w:szCs w:val="24"/>
        </w:rPr>
        <w:footnoteReference w:id="127"/>
      </w:r>
    </w:p>
    <w:p w:rsidR="00775C0C"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Ohio has a state policy to provide reasonably priced retail electric service.</w:t>
      </w:r>
      <w:r>
        <w:rPr>
          <w:rStyle w:val="FootnoteReference"/>
          <w:rFonts w:ascii="Times New Roman" w:hAnsi="Times New Roman" w:cs="Times New Roman"/>
          <w:sz w:val="24"/>
          <w:szCs w:val="24"/>
        </w:rPr>
        <w:footnoteReference w:id="128"/>
      </w:r>
      <w:r w:rsidRPr="00517C65">
        <w:rPr>
          <w:rFonts w:ascii="Times New Roman" w:hAnsi="Times New Roman" w:cs="Times New Roman"/>
          <w:sz w:val="24"/>
          <w:szCs w:val="24"/>
        </w:rPr>
        <w:t xml:space="preserve">  The charges to customers discussed above violate this policy.  They are not needed</w:t>
      </w:r>
      <w:r>
        <w:rPr>
          <w:rFonts w:ascii="Times New Roman" w:hAnsi="Times New Roman" w:cs="Times New Roman"/>
          <w:sz w:val="24"/>
          <w:szCs w:val="24"/>
        </w:rPr>
        <w:t xml:space="preserve"> for DP&amp;L </w:t>
      </w:r>
      <w:r w:rsidRPr="00517C65">
        <w:rPr>
          <w:rFonts w:ascii="Times New Roman" w:hAnsi="Times New Roman" w:cs="Times New Roman"/>
          <w:sz w:val="24"/>
          <w:szCs w:val="24"/>
        </w:rPr>
        <w:t>to provide safe and reliable service</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29"/>
      </w:r>
      <w:r w:rsidRPr="00517C65">
        <w:rPr>
          <w:rFonts w:ascii="Times New Roman" w:hAnsi="Times New Roman" w:cs="Times New Roman"/>
          <w:sz w:val="24"/>
          <w:szCs w:val="24"/>
        </w:rPr>
        <w:t xml:space="preserve">  Further, Staff Witness Nicodemus has not identified any reliability deficiencies.</w:t>
      </w:r>
      <w:r>
        <w:rPr>
          <w:rStyle w:val="FootnoteReference"/>
          <w:rFonts w:ascii="Times New Roman" w:hAnsi="Times New Roman" w:cs="Times New Roman"/>
          <w:sz w:val="24"/>
          <w:szCs w:val="24"/>
        </w:rPr>
        <w:footnoteReference w:id="130"/>
      </w:r>
      <w:r w:rsidRPr="00517C65">
        <w:rPr>
          <w:rFonts w:ascii="Times New Roman" w:hAnsi="Times New Roman" w:cs="Times New Roman"/>
          <w:sz w:val="24"/>
          <w:szCs w:val="24"/>
        </w:rPr>
        <w:t xml:space="preserve">  The predicament that DPL finds itself in was entirely of AES’ making.  As discussed below, it can be resolved through other means that will not result in consumers paying for unreasonably priced retail electric service.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PUCO must deny excessive (and unlawful) charges.  It must reject the Settlement.</w:t>
      </w:r>
    </w:p>
    <w:p w:rsidR="00775C0C" w:rsidRPr="00517C65" w:rsidP="00517C65">
      <w:pPr>
        <w:pStyle w:val="Heading4"/>
      </w:pPr>
      <w:bookmarkStart w:id="24" w:name="_Toc481762048"/>
      <w:r w:rsidRPr="00517C65">
        <w:t>b.</w:t>
      </w:r>
      <w:r w:rsidRPr="00517C65">
        <w:tab/>
        <w:t>The proposed Settlement shoulders consumers with a burden that should be borne by AES, and is therefore not in the public interest</w:t>
      </w:r>
      <w:r>
        <w:t>.</w:t>
      </w:r>
      <w:bookmarkEnd w:id="24"/>
      <w:r w:rsidRPr="00517C65">
        <w:t xml:space="preserve"> </w:t>
      </w:r>
    </w:p>
    <w:p w:rsidR="00BE0111" w:rsidRPr="00517C65" w:rsidP="00517C65">
      <w:pPr>
        <w:pStyle w:val="Heading5"/>
      </w:pPr>
      <w:r w:rsidRPr="00517C65">
        <w:t>i.</w:t>
      </w:r>
      <w:r w:rsidRPr="00517C65">
        <w:tab/>
        <w:t xml:space="preserve">DPL has </w:t>
      </w:r>
      <w:r>
        <w:t>taken on nearly $</w:t>
      </w:r>
      <w:r w:rsidRPr="00517C65">
        <w:t xml:space="preserve">1 billion in debt from the </w:t>
      </w:r>
      <w:r>
        <w:t>m</w:t>
      </w:r>
      <w:r w:rsidRPr="00517C65">
        <w:t>erger, and consumers should not be forced to pay for that debt</w:t>
      </w:r>
      <w:r>
        <w:t>.</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Through DP&amp;L Witness Malinak’s testimony and the proposed Settlement, DP&amp;L has created a narrative tha</w:t>
      </w:r>
      <w:r>
        <w:rPr>
          <w:rFonts w:ascii="Times New Roman" w:hAnsi="Times New Roman" w:cs="Times New Roman"/>
          <w:sz w:val="24"/>
          <w:szCs w:val="24"/>
        </w:rPr>
        <w:t xml:space="preserve">t it </w:t>
      </w:r>
      <w:r w:rsidRPr="00517C65">
        <w:rPr>
          <w:rFonts w:ascii="Times New Roman" w:hAnsi="Times New Roman" w:cs="Times New Roman"/>
          <w:sz w:val="24"/>
          <w:szCs w:val="24"/>
        </w:rPr>
        <w:t>is in dire financial straits and desperately needs the proposed DMR</w:t>
      </w:r>
      <w:r>
        <w:rPr>
          <w:rFonts w:ascii="Times New Roman" w:hAnsi="Times New Roman" w:cs="Times New Roman"/>
          <w:sz w:val="24"/>
          <w:szCs w:val="24"/>
        </w:rPr>
        <w:t xml:space="preserve"> so </w:t>
      </w:r>
      <w:r w:rsidRPr="00517C65">
        <w:rPr>
          <w:rFonts w:ascii="Times New Roman" w:hAnsi="Times New Roman" w:cs="Times New Roman"/>
          <w:sz w:val="24"/>
          <w:szCs w:val="24"/>
        </w:rPr>
        <w:t>that it can provide safe and reliable service to its customers.</w:t>
      </w:r>
      <w:r>
        <w:rPr>
          <w:rFonts w:ascii="Times New Roman" w:hAnsi="Times New Roman" w:cs="Times New Roman"/>
          <w:sz w:val="24"/>
          <w:szCs w:val="24"/>
          <w:vertAlign w:val="superscript"/>
        </w:rPr>
        <w:footnoteReference w:id="131"/>
      </w:r>
      <w:r w:rsidRPr="00517C65">
        <w:rPr>
          <w:rFonts w:ascii="Times New Roman" w:hAnsi="Times New Roman" w:cs="Times New Roman"/>
          <w:sz w:val="24"/>
          <w:szCs w:val="24"/>
        </w:rPr>
        <w:t xml:space="preserve"> This narrative, however, is missing a number of key facts.  DP&amp;L is not suffering because of low distribution rates or insufficient revenues from its transmission business. In fact, DP&amp;L, as a stand-alone entity, is not in any financial hardship at all.  Its financial position is being weighed down by an anchor of debt that AES </w:t>
      </w:r>
      <w:r>
        <w:rPr>
          <w:rFonts w:ascii="Times New Roman" w:hAnsi="Times New Roman" w:cs="Times New Roman"/>
          <w:sz w:val="24"/>
          <w:szCs w:val="24"/>
        </w:rPr>
        <w:t xml:space="preserve">captained. AES </w:t>
      </w:r>
      <w:r w:rsidRPr="00517C65">
        <w:rPr>
          <w:rFonts w:ascii="Times New Roman" w:hAnsi="Times New Roman" w:cs="Times New Roman"/>
          <w:sz w:val="24"/>
          <w:szCs w:val="24"/>
        </w:rPr>
        <w:t xml:space="preserve">overloaded DPL (DP&amp;L’s immediate parent company) </w:t>
      </w:r>
      <w:r>
        <w:rPr>
          <w:rFonts w:ascii="Times New Roman" w:hAnsi="Times New Roman" w:cs="Times New Roman"/>
          <w:sz w:val="24"/>
          <w:szCs w:val="24"/>
        </w:rPr>
        <w:t xml:space="preserve">with the excessive debt when it </w:t>
      </w:r>
      <w:r w:rsidRPr="00517C65">
        <w:rPr>
          <w:rFonts w:ascii="Times New Roman" w:hAnsi="Times New Roman" w:cs="Times New Roman"/>
          <w:sz w:val="24"/>
          <w:szCs w:val="24"/>
        </w:rPr>
        <w:t>acquire</w:t>
      </w:r>
      <w:r>
        <w:rPr>
          <w:rFonts w:ascii="Times New Roman" w:hAnsi="Times New Roman" w:cs="Times New Roman"/>
          <w:sz w:val="24"/>
          <w:szCs w:val="24"/>
        </w:rPr>
        <w:t>d</w:t>
      </w:r>
      <w:r w:rsidRPr="00517C65">
        <w:rPr>
          <w:rFonts w:ascii="Times New Roman" w:hAnsi="Times New Roman" w:cs="Times New Roman"/>
          <w:sz w:val="24"/>
          <w:szCs w:val="24"/>
        </w:rPr>
        <w:t xml:space="preserve"> DP&amp;L (including its generation assets) in 2011.</w:t>
      </w:r>
      <w:r>
        <w:rPr>
          <w:rFonts w:ascii="Times New Roman" w:hAnsi="Times New Roman" w:cs="Times New Roman"/>
          <w:sz w:val="24"/>
          <w:szCs w:val="24"/>
          <w:vertAlign w:val="superscript"/>
        </w:rPr>
        <w:footnoteReference w:id="132"/>
      </w:r>
      <w:r w:rsidRPr="00517C65">
        <w:rPr>
          <w:rFonts w:ascii="Times New Roman" w:hAnsi="Times New Roman" w:cs="Times New Roman"/>
          <w:sz w:val="24"/>
          <w:szCs w:val="24"/>
        </w:rPr>
        <w:t xml:space="preserve">  It is against the public interest for DP&amp;L to </w:t>
      </w:r>
      <w:r>
        <w:rPr>
          <w:rFonts w:ascii="Times New Roman" w:hAnsi="Times New Roman" w:cs="Times New Roman"/>
          <w:sz w:val="24"/>
          <w:szCs w:val="24"/>
        </w:rPr>
        <w:t>place t</w:t>
      </w:r>
      <w:r w:rsidRPr="00517C65">
        <w:rPr>
          <w:rFonts w:ascii="Times New Roman" w:hAnsi="Times New Roman" w:cs="Times New Roman"/>
          <w:sz w:val="24"/>
          <w:szCs w:val="24"/>
        </w:rPr>
        <w:t xml:space="preserve">he burden of paying that debt onto consumers.  The PUCO should not allow it.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As OCC Witness Parcell explains, DP&amp;L has an investment grade credit rating while DPL does not.</w:t>
      </w:r>
      <w:r>
        <w:rPr>
          <w:rFonts w:ascii="Times New Roman" w:hAnsi="Times New Roman" w:cs="Times New Roman"/>
          <w:sz w:val="24"/>
          <w:szCs w:val="24"/>
          <w:vertAlign w:val="superscript"/>
        </w:rPr>
        <w:footnoteReference w:id="133"/>
      </w:r>
      <w:r w:rsidRPr="00517C65">
        <w:rPr>
          <w:rFonts w:ascii="Times New Roman" w:hAnsi="Times New Roman" w:cs="Times New Roman"/>
          <w:sz w:val="24"/>
          <w:szCs w:val="24"/>
        </w:rPr>
        <w:t xml:space="preserve"> DPL has approximately $1 billion in debt that resulted from AES’s acquisition of DP&amp;L.</w:t>
      </w:r>
      <w:r>
        <w:rPr>
          <w:rFonts w:ascii="Times New Roman" w:hAnsi="Times New Roman" w:cs="Times New Roman"/>
          <w:sz w:val="24"/>
          <w:szCs w:val="24"/>
          <w:vertAlign w:val="superscript"/>
        </w:rPr>
        <w:footnoteReference w:id="134"/>
      </w:r>
      <w:r w:rsidRPr="00517C65">
        <w:rPr>
          <w:rFonts w:ascii="Times New Roman" w:hAnsi="Times New Roman" w:cs="Times New Roman"/>
          <w:sz w:val="24"/>
          <w:szCs w:val="24"/>
        </w:rPr>
        <w:t xml:space="preserve"> As OCC Witness Parcell conducted his financial analysis he noted that Moody’s credit opinions have stated:</w:t>
      </w:r>
    </w:p>
    <w:p w:rsidR="00775C0C" w:rsidRPr="00517C65" w:rsidP="008B11B3">
      <w:pPr>
        <w:ind w:left="1440" w:right="720"/>
        <w:rPr>
          <w:rFonts w:ascii="Times New Roman" w:hAnsi="Times New Roman" w:cs="Times New Roman"/>
          <w:sz w:val="24"/>
          <w:szCs w:val="24"/>
        </w:rPr>
      </w:pPr>
      <w:r w:rsidRPr="00517C65">
        <w:rPr>
          <w:rFonts w:ascii="Times New Roman" w:hAnsi="Times New Roman" w:cs="Times New Roman"/>
          <w:sz w:val="24"/>
          <w:szCs w:val="24"/>
        </w:rPr>
        <w:t>The ratings of DP&amp;L and DPL remain constrained by the group’s significant financial leverage including the material amount of DPL holding company debt.  This is largely related to the indebtedness used to help fund DP&amp;L’s acquisition by AES in November 2011 that was assumed by DPL at the closing of the transaction.</w:t>
      </w:r>
      <w:r>
        <w:rPr>
          <w:rFonts w:ascii="Times New Roman" w:hAnsi="Times New Roman" w:cs="Times New Roman"/>
          <w:sz w:val="24"/>
          <w:szCs w:val="24"/>
          <w:vertAlign w:val="superscript"/>
        </w:rPr>
        <w:footnoteReference w:id="135"/>
      </w:r>
    </w:p>
    <w:p w:rsidR="00BE0111" w:rsidRPr="00517C65" w:rsidP="00775C0C">
      <w:pPr>
        <w:spacing w:after="0" w:line="480" w:lineRule="auto"/>
        <w:rPr>
          <w:rFonts w:ascii="Times New Roman" w:hAnsi="Times New Roman" w:cs="Times New Roman"/>
          <w:sz w:val="24"/>
          <w:szCs w:val="24"/>
        </w:rPr>
      </w:pPr>
      <w:r w:rsidRPr="00517C65">
        <w:rPr>
          <w:rFonts w:ascii="Times New Roman" w:hAnsi="Times New Roman" w:cs="Times New Roman"/>
          <w:sz w:val="24"/>
          <w:szCs w:val="24"/>
        </w:rPr>
        <w:t>Before the acquisition, both DP&amp;L and DPL had single A ratings.</w:t>
      </w:r>
      <w:r>
        <w:rPr>
          <w:rFonts w:ascii="Times New Roman" w:hAnsi="Times New Roman" w:cs="Times New Roman"/>
          <w:sz w:val="24"/>
          <w:szCs w:val="24"/>
          <w:vertAlign w:val="superscript"/>
        </w:rPr>
        <w:footnoteReference w:id="136"/>
      </w:r>
      <w:r w:rsidRPr="00517C65">
        <w:rPr>
          <w:rFonts w:ascii="Times New Roman" w:hAnsi="Times New Roman" w:cs="Times New Roman"/>
          <w:sz w:val="24"/>
          <w:szCs w:val="24"/>
        </w:rPr>
        <w:t xml:space="preserve"> AES has burdened DPL with debt and is now demanding that Ohio consumers, through DP&amp;L, bail it out by paying that debt.  The PUCO should not permit that.  It is not in the public interest.</w:t>
      </w:r>
    </w:p>
    <w:p w:rsidR="003344BC" w:rsidRPr="00517C65" w:rsidP="00517C65">
      <w:pPr>
        <w:pStyle w:val="Heading4"/>
      </w:pPr>
      <w:bookmarkStart w:id="25" w:name="_Toc481762049"/>
      <w:r w:rsidRPr="00517C65">
        <w:t>c.</w:t>
      </w:r>
      <w:r w:rsidRPr="00517C65">
        <w:tab/>
        <w:t xml:space="preserve">AES, DPL, and DP&amp;L promised the PUCO that they would not charge consumers for the </w:t>
      </w:r>
      <w:r>
        <w:t>m</w:t>
      </w:r>
      <w:r w:rsidRPr="00517C65">
        <w:t>erger debt</w:t>
      </w:r>
      <w:r>
        <w:t>.</w:t>
      </w:r>
      <w:bookmarkEnd w:id="25"/>
      <w:r w:rsidRPr="00517C65">
        <w:t xml:space="preserve"> </w:t>
      </w:r>
    </w:p>
    <w:p w:rsidR="009D2356"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The responsibility for servicing and paying off debt from the </w:t>
      </w:r>
      <w:r>
        <w:rPr>
          <w:rFonts w:ascii="Times New Roman" w:hAnsi="Times New Roman" w:cs="Times New Roman"/>
          <w:sz w:val="24"/>
          <w:szCs w:val="24"/>
        </w:rPr>
        <w:t>m</w:t>
      </w:r>
      <w:r w:rsidRPr="00517C65">
        <w:rPr>
          <w:rFonts w:ascii="Times New Roman" w:hAnsi="Times New Roman" w:cs="Times New Roman"/>
          <w:sz w:val="24"/>
          <w:szCs w:val="24"/>
        </w:rPr>
        <w:t>erger rests solely with AES – not DP&amp;L’s customers. AES chose to buy DP&amp;L and fund that purchase through debt.  Although some of the merger debt has been paid off, it still accounts for the lion’s share of debt on DPL’s books.</w:t>
      </w:r>
      <w:r>
        <w:rPr>
          <w:rStyle w:val="FootnoteReference"/>
          <w:rFonts w:ascii="Times New Roman" w:hAnsi="Times New Roman" w:cs="Times New Roman"/>
          <w:sz w:val="24"/>
          <w:szCs w:val="24"/>
        </w:rPr>
        <w:footnoteReference w:id="137"/>
      </w:r>
      <w:r w:rsidRPr="00517C65">
        <w:rPr>
          <w:rFonts w:ascii="Times New Roman" w:hAnsi="Times New Roman" w:cs="Times New Roman"/>
          <w:sz w:val="24"/>
          <w:szCs w:val="24"/>
        </w:rPr>
        <w:t xml:space="preserve">  </w:t>
      </w:r>
    </w:p>
    <w:p w:rsidR="00BB5C46"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A condition precedent to AES obtaining approval for the </w:t>
      </w:r>
      <w:r>
        <w:rPr>
          <w:rFonts w:ascii="Times New Roman" w:hAnsi="Times New Roman" w:cs="Times New Roman"/>
          <w:sz w:val="24"/>
          <w:szCs w:val="24"/>
        </w:rPr>
        <w:t>m</w:t>
      </w:r>
      <w:r w:rsidRPr="00517C65">
        <w:rPr>
          <w:rFonts w:ascii="Times New Roman" w:hAnsi="Times New Roman" w:cs="Times New Roman"/>
          <w:sz w:val="24"/>
          <w:szCs w:val="24"/>
        </w:rPr>
        <w:t>erger was its commitment to the PUCO – and to Ohio consumers – not to charge DP&amp;L’s customers for costs associated with closing the transaction or for any acquisition premium.</w:t>
      </w:r>
      <w:r>
        <w:rPr>
          <w:rStyle w:val="FootnoteReference"/>
          <w:rFonts w:ascii="Times New Roman" w:hAnsi="Times New Roman" w:cs="Times New Roman"/>
          <w:sz w:val="24"/>
          <w:szCs w:val="24"/>
        </w:rPr>
        <w:footnoteReference w:id="138"/>
      </w:r>
      <w:r w:rsidRPr="00517C65">
        <w:rPr>
          <w:rFonts w:ascii="Times New Roman" w:hAnsi="Times New Roman" w:cs="Times New Roman"/>
          <w:sz w:val="24"/>
          <w:szCs w:val="24"/>
        </w:rPr>
        <w:t xml:space="preserve">  “It seeks to do exactly that in this proposed Settlement through the inclusion of the DMR.  AES is simply attempting to transfer the business risk and its imprudent financial decisions associated with [the] DP&amp;L acquisition to its captive monopoly utility customers.  This transfer of risk does not benefit customers, is unfair, and is not in the public interest.”</w:t>
      </w:r>
      <w:r>
        <w:rPr>
          <w:rStyle w:val="FootnoteReference"/>
          <w:rFonts w:ascii="Times New Roman" w:hAnsi="Times New Roman" w:cs="Times New Roman"/>
          <w:sz w:val="24"/>
          <w:szCs w:val="24"/>
        </w:rPr>
        <w:footnoteReference w:id="139"/>
      </w:r>
      <w:r w:rsidRPr="00517C65">
        <w:rPr>
          <w:rFonts w:ascii="Times New Roman" w:hAnsi="Times New Roman" w:cs="Times New Roman"/>
          <w:sz w:val="24"/>
          <w:szCs w:val="24"/>
        </w:rPr>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AES, DPL, and DP&amp;L now seek to reneg</w:t>
      </w:r>
      <w:r>
        <w:rPr>
          <w:rFonts w:ascii="Times New Roman" w:hAnsi="Times New Roman" w:cs="Times New Roman"/>
          <w:sz w:val="24"/>
          <w:szCs w:val="24"/>
        </w:rPr>
        <w:t>e</w:t>
      </w:r>
      <w:r w:rsidRPr="00517C65">
        <w:rPr>
          <w:rFonts w:ascii="Times New Roman" w:hAnsi="Times New Roman" w:cs="Times New Roman"/>
          <w:sz w:val="24"/>
          <w:szCs w:val="24"/>
        </w:rPr>
        <w:t xml:space="preserve"> on the promises they made in the </w:t>
      </w:r>
      <w:r>
        <w:rPr>
          <w:rFonts w:ascii="Times New Roman" w:hAnsi="Times New Roman" w:cs="Times New Roman"/>
          <w:sz w:val="24"/>
          <w:szCs w:val="24"/>
        </w:rPr>
        <w:t>m</w:t>
      </w:r>
      <w:r w:rsidRPr="00517C65">
        <w:rPr>
          <w:rFonts w:ascii="Times New Roman" w:hAnsi="Times New Roman" w:cs="Times New Roman"/>
          <w:sz w:val="24"/>
          <w:szCs w:val="24"/>
        </w:rPr>
        <w:t xml:space="preserve">erger case.  The acquisition premium and debt financing costs associated with closing the </w:t>
      </w:r>
      <w:r>
        <w:rPr>
          <w:rFonts w:ascii="Times New Roman" w:hAnsi="Times New Roman" w:cs="Times New Roman"/>
          <w:sz w:val="24"/>
          <w:szCs w:val="24"/>
        </w:rPr>
        <w:t>m</w:t>
      </w:r>
      <w:r w:rsidRPr="00517C65">
        <w:rPr>
          <w:rFonts w:ascii="Times New Roman" w:hAnsi="Times New Roman" w:cs="Times New Roman"/>
          <w:sz w:val="24"/>
          <w:szCs w:val="24"/>
        </w:rPr>
        <w:t xml:space="preserve">erger were business risks taken on by AES.  The consequences of those decisions should </w:t>
      </w:r>
      <w:r>
        <w:rPr>
          <w:rFonts w:ascii="Times New Roman" w:hAnsi="Times New Roman" w:cs="Times New Roman"/>
          <w:sz w:val="24"/>
          <w:szCs w:val="24"/>
        </w:rPr>
        <w:t>lie</w:t>
      </w:r>
      <w:r w:rsidRPr="00517C65">
        <w:rPr>
          <w:rFonts w:ascii="Times New Roman" w:hAnsi="Times New Roman" w:cs="Times New Roman"/>
          <w:sz w:val="24"/>
          <w:szCs w:val="24"/>
        </w:rPr>
        <w:t xml:space="preserve"> with AES</w:t>
      </w:r>
      <w:r>
        <w:rPr>
          <w:rFonts w:ascii="Times New Roman" w:hAnsi="Times New Roman" w:cs="Times New Roman"/>
          <w:sz w:val="24"/>
          <w:szCs w:val="24"/>
        </w:rPr>
        <w:t>, not with DP&amp;L customers</w:t>
      </w:r>
      <w:r w:rsidRPr="00517C65">
        <w:rPr>
          <w:rFonts w:ascii="Times New Roman" w:hAnsi="Times New Roman" w:cs="Times New Roman"/>
          <w:sz w:val="24"/>
          <w:szCs w:val="24"/>
        </w:rPr>
        <w:t>.</w:t>
      </w:r>
    </w:p>
    <w:p w:rsidR="003344BC" w:rsidRPr="00517C65" w:rsidP="00517C65">
      <w:pPr>
        <w:pStyle w:val="Heading4"/>
      </w:pPr>
      <w:bookmarkStart w:id="26" w:name="_Toc481762050"/>
      <w:r w:rsidRPr="00517C65">
        <w:t>d.</w:t>
      </w:r>
      <w:r w:rsidRPr="00517C65">
        <w:tab/>
        <w:t>AES is not making any commitments in the Settlement that benefit the public interest</w:t>
      </w:r>
      <w:r>
        <w:t>.</w:t>
      </w:r>
      <w:bookmarkEnd w:id="26"/>
    </w:p>
    <w:p w:rsidR="00775C0C" w:rsidRPr="00517C65" w:rsidP="00613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Without signing onto the Settlement,</w:t>
      </w:r>
      <w:r>
        <w:rPr>
          <w:rStyle w:val="FootnoteReference"/>
          <w:rFonts w:ascii="Times New Roman" w:hAnsi="Times New Roman" w:cs="Times New Roman"/>
          <w:sz w:val="24"/>
          <w:szCs w:val="24"/>
        </w:rPr>
        <w:footnoteReference w:id="140"/>
      </w:r>
      <w:r w:rsidRPr="00517C65">
        <w:rPr>
          <w:rFonts w:ascii="Times New Roman" w:hAnsi="Times New Roman" w:cs="Times New Roman"/>
          <w:sz w:val="24"/>
          <w:szCs w:val="24"/>
        </w:rPr>
        <w:t xml:space="preserve"> AES has “agreed” to suspend dividend payments from DPL to AES</w:t>
      </w:r>
      <w:r>
        <w:rPr>
          <w:rFonts w:ascii="Times New Roman" w:hAnsi="Times New Roman" w:cs="Times New Roman"/>
          <w:sz w:val="24"/>
          <w:szCs w:val="24"/>
          <w:vertAlign w:val="superscript"/>
        </w:rPr>
        <w:footnoteReference w:id="141"/>
      </w:r>
      <w:r w:rsidRPr="00517C65">
        <w:rPr>
          <w:rFonts w:ascii="Times New Roman" w:hAnsi="Times New Roman" w:cs="Times New Roman"/>
          <w:sz w:val="24"/>
          <w:szCs w:val="24"/>
        </w:rPr>
        <w:t xml:space="preserve"> and forgive any tax-sharing payments to AES for the duration of the DMR.</w:t>
      </w:r>
      <w:r>
        <w:rPr>
          <w:rFonts w:ascii="Times New Roman" w:hAnsi="Times New Roman" w:cs="Times New Roman"/>
          <w:sz w:val="24"/>
          <w:szCs w:val="24"/>
          <w:vertAlign w:val="superscript"/>
        </w:rPr>
        <w:footnoteReference w:id="142"/>
      </w:r>
      <w:r w:rsidRPr="00517C65">
        <w:rPr>
          <w:rFonts w:ascii="Times New Roman" w:hAnsi="Times New Roman" w:cs="Times New Roman"/>
          <w:sz w:val="24"/>
          <w:szCs w:val="24"/>
        </w:rPr>
        <w:t xml:space="preserve"> Such “commitments” do not benefit consumers or diminish any payments they have to make to DP&amp;L for taxes.</w:t>
      </w:r>
      <w:r>
        <w:rPr>
          <w:rStyle w:val="FootnoteReference"/>
          <w:rFonts w:ascii="Times New Roman" w:hAnsi="Times New Roman" w:cs="Times New Roman"/>
          <w:sz w:val="24"/>
          <w:szCs w:val="24"/>
        </w:rPr>
        <w:footnoteReference w:id="143"/>
      </w:r>
      <w:r w:rsidRPr="00517C65">
        <w:rPr>
          <w:rFonts w:ascii="Times New Roman" w:hAnsi="Times New Roman" w:cs="Times New Roman"/>
          <w:sz w:val="24"/>
          <w:szCs w:val="24"/>
        </w:rPr>
        <w:t xml:space="preserve"> They merely ensure that the dividends that DP&amp;L pays to DPL will fund the service of DPL’s acquisition debt.</w:t>
      </w:r>
      <w:r>
        <w:rPr>
          <w:rFonts w:ascii="Times New Roman" w:hAnsi="Times New Roman" w:cs="Times New Roman"/>
          <w:sz w:val="24"/>
          <w:szCs w:val="24"/>
          <w:vertAlign w:val="superscript"/>
        </w:rPr>
        <w:footnoteReference w:id="144"/>
      </w:r>
      <w:r w:rsidRPr="00517C65">
        <w:rPr>
          <w:rFonts w:ascii="Times New Roman" w:hAnsi="Times New Roman" w:cs="Times New Roman"/>
          <w:sz w:val="24"/>
          <w:szCs w:val="24"/>
        </w:rPr>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And these “commitments” are not “sacrifices.” AES’s consolidated corporate earnings and corporate income tax obligations will not decrease by even one dollar.  They are merely accounting </w:t>
      </w:r>
      <w:r>
        <w:rPr>
          <w:rFonts w:ascii="Times New Roman" w:hAnsi="Times New Roman" w:cs="Times New Roman"/>
          <w:sz w:val="24"/>
          <w:szCs w:val="24"/>
        </w:rPr>
        <w:t>actions.</w:t>
      </w:r>
      <w:r w:rsidRPr="00517C65">
        <w:rPr>
          <w:rFonts w:ascii="Times New Roman" w:hAnsi="Times New Roman" w:cs="Times New Roman"/>
          <w:sz w:val="24"/>
          <w:szCs w:val="24"/>
        </w:rPr>
        <w:t xml:space="preserve">  They are steps that AES has a responsibility and obligation to undertake as part of prudent corporate financial management.</w:t>
      </w:r>
      <w:r>
        <w:rPr>
          <w:rStyle w:val="FootnoteReference"/>
          <w:rFonts w:ascii="Times New Roman" w:hAnsi="Times New Roman" w:cs="Times New Roman"/>
          <w:sz w:val="24"/>
          <w:szCs w:val="24"/>
        </w:rPr>
        <w:footnoteReference w:id="145"/>
      </w:r>
      <w:r w:rsidRPr="00517C65">
        <w:rPr>
          <w:rFonts w:ascii="Times New Roman" w:hAnsi="Times New Roman" w:cs="Times New Roman"/>
          <w:sz w:val="24"/>
          <w:szCs w:val="24"/>
        </w:rPr>
        <w:t xml:space="preserve">  Indeed, DPL has not paid dividends to AES or made tax sharing payments since 2012.</w:t>
      </w:r>
      <w:r>
        <w:rPr>
          <w:rFonts w:ascii="Times New Roman" w:hAnsi="Times New Roman" w:cs="Times New Roman"/>
          <w:sz w:val="24"/>
          <w:szCs w:val="24"/>
          <w:vertAlign w:val="superscript"/>
        </w:rPr>
        <w:footnoteReference w:id="146"/>
      </w:r>
      <w:r w:rsidRPr="00517C65">
        <w:rPr>
          <w:rFonts w:ascii="Times New Roman" w:hAnsi="Times New Roman" w:cs="Times New Roman"/>
          <w:sz w:val="24"/>
          <w:szCs w:val="24"/>
        </w:rPr>
        <w:t xml:space="preserve"> This is current, ongoing practice.</w:t>
      </w:r>
      <w:r>
        <w:rPr>
          <w:rFonts w:ascii="Times New Roman" w:hAnsi="Times New Roman" w:cs="Times New Roman"/>
          <w:sz w:val="24"/>
          <w:szCs w:val="24"/>
          <w:vertAlign w:val="superscript"/>
        </w:rPr>
        <w:footnoteReference w:id="147"/>
      </w:r>
      <w:r w:rsidRPr="00517C65">
        <w:rPr>
          <w:rFonts w:ascii="Times New Roman" w:hAnsi="Times New Roman" w:cs="Times New Roman"/>
          <w:sz w:val="24"/>
          <w:szCs w:val="24"/>
        </w:rPr>
        <w:t xml:space="preserve"> These practices would likely continue with </w:t>
      </w:r>
      <w:r>
        <w:rPr>
          <w:rFonts w:ascii="Times New Roman" w:hAnsi="Times New Roman" w:cs="Times New Roman"/>
          <w:sz w:val="24"/>
          <w:szCs w:val="24"/>
        </w:rPr>
        <w:t xml:space="preserve">or without </w:t>
      </w:r>
      <w:r w:rsidRPr="00517C65">
        <w:rPr>
          <w:rFonts w:ascii="Times New Roman" w:hAnsi="Times New Roman" w:cs="Times New Roman"/>
          <w:sz w:val="24"/>
          <w:szCs w:val="24"/>
        </w:rPr>
        <w:t>the Settlement (or under an MRO).</w:t>
      </w:r>
      <w:r>
        <w:rPr>
          <w:rStyle w:val="FootnoteReference"/>
          <w:rFonts w:ascii="Times New Roman" w:hAnsi="Times New Roman" w:cs="Times New Roman"/>
          <w:sz w:val="24"/>
          <w:szCs w:val="24"/>
        </w:rPr>
        <w:footnoteReference w:id="148"/>
      </w:r>
      <w:r w:rsidRPr="00517C65">
        <w:rPr>
          <w:rFonts w:ascii="Times New Roman" w:hAnsi="Times New Roman" w:cs="Times New Roman"/>
          <w:sz w:val="24"/>
          <w:szCs w:val="24"/>
        </w:rPr>
        <w:t xml:space="preserve">  </w:t>
      </w:r>
    </w:p>
    <w:p w:rsidR="003344BC" w:rsidRPr="00517C65" w:rsidP="00775C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Consumer </w:t>
      </w:r>
      <w:r w:rsidRPr="00517C65">
        <w:rPr>
          <w:rFonts w:ascii="Times New Roman" w:hAnsi="Times New Roman" w:cs="Times New Roman"/>
          <w:sz w:val="24"/>
          <w:szCs w:val="24"/>
        </w:rPr>
        <w:t xml:space="preserve">benefits from these </w:t>
      </w:r>
      <w:r>
        <w:rPr>
          <w:rFonts w:ascii="Times New Roman" w:hAnsi="Times New Roman" w:cs="Times New Roman"/>
          <w:sz w:val="24"/>
          <w:szCs w:val="24"/>
        </w:rPr>
        <w:t xml:space="preserve">accounting exercises </w:t>
      </w:r>
      <w:r w:rsidRPr="00517C65">
        <w:rPr>
          <w:rFonts w:ascii="Times New Roman" w:hAnsi="Times New Roman" w:cs="Times New Roman"/>
          <w:sz w:val="24"/>
          <w:szCs w:val="24"/>
        </w:rPr>
        <w:t xml:space="preserve">are </w:t>
      </w:r>
      <w:r>
        <w:rPr>
          <w:rFonts w:ascii="Times New Roman" w:hAnsi="Times New Roman" w:cs="Times New Roman"/>
          <w:sz w:val="24"/>
          <w:szCs w:val="24"/>
        </w:rPr>
        <w:t>virtually nonexistent</w:t>
      </w:r>
      <w:r w:rsidRPr="00517C65">
        <w:rPr>
          <w:rFonts w:ascii="Times New Roman" w:hAnsi="Times New Roman" w:cs="Times New Roman"/>
          <w:sz w:val="24"/>
          <w:szCs w:val="24"/>
        </w:rPr>
        <w:t>.  The “equity infusions” into DPL through the foregone tax sharing payments are not of the magnitude necessary to provide meaningful relief to DPL.</w:t>
      </w:r>
      <w:r>
        <w:rPr>
          <w:rFonts w:ascii="Times New Roman" w:hAnsi="Times New Roman" w:cs="Times New Roman"/>
          <w:sz w:val="24"/>
          <w:szCs w:val="24"/>
          <w:vertAlign w:val="superscript"/>
        </w:rPr>
        <w:footnoteReference w:id="149"/>
      </w:r>
      <w:r w:rsidRPr="00517C65">
        <w:rPr>
          <w:rFonts w:ascii="Times New Roman" w:hAnsi="Times New Roman" w:cs="Times New Roman"/>
          <w:sz w:val="24"/>
          <w:szCs w:val="24"/>
        </w:rPr>
        <w:t xml:space="preserve"> AES’s promises do not result in any customer benefits and are nothing more than a weak attempt to show some contribution from AES. </w:t>
      </w:r>
    </w:p>
    <w:p w:rsidR="003344BC" w:rsidRPr="00517C65" w:rsidP="00517C65">
      <w:pPr>
        <w:pStyle w:val="Heading4"/>
      </w:pPr>
      <w:bookmarkStart w:id="27" w:name="_Toc481762051"/>
      <w:r w:rsidRPr="00517C65">
        <w:t xml:space="preserve">e. </w:t>
      </w:r>
      <w:r w:rsidRPr="00517C65">
        <w:tab/>
        <w:t>DPL’s financial integrity can be bolstered in other ways that do not, like DMR, harm consumers</w:t>
      </w:r>
      <w:r>
        <w:t>.</w:t>
      </w:r>
      <w:bookmarkEnd w:id="27"/>
      <w:r w:rsidRPr="00517C65">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There are more appropriate alternatives to the DMR that can address DPL’s financial integrity issues.  These alternatives involve changing management techniques and AES shareholders bearing more of the responsibility for the problems that </w:t>
      </w:r>
      <w:r>
        <w:rPr>
          <w:rFonts w:ascii="Times New Roman" w:hAnsi="Times New Roman" w:cs="Times New Roman"/>
          <w:sz w:val="24"/>
          <w:szCs w:val="24"/>
        </w:rPr>
        <w:t>management has</w:t>
      </w:r>
      <w:r w:rsidRPr="00517C65">
        <w:rPr>
          <w:rFonts w:ascii="Times New Roman" w:hAnsi="Times New Roman" w:cs="Times New Roman"/>
          <w:sz w:val="24"/>
          <w:szCs w:val="24"/>
        </w:rPr>
        <w:t xml:space="preserve"> caused.  These alternatives are not only reasonable steps for AES and DPL to take, but they also protect DP&amp;L’s customers from </w:t>
      </w:r>
      <w:r>
        <w:rPr>
          <w:rFonts w:ascii="Times New Roman" w:hAnsi="Times New Roman" w:cs="Times New Roman"/>
          <w:sz w:val="24"/>
          <w:szCs w:val="24"/>
        </w:rPr>
        <w:t xml:space="preserve">unfairly </w:t>
      </w:r>
      <w:r w:rsidRPr="00517C65">
        <w:rPr>
          <w:rFonts w:ascii="Times New Roman" w:hAnsi="Times New Roman" w:cs="Times New Roman"/>
          <w:sz w:val="24"/>
          <w:szCs w:val="24"/>
        </w:rPr>
        <w:t>shouldering cos</w:t>
      </w:r>
      <w:r>
        <w:rPr>
          <w:rFonts w:ascii="Times New Roman" w:hAnsi="Times New Roman" w:cs="Times New Roman"/>
          <w:sz w:val="24"/>
          <w:szCs w:val="24"/>
        </w:rPr>
        <w:t>t</w:t>
      </w:r>
      <w:r w:rsidRPr="00517C65">
        <w:rPr>
          <w:rFonts w:ascii="Times New Roman" w:hAnsi="Times New Roman" w:cs="Times New Roman"/>
          <w:sz w:val="24"/>
          <w:szCs w:val="24"/>
        </w:rPr>
        <w:t xml:space="preserve"> responsibility for problems they had no part in creating.</w:t>
      </w:r>
      <w:r>
        <w:rPr>
          <w:rFonts w:ascii="Times New Roman" w:hAnsi="Times New Roman" w:cs="Times New Roman"/>
          <w:sz w:val="24"/>
          <w:szCs w:val="24"/>
        </w:rPr>
        <w:t xml:space="preserve"> Not only is such a result more </w:t>
      </w:r>
      <w:r w:rsidRPr="00517C65">
        <w:rPr>
          <w:rFonts w:ascii="Times New Roman" w:hAnsi="Times New Roman" w:cs="Times New Roman"/>
          <w:sz w:val="24"/>
          <w:szCs w:val="24"/>
        </w:rPr>
        <w:t>fair, it is a better solution.</w:t>
      </w:r>
    </w:p>
    <w:p w:rsidR="003702D6"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For example, OCC Witness Kahal explains that DPL’s financial problems can (and should) be fixed with a combination of ring fencing measures and equity infusions from AES.</w:t>
      </w:r>
      <w:r>
        <w:rPr>
          <w:rStyle w:val="FootnoteReference"/>
          <w:rFonts w:ascii="Times New Roman" w:hAnsi="Times New Roman" w:cs="Times New Roman"/>
          <w:sz w:val="24"/>
          <w:szCs w:val="24"/>
        </w:rPr>
        <w:footnoteReference w:id="150"/>
      </w:r>
      <w:r w:rsidRPr="00517C65">
        <w:rPr>
          <w:rFonts w:ascii="Times New Roman" w:hAnsi="Times New Roman" w:cs="Times New Roman"/>
          <w:sz w:val="24"/>
          <w:szCs w:val="24"/>
        </w:rPr>
        <w:t xml:space="preserve">  Ring fencing would entail creating structures or measures that provide greater credit rating separation between DPL and DP&amp;L.</w:t>
      </w:r>
      <w:r>
        <w:rPr>
          <w:rStyle w:val="FootnoteReference"/>
          <w:rFonts w:ascii="Times New Roman" w:hAnsi="Times New Roman" w:cs="Times New Roman"/>
          <w:sz w:val="24"/>
          <w:szCs w:val="24"/>
        </w:rPr>
        <w:footnoteReference w:id="151"/>
      </w:r>
      <w:r w:rsidRPr="00517C65">
        <w:rPr>
          <w:rFonts w:ascii="Times New Roman" w:hAnsi="Times New Roman" w:cs="Times New Roman"/>
          <w:sz w:val="24"/>
          <w:szCs w:val="24"/>
        </w:rPr>
        <w:t xml:space="preserve">  “This would enable DP&amp;L to be rated on more of a stand-alone basis as it would be perceived as being legally protected from DPL, Inc. debt default or bankruptcy.”</w:t>
      </w:r>
      <w:r>
        <w:rPr>
          <w:rStyle w:val="FootnoteReference"/>
          <w:rFonts w:ascii="Times New Roman" w:hAnsi="Times New Roman" w:cs="Times New Roman"/>
          <w:sz w:val="24"/>
          <w:szCs w:val="24"/>
        </w:rPr>
        <w:footnoteReference w:id="152"/>
      </w:r>
      <w:r w:rsidRPr="00517C65">
        <w:rPr>
          <w:rFonts w:ascii="Times New Roman" w:hAnsi="Times New Roman" w:cs="Times New Roman"/>
          <w:sz w:val="24"/>
          <w:szCs w:val="24"/>
        </w:rPr>
        <w:t xml:space="preserve">  OCC Witness Kahal provided an outline of steps that could be taken to achieve effective ring fencing of DP&amp;L from DPL.</w:t>
      </w:r>
      <w:r>
        <w:rPr>
          <w:rStyle w:val="FootnoteReference"/>
          <w:rFonts w:ascii="Times New Roman" w:hAnsi="Times New Roman" w:cs="Times New Roman"/>
          <w:sz w:val="24"/>
          <w:szCs w:val="24"/>
        </w:rPr>
        <w:footnoteReference w:id="153"/>
      </w:r>
      <w:r w:rsidRPr="00517C65">
        <w:rPr>
          <w:rFonts w:ascii="Times New Roman" w:hAnsi="Times New Roman" w:cs="Times New Roman"/>
          <w:sz w:val="24"/>
          <w:szCs w:val="24"/>
        </w:rPr>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Equity infusions from AES could take many forms.  One form could be using proceeds from asset divestitures/sales to pay down debt.</w:t>
      </w:r>
      <w:r>
        <w:rPr>
          <w:rStyle w:val="FootnoteReference"/>
          <w:rFonts w:ascii="Times New Roman" w:hAnsi="Times New Roman" w:cs="Times New Roman"/>
          <w:sz w:val="24"/>
          <w:szCs w:val="24"/>
        </w:rPr>
        <w:footnoteReference w:id="154"/>
      </w:r>
      <w:r w:rsidRPr="00517C65">
        <w:rPr>
          <w:rFonts w:ascii="Times New Roman" w:hAnsi="Times New Roman" w:cs="Times New Roman"/>
          <w:sz w:val="24"/>
          <w:szCs w:val="24"/>
        </w:rPr>
        <w:t xml:space="preserve">  Another could be for AES to slow the forecasted, rapid increases in the dividends it pays to its shareholders.</w:t>
      </w:r>
      <w:r>
        <w:rPr>
          <w:rStyle w:val="FootnoteReference"/>
          <w:rFonts w:ascii="Times New Roman" w:hAnsi="Times New Roman" w:cs="Times New Roman"/>
          <w:sz w:val="24"/>
          <w:szCs w:val="24"/>
        </w:rPr>
        <w:footnoteReference w:id="155"/>
      </w:r>
      <w:r w:rsidRPr="00517C65">
        <w:rPr>
          <w:rFonts w:ascii="Times New Roman" w:hAnsi="Times New Roman" w:cs="Times New Roman"/>
          <w:sz w:val="24"/>
          <w:szCs w:val="24"/>
        </w:rPr>
        <w:t xml:space="preserve">  AES has raised its common stock dividend each year since 2012.</w:t>
      </w:r>
      <w:r>
        <w:rPr>
          <w:rFonts w:ascii="Times New Roman" w:hAnsi="Times New Roman" w:cs="Times New Roman"/>
          <w:sz w:val="24"/>
          <w:szCs w:val="24"/>
          <w:vertAlign w:val="superscript"/>
        </w:rPr>
        <w:footnoteReference w:id="156"/>
      </w:r>
      <w:r w:rsidRPr="00517C65">
        <w:rPr>
          <w:rFonts w:ascii="Times New Roman" w:hAnsi="Times New Roman" w:cs="Times New Roman"/>
          <w:sz w:val="24"/>
          <w:szCs w:val="24"/>
        </w:rPr>
        <w:t xml:space="preserve"> By 2020, AES is projected to pay about $600 million in dividends per year.</w:t>
      </w:r>
      <w:r>
        <w:rPr>
          <w:rStyle w:val="FootnoteReference"/>
          <w:rFonts w:ascii="Times New Roman" w:hAnsi="Times New Roman" w:cs="Times New Roman"/>
          <w:sz w:val="24"/>
          <w:szCs w:val="24"/>
        </w:rPr>
        <w:footnoteReference w:id="157"/>
      </w:r>
      <w:r w:rsidRPr="00517C65">
        <w:rPr>
          <w:rFonts w:ascii="Times New Roman" w:hAnsi="Times New Roman" w:cs="Times New Roman"/>
          <w:sz w:val="24"/>
          <w:szCs w:val="24"/>
        </w:rPr>
        <w:t xml:space="preserve">  AES has the ability to pay for the DMR (approximately $67 million per year after taxes) merely by slowing its rate of increase of dividends.</w:t>
      </w:r>
      <w:r>
        <w:rPr>
          <w:rStyle w:val="FootnoteReference"/>
          <w:rFonts w:ascii="Times New Roman" w:hAnsi="Times New Roman" w:cs="Times New Roman"/>
          <w:sz w:val="24"/>
          <w:szCs w:val="24"/>
        </w:rPr>
        <w:footnoteReference w:id="158"/>
      </w:r>
      <w:r w:rsidRPr="00517C65">
        <w:rPr>
          <w:rFonts w:ascii="Times New Roman" w:hAnsi="Times New Roman" w:cs="Times New Roman"/>
          <w:sz w:val="24"/>
          <w:szCs w:val="24"/>
        </w:rPr>
        <w:t xml:space="preserve">  The dividends do not need to be frozen or cut from current levels – just the rate at which they grow could be slowed.</w:t>
      </w:r>
      <w:r>
        <w:rPr>
          <w:rStyle w:val="FootnoteReference"/>
          <w:rFonts w:ascii="Times New Roman" w:hAnsi="Times New Roman" w:cs="Times New Roman"/>
          <w:sz w:val="24"/>
          <w:szCs w:val="24"/>
        </w:rPr>
        <w:footnoteReference w:id="159"/>
      </w:r>
      <w:r w:rsidRPr="00517C65">
        <w:rPr>
          <w:rFonts w:ascii="Times New Roman" w:hAnsi="Times New Roman" w:cs="Times New Roman"/>
          <w:sz w:val="24"/>
          <w:szCs w:val="24"/>
        </w:rPr>
        <w:t xml:space="preserve">  </w:t>
      </w:r>
    </w:p>
    <w:p w:rsidR="00613D45" w:rsidRPr="00517C65" w:rsidP="009D2356">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Or AES could use cash on hand.  AES’s own investor presentations show that it has close to a billion dollars in free cash flow.</w:t>
      </w:r>
      <w:r>
        <w:rPr>
          <w:rFonts w:ascii="Times New Roman" w:hAnsi="Times New Roman" w:cs="Times New Roman"/>
          <w:sz w:val="24"/>
          <w:szCs w:val="24"/>
          <w:vertAlign w:val="superscript"/>
        </w:rPr>
        <w:footnoteReference w:id="160"/>
      </w:r>
      <w:r w:rsidRPr="00517C65">
        <w:rPr>
          <w:rFonts w:ascii="Times New Roman" w:hAnsi="Times New Roman" w:cs="Times New Roman"/>
          <w:sz w:val="24"/>
          <w:szCs w:val="24"/>
        </w:rPr>
        <w:t xml:space="preserve"> As OCC Witness Parcell notes:</w:t>
      </w:r>
    </w:p>
    <w:p w:rsidR="00775C0C" w:rsidRPr="00517C65" w:rsidP="008B11B3">
      <w:pPr>
        <w:ind w:left="1440" w:right="720"/>
        <w:rPr>
          <w:rFonts w:ascii="Times New Roman" w:hAnsi="Times New Roman" w:cs="Times New Roman"/>
          <w:sz w:val="24"/>
          <w:szCs w:val="24"/>
        </w:rPr>
      </w:pPr>
      <w:r w:rsidRPr="00517C65">
        <w:rPr>
          <w:rFonts w:ascii="Times New Roman" w:hAnsi="Times New Roman" w:cs="Times New Roman"/>
          <w:sz w:val="24"/>
          <w:szCs w:val="24"/>
        </w:rPr>
        <w:t>The above review of AES’s financial circumstances indicates that AES currently has the ability to provide more support to finance its acquisition of DPL than it has in the past.  AES, not the captive customers of DP&amp;L, should be on the hook for funding actions to reduce the debt level and improve the credit rating of DPL.</w:t>
      </w:r>
      <w:r>
        <w:rPr>
          <w:rFonts w:ascii="Times New Roman" w:hAnsi="Times New Roman" w:cs="Times New Roman"/>
          <w:sz w:val="24"/>
          <w:szCs w:val="24"/>
          <w:vertAlign w:val="superscript"/>
        </w:rPr>
        <w:footnoteReference w:id="161"/>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It would be against the public interest for the PUCO to approve the Settlement, which unnecessarily places a substantial burden on customers for a problem caused by AES. Instead of solving these financial problems by</w:t>
      </w:r>
      <w:r>
        <w:rPr>
          <w:rFonts w:ascii="Times New Roman" w:hAnsi="Times New Roman" w:cs="Times New Roman"/>
          <w:sz w:val="24"/>
          <w:szCs w:val="24"/>
        </w:rPr>
        <w:t xml:space="preserve"> allowing</w:t>
      </w:r>
      <w:r w:rsidRPr="00517C65">
        <w:rPr>
          <w:rFonts w:ascii="Times New Roman" w:hAnsi="Times New Roman" w:cs="Times New Roman"/>
          <w:sz w:val="24"/>
          <w:szCs w:val="24"/>
        </w:rPr>
        <w:t xml:space="preserve"> DP&amp;L </w:t>
      </w:r>
      <w:r>
        <w:rPr>
          <w:rFonts w:ascii="Times New Roman" w:hAnsi="Times New Roman" w:cs="Times New Roman"/>
          <w:sz w:val="24"/>
          <w:szCs w:val="24"/>
        </w:rPr>
        <w:t xml:space="preserve">to charge its </w:t>
      </w:r>
      <w:r w:rsidRPr="00517C65">
        <w:rPr>
          <w:rFonts w:ascii="Times New Roman" w:hAnsi="Times New Roman" w:cs="Times New Roman"/>
          <w:sz w:val="24"/>
          <w:szCs w:val="24"/>
        </w:rPr>
        <w:t>customers, the PUCO should use a scalpel at the AES and DPL levels.</w:t>
      </w:r>
      <w:r>
        <w:rPr>
          <w:rStyle w:val="FootnoteReference"/>
          <w:rFonts w:ascii="Times New Roman" w:hAnsi="Times New Roman" w:cs="Times New Roman"/>
          <w:sz w:val="24"/>
          <w:szCs w:val="24"/>
        </w:rPr>
        <w:footnoteReference w:id="162"/>
      </w:r>
    </w:p>
    <w:p w:rsidR="00775C0C" w:rsidRPr="00517C65" w:rsidP="00517C65">
      <w:pPr>
        <w:pStyle w:val="Heading4"/>
      </w:pPr>
      <w:bookmarkStart w:id="28" w:name="_Toc481762052"/>
      <w:r w:rsidRPr="00517C65">
        <w:t xml:space="preserve">f. </w:t>
      </w:r>
      <w:r w:rsidRPr="00517C65">
        <w:tab/>
        <w:t>The DMR is a costly charge that would hurt consumers and is not necessary for providing safe and reliable service</w:t>
      </w:r>
      <w:r>
        <w:t>.</w:t>
      </w:r>
      <w:bookmarkEnd w:id="28"/>
    </w:p>
    <w:p w:rsidR="00E97190"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claims that the DMR allows DP&amp;L to continue to provide safe and reliable service.</w:t>
      </w:r>
      <w:r>
        <w:rPr>
          <w:rFonts w:ascii="Times New Roman" w:hAnsi="Times New Roman" w:cs="Times New Roman"/>
          <w:sz w:val="24"/>
          <w:szCs w:val="24"/>
          <w:vertAlign w:val="superscript"/>
        </w:rPr>
        <w:footnoteReference w:id="163"/>
      </w:r>
      <w:r w:rsidRPr="00517C65">
        <w:rPr>
          <w:rFonts w:ascii="Times New Roman" w:hAnsi="Times New Roman" w:cs="Times New Roman"/>
          <w:sz w:val="24"/>
          <w:szCs w:val="24"/>
        </w:rPr>
        <w:t xml:space="preserve"> But DP&amp;L is already providing safe and reliable service to customers.  There are procedures and PUCO rules that ensure DP&amp;L will continue to provide safe and reliable service to customers.</w:t>
      </w:r>
      <w:r>
        <w:rPr>
          <w:rFonts w:ascii="Times New Roman" w:hAnsi="Times New Roman" w:cs="Times New Roman"/>
          <w:sz w:val="24"/>
          <w:szCs w:val="24"/>
          <w:vertAlign w:val="superscript"/>
        </w:rPr>
        <w:footnoteReference w:id="164"/>
      </w:r>
      <w:r w:rsidRPr="00517C65">
        <w:rPr>
          <w:rFonts w:ascii="Times New Roman" w:hAnsi="Times New Roman" w:cs="Times New Roman"/>
          <w:sz w:val="24"/>
          <w:szCs w:val="24"/>
        </w:rPr>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In fact, DP&amp;L has met or exceeded the CAIDI and SAIFI reliability standards that have been set by the PUCO for the past five years.</w:t>
      </w:r>
      <w:r>
        <w:rPr>
          <w:rFonts w:ascii="Times New Roman" w:hAnsi="Times New Roman" w:cs="Times New Roman"/>
          <w:sz w:val="24"/>
          <w:szCs w:val="24"/>
          <w:vertAlign w:val="superscript"/>
        </w:rPr>
        <w:footnoteReference w:id="165"/>
      </w:r>
      <w:r w:rsidRPr="00517C65">
        <w:rPr>
          <w:rFonts w:ascii="Times New Roman" w:hAnsi="Times New Roman" w:cs="Times New Roman"/>
          <w:sz w:val="24"/>
          <w:szCs w:val="24"/>
        </w:rPr>
        <w:t xml:space="preserve"> As part of the standards, DP&amp;L is required to file annual reports regarding its reliability performance.</w:t>
      </w:r>
      <w:r>
        <w:rPr>
          <w:rFonts w:ascii="Times New Roman" w:hAnsi="Times New Roman" w:cs="Times New Roman"/>
          <w:sz w:val="24"/>
          <w:szCs w:val="24"/>
          <w:vertAlign w:val="superscript"/>
        </w:rPr>
        <w:footnoteReference w:id="166"/>
      </w:r>
      <w:r w:rsidRPr="00517C65">
        <w:rPr>
          <w:rFonts w:ascii="Times New Roman" w:hAnsi="Times New Roman" w:cs="Times New Roman"/>
          <w:sz w:val="24"/>
          <w:szCs w:val="24"/>
        </w:rPr>
        <w:t xml:space="preserve"> Any declines in reliability performance would be apparent and remedied under PUCO rules. DP&amp;L would be required to submit an action plan including why the standards were missed and how performance could be improved.</w:t>
      </w:r>
      <w:r>
        <w:rPr>
          <w:rFonts w:ascii="Times New Roman" w:hAnsi="Times New Roman" w:cs="Times New Roman"/>
          <w:sz w:val="24"/>
          <w:szCs w:val="24"/>
          <w:vertAlign w:val="superscript"/>
        </w:rPr>
        <w:footnoteReference w:id="167"/>
      </w:r>
      <w:r w:rsidRPr="00517C65">
        <w:rPr>
          <w:rFonts w:ascii="Times New Roman" w:hAnsi="Times New Roman" w:cs="Times New Roman"/>
          <w:sz w:val="24"/>
          <w:szCs w:val="24"/>
        </w:rPr>
        <w:t xml:space="preserve">  DP&amp;L would have nearly two years to work with </w:t>
      </w:r>
      <w:r>
        <w:rPr>
          <w:rFonts w:ascii="Times New Roman" w:hAnsi="Times New Roman" w:cs="Times New Roman"/>
          <w:sz w:val="24"/>
          <w:szCs w:val="24"/>
        </w:rPr>
        <w:t xml:space="preserve">the PUCO </w:t>
      </w:r>
      <w:r w:rsidRPr="00517C65">
        <w:rPr>
          <w:rFonts w:ascii="Times New Roman" w:hAnsi="Times New Roman" w:cs="Times New Roman"/>
          <w:sz w:val="24"/>
          <w:szCs w:val="24"/>
        </w:rPr>
        <w:t>Staff and address any specific issues that were contributing to decreased reliability performance.</w:t>
      </w:r>
      <w:r>
        <w:rPr>
          <w:rFonts w:ascii="Times New Roman" w:hAnsi="Times New Roman" w:cs="Times New Roman"/>
          <w:sz w:val="24"/>
          <w:szCs w:val="24"/>
          <w:vertAlign w:val="superscript"/>
        </w:rPr>
        <w:footnoteReference w:id="168"/>
      </w:r>
    </w:p>
    <w:p w:rsidR="00E97190" w:rsidRPr="00517C65" w:rsidP="00E97190">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PUCO created such safeguards to prevent any drop in reliability. As OCC Witness Williams explained:</w:t>
      </w:r>
    </w:p>
    <w:p w:rsidR="00E97190" w:rsidRPr="00517C65" w:rsidP="008B11B3">
      <w:pPr>
        <w:ind w:left="1440" w:right="720"/>
        <w:rPr>
          <w:rFonts w:ascii="Times New Roman" w:hAnsi="Times New Roman" w:cs="Times New Roman"/>
          <w:sz w:val="24"/>
          <w:szCs w:val="24"/>
        </w:rPr>
      </w:pPr>
      <w:r w:rsidRPr="00517C65">
        <w:rPr>
          <w:rFonts w:ascii="Times New Roman" w:hAnsi="Times New Roman" w:cs="Times New Roman"/>
          <w:sz w:val="24"/>
          <w:szCs w:val="24"/>
        </w:rPr>
        <w:t>DP&amp;L has recognized these important safeguards in the past and has argued that there is no direct relationship between the downgrade of a utility or an affiliate and how a downgrade would affect the service reliability.   It is disingenuous for DP&amp;L and the Parties to the Settlement to now claim that without the Settlement, the Utility is unable to continue to provide safe and reliable service or to make investments to address local distribution reliability issues.</w:t>
      </w:r>
      <w:r>
        <w:rPr>
          <w:rFonts w:ascii="Times New Roman" w:hAnsi="Times New Roman" w:cs="Times New Roman"/>
          <w:sz w:val="24"/>
          <w:szCs w:val="24"/>
          <w:vertAlign w:val="superscript"/>
        </w:rPr>
        <w:footnoteReference w:id="169"/>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DP&amp;L’s attempt to disguise the DMR as necessary for safe and reliable service is a red herring that does not take into account the various other </w:t>
      </w:r>
      <w:r>
        <w:rPr>
          <w:rFonts w:ascii="Times New Roman" w:hAnsi="Times New Roman" w:cs="Times New Roman"/>
          <w:sz w:val="24"/>
          <w:szCs w:val="24"/>
        </w:rPr>
        <w:t xml:space="preserve">legitimate </w:t>
      </w:r>
      <w:r w:rsidRPr="00517C65">
        <w:rPr>
          <w:rFonts w:ascii="Times New Roman" w:hAnsi="Times New Roman" w:cs="Times New Roman"/>
          <w:sz w:val="24"/>
          <w:szCs w:val="24"/>
        </w:rPr>
        <w:t>regulatory mechanisms that ensure safety and reliability. Nor does it account for the fact that DP&amp;L could address and appropriately remedy any projected distribution investment losses in its ongoing distribution rate case.</w:t>
      </w:r>
      <w:r>
        <w:rPr>
          <w:rFonts w:ascii="Times New Roman" w:hAnsi="Times New Roman" w:cs="Times New Roman"/>
          <w:sz w:val="24"/>
          <w:szCs w:val="24"/>
          <w:vertAlign w:val="superscript"/>
        </w:rPr>
        <w:footnoteReference w:id="170"/>
      </w:r>
      <w:r w:rsidRPr="00517C65">
        <w:rPr>
          <w:rFonts w:ascii="Times New Roman" w:hAnsi="Times New Roman" w:cs="Times New Roman"/>
          <w:sz w:val="24"/>
          <w:szCs w:val="24"/>
        </w:rPr>
        <w:t xml:space="preserve"> </w:t>
      </w:r>
    </w:p>
    <w:p w:rsidR="00775C0C" w:rsidRPr="00517C65" w:rsidP="009D23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not fall for such scare tactics.  </w:t>
      </w:r>
      <w:r w:rsidRPr="00517C65">
        <w:rPr>
          <w:rFonts w:ascii="Times New Roman" w:hAnsi="Times New Roman" w:cs="Times New Roman"/>
          <w:sz w:val="24"/>
          <w:szCs w:val="24"/>
        </w:rPr>
        <w:t>It should reject the Settlement.</w:t>
      </w:r>
    </w:p>
    <w:p w:rsidR="00775C0C" w:rsidRPr="00517C65" w:rsidP="00517C65">
      <w:pPr>
        <w:pStyle w:val="Heading4"/>
      </w:pPr>
      <w:bookmarkStart w:id="29" w:name="_Toc481762053"/>
      <w:r w:rsidRPr="00517C65">
        <w:t xml:space="preserve">g. </w:t>
      </w:r>
      <w:r w:rsidRPr="00517C65">
        <w:tab/>
        <w:t>The Settlement, as a package, is not in the public interest because it harms low-income customers</w:t>
      </w:r>
      <w:r>
        <w:t>.</w:t>
      </w:r>
      <w:bookmarkEnd w:id="29"/>
      <w:r w:rsidRPr="00517C65">
        <w:t xml:space="preserve"> </w:t>
      </w:r>
    </w:p>
    <w:p w:rsidR="00F8308D" w:rsidRPr="00517C65" w:rsidP="00E4313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Witness Malinak attempts to rationalize the burdens of an illegal DMR and inappropriate Settlement by stating that DP&amp;L customers have an ability to pay the rates that DP&amp;L is foisting on customers.</w:t>
      </w:r>
      <w:r>
        <w:rPr>
          <w:rFonts w:ascii="Times New Roman" w:hAnsi="Times New Roman" w:cs="Times New Roman"/>
          <w:sz w:val="24"/>
          <w:szCs w:val="24"/>
          <w:vertAlign w:val="superscript"/>
        </w:rPr>
        <w:footnoteReference w:id="171"/>
      </w:r>
      <w:r w:rsidRPr="00517C65">
        <w:rPr>
          <w:rFonts w:ascii="Times New Roman" w:hAnsi="Times New Roman" w:cs="Times New Roman"/>
          <w:sz w:val="24"/>
          <w:szCs w:val="24"/>
        </w:rPr>
        <w:t xml:space="preserve"> But he does not take into account the serious economic </w:t>
      </w:r>
      <w:r>
        <w:rPr>
          <w:rFonts w:ascii="Times New Roman" w:hAnsi="Times New Roman" w:cs="Times New Roman"/>
          <w:sz w:val="24"/>
          <w:szCs w:val="24"/>
        </w:rPr>
        <w:t>hardships</w:t>
      </w:r>
      <w:r w:rsidRPr="00517C65">
        <w:rPr>
          <w:rFonts w:ascii="Times New Roman" w:hAnsi="Times New Roman" w:cs="Times New Roman"/>
          <w:sz w:val="24"/>
          <w:szCs w:val="24"/>
        </w:rPr>
        <w:t xml:space="preserve"> that are plaguing DP&amp;L’s service territory. Only around 75% of DP&amp;L customers can afford to reconnect their service after being disconnected for non-payment.</w:t>
      </w:r>
      <w:r>
        <w:rPr>
          <w:rFonts w:ascii="Times New Roman" w:hAnsi="Times New Roman" w:cs="Times New Roman"/>
          <w:sz w:val="24"/>
          <w:szCs w:val="24"/>
          <w:vertAlign w:val="superscript"/>
        </w:rPr>
        <w:footnoteReference w:id="172"/>
      </w:r>
      <w:r w:rsidRPr="00517C65">
        <w:rPr>
          <w:rFonts w:ascii="Times New Roman" w:hAnsi="Times New Roman" w:cs="Times New Roman"/>
          <w:sz w:val="24"/>
          <w:szCs w:val="24"/>
        </w:rPr>
        <w:t xml:space="preserve">  There are approximately </w:t>
      </w:r>
      <w:r>
        <w:rPr>
          <w:rFonts w:ascii="Times New Roman" w:hAnsi="Times New Roman" w:cs="Times New Roman"/>
          <w:sz w:val="24"/>
          <w:szCs w:val="24"/>
        </w:rPr>
        <w:t xml:space="preserve">35.5% of Dayton’s residents at the poverty level, </w:t>
      </w:r>
      <w:r w:rsidRPr="00517C65">
        <w:rPr>
          <w:rFonts w:ascii="Times New Roman" w:hAnsi="Times New Roman" w:cs="Times New Roman"/>
          <w:sz w:val="24"/>
          <w:szCs w:val="24"/>
        </w:rPr>
        <w:t>30,000 DP&amp;L customers who are on Percentage of Income Payment Plans, and another 187,000 customers who were unable to pay their electric bill and were required to be on a PUCO-ordered payment plan to prevent loss of service.</w:t>
      </w:r>
      <w:r>
        <w:rPr>
          <w:rFonts w:ascii="Times New Roman" w:hAnsi="Times New Roman" w:cs="Times New Roman"/>
          <w:sz w:val="24"/>
          <w:szCs w:val="24"/>
          <w:vertAlign w:val="superscript"/>
        </w:rPr>
        <w:footnoteReference w:id="173"/>
      </w:r>
      <w:r w:rsidRPr="00517C65">
        <w:rPr>
          <w:rFonts w:ascii="Times New Roman" w:hAnsi="Times New Roman" w:cs="Times New Roman"/>
          <w:sz w:val="24"/>
          <w:szCs w:val="24"/>
        </w:rPr>
        <w:t xml:space="preserve"> </w:t>
      </w:r>
    </w:p>
    <w:p w:rsidR="00775C0C" w:rsidRPr="00517C65" w:rsidP="00E4313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While DP&amp;L touts its commitments to low-income customers,</w:t>
      </w:r>
      <w:r>
        <w:rPr>
          <w:rFonts w:ascii="Times New Roman" w:hAnsi="Times New Roman" w:cs="Times New Roman"/>
          <w:sz w:val="24"/>
          <w:szCs w:val="24"/>
          <w:vertAlign w:val="superscript"/>
        </w:rPr>
        <w:footnoteReference w:id="174"/>
      </w:r>
      <w:r w:rsidRPr="00517C65">
        <w:rPr>
          <w:rFonts w:ascii="Times New Roman" w:hAnsi="Times New Roman" w:cs="Times New Roman"/>
          <w:sz w:val="24"/>
          <w:szCs w:val="24"/>
        </w:rPr>
        <w:t xml:space="preserve"> the value of the commitments pale in comparison to the hundreds of millions of dollars</w:t>
      </w:r>
      <w:r>
        <w:rPr>
          <w:rFonts w:ascii="Times New Roman" w:hAnsi="Times New Roman" w:cs="Times New Roman"/>
          <w:sz w:val="24"/>
          <w:szCs w:val="24"/>
          <w:vertAlign w:val="superscript"/>
        </w:rPr>
        <w:footnoteReference w:id="175"/>
      </w:r>
      <w:r w:rsidRPr="00517C65">
        <w:rPr>
          <w:rFonts w:ascii="Times New Roman" w:hAnsi="Times New Roman" w:cs="Times New Roman"/>
          <w:sz w:val="24"/>
          <w:szCs w:val="24"/>
        </w:rPr>
        <w:t xml:space="preserve"> that it seeks to charge customers – including the very low-income customers it purports to want to help – through various riders and charges. </w:t>
      </w:r>
    </w:p>
    <w:p w:rsidR="00775C0C" w:rsidRPr="00517C65" w:rsidP="00517C65">
      <w:pPr>
        <w:pStyle w:val="Heading4"/>
      </w:pPr>
      <w:bookmarkStart w:id="30" w:name="_Toc481762054"/>
      <w:r w:rsidRPr="00517C65">
        <w:t xml:space="preserve">h. </w:t>
      </w:r>
      <w:r w:rsidRPr="00517C65">
        <w:tab/>
        <w:t>The proposed return on equity</w:t>
      </w:r>
      <w:r>
        <w:t xml:space="preserve"> that DP&amp;L seeks on investment</w:t>
      </w:r>
      <w:r w:rsidRPr="00517C65">
        <w:t xml:space="preserve"> is not in the public interest and would harm consumers</w:t>
      </w:r>
      <w:r>
        <w:t>.</w:t>
      </w:r>
      <w:bookmarkEnd w:id="30"/>
      <w:r w:rsidRPr="00517C65">
        <w:t xml:space="preserve">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Settlement provides that the costs of many of DP&amp;L’s riders will be determined in future cases.</w:t>
      </w:r>
      <w:r>
        <w:rPr>
          <w:rFonts w:ascii="Times New Roman" w:hAnsi="Times New Roman" w:cs="Times New Roman"/>
          <w:sz w:val="24"/>
          <w:szCs w:val="24"/>
          <w:vertAlign w:val="superscript"/>
        </w:rPr>
        <w:footnoteReference w:id="176"/>
      </w:r>
      <w:r w:rsidRPr="00517C65">
        <w:rPr>
          <w:rFonts w:ascii="Times New Roman" w:hAnsi="Times New Roman" w:cs="Times New Roman"/>
          <w:sz w:val="24"/>
          <w:szCs w:val="24"/>
        </w:rPr>
        <w:t xml:space="preserve"> It is inappropriate to approve those riders without knowing their costs. On other occasions, DP&amp;L Witness Malinak uses the stale and inappropriate return on equity that was proposed by DP&amp;L in the ongoing distribution rate case.</w:t>
      </w:r>
      <w:r>
        <w:rPr>
          <w:rFonts w:ascii="Times New Roman" w:hAnsi="Times New Roman" w:cs="Times New Roman"/>
          <w:sz w:val="24"/>
          <w:szCs w:val="24"/>
          <w:vertAlign w:val="superscript"/>
        </w:rPr>
        <w:footnoteReference w:id="177"/>
      </w:r>
      <w:r w:rsidRPr="00517C65">
        <w:rPr>
          <w:rFonts w:ascii="Times New Roman" w:hAnsi="Times New Roman" w:cs="Times New Roman"/>
          <w:sz w:val="24"/>
          <w:szCs w:val="24"/>
        </w:rPr>
        <w:t xml:space="preserve"> There is no support for using that return on equity here other than the fact that it is the same number proposed (but not adopted or yet subject to cross-examination) in DP&amp;L’s distribution rate case.</w:t>
      </w:r>
      <w:r>
        <w:rPr>
          <w:rFonts w:ascii="Times New Roman" w:hAnsi="Times New Roman" w:cs="Times New Roman"/>
          <w:sz w:val="24"/>
          <w:szCs w:val="24"/>
          <w:vertAlign w:val="superscript"/>
        </w:rPr>
        <w:footnoteReference w:id="178"/>
      </w:r>
      <w:r w:rsidRPr="00517C65">
        <w:rPr>
          <w:rFonts w:ascii="Times New Roman" w:hAnsi="Times New Roman" w:cs="Times New Roman"/>
          <w:sz w:val="24"/>
          <w:szCs w:val="24"/>
        </w:rPr>
        <w:t xml:space="preserve">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Only OCC has provided testimony that another </w:t>
      </w:r>
      <w:r>
        <w:rPr>
          <w:rFonts w:ascii="Times New Roman" w:hAnsi="Times New Roman" w:cs="Times New Roman"/>
          <w:sz w:val="24"/>
          <w:szCs w:val="24"/>
        </w:rPr>
        <w:t>more proper</w:t>
      </w:r>
      <w:r w:rsidRPr="00517C65">
        <w:rPr>
          <w:rFonts w:ascii="Times New Roman" w:hAnsi="Times New Roman" w:cs="Times New Roman"/>
          <w:sz w:val="24"/>
          <w:szCs w:val="24"/>
        </w:rPr>
        <w:t xml:space="preserve"> return on equity is appropriate. Only the testimony of OCC Witness Parcell conducts a financial analysis of DP&amp;L’s return on equity using a Discounted Cash Flow analysis, Capital Asset Pricing Model, and Comparable Earnings Model to show that DP&amp;L’s proposed 10.5% Return on equity is both stale and inappropriate.</w:t>
      </w:r>
      <w:r>
        <w:rPr>
          <w:rFonts w:ascii="Times New Roman" w:hAnsi="Times New Roman" w:cs="Times New Roman"/>
          <w:sz w:val="24"/>
          <w:szCs w:val="24"/>
          <w:vertAlign w:val="superscript"/>
        </w:rPr>
        <w:footnoteReference w:id="179"/>
      </w:r>
      <w:r w:rsidRPr="00517C65">
        <w:rPr>
          <w:rFonts w:ascii="Times New Roman" w:hAnsi="Times New Roman" w:cs="Times New Roman"/>
          <w:sz w:val="24"/>
          <w:szCs w:val="24"/>
        </w:rPr>
        <w:t xml:space="preserve">  If any riders are created and set at zero (including the DIR) in this ESP, or portions of the ESP require a return on equity, OCC’s proposed 9.25% should be adopted.</w:t>
      </w:r>
      <w:r>
        <w:rPr>
          <w:rFonts w:ascii="Times New Roman" w:hAnsi="Times New Roman" w:cs="Times New Roman"/>
          <w:sz w:val="24"/>
          <w:szCs w:val="24"/>
          <w:vertAlign w:val="superscript"/>
        </w:rPr>
        <w:footnoteReference w:id="180"/>
      </w:r>
    </w:p>
    <w:p w:rsidR="00775C0C" w:rsidRPr="00517C65" w:rsidP="00517C65">
      <w:pPr>
        <w:pStyle w:val="Heading4"/>
      </w:pPr>
      <w:bookmarkStart w:id="31" w:name="_Toc481762055"/>
      <w:r w:rsidRPr="00517C65">
        <w:t xml:space="preserve">i. </w:t>
      </w:r>
      <w:r w:rsidRPr="00517C65">
        <w:tab/>
        <w:t>The Smart Grid Rider does not benefit customers and is not in the public interest</w:t>
      </w:r>
      <w:r>
        <w:t>.</w:t>
      </w:r>
      <w:bookmarkEnd w:id="31"/>
    </w:p>
    <w:p w:rsidR="007C1628"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Approving the Settlement would establish a new Smart Grid Rider (“SGR”) to collect the cost associated with developing a Distribution Grid Modernization Plan and grid modernization investments.</w:t>
      </w:r>
      <w:r>
        <w:rPr>
          <w:rFonts w:ascii="Times New Roman" w:hAnsi="Times New Roman" w:cs="Times New Roman"/>
          <w:sz w:val="24"/>
          <w:szCs w:val="24"/>
          <w:vertAlign w:val="superscript"/>
        </w:rPr>
        <w:footnoteReference w:id="181"/>
      </w:r>
      <w:r w:rsidRPr="00517C65">
        <w:rPr>
          <w:rFonts w:ascii="Times New Roman" w:hAnsi="Times New Roman" w:cs="Times New Roman"/>
          <w:sz w:val="24"/>
          <w:szCs w:val="24"/>
        </w:rPr>
        <w:t xml:space="preserve">  These investments will occur, if at all, in the future and are based on the PUCO’s PowerForward grid modernization initiative.</w:t>
      </w:r>
      <w:r>
        <w:rPr>
          <w:rFonts w:ascii="Times New Roman" w:hAnsi="Times New Roman" w:cs="Times New Roman"/>
          <w:sz w:val="24"/>
          <w:szCs w:val="24"/>
          <w:vertAlign w:val="superscript"/>
        </w:rPr>
        <w:footnoteReference w:id="182"/>
      </w:r>
      <w:r w:rsidRPr="00517C65">
        <w:rPr>
          <w:rFonts w:ascii="Times New Roman" w:hAnsi="Times New Roman" w:cs="Times New Roman"/>
          <w:sz w:val="24"/>
          <w:szCs w:val="24"/>
        </w:rPr>
        <w:t xml:space="preserve">  Because this initiative is in its early stages, DP&amp;L itself has admitted that it has no understanding about it.</w:t>
      </w:r>
      <w:r>
        <w:rPr>
          <w:rFonts w:ascii="Times New Roman" w:hAnsi="Times New Roman" w:cs="Times New Roman"/>
          <w:sz w:val="24"/>
          <w:szCs w:val="24"/>
          <w:vertAlign w:val="superscript"/>
        </w:rPr>
        <w:footnoteReference w:id="183"/>
      </w:r>
      <w:r w:rsidRPr="00517C65">
        <w:rPr>
          <w:rFonts w:ascii="Times New Roman" w:hAnsi="Times New Roman" w:cs="Times New Roman"/>
          <w:sz w:val="24"/>
          <w:szCs w:val="24"/>
        </w:rPr>
        <w:t xml:space="preserve"> It is inappropriate and premature for DP&amp;L to try and create a rider through the Settlement to support the PUCO’s grid modernization initiative when that initiative is in its early stages and DP&amp;L does not even understand it. </w:t>
      </w:r>
    </w:p>
    <w:p w:rsidR="00775C0C" w:rsidRPr="00517C65" w:rsidP="00775C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as O</w:t>
      </w:r>
      <w:r w:rsidRPr="00517C65">
        <w:rPr>
          <w:rFonts w:ascii="Times New Roman" w:hAnsi="Times New Roman" w:cs="Times New Roman"/>
          <w:sz w:val="24"/>
          <w:szCs w:val="24"/>
        </w:rPr>
        <w:t>CC Witness Williams explained</w:t>
      </w:r>
      <w:r>
        <w:rPr>
          <w:rFonts w:ascii="Times New Roman" w:hAnsi="Times New Roman" w:cs="Times New Roman"/>
          <w:sz w:val="24"/>
          <w:szCs w:val="24"/>
        </w:rPr>
        <w:t>, there are other reasons to reject DP&amp;L's Smart Grid Rider</w:t>
      </w:r>
      <w:r w:rsidRPr="00517C65">
        <w:rPr>
          <w:rFonts w:ascii="Times New Roman" w:hAnsi="Times New Roman" w:cs="Times New Roman"/>
          <w:sz w:val="24"/>
          <w:szCs w:val="24"/>
        </w:rPr>
        <w:t xml:space="preserve">: </w:t>
      </w:r>
    </w:p>
    <w:p w:rsidR="00775C0C" w:rsidRPr="00517C65" w:rsidP="008B11B3">
      <w:pPr>
        <w:ind w:left="1440" w:right="720"/>
        <w:rPr>
          <w:rFonts w:ascii="Times New Roman" w:hAnsi="Times New Roman" w:cs="Times New Roman"/>
          <w:sz w:val="24"/>
          <w:szCs w:val="24"/>
        </w:rPr>
      </w:pPr>
      <w:r w:rsidRPr="00517C65">
        <w:rPr>
          <w:rFonts w:ascii="Times New Roman" w:hAnsi="Times New Roman" w:cs="Times New Roman"/>
          <w:sz w:val="24"/>
          <w:szCs w:val="24"/>
        </w:rPr>
        <w:t>The PUCO should not permit customers to be converted into investors by being asked to shoulder the risks for investments that DP&amp;L makes that are not supported through sound financial analysis (including quantifiable cost/benefit analysis).  DP&amp;L should consider future enhancements to its distribution system in the normal course of business without the need for a rider to collect the costs for preparing the distribution modernization plan.  Furthermore, DP&amp;L has the opportunity to seek cost recovery for investments that it makes in its distribution system through traditional base rate cases.  Approval of the smart grid rider circumvents consideration of alternatives like future base rate cases for collecting smart grid costs.  Furthermore, to the extent that grid modernization initiatives are being used by the Stipulating parties as support for the DMR, there has been no demonstration that the grid modernization initiative or the Settlement benefits customers or is in the public interest.</w:t>
      </w:r>
      <w:r>
        <w:rPr>
          <w:rFonts w:ascii="Times New Roman" w:hAnsi="Times New Roman" w:cs="Times New Roman"/>
          <w:sz w:val="24"/>
          <w:szCs w:val="24"/>
          <w:vertAlign w:val="superscript"/>
        </w:rPr>
        <w:footnoteReference w:id="184"/>
      </w:r>
    </w:p>
    <w:p w:rsidR="00775C0C" w:rsidRPr="00517C65" w:rsidP="00775C0C">
      <w:pPr>
        <w:spacing w:after="0" w:line="480" w:lineRule="auto"/>
        <w:rPr>
          <w:rFonts w:ascii="Times New Roman" w:hAnsi="Times New Roman" w:cs="Times New Roman"/>
          <w:sz w:val="24"/>
          <w:szCs w:val="24"/>
        </w:rPr>
      </w:pPr>
      <w:r w:rsidRPr="00517C65">
        <w:rPr>
          <w:rFonts w:ascii="Times New Roman" w:hAnsi="Times New Roman" w:cs="Times New Roman"/>
          <w:sz w:val="24"/>
          <w:szCs w:val="24"/>
        </w:rPr>
        <w:t xml:space="preserve">The PUCO should not approve the Smart Grid Rider. </w:t>
      </w:r>
    </w:p>
    <w:p w:rsidR="00775C0C" w:rsidRPr="00517C65" w:rsidP="00517C65">
      <w:pPr>
        <w:pStyle w:val="Heading4"/>
      </w:pPr>
      <w:bookmarkStart w:id="32" w:name="_Toc481762056"/>
      <w:r w:rsidRPr="00517C65">
        <w:t xml:space="preserve">j. </w:t>
      </w:r>
      <w:r w:rsidRPr="00517C65">
        <w:tab/>
        <w:t>The TCRR-N pilot program does not have enough safeguards to protect consumers and the public interest</w:t>
      </w:r>
      <w:r>
        <w:t>.</w:t>
      </w:r>
      <w:bookmarkEnd w:id="32"/>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The Settlement includes a Transmission Cost Recovery Rider – Non-Bypassable (“TCRR-N”) </w:t>
      </w:r>
      <w:r>
        <w:rPr>
          <w:rFonts w:ascii="Times New Roman" w:hAnsi="Times New Roman" w:cs="Times New Roman"/>
          <w:sz w:val="24"/>
          <w:szCs w:val="24"/>
        </w:rPr>
        <w:t>"</w:t>
      </w:r>
      <w:r w:rsidRPr="00517C65">
        <w:rPr>
          <w:rFonts w:ascii="Times New Roman" w:hAnsi="Times New Roman" w:cs="Times New Roman"/>
          <w:sz w:val="24"/>
          <w:szCs w:val="24"/>
        </w:rPr>
        <w:t>pilot</w:t>
      </w:r>
      <w:r>
        <w:rPr>
          <w:rFonts w:ascii="Times New Roman" w:hAnsi="Times New Roman" w:cs="Times New Roman"/>
          <w:sz w:val="24"/>
          <w:szCs w:val="24"/>
        </w:rPr>
        <w:t>"</w:t>
      </w:r>
      <w:r w:rsidRPr="00517C65">
        <w:rPr>
          <w:rFonts w:ascii="Times New Roman" w:hAnsi="Times New Roman" w:cs="Times New Roman"/>
          <w:sz w:val="24"/>
          <w:szCs w:val="24"/>
        </w:rPr>
        <w:t xml:space="preserve"> program.</w:t>
      </w:r>
      <w:r>
        <w:rPr>
          <w:rStyle w:val="FootnoteReference"/>
          <w:rFonts w:ascii="Times New Roman" w:hAnsi="Times New Roman" w:cs="Times New Roman"/>
          <w:sz w:val="24"/>
          <w:szCs w:val="24"/>
        </w:rPr>
        <w:footnoteReference w:id="185"/>
      </w:r>
      <w:r w:rsidRPr="00517C65">
        <w:rPr>
          <w:rFonts w:ascii="Times New Roman" w:hAnsi="Times New Roman" w:cs="Times New Roman"/>
          <w:sz w:val="24"/>
          <w:szCs w:val="24"/>
        </w:rPr>
        <w:t xml:space="preserve"> The program allows certain customers</w:t>
      </w:r>
      <w:r>
        <w:rPr>
          <w:rStyle w:val="FootnoteReference"/>
          <w:rFonts w:ascii="Times New Roman" w:hAnsi="Times New Roman" w:cs="Times New Roman"/>
          <w:sz w:val="24"/>
          <w:szCs w:val="24"/>
        </w:rPr>
        <w:footnoteReference w:id="186"/>
      </w:r>
      <w:r w:rsidRPr="00517C65">
        <w:rPr>
          <w:rFonts w:ascii="Times New Roman" w:hAnsi="Times New Roman" w:cs="Times New Roman"/>
          <w:sz w:val="24"/>
          <w:szCs w:val="24"/>
        </w:rPr>
        <w:t xml:space="preserve"> to receive transmission and ancillary services provided through PJM’s Open Access Transmission Tariff (“OATT”) from a marketer rather than solely relying on DP&amp;L to provide these services.</w:t>
      </w:r>
      <w:r>
        <w:rPr>
          <w:rStyle w:val="FootnoteReference"/>
          <w:rFonts w:ascii="Times New Roman" w:hAnsi="Times New Roman" w:cs="Times New Roman"/>
          <w:sz w:val="24"/>
          <w:szCs w:val="24"/>
        </w:rPr>
        <w:footnoteReference w:id="187"/>
      </w:r>
      <w:r w:rsidRPr="00517C65">
        <w:rPr>
          <w:rFonts w:ascii="Times New Roman" w:hAnsi="Times New Roman" w:cs="Times New Roman"/>
          <w:sz w:val="24"/>
          <w:szCs w:val="24"/>
        </w:rPr>
        <w:t xml:space="preserve"> But the program does not have any parameters around which to judge its costs or efficacy,</w:t>
      </w:r>
      <w:r>
        <w:rPr>
          <w:rStyle w:val="FootnoteReference"/>
          <w:rFonts w:ascii="Times New Roman" w:hAnsi="Times New Roman" w:cs="Times New Roman"/>
          <w:sz w:val="24"/>
          <w:szCs w:val="24"/>
        </w:rPr>
        <w:footnoteReference w:id="188"/>
      </w:r>
      <w:r w:rsidRPr="00517C65">
        <w:rPr>
          <w:rFonts w:ascii="Times New Roman" w:hAnsi="Times New Roman" w:cs="Times New Roman"/>
          <w:sz w:val="24"/>
          <w:szCs w:val="24"/>
        </w:rPr>
        <w:t xml:space="preserve"> and will run the entire term of the ESP (6 years).</w:t>
      </w:r>
      <w:r>
        <w:rPr>
          <w:rStyle w:val="FootnoteReference"/>
          <w:rFonts w:ascii="Times New Roman" w:hAnsi="Times New Roman" w:cs="Times New Roman"/>
          <w:sz w:val="24"/>
          <w:szCs w:val="24"/>
        </w:rPr>
        <w:footnoteReference w:id="189"/>
      </w:r>
      <w:r w:rsidRPr="00517C65">
        <w:rPr>
          <w:rFonts w:ascii="Times New Roman" w:hAnsi="Times New Roman" w:cs="Times New Roman"/>
          <w:sz w:val="24"/>
          <w:szCs w:val="24"/>
        </w:rPr>
        <w:t xml:space="preserve"> As OCC Witness Haugh suggests, the TCRR-N Pilot Program should at a minimum: </w:t>
      </w:r>
    </w:p>
    <w:p w:rsidR="00775C0C" w:rsidRPr="00517C65" w:rsidP="008B11B3">
      <w:pPr>
        <w:ind w:left="1440" w:right="720"/>
        <w:rPr>
          <w:rFonts w:ascii="Times New Roman" w:hAnsi="Times New Roman" w:cs="Times New Roman"/>
          <w:sz w:val="24"/>
          <w:szCs w:val="24"/>
        </w:rPr>
      </w:pPr>
      <w:r w:rsidRPr="00517C65">
        <w:rPr>
          <w:rFonts w:ascii="Times New Roman" w:hAnsi="Times New Roman" w:cs="Times New Roman"/>
          <w:sz w:val="24"/>
          <w:szCs w:val="24"/>
        </w:rPr>
        <w:t xml:space="preserve"> [R]equire DP&amp;L to outline the goals it wishes to achieve, determine the costs required to implement this program, define the anticipated benefits to participants, and calculate any possible cost shifts from participants to non-participants.  Additionally, the pilot program should be evaluated after a two-year period to determine if it is benefitting all customers, not just “certain” customers.</w:t>
      </w:r>
      <w:r>
        <w:rPr>
          <w:rStyle w:val="FootnoteReference"/>
          <w:rFonts w:ascii="Times New Roman" w:hAnsi="Times New Roman" w:cs="Times New Roman"/>
          <w:sz w:val="24"/>
          <w:szCs w:val="24"/>
        </w:rPr>
        <w:footnoteReference w:id="190"/>
      </w:r>
    </w:p>
    <w:p w:rsidR="00775C0C" w:rsidRPr="00517C65" w:rsidP="00775C0C">
      <w:pPr>
        <w:spacing w:after="0" w:line="480" w:lineRule="auto"/>
        <w:rPr>
          <w:rFonts w:ascii="Times New Roman" w:hAnsi="Times New Roman" w:cs="Times New Roman"/>
          <w:sz w:val="24"/>
          <w:szCs w:val="24"/>
        </w:rPr>
      </w:pPr>
      <w:r w:rsidRPr="00517C65">
        <w:rPr>
          <w:rFonts w:ascii="Times New Roman" w:hAnsi="Times New Roman" w:cs="Times New Roman"/>
          <w:sz w:val="24"/>
          <w:szCs w:val="24"/>
        </w:rPr>
        <w:t xml:space="preserve">If the PUCO chooses to allow the TCRR-N program, it should adopt OCC Witness Haugh’s recommendations and place reasonable limitations around, and requirements on, this program. </w:t>
      </w:r>
    </w:p>
    <w:p w:rsidR="00775C0C" w:rsidRPr="00517C65" w:rsidP="00517C65">
      <w:pPr>
        <w:pStyle w:val="Heading4"/>
      </w:pPr>
      <w:bookmarkStart w:id="33" w:name="_Toc481762057"/>
      <w:r w:rsidRPr="00517C65">
        <w:t xml:space="preserve">k. </w:t>
      </w:r>
      <w:r w:rsidRPr="00517C65">
        <w:tab/>
        <w:t>The proposed supplier consolidated billing program does not provide any customer benefits and is therefore not in the public interest</w:t>
      </w:r>
      <w:r>
        <w:t>.</w:t>
      </w:r>
      <w:bookmarkEnd w:id="33"/>
    </w:p>
    <w:p w:rsidR="006D61A9"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proposed Settlement also includes a pilot program for supplier consolidated billing.</w:t>
      </w:r>
      <w:r>
        <w:rPr>
          <w:rStyle w:val="FootnoteReference"/>
          <w:rFonts w:ascii="Times New Roman" w:hAnsi="Times New Roman" w:cs="Times New Roman"/>
          <w:sz w:val="24"/>
          <w:szCs w:val="24"/>
        </w:rPr>
        <w:footnoteReference w:id="191"/>
      </w:r>
      <w:r w:rsidRPr="00517C65">
        <w:rPr>
          <w:rFonts w:ascii="Times New Roman" w:hAnsi="Times New Roman" w:cs="Times New Roman"/>
          <w:sz w:val="24"/>
          <w:szCs w:val="24"/>
        </w:rPr>
        <w:t xml:space="preserve"> Supplier consolidated billing allows for customers who received generation service from a marketer to receive a single consolidated bill for both the regulated distribution charges and the deregulated generation charges.</w:t>
      </w:r>
      <w:r>
        <w:rPr>
          <w:rStyle w:val="FootnoteReference"/>
          <w:rFonts w:ascii="Times New Roman" w:hAnsi="Times New Roman" w:cs="Times New Roman"/>
          <w:sz w:val="24"/>
          <w:szCs w:val="24"/>
        </w:rPr>
        <w:footnoteReference w:id="192"/>
      </w:r>
      <w:r w:rsidRPr="00517C65">
        <w:rPr>
          <w:rFonts w:ascii="Times New Roman" w:hAnsi="Times New Roman" w:cs="Times New Roman"/>
          <w:sz w:val="24"/>
          <w:szCs w:val="24"/>
        </w:rPr>
        <w:t xml:space="preserve"> The marketer collects and remits the customer’s charges to the utility.</w:t>
      </w:r>
      <w:r>
        <w:rPr>
          <w:rStyle w:val="FootnoteReference"/>
          <w:rFonts w:ascii="Times New Roman" w:hAnsi="Times New Roman" w:cs="Times New Roman"/>
          <w:sz w:val="24"/>
          <w:szCs w:val="24"/>
        </w:rPr>
        <w:footnoteReference w:id="193"/>
      </w:r>
      <w:r w:rsidRPr="00517C65">
        <w:rPr>
          <w:rFonts w:ascii="Times New Roman" w:hAnsi="Times New Roman" w:cs="Times New Roman"/>
          <w:sz w:val="24"/>
          <w:szCs w:val="24"/>
        </w:rPr>
        <w:t xml:space="preserve"> </w:t>
      </w:r>
    </w:p>
    <w:p w:rsidR="00775C0C"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Under the Settlement, 50% of the costs of implementing this program are going to be paid by DP&amp;L customers.</w:t>
      </w:r>
      <w:r>
        <w:rPr>
          <w:rStyle w:val="FootnoteReference"/>
          <w:rFonts w:ascii="Times New Roman" w:hAnsi="Times New Roman" w:cs="Times New Roman"/>
          <w:sz w:val="24"/>
          <w:szCs w:val="24"/>
        </w:rPr>
        <w:footnoteReference w:id="194"/>
      </w:r>
      <w:r w:rsidRPr="00517C65">
        <w:rPr>
          <w:rFonts w:ascii="Times New Roman" w:hAnsi="Times New Roman" w:cs="Times New Roman"/>
          <w:sz w:val="24"/>
          <w:szCs w:val="24"/>
        </w:rPr>
        <w:t xml:space="preserve"> There is no evidence that customers would benefit from this proposal, so they should not have to pay for it.</w:t>
      </w:r>
      <w:r>
        <w:rPr>
          <w:rStyle w:val="FootnoteReference"/>
          <w:rFonts w:ascii="Times New Roman" w:hAnsi="Times New Roman" w:cs="Times New Roman"/>
          <w:sz w:val="24"/>
          <w:szCs w:val="24"/>
        </w:rPr>
        <w:footnoteReference w:id="195"/>
      </w:r>
      <w:r w:rsidRPr="00517C65">
        <w:rPr>
          <w:rFonts w:ascii="Times New Roman" w:hAnsi="Times New Roman" w:cs="Times New Roman"/>
          <w:sz w:val="24"/>
          <w:szCs w:val="24"/>
        </w:rPr>
        <w:t xml:space="preserve"> As OCC Witness Haugh testified, the vast majority of the benefits of supplier consolidated billing benefit marketers: “Supplier consolidated billing allows a marketer to include its own branding and marketing on the bill and also include line items that may not be allowable on a traditional utility bill.”</w:t>
      </w:r>
      <w:r>
        <w:rPr>
          <w:rStyle w:val="FootnoteReference"/>
          <w:rFonts w:ascii="Times New Roman" w:hAnsi="Times New Roman" w:cs="Times New Roman"/>
          <w:sz w:val="24"/>
          <w:szCs w:val="24"/>
        </w:rPr>
        <w:footnoteReference w:id="196"/>
      </w:r>
      <w:r w:rsidRPr="00517C65">
        <w:rPr>
          <w:rFonts w:ascii="Times New Roman" w:hAnsi="Times New Roman" w:cs="Times New Roman"/>
          <w:sz w:val="24"/>
          <w:szCs w:val="24"/>
        </w:rPr>
        <w:t xml:space="preserve"> It is inappropriate for customers to bear </w:t>
      </w:r>
      <w:r w:rsidRPr="00517C65">
        <w:rPr>
          <w:rFonts w:ascii="Times New Roman" w:hAnsi="Times New Roman" w:cs="Times New Roman"/>
          <w:i/>
          <w:sz w:val="24"/>
          <w:szCs w:val="24"/>
        </w:rPr>
        <w:t>any</w:t>
      </w:r>
      <w:r w:rsidRPr="00517C65">
        <w:rPr>
          <w:rFonts w:ascii="Times New Roman" w:hAnsi="Times New Roman" w:cs="Times New Roman"/>
          <w:sz w:val="24"/>
          <w:szCs w:val="24"/>
        </w:rPr>
        <w:t xml:space="preserve"> of the costs associated with a program that provides benefits only to marketers and may not even be wanted by residential customers.</w:t>
      </w:r>
      <w:r w:rsidRPr="00517C65">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97"/>
      </w:r>
      <w:r w:rsidRPr="00517C65">
        <w:rPr>
          <w:rFonts w:ascii="Times New Roman" w:hAnsi="Times New Roman" w:cs="Times New Roman"/>
          <w:sz w:val="24"/>
          <w:szCs w:val="24"/>
        </w:rPr>
        <w:t xml:space="preserve"> The PUCO should reject this pilot program, or modify the proposed settlement so that 100% of the costs of this program are borne by marketers. </w:t>
      </w:r>
    </w:p>
    <w:p w:rsidR="00775C0C" w:rsidRPr="00517C65" w:rsidP="00517C65">
      <w:pPr>
        <w:pStyle w:val="Heading4"/>
      </w:pPr>
      <w:bookmarkStart w:id="34" w:name="_Toc481762058"/>
      <w:r w:rsidRPr="00517C65">
        <w:t xml:space="preserve">l. </w:t>
      </w:r>
      <w:r w:rsidRPr="00517C65">
        <w:tab/>
        <w:t>The purported benefits identified by DP&amp;L Witnesses Schroder do not actually benefit consumers</w:t>
      </w:r>
      <w:r>
        <w:t>.</w:t>
      </w:r>
      <w:bookmarkEnd w:id="34"/>
    </w:p>
    <w:p w:rsidR="00775C0C" w:rsidRPr="00517C65" w:rsidP="00613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Witness Schroder asserts that the Settlement will provide the following four benefits: (1) a competitively bid SSO; (2) the promotion of economic development; (3) retail competition enhancement; and (4) low-income funding.</w:t>
      </w:r>
      <w:r>
        <w:rPr>
          <w:rStyle w:val="FootnoteReference"/>
          <w:rFonts w:ascii="Times New Roman" w:hAnsi="Times New Roman" w:cs="Times New Roman"/>
          <w:sz w:val="24"/>
          <w:szCs w:val="24"/>
        </w:rPr>
        <w:footnoteReference w:id="198"/>
      </w:r>
      <w:r w:rsidRPr="00517C65">
        <w:rPr>
          <w:rFonts w:ascii="Times New Roman" w:hAnsi="Times New Roman" w:cs="Times New Roman"/>
          <w:sz w:val="24"/>
          <w:szCs w:val="24"/>
        </w:rPr>
        <w:t xml:space="preserve">  Each of these four purported benefits is discussed, in turn, below.</w:t>
      </w:r>
    </w:p>
    <w:p w:rsidR="00775C0C" w:rsidRPr="00517C65" w:rsidP="00517C65">
      <w:pPr>
        <w:pStyle w:val="Heading5"/>
      </w:pPr>
      <w:r w:rsidRPr="00517C65">
        <w:t xml:space="preserve">i. </w:t>
      </w:r>
      <w:r w:rsidRPr="00517C65">
        <w:tab/>
        <w:t>Including the Competitive Bidding Process for the SSO is not a benefit of the Settlement</w:t>
      </w:r>
      <w:r>
        <w:t>.</w:t>
      </w:r>
    </w:p>
    <w:p w:rsidR="00775C0C" w:rsidRPr="00517C65" w:rsidP="00613D4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Though DP&amp;L Witness Schroder asserts that the competitively bid SSO is a benefit of the Settlement, DP&amp;L Witness Malinak concedes that the competitive bidding process for the SSO would be in place even if DP&amp;L provided SSO service to its customers under an MRO.</w:t>
      </w:r>
      <w:r>
        <w:rPr>
          <w:rStyle w:val="FootnoteReference"/>
          <w:rFonts w:ascii="Times New Roman" w:hAnsi="Times New Roman" w:cs="Times New Roman"/>
          <w:sz w:val="24"/>
          <w:szCs w:val="24"/>
        </w:rPr>
        <w:footnoteReference w:id="199"/>
      </w:r>
      <w:r w:rsidRPr="00517C65">
        <w:rPr>
          <w:rFonts w:ascii="Times New Roman" w:hAnsi="Times New Roman" w:cs="Times New Roman"/>
          <w:sz w:val="24"/>
          <w:szCs w:val="24"/>
        </w:rPr>
        <w:t xml:space="preserve">   Staff Witness Donlon makes the same concession.</w:t>
      </w:r>
      <w:r>
        <w:rPr>
          <w:rStyle w:val="FootnoteReference"/>
          <w:rFonts w:ascii="Times New Roman" w:hAnsi="Times New Roman" w:cs="Times New Roman"/>
          <w:sz w:val="24"/>
          <w:szCs w:val="24"/>
        </w:rPr>
        <w:footnoteReference w:id="200"/>
      </w:r>
      <w:r w:rsidRPr="00517C65">
        <w:rPr>
          <w:rFonts w:ascii="Times New Roman" w:hAnsi="Times New Roman" w:cs="Times New Roman"/>
          <w:sz w:val="24"/>
          <w:szCs w:val="24"/>
        </w:rPr>
        <w:t xml:space="preserve">  This competitive bidding process would be in place whether or not the PUCO approves the Settlement and therefore it is not a benefit of it.  </w:t>
      </w:r>
    </w:p>
    <w:p w:rsidR="00775C0C" w:rsidRPr="00517C65" w:rsidP="00517C65">
      <w:pPr>
        <w:pStyle w:val="Heading5"/>
      </w:pPr>
      <w:r w:rsidRPr="00517C65">
        <w:t>ii.</w:t>
      </w:r>
      <w:r w:rsidRPr="00517C65">
        <w:tab/>
        <w:t>The Settlement does not promote economic development; it hurts consumers by stifling it</w:t>
      </w:r>
      <w:r>
        <w:t>.</w:t>
      </w:r>
      <w:r w:rsidRPr="00517C65">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Settlement places massive burden</w:t>
      </w:r>
      <w:r>
        <w:rPr>
          <w:rFonts w:ascii="Times New Roman" w:hAnsi="Times New Roman" w:cs="Times New Roman"/>
          <w:sz w:val="24"/>
          <w:szCs w:val="24"/>
        </w:rPr>
        <w:t>s</w:t>
      </w:r>
      <w:r w:rsidRPr="00517C65">
        <w:rPr>
          <w:rFonts w:ascii="Times New Roman" w:hAnsi="Times New Roman" w:cs="Times New Roman"/>
          <w:sz w:val="24"/>
          <w:szCs w:val="24"/>
        </w:rPr>
        <w:t xml:space="preserve"> on consumers.  These come through direct impacts such as increased rates, but also indirectly through impacts on the cost of living.  </w:t>
      </w:r>
      <w:r>
        <w:rPr>
          <w:rFonts w:ascii="Times New Roman" w:hAnsi="Times New Roman" w:cs="Times New Roman"/>
          <w:sz w:val="24"/>
          <w:szCs w:val="24"/>
        </w:rPr>
        <w:t xml:space="preserve">Electric charges are an input price for the production of virtually each and every good or service. </w:t>
      </w:r>
      <w:r w:rsidRPr="00517C65">
        <w:rPr>
          <w:rFonts w:ascii="Times New Roman" w:hAnsi="Times New Roman" w:cs="Times New Roman"/>
          <w:sz w:val="24"/>
          <w:szCs w:val="24"/>
        </w:rPr>
        <w:t>For example, any increase in</w:t>
      </w:r>
      <w:r>
        <w:rPr>
          <w:rFonts w:ascii="Times New Roman" w:hAnsi="Times New Roman" w:cs="Times New Roman"/>
          <w:sz w:val="24"/>
          <w:szCs w:val="24"/>
        </w:rPr>
        <w:t xml:space="preserve"> electric charges</w:t>
      </w:r>
      <w:r w:rsidRPr="00517C65">
        <w:rPr>
          <w:rFonts w:ascii="Times New Roman" w:hAnsi="Times New Roman" w:cs="Times New Roman"/>
          <w:sz w:val="24"/>
          <w:szCs w:val="24"/>
        </w:rPr>
        <w:t xml:space="preserve"> seen by schools or governments will likely be passed on to residential consumers through higher taxes.</w:t>
      </w:r>
      <w:r>
        <w:rPr>
          <w:rStyle w:val="FootnoteReference"/>
          <w:rFonts w:ascii="Times New Roman" w:hAnsi="Times New Roman" w:cs="Times New Roman"/>
          <w:sz w:val="24"/>
          <w:szCs w:val="24"/>
        </w:rPr>
        <w:footnoteReference w:id="201"/>
      </w:r>
      <w:r w:rsidRPr="00517C65">
        <w:rPr>
          <w:rFonts w:ascii="Times New Roman" w:hAnsi="Times New Roman" w:cs="Times New Roman"/>
          <w:sz w:val="24"/>
          <w:szCs w:val="24"/>
        </w:rPr>
        <w:t xml:space="preserve">  Similarly, increased </w:t>
      </w:r>
      <w:r>
        <w:rPr>
          <w:rFonts w:ascii="Times New Roman" w:hAnsi="Times New Roman" w:cs="Times New Roman"/>
          <w:sz w:val="24"/>
          <w:szCs w:val="24"/>
        </w:rPr>
        <w:t>charges</w:t>
      </w:r>
      <w:r w:rsidRPr="00517C65">
        <w:rPr>
          <w:rFonts w:ascii="Times New Roman" w:hAnsi="Times New Roman" w:cs="Times New Roman"/>
          <w:sz w:val="24"/>
          <w:szCs w:val="24"/>
        </w:rPr>
        <w:t xml:space="preserve"> to non-residential customers will likely be passed on to residential consumers through higher priced goods and services.</w:t>
      </w:r>
      <w:r>
        <w:rPr>
          <w:rStyle w:val="FootnoteReference"/>
          <w:rFonts w:ascii="Times New Roman" w:hAnsi="Times New Roman" w:cs="Times New Roman"/>
          <w:sz w:val="24"/>
          <w:szCs w:val="24"/>
        </w:rPr>
        <w:footnoteReference w:id="202"/>
      </w:r>
      <w:r w:rsidRPr="00517C65">
        <w:rPr>
          <w:rFonts w:ascii="Times New Roman" w:hAnsi="Times New Roman" w:cs="Times New Roman"/>
          <w:sz w:val="24"/>
          <w:szCs w:val="24"/>
        </w:rPr>
        <w:t xml:space="preserve">  </w:t>
      </w:r>
      <w:r>
        <w:rPr>
          <w:rFonts w:ascii="Times New Roman" w:hAnsi="Times New Roman" w:cs="Times New Roman"/>
          <w:sz w:val="24"/>
          <w:szCs w:val="24"/>
        </w:rPr>
        <w:t>Consumer p</w:t>
      </w:r>
      <w:r w:rsidRPr="00517C65">
        <w:rPr>
          <w:rFonts w:ascii="Times New Roman" w:hAnsi="Times New Roman" w:cs="Times New Roman"/>
          <w:sz w:val="24"/>
          <w:szCs w:val="24"/>
        </w:rPr>
        <w:t xml:space="preserve">urchasing power </w:t>
      </w:r>
      <w:r>
        <w:rPr>
          <w:rFonts w:ascii="Times New Roman" w:hAnsi="Times New Roman" w:cs="Times New Roman"/>
          <w:sz w:val="24"/>
          <w:szCs w:val="24"/>
        </w:rPr>
        <w:t>lessens</w:t>
      </w:r>
      <w:r w:rsidRPr="00517C65">
        <w:rPr>
          <w:rFonts w:ascii="Times New Roman" w:hAnsi="Times New Roman" w:cs="Times New Roman"/>
          <w:sz w:val="24"/>
          <w:szCs w:val="24"/>
        </w:rPr>
        <w:t xml:space="preserve"> as the cost of living and the cost of doing business increases.</w:t>
      </w:r>
      <w:r>
        <w:rPr>
          <w:rStyle w:val="FootnoteReference"/>
          <w:rFonts w:ascii="Times New Roman" w:hAnsi="Times New Roman" w:cs="Times New Roman"/>
          <w:sz w:val="24"/>
          <w:szCs w:val="24"/>
        </w:rPr>
        <w:footnoteReference w:id="203"/>
      </w:r>
      <w:r w:rsidRPr="00517C65">
        <w:rPr>
          <w:rFonts w:ascii="Times New Roman" w:hAnsi="Times New Roman" w:cs="Times New Roman"/>
          <w:sz w:val="24"/>
          <w:szCs w:val="24"/>
        </w:rPr>
        <w:t xml:space="preserve">  Less money will be spent on locally-supplied goods and services causing reductions in economic activity, incomes, and employment.</w:t>
      </w:r>
      <w:r>
        <w:rPr>
          <w:rStyle w:val="FootnoteReference"/>
          <w:rFonts w:ascii="Times New Roman" w:hAnsi="Times New Roman" w:cs="Times New Roman"/>
          <w:sz w:val="24"/>
          <w:szCs w:val="24"/>
        </w:rPr>
        <w:footnoteReference w:id="204"/>
      </w:r>
      <w:r w:rsidRPr="00517C65">
        <w:rPr>
          <w:rFonts w:ascii="Times New Roman" w:hAnsi="Times New Roman" w:cs="Times New Roman"/>
          <w:sz w:val="24"/>
          <w:szCs w:val="24"/>
        </w:rPr>
        <w:t xml:space="preserve">  Businesses with increased costs will become less competitive in regional, national, and global markets leading to further declines.</w:t>
      </w:r>
      <w:r>
        <w:rPr>
          <w:rStyle w:val="FootnoteReference"/>
          <w:rFonts w:ascii="Times New Roman" w:hAnsi="Times New Roman" w:cs="Times New Roman"/>
          <w:sz w:val="24"/>
          <w:szCs w:val="24"/>
        </w:rPr>
        <w:footnoteReference w:id="205"/>
      </w:r>
      <w:r w:rsidRPr="00517C65">
        <w:rPr>
          <w:rFonts w:ascii="Times New Roman" w:hAnsi="Times New Roman" w:cs="Times New Roman"/>
          <w:sz w:val="24"/>
          <w:szCs w:val="24"/>
        </w:rPr>
        <w:t xml:space="preserve">  These effects will ripple through the region.</w:t>
      </w:r>
      <w:r>
        <w:rPr>
          <w:rStyle w:val="FootnoteReference"/>
          <w:rFonts w:ascii="Times New Roman" w:hAnsi="Times New Roman" w:cs="Times New Roman"/>
          <w:sz w:val="24"/>
          <w:szCs w:val="24"/>
        </w:rPr>
        <w:footnoteReference w:id="206"/>
      </w:r>
    </w:p>
    <w:p w:rsidR="00775C0C"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Additionally, there is no guarantee that the “economic development incentives” section of the Settlement will actually result in economic development.  In fact, the employers eligible for the economic development incentives do not have to create any new jobs to receive the incentive</w:t>
      </w:r>
      <w:r>
        <w:rPr>
          <w:rFonts w:ascii="Times New Roman" w:hAnsi="Times New Roman" w:cs="Times New Roman"/>
          <w:sz w:val="24"/>
          <w:szCs w:val="24"/>
        </w:rPr>
        <w:t xml:space="preserve">.  They </w:t>
      </w:r>
      <w:r w:rsidRPr="00517C65">
        <w:rPr>
          <w:rFonts w:ascii="Times New Roman" w:hAnsi="Times New Roman" w:cs="Times New Roman"/>
          <w:sz w:val="24"/>
          <w:szCs w:val="24"/>
        </w:rPr>
        <w:t>will continue to receive the incentives even if they do not create any new job</w:t>
      </w:r>
      <w:r>
        <w:rPr>
          <w:rFonts w:ascii="Times New Roman" w:hAnsi="Times New Roman" w:cs="Times New Roman"/>
          <w:sz w:val="24"/>
          <w:szCs w:val="24"/>
        </w:rPr>
        <w:t xml:space="preserve">s. And they </w:t>
      </w:r>
      <w:r w:rsidRPr="00517C65">
        <w:rPr>
          <w:rFonts w:ascii="Times New Roman" w:hAnsi="Times New Roman" w:cs="Times New Roman"/>
          <w:sz w:val="24"/>
          <w:szCs w:val="24"/>
        </w:rPr>
        <w:t>will receive the incentive even if they do not maintain current employment levels.</w:t>
      </w:r>
      <w:r>
        <w:rPr>
          <w:rStyle w:val="FootnoteReference"/>
          <w:rFonts w:ascii="Times New Roman" w:hAnsi="Times New Roman" w:cs="Times New Roman"/>
          <w:sz w:val="24"/>
          <w:szCs w:val="24"/>
        </w:rPr>
        <w:footnoteReference w:id="207"/>
      </w:r>
      <w:r w:rsidRPr="00517C65">
        <w:rPr>
          <w:rFonts w:ascii="Times New Roman" w:hAnsi="Times New Roman" w:cs="Times New Roman"/>
          <w:sz w:val="24"/>
          <w:szCs w:val="24"/>
        </w:rPr>
        <w:t xml:space="preserve">  In the unlikely event that the Settlement results in economic development, such a result is extremely limited.  The incentives are only available to “a small group of privileged customers, likely in exchange for their support for or non-opposition to the proposed Settlement.”</w:t>
      </w:r>
      <w:r>
        <w:rPr>
          <w:rStyle w:val="FootnoteReference"/>
          <w:rFonts w:ascii="Times New Roman" w:hAnsi="Times New Roman" w:cs="Times New Roman"/>
          <w:sz w:val="24"/>
          <w:szCs w:val="24"/>
        </w:rPr>
        <w:footnoteReference w:id="208"/>
      </w:r>
    </w:p>
    <w:p w:rsidR="00775C0C" w:rsidRPr="00517C65" w:rsidP="00517C65">
      <w:pPr>
        <w:pStyle w:val="Heading5"/>
      </w:pPr>
      <w:r w:rsidRPr="00517C65">
        <w:t>iii.</w:t>
      </w:r>
      <w:r w:rsidRPr="00517C65">
        <w:tab/>
        <w:t>The Settlement does not guarantee any enhancements to retail competition</w:t>
      </w:r>
      <w:r>
        <w:t>.</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IGS/RESA Witness White does not guarantee that consumers will receive any competitive benefits from the Settlement.</w:t>
      </w:r>
      <w:r>
        <w:rPr>
          <w:rStyle w:val="FootnoteReference"/>
          <w:rFonts w:ascii="Times New Roman" w:hAnsi="Times New Roman" w:cs="Times New Roman"/>
          <w:sz w:val="24"/>
          <w:szCs w:val="24"/>
        </w:rPr>
        <w:footnoteReference w:id="209"/>
      </w:r>
      <w:r w:rsidRPr="00517C65">
        <w:rPr>
          <w:rFonts w:ascii="Times New Roman" w:hAnsi="Times New Roman" w:cs="Times New Roman"/>
          <w:sz w:val="24"/>
          <w:szCs w:val="24"/>
        </w:rPr>
        <w:t xml:space="preserve">  He testified only that the “competitive retail market enhancements” will provide the “potential” for such benefits and, in the case of Smart Grid, would only occur if the Smart Grid was “deployed correctly.”</w:t>
      </w:r>
      <w:r>
        <w:rPr>
          <w:rStyle w:val="FootnoteReference"/>
          <w:rFonts w:ascii="Times New Roman" w:hAnsi="Times New Roman" w:cs="Times New Roman"/>
          <w:sz w:val="24"/>
          <w:szCs w:val="24"/>
        </w:rPr>
        <w:footnoteReference w:id="210"/>
      </w:r>
      <w:r w:rsidRPr="00517C65">
        <w:rPr>
          <w:rFonts w:ascii="Times New Roman" w:hAnsi="Times New Roman" w:cs="Times New Roman"/>
          <w:sz w:val="24"/>
          <w:szCs w:val="24"/>
        </w:rPr>
        <w:t xml:space="preserve">  Even assuming a “correct deployment” of Smart Grid, it is unclear if marketers like IGS would provide any new products or services to customers.</w:t>
      </w:r>
      <w:r>
        <w:rPr>
          <w:rStyle w:val="FootnoteReference"/>
          <w:rFonts w:ascii="Times New Roman" w:hAnsi="Times New Roman" w:cs="Times New Roman"/>
          <w:sz w:val="24"/>
          <w:szCs w:val="24"/>
        </w:rPr>
        <w:footnoteReference w:id="211"/>
      </w:r>
      <w:r w:rsidRPr="00517C65">
        <w:rPr>
          <w:rFonts w:ascii="Times New Roman" w:hAnsi="Times New Roman" w:cs="Times New Roman"/>
          <w:sz w:val="24"/>
          <w:szCs w:val="24"/>
        </w:rPr>
        <w:t xml:space="preserve">  </w:t>
      </w:r>
    </w:p>
    <w:p w:rsidR="00775C0C"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Regarding another purported “competitive retail market enhancement,” supplier consolidated and non-commodity billing, it is unclear if customers even want these products.</w:t>
      </w:r>
      <w:r>
        <w:rPr>
          <w:rStyle w:val="FootnoteReference"/>
          <w:rFonts w:ascii="Times New Roman" w:hAnsi="Times New Roman" w:cs="Times New Roman"/>
          <w:sz w:val="24"/>
          <w:szCs w:val="24"/>
        </w:rPr>
        <w:footnoteReference w:id="212"/>
      </w:r>
      <w:r w:rsidRPr="00517C65">
        <w:rPr>
          <w:rFonts w:ascii="Times New Roman" w:hAnsi="Times New Roman" w:cs="Times New Roman"/>
          <w:sz w:val="24"/>
          <w:szCs w:val="24"/>
        </w:rPr>
        <w:t xml:space="preserve">  And it is extremely likely that during the life of these programs there will be customers </w:t>
      </w:r>
      <w:r>
        <w:rPr>
          <w:rFonts w:ascii="Times New Roman" w:hAnsi="Times New Roman" w:cs="Times New Roman"/>
          <w:sz w:val="24"/>
          <w:szCs w:val="24"/>
        </w:rPr>
        <w:t>who never use</w:t>
      </w:r>
      <w:r w:rsidRPr="00517C65">
        <w:rPr>
          <w:rFonts w:ascii="Times New Roman" w:hAnsi="Times New Roman" w:cs="Times New Roman"/>
          <w:sz w:val="24"/>
          <w:szCs w:val="24"/>
        </w:rPr>
        <w:t xml:space="preserve"> them.  But they will be forced to pay for them.  As discussed above and recommended by OCC Witness Haugh, marketers should pay for 100% of these programs.</w:t>
      </w:r>
      <w:r>
        <w:rPr>
          <w:rStyle w:val="FootnoteReference"/>
          <w:rFonts w:ascii="Times New Roman" w:hAnsi="Times New Roman" w:cs="Times New Roman"/>
          <w:sz w:val="24"/>
          <w:szCs w:val="24"/>
        </w:rPr>
        <w:footnoteReference w:id="213"/>
      </w:r>
      <w:r w:rsidRPr="00517C65">
        <w:rPr>
          <w:rFonts w:ascii="Times New Roman" w:hAnsi="Times New Roman" w:cs="Times New Roman"/>
          <w:sz w:val="24"/>
          <w:szCs w:val="24"/>
        </w:rPr>
        <w:t xml:space="preserve"> </w:t>
      </w:r>
    </w:p>
    <w:p w:rsidR="00775C0C" w:rsidRPr="00517C65" w:rsidP="00517C65">
      <w:pPr>
        <w:pStyle w:val="Heading5"/>
      </w:pPr>
      <w:r w:rsidRPr="00517C65">
        <w:t>iv.</w:t>
      </w:r>
      <w:r w:rsidRPr="00517C65">
        <w:tab/>
        <w:t>Despite some funding for low-income programs, low-income customers will be worse off under the Settlement.</w:t>
      </w:r>
    </w:p>
    <w:p w:rsidR="00775C0C" w:rsidRPr="00517C65" w:rsidP="00775C0C">
      <w:pPr>
        <w:spacing w:after="0" w:line="480" w:lineRule="auto"/>
        <w:ind w:firstLine="720"/>
        <w:rPr>
          <w:rFonts w:ascii="Times New Roman" w:hAnsi="Times New Roman" w:cs="Times New Roman"/>
          <w:b/>
          <w:i/>
          <w:sz w:val="24"/>
          <w:szCs w:val="24"/>
        </w:rPr>
      </w:pPr>
      <w:r w:rsidRPr="00517C65">
        <w:rPr>
          <w:rFonts w:ascii="Times New Roman" w:hAnsi="Times New Roman" w:cs="Times New Roman"/>
          <w:sz w:val="24"/>
          <w:szCs w:val="24"/>
        </w:rPr>
        <w:t xml:space="preserve">While the Settlement provides some assistance to low-income customers, it also burdens them with paying </w:t>
      </w:r>
      <w:r>
        <w:rPr>
          <w:rFonts w:ascii="Times New Roman" w:hAnsi="Times New Roman" w:cs="Times New Roman"/>
          <w:sz w:val="24"/>
          <w:szCs w:val="24"/>
        </w:rPr>
        <w:t xml:space="preserve">for </w:t>
      </w:r>
      <w:r w:rsidRPr="00517C65">
        <w:rPr>
          <w:rFonts w:ascii="Times New Roman" w:hAnsi="Times New Roman" w:cs="Times New Roman"/>
          <w:sz w:val="24"/>
          <w:szCs w:val="24"/>
        </w:rPr>
        <w:t>the DMR and the other costly riders and handouts in the Settlement.  Low-income consumers will likely be worse off under the Settlement.</w:t>
      </w:r>
      <w:r>
        <w:rPr>
          <w:rStyle w:val="FootnoteReference"/>
          <w:rFonts w:ascii="Times New Roman" w:hAnsi="Times New Roman" w:cs="Times New Roman"/>
          <w:sz w:val="24"/>
          <w:szCs w:val="24"/>
        </w:rPr>
        <w:footnoteReference w:id="214"/>
      </w:r>
    </w:p>
    <w:p w:rsidR="00775C0C" w:rsidRPr="00517C65" w:rsidP="00517C65">
      <w:pPr>
        <w:pStyle w:val="Heading4"/>
      </w:pPr>
      <w:bookmarkStart w:id="35" w:name="_Toc481762059"/>
      <w:r w:rsidRPr="00517C65">
        <w:t xml:space="preserve">m. </w:t>
      </w:r>
      <w:r w:rsidRPr="00517C65">
        <w:tab/>
        <w:t>The Settlement’s proposed allocation of DMR costs is not in the public interest</w:t>
      </w:r>
      <w:r>
        <w:t>.</w:t>
      </w:r>
      <w:bookmarkEnd w:id="35"/>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In the unfortunate (and unlawful) event that DMR is approved</w:t>
      </w:r>
      <w:r>
        <w:rPr>
          <w:rFonts w:ascii="Times New Roman" w:hAnsi="Times New Roman" w:cs="Times New Roman"/>
          <w:sz w:val="24"/>
          <w:szCs w:val="24"/>
        </w:rPr>
        <w:t xml:space="preserve"> (despite OCC's objections otherwise)</w:t>
      </w:r>
      <w:r w:rsidRPr="00517C65">
        <w:rPr>
          <w:rFonts w:ascii="Times New Roman" w:hAnsi="Times New Roman" w:cs="Times New Roman"/>
          <w:sz w:val="24"/>
          <w:szCs w:val="24"/>
        </w:rPr>
        <w:t>, the proposed methodology for allocating its costs harms consumers and is therefore not in the public interest.  OCC Witness Fortney proposes a rate allocation that “appears to best embody the concept of cost causation . . . allocating the revenue based in equal share on energy and demand.”</w:t>
      </w:r>
      <w:r>
        <w:rPr>
          <w:rStyle w:val="FootnoteReference"/>
          <w:rFonts w:ascii="Times New Roman" w:hAnsi="Times New Roman" w:cs="Times New Roman"/>
          <w:sz w:val="24"/>
          <w:szCs w:val="24"/>
        </w:rPr>
        <w:footnoteReference w:id="215"/>
      </w:r>
      <w:r w:rsidRPr="00517C65">
        <w:rPr>
          <w:rFonts w:ascii="Times New Roman" w:hAnsi="Times New Roman" w:cs="Times New Roman"/>
          <w:sz w:val="24"/>
          <w:szCs w:val="24"/>
        </w:rPr>
        <w:t xml:space="preserve">  This is because the principle service provided by DP&amp;L – an electric distribution utility – is the provision of energy, instantaneously and over time.</w:t>
      </w:r>
      <w:r>
        <w:rPr>
          <w:rStyle w:val="FootnoteReference"/>
          <w:rFonts w:ascii="Times New Roman" w:hAnsi="Times New Roman" w:cs="Times New Roman"/>
          <w:sz w:val="24"/>
          <w:szCs w:val="24"/>
        </w:rPr>
        <w:footnoteReference w:id="216"/>
      </w:r>
      <w:r w:rsidRPr="00517C65">
        <w:rPr>
          <w:rFonts w:ascii="Times New Roman" w:hAnsi="Times New Roman" w:cs="Times New Roman"/>
          <w:sz w:val="24"/>
          <w:szCs w:val="24"/>
        </w:rPr>
        <w:t xml:space="preserve">  An allocation based on 50</w:t>
      </w:r>
      <w:r>
        <w:rPr>
          <w:rFonts w:ascii="Times New Roman" w:hAnsi="Times New Roman" w:cs="Times New Roman"/>
          <w:sz w:val="24"/>
          <w:szCs w:val="24"/>
        </w:rPr>
        <w:t>%</w:t>
      </w:r>
      <w:r w:rsidRPr="00517C65">
        <w:rPr>
          <w:rFonts w:ascii="Times New Roman" w:hAnsi="Times New Roman" w:cs="Times New Roman"/>
          <w:sz w:val="24"/>
          <w:szCs w:val="24"/>
        </w:rPr>
        <w:t xml:space="preserve"> energy and 50</w:t>
      </w:r>
      <w:r>
        <w:rPr>
          <w:rFonts w:ascii="Times New Roman" w:hAnsi="Times New Roman" w:cs="Times New Roman"/>
          <w:sz w:val="24"/>
          <w:szCs w:val="24"/>
        </w:rPr>
        <w:t>%</w:t>
      </w:r>
      <w:r w:rsidRPr="00517C65">
        <w:rPr>
          <w:rFonts w:ascii="Times New Roman" w:hAnsi="Times New Roman" w:cs="Times New Roman"/>
          <w:sz w:val="24"/>
          <w:szCs w:val="24"/>
        </w:rPr>
        <w:t xml:space="preserve"> demand best represents this service.</w:t>
      </w:r>
      <w:r>
        <w:rPr>
          <w:rStyle w:val="FootnoteReference"/>
          <w:rFonts w:ascii="Times New Roman" w:hAnsi="Times New Roman" w:cs="Times New Roman"/>
          <w:sz w:val="24"/>
          <w:szCs w:val="24"/>
        </w:rPr>
        <w:footnoteReference w:id="217"/>
      </w:r>
      <w:r w:rsidRPr="00517C65">
        <w:rPr>
          <w:rFonts w:ascii="Times New Roman" w:hAnsi="Times New Roman" w:cs="Times New Roman"/>
          <w:sz w:val="24"/>
          <w:szCs w:val="24"/>
        </w:rPr>
        <w:t xml:space="preserve">  Under such an allocation, residential consumers will shoulder 38.435% of the DMR’s costs.</w:t>
      </w:r>
      <w:r>
        <w:rPr>
          <w:rStyle w:val="FootnoteReference"/>
          <w:rFonts w:ascii="Times New Roman" w:hAnsi="Times New Roman" w:cs="Times New Roman"/>
          <w:sz w:val="24"/>
          <w:szCs w:val="24"/>
        </w:rPr>
        <w:footnoteReference w:id="218"/>
      </w:r>
      <w:r w:rsidRPr="00517C65">
        <w:rPr>
          <w:rFonts w:ascii="Times New Roman" w:hAnsi="Times New Roman" w:cs="Times New Roman"/>
          <w:sz w:val="24"/>
          <w:szCs w:val="24"/>
        </w:rPr>
        <w:t xml:space="preserve">  Under the Settlement’s allocation, residential consumers would pay 48.65% of the DMR’s costs – an additional (and unfair) $1.97 per month for a typical residential customer using 1,000 kWh per month, or an additional $23.64 per year.</w:t>
      </w:r>
      <w:r>
        <w:rPr>
          <w:rStyle w:val="FootnoteReference"/>
          <w:rFonts w:ascii="Times New Roman" w:hAnsi="Times New Roman" w:cs="Times New Roman"/>
          <w:sz w:val="24"/>
          <w:szCs w:val="24"/>
        </w:rPr>
        <w:footnoteReference w:id="219"/>
      </w:r>
      <w:r w:rsidRPr="00517C65">
        <w:rPr>
          <w:rFonts w:ascii="Times New Roman" w:hAnsi="Times New Roman" w:cs="Times New Roman"/>
          <w:sz w:val="24"/>
          <w:szCs w:val="24"/>
        </w:rPr>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As discussed below, OCC Witness Fortney’s proposed allocation is consistent with PUCO precedent.  It is also more in-line with DP&amp;L’s </w:t>
      </w:r>
      <w:r>
        <w:rPr>
          <w:rFonts w:ascii="Times New Roman" w:hAnsi="Times New Roman" w:cs="Times New Roman"/>
          <w:sz w:val="24"/>
          <w:szCs w:val="24"/>
        </w:rPr>
        <w:t>initial</w:t>
      </w:r>
      <w:r w:rsidRPr="00517C65">
        <w:rPr>
          <w:rFonts w:ascii="Times New Roman" w:hAnsi="Times New Roman" w:cs="Times New Roman"/>
          <w:sz w:val="24"/>
          <w:szCs w:val="24"/>
        </w:rPr>
        <w:t xml:space="preserve"> proposal for allocation of the DMR’s costs.  Originally, DP&amp;L Witness Hale proposed the same revenue allocation to the tariff classes of service that was utilized for the SSR in order to “prevent[] rate design changes from causing any inter-class shifts in revenue.”</w:t>
      </w:r>
      <w:r>
        <w:rPr>
          <w:rStyle w:val="FootnoteReference"/>
          <w:rFonts w:ascii="Times New Roman" w:hAnsi="Times New Roman" w:cs="Times New Roman"/>
          <w:sz w:val="24"/>
          <w:szCs w:val="24"/>
        </w:rPr>
        <w:footnoteReference w:id="220"/>
      </w:r>
      <w:r w:rsidRPr="00517C65">
        <w:rPr>
          <w:rFonts w:ascii="Times New Roman" w:hAnsi="Times New Roman" w:cs="Times New Roman"/>
          <w:sz w:val="24"/>
          <w:szCs w:val="24"/>
        </w:rPr>
        <w:t xml:space="preserve"> Such a rate design would result in residential customers paying 43.92</w:t>
      </w:r>
      <w:r>
        <w:rPr>
          <w:rFonts w:ascii="Times New Roman" w:hAnsi="Times New Roman" w:cs="Times New Roman"/>
          <w:sz w:val="24"/>
          <w:szCs w:val="24"/>
        </w:rPr>
        <w:t>%</w:t>
      </w:r>
      <w:r w:rsidRPr="00517C65">
        <w:rPr>
          <w:rFonts w:ascii="Times New Roman" w:hAnsi="Times New Roman" w:cs="Times New Roman"/>
          <w:sz w:val="24"/>
          <w:szCs w:val="24"/>
        </w:rPr>
        <w:t xml:space="preserve"> of the DMR’s costs, or approximately $0.91per month less (or $10.92 per year) than a typical residential customer using 1,000 kWh per month would pay under the rate design in the Settlement.</w:t>
      </w:r>
      <w:r>
        <w:rPr>
          <w:rStyle w:val="FootnoteReference"/>
          <w:rFonts w:ascii="Times New Roman" w:hAnsi="Times New Roman" w:cs="Times New Roman"/>
          <w:sz w:val="24"/>
          <w:szCs w:val="24"/>
        </w:rPr>
        <w:footnoteReference w:id="221"/>
      </w:r>
      <w:r w:rsidRPr="00517C65">
        <w:rPr>
          <w:rFonts w:ascii="Times New Roman" w:hAnsi="Times New Roman" w:cs="Times New Roman"/>
          <w:sz w:val="24"/>
          <w:szCs w:val="24"/>
        </w:rPr>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If a DMR is adopted – which should not happen – the costs associated with the charge should be allocated on a 50% energy and 50% 5 CP demand basis to reflect a more balanced and fair cost allocation to customers.  This result will also be consistent with and not violate PUCO precedent.  </w:t>
      </w:r>
    </w:p>
    <w:p w:rsidR="001756C1" w:rsidRPr="00517C65" w:rsidP="00517C65">
      <w:pPr>
        <w:pStyle w:val="Heading4"/>
      </w:pPr>
      <w:bookmarkStart w:id="36" w:name="_Toc481762060"/>
      <w:r w:rsidRPr="00517C65">
        <w:t xml:space="preserve">n. </w:t>
      </w:r>
      <w:r w:rsidRPr="00517C65">
        <w:tab/>
        <w:t>Burdening SSO customers (largely residential and small commercial) with the Reconciliation Rider’s costs is not in the public interest</w:t>
      </w:r>
      <w:r>
        <w:t>.</w:t>
      </w:r>
      <w:bookmarkEnd w:id="36"/>
    </w:p>
    <w:p w:rsidR="001756C1"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Reconciliation Rider is bypassable, so it will be paid by SSO customers.</w:t>
      </w:r>
      <w:r>
        <w:rPr>
          <w:rStyle w:val="FootnoteReference"/>
          <w:rFonts w:ascii="Times New Roman" w:hAnsi="Times New Roman" w:cs="Times New Roman"/>
          <w:sz w:val="24"/>
          <w:szCs w:val="24"/>
        </w:rPr>
        <w:footnoteReference w:id="222"/>
      </w:r>
      <w:r w:rsidRPr="00517C65">
        <w:rPr>
          <w:rFonts w:ascii="Times New Roman" w:hAnsi="Times New Roman" w:cs="Times New Roman"/>
          <w:sz w:val="24"/>
          <w:szCs w:val="24"/>
        </w:rPr>
        <w:t xml:space="preserve">  Said differently, “[i]t discriminates against SSO customers.”</w:t>
      </w:r>
      <w:r>
        <w:rPr>
          <w:rStyle w:val="FootnoteReference"/>
          <w:rFonts w:ascii="Times New Roman" w:hAnsi="Times New Roman" w:cs="Times New Roman"/>
          <w:sz w:val="24"/>
          <w:szCs w:val="24"/>
        </w:rPr>
        <w:footnoteReference w:id="223"/>
      </w:r>
      <w:r w:rsidRPr="00517C65">
        <w:rPr>
          <w:rFonts w:ascii="Times New Roman" w:hAnsi="Times New Roman" w:cs="Times New Roman"/>
          <w:sz w:val="24"/>
          <w:szCs w:val="24"/>
        </w:rPr>
        <w:t xml:space="preserve">  Residential and small commercial customers will bear the brunt of paying the rider, as they are the customers more likely to take SSO service.</w:t>
      </w:r>
      <w:r>
        <w:rPr>
          <w:rStyle w:val="FootnoteReference"/>
          <w:rFonts w:ascii="Times New Roman" w:hAnsi="Times New Roman" w:cs="Times New Roman"/>
          <w:sz w:val="24"/>
          <w:szCs w:val="24"/>
        </w:rPr>
        <w:footnoteReference w:id="224"/>
      </w:r>
      <w:r w:rsidRPr="00517C65">
        <w:rPr>
          <w:rFonts w:ascii="Times New Roman" w:hAnsi="Times New Roman" w:cs="Times New Roman"/>
          <w:sz w:val="24"/>
          <w:szCs w:val="24"/>
        </w:rPr>
        <w:t xml:space="preserve">  The competitively bid SSO rate generally is the rate used by consumers to compare with rates available from competitive suppliers.</w:t>
      </w:r>
      <w:r>
        <w:rPr>
          <w:rStyle w:val="FootnoteReference"/>
          <w:rFonts w:ascii="Times New Roman" w:hAnsi="Times New Roman" w:cs="Times New Roman"/>
          <w:sz w:val="24"/>
          <w:szCs w:val="24"/>
        </w:rPr>
        <w:footnoteReference w:id="225"/>
      </w:r>
      <w:r w:rsidRPr="00517C65">
        <w:rPr>
          <w:rFonts w:ascii="Times New Roman" w:hAnsi="Times New Roman" w:cs="Times New Roman"/>
          <w:sz w:val="24"/>
          <w:szCs w:val="24"/>
        </w:rPr>
        <w:t xml:space="preserve">    Adding the Reconciliation Rider’s cost to SSO service will artificially inflate SSO costs to consumers.</w:t>
      </w:r>
      <w:r>
        <w:rPr>
          <w:rStyle w:val="FootnoteReference"/>
          <w:rFonts w:ascii="Times New Roman" w:hAnsi="Times New Roman" w:cs="Times New Roman"/>
          <w:sz w:val="24"/>
          <w:szCs w:val="24"/>
        </w:rPr>
        <w:footnoteReference w:id="226"/>
      </w:r>
      <w:r w:rsidRPr="00517C65">
        <w:rPr>
          <w:rFonts w:ascii="Times New Roman" w:hAnsi="Times New Roman" w:cs="Times New Roman"/>
          <w:sz w:val="24"/>
          <w:szCs w:val="24"/>
        </w:rPr>
        <w:t xml:space="preserve">  This will allow competitive suppliers additional margins to compete with the SSO.</w:t>
      </w:r>
      <w:r>
        <w:rPr>
          <w:rStyle w:val="FootnoteReference"/>
          <w:rFonts w:ascii="Times New Roman" w:hAnsi="Times New Roman" w:cs="Times New Roman"/>
          <w:sz w:val="24"/>
          <w:szCs w:val="24"/>
        </w:rPr>
        <w:footnoteReference w:id="227"/>
      </w:r>
      <w:r w:rsidRPr="00517C65">
        <w:rPr>
          <w:rFonts w:ascii="Times New Roman" w:hAnsi="Times New Roman" w:cs="Times New Roman"/>
          <w:sz w:val="24"/>
          <w:szCs w:val="24"/>
        </w:rPr>
        <w:t xml:space="preserve">  So allocating the Reconciliation Rider’s costs to SSO customers – again, predominately residential and small commercial – will result not only in unwarranted SSO price increases, but higher chargers from competitors.</w:t>
      </w:r>
      <w:r>
        <w:rPr>
          <w:rStyle w:val="FootnoteReference"/>
          <w:rFonts w:ascii="Times New Roman" w:hAnsi="Times New Roman" w:cs="Times New Roman"/>
          <w:sz w:val="24"/>
          <w:szCs w:val="24"/>
        </w:rPr>
        <w:footnoteReference w:id="228"/>
      </w:r>
      <w:r w:rsidRPr="00517C65">
        <w:rPr>
          <w:rFonts w:ascii="Times New Roman" w:hAnsi="Times New Roman" w:cs="Times New Roman"/>
          <w:sz w:val="24"/>
          <w:szCs w:val="24"/>
        </w:rPr>
        <w:t xml:space="preserve">  “This policy is not in the public interest.”</w:t>
      </w:r>
      <w:r>
        <w:rPr>
          <w:rStyle w:val="FootnoteReference"/>
          <w:rFonts w:ascii="Times New Roman" w:hAnsi="Times New Roman" w:cs="Times New Roman"/>
          <w:sz w:val="24"/>
          <w:szCs w:val="24"/>
        </w:rPr>
        <w:footnoteReference w:id="229"/>
      </w:r>
    </w:p>
    <w:p w:rsidR="001756C1"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These problems with the Reconciliation Rider will get worse with time.  As shopping increases,</w:t>
      </w:r>
      <w:r>
        <w:rPr>
          <w:rStyle w:val="FootnoteReference"/>
          <w:rFonts w:ascii="Times New Roman" w:hAnsi="Times New Roman" w:cs="Times New Roman"/>
          <w:sz w:val="24"/>
          <w:szCs w:val="24"/>
        </w:rPr>
        <w:footnoteReference w:id="230"/>
      </w:r>
      <w:r w:rsidRPr="00517C65">
        <w:rPr>
          <w:rFonts w:ascii="Times New Roman" w:hAnsi="Times New Roman" w:cs="Times New Roman"/>
          <w:sz w:val="24"/>
          <w:szCs w:val="24"/>
        </w:rPr>
        <w:t xml:space="preserve"> individual consumers’ remaining on SSO will see their share of the Reconciliation Rider’s costs increase.</w:t>
      </w:r>
      <w:r>
        <w:rPr>
          <w:rStyle w:val="FootnoteReference"/>
          <w:rFonts w:ascii="Times New Roman" w:hAnsi="Times New Roman" w:cs="Times New Roman"/>
          <w:sz w:val="24"/>
          <w:szCs w:val="24"/>
        </w:rPr>
        <w:footnoteReference w:id="231"/>
      </w:r>
      <w:r w:rsidRPr="00517C65">
        <w:rPr>
          <w:rFonts w:ascii="Times New Roman" w:hAnsi="Times New Roman" w:cs="Times New Roman"/>
          <w:sz w:val="24"/>
          <w:szCs w:val="24"/>
        </w:rPr>
        <w:t xml:space="preserve">  “Such an outcome is unfair and unacceptable.”</w:t>
      </w:r>
      <w:r>
        <w:rPr>
          <w:rStyle w:val="FootnoteReference"/>
          <w:rFonts w:ascii="Times New Roman" w:hAnsi="Times New Roman" w:cs="Times New Roman"/>
          <w:sz w:val="24"/>
          <w:szCs w:val="24"/>
        </w:rPr>
        <w:footnoteReference w:id="232"/>
      </w:r>
      <w:r w:rsidRPr="00517C65">
        <w:rPr>
          <w:rFonts w:ascii="Times New Roman" w:hAnsi="Times New Roman" w:cs="Times New Roman"/>
          <w:sz w:val="24"/>
          <w:szCs w:val="24"/>
        </w:rPr>
        <w:t xml:space="preserve">  And it is certainly not in the public interest. </w:t>
      </w:r>
    </w:p>
    <w:p w:rsidR="00775C0C" w:rsidRPr="00517C65" w:rsidP="00225B94">
      <w:pPr>
        <w:pStyle w:val="Heading3"/>
      </w:pPr>
      <w:bookmarkStart w:id="37" w:name="_Toc481762061"/>
      <w:r w:rsidRPr="00517C65">
        <w:t xml:space="preserve">3. </w:t>
      </w:r>
      <w:r w:rsidRPr="00517C65">
        <w:tab/>
        <w:t>The Settlement violates several important regulatory principles and practices</w:t>
      </w:r>
      <w:r>
        <w:t>.</w:t>
      </w:r>
      <w:bookmarkEnd w:id="37"/>
    </w:p>
    <w:p w:rsidR="00313E6B" w:rsidRPr="00313E6B" w:rsidP="00313E6B">
      <w:pPr>
        <w:spacing w:line="480" w:lineRule="auto"/>
        <w:ind w:firstLine="720"/>
        <w:rPr>
          <w:rFonts w:ascii="Times New Roman" w:hAnsi="Times New Roman" w:cs="Times New Roman"/>
          <w:sz w:val="24"/>
        </w:rPr>
      </w:pPr>
      <w:r w:rsidRPr="00313E6B">
        <w:rPr>
          <w:rFonts w:ascii="Times New Roman" w:hAnsi="Times New Roman" w:cs="Times New Roman"/>
          <w:sz w:val="24"/>
        </w:rPr>
        <w:t xml:space="preserve">As discussed above, DMR is an illegal transition charge or </w:t>
      </w:r>
      <w:r>
        <w:rPr>
          <w:rFonts w:ascii="Times New Roman" w:hAnsi="Times New Roman" w:cs="Times New Roman"/>
          <w:sz w:val="24"/>
        </w:rPr>
        <w:t xml:space="preserve">unlawful </w:t>
      </w:r>
      <w:r w:rsidRPr="00313E6B">
        <w:rPr>
          <w:rFonts w:ascii="Times New Roman" w:hAnsi="Times New Roman" w:cs="Times New Roman"/>
          <w:sz w:val="24"/>
        </w:rPr>
        <w:t>equivalent revenue.  It is also an illegal subsidy.</w:t>
      </w:r>
      <w:r>
        <w:rPr>
          <w:rStyle w:val="FootnoteReference"/>
          <w:rFonts w:ascii="Times New Roman" w:hAnsi="Times New Roman" w:cs="Times New Roman"/>
          <w:sz w:val="24"/>
        </w:rPr>
        <w:footnoteReference w:id="233"/>
      </w:r>
      <w:r w:rsidRPr="00313E6B">
        <w:rPr>
          <w:rFonts w:ascii="Times New Roman" w:hAnsi="Times New Roman" w:cs="Times New Roman"/>
          <w:sz w:val="24"/>
        </w:rPr>
        <w:t xml:space="preserve">  But that is just the beginning.  The Settlement is riddled with violations of important regulatory principles and practices.  </w:t>
      </w:r>
    </w:p>
    <w:p w:rsidR="00660EBA" w:rsidRPr="00517C65" w:rsidP="00313E6B">
      <w:pPr>
        <w:pStyle w:val="Heading4"/>
      </w:pPr>
      <w:bookmarkStart w:id="38" w:name="_Toc481762062"/>
      <w:r>
        <w:t xml:space="preserve">a. </w:t>
      </w:r>
      <w:r>
        <w:tab/>
      </w:r>
      <w:r w:rsidRPr="00517C65">
        <w:t xml:space="preserve">The Settlement allows DP&amp;L to earn significantly </w:t>
      </w:r>
      <w:r w:rsidRPr="00313E6B">
        <w:t>excessive</w:t>
      </w:r>
      <w:r w:rsidRPr="00517C65">
        <w:t xml:space="preserve"> earnings, harming consumers</w:t>
      </w:r>
      <w:r>
        <w:t>.</w:t>
      </w:r>
      <w:bookmarkEnd w:id="38"/>
    </w:p>
    <w:p w:rsidR="00775C0C"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Under the Settlement, DP&amp;L and DPL Inc. will collect significantly excessive earnings.  The earnings will be substantially more than the 10.5</w:t>
      </w:r>
      <w:r>
        <w:rPr>
          <w:rFonts w:ascii="Times New Roman" w:hAnsi="Times New Roman" w:cs="Times New Roman"/>
          <w:sz w:val="24"/>
          <w:szCs w:val="24"/>
        </w:rPr>
        <w:t>%</w:t>
      </w:r>
      <w:r w:rsidRPr="00517C65">
        <w:rPr>
          <w:rFonts w:ascii="Times New Roman" w:hAnsi="Times New Roman" w:cs="Times New Roman"/>
          <w:sz w:val="24"/>
          <w:szCs w:val="24"/>
        </w:rPr>
        <w:t xml:space="preserve"> return on equity requested in DP&amp;L’s distribution rate case and the 9.25</w:t>
      </w:r>
      <w:r>
        <w:rPr>
          <w:rFonts w:ascii="Times New Roman" w:hAnsi="Times New Roman" w:cs="Times New Roman"/>
          <w:sz w:val="24"/>
          <w:szCs w:val="24"/>
        </w:rPr>
        <w:t>%</w:t>
      </w:r>
      <w:r w:rsidRPr="00517C65">
        <w:rPr>
          <w:rFonts w:ascii="Times New Roman" w:hAnsi="Times New Roman" w:cs="Times New Roman"/>
          <w:sz w:val="24"/>
          <w:szCs w:val="24"/>
        </w:rPr>
        <w:t xml:space="preserve"> return on equity recommended by OCC Witness Parcell in this case.</w:t>
      </w:r>
      <w:r>
        <w:rPr>
          <w:rStyle w:val="FootnoteReference"/>
          <w:rFonts w:ascii="Times New Roman" w:hAnsi="Times New Roman" w:cs="Times New Roman"/>
          <w:sz w:val="24"/>
          <w:szCs w:val="24"/>
        </w:rPr>
        <w:footnoteReference w:id="234"/>
      </w:r>
      <w:r w:rsidRPr="00517C65">
        <w:rPr>
          <w:rFonts w:ascii="Times New Roman" w:hAnsi="Times New Roman" w:cs="Times New Roman"/>
          <w:sz w:val="24"/>
          <w:szCs w:val="24"/>
        </w:rPr>
        <w:t xml:space="preserve">  OCC Witness Kahal calculated that with the increased revenues from the DMR, DP&amp;L would receive a rate of return on equity that averages approximately 20</w:t>
      </w:r>
      <w:r>
        <w:rPr>
          <w:rFonts w:ascii="Times New Roman" w:hAnsi="Times New Roman" w:cs="Times New Roman"/>
          <w:sz w:val="24"/>
          <w:szCs w:val="24"/>
        </w:rPr>
        <w:t>%</w:t>
      </w:r>
      <w:r w:rsidRPr="00517C65">
        <w:rPr>
          <w:rFonts w:ascii="Times New Roman" w:hAnsi="Times New Roman" w:cs="Times New Roman"/>
          <w:sz w:val="24"/>
          <w:szCs w:val="24"/>
        </w:rPr>
        <w:t xml:space="preserve"> during the three years of the DMR.</w:t>
      </w:r>
      <w:r>
        <w:rPr>
          <w:rStyle w:val="FootnoteReference"/>
          <w:rFonts w:ascii="Times New Roman" w:hAnsi="Times New Roman" w:cs="Times New Roman"/>
          <w:sz w:val="24"/>
          <w:szCs w:val="24"/>
        </w:rPr>
        <w:footnoteReference w:id="235"/>
      </w:r>
      <w:r w:rsidRPr="00517C65">
        <w:rPr>
          <w:rFonts w:ascii="Times New Roman" w:hAnsi="Times New Roman" w:cs="Times New Roman"/>
          <w:sz w:val="24"/>
          <w:szCs w:val="24"/>
        </w:rPr>
        <w:t xml:space="preserve">  When the revenues from DP&amp;L’s pending distribution rate case are considered this return jumps to </w:t>
      </w:r>
      <w:r>
        <w:rPr>
          <w:rFonts w:ascii="Times New Roman" w:hAnsi="Times New Roman" w:cs="Times New Roman"/>
          <w:sz w:val="24"/>
          <w:szCs w:val="24"/>
        </w:rPr>
        <w:t xml:space="preserve">an incredible </w:t>
      </w:r>
      <w:r w:rsidRPr="00517C65">
        <w:rPr>
          <w:rFonts w:ascii="Times New Roman" w:hAnsi="Times New Roman" w:cs="Times New Roman"/>
          <w:sz w:val="24"/>
          <w:szCs w:val="24"/>
        </w:rPr>
        <w:t>30</w:t>
      </w:r>
      <w:r>
        <w:rPr>
          <w:rFonts w:ascii="Times New Roman" w:hAnsi="Times New Roman" w:cs="Times New Roman"/>
          <w:sz w:val="24"/>
          <w:szCs w:val="24"/>
        </w:rPr>
        <w:t>%</w:t>
      </w:r>
      <w:r w:rsidRPr="00517C65">
        <w:rPr>
          <w:rFonts w:ascii="Times New Roman" w:hAnsi="Times New Roman" w:cs="Times New Roman"/>
          <w:sz w:val="24"/>
          <w:szCs w:val="24"/>
        </w:rPr>
        <w:t>.</w:t>
      </w:r>
      <w:r>
        <w:rPr>
          <w:rStyle w:val="FootnoteReference"/>
          <w:rFonts w:ascii="Times New Roman" w:hAnsi="Times New Roman" w:cs="Times New Roman"/>
          <w:sz w:val="24"/>
          <w:szCs w:val="24"/>
        </w:rPr>
        <w:footnoteReference w:id="236"/>
      </w:r>
      <w:r w:rsidRPr="00517C65">
        <w:rPr>
          <w:rFonts w:ascii="Times New Roman" w:hAnsi="Times New Roman" w:cs="Times New Roman"/>
          <w:sz w:val="24"/>
          <w:szCs w:val="24"/>
        </w:rPr>
        <w:t xml:space="preserve">  </w:t>
      </w:r>
    </w:p>
    <w:p w:rsidR="00775C0C"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These egregious rates of return violate the core tenant of utility regulation – to prevent a monopoly provider from exploiting customers in providing an essential product.</w:t>
      </w:r>
      <w:r>
        <w:rPr>
          <w:rStyle w:val="FootnoteReference"/>
          <w:rFonts w:ascii="Times New Roman" w:hAnsi="Times New Roman" w:cs="Times New Roman"/>
          <w:sz w:val="24"/>
          <w:szCs w:val="24"/>
        </w:rPr>
        <w:footnoteReference w:id="237"/>
      </w:r>
      <w:r w:rsidRPr="00517C65">
        <w:rPr>
          <w:rFonts w:ascii="Times New Roman" w:hAnsi="Times New Roman" w:cs="Times New Roman"/>
          <w:sz w:val="24"/>
          <w:szCs w:val="24"/>
        </w:rPr>
        <w:t xml:space="preserve">  Company Witness Malinak’s “capital attraction” standard</w:t>
      </w:r>
      <w:r>
        <w:rPr>
          <w:rStyle w:val="FootnoteReference"/>
          <w:rFonts w:ascii="Times New Roman" w:hAnsi="Times New Roman" w:cs="Times New Roman"/>
          <w:sz w:val="24"/>
          <w:szCs w:val="24"/>
        </w:rPr>
        <w:footnoteReference w:id="238"/>
      </w:r>
      <w:r w:rsidRPr="00517C65">
        <w:rPr>
          <w:rFonts w:ascii="Times New Roman" w:hAnsi="Times New Roman" w:cs="Times New Roman"/>
          <w:sz w:val="24"/>
          <w:szCs w:val="24"/>
        </w:rPr>
        <w:t xml:space="preserve"> completely ignores the fundamental role of regulation: “restrain the utility from charging customers’ rates that would systematically provide unwarranted monopoly profits.”</w:t>
      </w:r>
      <w:r>
        <w:rPr>
          <w:rStyle w:val="FootnoteReference"/>
          <w:rFonts w:ascii="Times New Roman" w:hAnsi="Times New Roman" w:cs="Times New Roman"/>
          <w:sz w:val="24"/>
          <w:szCs w:val="24"/>
        </w:rPr>
        <w:footnoteReference w:id="239"/>
      </w:r>
      <w:r w:rsidRPr="00517C65">
        <w:rPr>
          <w:rFonts w:ascii="Times New Roman" w:hAnsi="Times New Roman" w:cs="Times New Roman"/>
          <w:sz w:val="24"/>
          <w:szCs w:val="24"/>
        </w:rPr>
        <w:t xml:space="preserve">  If the DMR is approved as filed, then the significantly excessive earnings test (“SEET”) is the only real protection consumers will have against paying significantly excessive rates.</w:t>
      </w:r>
      <w:r>
        <w:rPr>
          <w:rStyle w:val="FootnoteReference"/>
          <w:rFonts w:ascii="Times New Roman" w:hAnsi="Times New Roman" w:cs="Times New Roman"/>
          <w:sz w:val="24"/>
          <w:szCs w:val="24"/>
        </w:rPr>
        <w:footnoteReference w:id="240"/>
      </w:r>
      <w:r w:rsidRPr="00517C65">
        <w:rPr>
          <w:rFonts w:ascii="Times New Roman" w:hAnsi="Times New Roman" w:cs="Times New Roman"/>
          <w:sz w:val="24"/>
          <w:szCs w:val="24"/>
        </w:rPr>
        <w:t xml:space="preserve">  </w:t>
      </w:r>
      <w:r>
        <w:rPr>
          <w:rFonts w:ascii="Times New Roman" w:hAnsi="Times New Roman" w:cs="Times New Roman"/>
          <w:sz w:val="24"/>
          <w:szCs w:val="24"/>
        </w:rPr>
        <w:t xml:space="preserve">Earnings from DMR must be subject to SEET.  </w:t>
      </w:r>
      <w:r w:rsidRPr="00517C65">
        <w:rPr>
          <w:rFonts w:ascii="Times New Roman" w:hAnsi="Times New Roman" w:cs="Times New Roman"/>
          <w:sz w:val="24"/>
          <w:szCs w:val="24"/>
        </w:rPr>
        <w:t>The PUCO must impose at least some limit on the amount of profits that DP&amp;L can earn.  Protecting consumers should be the guiding principle when it comes to earnings because protecting consumers from monopoly</w:t>
      </w:r>
      <w:r>
        <w:rPr>
          <w:rFonts w:ascii="Times New Roman" w:hAnsi="Times New Roman" w:cs="Times New Roman"/>
          <w:sz w:val="24"/>
          <w:szCs w:val="24"/>
        </w:rPr>
        <w:t xml:space="preserve"> abuses</w:t>
      </w:r>
      <w:r w:rsidRPr="00517C65">
        <w:rPr>
          <w:rFonts w:ascii="Times New Roman" w:hAnsi="Times New Roman" w:cs="Times New Roman"/>
          <w:sz w:val="24"/>
          <w:szCs w:val="24"/>
        </w:rPr>
        <w:t xml:space="preserve"> is the primary reason for having a regulatory scheme.</w:t>
      </w:r>
      <w:r>
        <w:rPr>
          <w:rStyle w:val="FootnoteReference"/>
          <w:rFonts w:ascii="Times New Roman" w:hAnsi="Times New Roman" w:cs="Times New Roman"/>
          <w:sz w:val="24"/>
          <w:szCs w:val="24"/>
        </w:rPr>
        <w:footnoteReference w:id="241"/>
      </w:r>
      <w:r w:rsidRPr="00517C65">
        <w:rPr>
          <w:rFonts w:ascii="Times New Roman" w:hAnsi="Times New Roman" w:cs="Times New Roman"/>
          <w:sz w:val="24"/>
          <w:szCs w:val="24"/>
        </w:rPr>
        <w:t xml:space="preserve">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When setting rates, the PUCO must ensure that customers are not overcharged.  Adherence to such a principle in this case supports one conclusion: reject the Settlement and the DMR.  </w:t>
      </w:r>
    </w:p>
    <w:p w:rsidR="00775C0C" w:rsidRPr="00517C65" w:rsidP="00517C65">
      <w:pPr>
        <w:pStyle w:val="Heading4"/>
      </w:pPr>
      <w:bookmarkStart w:id="39" w:name="_Toc481762063"/>
      <w:r w:rsidRPr="00517C65">
        <w:t xml:space="preserve">b. </w:t>
      </w:r>
      <w:r w:rsidRPr="00517C65">
        <w:tab/>
        <w:t xml:space="preserve">The Settlement includes financial inducements that are not supported by regulatory practice or principle and should </w:t>
      </w:r>
      <w:r>
        <w:t xml:space="preserve">be striken </w:t>
      </w:r>
      <w:r w:rsidRPr="00517C65">
        <w:t>to protect consumers</w:t>
      </w:r>
      <w:r>
        <w:t>.</w:t>
      </w:r>
      <w:bookmarkEnd w:id="39"/>
    </w:p>
    <w:p w:rsidR="00761D0A"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PUCO has warned against the practice of paying signatory parties, stating that “parties to future stipulations should be forewarned that such provisions are strongly disfavored by this Commission and are highly likely to be stricken from any future</w:t>
      </w:r>
    </w:p>
    <w:p w:rsidR="00775C0C" w:rsidRPr="00517C65" w:rsidP="00761D0A">
      <w:pPr>
        <w:spacing w:after="0" w:line="480" w:lineRule="auto"/>
        <w:rPr>
          <w:rFonts w:ascii="Times New Roman" w:hAnsi="Times New Roman" w:cs="Times New Roman"/>
          <w:sz w:val="24"/>
          <w:szCs w:val="24"/>
        </w:rPr>
      </w:pPr>
      <w:r w:rsidRPr="00517C65">
        <w:rPr>
          <w:rFonts w:ascii="Times New Roman" w:hAnsi="Times New Roman" w:cs="Times New Roman"/>
          <w:sz w:val="24"/>
          <w:szCs w:val="24"/>
        </w:rPr>
        <w:t>stipulation submitted to the Commission for approval.”</w:t>
      </w:r>
      <w:r>
        <w:rPr>
          <w:rStyle w:val="FootnoteReference"/>
          <w:rFonts w:ascii="Times New Roman" w:hAnsi="Times New Roman" w:cs="Times New Roman"/>
          <w:sz w:val="24"/>
          <w:szCs w:val="24"/>
        </w:rPr>
        <w:footnoteReference w:id="242"/>
      </w:r>
      <w:r w:rsidRPr="00517C65">
        <w:rPr>
          <w:rFonts w:ascii="Times New Roman" w:hAnsi="Times New Roman" w:cs="Times New Roman"/>
          <w:sz w:val="24"/>
          <w:szCs w:val="24"/>
        </w:rPr>
        <w:t xml:space="preserve">  Yet here, DP&amp;L has presented the PUCO with a stipulation that does exactly that.  In Sections IV and X of the Amended Stipulation, “DP&amp;L agrees to provide financial inducements, payments, discounts, and subsidies to the signatory parties in exchange for their support of (or non-opposition to) the proposed Settlement.”</w:t>
      </w:r>
      <w:r>
        <w:rPr>
          <w:rStyle w:val="FootnoteReference"/>
          <w:rFonts w:ascii="Times New Roman" w:hAnsi="Times New Roman" w:cs="Times New Roman"/>
          <w:sz w:val="24"/>
          <w:szCs w:val="24"/>
        </w:rPr>
        <w:footnoteReference w:id="243"/>
      </w:r>
    </w:p>
    <w:p w:rsidR="0031065E" w:rsidRPr="00517C65" w:rsidP="0031065E">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Settlement includes an inducement of a $0.004/kWh discount for specific parties that sign or do not oppose it.</w:t>
      </w:r>
      <w:r>
        <w:rPr>
          <w:rFonts w:ascii="Times New Roman" w:hAnsi="Times New Roman" w:cs="Times New Roman"/>
          <w:sz w:val="24"/>
          <w:szCs w:val="24"/>
          <w:vertAlign w:val="superscript"/>
        </w:rPr>
        <w:footnoteReference w:id="244"/>
      </w:r>
      <w:r w:rsidRPr="00517C65">
        <w:rPr>
          <w:rFonts w:ascii="Times New Roman" w:hAnsi="Times New Roman" w:cs="Times New Roman"/>
          <w:sz w:val="24"/>
          <w:szCs w:val="24"/>
        </w:rPr>
        <w:t xml:space="preserve"> This discount is specifically tailored and only </w:t>
      </w:r>
      <w:r>
        <w:rPr>
          <w:rFonts w:ascii="Times New Roman" w:hAnsi="Times New Roman" w:cs="Times New Roman"/>
          <w:sz w:val="24"/>
          <w:szCs w:val="24"/>
        </w:rPr>
        <w:t xml:space="preserve">made available </w:t>
      </w:r>
      <w:r w:rsidRPr="00517C65">
        <w:rPr>
          <w:rFonts w:ascii="Times New Roman" w:hAnsi="Times New Roman" w:cs="Times New Roman"/>
          <w:sz w:val="24"/>
          <w:szCs w:val="24"/>
        </w:rPr>
        <w:t>to members of Industrial Energy Users-Ohio (“IEU”), Ohio Energy Group (“OEG”), Ohio Manufacturer’s Association Energy Group (“OMAEG”), and specific entities like Kroger, Honda, and the Miami Valley Hospital.</w:t>
      </w:r>
      <w:r>
        <w:rPr>
          <w:rFonts w:ascii="Times New Roman" w:hAnsi="Times New Roman" w:cs="Times New Roman"/>
          <w:sz w:val="24"/>
          <w:szCs w:val="24"/>
          <w:vertAlign w:val="superscript"/>
        </w:rPr>
        <w:footnoteReference w:id="245"/>
      </w:r>
      <w:r w:rsidRPr="00517C65">
        <w:rPr>
          <w:rFonts w:ascii="Times New Roman" w:hAnsi="Times New Roman" w:cs="Times New Roman"/>
          <w:sz w:val="24"/>
          <w:szCs w:val="24"/>
        </w:rPr>
        <w:t xml:space="preserve"> These discounts </w:t>
      </w:r>
      <w:r>
        <w:rPr>
          <w:rFonts w:ascii="Times New Roman" w:hAnsi="Times New Roman" w:cs="Times New Roman"/>
          <w:sz w:val="24"/>
          <w:szCs w:val="24"/>
        </w:rPr>
        <w:t xml:space="preserve">are subsidies </w:t>
      </w:r>
      <w:r w:rsidRPr="00517C65">
        <w:rPr>
          <w:rFonts w:ascii="Times New Roman" w:hAnsi="Times New Roman" w:cs="Times New Roman"/>
          <w:sz w:val="24"/>
          <w:szCs w:val="24"/>
        </w:rPr>
        <w:t xml:space="preserve">that are paid for by </w:t>
      </w:r>
      <w:r>
        <w:rPr>
          <w:rFonts w:ascii="Times New Roman" w:hAnsi="Times New Roman" w:cs="Times New Roman"/>
          <w:sz w:val="24"/>
          <w:szCs w:val="24"/>
        </w:rPr>
        <w:t xml:space="preserve">other </w:t>
      </w:r>
      <w:r w:rsidRPr="00517C65">
        <w:rPr>
          <w:rFonts w:ascii="Times New Roman" w:hAnsi="Times New Roman" w:cs="Times New Roman"/>
          <w:sz w:val="24"/>
          <w:szCs w:val="24"/>
        </w:rPr>
        <w:t xml:space="preserve">DP&amp;L customers </w:t>
      </w:r>
      <w:r>
        <w:rPr>
          <w:rFonts w:ascii="Times New Roman" w:hAnsi="Times New Roman" w:cs="Times New Roman"/>
          <w:sz w:val="24"/>
          <w:szCs w:val="24"/>
        </w:rPr>
        <w:t xml:space="preserve">but </w:t>
      </w:r>
      <w:r w:rsidRPr="00517C65">
        <w:rPr>
          <w:rFonts w:ascii="Times New Roman" w:hAnsi="Times New Roman" w:cs="Times New Roman"/>
          <w:sz w:val="24"/>
          <w:szCs w:val="24"/>
        </w:rPr>
        <w:t xml:space="preserve">do not </w:t>
      </w:r>
      <w:r>
        <w:rPr>
          <w:rFonts w:ascii="Times New Roman" w:hAnsi="Times New Roman" w:cs="Times New Roman"/>
          <w:sz w:val="24"/>
          <w:szCs w:val="24"/>
        </w:rPr>
        <w:t xml:space="preserve">otherwise meet the requirements of </w:t>
      </w:r>
      <w:r w:rsidRPr="00517C65">
        <w:rPr>
          <w:rFonts w:ascii="Times New Roman" w:hAnsi="Times New Roman" w:cs="Times New Roman"/>
          <w:sz w:val="24"/>
          <w:szCs w:val="24"/>
        </w:rPr>
        <w:t>traditional economic development arrangements.</w:t>
      </w:r>
      <w:r>
        <w:rPr>
          <w:rFonts w:ascii="Times New Roman" w:hAnsi="Times New Roman" w:cs="Times New Roman"/>
          <w:sz w:val="24"/>
          <w:szCs w:val="24"/>
          <w:vertAlign w:val="superscript"/>
        </w:rPr>
        <w:footnoteReference w:id="246"/>
      </w:r>
      <w:r w:rsidRPr="00517C65">
        <w:rPr>
          <w:rFonts w:ascii="Times New Roman" w:hAnsi="Times New Roman" w:cs="Times New Roman"/>
          <w:sz w:val="24"/>
          <w:szCs w:val="24"/>
        </w:rPr>
        <w:t xml:space="preserve"> These discounts are </w:t>
      </w:r>
      <w:r>
        <w:rPr>
          <w:rFonts w:ascii="Times New Roman" w:hAnsi="Times New Roman" w:cs="Times New Roman"/>
          <w:sz w:val="24"/>
          <w:szCs w:val="24"/>
        </w:rPr>
        <w:t xml:space="preserve">in addition to the </w:t>
      </w:r>
      <w:r w:rsidRPr="00517C65">
        <w:rPr>
          <w:rFonts w:ascii="Times New Roman" w:hAnsi="Times New Roman" w:cs="Times New Roman"/>
          <w:sz w:val="24"/>
          <w:szCs w:val="24"/>
        </w:rPr>
        <w:t xml:space="preserve"> direct cash payments to IEU, OMAEG, Kroger, and MAREC.</w:t>
      </w:r>
      <w:r>
        <w:rPr>
          <w:rFonts w:ascii="Times New Roman" w:hAnsi="Times New Roman" w:cs="Times New Roman"/>
          <w:sz w:val="24"/>
          <w:szCs w:val="24"/>
          <w:vertAlign w:val="superscript"/>
        </w:rPr>
        <w:footnoteReference w:id="247"/>
      </w:r>
    </w:p>
    <w:p w:rsidR="00761D0A"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 As OCC Witness Haugh states, none of these cash payments or discounts abide by the </w:t>
      </w:r>
      <w:r>
        <w:rPr>
          <w:rFonts w:ascii="Times New Roman" w:hAnsi="Times New Roman" w:cs="Times New Roman"/>
          <w:sz w:val="24"/>
          <w:szCs w:val="24"/>
        </w:rPr>
        <w:t xml:space="preserve">well-established </w:t>
      </w:r>
      <w:r w:rsidRPr="00517C65">
        <w:rPr>
          <w:rFonts w:ascii="Times New Roman" w:hAnsi="Times New Roman" w:cs="Times New Roman"/>
          <w:sz w:val="24"/>
          <w:szCs w:val="24"/>
        </w:rPr>
        <w:t xml:space="preserve">traditional standards under which economic development programs are considered: </w:t>
      </w:r>
    </w:p>
    <w:p w:rsidR="00775C0C" w:rsidRPr="00517C65" w:rsidP="008B11B3">
      <w:pPr>
        <w:ind w:left="1440" w:right="720"/>
        <w:rPr>
          <w:rFonts w:ascii="Times New Roman" w:hAnsi="Times New Roman" w:cs="Times New Roman"/>
          <w:sz w:val="24"/>
          <w:szCs w:val="24"/>
        </w:rPr>
      </w:pPr>
      <w:r w:rsidRPr="00517C65">
        <w:rPr>
          <w:rFonts w:ascii="Times New Roman" w:hAnsi="Times New Roman" w:cs="Times New Roman"/>
          <w:sz w:val="24"/>
          <w:szCs w:val="24"/>
        </w:rPr>
        <w:t>There has been no showing of need for the discounted rates, nor how the discounted rates further state policy.  There are no commitments by any of the qualifying parties to retain or expand jobs in Ohio in exchange for the discounted rates.  There is no identification of other incentives these customers are receiving.  Nor have the delta revenues created by the rider been identified.  None of the criteria that the PUCO considers for economic development have been met.</w:t>
      </w:r>
      <w:r>
        <w:rPr>
          <w:rFonts w:ascii="Times New Roman" w:hAnsi="Times New Roman" w:cs="Times New Roman"/>
          <w:sz w:val="24"/>
          <w:szCs w:val="24"/>
          <w:vertAlign w:val="superscript"/>
        </w:rPr>
        <w:footnoteReference w:id="248"/>
      </w:r>
    </w:p>
    <w:p w:rsidR="00775C0C" w:rsidRPr="00517C65" w:rsidP="00775C0C">
      <w:pPr>
        <w:spacing w:after="0" w:line="480" w:lineRule="auto"/>
        <w:rPr>
          <w:rFonts w:ascii="Times New Roman" w:hAnsi="Times New Roman" w:cs="Times New Roman"/>
          <w:sz w:val="24"/>
          <w:szCs w:val="24"/>
        </w:rPr>
      </w:pPr>
      <w:r w:rsidRPr="00517C65">
        <w:rPr>
          <w:rFonts w:ascii="Times New Roman" w:hAnsi="Times New Roman" w:cs="Times New Roman"/>
          <w:sz w:val="24"/>
          <w:szCs w:val="24"/>
        </w:rPr>
        <w:t xml:space="preserve">At a policy level it is inappropriate for the PUCO to approve any of these inducements as providing any </w:t>
      </w:r>
      <w:r>
        <w:rPr>
          <w:rFonts w:ascii="Times New Roman" w:hAnsi="Times New Roman" w:cs="Times New Roman"/>
          <w:sz w:val="24"/>
          <w:szCs w:val="24"/>
        </w:rPr>
        <w:t>"</w:t>
      </w:r>
      <w:r w:rsidRPr="00517C65">
        <w:rPr>
          <w:rFonts w:ascii="Times New Roman" w:hAnsi="Times New Roman" w:cs="Times New Roman"/>
          <w:sz w:val="24"/>
          <w:szCs w:val="24"/>
        </w:rPr>
        <w:t>economic development.</w:t>
      </w:r>
      <w:r>
        <w:rPr>
          <w:rFonts w:ascii="Times New Roman" w:hAnsi="Times New Roman" w:cs="Times New Roman"/>
          <w:sz w:val="24"/>
          <w:szCs w:val="24"/>
        </w:rPr>
        <w:t>"</w:t>
      </w:r>
      <w:r w:rsidRPr="00517C65">
        <w:rPr>
          <w:rFonts w:ascii="Times New Roman" w:hAnsi="Times New Roman" w:cs="Times New Roman"/>
          <w:sz w:val="24"/>
          <w:szCs w:val="24"/>
        </w:rPr>
        <w:t xml:space="preserve">  These </w:t>
      </w:r>
      <w:r>
        <w:rPr>
          <w:rFonts w:ascii="Times New Roman" w:hAnsi="Times New Roman" w:cs="Times New Roman"/>
          <w:sz w:val="24"/>
          <w:szCs w:val="24"/>
        </w:rPr>
        <w:t xml:space="preserve">cash or cash equivalent payments </w:t>
      </w:r>
      <w:r w:rsidRPr="00517C65">
        <w:rPr>
          <w:rFonts w:ascii="Times New Roman" w:hAnsi="Times New Roman" w:cs="Times New Roman"/>
          <w:sz w:val="24"/>
          <w:szCs w:val="24"/>
        </w:rPr>
        <w:t>do not meet the standards that are traditionally used for other economic development programs. Requiring them to meet those standards is especially important because the costs of the Economic Development Rider will be borne by all of DP&amp;L’s other customers – including residential customers.</w:t>
      </w:r>
      <w:r>
        <w:rPr>
          <w:rFonts w:ascii="Times New Roman" w:hAnsi="Times New Roman" w:cs="Times New Roman"/>
          <w:sz w:val="24"/>
          <w:szCs w:val="24"/>
          <w:vertAlign w:val="superscript"/>
        </w:rPr>
        <w:footnoteReference w:id="249"/>
      </w:r>
    </w:p>
    <w:p w:rsidR="005A0C60"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Additionally, these economic development programs violate Ohio law by providing inappropriate rebates to individual customers. Ohio law explicitly prohibits special rates and rebates for specific “firms or corporations.”</w:t>
      </w:r>
      <w:r>
        <w:rPr>
          <w:rFonts w:ascii="Times New Roman" w:hAnsi="Times New Roman" w:cs="Times New Roman"/>
          <w:sz w:val="24"/>
          <w:szCs w:val="24"/>
          <w:vertAlign w:val="superscript"/>
        </w:rPr>
        <w:footnoteReference w:id="250"/>
      </w:r>
      <w:r w:rsidRPr="00517C65">
        <w:rPr>
          <w:rFonts w:ascii="Times New Roman" w:hAnsi="Times New Roman" w:cs="Times New Roman"/>
          <w:sz w:val="24"/>
          <w:szCs w:val="24"/>
        </w:rPr>
        <w:t xml:space="preserve">  The Settlement specifically states that certain rebates are “[t]o partially offset the costs of this Stipulation and rate design modifications[.]”</w:t>
      </w:r>
      <w:r>
        <w:rPr>
          <w:rFonts w:ascii="Times New Roman" w:hAnsi="Times New Roman" w:cs="Times New Roman"/>
          <w:sz w:val="24"/>
          <w:szCs w:val="24"/>
          <w:vertAlign w:val="superscript"/>
        </w:rPr>
        <w:footnoteReference w:id="251"/>
      </w:r>
      <w:r w:rsidRPr="00517C65">
        <w:rPr>
          <w:rFonts w:ascii="Times New Roman" w:hAnsi="Times New Roman" w:cs="Times New Roman"/>
          <w:sz w:val="24"/>
          <w:szCs w:val="24"/>
        </w:rPr>
        <w:t xml:space="preserve"> These cash payments and discount are special rates and rebates that are being provided directly to specific firms and groups. These cash payments clearly “provide[] discriminatory rate or subsidy treatment in favor of individual named customers merely due to their support of the Utility’s objective, in this case the proposed Settlement.”</w:t>
      </w:r>
      <w:r>
        <w:rPr>
          <w:rStyle w:val="FootnoteReference"/>
          <w:rFonts w:ascii="Times New Roman" w:hAnsi="Times New Roman" w:cs="Times New Roman"/>
          <w:sz w:val="24"/>
          <w:szCs w:val="24"/>
        </w:rPr>
        <w:footnoteReference w:id="252"/>
      </w:r>
      <w:r w:rsidRPr="00517C65">
        <w:rPr>
          <w:rFonts w:ascii="Times New Roman" w:hAnsi="Times New Roman" w:cs="Times New Roman"/>
          <w:sz w:val="24"/>
          <w:szCs w:val="24"/>
        </w:rPr>
        <w:t xml:space="preserve">  Purchasing support of a few on the backs of the numerous non-supporting customers is a “very troubling violation of regulatory principle.”</w:t>
      </w:r>
      <w:r>
        <w:rPr>
          <w:rStyle w:val="FootnoteReference"/>
          <w:rFonts w:ascii="Times New Roman" w:hAnsi="Times New Roman" w:cs="Times New Roman"/>
          <w:sz w:val="24"/>
          <w:szCs w:val="24"/>
        </w:rPr>
        <w:footnoteReference w:id="253"/>
      </w:r>
      <w:r w:rsidRPr="00517C65">
        <w:rPr>
          <w:rFonts w:ascii="Times New Roman" w:hAnsi="Times New Roman" w:cs="Times New Roman"/>
          <w:sz w:val="24"/>
          <w:szCs w:val="24"/>
        </w:rPr>
        <w:t xml:space="preserve">  That is why the PUCO has strongly disfavored direct payments to signatory and non-opposing parties.</w:t>
      </w:r>
      <w:r>
        <w:rPr>
          <w:rFonts w:ascii="Times New Roman" w:hAnsi="Times New Roman" w:cs="Times New Roman"/>
          <w:sz w:val="24"/>
          <w:szCs w:val="24"/>
          <w:vertAlign w:val="superscript"/>
        </w:rPr>
        <w:footnoteReference w:id="254"/>
      </w:r>
      <w:r w:rsidRPr="00517C65">
        <w:rPr>
          <w:rFonts w:ascii="Times New Roman" w:hAnsi="Times New Roman" w:cs="Times New Roman"/>
          <w:sz w:val="24"/>
          <w:szCs w:val="24"/>
        </w:rPr>
        <w:t xml:space="preserve"> The PUCO should strike the financial inducements from the Settlement.</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DP&amp;L’s argument that the financial inducements in Section X of the Settlement are “shareholder contributions” falls flat.</w:t>
      </w:r>
      <w:r>
        <w:rPr>
          <w:rStyle w:val="FootnoteReference"/>
          <w:rFonts w:ascii="Times New Roman" w:hAnsi="Times New Roman" w:cs="Times New Roman"/>
          <w:sz w:val="24"/>
          <w:szCs w:val="24"/>
        </w:rPr>
        <w:footnoteReference w:id="255"/>
      </w:r>
      <w:r w:rsidRPr="00517C65">
        <w:rPr>
          <w:rFonts w:ascii="Times New Roman" w:hAnsi="Times New Roman" w:cs="Times New Roman"/>
          <w:sz w:val="24"/>
          <w:szCs w:val="24"/>
        </w:rPr>
        <w:t xml:space="preserve">  Shareholders are essentially paying $11.5 million (or $9 million according to Staff Witness Donlon</w:t>
      </w:r>
      <w:r>
        <w:rPr>
          <w:rStyle w:val="FootnoteReference"/>
          <w:rFonts w:ascii="Times New Roman" w:hAnsi="Times New Roman" w:cs="Times New Roman"/>
          <w:sz w:val="24"/>
          <w:szCs w:val="24"/>
        </w:rPr>
        <w:footnoteReference w:id="256"/>
      </w:r>
      <w:r w:rsidRPr="00517C65">
        <w:rPr>
          <w:rFonts w:ascii="Times New Roman" w:hAnsi="Times New Roman" w:cs="Times New Roman"/>
          <w:sz w:val="24"/>
          <w:szCs w:val="24"/>
        </w:rPr>
        <w:t>) to secure $315 million (or more) under the DMR.</w:t>
      </w:r>
      <w:r>
        <w:rPr>
          <w:rStyle w:val="FootnoteReference"/>
          <w:rFonts w:ascii="Times New Roman" w:hAnsi="Times New Roman" w:cs="Times New Roman"/>
          <w:sz w:val="24"/>
          <w:szCs w:val="24"/>
        </w:rPr>
        <w:footnoteReference w:id="257"/>
      </w:r>
      <w:r w:rsidRPr="00517C65">
        <w:rPr>
          <w:rFonts w:ascii="Times New Roman" w:hAnsi="Times New Roman" w:cs="Times New Roman"/>
          <w:sz w:val="24"/>
          <w:szCs w:val="24"/>
        </w:rPr>
        <w:t xml:space="preserve">  The Settlement merely fixes the “DMR at a level to recover the supposed $9 million of shareholder benefits.”</w:t>
      </w:r>
      <w:r>
        <w:rPr>
          <w:rStyle w:val="FootnoteReference"/>
          <w:rFonts w:ascii="Times New Roman" w:hAnsi="Times New Roman" w:cs="Times New Roman"/>
          <w:sz w:val="24"/>
          <w:szCs w:val="24"/>
        </w:rPr>
        <w:footnoteReference w:id="258"/>
      </w:r>
      <w:r w:rsidRPr="00517C65">
        <w:rPr>
          <w:rFonts w:ascii="Times New Roman" w:hAnsi="Times New Roman" w:cs="Times New Roman"/>
          <w:sz w:val="24"/>
          <w:szCs w:val="24"/>
        </w:rPr>
        <w:t xml:space="preserve">  As it forewarned parties, the PUCO should strike these financial inducements from the Settlement.  They are handouts to a select few parties that are paid for by the bulk of DP&amp;L’s other customers, particularly residential consumers. </w:t>
      </w:r>
    </w:p>
    <w:p w:rsidR="00775C0C" w:rsidRPr="00517C65" w:rsidP="00517C65">
      <w:pPr>
        <w:pStyle w:val="Heading4"/>
      </w:pPr>
      <w:bookmarkStart w:id="40" w:name="_Toc481762064"/>
      <w:r w:rsidRPr="00517C65">
        <w:t xml:space="preserve">c. </w:t>
      </w:r>
      <w:r w:rsidRPr="00517C65">
        <w:tab/>
        <w:t>DP&amp;L has failed to comply with the standard-filing requirements for its Distribution Investment Rider, so the PUCO should reject the rider to protect consumers</w:t>
      </w:r>
      <w:r>
        <w:t>.</w:t>
      </w:r>
      <w:bookmarkEnd w:id="40"/>
    </w:p>
    <w:p w:rsidR="00BC2D4A"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Ohio Administrative Code sets out the standard filing requirements for infrastructure and modernization incentives.</w:t>
      </w:r>
      <w:r>
        <w:rPr>
          <w:rFonts w:ascii="Times New Roman" w:hAnsi="Times New Roman" w:cs="Times New Roman"/>
          <w:sz w:val="24"/>
          <w:szCs w:val="24"/>
          <w:vertAlign w:val="superscript"/>
        </w:rPr>
        <w:footnoteReference w:id="259"/>
      </w:r>
      <w:r w:rsidRPr="00517C65">
        <w:rPr>
          <w:rFonts w:ascii="Times New Roman" w:hAnsi="Times New Roman" w:cs="Times New Roman"/>
          <w:sz w:val="24"/>
          <w:szCs w:val="24"/>
        </w:rPr>
        <w:t xml:space="preserve">  DP&amp;L has failed to comply with any of these filing requirements and therefore their request for the approval of the Distribution Investment Rider (“DIR”) should be denied.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DP&amp;L’s application contains none of the required information,</w:t>
      </w:r>
      <w:r>
        <w:rPr>
          <w:rFonts w:ascii="Times New Roman" w:hAnsi="Times New Roman" w:cs="Times New Roman"/>
          <w:sz w:val="24"/>
          <w:szCs w:val="24"/>
          <w:vertAlign w:val="superscript"/>
        </w:rPr>
        <w:footnoteReference w:id="260"/>
      </w:r>
      <w:r w:rsidRPr="00517C65">
        <w:rPr>
          <w:rFonts w:ascii="Times New Roman" w:hAnsi="Times New Roman" w:cs="Times New Roman"/>
          <w:sz w:val="24"/>
          <w:szCs w:val="24"/>
        </w:rPr>
        <w:t xml:space="preserve"> the Settlement contains none of the required information,</w:t>
      </w:r>
      <w:r>
        <w:rPr>
          <w:rFonts w:ascii="Times New Roman" w:hAnsi="Times New Roman" w:cs="Times New Roman"/>
          <w:sz w:val="24"/>
          <w:szCs w:val="24"/>
          <w:vertAlign w:val="superscript"/>
        </w:rPr>
        <w:footnoteReference w:id="261"/>
      </w:r>
      <w:r w:rsidRPr="00517C65">
        <w:rPr>
          <w:rFonts w:ascii="Times New Roman" w:hAnsi="Times New Roman" w:cs="Times New Roman"/>
          <w:sz w:val="24"/>
          <w:szCs w:val="24"/>
        </w:rPr>
        <w:t xml:space="preserve"> and the testimony of DP&amp;L Witness Schroeder contains none of the required information.</w:t>
      </w:r>
      <w:r>
        <w:rPr>
          <w:rFonts w:ascii="Times New Roman" w:hAnsi="Times New Roman" w:cs="Times New Roman"/>
          <w:sz w:val="24"/>
          <w:szCs w:val="24"/>
          <w:vertAlign w:val="superscript"/>
        </w:rPr>
        <w:footnoteReference w:id="262"/>
      </w:r>
      <w:r w:rsidRPr="00517C65">
        <w:rPr>
          <w:rFonts w:ascii="Times New Roman" w:hAnsi="Times New Roman" w:cs="Times New Roman"/>
          <w:sz w:val="24"/>
          <w:szCs w:val="24"/>
        </w:rPr>
        <w:t xml:space="preserve">  Any argument that these details could be satisfied by a future rate case fails to recognize that these rules are enumerated in the standard filing requirements </w:t>
      </w:r>
      <w:r w:rsidRPr="00517C65">
        <w:rPr>
          <w:rFonts w:ascii="Times New Roman" w:hAnsi="Times New Roman" w:cs="Times New Roman"/>
          <w:i/>
          <w:sz w:val="24"/>
          <w:szCs w:val="24"/>
        </w:rPr>
        <w:t>for an ESP case</w:t>
      </w:r>
      <w:r w:rsidRPr="00517C65">
        <w:rPr>
          <w:rFonts w:ascii="Times New Roman" w:hAnsi="Times New Roman" w:cs="Times New Roman"/>
          <w:sz w:val="24"/>
          <w:szCs w:val="24"/>
        </w:rPr>
        <w:t>.</w:t>
      </w:r>
      <w:r>
        <w:rPr>
          <w:rFonts w:ascii="Times New Roman" w:hAnsi="Times New Roman" w:cs="Times New Roman"/>
          <w:sz w:val="24"/>
          <w:szCs w:val="24"/>
          <w:vertAlign w:val="superscript"/>
        </w:rPr>
        <w:footnoteReference w:id="263"/>
      </w:r>
      <w:r w:rsidRPr="00517C65">
        <w:rPr>
          <w:rFonts w:ascii="Times New Roman" w:hAnsi="Times New Roman" w:cs="Times New Roman"/>
          <w:sz w:val="24"/>
          <w:szCs w:val="24"/>
        </w:rPr>
        <w:t xml:space="preserve"> </w:t>
      </w:r>
      <w:r>
        <w:rPr>
          <w:rFonts w:ascii="Times New Roman" w:hAnsi="Times New Roman" w:cs="Times New Roman"/>
          <w:sz w:val="24"/>
          <w:szCs w:val="24"/>
        </w:rPr>
        <w:t>Because</w:t>
      </w:r>
      <w:r w:rsidRPr="00517C65">
        <w:rPr>
          <w:rFonts w:ascii="Times New Roman" w:hAnsi="Times New Roman" w:cs="Times New Roman"/>
          <w:sz w:val="24"/>
          <w:szCs w:val="24"/>
        </w:rPr>
        <w:t xml:space="preserve"> DP&amp;L has failed to satisfy those requirements</w:t>
      </w:r>
      <w:r>
        <w:rPr>
          <w:rFonts w:ascii="Times New Roman" w:hAnsi="Times New Roman" w:cs="Times New Roman"/>
          <w:sz w:val="24"/>
          <w:szCs w:val="24"/>
        </w:rPr>
        <w:t xml:space="preserve"> (and did not seek a waiver)</w:t>
      </w:r>
      <w:r w:rsidRPr="00517C65">
        <w:rPr>
          <w:rFonts w:ascii="Times New Roman" w:hAnsi="Times New Roman" w:cs="Times New Roman"/>
          <w:sz w:val="24"/>
          <w:szCs w:val="24"/>
        </w:rPr>
        <w:t xml:space="preserve">, the DIR as included in the Settlement should be rejected. </w:t>
      </w:r>
    </w:p>
    <w:p w:rsidR="00775C0C" w:rsidRPr="00517C65" w:rsidP="00517C65">
      <w:pPr>
        <w:pStyle w:val="Heading4"/>
      </w:pPr>
      <w:bookmarkStart w:id="41" w:name="_Toc481762065"/>
      <w:r w:rsidRPr="00517C65">
        <w:t xml:space="preserve">d. </w:t>
      </w:r>
      <w:r w:rsidRPr="00517C65">
        <w:tab/>
        <w:t>DP&amp;L’s DIR should not be approved because it does not conform to Ohio law and past PUCO practice</w:t>
      </w:r>
      <w:r>
        <w:t>.</w:t>
      </w:r>
      <w:bookmarkEnd w:id="41"/>
      <w:r w:rsidRPr="00517C65">
        <w:t xml:space="preserve"> </w:t>
      </w:r>
    </w:p>
    <w:p w:rsidR="00775C0C"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claims that the DIR is appropriate because customer expectations are aligned with utility expectations as required by Ohio law.</w:t>
      </w:r>
      <w:r>
        <w:rPr>
          <w:rFonts w:ascii="Times New Roman" w:hAnsi="Times New Roman" w:cs="Times New Roman"/>
          <w:sz w:val="24"/>
          <w:szCs w:val="24"/>
          <w:vertAlign w:val="superscript"/>
        </w:rPr>
        <w:footnoteReference w:id="264"/>
      </w:r>
      <w:r w:rsidRPr="00517C65">
        <w:rPr>
          <w:rFonts w:ascii="Times New Roman" w:hAnsi="Times New Roman" w:cs="Times New Roman"/>
          <w:sz w:val="24"/>
          <w:szCs w:val="24"/>
        </w:rPr>
        <w:t xml:space="preserve"> This argument is highly flawed. The customer perception surveys that were conducted by DP&amp;L do not include any information on whether customers are willing to pay more money for the same or increased reliability.</w:t>
      </w:r>
      <w:r>
        <w:rPr>
          <w:rFonts w:ascii="Times New Roman" w:hAnsi="Times New Roman" w:cs="Times New Roman"/>
          <w:sz w:val="24"/>
          <w:szCs w:val="24"/>
          <w:vertAlign w:val="superscript"/>
        </w:rPr>
        <w:footnoteReference w:id="265"/>
      </w:r>
      <w:r w:rsidRPr="00517C65">
        <w:rPr>
          <w:rFonts w:ascii="Times New Roman" w:hAnsi="Times New Roman" w:cs="Times New Roman"/>
          <w:sz w:val="24"/>
          <w:szCs w:val="24"/>
        </w:rPr>
        <w:t xml:space="preserve">  In fact DP&amp;L’s reliability is </w:t>
      </w:r>
      <w:r>
        <w:rPr>
          <w:rFonts w:ascii="Times New Roman" w:hAnsi="Times New Roman" w:cs="Times New Roman"/>
          <w:sz w:val="24"/>
          <w:szCs w:val="24"/>
        </w:rPr>
        <w:t>in line with the PUCO’s standards</w:t>
      </w:r>
      <w:r w:rsidRPr="00517C65">
        <w:rPr>
          <w:rFonts w:ascii="Times New Roman" w:hAnsi="Times New Roman" w:cs="Times New Roman"/>
          <w:sz w:val="24"/>
          <w:szCs w:val="24"/>
        </w:rPr>
        <w:t>.  It has met or exceeded the reliability goals since the goals have existed.</w:t>
      </w:r>
      <w:r>
        <w:rPr>
          <w:rFonts w:ascii="Times New Roman" w:hAnsi="Times New Roman" w:cs="Times New Roman"/>
          <w:sz w:val="24"/>
          <w:szCs w:val="24"/>
          <w:vertAlign w:val="superscript"/>
        </w:rPr>
        <w:footnoteReference w:id="266"/>
      </w:r>
      <w:r w:rsidRPr="00517C65">
        <w:rPr>
          <w:rFonts w:ascii="Times New Roman" w:hAnsi="Times New Roman" w:cs="Times New Roman"/>
          <w:sz w:val="24"/>
          <w:szCs w:val="24"/>
        </w:rPr>
        <w:t xml:space="preserve"> Further, DP&amp;L has been able to achieve and meet these goals without the existence of the DIR. DP&amp;L is the only remaining regulated electric utility that lacks an infrastructure modernization rider.</w:t>
      </w:r>
      <w:r>
        <w:rPr>
          <w:rFonts w:ascii="Times New Roman" w:hAnsi="Times New Roman" w:cs="Times New Roman"/>
          <w:sz w:val="24"/>
          <w:szCs w:val="24"/>
          <w:vertAlign w:val="superscript"/>
        </w:rPr>
        <w:footnoteReference w:id="267"/>
      </w:r>
      <w:r w:rsidRPr="00517C65">
        <w:rPr>
          <w:rFonts w:ascii="Times New Roman" w:hAnsi="Times New Roman" w:cs="Times New Roman"/>
          <w:sz w:val="24"/>
          <w:szCs w:val="24"/>
        </w:rPr>
        <w:t xml:space="preserve"> Without an infrastructure modernization rider, DP&amp;L has maintained some of the highest customer satisfaction scores when compared to other utilities in the Midwest.</w:t>
      </w:r>
      <w:r>
        <w:rPr>
          <w:rFonts w:ascii="Times New Roman" w:hAnsi="Times New Roman" w:cs="Times New Roman"/>
          <w:sz w:val="24"/>
          <w:szCs w:val="24"/>
          <w:vertAlign w:val="superscript"/>
        </w:rPr>
        <w:footnoteReference w:id="268"/>
      </w:r>
      <w:r w:rsidRPr="00517C65">
        <w:rPr>
          <w:rFonts w:ascii="Times New Roman" w:hAnsi="Times New Roman" w:cs="Times New Roman"/>
          <w:sz w:val="24"/>
          <w:szCs w:val="24"/>
        </w:rPr>
        <w:t xml:space="preserve"> Because DP&amp;L has consistently met its reliability goals and customer expectations, there is no alignment between customer expectations and the need for accelerated recovery of distribution investments through the DIR. Since there is no alignment as required by Ohio law, the DIR should be rejected. </w:t>
      </w:r>
    </w:p>
    <w:p w:rsidR="00AD279E" w:rsidRPr="00517C65" w:rsidP="00775C0C">
      <w:pPr>
        <w:spacing w:after="0" w:line="480" w:lineRule="auto"/>
        <w:ind w:firstLine="720"/>
        <w:rPr>
          <w:rFonts w:ascii="Times New Roman" w:hAnsi="Times New Roman" w:cs="Times New Roman"/>
          <w:sz w:val="24"/>
          <w:szCs w:val="24"/>
        </w:rPr>
      </w:pPr>
      <w:r w:rsidRPr="00A26B4C">
        <w:rPr>
          <w:rFonts w:ascii="Times New Roman" w:hAnsi="Times New Roman" w:cs="Times New Roman"/>
          <w:sz w:val="24"/>
          <w:szCs w:val="24"/>
        </w:rPr>
        <w:t xml:space="preserve">The law also requires </w:t>
      </w:r>
      <w:r w:rsidRPr="00B04CE5">
        <w:rPr>
          <w:rFonts w:ascii="Times New Roman" w:hAnsi="Times New Roman" w:cs="Times New Roman"/>
          <w:sz w:val="24"/>
          <w:szCs w:val="24"/>
        </w:rPr>
        <w:t>that the electric distribution utility is placing sufficient emphasis on and dedicating sufficient resources to the reliability of its distribution system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9"/>
      </w:r>
      <w:r>
        <w:rPr>
          <w:rFonts w:ascii="Times New Roman" w:hAnsi="Times New Roman" w:cs="Times New Roman"/>
          <w:sz w:val="24"/>
          <w:szCs w:val="24"/>
        </w:rPr>
        <w:t xml:space="preserve">  However, in this case, DP&amp;L is not required to spend a single dollar collected from customers through the DMR on grid modernization.  DP&amp;L’s proposal cannot show that sufficient resources are dedicated to grid modernization and thus does not meet the requirements of R.C. 4928.143 (B)(2)(h).  DP&amp;L’s proposal should be rejected.</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Oddly, DP&amp;L seeks approval of the DIR in this case and</w:t>
      </w:r>
      <w:r>
        <w:rPr>
          <w:rFonts w:ascii="Times New Roman" w:hAnsi="Times New Roman" w:cs="Times New Roman"/>
          <w:sz w:val="24"/>
          <w:szCs w:val="24"/>
        </w:rPr>
        <w:t xml:space="preserve"> seeks to set the specific charges to customers i</w:t>
      </w:r>
      <w:r w:rsidRPr="00517C65">
        <w:rPr>
          <w:rFonts w:ascii="Times New Roman" w:hAnsi="Times New Roman" w:cs="Times New Roman"/>
          <w:sz w:val="24"/>
          <w:szCs w:val="24"/>
        </w:rPr>
        <w:t>n a separate rate case.</w:t>
      </w:r>
      <w:r>
        <w:rPr>
          <w:rFonts w:ascii="Times New Roman" w:hAnsi="Times New Roman" w:cs="Times New Roman"/>
          <w:sz w:val="24"/>
          <w:szCs w:val="24"/>
          <w:vertAlign w:val="superscript"/>
        </w:rPr>
        <w:footnoteReference w:id="270"/>
      </w:r>
      <w:r w:rsidRPr="00517C65">
        <w:rPr>
          <w:rFonts w:ascii="Times New Roman" w:hAnsi="Times New Roman" w:cs="Times New Roman"/>
          <w:sz w:val="24"/>
          <w:szCs w:val="24"/>
        </w:rPr>
        <w:t xml:space="preserve"> This is inappropriate because there are serious questions about the viability of DP&amp;L’s plant records. These issues are epitomized by the fact that there has been no Staff Report issued for a rate case that was filed over a year and a half ago.</w:t>
      </w:r>
      <w:r>
        <w:rPr>
          <w:rFonts w:ascii="Times New Roman" w:hAnsi="Times New Roman" w:cs="Times New Roman"/>
          <w:sz w:val="24"/>
          <w:szCs w:val="24"/>
          <w:vertAlign w:val="superscript"/>
        </w:rPr>
        <w:footnoteReference w:id="271"/>
      </w:r>
      <w:r w:rsidRPr="00517C65">
        <w:rPr>
          <w:rFonts w:ascii="Times New Roman" w:hAnsi="Times New Roman" w:cs="Times New Roman"/>
          <w:sz w:val="24"/>
          <w:szCs w:val="24"/>
        </w:rPr>
        <w:t xml:space="preserve"> Staff is now seeking an independent forensic audit of DP&amp;L’s plant records to glean the sort of information that would be necessary to approve a DIR.</w:t>
      </w:r>
      <w:r>
        <w:rPr>
          <w:rFonts w:ascii="Times New Roman" w:hAnsi="Times New Roman" w:cs="Times New Roman"/>
          <w:sz w:val="24"/>
          <w:szCs w:val="24"/>
          <w:vertAlign w:val="superscript"/>
        </w:rPr>
        <w:footnoteReference w:id="272"/>
      </w:r>
      <w:r w:rsidRPr="00517C65">
        <w:rPr>
          <w:rFonts w:ascii="Times New Roman" w:hAnsi="Times New Roman" w:cs="Times New Roman"/>
          <w:sz w:val="24"/>
          <w:szCs w:val="24"/>
        </w:rPr>
        <w:t xml:space="preserve"> There is no demonstrated need for a DIR until those records can be examined. To comply with proper regulatory practice and procedure, the PUCO should</w:t>
      </w:r>
      <w:r>
        <w:rPr>
          <w:rFonts w:ascii="Times New Roman" w:hAnsi="Times New Roman" w:cs="Times New Roman"/>
          <w:sz w:val="24"/>
          <w:szCs w:val="24"/>
        </w:rPr>
        <w:t xml:space="preserve">, at the very least, </w:t>
      </w:r>
      <w:r w:rsidRPr="00517C65">
        <w:rPr>
          <w:rFonts w:ascii="Times New Roman" w:hAnsi="Times New Roman" w:cs="Times New Roman"/>
          <w:sz w:val="24"/>
          <w:szCs w:val="24"/>
        </w:rPr>
        <w:t xml:space="preserve">delay the creation of any DIR until the proper plant records can be produced.  That means rejecting </w:t>
      </w:r>
      <w:r>
        <w:rPr>
          <w:rFonts w:ascii="Times New Roman" w:hAnsi="Times New Roman" w:cs="Times New Roman"/>
          <w:sz w:val="24"/>
          <w:szCs w:val="24"/>
        </w:rPr>
        <w:t>portions of the</w:t>
      </w:r>
      <w:r w:rsidRPr="00517C65">
        <w:rPr>
          <w:rFonts w:ascii="Times New Roman" w:hAnsi="Times New Roman" w:cs="Times New Roman"/>
          <w:sz w:val="24"/>
          <w:szCs w:val="24"/>
        </w:rPr>
        <w:t xml:space="preserve"> Settlement</w:t>
      </w:r>
      <w:r>
        <w:rPr>
          <w:rFonts w:ascii="Times New Roman" w:hAnsi="Times New Roman" w:cs="Times New Roman"/>
          <w:sz w:val="24"/>
          <w:szCs w:val="24"/>
        </w:rPr>
        <w:t xml:space="preserve"> allowing DP&amp;L to obtain a DIR</w:t>
      </w:r>
      <w:r w:rsidRPr="00517C65">
        <w:rPr>
          <w:rFonts w:ascii="Times New Roman" w:hAnsi="Times New Roman" w:cs="Times New Roman"/>
          <w:sz w:val="24"/>
          <w:szCs w:val="24"/>
        </w:rPr>
        <w:t xml:space="preserve">. </w:t>
      </w:r>
    </w:p>
    <w:p w:rsidR="00775C0C" w:rsidRPr="00517C65" w:rsidP="00517C65">
      <w:pPr>
        <w:pStyle w:val="Heading4"/>
      </w:pPr>
      <w:bookmarkStart w:id="42" w:name="_Toc481762066"/>
      <w:r w:rsidRPr="00517C65">
        <w:t xml:space="preserve">e. </w:t>
      </w:r>
      <w:r w:rsidRPr="00517C65">
        <w:tab/>
        <w:t>The Settlement includes a series of unsupported and unnecessary riders</w:t>
      </w:r>
      <w:r>
        <w:t>.</w:t>
      </w:r>
      <w:bookmarkEnd w:id="42"/>
      <w:r w:rsidRPr="00517C65">
        <w:t xml:space="preserve"> </w:t>
      </w:r>
    </w:p>
    <w:p w:rsidR="002D2ACA"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Settlement includes the creation of a Regulatory Compliance Rider,</w:t>
      </w:r>
      <w:r>
        <w:rPr>
          <w:rFonts w:ascii="Times New Roman" w:hAnsi="Times New Roman" w:cs="Times New Roman"/>
          <w:sz w:val="24"/>
          <w:szCs w:val="24"/>
          <w:vertAlign w:val="superscript"/>
        </w:rPr>
        <w:footnoteReference w:id="273"/>
      </w:r>
      <w:r w:rsidRPr="00517C65">
        <w:rPr>
          <w:rFonts w:ascii="Times New Roman" w:hAnsi="Times New Roman" w:cs="Times New Roman"/>
          <w:sz w:val="24"/>
          <w:szCs w:val="24"/>
        </w:rPr>
        <w:t xml:space="preserve"> Storm Cost Recovery Rider,</w:t>
      </w:r>
      <w:r>
        <w:rPr>
          <w:rFonts w:ascii="Times New Roman" w:hAnsi="Times New Roman" w:cs="Times New Roman"/>
          <w:sz w:val="24"/>
          <w:szCs w:val="24"/>
          <w:vertAlign w:val="superscript"/>
        </w:rPr>
        <w:footnoteReference w:id="274"/>
      </w:r>
      <w:r w:rsidRPr="00517C65">
        <w:rPr>
          <w:rFonts w:ascii="Times New Roman" w:hAnsi="Times New Roman" w:cs="Times New Roman"/>
          <w:sz w:val="24"/>
          <w:szCs w:val="24"/>
        </w:rPr>
        <w:t xml:space="preserve"> and an Uncollectible Rider.</w:t>
      </w:r>
      <w:r>
        <w:rPr>
          <w:rFonts w:ascii="Times New Roman" w:hAnsi="Times New Roman" w:cs="Times New Roman"/>
          <w:sz w:val="24"/>
          <w:szCs w:val="24"/>
          <w:vertAlign w:val="superscript"/>
        </w:rPr>
        <w:footnoteReference w:id="275"/>
      </w:r>
      <w:r>
        <w:rPr>
          <w:rFonts w:ascii="Times New Roman" w:hAnsi="Times New Roman" w:cs="Times New Roman"/>
          <w:sz w:val="24"/>
          <w:szCs w:val="24"/>
        </w:rPr>
        <w:t xml:space="preserve">  </w:t>
      </w:r>
      <w:r w:rsidRPr="00517C65">
        <w:rPr>
          <w:rFonts w:ascii="Times New Roman" w:hAnsi="Times New Roman" w:cs="Times New Roman"/>
          <w:sz w:val="24"/>
          <w:szCs w:val="24"/>
        </w:rPr>
        <w:t xml:space="preserve">It is inappropriate to create these riders without </w:t>
      </w:r>
      <w:r>
        <w:rPr>
          <w:rFonts w:ascii="Times New Roman" w:hAnsi="Times New Roman" w:cs="Times New Roman"/>
          <w:sz w:val="24"/>
          <w:szCs w:val="24"/>
        </w:rPr>
        <w:t xml:space="preserve">examining </w:t>
      </w:r>
      <w:r w:rsidRPr="00517C65">
        <w:rPr>
          <w:rFonts w:ascii="Times New Roman" w:hAnsi="Times New Roman" w:cs="Times New Roman"/>
          <w:sz w:val="24"/>
          <w:szCs w:val="24"/>
        </w:rPr>
        <w:t xml:space="preserve">cost components </w:t>
      </w:r>
      <w:r>
        <w:rPr>
          <w:rFonts w:ascii="Times New Roman" w:hAnsi="Times New Roman" w:cs="Times New Roman"/>
          <w:sz w:val="24"/>
          <w:szCs w:val="24"/>
        </w:rPr>
        <w:t xml:space="preserve">in the context of a </w:t>
      </w:r>
      <w:r w:rsidRPr="00517C65">
        <w:rPr>
          <w:rFonts w:ascii="Times New Roman" w:hAnsi="Times New Roman" w:cs="Times New Roman"/>
          <w:sz w:val="24"/>
          <w:szCs w:val="24"/>
        </w:rPr>
        <w:t xml:space="preserve">base rate case.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Regarding the Regulatory Compliance Rider, DP&amp;L seeks to recover cost deferrals approved by the PUCO.</w:t>
      </w:r>
      <w:r>
        <w:rPr>
          <w:rFonts w:ascii="Times New Roman" w:hAnsi="Times New Roman" w:cs="Times New Roman"/>
          <w:sz w:val="24"/>
          <w:szCs w:val="24"/>
          <w:vertAlign w:val="superscript"/>
        </w:rPr>
        <w:footnoteReference w:id="276"/>
      </w:r>
      <w:r w:rsidRPr="00517C65">
        <w:rPr>
          <w:rFonts w:ascii="Times New Roman" w:hAnsi="Times New Roman" w:cs="Times New Roman"/>
          <w:sz w:val="24"/>
          <w:szCs w:val="24"/>
        </w:rPr>
        <w:t xml:space="preserve"> But DP&amp;L has not provided any information regarding deferral authorities.</w:t>
      </w:r>
      <w:r>
        <w:rPr>
          <w:rFonts w:ascii="Times New Roman" w:hAnsi="Times New Roman" w:cs="Times New Roman"/>
          <w:sz w:val="24"/>
          <w:szCs w:val="24"/>
          <w:vertAlign w:val="superscript"/>
        </w:rPr>
        <w:footnoteReference w:id="277"/>
      </w:r>
      <w:r w:rsidRPr="00517C65">
        <w:rPr>
          <w:rFonts w:ascii="Times New Roman" w:hAnsi="Times New Roman" w:cs="Times New Roman"/>
          <w:sz w:val="24"/>
          <w:szCs w:val="24"/>
        </w:rPr>
        <w:t xml:space="preserve">  Without a Staff review to determine that those deferral authorities were properly incurred, there is no basis to understand whether any of the costs are just and reasonable.</w:t>
      </w:r>
      <w:r>
        <w:rPr>
          <w:rFonts w:ascii="Times New Roman" w:hAnsi="Times New Roman" w:cs="Times New Roman"/>
          <w:sz w:val="24"/>
          <w:szCs w:val="24"/>
          <w:vertAlign w:val="superscript"/>
        </w:rPr>
        <w:footnoteReference w:id="278"/>
      </w:r>
      <w:r w:rsidRPr="00517C65">
        <w:rPr>
          <w:rFonts w:ascii="Times New Roman" w:hAnsi="Times New Roman" w:cs="Times New Roman"/>
          <w:sz w:val="24"/>
          <w:szCs w:val="24"/>
        </w:rPr>
        <w:t xml:space="preserve"> There is no basis for approving the Regulatory Compliance Rider until those costs are known.</w:t>
      </w:r>
      <w:r>
        <w:rPr>
          <w:rStyle w:val="FootnoteReference"/>
          <w:rFonts w:ascii="Times New Roman" w:hAnsi="Times New Roman" w:cs="Times New Roman"/>
          <w:sz w:val="24"/>
          <w:szCs w:val="24"/>
        </w:rPr>
        <w:footnoteReference w:id="279"/>
      </w:r>
      <w:r w:rsidRPr="00517C65">
        <w:rPr>
          <w:rFonts w:ascii="Times New Roman" w:hAnsi="Times New Roman" w:cs="Times New Roman"/>
          <w:sz w:val="24"/>
          <w:szCs w:val="24"/>
        </w:rPr>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Regarding the Storm Cost Recovery Rider, a baseline level of storm recovery costs has not been established.</w:t>
      </w:r>
      <w:r>
        <w:rPr>
          <w:rFonts w:ascii="Times New Roman" w:hAnsi="Times New Roman" w:cs="Times New Roman"/>
          <w:sz w:val="24"/>
          <w:szCs w:val="24"/>
          <w:vertAlign w:val="superscript"/>
        </w:rPr>
        <w:footnoteReference w:id="280"/>
      </w:r>
      <w:r w:rsidRPr="00517C65">
        <w:rPr>
          <w:rFonts w:ascii="Times New Roman" w:hAnsi="Times New Roman" w:cs="Times New Roman"/>
          <w:sz w:val="24"/>
          <w:szCs w:val="24"/>
        </w:rPr>
        <w:t xml:space="preserve"> This baseline is necessary to ensure that storm costs are not being double collected.</w:t>
      </w:r>
      <w:r>
        <w:rPr>
          <w:rFonts w:ascii="Times New Roman" w:hAnsi="Times New Roman" w:cs="Times New Roman"/>
          <w:sz w:val="24"/>
          <w:szCs w:val="24"/>
          <w:vertAlign w:val="superscript"/>
        </w:rPr>
        <w:footnoteReference w:id="281"/>
      </w:r>
      <w:r w:rsidRPr="00517C65">
        <w:rPr>
          <w:rFonts w:ascii="Times New Roman" w:hAnsi="Times New Roman" w:cs="Times New Roman"/>
          <w:sz w:val="24"/>
          <w:szCs w:val="24"/>
        </w:rPr>
        <w:t xml:space="preserve"> These costs should be established in a base rate case, and a rider could be proposed in that case. Yet the Settlement allows DP&amp;L to bypass this standard regulatory practice and use a three-year average of major storm expenses as a surrogate for what customers are already paying in base rates.</w:t>
      </w:r>
      <w:r>
        <w:rPr>
          <w:rFonts w:ascii="Times New Roman" w:hAnsi="Times New Roman" w:cs="Times New Roman"/>
          <w:sz w:val="24"/>
          <w:szCs w:val="24"/>
          <w:vertAlign w:val="superscript"/>
        </w:rPr>
        <w:footnoteReference w:id="282"/>
      </w:r>
      <w:r w:rsidRPr="00517C65">
        <w:rPr>
          <w:rFonts w:ascii="Times New Roman" w:hAnsi="Times New Roman" w:cs="Times New Roman"/>
          <w:sz w:val="24"/>
          <w:szCs w:val="24"/>
        </w:rPr>
        <w:t xml:space="preserve"> This is entirely inappropriate and this entire issue, including the creation of this rider, should be dealt with in a base rate </w:t>
      </w:r>
      <w:r>
        <w:rPr>
          <w:rFonts w:ascii="Times New Roman" w:hAnsi="Times New Roman" w:cs="Times New Roman"/>
          <w:sz w:val="24"/>
          <w:szCs w:val="24"/>
        </w:rPr>
        <w:t xml:space="preserve">case </w:t>
      </w:r>
      <w:r w:rsidRPr="00517C65">
        <w:rPr>
          <w:rFonts w:ascii="Times New Roman" w:hAnsi="Times New Roman" w:cs="Times New Roman"/>
          <w:sz w:val="24"/>
          <w:szCs w:val="24"/>
        </w:rPr>
        <w:t xml:space="preserve">proceeding.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Uncollectible Rider has similar problems to the Storm Cost Recovery Rider. DP&amp;L has not provided any information about any costs that have been deferred or the previous amounts that have been allocated for this purpose.</w:t>
      </w:r>
      <w:r>
        <w:rPr>
          <w:rFonts w:ascii="Times New Roman" w:hAnsi="Times New Roman" w:cs="Times New Roman"/>
          <w:sz w:val="24"/>
          <w:szCs w:val="24"/>
          <w:vertAlign w:val="superscript"/>
        </w:rPr>
        <w:footnoteReference w:id="283"/>
      </w:r>
      <w:r w:rsidRPr="00517C65">
        <w:rPr>
          <w:rFonts w:ascii="Times New Roman" w:hAnsi="Times New Roman" w:cs="Times New Roman"/>
          <w:sz w:val="24"/>
          <w:szCs w:val="24"/>
        </w:rPr>
        <w:t xml:space="preserve"> </w:t>
      </w:r>
      <w:r>
        <w:rPr>
          <w:rFonts w:ascii="Times New Roman" w:hAnsi="Times New Roman" w:cs="Times New Roman"/>
          <w:sz w:val="24"/>
          <w:szCs w:val="24"/>
        </w:rPr>
        <w:t xml:space="preserve">Nor has it provided any analysis to show how much of these costs are already being collected in base rates.  </w:t>
      </w:r>
      <w:r w:rsidRPr="00517C65">
        <w:rPr>
          <w:rFonts w:ascii="Times New Roman" w:hAnsi="Times New Roman" w:cs="Times New Roman"/>
          <w:sz w:val="24"/>
          <w:szCs w:val="24"/>
        </w:rPr>
        <w:t>Without the analysis contained in a Staff Report, there is no certainty that this rider will not result in customers being double charged.</w:t>
      </w:r>
      <w:r>
        <w:rPr>
          <w:rFonts w:ascii="Times New Roman" w:hAnsi="Times New Roman" w:cs="Times New Roman"/>
          <w:sz w:val="24"/>
          <w:szCs w:val="24"/>
          <w:vertAlign w:val="superscript"/>
        </w:rPr>
        <w:footnoteReference w:id="284"/>
      </w:r>
      <w:r w:rsidRPr="00517C65">
        <w:rPr>
          <w:rFonts w:ascii="Times New Roman" w:hAnsi="Times New Roman" w:cs="Times New Roman"/>
          <w:sz w:val="24"/>
          <w:szCs w:val="24"/>
        </w:rPr>
        <w:t xml:space="preserve"> As OCC Witness Williams specifies, “there is no justification for creating an uncollectible rider when DP&amp;L has failed to demonstrate the need for the rider.  The Uncollectible Rider is just another ill-disguised attempt to circumvent the rate case process.”</w:t>
      </w:r>
      <w:r>
        <w:rPr>
          <w:rFonts w:ascii="Times New Roman" w:hAnsi="Times New Roman" w:cs="Times New Roman"/>
          <w:sz w:val="24"/>
          <w:szCs w:val="24"/>
          <w:vertAlign w:val="superscript"/>
        </w:rPr>
        <w:footnoteReference w:id="285"/>
      </w:r>
    </w:p>
    <w:p w:rsidR="00775C0C" w:rsidRPr="00517C65" w:rsidP="00517C65">
      <w:pPr>
        <w:pStyle w:val="Heading4"/>
      </w:pPr>
      <w:bookmarkStart w:id="43" w:name="_Toc481762067"/>
      <w:r w:rsidRPr="00517C65">
        <w:t xml:space="preserve">f. </w:t>
      </w:r>
      <w:r w:rsidRPr="00517C65">
        <w:tab/>
        <w:t>In accordance with regulatory practice, a rules review regarding non-commodity billing should be conducted during the comprehensive review of all the CRES rules</w:t>
      </w:r>
      <w:r>
        <w:t>.</w:t>
      </w:r>
      <w:bookmarkEnd w:id="43"/>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Settlement requires Staff to request that the PUCO conduct a rules review to  establish parameters regarding non-commodity billing and for DP&amp;L to submit an application to establish non-commodity billing within 18 months of approval of the Settlement.</w:t>
      </w:r>
      <w:r>
        <w:rPr>
          <w:rStyle w:val="FootnoteReference"/>
          <w:rFonts w:ascii="Times New Roman" w:hAnsi="Times New Roman" w:cs="Times New Roman"/>
          <w:sz w:val="24"/>
          <w:szCs w:val="24"/>
        </w:rPr>
        <w:footnoteReference w:id="286"/>
      </w:r>
      <w:r>
        <w:rPr>
          <w:rFonts w:ascii="Times New Roman" w:hAnsi="Times New Roman" w:cs="Times New Roman"/>
          <w:sz w:val="24"/>
          <w:szCs w:val="24"/>
        </w:rPr>
        <w:t xml:space="preserve">  </w:t>
      </w:r>
      <w:r w:rsidRPr="00517C65">
        <w:rPr>
          <w:rFonts w:ascii="Times New Roman" w:hAnsi="Times New Roman" w:cs="Times New Roman"/>
          <w:sz w:val="24"/>
          <w:szCs w:val="24"/>
        </w:rPr>
        <w:t>A special and specific rules review is inappropriate at this time. The PUCO is required to conduct a rules review every five years, and the rules regarding marketers will be reviewed by July 24, 2019.</w:t>
      </w:r>
      <w:r>
        <w:rPr>
          <w:rStyle w:val="FootnoteReference"/>
          <w:rFonts w:ascii="Times New Roman" w:hAnsi="Times New Roman" w:cs="Times New Roman"/>
          <w:sz w:val="24"/>
          <w:szCs w:val="24"/>
        </w:rPr>
        <w:footnoteReference w:id="287"/>
      </w:r>
      <w:r w:rsidRPr="00517C65">
        <w:rPr>
          <w:rFonts w:ascii="Times New Roman" w:hAnsi="Times New Roman" w:cs="Times New Roman"/>
          <w:sz w:val="24"/>
          <w:szCs w:val="24"/>
        </w:rPr>
        <w:t xml:space="preserve">  This rules review can thus comprehensively examine all the issues associated with marketers and the issue of non-commodity billing can and should be appropriately examined in that context. The PUCO should reject this request for a special rules review and reject the requirement for DP&amp;L to file an application to establish non-commodity billing.</w:t>
      </w:r>
    </w:p>
    <w:p w:rsidR="00775C0C" w:rsidRPr="00517C65" w:rsidP="00517C65">
      <w:pPr>
        <w:pStyle w:val="Heading4"/>
      </w:pPr>
      <w:bookmarkStart w:id="44" w:name="_Toc481762068"/>
      <w:r w:rsidRPr="00517C65">
        <w:t xml:space="preserve">g. </w:t>
      </w:r>
      <w:r w:rsidRPr="00517C65">
        <w:tab/>
        <w:t>The proposed allocation of the DMR’s costs harms consumers by violating numerous important regulatory principles and practices</w:t>
      </w:r>
      <w:r>
        <w:t>.</w:t>
      </w:r>
      <w:bookmarkEnd w:id="44"/>
    </w:p>
    <w:p w:rsidR="00594348" w:rsidRPr="00517C65" w:rsidP="00B83BAD">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cornerstone of cost allocation is that rates should be designed to “best reflect the</w:t>
      </w:r>
      <w:r>
        <w:rPr>
          <w:rFonts w:ascii="Times New Roman" w:hAnsi="Times New Roman" w:cs="Times New Roman"/>
          <w:sz w:val="24"/>
          <w:szCs w:val="24"/>
        </w:rPr>
        <w:t xml:space="preserve"> </w:t>
      </w:r>
      <w:r w:rsidRPr="00517C65">
        <w:rPr>
          <w:rFonts w:ascii="Times New Roman" w:hAnsi="Times New Roman" w:cs="Times New Roman"/>
          <w:sz w:val="24"/>
          <w:szCs w:val="24"/>
        </w:rPr>
        <w:t>‘causers’ of the costs (i.e., cost causation).”</w:t>
      </w:r>
      <w:r>
        <w:rPr>
          <w:rStyle w:val="FootnoteReference"/>
          <w:rFonts w:ascii="Times New Roman" w:hAnsi="Times New Roman" w:cs="Times New Roman"/>
          <w:sz w:val="24"/>
          <w:szCs w:val="24"/>
        </w:rPr>
        <w:footnoteReference w:id="288"/>
      </w:r>
      <w:r w:rsidRPr="00517C65">
        <w:rPr>
          <w:rFonts w:ascii="Times New Roman" w:hAnsi="Times New Roman" w:cs="Times New Roman"/>
          <w:sz w:val="24"/>
          <w:szCs w:val="24"/>
        </w:rPr>
        <w:t xml:space="preserve">  DP&amp;L Witness Jackson admits</w:t>
      </w:r>
      <w:r>
        <w:rPr>
          <w:rFonts w:ascii="Times New Roman" w:hAnsi="Times New Roman" w:cs="Times New Roman"/>
          <w:sz w:val="24"/>
          <w:szCs w:val="24"/>
        </w:rPr>
        <w:t>, however,</w:t>
      </w:r>
      <w:r w:rsidRPr="00517C65">
        <w:rPr>
          <w:rFonts w:ascii="Times New Roman" w:hAnsi="Times New Roman" w:cs="Times New Roman"/>
          <w:sz w:val="24"/>
          <w:szCs w:val="24"/>
        </w:rPr>
        <w:t xml:space="preserve"> that DMR is not linked in any way to cost causation principles.</w:t>
      </w:r>
      <w:r>
        <w:rPr>
          <w:rStyle w:val="FootnoteReference"/>
          <w:rFonts w:ascii="Times New Roman" w:hAnsi="Times New Roman" w:cs="Times New Roman"/>
          <w:sz w:val="24"/>
          <w:szCs w:val="24"/>
        </w:rPr>
        <w:footnoteReference w:id="289"/>
      </w:r>
      <w:r w:rsidRPr="00517C65">
        <w:rPr>
          <w:rFonts w:ascii="Times New Roman" w:hAnsi="Times New Roman" w:cs="Times New Roman"/>
          <w:sz w:val="24"/>
          <w:szCs w:val="24"/>
        </w:rPr>
        <w:t xml:space="preserve">  By DP&amp;L’s own admission, DMR</w:t>
      </w:r>
      <w:r>
        <w:rPr>
          <w:rFonts w:ascii="Times New Roman" w:hAnsi="Times New Roman" w:cs="Times New Roman"/>
          <w:sz w:val="24"/>
          <w:szCs w:val="24"/>
        </w:rPr>
        <w:t xml:space="preserve"> is not properly assigning costs to cost causers</w:t>
      </w:r>
      <w:r w:rsidRPr="00517C65">
        <w:rPr>
          <w:rFonts w:ascii="Times New Roman" w:hAnsi="Times New Roman" w:cs="Times New Roman"/>
          <w:sz w:val="24"/>
          <w:szCs w:val="24"/>
        </w:rPr>
        <w:t xml:space="preserve">. </w:t>
      </w:r>
      <w:r>
        <w:rPr>
          <w:rFonts w:ascii="Times New Roman" w:hAnsi="Times New Roman" w:cs="Times New Roman"/>
          <w:sz w:val="24"/>
          <w:szCs w:val="24"/>
        </w:rPr>
        <w:t xml:space="preserve"> The cost causer is AES, as explained above.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Ignoring the bedrock principle of cost causation, the Settlement utilizes a “combination allocation methodology” that </w:t>
      </w:r>
      <w:r>
        <w:rPr>
          <w:rFonts w:ascii="Times New Roman" w:hAnsi="Times New Roman" w:cs="Times New Roman"/>
          <w:sz w:val="24"/>
          <w:szCs w:val="24"/>
        </w:rPr>
        <w:t>rests on</w:t>
      </w:r>
      <w:r w:rsidRPr="00517C65">
        <w:rPr>
          <w:rFonts w:ascii="Times New Roman" w:hAnsi="Times New Roman" w:cs="Times New Roman"/>
          <w:sz w:val="24"/>
          <w:szCs w:val="24"/>
        </w:rPr>
        <w:t xml:space="preserve"> a foundation made of sand.  Residential consumers are assigned a significant portion of the costs of the DMR.  </w:t>
      </w:r>
      <w:r>
        <w:rPr>
          <w:rFonts w:ascii="Times New Roman" w:hAnsi="Times New Roman" w:cs="Times New Roman"/>
          <w:sz w:val="24"/>
          <w:szCs w:val="24"/>
        </w:rPr>
        <w:t xml:space="preserve">The practical reason is that representatives of residential customers did not sign onto the Settlement.  </w:t>
      </w:r>
      <w:r w:rsidRPr="00517C65">
        <w:rPr>
          <w:rFonts w:ascii="Times New Roman" w:hAnsi="Times New Roman" w:cs="Times New Roman"/>
          <w:sz w:val="24"/>
          <w:szCs w:val="24"/>
        </w:rPr>
        <w:t xml:space="preserve">If the PUCO approves this combination methodology, then residential consumers will be trapped under the weight of a disproportionate amount of DMR costs.  </w:t>
      </w:r>
      <w:r>
        <w:rPr>
          <w:rFonts w:ascii="Times New Roman" w:hAnsi="Times New Roman" w:cs="Times New Roman"/>
          <w:sz w:val="24"/>
          <w:szCs w:val="24"/>
        </w:rPr>
        <w:t xml:space="preserve">This threatens to make service to residential customers unaffordable. </w:t>
      </w:r>
      <w:r w:rsidRPr="00517C65">
        <w:rPr>
          <w:rFonts w:ascii="Times New Roman" w:hAnsi="Times New Roman" w:cs="Times New Roman"/>
          <w:sz w:val="24"/>
          <w:szCs w:val="24"/>
        </w:rPr>
        <w:t>The Settlement should not be adopted with the combination cost allocation methodology for DMR as a provision of the Settlement.</w:t>
      </w:r>
    </w:p>
    <w:p w:rsidR="00775C0C" w:rsidRPr="00517C65" w:rsidP="008B11B3">
      <w:pPr>
        <w:spacing w:after="0" w:line="480" w:lineRule="auto"/>
        <w:ind w:left="720"/>
        <w:rPr>
          <w:rFonts w:ascii="Times New Roman" w:hAnsi="Times New Roman" w:cs="Times New Roman"/>
          <w:sz w:val="24"/>
          <w:szCs w:val="24"/>
        </w:rPr>
      </w:pPr>
      <w:r w:rsidRPr="00517C65">
        <w:rPr>
          <w:rFonts w:ascii="Times New Roman" w:hAnsi="Times New Roman" w:cs="Times New Roman"/>
          <w:sz w:val="24"/>
          <w:szCs w:val="24"/>
        </w:rPr>
        <w:t>Additionally, the combination methodology proposed in the Settlement</w:t>
      </w:r>
    </w:p>
    <w:p w:rsidR="00775C0C" w:rsidRPr="00517C65" w:rsidP="00775C0C">
      <w:pPr>
        <w:spacing w:after="0" w:line="480" w:lineRule="auto"/>
        <w:rPr>
          <w:rFonts w:ascii="Times New Roman" w:hAnsi="Times New Roman" w:cs="Times New Roman"/>
          <w:sz w:val="24"/>
          <w:szCs w:val="24"/>
        </w:rPr>
      </w:pPr>
      <w:r w:rsidRPr="00517C65">
        <w:rPr>
          <w:rFonts w:ascii="Times New Roman" w:hAnsi="Times New Roman" w:cs="Times New Roman"/>
          <w:sz w:val="24"/>
          <w:szCs w:val="24"/>
        </w:rPr>
        <w:t xml:space="preserve">violates the third prong by disregarding prior PUCO precedent.  In October 2016, the PUCO approved a DMR for FirstEnergy.  That case was the first and only other time that the PUCO has approved a DMR.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PUCO’s entry in the FirstEnergy case found that FirstEnergy’s DMR was “primarily a distribution-related rider” and that the PUCO should take a “hybrid approach” to allocating Rider DMR costs.</w:t>
      </w:r>
      <w:r>
        <w:rPr>
          <w:rStyle w:val="FootnoteReference"/>
          <w:rFonts w:ascii="Times New Roman" w:hAnsi="Times New Roman" w:cs="Times New Roman"/>
          <w:sz w:val="24"/>
          <w:szCs w:val="24"/>
        </w:rPr>
        <w:footnoteReference w:id="290"/>
      </w:r>
      <w:r w:rsidRPr="00517C65">
        <w:rPr>
          <w:rFonts w:ascii="Times New Roman" w:hAnsi="Times New Roman" w:cs="Times New Roman"/>
          <w:sz w:val="24"/>
          <w:szCs w:val="24"/>
        </w:rPr>
        <w:t xml:space="preserve">  Finding that an allocation of 44</w:t>
      </w:r>
      <w:r>
        <w:rPr>
          <w:rFonts w:ascii="Times New Roman" w:hAnsi="Times New Roman" w:cs="Times New Roman"/>
          <w:sz w:val="24"/>
          <w:szCs w:val="24"/>
        </w:rPr>
        <w:t>%</w:t>
      </w:r>
      <w:r w:rsidRPr="00517C65">
        <w:rPr>
          <w:rFonts w:ascii="Times New Roman" w:hAnsi="Times New Roman" w:cs="Times New Roman"/>
          <w:sz w:val="24"/>
          <w:szCs w:val="24"/>
        </w:rPr>
        <w:t xml:space="preserve"> of the DMR’s costs to residential consumers would “excessively impact residential consumers,” the PUCO concluded that, based upon the testimony of PUCO Staff Witness Turkenton, an allocation based on “50</w:t>
      </w:r>
      <w:r>
        <w:rPr>
          <w:rFonts w:ascii="Times New Roman" w:hAnsi="Times New Roman" w:cs="Times New Roman"/>
          <w:sz w:val="24"/>
          <w:szCs w:val="24"/>
        </w:rPr>
        <w:t>%</w:t>
      </w:r>
      <w:r w:rsidRPr="00517C65">
        <w:rPr>
          <w:rFonts w:ascii="Times New Roman" w:hAnsi="Times New Roman" w:cs="Times New Roman"/>
          <w:sz w:val="24"/>
          <w:szCs w:val="24"/>
        </w:rPr>
        <w:t xml:space="preserve"> energy and 50</w:t>
      </w:r>
      <w:r>
        <w:rPr>
          <w:rFonts w:ascii="Times New Roman" w:hAnsi="Times New Roman" w:cs="Times New Roman"/>
          <w:sz w:val="24"/>
          <w:szCs w:val="24"/>
        </w:rPr>
        <w:t>%</w:t>
      </w:r>
      <w:r w:rsidRPr="00517C65">
        <w:rPr>
          <w:rFonts w:ascii="Times New Roman" w:hAnsi="Times New Roman" w:cs="Times New Roman"/>
          <w:sz w:val="24"/>
          <w:szCs w:val="24"/>
        </w:rPr>
        <w:t xml:space="preserve"> demand” was more appropriate.</w:t>
      </w:r>
      <w:r>
        <w:rPr>
          <w:rStyle w:val="FootnoteReference"/>
          <w:rFonts w:ascii="Times New Roman" w:hAnsi="Times New Roman" w:cs="Times New Roman"/>
          <w:sz w:val="24"/>
          <w:szCs w:val="24"/>
        </w:rPr>
        <w:footnoteReference w:id="291"/>
      </w:r>
      <w:r w:rsidRPr="00517C65">
        <w:rPr>
          <w:rFonts w:ascii="Times New Roman" w:hAnsi="Times New Roman" w:cs="Times New Roman"/>
          <w:sz w:val="24"/>
          <w:szCs w:val="24"/>
        </w:rPr>
        <w:t xml:space="preserve">  Such an allocation “best embod[ied] the concept of gradualism “ and “mitigate[d] the impact of [FirstEnergy’s] Rider DMR on residential customers.”</w:t>
      </w:r>
      <w:r>
        <w:rPr>
          <w:rStyle w:val="FootnoteReference"/>
          <w:rFonts w:ascii="Times New Roman" w:hAnsi="Times New Roman" w:cs="Times New Roman"/>
          <w:sz w:val="24"/>
          <w:szCs w:val="24"/>
        </w:rPr>
        <w:footnoteReference w:id="292"/>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Therefore, if the DMR is approved</w:t>
      </w:r>
      <w:r>
        <w:rPr>
          <w:rFonts w:ascii="Times New Roman" w:hAnsi="Times New Roman" w:cs="Times New Roman"/>
          <w:sz w:val="24"/>
          <w:szCs w:val="24"/>
        </w:rPr>
        <w:t xml:space="preserve"> (which OCC is not recommending) </w:t>
      </w:r>
      <w:r w:rsidRPr="00517C65">
        <w:rPr>
          <w:rFonts w:ascii="Times New Roman" w:hAnsi="Times New Roman" w:cs="Times New Roman"/>
          <w:sz w:val="24"/>
          <w:szCs w:val="24"/>
        </w:rPr>
        <w:t xml:space="preserve">the PUCO’s decision regarding the allocation of the DMR’s costs in the FirstEnergy proceeding should be followed here.  This precedent – only six months old – is the only </w:t>
      </w:r>
      <w:r>
        <w:rPr>
          <w:rFonts w:ascii="Times New Roman" w:hAnsi="Times New Roman" w:cs="Times New Roman"/>
          <w:sz w:val="24"/>
          <w:szCs w:val="24"/>
        </w:rPr>
        <w:t>standard</w:t>
      </w:r>
      <w:r w:rsidRPr="00517C65">
        <w:rPr>
          <w:rFonts w:ascii="Times New Roman" w:hAnsi="Times New Roman" w:cs="Times New Roman"/>
          <w:sz w:val="24"/>
          <w:szCs w:val="24"/>
        </w:rPr>
        <w:t xml:space="preserve"> for allocation of costs under a DMR.  Neither DP&amp;L nor any of the signatory parties to the Settlement have provided any support as to why the PUCO should diverge from this prior precedent in favor of the combination methodology. </w:t>
      </w:r>
    </w:p>
    <w:p w:rsidR="00181FB2" w:rsidRPr="00517C65" w:rsidP="00517C65">
      <w:pPr>
        <w:pStyle w:val="Heading4"/>
      </w:pPr>
      <w:bookmarkStart w:id="45" w:name="_Toc481762069"/>
      <w:r w:rsidRPr="00517C65">
        <w:t xml:space="preserve">h. </w:t>
      </w:r>
      <w:r w:rsidRPr="00517C65">
        <w:tab/>
        <w:t>The Reconciliation Rider violates fundamental regulatory principles</w:t>
      </w:r>
      <w:r>
        <w:t>.</w:t>
      </w:r>
      <w:bookmarkEnd w:id="45"/>
    </w:p>
    <w:p w:rsidR="00181FB2" w:rsidRPr="00517C65" w:rsidP="004E60E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One hundred percent of OVEC’s net costs are allocated to SSO customers.</w:t>
      </w:r>
      <w:r>
        <w:rPr>
          <w:rStyle w:val="FootnoteReference"/>
          <w:rFonts w:ascii="Times New Roman" w:hAnsi="Times New Roman" w:cs="Times New Roman"/>
          <w:sz w:val="24"/>
          <w:szCs w:val="24"/>
        </w:rPr>
        <w:footnoteReference w:id="293"/>
      </w:r>
      <w:r w:rsidRPr="00517C65">
        <w:rPr>
          <w:rFonts w:ascii="Times New Roman" w:hAnsi="Times New Roman" w:cs="Times New Roman"/>
          <w:sz w:val="24"/>
          <w:szCs w:val="24"/>
        </w:rPr>
        <w:t xml:space="preserve">  “This allocation clearly is improper because the OVEC costs have nothing to do with the provision of SSO.”</w:t>
      </w:r>
      <w:r>
        <w:rPr>
          <w:rStyle w:val="FootnoteReference"/>
          <w:rFonts w:ascii="Times New Roman" w:hAnsi="Times New Roman" w:cs="Times New Roman"/>
          <w:sz w:val="24"/>
          <w:szCs w:val="24"/>
        </w:rPr>
        <w:footnoteReference w:id="294"/>
      </w:r>
      <w:r w:rsidRPr="00517C65">
        <w:rPr>
          <w:rFonts w:ascii="Times New Roman" w:hAnsi="Times New Roman" w:cs="Times New Roman"/>
          <w:sz w:val="24"/>
          <w:szCs w:val="24"/>
        </w:rPr>
        <w:t xml:space="preserve">  This allocation violates the principle of cost causation and any other generally accepted regulatory principle of cost allocation.</w:t>
      </w:r>
      <w:r>
        <w:rPr>
          <w:rStyle w:val="FootnoteReference"/>
          <w:rFonts w:ascii="Times New Roman" w:hAnsi="Times New Roman" w:cs="Times New Roman"/>
          <w:sz w:val="24"/>
          <w:szCs w:val="24"/>
        </w:rPr>
        <w:footnoteReference w:id="295"/>
      </w:r>
      <w:r w:rsidRPr="00517C65">
        <w:rPr>
          <w:rFonts w:ascii="Times New Roman" w:hAnsi="Times New Roman" w:cs="Times New Roman"/>
          <w:sz w:val="24"/>
          <w:szCs w:val="24"/>
        </w:rPr>
        <w:t xml:space="preserve">  Further, it discriminates against SSO customers.</w:t>
      </w:r>
      <w:r>
        <w:rPr>
          <w:rStyle w:val="FootnoteReference"/>
          <w:rFonts w:ascii="Times New Roman" w:hAnsi="Times New Roman" w:cs="Times New Roman"/>
          <w:sz w:val="24"/>
          <w:szCs w:val="24"/>
        </w:rPr>
        <w:footnoteReference w:id="296"/>
      </w:r>
      <w:r w:rsidRPr="00517C65">
        <w:rPr>
          <w:rFonts w:ascii="Times New Roman" w:hAnsi="Times New Roman" w:cs="Times New Roman"/>
          <w:sz w:val="24"/>
          <w:szCs w:val="24"/>
        </w:rPr>
        <w:t xml:space="preserve">  </w:t>
      </w:r>
      <w:r>
        <w:rPr>
          <w:rFonts w:ascii="Times New Roman" w:hAnsi="Times New Roman" w:cs="Times New Roman"/>
          <w:sz w:val="24"/>
          <w:szCs w:val="24"/>
        </w:rPr>
        <w:t xml:space="preserve">SSO customers will </w:t>
      </w:r>
      <w:r w:rsidRPr="00517C65">
        <w:rPr>
          <w:rFonts w:ascii="Times New Roman" w:hAnsi="Times New Roman" w:cs="Times New Roman"/>
          <w:sz w:val="24"/>
          <w:szCs w:val="24"/>
        </w:rPr>
        <w:t>pay all of the OVEC costs even though such costs have nothing to do with SSO service.</w:t>
      </w:r>
      <w:r>
        <w:rPr>
          <w:rStyle w:val="FootnoteReference"/>
          <w:rFonts w:ascii="Times New Roman" w:hAnsi="Times New Roman" w:cs="Times New Roman"/>
          <w:sz w:val="24"/>
          <w:szCs w:val="24"/>
        </w:rPr>
        <w:footnoteReference w:id="297"/>
      </w:r>
      <w:r w:rsidRPr="00517C65">
        <w:rPr>
          <w:rFonts w:ascii="Times New Roman" w:hAnsi="Times New Roman" w:cs="Times New Roman"/>
          <w:sz w:val="24"/>
          <w:szCs w:val="24"/>
        </w:rPr>
        <w:t xml:space="preserve">  It therefore violates Ohio law.</w:t>
      </w:r>
      <w:r>
        <w:rPr>
          <w:rStyle w:val="FootnoteReference"/>
          <w:rFonts w:ascii="Times New Roman" w:hAnsi="Times New Roman" w:cs="Times New Roman"/>
          <w:sz w:val="24"/>
          <w:szCs w:val="24"/>
        </w:rPr>
        <w:footnoteReference w:id="298"/>
      </w:r>
    </w:p>
    <w:p w:rsidR="001D3C4F" w:rsidRPr="00517C65" w:rsidP="00EB0EF4">
      <w:pPr>
        <w:pStyle w:val="Heading2"/>
        <w:numPr>
          <w:ilvl w:val="0"/>
          <w:numId w:val="0"/>
        </w:numPr>
        <w:ind w:left="1440" w:hanging="720"/>
      </w:pPr>
      <w:bookmarkStart w:id="46" w:name="_Toc481762070"/>
      <w:r w:rsidRPr="00517C65">
        <w:t xml:space="preserve">C. </w:t>
      </w:r>
      <w:r w:rsidRPr="00517C65">
        <w:tab/>
        <w:t>The ESP embodied in the Settlement fails the ESP versus MRO test.</w:t>
      </w:r>
      <w:bookmarkEnd w:id="46"/>
    </w:p>
    <w:p w:rsidR="00775C0C" w:rsidRPr="00517C65" w:rsidP="00225B94">
      <w:pPr>
        <w:pStyle w:val="Heading3"/>
      </w:pPr>
      <w:bookmarkStart w:id="47" w:name="_Toc481762071"/>
      <w:r w:rsidRPr="00517C65">
        <w:t>1.</w:t>
      </w:r>
      <w:r w:rsidRPr="00517C65">
        <w:tab/>
        <w:t>The governing standard</w:t>
      </w:r>
      <w:r>
        <w:t>.</w:t>
      </w:r>
      <w:bookmarkEnd w:id="47"/>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Ohio Revised Code Section 4928.143(C) requires that the PUCO only approve an ESP if it finds that the plan, including its pricing and all other terms and conditions, is more favorable in the aggregate as compared to the expected results of a market rate offer under R.C. 4928.142.  This statutory test – referred to as the ESP versus MRO test – involves three elements:</w:t>
      </w:r>
    </w:p>
    <w:p w:rsidR="00775C0C" w:rsidRPr="00517C65" w:rsidP="00775C0C">
      <w:pPr>
        <w:spacing w:after="0" w:line="240" w:lineRule="auto"/>
        <w:ind w:firstLine="720"/>
        <w:rPr>
          <w:rFonts w:ascii="Times New Roman" w:hAnsi="Times New Roman" w:cs="Times New Roman"/>
          <w:sz w:val="24"/>
          <w:szCs w:val="24"/>
        </w:rPr>
      </w:pPr>
    </w:p>
    <w:p w:rsidR="00775C0C" w:rsidRPr="00517C65" w:rsidP="00677085">
      <w:pPr>
        <w:pStyle w:val="ListParagraph"/>
        <w:numPr>
          <w:ilvl w:val="0"/>
          <w:numId w:val="23"/>
        </w:numPr>
        <w:spacing w:after="0" w:line="240" w:lineRule="auto"/>
        <w:ind w:left="2160" w:right="720" w:hanging="720"/>
        <w:rPr>
          <w:rFonts w:ascii="Times New Roman" w:hAnsi="Times New Roman" w:cs="Times New Roman"/>
          <w:sz w:val="24"/>
          <w:szCs w:val="24"/>
        </w:rPr>
      </w:pPr>
      <w:r w:rsidRPr="00517C65">
        <w:rPr>
          <w:rFonts w:ascii="Times New Roman" w:hAnsi="Times New Roman" w:cs="Times New Roman"/>
          <w:sz w:val="24"/>
          <w:szCs w:val="24"/>
        </w:rPr>
        <w:t xml:space="preserve">Quantifiable customer rate impacts of the ESP versus MRO (“Aggregate Price Test”); </w:t>
      </w:r>
    </w:p>
    <w:p w:rsidR="00775C0C" w:rsidRPr="00517C65" w:rsidP="00677085">
      <w:pPr>
        <w:pStyle w:val="ListParagraph"/>
        <w:spacing w:after="0" w:line="240" w:lineRule="auto"/>
        <w:ind w:left="2160" w:right="720" w:hanging="720"/>
        <w:rPr>
          <w:rFonts w:ascii="Times New Roman" w:hAnsi="Times New Roman" w:cs="Times New Roman"/>
          <w:sz w:val="24"/>
          <w:szCs w:val="24"/>
        </w:rPr>
      </w:pPr>
    </w:p>
    <w:p w:rsidR="00775C0C" w:rsidRPr="00517C65" w:rsidP="00677085">
      <w:pPr>
        <w:pStyle w:val="ListParagraph"/>
        <w:numPr>
          <w:ilvl w:val="0"/>
          <w:numId w:val="23"/>
        </w:numPr>
        <w:spacing w:after="0" w:line="240" w:lineRule="auto"/>
        <w:ind w:left="2160" w:right="720" w:hanging="720"/>
        <w:rPr>
          <w:rFonts w:ascii="Times New Roman" w:hAnsi="Times New Roman" w:cs="Times New Roman"/>
          <w:sz w:val="24"/>
          <w:szCs w:val="24"/>
        </w:rPr>
      </w:pPr>
      <w:r w:rsidRPr="00517C65">
        <w:rPr>
          <w:rFonts w:ascii="Times New Roman" w:hAnsi="Times New Roman" w:cs="Times New Roman"/>
          <w:sz w:val="24"/>
          <w:szCs w:val="24"/>
        </w:rPr>
        <w:t xml:space="preserve">other quantifiable impacts; and </w:t>
      </w:r>
    </w:p>
    <w:p w:rsidR="00775C0C" w:rsidRPr="00517C65" w:rsidP="00677085">
      <w:pPr>
        <w:spacing w:after="0" w:line="240" w:lineRule="auto"/>
        <w:ind w:left="2160" w:right="720" w:hanging="720"/>
        <w:rPr>
          <w:rFonts w:ascii="Times New Roman" w:hAnsi="Times New Roman" w:cs="Times New Roman"/>
          <w:sz w:val="24"/>
          <w:szCs w:val="24"/>
        </w:rPr>
      </w:pPr>
    </w:p>
    <w:p w:rsidR="00775C0C" w:rsidRPr="00517C65" w:rsidP="00677085">
      <w:pPr>
        <w:pStyle w:val="ListParagraph"/>
        <w:numPr>
          <w:ilvl w:val="0"/>
          <w:numId w:val="23"/>
        </w:numPr>
        <w:spacing w:after="0" w:line="240" w:lineRule="auto"/>
        <w:ind w:left="2160" w:right="720" w:hanging="720"/>
        <w:rPr>
          <w:rFonts w:ascii="Times New Roman" w:hAnsi="Times New Roman" w:cs="Times New Roman"/>
          <w:sz w:val="24"/>
          <w:szCs w:val="24"/>
        </w:rPr>
      </w:pPr>
      <w:r w:rsidRPr="00517C65">
        <w:rPr>
          <w:rFonts w:ascii="Times New Roman" w:hAnsi="Times New Roman" w:cs="Times New Roman"/>
          <w:sz w:val="24"/>
          <w:szCs w:val="24"/>
        </w:rPr>
        <w:t>qualitative attributes of the ESP, which can include impacts on service quality or reliability.</w:t>
      </w:r>
      <w:r>
        <w:rPr>
          <w:rStyle w:val="FootnoteReference"/>
          <w:rFonts w:ascii="Times New Roman" w:hAnsi="Times New Roman" w:cs="Times New Roman"/>
          <w:sz w:val="24"/>
          <w:szCs w:val="24"/>
        </w:rPr>
        <w:footnoteReference w:id="299"/>
      </w:r>
      <w:r w:rsidRPr="00517C65">
        <w:rPr>
          <w:rFonts w:ascii="Times New Roman" w:hAnsi="Times New Roman" w:cs="Times New Roman"/>
          <w:sz w:val="24"/>
          <w:szCs w:val="24"/>
        </w:rPr>
        <w:t xml:space="preserve">  </w:t>
      </w:r>
    </w:p>
    <w:p w:rsidR="00775C0C" w:rsidRPr="00517C65" w:rsidP="00775C0C">
      <w:pPr>
        <w:spacing w:after="0" w:line="240" w:lineRule="auto"/>
        <w:rPr>
          <w:rFonts w:ascii="Times New Roman" w:hAnsi="Times New Roman" w:cs="Times New Roman"/>
          <w:sz w:val="24"/>
          <w:szCs w:val="24"/>
        </w:rPr>
      </w:pPr>
    </w:p>
    <w:p w:rsidR="00775C0C" w:rsidRPr="00517C65" w:rsidP="00775C0C">
      <w:pPr>
        <w:spacing w:after="0" w:line="480" w:lineRule="auto"/>
        <w:rPr>
          <w:rFonts w:ascii="Times New Roman" w:hAnsi="Times New Roman" w:cs="Times New Roman"/>
          <w:sz w:val="24"/>
          <w:szCs w:val="24"/>
        </w:rPr>
      </w:pPr>
      <w:r w:rsidRPr="00517C65">
        <w:rPr>
          <w:rFonts w:ascii="Times New Roman" w:hAnsi="Times New Roman" w:cs="Times New Roman"/>
          <w:sz w:val="24"/>
          <w:szCs w:val="24"/>
        </w:rPr>
        <w:t>DP&amp;L has the burden of demonstrating that its proposed ESP is, in fact, more favorable than an MRO.</w:t>
      </w:r>
      <w:r>
        <w:rPr>
          <w:rStyle w:val="FootnoteReference"/>
          <w:rFonts w:ascii="Times New Roman" w:hAnsi="Times New Roman" w:cs="Times New Roman"/>
          <w:sz w:val="24"/>
          <w:szCs w:val="24"/>
        </w:rPr>
        <w:footnoteReference w:id="300"/>
      </w:r>
    </w:p>
    <w:p w:rsidR="009D2199" w:rsidRPr="00517C65" w:rsidP="00225B94">
      <w:pPr>
        <w:pStyle w:val="Heading3"/>
      </w:pPr>
      <w:bookmarkStart w:id="48" w:name="_Toc481762072"/>
      <w:r w:rsidRPr="00517C65">
        <w:t>2.</w:t>
      </w:r>
      <w:r w:rsidRPr="00517C65">
        <w:tab/>
        <w:t>DP&amp;L asserts that the MRO v. ESP test is passed</w:t>
      </w:r>
      <w:r>
        <w:t>.</w:t>
      </w:r>
      <w:bookmarkEnd w:id="48"/>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Witness Malinak lays out three possible scenarios under which he believes the Settlement would pass the ESP versus MRO test.  DP&amp;L Witness Malinak’s first scenario assumes that a DMR and Reconciliation Rider would be recoverable under an MRO (or in a distribution rate case or other docket).</w:t>
      </w:r>
      <w:r>
        <w:rPr>
          <w:rStyle w:val="FootnoteReference"/>
          <w:rFonts w:ascii="Times New Roman" w:hAnsi="Times New Roman" w:cs="Times New Roman"/>
          <w:sz w:val="24"/>
          <w:szCs w:val="24"/>
        </w:rPr>
        <w:footnoteReference w:id="301"/>
      </w:r>
      <w:r w:rsidRPr="00517C65">
        <w:rPr>
          <w:rFonts w:ascii="Times New Roman" w:hAnsi="Times New Roman" w:cs="Times New Roman"/>
          <w:sz w:val="24"/>
          <w:szCs w:val="24"/>
        </w:rPr>
        <w:t xml:space="preserve">  Based on Witness Malinak’s purportedly “reasonable” assumption that the PUCO would approve these same charges</w:t>
      </w:r>
      <w:r>
        <w:rPr>
          <w:rFonts w:ascii="Times New Roman" w:hAnsi="Times New Roman" w:cs="Times New Roman"/>
          <w:sz w:val="24"/>
          <w:szCs w:val="24"/>
        </w:rPr>
        <w:t xml:space="preserve"> in an MRO</w:t>
      </w:r>
      <w:r w:rsidRPr="00517C65">
        <w:rPr>
          <w:rFonts w:ascii="Times New Roman" w:hAnsi="Times New Roman" w:cs="Times New Roman"/>
          <w:sz w:val="24"/>
          <w:szCs w:val="24"/>
        </w:rPr>
        <w:t>, he concluded that the DMR and Reconciliation Rider are a “wash” and therefore would not have any impact on the MRO versus ESP test.</w:t>
      </w:r>
      <w:r>
        <w:rPr>
          <w:rStyle w:val="FootnoteReference"/>
          <w:rFonts w:ascii="Times New Roman" w:hAnsi="Times New Roman" w:cs="Times New Roman"/>
          <w:sz w:val="24"/>
          <w:szCs w:val="24"/>
        </w:rPr>
        <w:footnoteReference w:id="302"/>
      </w:r>
      <w:r w:rsidRPr="00517C65">
        <w:rPr>
          <w:rFonts w:ascii="Times New Roman" w:hAnsi="Times New Roman" w:cs="Times New Roman"/>
          <w:sz w:val="24"/>
          <w:szCs w:val="24"/>
        </w:rPr>
        <w:t xml:space="preserve">  The outcome of the application of the MRO versus ESP test in this scenario depends on whether other quantifiable and non-quantifiable costs and benefits make the Settlement more favorable in the aggregate than an MRO.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Witness Malinak</w:t>
      </w:r>
      <w:r>
        <w:rPr>
          <w:rFonts w:ascii="Times New Roman" w:hAnsi="Times New Roman" w:cs="Times New Roman"/>
          <w:sz w:val="24"/>
          <w:szCs w:val="24"/>
        </w:rPr>
        <w:t xml:space="preserve"> also presents </w:t>
      </w:r>
      <w:r w:rsidRPr="00517C65">
        <w:rPr>
          <w:rFonts w:ascii="Times New Roman" w:hAnsi="Times New Roman" w:cs="Times New Roman"/>
          <w:sz w:val="24"/>
          <w:szCs w:val="24"/>
        </w:rPr>
        <w:t>second and third scenarios</w:t>
      </w:r>
      <w:r>
        <w:rPr>
          <w:rFonts w:ascii="Times New Roman" w:hAnsi="Times New Roman" w:cs="Times New Roman"/>
          <w:sz w:val="24"/>
          <w:szCs w:val="24"/>
        </w:rPr>
        <w:t>.</w:t>
      </w:r>
      <w:r w:rsidRPr="00517C65">
        <w:rPr>
          <w:rFonts w:ascii="Times New Roman" w:hAnsi="Times New Roman" w:cs="Times New Roman"/>
          <w:sz w:val="24"/>
          <w:szCs w:val="24"/>
        </w:rPr>
        <w:t xml:space="preserve">  They both assume that the DMR (and the Reconciliation Rider in the third scenario) </w:t>
      </w:r>
      <w:r w:rsidRPr="00244E65">
        <w:rPr>
          <w:rFonts w:ascii="Times New Roman" w:hAnsi="Times New Roman" w:cs="Times New Roman"/>
          <w:i/>
          <w:sz w:val="24"/>
          <w:szCs w:val="24"/>
        </w:rPr>
        <w:t xml:space="preserve">would not be allowable </w:t>
      </w:r>
      <w:r w:rsidRPr="00517C65">
        <w:rPr>
          <w:rFonts w:ascii="Times New Roman" w:hAnsi="Times New Roman" w:cs="Times New Roman"/>
          <w:sz w:val="24"/>
          <w:szCs w:val="24"/>
        </w:rPr>
        <w:t>under an MRO.</w:t>
      </w:r>
      <w:r>
        <w:rPr>
          <w:rStyle w:val="FootnoteReference"/>
          <w:rFonts w:ascii="Times New Roman" w:hAnsi="Times New Roman" w:cs="Times New Roman"/>
          <w:sz w:val="24"/>
          <w:szCs w:val="24"/>
        </w:rPr>
        <w:footnoteReference w:id="303"/>
      </w:r>
      <w:r w:rsidRPr="00517C65">
        <w:rPr>
          <w:rFonts w:ascii="Times New Roman" w:hAnsi="Times New Roman" w:cs="Times New Roman"/>
          <w:sz w:val="24"/>
          <w:szCs w:val="24"/>
        </w:rPr>
        <w:t xml:space="preserve">  Under these scenarios, the ESP would be at least $525 million more expensive than an MRO (assuming a two-year extension of the DMR at $105 million per year).</w:t>
      </w:r>
      <w:r>
        <w:rPr>
          <w:rStyle w:val="FootnoteReference"/>
          <w:rFonts w:ascii="Times New Roman" w:hAnsi="Times New Roman" w:cs="Times New Roman"/>
          <w:sz w:val="24"/>
          <w:szCs w:val="24"/>
        </w:rPr>
        <w:footnoteReference w:id="304"/>
      </w:r>
      <w:r w:rsidRPr="00517C65">
        <w:rPr>
          <w:rFonts w:ascii="Times New Roman" w:hAnsi="Times New Roman" w:cs="Times New Roman"/>
          <w:sz w:val="24"/>
          <w:szCs w:val="24"/>
        </w:rPr>
        <w:t xml:space="preserve">  DP&amp;L Witness Malinak purports to rely on other quantifiable benefits (totaling $11.5 million</w:t>
      </w:r>
      <w:r>
        <w:rPr>
          <w:rStyle w:val="FootnoteReference"/>
          <w:rFonts w:ascii="Times New Roman" w:hAnsi="Times New Roman" w:cs="Times New Roman"/>
          <w:sz w:val="24"/>
          <w:szCs w:val="24"/>
        </w:rPr>
        <w:footnoteReference w:id="305"/>
      </w:r>
      <w:r w:rsidRPr="00517C65">
        <w:rPr>
          <w:rFonts w:ascii="Times New Roman" w:hAnsi="Times New Roman" w:cs="Times New Roman"/>
          <w:sz w:val="24"/>
          <w:szCs w:val="24"/>
        </w:rPr>
        <w:t xml:space="preserve">) and non-quantifiable benefits that, he asserts, would not be available under an MRO (or distribution rate case or other docket).  In his opinion, these other benefits would total more than $525 million under scenario two and more than $525 million plus the cost of the Reconciliation Rider under scenario three.  Thus, the Settlement would be more favorable in the aggregate than a hypothetical MRO.  </w:t>
      </w:r>
      <w:r>
        <w:rPr>
          <w:rFonts w:ascii="Times New Roman" w:hAnsi="Times New Roman" w:cs="Times New Roman"/>
          <w:sz w:val="24"/>
          <w:szCs w:val="24"/>
        </w:rPr>
        <w:t xml:space="preserve">DP&amp;L Witness Malinak is wrong. </w:t>
      </w:r>
    </w:p>
    <w:p w:rsidR="00775C0C" w:rsidRPr="00517C65" w:rsidP="00225B94">
      <w:pPr>
        <w:pStyle w:val="Heading3"/>
      </w:pPr>
      <w:bookmarkStart w:id="49" w:name="_Toc481762073"/>
      <w:r w:rsidRPr="00517C65">
        <w:t>3.</w:t>
      </w:r>
      <w:r w:rsidRPr="00517C65">
        <w:tab/>
        <w:t>The ESP embodied in the Settlement does not pass the ESP versus MRO test and, therefore, the ESP embodied in the Settlement would harm consumers</w:t>
      </w:r>
      <w:r>
        <w:t>.</w:t>
      </w:r>
      <w:bookmarkEnd w:id="49"/>
    </w:p>
    <w:p w:rsidR="00775C0C"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The Settlement improperly foists substantial and improper costs on consumers through the DMR, Reconciliation Rider, and numerous other charges and riders whose costs are currently unknown.  These massive charges are not justified and </w:t>
      </w:r>
      <w:r>
        <w:rPr>
          <w:rFonts w:ascii="Times New Roman" w:hAnsi="Times New Roman" w:cs="Times New Roman"/>
          <w:sz w:val="24"/>
          <w:szCs w:val="24"/>
        </w:rPr>
        <w:t>are not part of an</w:t>
      </w:r>
      <w:r w:rsidRPr="00517C65">
        <w:rPr>
          <w:rFonts w:ascii="Times New Roman" w:hAnsi="Times New Roman" w:cs="Times New Roman"/>
          <w:sz w:val="24"/>
          <w:szCs w:val="24"/>
        </w:rPr>
        <w:t xml:space="preserve"> MRO.   Consequently, the ESP embodied in the Settlement clearly fails to pass the ESP versus MRO test on a quantitative basis.  </w:t>
      </w:r>
      <w:r>
        <w:rPr>
          <w:rFonts w:ascii="Times New Roman" w:hAnsi="Times New Roman" w:cs="Times New Roman"/>
          <w:sz w:val="24"/>
          <w:szCs w:val="24"/>
        </w:rPr>
        <w:t xml:space="preserve">The proposed ESP </w:t>
      </w:r>
      <w:r w:rsidRPr="00517C65">
        <w:rPr>
          <w:rFonts w:ascii="Times New Roman" w:hAnsi="Times New Roman" w:cs="Times New Roman"/>
          <w:sz w:val="24"/>
          <w:szCs w:val="24"/>
        </w:rPr>
        <w:t xml:space="preserve">also fails to provide “qualitative benefits” that plausibly would offset </w:t>
      </w:r>
      <w:r>
        <w:rPr>
          <w:rFonts w:ascii="Times New Roman" w:hAnsi="Times New Roman" w:cs="Times New Roman"/>
          <w:sz w:val="24"/>
          <w:szCs w:val="24"/>
        </w:rPr>
        <w:t xml:space="preserve">its </w:t>
      </w:r>
      <w:r w:rsidRPr="00517C65">
        <w:rPr>
          <w:rFonts w:ascii="Times New Roman" w:hAnsi="Times New Roman" w:cs="Times New Roman"/>
          <w:sz w:val="24"/>
          <w:szCs w:val="24"/>
        </w:rPr>
        <w:t xml:space="preserve">massive quantitative </w:t>
      </w:r>
      <w:r>
        <w:rPr>
          <w:rFonts w:ascii="Times New Roman" w:hAnsi="Times New Roman" w:cs="Times New Roman"/>
          <w:sz w:val="24"/>
          <w:szCs w:val="24"/>
        </w:rPr>
        <w:t>costs.</w:t>
      </w:r>
    </w:p>
    <w:p w:rsidR="00A60F41" w:rsidRPr="00517C65" w:rsidP="00AC1D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 because the Settlement includes numerous riders with unknown costs, the scales are tipped even further against the ESP embodied in the Settlement passing the MRO versus ESP test.  The</w:t>
      </w:r>
      <w:r w:rsidRPr="00B04CE5">
        <w:rPr>
          <w:rFonts w:ascii="Times New Roman" w:hAnsi="Times New Roman" w:cs="Times New Roman"/>
          <w:sz w:val="24"/>
          <w:szCs w:val="24"/>
        </w:rPr>
        <w:t xml:space="preserve"> numerous riders are </w:t>
      </w:r>
      <w:r>
        <w:rPr>
          <w:rFonts w:ascii="Times New Roman" w:hAnsi="Times New Roman" w:cs="Times New Roman"/>
          <w:sz w:val="24"/>
          <w:szCs w:val="24"/>
        </w:rPr>
        <w:t xml:space="preserve">created but </w:t>
      </w:r>
      <w:r w:rsidRPr="00B04CE5">
        <w:rPr>
          <w:rFonts w:ascii="Times New Roman" w:hAnsi="Times New Roman" w:cs="Times New Roman"/>
          <w:sz w:val="24"/>
          <w:szCs w:val="24"/>
        </w:rPr>
        <w:t>initially set at zero.</w:t>
      </w:r>
      <w:r>
        <w:rPr>
          <w:rStyle w:val="FootnoteReference"/>
          <w:rFonts w:ascii="Times New Roman" w:hAnsi="Times New Roman" w:cs="Times New Roman"/>
          <w:sz w:val="24"/>
          <w:szCs w:val="24"/>
        </w:rPr>
        <w:footnoteReference w:id="306"/>
      </w:r>
      <w:r w:rsidRPr="00B04CE5">
        <w:rPr>
          <w:rFonts w:ascii="Times New Roman" w:hAnsi="Times New Roman" w:cs="Times New Roman"/>
          <w:sz w:val="24"/>
          <w:szCs w:val="24"/>
        </w:rPr>
        <w:t xml:space="preserve">  </w:t>
      </w:r>
      <w:r>
        <w:rPr>
          <w:rFonts w:ascii="Times New Roman" w:hAnsi="Times New Roman" w:cs="Times New Roman"/>
          <w:sz w:val="24"/>
          <w:szCs w:val="24"/>
        </w:rPr>
        <w:t>But the</w:t>
      </w:r>
      <w:r w:rsidRPr="00B04CE5">
        <w:rPr>
          <w:rFonts w:ascii="Times New Roman" w:hAnsi="Times New Roman" w:cs="Times New Roman"/>
          <w:sz w:val="24"/>
          <w:szCs w:val="24"/>
        </w:rPr>
        <w:t xml:space="preserve"> riders will be populated in other dockets during the course of th</w:t>
      </w:r>
      <w:r>
        <w:rPr>
          <w:rFonts w:ascii="Times New Roman" w:hAnsi="Times New Roman" w:cs="Times New Roman"/>
          <w:sz w:val="24"/>
          <w:szCs w:val="24"/>
        </w:rPr>
        <w:t>e</w:t>
      </w:r>
      <w:r w:rsidRPr="00B04CE5">
        <w:rPr>
          <w:rFonts w:ascii="Times New Roman" w:hAnsi="Times New Roman" w:cs="Times New Roman"/>
          <w:sz w:val="24"/>
          <w:szCs w:val="24"/>
        </w:rPr>
        <w:t xml:space="preserve"> ESP.</w:t>
      </w:r>
      <w:r>
        <w:rPr>
          <w:rStyle w:val="FootnoteReference"/>
          <w:rFonts w:ascii="Times New Roman" w:hAnsi="Times New Roman" w:cs="Times New Roman"/>
          <w:sz w:val="24"/>
          <w:szCs w:val="24"/>
        </w:rPr>
        <w:footnoteReference w:id="307"/>
      </w:r>
      <w:r w:rsidRPr="00B04CE5">
        <w:rPr>
          <w:rFonts w:ascii="Times New Roman" w:hAnsi="Times New Roman" w:cs="Times New Roman"/>
          <w:sz w:val="24"/>
          <w:szCs w:val="24"/>
        </w:rPr>
        <w:t xml:space="preserve">  </w:t>
      </w:r>
      <w:r>
        <w:rPr>
          <w:rFonts w:ascii="Times New Roman" w:hAnsi="Times New Roman" w:cs="Times New Roman"/>
          <w:sz w:val="24"/>
          <w:szCs w:val="24"/>
        </w:rPr>
        <w:t>Once the costs are known, they have to be considered.  Such consideration will, by necessity, increase the cost of the ESP in comparison to an MRO.  Additionally, because t</w:t>
      </w:r>
      <w:r w:rsidRPr="00B04CE5">
        <w:rPr>
          <w:rFonts w:ascii="Times New Roman" w:hAnsi="Times New Roman" w:cs="Times New Roman"/>
          <w:sz w:val="24"/>
          <w:szCs w:val="24"/>
        </w:rPr>
        <w:t>he costs of the riders</w:t>
      </w:r>
      <w:r>
        <w:rPr>
          <w:rFonts w:ascii="Times New Roman" w:hAnsi="Times New Roman" w:cs="Times New Roman"/>
          <w:sz w:val="24"/>
          <w:szCs w:val="24"/>
        </w:rPr>
        <w:t xml:space="preserve"> are unknown, any application of the ESP versus MRO test will be inaccurate and incomplete.  </w:t>
      </w:r>
      <w:r w:rsidRPr="00B04CE5">
        <w:rPr>
          <w:rFonts w:ascii="Times New Roman" w:hAnsi="Times New Roman" w:cs="Times New Roman"/>
          <w:sz w:val="24"/>
          <w:szCs w:val="24"/>
        </w:rPr>
        <w:t xml:space="preserve">  </w:t>
      </w:r>
    </w:p>
    <w:p w:rsidR="00C35A73" w:rsidRPr="00517C65" w:rsidP="00517C65">
      <w:pPr>
        <w:pStyle w:val="Heading4"/>
      </w:pPr>
      <w:bookmarkStart w:id="50" w:name="_Toc481762074"/>
      <w:r w:rsidRPr="00517C65">
        <w:t xml:space="preserve">a. </w:t>
      </w:r>
      <w:r w:rsidRPr="00517C65">
        <w:tab/>
        <w:t>The purported quantifiable benefits in the ESP embodied in the Settlement should be disregarded because they are equally available under an MRO</w:t>
      </w:r>
      <w:r>
        <w:t>.</w:t>
      </w:r>
      <w:bookmarkEnd w:id="50"/>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All of the quantifiable benefits identified by DP&amp;L Witness Malinak are payments made by DP&amp;L that “shall not be recoverable from customers”</w:t>
      </w:r>
      <w:r>
        <w:rPr>
          <w:rStyle w:val="FootnoteReference"/>
          <w:rFonts w:ascii="Times New Roman" w:hAnsi="Times New Roman" w:cs="Times New Roman"/>
          <w:sz w:val="24"/>
          <w:szCs w:val="24"/>
        </w:rPr>
        <w:footnoteReference w:id="308"/>
      </w:r>
      <w:r w:rsidRPr="00517C65">
        <w:rPr>
          <w:rFonts w:ascii="Times New Roman" w:hAnsi="Times New Roman" w:cs="Times New Roman"/>
          <w:sz w:val="24"/>
          <w:szCs w:val="24"/>
        </w:rPr>
        <w:t xml:space="preserve"> or “shall be funded by shareholders.”</w:t>
      </w:r>
      <w:r>
        <w:rPr>
          <w:rStyle w:val="FootnoteReference"/>
          <w:rFonts w:ascii="Times New Roman" w:hAnsi="Times New Roman" w:cs="Times New Roman"/>
          <w:sz w:val="24"/>
          <w:szCs w:val="24"/>
        </w:rPr>
        <w:footnoteReference w:id="309"/>
      </w:r>
      <w:r w:rsidRPr="00517C65">
        <w:rPr>
          <w:rFonts w:ascii="Times New Roman" w:hAnsi="Times New Roman" w:cs="Times New Roman"/>
          <w:sz w:val="24"/>
          <w:szCs w:val="24"/>
        </w:rPr>
        <w:t xml:space="preserve">  Shareholder contributions or other benefits not recovered from customers are always available benefits regardless of whether the electric distribution utility is providing service under an ESP or MRO.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ESP statute only governs “provisions relating to the supply and pricing of electric generation service”</w:t>
      </w:r>
      <w:r>
        <w:rPr>
          <w:rStyle w:val="FootnoteReference"/>
          <w:rFonts w:ascii="Times New Roman" w:hAnsi="Times New Roman" w:cs="Times New Roman"/>
          <w:sz w:val="24"/>
          <w:szCs w:val="24"/>
        </w:rPr>
        <w:footnoteReference w:id="310"/>
      </w:r>
      <w:r w:rsidRPr="00517C65">
        <w:rPr>
          <w:rFonts w:ascii="Times New Roman" w:hAnsi="Times New Roman" w:cs="Times New Roman"/>
          <w:sz w:val="24"/>
          <w:szCs w:val="24"/>
        </w:rPr>
        <w:t xml:space="preserve"> by providing for recovery of various costs.</w:t>
      </w:r>
      <w:r>
        <w:rPr>
          <w:rStyle w:val="FootnoteReference"/>
          <w:rFonts w:ascii="Times New Roman" w:hAnsi="Times New Roman" w:cs="Times New Roman"/>
          <w:sz w:val="24"/>
          <w:szCs w:val="24"/>
        </w:rPr>
        <w:footnoteReference w:id="311"/>
      </w:r>
      <w:r w:rsidRPr="00517C65">
        <w:rPr>
          <w:rFonts w:ascii="Times New Roman" w:hAnsi="Times New Roman" w:cs="Times New Roman"/>
          <w:sz w:val="24"/>
          <w:szCs w:val="24"/>
        </w:rPr>
        <w:t xml:space="preserve">  The statute only covers costs that are sought to be </w:t>
      </w:r>
      <w:r w:rsidRPr="00517C65">
        <w:rPr>
          <w:rFonts w:ascii="Times New Roman" w:hAnsi="Times New Roman" w:cs="Times New Roman"/>
          <w:i/>
          <w:sz w:val="24"/>
          <w:szCs w:val="24"/>
        </w:rPr>
        <w:t>recovered from customers</w:t>
      </w:r>
      <w:r w:rsidRPr="00517C65">
        <w:rPr>
          <w:rFonts w:ascii="Times New Roman" w:hAnsi="Times New Roman" w:cs="Times New Roman"/>
          <w:sz w:val="24"/>
          <w:szCs w:val="24"/>
        </w:rPr>
        <w:t xml:space="preserve">.  Nothing in the ESP statute grants or restricts a utility’s shareholders from bestowing benefits upon the utility’s customers.  This is a decision left solely to the shareholder’s discretion.  The $11.5 million of other quantifiable benefits are not being recovered from customers and are therefore not affected by or in any way dependent on the ESP statute.  Thus, DP&amp;L Witness Malinak’s reliance on these benefits as supporting the ESP over an MRO is misplaced.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Similarly, the MRO statute pertains to “a standard service offer price for retail electric generation service that is delivered to the utility under a market-rate offer,”</w:t>
      </w:r>
      <w:r>
        <w:rPr>
          <w:rStyle w:val="FootnoteReference"/>
          <w:rFonts w:ascii="Times New Roman" w:hAnsi="Times New Roman" w:cs="Times New Roman"/>
          <w:sz w:val="24"/>
          <w:szCs w:val="24"/>
        </w:rPr>
        <w:footnoteReference w:id="312"/>
      </w:r>
      <w:r w:rsidRPr="00517C65">
        <w:rPr>
          <w:rFonts w:ascii="Times New Roman" w:hAnsi="Times New Roman" w:cs="Times New Roman"/>
          <w:sz w:val="24"/>
          <w:szCs w:val="24"/>
        </w:rPr>
        <w:t xml:space="preserve"> that will be “determined through a competitive bidding process.”</w:t>
      </w:r>
      <w:r>
        <w:rPr>
          <w:rStyle w:val="FootnoteReference"/>
          <w:rFonts w:ascii="Times New Roman" w:hAnsi="Times New Roman" w:cs="Times New Roman"/>
          <w:sz w:val="24"/>
          <w:szCs w:val="24"/>
        </w:rPr>
        <w:footnoteReference w:id="313"/>
      </w:r>
      <w:r w:rsidRPr="00517C65">
        <w:rPr>
          <w:rFonts w:ascii="Times New Roman" w:hAnsi="Times New Roman" w:cs="Times New Roman"/>
          <w:sz w:val="24"/>
          <w:szCs w:val="24"/>
        </w:rPr>
        <w:t xml:space="preserve">  Shareholder contributions, especially the ones at issue here, will not affect a market-rate offer or the competitive bidding process.  Therefore, nothing in the MRO statute grants or restricts a utility’s shareholders from bestowing benefits upon the utility’s customers.  As such, the $11.5 million in other quantifiable benefits would be equally available under an MRO as they are under an ESP.  Once again, DP&amp;L Witness Malinak’s reliance on these benefits as supporting the ESP over an MRO is misplaced.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That the quantifiable benefits relied on by DP&amp;L Witness Malinak are equally available under an MRO and ESP (and thus his reliance on them to assert that DP&amp;L’s proposed ESP passes the MRO v. ESP test is misplaced)  is particularly true in the context of a stipulation.  PUCO Staff Witness Donlon testified that Staff felt it was negotiating with AES (DPL’s – and by extension DP&amp;L’S – sole shareholder) and was able to extract concessions from AES that are otherwise beyond the scope of the PUCO’s jurisdiction.</w:t>
      </w:r>
      <w:r>
        <w:rPr>
          <w:rStyle w:val="FootnoteReference"/>
          <w:rFonts w:ascii="Times New Roman" w:hAnsi="Times New Roman" w:cs="Times New Roman"/>
          <w:sz w:val="24"/>
          <w:szCs w:val="24"/>
        </w:rPr>
        <w:footnoteReference w:id="314"/>
      </w:r>
      <w:r w:rsidRPr="00517C65">
        <w:rPr>
          <w:rFonts w:ascii="Times New Roman" w:hAnsi="Times New Roman" w:cs="Times New Roman"/>
          <w:sz w:val="24"/>
          <w:szCs w:val="24"/>
        </w:rPr>
        <w:t xml:space="preserve">  To the extent these shareholder-contributed benefits are outside the scope of the PUCO’s jurisdiction, this is further support that they are not affected in any way by the ESP or MRO statutes and would be available under both statutes.  Due to DP&amp;L’s belief in the importance of having PUCO Staff sign onto a stipulation,</w:t>
      </w:r>
      <w:r>
        <w:rPr>
          <w:rStyle w:val="FootnoteReference"/>
          <w:rFonts w:ascii="Times New Roman" w:hAnsi="Times New Roman" w:cs="Times New Roman"/>
          <w:sz w:val="24"/>
          <w:szCs w:val="24"/>
        </w:rPr>
        <w:footnoteReference w:id="315"/>
      </w:r>
      <w:r w:rsidRPr="00517C65">
        <w:rPr>
          <w:rFonts w:ascii="Times New Roman" w:hAnsi="Times New Roman" w:cs="Times New Roman"/>
          <w:sz w:val="24"/>
          <w:szCs w:val="24"/>
        </w:rPr>
        <w:t xml:space="preserve"> there is no reason to believe – and neither DP&amp;L nor any other proponent of the Settlement has offered one – that Staff would not have been able to extract the same concessions on a stipulation resolving an MRO (or distribution rate case or other docket).</w:t>
      </w:r>
    </w:p>
    <w:p w:rsidR="00775C0C" w:rsidRPr="00517C65" w:rsidP="00AC1D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DP&amp;L </w:t>
      </w:r>
      <w:r w:rsidRPr="00517C65">
        <w:rPr>
          <w:rFonts w:ascii="Times New Roman" w:hAnsi="Times New Roman" w:cs="Times New Roman"/>
          <w:sz w:val="24"/>
          <w:szCs w:val="24"/>
        </w:rPr>
        <w:t xml:space="preserve">Witness Malinak’s conclusion that shareholder contributions </w:t>
      </w:r>
      <w:r>
        <w:rPr>
          <w:rFonts w:ascii="Times New Roman" w:hAnsi="Times New Roman" w:cs="Times New Roman"/>
          <w:sz w:val="24"/>
          <w:szCs w:val="24"/>
        </w:rPr>
        <w:t>in</w:t>
      </w:r>
      <w:r w:rsidRPr="00517C65">
        <w:rPr>
          <w:rFonts w:ascii="Times New Roman" w:hAnsi="Times New Roman" w:cs="Times New Roman"/>
          <w:sz w:val="24"/>
          <w:szCs w:val="24"/>
        </w:rPr>
        <w:t xml:space="preserve"> an ESP settlement would not be available under an MRO is wrong.  Because these benefits are equally available under an ESP or MRO, the $11.5 million of purported quantified benefits are “a wash” for purposes of the more favorable in the aggregate test.  The PUCO should not consider DP&amp;L Witness Malinak’s purported $11.5 million of quantifiable benefits because they have no impact on the outcome of the ESP versus MRO test under any of DP&amp;L Witness Malinak’s three scenarios.  </w:t>
      </w:r>
    </w:p>
    <w:p w:rsidR="00775C0C" w:rsidRPr="00517C65" w:rsidP="00517C65">
      <w:pPr>
        <w:pStyle w:val="Heading4"/>
      </w:pPr>
      <w:bookmarkStart w:id="51" w:name="_Toc481762075"/>
      <w:r w:rsidRPr="00517C65">
        <w:t xml:space="preserve">b. </w:t>
      </w:r>
      <w:r w:rsidRPr="00517C65">
        <w:tab/>
        <w:t>DP&amp;L Witness Malinak does not appropriately account for the purportedly non-quantitative benefits</w:t>
      </w:r>
      <w:r>
        <w:t xml:space="preserve"> in his second and third scenarios.</w:t>
      </w:r>
      <w:bookmarkEnd w:id="51"/>
      <w:r w:rsidRPr="00517C65">
        <w:t xml:space="preserve">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Witness Malinak notes four categories of non-quantitative benefits that will “particularly” make the Settlement more favorable in the aggregate than an MRO.  These include: (1) more rapid and robust grid modernization; (2) the agreement by AES and DPL to forego dividends and tax payments, and to convert both existing and future foregone tax payments to permanent equity; (3) the avoidance of “significant and real, adverse effects that DP&amp;L and its customers would suffer” where “DP&amp;L would have insufficient funds to provide safe and stable service to its customers;” and (4) locating DP&amp;L’s operating headquarters in Dayton.</w:t>
      </w:r>
      <w:r>
        <w:rPr>
          <w:rStyle w:val="FootnoteReference"/>
          <w:rFonts w:ascii="Times New Roman" w:hAnsi="Times New Roman" w:cs="Times New Roman"/>
          <w:sz w:val="24"/>
          <w:szCs w:val="24"/>
        </w:rPr>
        <w:footnoteReference w:id="316"/>
      </w:r>
      <w:r w:rsidRPr="00517C65">
        <w:rPr>
          <w:rFonts w:ascii="Times New Roman" w:hAnsi="Times New Roman" w:cs="Times New Roman"/>
          <w:sz w:val="24"/>
          <w:szCs w:val="24"/>
        </w:rPr>
        <w:t xml:space="preserve">  DP&amp;L Witness Malinak also concedes that there will be an “incremental impact of potentially higher electricity rates on the local economy.”</w:t>
      </w:r>
      <w:r>
        <w:rPr>
          <w:rStyle w:val="FootnoteReference"/>
          <w:rFonts w:ascii="Times New Roman" w:hAnsi="Times New Roman" w:cs="Times New Roman"/>
          <w:sz w:val="24"/>
          <w:szCs w:val="24"/>
        </w:rPr>
        <w:footnoteReference w:id="317"/>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Witness Malinak concludes, based solely on his opinion, that these four categories of non-quantitative “benefits” will more than outweigh the increased costs of the ESP (due to inclusion of the DMR and Reconciliation Rider in his second and third scenarios).</w:t>
      </w:r>
      <w:r>
        <w:rPr>
          <w:rStyle w:val="FootnoteReference"/>
          <w:rFonts w:ascii="Times New Roman" w:hAnsi="Times New Roman" w:cs="Times New Roman"/>
          <w:sz w:val="24"/>
          <w:szCs w:val="24"/>
        </w:rPr>
        <w:footnoteReference w:id="318"/>
      </w:r>
      <w:r w:rsidRPr="00517C65">
        <w:rPr>
          <w:rFonts w:ascii="Times New Roman" w:hAnsi="Times New Roman" w:cs="Times New Roman"/>
          <w:sz w:val="24"/>
          <w:szCs w:val="24"/>
        </w:rPr>
        <w:t xml:space="preserve">  DP&amp;L Witness Malinak’s judgment is incorrect.  </w:t>
      </w:r>
    </w:p>
    <w:p w:rsidR="00775C0C" w:rsidRPr="00517C65" w:rsidP="00517C65">
      <w:pPr>
        <w:pStyle w:val="Heading5"/>
      </w:pPr>
      <w:r w:rsidRPr="00517C65">
        <w:t xml:space="preserve">i. </w:t>
      </w:r>
      <w:r w:rsidRPr="00517C65">
        <w:tab/>
        <w:t>More rapid and robust investment in Smart Grid do not favor an ESP</w:t>
      </w:r>
      <w:r>
        <w:t>.</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While it may be impossible for DP&amp;L Witness Malinak to quantify the exact benefits that a DMR and Reconciliation Rider would have on DP&amp;L’s ability to modernize its grid, there is enough information to help qualify the magnitude of these purported benefits, if any.  First, the Settlement only requires that DP&amp;L make a grid modernization plan filing “within three months of completion of the Commission’s Power Forward initiative or February 1, 2018, whichever is earlier unless an extension is recommended by Staff or granted by the Commission.”</w:t>
      </w:r>
      <w:r>
        <w:rPr>
          <w:rStyle w:val="FootnoteReference"/>
          <w:rFonts w:ascii="Times New Roman" w:hAnsi="Times New Roman" w:cs="Times New Roman"/>
          <w:sz w:val="24"/>
          <w:szCs w:val="24"/>
        </w:rPr>
        <w:footnoteReference w:id="319"/>
      </w:r>
      <w:r w:rsidRPr="00517C65">
        <w:rPr>
          <w:rFonts w:ascii="Times New Roman" w:hAnsi="Times New Roman" w:cs="Times New Roman"/>
          <w:sz w:val="24"/>
          <w:szCs w:val="24"/>
        </w:rPr>
        <w:t xml:space="preserve">  Once this plan is filed, it will be subject to future proceedings to address all matters related to Smart Grid investment.</w:t>
      </w:r>
      <w:r>
        <w:rPr>
          <w:rStyle w:val="FootnoteReference"/>
          <w:rFonts w:ascii="Times New Roman" w:hAnsi="Times New Roman" w:cs="Times New Roman"/>
          <w:sz w:val="24"/>
          <w:szCs w:val="24"/>
        </w:rPr>
        <w:footnoteReference w:id="320"/>
      </w:r>
      <w:r w:rsidRPr="00517C65">
        <w:rPr>
          <w:rFonts w:ascii="Times New Roman" w:hAnsi="Times New Roman" w:cs="Times New Roman"/>
          <w:sz w:val="24"/>
          <w:szCs w:val="24"/>
        </w:rPr>
        <w:t xml:space="preserve">  Any intervenors in that proceeding will be able to oppose the plan and there is no guarantee that it will be approved.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Thus, the term “rapid” is misleading as any actual investment in smart grid infrastructure is likely years away.  Just as DP&amp;L Witness Malinak uses a “present value calculation” that discounts the costs of the DMR and Reconciliation Rider due to timing and uncertainty issues, so too should any potential benefits of the Smart Grid investments (if any at all occur during the proposed ESP period) be discounted.</w:t>
      </w:r>
      <w:r>
        <w:rPr>
          <w:rStyle w:val="FootnoteReference"/>
          <w:rFonts w:ascii="Times New Roman" w:hAnsi="Times New Roman" w:cs="Times New Roman"/>
          <w:sz w:val="24"/>
          <w:szCs w:val="24"/>
        </w:rPr>
        <w:footnoteReference w:id="321"/>
      </w:r>
      <w:r w:rsidRPr="00517C65">
        <w:rPr>
          <w:rFonts w:ascii="Times New Roman" w:hAnsi="Times New Roman" w:cs="Times New Roman"/>
          <w:sz w:val="24"/>
          <w:szCs w:val="24"/>
        </w:rPr>
        <w:t xml:space="preserve">  Further, any costs required to make grid modernization investments must be netted from any potential benefits that customers may receive.  Any grid modernization investments made by DP&amp;L will be paid for by consumers via the Smart Grid Rider (if approved).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Under an MRO, DP&amp;L could proceed with PUCO-approved and cost-beneficial grid modernization because DP&amp;L could recover such costs through a standard base rate case.</w:t>
      </w:r>
      <w:r>
        <w:rPr>
          <w:rStyle w:val="FootnoteReference"/>
          <w:rFonts w:ascii="Times New Roman" w:hAnsi="Times New Roman" w:cs="Times New Roman"/>
          <w:sz w:val="24"/>
          <w:szCs w:val="24"/>
        </w:rPr>
        <w:footnoteReference w:id="322"/>
      </w:r>
      <w:r w:rsidRPr="00517C65">
        <w:rPr>
          <w:rFonts w:ascii="Times New Roman" w:hAnsi="Times New Roman" w:cs="Times New Roman"/>
          <w:sz w:val="24"/>
          <w:szCs w:val="24"/>
        </w:rPr>
        <w:t xml:space="preserve">  Because the same smart grid investments could be made under an MRO or an ESP, grid modernization via the SGR is no benefit. </w:t>
      </w:r>
    </w:p>
    <w:p w:rsidR="00775C0C" w:rsidRPr="00517C65" w:rsidP="00517C65">
      <w:pPr>
        <w:pStyle w:val="Heading5"/>
      </w:pPr>
      <w:r w:rsidRPr="00517C65">
        <w:t>ii.</w:t>
      </w:r>
      <w:r w:rsidRPr="00517C65">
        <w:tab/>
        <w:t>AES’s commitments do not favor an ESP</w:t>
      </w:r>
      <w:r>
        <w:t>.</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Witness Malinak’s assertion that AES and DPL’s agreement to forego dividend and tax payments and to convert them to equity would not be available in an MRO is inexplicable.  AES and DPL are not regulated by the PUCO.  Any agreement that they enter into with each other does not need approval from the PUCO.  This is true regardless of whether DP&amp;L provides service under an ESP or an MRO.  Indeed, AES and DPL have had such an agreement since 2012.</w:t>
      </w:r>
      <w:r>
        <w:rPr>
          <w:rStyle w:val="FootnoteReference"/>
          <w:rFonts w:ascii="Times New Roman" w:hAnsi="Times New Roman" w:cs="Times New Roman"/>
          <w:sz w:val="24"/>
          <w:szCs w:val="24"/>
        </w:rPr>
        <w:footnoteReference w:id="323"/>
      </w:r>
      <w:r w:rsidRPr="00517C65">
        <w:rPr>
          <w:rFonts w:ascii="Times New Roman" w:hAnsi="Times New Roman" w:cs="Times New Roman"/>
          <w:sz w:val="24"/>
          <w:szCs w:val="24"/>
        </w:rPr>
        <w:t xml:space="preserve">  The PUCO had no say in that agreement.  Nor was the agreement entered into in connection with DP&amp;L’s ESP II.  The agreement is a separate and independent event that could also occur under an MRO (or distribution rate case).  Accordingly, AES’s commitments do not favor an ESP.  </w:t>
      </w:r>
    </w:p>
    <w:p w:rsidR="00775C0C" w:rsidRPr="00517C65" w:rsidP="00AC1D9C">
      <w:pPr>
        <w:spacing w:after="0" w:line="480" w:lineRule="auto"/>
        <w:ind w:firstLine="720"/>
        <w:rPr>
          <w:rFonts w:ascii="Times New Roman" w:eastAsia="Times New Roman" w:hAnsi="Times New Roman" w:cs="Times New Roman"/>
          <w:sz w:val="24"/>
          <w:szCs w:val="24"/>
        </w:rPr>
      </w:pPr>
      <w:r w:rsidRPr="00517C65">
        <w:rPr>
          <w:rFonts w:ascii="Times New Roman" w:hAnsi="Times New Roman" w:cs="Times New Roman"/>
          <w:sz w:val="24"/>
          <w:szCs w:val="24"/>
        </w:rPr>
        <w:t>OCC Witness Kahal testified that foregoing tax payments “almost certainly would continue under an MRO” because continuing this past and current practice “is in AES’s interest.”</w:t>
      </w:r>
      <w:r>
        <w:rPr>
          <w:rStyle w:val="FootnoteReference"/>
          <w:rFonts w:ascii="Times New Roman" w:hAnsi="Times New Roman" w:cs="Times New Roman"/>
          <w:sz w:val="24"/>
          <w:szCs w:val="24"/>
        </w:rPr>
        <w:footnoteReference w:id="324"/>
      </w:r>
      <w:r w:rsidRPr="00517C65">
        <w:rPr>
          <w:rFonts w:ascii="Times New Roman" w:hAnsi="Times New Roman" w:cs="Times New Roman"/>
          <w:sz w:val="24"/>
          <w:szCs w:val="24"/>
        </w:rPr>
        <w:t xml:space="preserve">  Additionally, “</w:t>
      </w:r>
      <w:r w:rsidRPr="00517C65">
        <w:rPr>
          <w:rFonts w:ascii="Times New Roman" w:eastAsia="Times New Roman" w:hAnsi="Times New Roman" w:cs="Times New Roman"/>
          <w:sz w:val="24"/>
          <w:szCs w:val="24"/>
        </w:rPr>
        <w:t>while the tax payment suspension is a benefit to DPL, Inc., it does not in any way reduce the utility revenue requirements or charges that DP&amp;L customers must pay.  Similarly, the dividend suspension also would be likely to continue, as required, due to DPL, Inc.’s inability to pay dividends.”</w:t>
      </w:r>
      <w:r>
        <w:rPr>
          <w:rStyle w:val="FootnoteReference"/>
          <w:rFonts w:ascii="Times New Roman" w:eastAsia="Times New Roman" w:hAnsi="Times New Roman" w:cs="Times New Roman"/>
          <w:sz w:val="24"/>
          <w:szCs w:val="24"/>
        </w:rPr>
        <w:footnoteReference w:id="325"/>
      </w:r>
    </w:p>
    <w:p w:rsidR="00775C0C" w:rsidRPr="00517C65" w:rsidP="00D376CA">
      <w:pPr>
        <w:spacing w:after="0" w:line="480" w:lineRule="auto"/>
        <w:ind w:firstLine="720"/>
        <w:rPr>
          <w:rFonts w:ascii="Times New Roman" w:hAnsi="Times New Roman" w:cs="Times New Roman"/>
          <w:sz w:val="24"/>
          <w:szCs w:val="24"/>
        </w:rPr>
      </w:pPr>
      <w:r w:rsidRPr="00517C65">
        <w:rPr>
          <w:rFonts w:ascii="Times New Roman" w:eastAsia="Times New Roman" w:hAnsi="Times New Roman" w:cs="Times New Roman"/>
          <w:sz w:val="24"/>
          <w:szCs w:val="24"/>
        </w:rPr>
        <w:t>OCC Witness Kahal does agree that converting these tax liabilities to equity will have a positive effect on DPL, but such an effect will be small.  These equity infusions “amount to only a small fraction of the $1.3 billion of debt that AES imposed on DPL, Inc. in connection with the merger.”</w:t>
      </w:r>
      <w:r>
        <w:rPr>
          <w:rStyle w:val="FootnoteReference"/>
          <w:rFonts w:ascii="Times New Roman" w:eastAsia="Times New Roman" w:hAnsi="Times New Roman" w:cs="Times New Roman"/>
          <w:sz w:val="24"/>
          <w:szCs w:val="24"/>
        </w:rPr>
        <w:footnoteReference w:id="326"/>
      </w:r>
      <w:r w:rsidRPr="00517C65">
        <w:rPr>
          <w:rFonts w:ascii="Times New Roman" w:eastAsia="Times New Roman" w:hAnsi="Times New Roman" w:cs="Times New Roman"/>
          <w:sz w:val="24"/>
          <w:szCs w:val="24"/>
        </w:rPr>
        <w:t xml:space="preserve">  DP&amp;L Witness Jackson concedes that converting non-current tax liabilities (i.e., 2012-2016) to equity would have no effect on DPL Inc.’s FFO-to-debt metrics (which he considers to be the “key metric”) and would only make DPL Inc.’s capitalization a “little bit better.”</w:t>
      </w:r>
      <w:r>
        <w:rPr>
          <w:rStyle w:val="FootnoteReference"/>
          <w:rFonts w:ascii="Times New Roman" w:eastAsia="Times New Roman" w:hAnsi="Times New Roman" w:cs="Times New Roman"/>
          <w:sz w:val="24"/>
          <w:szCs w:val="24"/>
        </w:rPr>
        <w:footnoteReference w:id="327"/>
      </w:r>
      <w:r w:rsidRPr="00517C65">
        <w:rPr>
          <w:rFonts w:ascii="Times New Roman" w:eastAsia="Times New Roman" w:hAnsi="Times New Roman" w:cs="Times New Roman"/>
          <w:sz w:val="24"/>
          <w:szCs w:val="24"/>
        </w:rPr>
        <w:t xml:space="preserve">  Conversions of future tax liabilities to equity will also have a minimal impact, especially if the federal statutory income tax rate is reduced as has been proposed.</w:t>
      </w:r>
      <w:r>
        <w:rPr>
          <w:rStyle w:val="FootnoteReference"/>
          <w:rFonts w:ascii="Times New Roman" w:eastAsia="Times New Roman" w:hAnsi="Times New Roman" w:cs="Times New Roman"/>
          <w:sz w:val="24"/>
          <w:szCs w:val="24"/>
        </w:rPr>
        <w:footnoteReference w:id="328"/>
      </w:r>
      <w:r w:rsidRPr="00517C65">
        <w:rPr>
          <w:rFonts w:ascii="Times New Roman" w:eastAsia="Times New Roman" w:hAnsi="Times New Roman" w:cs="Times New Roman"/>
          <w:sz w:val="24"/>
          <w:szCs w:val="24"/>
        </w:rPr>
        <w:t xml:space="preserve">  And lastl</w:t>
      </w:r>
      <w:r>
        <w:rPr>
          <w:rFonts w:ascii="Times New Roman" w:eastAsia="Times New Roman" w:hAnsi="Times New Roman" w:cs="Times New Roman"/>
          <w:sz w:val="24"/>
          <w:szCs w:val="24"/>
        </w:rPr>
        <w:t>y</w:t>
      </w:r>
      <w:r w:rsidRPr="00517C65">
        <w:rPr>
          <w:rFonts w:ascii="Times New Roman" w:eastAsia="Times New Roman" w:hAnsi="Times New Roman" w:cs="Times New Roman"/>
          <w:sz w:val="24"/>
          <w:szCs w:val="24"/>
        </w:rPr>
        <w:t xml:space="preserve"> any future equity contributions (from eliminating DPL’s tax burden) is just an accounting measure – it will not increase DPL Inc.’s cash flow and have minimal impact on its credit rating.</w:t>
      </w:r>
      <w:r>
        <w:rPr>
          <w:rStyle w:val="FootnoteReference"/>
          <w:rFonts w:ascii="Times New Roman" w:eastAsia="Times New Roman" w:hAnsi="Times New Roman" w:cs="Times New Roman"/>
          <w:sz w:val="24"/>
          <w:szCs w:val="24"/>
        </w:rPr>
        <w:footnoteReference w:id="329"/>
      </w:r>
      <w:r w:rsidRPr="00517C65">
        <w:rPr>
          <w:rFonts w:ascii="Times New Roman" w:eastAsia="Times New Roman" w:hAnsi="Times New Roman" w:cs="Times New Roman"/>
          <w:sz w:val="24"/>
          <w:szCs w:val="24"/>
        </w:rPr>
        <w:t xml:space="preserve">  The benefits from foregoing tax liabilities and converting them to equity provide no benefits to DP&amp;L’s customers (they still must pay the taxes to DPL Inc.) and will have little, if any, impact on DPL Inc.’s credit ratings or DP&amp;L’s ability to borrow on more competitive terms.  Importantly, these likely small benefits would be available under an MRO (or a stipulation resolving such a case as is proposed here).  They are available regardless of whether DP&amp;L provides service under an ESP or MRO.  </w:t>
      </w:r>
    </w:p>
    <w:p w:rsidR="00775C0C" w:rsidRPr="00517C65" w:rsidP="00517C65">
      <w:pPr>
        <w:pStyle w:val="Heading5"/>
      </w:pPr>
      <w:r w:rsidRPr="00517C65">
        <w:t xml:space="preserve">iii. </w:t>
      </w:r>
      <w:r w:rsidRPr="00517C65">
        <w:tab/>
        <w:t>The DMR is not needed for distribution system reliability</w:t>
      </w:r>
      <w:r>
        <w:t>.</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Potential reliability impacts must be considered in the appropriate context.  There is no doubt that, currently, and for quite some time, DP&amp;L has been providing safe and reliable service.</w:t>
      </w:r>
      <w:r>
        <w:rPr>
          <w:rStyle w:val="FootnoteReference"/>
          <w:rFonts w:ascii="Times New Roman" w:hAnsi="Times New Roman" w:cs="Times New Roman"/>
          <w:sz w:val="24"/>
          <w:szCs w:val="24"/>
        </w:rPr>
        <w:footnoteReference w:id="330"/>
      </w:r>
      <w:r w:rsidRPr="00517C65">
        <w:rPr>
          <w:rFonts w:ascii="Times New Roman" w:hAnsi="Times New Roman" w:cs="Times New Roman"/>
          <w:sz w:val="24"/>
          <w:szCs w:val="24"/>
        </w:rPr>
        <w:t xml:space="preserve">  A significant portion of this time has occurred while DP&amp;L was claiming a financial crisis, as it is now.  In fact, DP&amp;L has some of the highest service quality and reliability ratings of electric utilities in the state of Ohio.</w:t>
      </w:r>
      <w:r>
        <w:rPr>
          <w:rStyle w:val="FootnoteReference"/>
          <w:rFonts w:ascii="Times New Roman" w:hAnsi="Times New Roman" w:cs="Times New Roman"/>
          <w:sz w:val="24"/>
          <w:szCs w:val="24"/>
        </w:rPr>
        <w:footnoteReference w:id="331"/>
      </w:r>
      <w:r w:rsidRPr="00517C65">
        <w:rPr>
          <w:rFonts w:ascii="Times New Roman" w:hAnsi="Times New Roman" w:cs="Times New Roman"/>
          <w:sz w:val="24"/>
          <w:szCs w:val="24"/>
        </w:rPr>
        <w:t xml:space="preserve">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If there are any declines in service quality or reliability, DP&amp;L will likely still be well above the PUCO’s reliability standards.</w:t>
      </w:r>
      <w:r>
        <w:rPr>
          <w:rStyle w:val="FootnoteReference"/>
          <w:rFonts w:ascii="Times New Roman" w:hAnsi="Times New Roman" w:cs="Times New Roman"/>
          <w:sz w:val="24"/>
          <w:szCs w:val="24"/>
        </w:rPr>
        <w:footnoteReference w:id="332"/>
      </w:r>
      <w:r w:rsidRPr="00517C65">
        <w:rPr>
          <w:rFonts w:ascii="Times New Roman" w:hAnsi="Times New Roman" w:cs="Times New Roman"/>
          <w:sz w:val="24"/>
          <w:szCs w:val="24"/>
        </w:rPr>
        <w:t xml:space="preserve">  Additionally, DP&amp;L Witness Malinak does not include any analysis on when these purported declines in service quality and reliability would happen or what form they would take (i.e., flickering lights, outages lasting, on average, a few seconds longer than they do now, blackouts, etc.).  Without this information, it is impossible to give DP&amp;L Witness Malinak’s blanket statement that “in [his] opinion” the non-quantifiable benefits will “more than outweigh” the non-quantifiable costs of the Settlement the correct weight, if any at all.</w:t>
      </w:r>
      <w:r>
        <w:rPr>
          <w:rStyle w:val="FootnoteReference"/>
          <w:rFonts w:ascii="Times New Roman" w:hAnsi="Times New Roman" w:cs="Times New Roman"/>
          <w:sz w:val="24"/>
          <w:szCs w:val="24"/>
        </w:rPr>
        <w:footnoteReference w:id="333"/>
      </w:r>
      <w:r w:rsidRPr="00517C65">
        <w:rPr>
          <w:rFonts w:ascii="Times New Roman" w:hAnsi="Times New Roman" w:cs="Times New Roman"/>
          <w:sz w:val="24"/>
          <w:szCs w:val="24"/>
        </w:rPr>
        <w:t xml:space="preserve">  </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Also, OCC Witness Kahal shows that “there is no reason why service quality should be impaired under an MRO” because “DP&amp;L’s credit ratings and financial integrity can be fully protected by the [other] measure[s] [including] ring fencing, AES equity and cash contributions, asset sales, and so forth.”</w:t>
      </w:r>
      <w:r>
        <w:rPr>
          <w:rStyle w:val="FootnoteReference"/>
          <w:rFonts w:ascii="Times New Roman" w:hAnsi="Times New Roman" w:cs="Times New Roman"/>
          <w:sz w:val="24"/>
          <w:szCs w:val="24"/>
        </w:rPr>
        <w:footnoteReference w:id="334"/>
      </w:r>
      <w:r w:rsidRPr="00517C65">
        <w:rPr>
          <w:rFonts w:ascii="Times New Roman" w:hAnsi="Times New Roman" w:cs="Times New Roman"/>
          <w:sz w:val="24"/>
          <w:szCs w:val="24"/>
        </w:rPr>
        <w:t xml:space="preserve">  OCC Witness Kahal concludes that the Settlement “will not provide improved service quality or reliability for electric distribution service, nor is it required for pursuing an effective and cost/beneficial grid modernization.”</w:t>
      </w:r>
      <w:r>
        <w:rPr>
          <w:rStyle w:val="FootnoteReference"/>
          <w:rFonts w:ascii="Times New Roman" w:hAnsi="Times New Roman" w:cs="Times New Roman"/>
          <w:sz w:val="24"/>
          <w:szCs w:val="24"/>
        </w:rPr>
        <w:footnoteReference w:id="335"/>
      </w:r>
      <w:r w:rsidRPr="00517C65">
        <w:rPr>
          <w:rFonts w:ascii="Times New Roman" w:hAnsi="Times New Roman" w:cs="Times New Roman"/>
          <w:sz w:val="24"/>
          <w:szCs w:val="24"/>
        </w:rPr>
        <w:t xml:space="preserve">  </w:t>
      </w:r>
    </w:p>
    <w:p w:rsidR="00775C0C" w:rsidRPr="00517C65" w:rsidP="00517C65">
      <w:pPr>
        <w:pStyle w:val="Heading5"/>
      </w:pPr>
      <w:r w:rsidRPr="00517C65">
        <w:t xml:space="preserve">iv. </w:t>
      </w:r>
      <w:r w:rsidRPr="00517C65">
        <w:tab/>
        <w:t>DP&amp;L headquarters remaining in Dayton does not favor ESP</w:t>
      </w:r>
      <w:r>
        <w:t>.</w:t>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DP&amp;L Witness Malinak also includes benefits “related to the location of DP&amp;L’s operating headquarters in Dayton.”</w:t>
      </w:r>
      <w:r>
        <w:rPr>
          <w:rStyle w:val="FootnoteReference"/>
          <w:rFonts w:ascii="Times New Roman" w:hAnsi="Times New Roman" w:cs="Times New Roman"/>
          <w:sz w:val="24"/>
          <w:szCs w:val="24"/>
        </w:rPr>
        <w:footnoteReference w:id="336"/>
      </w:r>
      <w:r w:rsidRPr="00517C65">
        <w:rPr>
          <w:rFonts w:ascii="Times New Roman" w:hAnsi="Times New Roman" w:cs="Times New Roman"/>
          <w:sz w:val="24"/>
          <w:szCs w:val="24"/>
        </w:rPr>
        <w:t xml:space="preserve">  Neither he nor DP&amp;L Witness Schroder provided any evidence on whether there is even the slightest chance that DP&amp;L would move its headquarters out of Dayton if there was an MRO rather than an ESP.  Nor did they provide any rationale for why DP&amp;L could not make a commitment to keep its headquarters in Dayton under an MRO (or distribution rate case or other docket).  </w:t>
      </w:r>
      <w:r>
        <w:rPr>
          <w:rFonts w:ascii="Times New Roman" w:hAnsi="Times New Roman" w:cs="Times New Roman"/>
          <w:sz w:val="24"/>
          <w:szCs w:val="24"/>
        </w:rPr>
        <w:tab/>
      </w:r>
      <w:r w:rsidRPr="00517C65">
        <w:rPr>
          <w:rFonts w:ascii="Times New Roman" w:hAnsi="Times New Roman" w:cs="Times New Roman"/>
          <w:sz w:val="24"/>
          <w:szCs w:val="24"/>
        </w:rPr>
        <w:t>Additionally, this commitment is hollow.  DP&amp;L Witness Schroder testified that DP&amp;L is not committing to keep the same number of employees as are currently employed at DP&amp;L’s Dayton headquarters.</w:t>
      </w:r>
      <w:r>
        <w:rPr>
          <w:rStyle w:val="FootnoteReference"/>
          <w:rFonts w:ascii="Times New Roman" w:hAnsi="Times New Roman" w:cs="Times New Roman"/>
          <w:sz w:val="24"/>
          <w:szCs w:val="24"/>
        </w:rPr>
        <w:footnoteReference w:id="337"/>
      </w:r>
      <w:r w:rsidRPr="00517C65">
        <w:rPr>
          <w:rFonts w:ascii="Times New Roman" w:hAnsi="Times New Roman" w:cs="Times New Roman"/>
          <w:sz w:val="24"/>
          <w:szCs w:val="24"/>
        </w:rPr>
        <w:t xml:space="preserve">  Because such a commitment was not made any benefits associated with DP&amp;L’s headquarters must be appropriately discounted. </w:t>
      </w:r>
    </w:p>
    <w:p w:rsidR="00775C0C" w:rsidRPr="00517C65" w:rsidP="00517C65">
      <w:pPr>
        <w:pStyle w:val="Heading5"/>
      </w:pPr>
      <w:r w:rsidRPr="00517C65">
        <w:t>v.</w:t>
      </w:r>
      <w:r w:rsidRPr="00517C65">
        <w:tab/>
        <w:t>Incremental impacts on economy from higher rates</w:t>
      </w:r>
      <w:r>
        <w:t>.</w:t>
      </w:r>
    </w:p>
    <w:p w:rsidR="00775C0C" w:rsidRPr="00517C65" w:rsidP="00AC1D9C">
      <w:pPr>
        <w:spacing w:after="0" w:line="480" w:lineRule="auto"/>
        <w:ind w:firstLine="7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DP&amp;L Witness Malinak does recognize that weighing against any purported non-quantifiable benefits of the Settlement are the impacts of “potentially higher electricity rates on the local economy.”</w:t>
      </w:r>
      <w:r>
        <w:rPr>
          <w:rStyle w:val="FootnoteReference"/>
          <w:rFonts w:ascii="Times New Roman" w:eastAsia="Times New Roman" w:hAnsi="Times New Roman" w:cs="Times New Roman"/>
          <w:sz w:val="24"/>
          <w:szCs w:val="24"/>
        </w:rPr>
        <w:footnoteReference w:id="338"/>
      </w:r>
      <w:r w:rsidRPr="00517C65">
        <w:rPr>
          <w:rFonts w:ascii="Times New Roman" w:eastAsia="Times New Roman" w:hAnsi="Times New Roman" w:cs="Times New Roman"/>
          <w:sz w:val="24"/>
          <w:szCs w:val="24"/>
        </w:rPr>
        <w:t xml:space="preserve">  OCC Witness Kahal agrees.  He has demonstrated that “overall, the proposed Settlement ESP would produce an economic headwind for the Dayton area by reducing disposable income, increasing customer rates, and increasing the cost of doing business in DP&amp;L’s service area.”</w:t>
      </w:r>
      <w:r>
        <w:rPr>
          <w:rStyle w:val="FootnoteReference"/>
          <w:rFonts w:ascii="Times New Roman" w:eastAsia="Times New Roman" w:hAnsi="Times New Roman" w:cs="Times New Roman"/>
          <w:sz w:val="24"/>
          <w:szCs w:val="24"/>
        </w:rPr>
        <w:footnoteReference w:id="339"/>
      </w:r>
    </w:p>
    <w:p w:rsidR="00775C0C" w:rsidRPr="00517C65" w:rsidP="00AC1D9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DP&amp;L Witness Malinak’s reliance on his purported non-quantitative benefits is misplaced.  These benefits (if they are benefits at all) would be equally available under an MRO.  The value of these benefits must also be discounted for likely realities.  Even if one could identify some qualitative benefits from the proposed Settlement that would not be available under an MRO, those benefits would not be worth more than the costs of the DMR, Reconciliation Rider, and any adverse economic impacts from increased rates.  </w:t>
      </w:r>
    </w:p>
    <w:p w:rsidR="00D376CA" w:rsidRPr="00517C65" w:rsidP="00225B94">
      <w:pPr>
        <w:pStyle w:val="Heading3"/>
      </w:pPr>
      <w:bookmarkStart w:id="52" w:name="_Toc481762076"/>
      <w:r>
        <w:t xml:space="preserve">4. </w:t>
      </w:r>
      <w:r>
        <w:tab/>
      </w:r>
      <w:r w:rsidRPr="00517C65">
        <w:t>The ESP embodied in the Settlement fails the MRO v. ESP test under DP&amp;L Witness Malinak’s scenarios and, therefore, it should be rejected to protect consumers</w:t>
      </w:r>
      <w:r>
        <w:t>.</w:t>
      </w:r>
      <w:bookmarkEnd w:id="52"/>
      <w:r w:rsidRPr="00517C65">
        <w:t xml:space="preserve">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Under DP&amp;L Witness Malinak’s first scenario, the outcome of the ESP versus MRO test comes down to the “other quantifiable and non-quantifiable costs and benefits of the stipulated ESP relative to an MRO.”</w:t>
      </w:r>
      <w:r>
        <w:rPr>
          <w:rStyle w:val="FootnoteReference"/>
          <w:rFonts w:ascii="Times New Roman" w:hAnsi="Times New Roman" w:cs="Times New Roman"/>
          <w:sz w:val="24"/>
          <w:szCs w:val="24"/>
        </w:rPr>
        <w:footnoteReference w:id="340"/>
      </w:r>
      <w:r w:rsidRPr="00517C65">
        <w:rPr>
          <w:rFonts w:ascii="Times New Roman" w:hAnsi="Times New Roman" w:cs="Times New Roman"/>
          <w:sz w:val="24"/>
          <w:szCs w:val="24"/>
        </w:rPr>
        <w:t xml:space="preserve">  </w:t>
      </w:r>
      <w:r>
        <w:rPr>
          <w:rFonts w:ascii="Times New Roman" w:hAnsi="Times New Roman" w:cs="Times New Roman"/>
          <w:sz w:val="24"/>
          <w:szCs w:val="24"/>
        </w:rPr>
        <w:t>They allegedly are what make the ESP more favorable in the aggregate than an MRO.  But a</w:t>
      </w:r>
      <w:r w:rsidRPr="00517C65">
        <w:rPr>
          <w:rFonts w:ascii="Times New Roman" w:hAnsi="Times New Roman" w:cs="Times New Roman"/>
          <w:sz w:val="24"/>
          <w:szCs w:val="24"/>
        </w:rPr>
        <w:t xml:space="preserve">s discussed above, the $11.5 million of purported other quantifiable benefits </w:t>
      </w:r>
      <w:r>
        <w:rPr>
          <w:rFonts w:ascii="Times New Roman" w:hAnsi="Times New Roman" w:cs="Times New Roman"/>
          <w:sz w:val="24"/>
          <w:szCs w:val="24"/>
        </w:rPr>
        <w:t xml:space="preserve">(shareholder contributions) </w:t>
      </w:r>
      <w:r w:rsidRPr="00517C65">
        <w:rPr>
          <w:rFonts w:ascii="Times New Roman" w:hAnsi="Times New Roman" w:cs="Times New Roman"/>
          <w:sz w:val="24"/>
          <w:szCs w:val="24"/>
        </w:rPr>
        <w:t xml:space="preserve">identified by DP&amp;L Witness Malinak are equally available under an MRO as they are an ESP (or at any time in any case, for that matter).  Therefore, those purported benefits are a wash and have no impact on the outcome of the ESP versus MRO test. </w:t>
      </w:r>
    </w:p>
    <w:p w:rsidR="00775C0C" w:rsidRPr="00517C65" w:rsidP="00775C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Under DP&amp;L Witness Malinak’s first scenario, the ESP versus MRO test is failed on the scenario’s own terms.  The</w:t>
      </w:r>
      <w:r w:rsidRPr="00517C65">
        <w:rPr>
          <w:rFonts w:ascii="Times New Roman" w:hAnsi="Times New Roman" w:cs="Times New Roman"/>
          <w:sz w:val="24"/>
          <w:szCs w:val="24"/>
        </w:rPr>
        <w:t xml:space="preserve"> ESP embodied in the Settlement is </w:t>
      </w:r>
      <w:r w:rsidRPr="00A60F41">
        <w:rPr>
          <w:rFonts w:ascii="Times New Roman" w:hAnsi="Times New Roman" w:cs="Times New Roman"/>
          <w:sz w:val="24"/>
          <w:szCs w:val="24"/>
        </w:rPr>
        <w:t>not</w:t>
      </w:r>
      <w:r w:rsidRPr="00517C65">
        <w:rPr>
          <w:rFonts w:ascii="Times New Roman" w:hAnsi="Times New Roman" w:cs="Times New Roman"/>
          <w:sz w:val="24"/>
          <w:szCs w:val="24"/>
        </w:rPr>
        <w:t xml:space="preserve"> </w:t>
      </w:r>
      <w:r w:rsidRPr="00244E65">
        <w:rPr>
          <w:rFonts w:ascii="Times New Roman" w:hAnsi="Times New Roman" w:cs="Times New Roman"/>
          <w:i/>
          <w:sz w:val="24"/>
          <w:szCs w:val="24"/>
        </w:rPr>
        <w:t>more favorable</w:t>
      </w:r>
      <w:r w:rsidRPr="00517C65">
        <w:rPr>
          <w:rFonts w:ascii="Times New Roman" w:hAnsi="Times New Roman" w:cs="Times New Roman"/>
          <w:sz w:val="24"/>
          <w:szCs w:val="24"/>
        </w:rPr>
        <w:t xml:space="preserve"> in the aggregate than an MRO.  </w:t>
      </w:r>
      <w:r>
        <w:rPr>
          <w:rFonts w:ascii="Times New Roman" w:hAnsi="Times New Roman" w:cs="Times New Roman"/>
          <w:sz w:val="24"/>
          <w:szCs w:val="24"/>
        </w:rPr>
        <w:t xml:space="preserve">And when the costs of riders that are created by not populated are considered, it is clearly </w:t>
      </w:r>
      <w:r>
        <w:rPr>
          <w:rFonts w:ascii="Times New Roman" w:hAnsi="Times New Roman" w:cs="Times New Roman"/>
          <w:i/>
          <w:sz w:val="24"/>
          <w:szCs w:val="24"/>
        </w:rPr>
        <w:t xml:space="preserve">less </w:t>
      </w:r>
      <w:r>
        <w:rPr>
          <w:rFonts w:ascii="Times New Roman" w:hAnsi="Times New Roman" w:cs="Times New Roman"/>
          <w:sz w:val="24"/>
          <w:szCs w:val="24"/>
        </w:rPr>
        <w:t>favorable.</w:t>
      </w:r>
      <w:r>
        <w:rPr>
          <w:rStyle w:val="FootnoteReference"/>
          <w:rFonts w:ascii="Times New Roman" w:hAnsi="Times New Roman" w:cs="Times New Roman"/>
          <w:sz w:val="24"/>
          <w:szCs w:val="24"/>
        </w:rPr>
        <w:footnoteReference w:id="341"/>
      </w:r>
      <w:r>
        <w:rPr>
          <w:rFonts w:ascii="Times New Roman" w:hAnsi="Times New Roman" w:cs="Times New Roman"/>
          <w:sz w:val="24"/>
          <w:szCs w:val="24"/>
        </w:rPr>
        <w:t xml:space="preserve">  </w:t>
      </w:r>
      <w:r w:rsidRPr="00517C65">
        <w:rPr>
          <w:rFonts w:ascii="Times New Roman" w:hAnsi="Times New Roman" w:cs="Times New Roman"/>
          <w:sz w:val="24"/>
          <w:szCs w:val="24"/>
        </w:rPr>
        <w:t xml:space="preserve">This first scenario does not pass the ESP versus MRO test.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Under DP&amp;L Witness Malinak’s second scenario, the ESP versus MRO test comes down to “whether the value of [the Settlement’s] other, non-quantifiable benefits as compared to an MRO exceeds the present value of its increased cost ($401 million to $477 million), as well as any non-quantifiable costs of the Amended Stipulation as compared to an MRO.”</w:t>
      </w:r>
      <w:r>
        <w:rPr>
          <w:rStyle w:val="FootnoteReference"/>
          <w:rFonts w:ascii="Times New Roman" w:hAnsi="Times New Roman" w:cs="Times New Roman"/>
          <w:sz w:val="24"/>
          <w:szCs w:val="24"/>
        </w:rPr>
        <w:footnoteReference w:id="342"/>
      </w:r>
      <w:r w:rsidRPr="00517C65">
        <w:rPr>
          <w:rFonts w:ascii="Times New Roman" w:hAnsi="Times New Roman" w:cs="Times New Roman"/>
          <w:sz w:val="24"/>
          <w:szCs w:val="24"/>
        </w:rPr>
        <w:t xml:space="preserve"> The analysis for DP&amp;L Witness Malinak’s third scenario is similar.  The ESP in the third scenario is costlier than the ESP in the second scenario and does not provide any additional non-quantitative benefits.  Therefore, if the second scenario fails the MRO versus ESP test, so does the third scenario.  </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As discussed above, the $11.5 million of purported other quantifiable benefits identified by DP&amp;L Witness Malinak are equally available under an MRO as they are an ESP (or at any time in any case, for that matter).  Therefore, those purported benefits are a wash and have no impact on the ESP versus MRO test.</w:t>
      </w:r>
    </w:p>
    <w:p w:rsidR="00775C0C" w:rsidRPr="00517C65" w:rsidP="00775C0C">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The purported non-quantitative benefits discussed by DP&amp;L Witness Malinak are pure conjecture and would also be available under an MRO (if they are even benefits at all).  Additionally, the purported benefits must be discounted to take into account what is likely to happen.  After incorporating all of these considerations (including harm to the local economy from approving the Settlement) into the ESP versus MRO analysis, it is clear that the non-quantitative benefits will not exceed the costs of the DMR (and Reconciliation Rider under the third scenario).  Therefore, DP&amp;L Witness Malinak’s second and third scenarios also fail the ESP versus MRO test.  </w:t>
      </w:r>
    </w:p>
    <w:p w:rsidR="007E03E8" w:rsidP="00805F3D">
      <w:pPr>
        <w:spacing w:after="0" w:line="480" w:lineRule="auto"/>
        <w:ind w:firstLine="720"/>
        <w:rPr>
          <w:rFonts w:ascii="Times New Roman" w:hAnsi="Times New Roman" w:cs="Times New Roman"/>
          <w:sz w:val="24"/>
          <w:szCs w:val="24"/>
        </w:rPr>
      </w:pPr>
      <w:r w:rsidRPr="00517C65">
        <w:rPr>
          <w:rFonts w:ascii="Times New Roman" w:eastAsia="Times New Roman" w:hAnsi="Times New Roman" w:cs="Times New Roman"/>
          <w:sz w:val="24"/>
          <w:szCs w:val="24"/>
        </w:rPr>
        <w:t xml:space="preserve">Because all three of </w:t>
      </w:r>
      <w:r>
        <w:rPr>
          <w:rFonts w:ascii="Times New Roman" w:eastAsia="Times New Roman" w:hAnsi="Times New Roman" w:cs="Times New Roman"/>
          <w:sz w:val="24"/>
          <w:szCs w:val="24"/>
        </w:rPr>
        <w:t>DP&amp;L</w:t>
      </w:r>
      <w:r w:rsidRPr="00517C65">
        <w:rPr>
          <w:rFonts w:ascii="Times New Roman" w:eastAsia="Times New Roman" w:hAnsi="Times New Roman" w:cs="Times New Roman"/>
          <w:sz w:val="24"/>
          <w:szCs w:val="24"/>
        </w:rPr>
        <w:t xml:space="preserve"> Witness Malinak’s scenarios fail the MRO versus ESP test, the PUCO must reject the </w:t>
      </w:r>
      <w:r w:rsidRPr="00517C65">
        <w:rPr>
          <w:rFonts w:ascii="Times New Roman" w:hAnsi="Times New Roman" w:cs="Times New Roman"/>
          <w:sz w:val="24"/>
          <w:szCs w:val="24"/>
        </w:rPr>
        <w:t xml:space="preserve">ESP embodied by the Settlement.  </w:t>
      </w:r>
    </w:p>
    <w:p w:rsidR="00517C65" w:rsidRPr="00517C65" w:rsidP="00517C65">
      <w:pPr>
        <w:spacing w:after="0" w:line="240" w:lineRule="auto"/>
        <w:ind w:firstLine="720"/>
        <w:rPr>
          <w:rFonts w:ascii="Times New Roman" w:hAnsi="Times New Roman" w:cs="Times New Roman"/>
          <w:sz w:val="24"/>
          <w:szCs w:val="24"/>
        </w:rPr>
      </w:pPr>
    </w:p>
    <w:p w:rsidR="00764282" w:rsidRPr="00517C65" w:rsidP="00677085">
      <w:pPr>
        <w:pStyle w:val="Heading1"/>
      </w:pPr>
      <w:bookmarkStart w:id="53" w:name="_Toc481762077"/>
      <w:r w:rsidRPr="00517C65">
        <w:t xml:space="preserve">V. </w:t>
      </w:r>
      <w:r w:rsidRPr="00517C65">
        <w:tab/>
        <w:t>CONCLUSION</w:t>
      </w:r>
      <w:bookmarkEnd w:id="53"/>
    </w:p>
    <w:p w:rsidR="00764282" w:rsidRPr="00517C65" w:rsidP="00517C65">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After taking nearly $700 million of consumers’ money to bolster DP&amp;L’s financial integrity, enough is enough.  The PUCO should reject DP&amp;L’s request for a DMR.  It has not shown the PUCO that an additional $315 million will do the trick.  Instead, that DP&amp;L is still in a financial crisis after receiving nearly $700 million shows that an additional $315 million will </w:t>
      </w:r>
      <w:r w:rsidRPr="00517C65">
        <w:rPr>
          <w:rFonts w:ascii="Times New Roman" w:hAnsi="Times New Roman" w:cs="Times New Roman"/>
          <w:i/>
          <w:sz w:val="24"/>
          <w:szCs w:val="24"/>
        </w:rPr>
        <w:t xml:space="preserve">not </w:t>
      </w:r>
      <w:r w:rsidRPr="00517C65">
        <w:rPr>
          <w:rFonts w:ascii="Times New Roman" w:hAnsi="Times New Roman" w:cs="Times New Roman"/>
          <w:sz w:val="24"/>
          <w:szCs w:val="24"/>
        </w:rPr>
        <w:t>do the trick.  Shut off the spigot.  No more good consumer money after bad.</w:t>
      </w:r>
    </w:p>
    <w:p w:rsidR="00764282"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 xml:space="preserve">The PUCO should also reject the DMR because it violates the Merger Finding and Order.  There, AES, DPL, and DP&amp;L promised that they would not charge consumers for the Merger.  That is exactly what they are trying to do now.  Further, the DMR should be rejected because it is an illegal transition charge or equivalent revenue, </w:t>
      </w:r>
      <w:r>
        <w:rPr>
          <w:rFonts w:ascii="Times New Roman" w:hAnsi="Times New Roman" w:cs="Times New Roman"/>
          <w:sz w:val="24"/>
          <w:szCs w:val="24"/>
        </w:rPr>
        <w:t>regardless as to how</w:t>
      </w:r>
      <w:r w:rsidRPr="00517C65">
        <w:rPr>
          <w:rFonts w:ascii="Times New Roman" w:hAnsi="Times New Roman" w:cs="Times New Roman"/>
          <w:sz w:val="24"/>
          <w:szCs w:val="24"/>
        </w:rPr>
        <w:t xml:space="preserve"> DP&amp;L chooses to characterize it.  The Ohio Supreme Court could not have been more consistent or clear – such charges are illegal.</w:t>
      </w:r>
    </w:p>
    <w:p w:rsidR="00793D89"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The Settlement should also be rejected because it fails all three prongs of the PUCO’s three-prong test for evaluating settlements.  The ESP embodied in the Settlement also fails the MRO versus ESP test.</w:t>
      </w:r>
    </w:p>
    <w:p w:rsidR="00805F3D" w:rsidRPr="00517C65" w:rsidP="008B11B3">
      <w:pPr>
        <w:spacing w:after="0" w:line="480" w:lineRule="auto"/>
        <w:ind w:firstLine="720"/>
        <w:rPr>
          <w:rFonts w:ascii="Times New Roman" w:hAnsi="Times New Roman" w:cs="Times New Roman"/>
          <w:sz w:val="24"/>
          <w:szCs w:val="24"/>
        </w:rPr>
      </w:pPr>
      <w:r w:rsidRPr="00517C65">
        <w:rPr>
          <w:rFonts w:ascii="Times New Roman" w:hAnsi="Times New Roman" w:cs="Times New Roman"/>
          <w:sz w:val="24"/>
          <w:szCs w:val="24"/>
        </w:rPr>
        <w:t>In the interest of using electric markets, as intended by the Ohio General Assembly, and the benefits for Ohioans from those markets, the PUCO should deny DP&amp;L’s proposals.</w:t>
      </w:r>
    </w:p>
    <w:p w:rsidR="00761D0A" w:rsidP="00C86495">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761D0A" w:rsidP="00C86495">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E678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86495" w:rsidRPr="00517C65" w:rsidP="00C86495">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BRUCE WESTON (0016973)</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OHIO CONSUMERS’ COUNSEL</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i/>
          <w:sz w:val="24"/>
          <w:szCs w:val="24"/>
          <w:u w:val="single"/>
        </w:rPr>
        <w:t>/s/ William  J. Michael</w:t>
      </w:r>
      <w:r w:rsidRPr="00517C65">
        <w:rPr>
          <w:rFonts w:ascii="Times New Roman" w:eastAsia="Times New Roman" w:hAnsi="Times New Roman" w:cs="Times New Roman"/>
          <w:sz w:val="24"/>
          <w:szCs w:val="24"/>
        </w:rPr>
        <w:tab/>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William J. Michael, (0070921)</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Counsel of Record</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Kevin F. Moore (0089228)</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Ajay Kumar (0092208)</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Andrew Garver (PHV-10193-2017)</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Assistant Consumers’ Counsel</w:t>
      </w:r>
    </w:p>
    <w:p w:rsidR="00C86495" w:rsidRPr="00517C65" w:rsidP="00C86495">
      <w:pPr>
        <w:tabs>
          <w:tab w:val="left" w:pos="4320"/>
        </w:tabs>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ab/>
      </w:r>
    </w:p>
    <w:p w:rsidR="00C86495" w:rsidRPr="00517C65" w:rsidP="00C86495">
      <w:pPr>
        <w:spacing w:after="0" w:line="240" w:lineRule="auto"/>
        <w:ind w:left="4320"/>
        <w:rPr>
          <w:rFonts w:ascii="Times New Roman" w:eastAsia="Times New Roman" w:hAnsi="Times New Roman" w:cs="Times New Roman"/>
          <w:b/>
          <w:sz w:val="24"/>
          <w:szCs w:val="24"/>
        </w:rPr>
      </w:pPr>
      <w:r w:rsidRPr="00517C65">
        <w:rPr>
          <w:rFonts w:ascii="Times New Roman" w:eastAsia="Times New Roman" w:hAnsi="Times New Roman" w:cs="Times New Roman"/>
          <w:b/>
          <w:sz w:val="24"/>
          <w:szCs w:val="24"/>
        </w:rPr>
        <w:t>Office of the Ohio Consumers’ Counsel</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10 West Broad Street, Suite 1800</w:t>
      </w:r>
    </w:p>
    <w:p w:rsidR="00C86495" w:rsidRPr="00517C65" w:rsidP="00C86495">
      <w:pPr>
        <w:spacing w:after="0" w:line="240" w:lineRule="auto"/>
        <w:ind w:left="4320"/>
        <w:rPr>
          <w:rFonts w:ascii="Times New Roman" w:eastAsia="Times New Roman" w:hAnsi="Times New Roman" w:cs="Times New Roman"/>
          <w:b/>
          <w:sz w:val="24"/>
          <w:szCs w:val="24"/>
        </w:rPr>
      </w:pPr>
      <w:r w:rsidRPr="00517C65">
        <w:rPr>
          <w:rFonts w:ascii="Times New Roman" w:eastAsia="Times New Roman" w:hAnsi="Times New Roman" w:cs="Times New Roman"/>
          <w:sz w:val="24"/>
          <w:szCs w:val="24"/>
        </w:rPr>
        <w:t>Columbus, Ohio 43215-3485</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Telephone: [Michael] (614) 466-1291</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Telephone: [Moore] (614) 387-2965</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Telephone: [Kumar] (614) 466-1292</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sz w:val="24"/>
          <w:szCs w:val="24"/>
        </w:rPr>
        <w:t>Telephone: [Garver] (614) 466-9569</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color w:val="0000FF" w:themeColor="hyperlink"/>
          <w:sz w:val="24"/>
          <w:szCs w:val="24"/>
          <w:u w:val="single"/>
        </w:rPr>
        <w:t>william.michael@occ.ohio.gov</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color w:val="0000FF" w:themeColor="hyperlink"/>
          <w:sz w:val="24"/>
          <w:szCs w:val="24"/>
          <w:u w:val="single"/>
        </w:rPr>
        <w:t>kevin.moore@occ.ohio.gov</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color w:val="0000FF" w:themeColor="hyperlink"/>
          <w:sz w:val="24"/>
          <w:szCs w:val="24"/>
          <w:u w:val="single"/>
        </w:rPr>
        <w:t>ajay.kumar@occ.ohio.gov</w:t>
      </w:r>
    </w:p>
    <w:p w:rsidR="00C86495" w:rsidRPr="00517C65" w:rsidP="00C86495">
      <w:pPr>
        <w:spacing w:after="0" w:line="240" w:lineRule="auto"/>
        <w:ind w:left="4320"/>
        <w:rPr>
          <w:rFonts w:ascii="Times New Roman" w:eastAsia="Times New Roman" w:hAnsi="Times New Roman" w:cs="Times New Roman"/>
          <w:sz w:val="24"/>
          <w:szCs w:val="24"/>
        </w:rPr>
      </w:pPr>
      <w:r w:rsidRPr="00517C65">
        <w:rPr>
          <w:rFonts w:ascii="Times New Roman" w:eastAsia="Times New Roman" w:hAnsi="Times New Roman" w:cs="Times New Roman"/>
          <w:color w:val="0000FF" w:themeColor="hyperlink"/>
          <w:sz w:val="24"/>
          <w:szCs w:val="24"/>
          <w:u w:val="single"/>
        </w:rPr>
        <w:t>andrew.garver@occ.ohio.gov</w:t>
      </w:r>
    </w:p>
    <w:p w:rsidR="005A0C60" w:rsidRPr="00517C65" w:rsidP="005A0C60">
      <w:pPr>
        <w:spacing w:after="0" w:line="240" w:lineRule="auto"/>
        <w:rPr>
          <w:rFonts w:ascii="Times New Roman" w:eastAsia="Times New Roman" w:hAnsi="Times New Roman" w:cs="Times New Roman"/>
          <w:sz w:val="24"/>
          <w:szCs w:val="24"/>
        </w:rPr>
        <w:sectPr w:rsidSect="00070034">
          <w:footerReference w:type="default" r:id="rId8"/>
          <w:pgSz w:w="12240" w:h="15840"/>
          <w:pgMar w:top="1440" w:right="1800" w:bottom="1440" w:left="1800" w:header="720" w:footer="720" w:gutter="0"/>
          <w:pgNumType w:start="2"/>
          <w:cols w:space="720"/>
          <w:docGrid w:linePitch="360"/>
        </w:sectPr>
      </w:pP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r>
      <w:r w:rsidRPr="00517C65">
        <w:rPr>
          <w:rFonts w:ascii="Times New Roman" w:eastAsia="Times New Roman" w:hAnsi="Times New Roman" w:cs="Times New Roman"/>
          <w:sz w:val="24"/>
          <w:szCs w:val="24"/>
        </w:rPr>
        <w:tab/>
        <w:t xml:space="preserve">            (All will accept service via email)</w:t>
      </w:r>
    </w:p>
    <w:p w:rsidR="00C86495" w:rsidRPr="00517C65" w:rsidP="005A0C60">
      <w:pPr>
        <w:spacing w:after="0" w:line="240" w:lineRule="auto"/>
        <w:jc w:val="center"/>
        <w:rPr>
          <w:rFonts w:ascii="Times New Roman" w:eastAsia="Calibri" w:hAnsi="Times New Roman" w:cs="Times New Roman"/>
          <w:b/>
          <w:bCs/>
          <w:sz w:val="24"/>
          <w:szCs w:val="24"/>
          <w:u w:val="single"/>
        </w:rPr>
      </w:pPr>
      <w:r w:rsidRPr="00517C65">
        <w:rPr>
          <w:rFonts w:ascii="Times New Roman" w:eastAsia="Calibri" w:hAnsi="Times New Roman" w:cs="Times New Roman"/>
          <w:b/>
          <w:bCs/>
          <w:sz w:val="24"/>
          <w:szCs w:val="24"/>
          <w:u w:val="single"/>
        </w:rPr>
        <w:t>CERTIFICATE OF SERVICE</w:t>
      </w:r>
    </w:p>
    <w:p w:rsidR="00C86495" w:rsidRPr="00517C65" w:rsidP="0071101E">
      <w:pPr>
        <w:spacing w:after="0" w:line="480" w:lineRule="atLeast"/>
        <w:ind w:firstLine="720"/>
        <w:rPr>
          <w:rFonts w:ascii="Times New Roman" w:eastAsia="Calibri" w:hAnsi="Times New Roman" w:cs="Times New Roman"/>
          <w:sz w:val="24"/>
          <w:szCs w:val="24"/>
        </w:rPr>
      </w:pPr>
      <w:r w:rsidRPr="00517C65">
        <w:rPr>
          <w:rFonts w:ascii="Times New Roman" w:eastAsia="Calibri" w:hAnsi="Times New Roman" w:cs="Times New Roman"/>
          <w:sz w:val="24"/>
          <w:szCs w:val="24"/>
        </w:rPr>
        <w:t>I hereby certify that a copy of this Initial Post-Hearing Brief was served on the persons stated below via electronic service, this 5th day of May 2017.</w:t>
      </w:r>
    </w:p>
    <w:p w:rsidR="00C86495" w:rsidRPr="00517C65" w:rsidP="00C86495">
      <w:pPr>
        <w:spacing w:after="0" w:line="240" w:lineRule="auto"/>
        <w:rPr>
          <w:rFonts w:ascii="Times New Roman" w:eastAsia="Calibri" w:hAnsi="Times New Roman" w:cs="Times New Roman"/>
          <w:sz w:val="24"/>
          <w:szCs w:val="24"/>
        </w:rPr>
      </w:pPr>
    </w:p>
    <w:p w:rsidR="00C86495" w:rsidRPr="00517C65" w:rsidP="00C86495">
      <w:pPr>
        <w:tabs>
          <w:tab w:val="left" w:pos="4320"/>
        </w:tabs>
        <w:spacing w:after="0" w:line="240" w:lineRule="auto"/>
        <w:rPr>
          <w:rFonts w:ascii="Times New Roman" w:eastAsia="Calibri" w:hAnsi="Times New Roman" w:cs="Times New Roman"/>
          <w:i/>
          <w:iCs/>
          <w:sz w:val="24"/>
          <w:szCs w:val="24"/>
          <w:u w:val="single"/>
        </w:rPr>
      </w:pPr>
      <w:r w:rsidRPr="00517C65">
        <w:rPr>
          <w:rFonts w:ascii="Times New Roman" w:eastAsia="Calibri" w:hAnsi="Times New Roman" w:cs="Times New Roman"/>
          <w:iCs/>
          <w:sz w:val="24"/>
          <w:szCs w:val="24"/>
        </w:rPr>
        <w:tab/>
      </w:r>
      <w:r w:rsidRPr="00517C65">
        <w:rPr>
          <w:rFonts w:ascii="Times New Roman" w:eastAsia="Calibri" w:hAnsi="Times New Roman" w:cs="Times New Roman"/>
          <w:iCs/>
          <w:sz w:val="24"/>
          <w:szCs w:val="24"/>
        </w:rPr>
        <w:tab/>
      </w:r>
      <w:r w:rsidRPr="00517C65">
        <w:rPr>
          <w:rFonts w:ascii="Times New Roman" w:eastAsia="Calibri" w:hAnsi="Times New Roman" w:cs="Times New Roman"/>
          <w:i/>
          <w:iCs/>
          <w:sz w:val="24"/>
          <w:szCs w:val="24"/>
          <w:u w:val="single"/>
        </w:rPr>
        <w:t>/s/ William J. Michael</w:t>
      </w:r>
    </w:p>
    <w:p w:rsidR="00C86495" w:rsidRPr="00517C65" w:rsidP="00C86495">
      <w:pPr>
        <w:tabs>
          <w:tab w:val="left" w:pos="4320"/>
        </w:tabs>
        <w:spacing w:after="0" w:line="240" w:lineRule="auto"/>
        <w:rPr>
          <w:rFonts w:ascii="Times New Roman" w:eastAsia="Calibri" w:hAnsi="Times New Roman" w:cs="Times New Roman"/>
          <w:iCs/>
          <w:sz w:val="24"/>
          <w:szCs w:val="24"/>
        </w:rPr>
      </w:pPr>
      <w:r w:rsidRPr="00517C65">
        <w:rPr>
          <w:rFonts w:ascii="Times New Roman" w:eastAsia="Calibri" w:hAnsi="Times New Roman" w:cs="Times New Roman"/>
          <w:iCs/>
          <w:sz w:val="24"/>
          <w:szCs w:val="24"/>
        </w:rPr>
        <w:tab/>
      </w:r>
      <w:r w:rsidRPr="00517C65">
        <w:rPr>
          <w:rFonts w:ascii="Times New Roman" w:eastAsia="Calibri" w:hAnsi="Times New Roman" w:cs="Times New Roman"/>
          <w:iCs/>
          <w:sz w:val="24"/>
          <w:szCs w:val="24"/>
        </w:rPr>
        <w:tab/>
        <w:t xml:space="preserve">William J. Michael </w:t>
      </w:r>
    </w:p>
    <w:p w:rsidR="00C86495" w:rsidRPr="00517C65" w:rsidP="00C86495">
      <w:pPr>
        <w:tabs>
          <w:tab w:val="left" w:pos="4320"/>
        </w:tabs>
        <w:spacing w:after="0" w:line="240" w:lineRule="auto"/>
        <w:rPr>
          <w:rFonts w:ascii="Times New Roman" w:eastAsia="Calibri" w:hAnsi="Times New Roman" w:cs="Times New Roman"/>
          <w:iCs/>
          <w:sz w:val="24"/>
          <w:szCs w:val="24"/>
        </w:rPr>
      </w:pPr>
      <w:r w:rsidRPr="00517C65">
        <w:rPr>
          <w:rFonts w:ascii="Times New Roman" w:eastAsia="Calibri" w:hAnsi="Times New Roman" w:cs="Times New Roman"/>
          <w:iCs/>
          <w:sz w:val="24"/>
          <w:szCs w:val="24"/>
        </w:rPr>
        <w:tab/>
      </w:r>
      <w:r w:rsidRPr="00517C65">
        <w:rPr>
          <w:rFonts w:ascii="Times New Roman" w:eastAsia="Calibri" w:hAnsi="Times New Roman" w:cs="Times New Roman"/>
          <w:iCs/>
          <w:sz w:val="24"/>
          <w:szCs w:val="24"/>
        </w:rPr>
        <w:tab/>
        <w:t>Assistant Consumers’ Counsel</w:t>
      </w:r>
    </w:p>
    <w:p w:rsidR="00C86495" w:rsidRPr="00517C65" w:rsidP="00C86495">
      <w:pPr>
        <w:spacing w:after="0" w:line="240" w:lineRule="auto"/>
        <w:rPr>
          <w:rFonts w:ascii="Times New Roman" w:eastAsia="Times New Roman" w:hAnsi="Times New Roman" w:cs="Times New Roman"/>
          <w:sz w:val="24"/>
          <w:szCs w:val="24"/>
        </w:rPr>
      </w:pPr>
    </w:p>
    <w:p w:rsidR="00C86495" w:rsidRPr="00517C65" w:rsidP="00C86495">
      <w:pPr>
        <w:spacing w:after="0" w:line="240" w:lineRule="auto"/>
        <w:jc w:val="center"/>
        <w:rPr>
          <w:rFonts w:ascii="Times New Roman" w:eastAsia="Times New Roman" w:hAnsi="Times New Roman" w:cs="Times New Roman"/>
          <w:b/>
          <w:bCs/>
          <w:sz w:val="24"/>
          <w:szCs w:val="24"/>
          <w:u w:val="single"/>
        </w:rPr>
      </w:pPr>
      <w:r w:rsidRPr="00517C65">
        <w:rPr>
          <w:rFonts w:ascii="Times New Roman" w:eastAsia="Times New Roman" w:hAnsi="Times New Roman" w:cs="Times New Roman"/>
          <w:b/>
          <w:bCs/>
          <w:sz w:val="24"/>
          <w:szCs w:val="24"/>
          <w:u w:val="single"/>
        </w:rPr>
        <w:t>SERVICE LIST</w:t>
      </w:r>
    </w:p>
    <w:p w:rsidR="00C86495" w:rsidRPr="00517C65" w:rsidP="00C86495">
      <w:pPr>
        <w:spacing w:after="0" w:line="240" w:lineRule="auto"/>
        <w:jc w:val="center"/>
        <w:rPr>
          <w:rFonts w:ascii="Times New Roman" w:eastAsia="Times New Roman" w:hAnsi="Times New Roman" w:cs="Times New Roman"/>
          <w:b/>
          <w:bCs/>
          <w:sz w:val="24"/>
          <w:szCs w:val="24"/>
          <w:u w:val="single"/>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0"/>
        <w:gridCol w:w="4640"/>
      </w:tblGrid>
      <w:tr w:rsidTr="00C86495">
        <w:tblPrEx>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20" w:type="dxa"/>
            <w:hideMark/>
          </w:tcPr>
          <w:p w:rsidR="00C86495" w:rsidRPr="00517C65" w:rsidP="00C86495">
            <w:pPr>
              <w:autoSpaceDE w:val="0"/>
              <w:autoSpaceDN w:val="0"/>
              <w:adjustRightInd w:val="0"/>
              <w:rPr>
                <w:rFonts w:eastAsia="Calibri"/>
                <w:color w:val="0000FF"/>
                <w:sz w:val="24"/>
                <w:szCs w:val="24"/>
              </w:rPr>
            </w:pPr>
            <w:r w:rsidRPr="00B16776">
              <w:rPr>
                <w:rFonts w:eastAsia="Calibri"/>
                <w:sz w:val="24"/>
                <w:szCs w:val="24"/>
              </w:rPr>
              <w:t>william.wright@ohioattorneygeneral.gov</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dboehm@bkllawfirm.com</w:t>
            </w:r>
            <w:r>
              <w:rPr>
                <w:rFonts w:eastAsia="Calibri"/>
                <w:sz w:val="24"/>
                <w:szCs w:val="24"/>
              </w:rPr>
              <w:t xml:space="preserve"> </w:t>
            </w:r>
            <w:r w:rsidRPr="00517C65">
              <w:rPr>
                <w:rFonts w:eastAsia="Calibri"/>
                <w:color w:val="0000FF"/>
                <w:sz w:val="24"/>
                <w:szCs w:val="24"/>
              </w:rPr>
              <w:t xml:space="preserve"> </w:t>
            </w:r>
            <w:r>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mkurtz@bkllawfirm.com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jkylercohn@bkllawfirm.com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kboehm@bkllawfirm.com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fdarr@mwncmh.com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mpritchard@mwncmh.com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mjsettineri@vorys.com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smhoward@vorys.com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glpetrucci@vorys.com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ibatikov@vorys.com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wasieck@vorys.com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tdougherty@theOEC.org</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cmooney@ohiopartners.org</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joliker@igsenergy.com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mswhite@igsenergy.com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ebetterton@igsenergy.com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Slesser@calfee.com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jlang@calfee.com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talexander@calfee.com</w:t>
            </w:r>
            <w:r>
              <w:rPr>
                <w:rFonts w:eastAsia="Calibri"/>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mkeaney@calfee.com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slesser@calfee.com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jlang@calfee.com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amy.spiller@duke-energy.com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elizabeth.watts@duke-energy.com</w:t>
            </w:r>
            <w:r>
              <w:rPr>
                <w:rFonts w:eastAsia="Calibri"/>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jeanne.kingery@duke-energy.com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gthomas@gtpowergroup.com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stheodore@epsa.org</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laurac@chappelleconsulting.net</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todonnell@dickinsonwright.com</w:t>
            </w:r>
            <w:r>
              <w:rPr>
                <w:rFonts w:eastAsia="Calibri"/>
                <w:sz w:val="24"/>
                <w:szCs w:val="24"/>
              </w:rPr>
              <w:t xml:space="preserve"> </w:t>
            </w:r>
            <w:r w:rsidRPr="00517C65">
              <w:rPr>
                <w:rFonts w:eastAsia="Calibri"/>
                <w:color w:val="0000FF"/>
                <w:sz w:val="24"/>
                <w:szCs w:val="24"/>
              </w:rPr>
              <w:t xml:space="preserve"> </w:t>
            </w:r>
          </w:p>
          <w:p w:rsidR="009D563A" w:rsidP="00C86495">
            <w:pPr>
              <w:autoSpaceDE w:val="0"/>
              <w:autoSpaceDN w:val="0"/>
              <w:adjustRightInd w:val="0"/>
              <w:rPr>
                <w:rFonts w:eastAsia="Calibri"/>
                <w:sz w:val="24"/>
                <w:szCs w:val="24"/>
              </w:rPr>
            </w:pPr>
            <w:r w:rsidRPr="00B16776">
              <w:rPr>
                <w:rFonts w:eastAsia="Calibri"/>
                <w:sz w:val="24"/>
                <w:szCs w:val="24"/>
              </w:rPr>
              <w:t>rseiler@dickinsonwright.com</w:t>
            </w:r>
            <w:r>
              <w:rPr>
                <w:rFonts w:eastAsia="Calibri"/>
                <w:sz w:val="24"/>
                <w:szCs w:val="24"/>
              </w:rPr>
              <w:t xml:space="preserve"> </w:t>
            </w:r>
          </w:p>
          <w:p w:rsidR="009D563A" w:rsidP="00C86495">
            <w:pPr>
              <w:autoSpaceDE w:val="0"/>
              <w:autoSpaceDN w:val="0"/>
              <w:adjustRightInd w:val="0"/>
              <w:rPr>
                <w:rFonts w:eastAsia="Calibri"/>
                <w:sz w:val="24"/>
                <w:szCs w:val="24"/>
              </w:rPr>
            </w:pPr>
          </w:p>
          <w:p w:rsidR="00C86495" w:rsidRPr="00517C65" w:rsidP="00C86495">
            <w:pPr>
              <w:autoSpaceDE w:val="0"/>
              <w:autoSpaceDN w:val="0"/>
              <w:adjustRightInd w:val="0"/>
              <w:rPr>
                <w:rFonts w:eastAsia="Calibri"/>
                <w:color w:val="0000FF"/>
                <w:sz w:val="24"/>
                <w:szCs w:val="24"/>
              </w:rPr>
            </w:pPr>
            <w:r>
              <w:rPr>
                <w:rFonts w:eastAsia="Calibri"/>
                <w:sz w:val="24"/>
                <w:szCs w:val="24"/>
              </w:rPr>
              <w:t>Attorney Examiners:</w:t>
            </w:r>
            <w:r w:rsidRPr="00517C65" w:rsidR="00AE22F3">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gregory.price@puc.state.oh.us</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sz w:val="24"/>
                <w:szCs w:val="24"/>
              </w:rPr>
            </w:pPr>
            <w:r w:rsidRPr="00B16776">
              <w:rPr>
                <w:rFonts w:eastAsia="Calibri"/>
                <w:sz w:val="24"/>
                <w:szCs w:val="24"/>
              </w:rPr>
              <w:t>bryce.mckenney@puc.state.oh.us</w:t>
            </w:r>
            <w:r>
              <w:rPr>
                <w:rFonts w:eastAsia="Calibri"/>
                <w:sz w:val="24"/>
                <w:szCs w:val="24"/>
              </w:rPr>
              <w:t xml:space="preserve"> </w:t>
            </w:r>
            <w:r w:rsidRPr="00517C65">
              <w:rPr>
                <w:rFonts w:eastAsia="Calibri"/>
                <w:color w:val="0000FF"/>
                <w:sz w:val="24"/>
                <w:szCs w:val="24"/>
              </w:rPr>
              <w:t xml:space="preserve"> </w:t>
            </w:r>
          </w:p>
        </w:tc>
        <w:tc>
          <w:tcPr>
            <w:tcW w:w="4640" w:type="dxa"/>
          </w:tcPr>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michael.schuler@aes.com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cfaruki@ficlaw.com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djireland@ficlaw.com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jsharkey@ficlaw.com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mfleisher@elpc.org</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kfield@elpc.org</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jeffrey.mayes@monitoringanalytics.com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evelyn.robinson@pjm.com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schmidt@sppgrp.com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rsahli@columbus.rr.com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tony.mendoza@sierraclub.org</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kristin.henry@sierraclub.org</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gpoulos@enernoc.com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mdortch@kravitzllc.com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rparsons@kravitzllc.com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Bojko@carpenterlipps.com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perko@carpenterlipps.com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Ghiloni@carpenterlipps.com</w:t>
            </w:r>
            <w:r>
              <w:rPr>
                <w:rFonts w:eastAsia="Calibri"/>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paul@carpenterlipps.com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sechler@carpenterlipps.com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rick.sites@ohiohospitals.org</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mwarnock@bricker.com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dparram@bricker.com</w:t>
            </w:r>
            <w:r>
              <w:rPr>
                <w:rFonts w:eastAsia="Calibri"/>
                <w:sz w:val="24"/>
                <w:szCs w:val="24"/>
              </w:rPr>
              <w:t xml:space="preserve"> </w:t>
            </w:r>
            <w:r w:rsidRPr="00517C65">
              <w:rPr>
                <w:rFonts w:eastAsia="Calibri"/>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dborchers@bricker.com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lhawrot@spilmanlaw.com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dwilliamson@spilmanlaw.com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charris@spilmanlaw.com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sz w:val="24"/>
                <w:szCs w:val="24"/>
              </w:rPr>
            </w:pPr>
            <w:r w:rsidRPr="00B16776">
              <w:rPr>
                <w:rFonts w:eastAsia="Calibri"/>
                <w:sz w:val="24"/>
                <w:szCs w:val="24"/>
              </w:rPr>
              <w:t>ejacobs@ablelaw.org</w:t>
            </w:r>
            <w:r>
              <w:rPr>
                <w:rFonts w:eastAsia="Calibri"/>
                <w:sz w:val="24"/>
                <w:szCs w:val="24"/>
              </w:rPr>
              <w:t xml:space="preserve"> </w:t>
            </w:r>
            <w:r w:rsidRPr="00517C65">
              <w:rPr>
                <w:rFonts w:eastAsia="Calibri"/>
                <w:color w:val="0000FF"/>
                <w:sz w:val="24"/>
                <w:szCs w:val="24"/>
              </w:rPr>
              <w:t xml:space="preserve"> </w:t>
            </w:r>
            <w:r w:rsidRPr="00517C65">
              <w:rPr>
                <w:rFonts w:eastAsia="Calibri"/>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cpirik@dickinsonwright.com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wvorys@dickinsonwright.com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jdoll@djflawfirm.com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color w:val="0000FF"/>
                <w:sz w:val="24"/>
                <w:szCs w:val="24"/>
              </w:rPr>
            </w:pPr>
            <w:r w:rsidRPr="00B16776">
              <w:rPr>
                <w:rFonts w:eastAsia="Calibri"/>
                <w:sz w:val="24"/>
                <w:szCs w:val="24"/>
              </w:rPr>
              <w:t>mcrawford@djflawfirm.com</w:t>
            </w:r>
            <w:r>
              <w:rPr>
                <w:rFonts w:eastAsia="Calibri"/>
                <w:sz w:val="24"/>
                <w:szCs w:val="24"/>
              </w:rPr>
              <w:t xml:space="preserve"> </w:t>
            </w:r>
            <w:r w:rsidRPr="00517C65">
              <w:rPr>
                <w:rFonts w:eastAsia="Calibri"/>
                <w:color w:val="0000FF"/>
                <w:sz w:val="24"/>
                <w:szCs w:val="24"/>
              </w:rPr>
              <w:t xml:space="preserve"> </w:t>
            </w:r>
          </w:p>
          <w:p w:rsidR="00C86495" w:rsidRPr="00517C65" w:rsidP="00C86495">
            <w:pPr>
              <w:autoSpaceDE w:val="0"/>
              <w:autoSpaceDN w:val="0"/>
              <w:adjustRightInd w:val="0"/>
              <w:rPr>
                <w:rFonts w:eastAsia="Calibri"/>
                <w:sz w:val="24"/>
                <w:szCs w:val="24"/>
              </w:rPr>
            </w:pPr>
          </w:p>
        </w:tc>
      </w:tr>
    </w:tbl>
    <w:p w:rsidR="00C86495" w:rsidRPr="00517C65">
      <w:pPr>
        <w:rPr>
          <w:rFonts w:ascii="Times New Roman" w:hAnsi="Times New Roman" w:cs="Times New Roman"/>
          <w:sz w:val="24"/>
          <w:szCs w:val="24"/>
        </w:rPr>
      </w:pPr>
    </w:p>
    <w:sectPr w:rsidSect="00EE3469">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85291"/>
      <w:docPartObj>
        <w:docPartGallery w:val="Page Numbers (Bottom of Page)"/>
        <w:docPartUnique/>
      </w:docPartObj>
    </w:sdtPr>
    <w:sdtEndPr>
      <w:rPr>
        <w:rFonts w:ascii="Times New Roman" w:hAnsi="Times New Roman" w:cs="Times New Roman"/>
        <w:noProof/>
        <w:sz w:val="24"/>
      </w:rPr>
    </w:sdtEndPr>
    <w:sdtContent>
      <w:p w:rsidR="00761D0A" w:rsidRPr="001F3D1D">
        <w:pPr>
          <w:pStyle w:val="Footer"/>
          <w:jc w:val="center"/>
          <w:rPr>
            <w:rFonts w:ascii="Times New Roman" w:hAnsi="Times New Roman" w:cs="Times New Roman"/>
            <w:sz w:val="24"/>
          </w:rPr>
        </w:pPr>
        <w:r w:rsidRPr="001F3D1D">
          <w:rPr>
            <w:rFonts w:ascii="Times New Roman" w:hAnsi="Times New Roman" w:cs="Times New Roman"/>
            <w:sz w:val="24"/>
          </w:rPr>
          <w:fldChar w:fldCharType="begin"/>
        </w:r>
        <w:r w:rsidRPr="001F3D1D">
          <w:rPr>
            <w:rFonts w:ascii="Times New Roman" w:hAnsi="Times New Roman" w:cs="Times New Roman"/>
            <w:sz w:val="24"/>
          </w:rPr>
          <w:instrText xml:space="preserve"> PAGE   \* MERGEFORMAT </w:instrText>
        </w:r>
        <w:r w:rsidRPr="001F3D1D">
          <w:rPr>
            <w:rFonts w:ascii="Times New Roman" w:hAnsi="Times New Roman" w:cs="Times New Roman"/>
            <w:sz w:val="24"/>
          </w:rPr>
          <w:fldChar w:fldCharType="separate"/>
        </w:r>
        <w:r w:rsidR="009D563A">
          <w:rPr>
            <w:rFonts w:ascii="Times New Roman" w:hAnsi="Times New Roman" w:cs="Times New Roman"/>
            <w:noProof/>
            <w:sz w:val="24"/>
          </w:rPr>
          <w:t>iv</w:t>
        </w:r>
        <w:r w:rsidRPr="001F3D1D">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D0A" w:rsidRPr="001F3D1D">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2673201"/>
      <w:docPartObj>
        <w:docPartGallery w:val="Page Numbers (Bottom of Page)"/>
        <w:docPartUnique/>
      </w:docPartObj>
    </w:sdtPr>
    <w:sdtEndPr>
      <w:rPr>
        <w:rFonts w:ascii="Times New Roman" w:hAnsi="Times New Roman" w:cs="Times New Roman"/>
        <w:noProof/>
        <w:sz w:val="24"/>
        <w:szCs w:val="24"/>
      </w:rPr>
    </w:sdtEndPr>
    <w:sdtContent>
      <w:p w:rsidR="00761D0A" w:rsidRPr="001F3D1D">
        <w:pPr>
          <w:pStyle w:val="Footer"/>
          <w:jc w:val="center"/>
          <w:rPr>
            <w:rFonts w:ascii="Times New Roman" w:hAnsi="Times New Roman" w:cs="Times New Roman"/>
            <w:sz w:val="24"/>
            <w:szCs w:val="24"/>
          </w:rPr>
        </w:pPr>
        <w:r w:rsidRPr="001F3D1D">
          <w:rPr>
            <w:rFonts w:ascii="Times New Roman" w:hAnsi="Times New Roman" w:cs="Times New Roman"/>
            <w:sz w:val="24"/>
            <w:szCs w:val="24"/>
          </w:rPr>
          <w:fldChar w:fldCharType="begin"/>
        </w:r>
        <w:r w:rsidRPr="001F3D1D">
          <w:rPr>
            <w:rFonts w:ascii="Times New Roman" w:hAnsi="Times New Roman" w:cs="Times New Roman"/>
            <w:sz w:val="24"/>
            <w:szCs w:val="24"/>
          </w:rPr>
          <w:instrText xml:space="preserve"> PAGE   \* MERGEFORMAT </w:instrText>
        </w:r>
        <w:r w:rsidRPr="001F3D1D">
          <w:rPr>
            <w:rFonts w:ascii="Times New Roman" w:hAnsi="Times New Roman" w:cs="Times New Roman"/>
            <w:sz w:val="24"/>
            <w:szCs w:val="24"/>
          </w:rPr>
          <w:fldChar w:fldCharType="separate"/>
        </w:r>
        <w:r>
          <w:rPr>
            <w:rFonts w:ascii="Times New Roman" w:hAnsi="Times New Roman" w:cs="Times New Roman"/>
            <w:noProof/>
            <w:sz w:val="24"/>
            <w:szCs w:val="24"/>
          </w:rPr>
          <w:t>70</w:t>
        </w:r>
        <w:r w:rsidRPr="001F3D1D">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D0A" w:rsidRPr="001F3D1D">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1D0A" w:rsidP="00D62829">
      <w:pPr>
        <w:spacing w:after="0" w:line="240" w:lineRule="auto"/>
      </w:pPr>
      <w:r>
        <w:separator/>
      </w:r>
    </w:p>
  </w:footnote>
  <w:footnote w:type="continuationSeparator" w:id="1">
    <w:p w:rsidR="00761D0A" w:rsidP="00D62829">
      <w:pPr>
        <w:spacing w:after="0" w:line="240" w:lineRule="auto"/>
      </w:pPr>
      <w:r>
        <w:continuationSeparator/>
      </w:r>
    </w:p>
  </w:footnote>
  <w:footnote w:id="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w:t>
      </w:r>
      <w:r w:rsidRPr="00E03B36">
        <w:rPr>
          <w:rFonts w:ascii="Times New Roman" w:hAnsi="Times New Roman" w:cs="Times New Roman"/>
          <w:i/>
        </w:rPr>
        <w:t>In the Matter of the Application of The Dayton Power and Light Company for the Creation of a Rate Stabilization Surcharge Rider and Distribution Rate Increase</w:t>
      </w:r>
      <w:r w:rsidRPr="00E03B36">
        <w:rPr>
          <w:rFonts w:ascii="Times New Roman" w:hAnsi="Times New Roman" w:cs="Times New Roman"/>
        </w:rPr>
        <w:t xml:space="preserve">, Case No. 05-276-EL-AIR, Opinion and Order at 11 (December 28, 2005) (setting RSS at $76,250,127); </w:t>
      </w:r>
      <w:r w:rsidRPr="00E03B36">
        <w:rPr>
          <w:rFonts w:ascii="Times New Roman" w:hAnsi="Times New Roman" w:cs="Times New Roman"/>
          <w:i/>
        </w:rPr>
        <w:t>In the Matter of the Application of The Dayton Power and Light Company for Approval of its Electric Security Plan</w:t>
      </w:r>
      <w:r w:rsidRPr="00E03B36">
        <w:rPr>
          <w:rFonts w:ascii="Times New Roman" w:hAnsi="Times New Roman" w:cs="Times New Roman"/>
        </w:rPr>
        <w:t xml:space="preserve">, Case No. 08-1094-EL-SSO, Opinion and Order at 5 (June 24, 2009) (continuing RSS, but calling it RSC); </w:t>
      </w:r>
      <w:r w:rsidRPr="00E03B36">
        <w:rPr>
          <w:rFonts w:ascii="Times New Roman" w:hAnsi="Times New Roman" w:cs="Times New Roman"/>
          <w:i/>
        </w:rPr>
        <w:t>In the Matter of the Application of the Dayton Power and Light Company for Approval of its Electric Security Plan</w:t>
      </w:r>
      <w:r w:rsidRPr="00E03B36">
        <w:rPr>
          <w:rFonts w:ascii="Times New Roman" w:hAnsi="Times New Roman" w:cs="Times New Roman"/>
        </w:rPr>
        <w:t>, Case No. 12-426-EL-SSO, Entry Nunc Pro Tunc at 2 (September 6, 2013) (setting SSR at $110 million).</w:t>
      </w:r>
    </w:p>
  </w:footnote>
  <w:footnote w:id="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Direct Testimony of Sharon Schroder (DP&amp;L Exs. 3 and 4) filed March 22, 2017 (“Schroder Testimony”) at 3:17.</w:t>
      </w:r>
    </w:p>
  </w:footnote>
  <w:footnote w:id="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32:1-3.</w:t>
      </w:r>
    </w:p>
  </w:footnote>
  <w:footnote w:id="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Schroder Testimony at 22:9-10.</w:t>
      </w:r>
    </w:p>
  </w:footnote>
  <w:footnote w:id="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30:1-13.</w:t>
      </w:r>
    </w:p>
  </w:footnote>
  <w:footnote w:id="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DP&amp;L Witness Jackson admitted that the DMR is about DPL’s debt, </w:t>
      </w:r>
      <w:r w:rsidRPr="00E03B36">
        <w:rPr>
          <w:rFonts w:ascii="Times New Roman" w:hAnsi="Times New Roman" w:cs="Times New Roman"/>
          <w:i/>
        </w:rPr>
        <w:t xml:space="preserve">not </w:t>
      </w:r>
      <w:r w:rsidRPr="00E03B36">
        <w:rPr>
          <w:rFonts w:ascii="Times New Roman" w:hAnsi="Times New Roman" w:cs="Times New Roman"/>
        </w:rPr>
        <w:t>DP&amp;L’s: “I believe without the DMR, Dayton Power and Light could service its existing debt.”  Id. at 60:10-12; see also id. at 58:2-7.</w:t>
      </w:r>
    </w:p>
  </w:footnote>
  <w:footnote w:id="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DP&amp;L represents about 96% of DPL’s revenues.  See id. at 43:21-23.</w:t>
      </w:r>
    </w:p>
  </w:footnote>
  <w:footnote w:id="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DP&amp;L is a wholly-owned subsidiary of DPL, which in turn is a wholly-owned subsidiary of AES.  See id., Vol. II at 277:14-17.  It is therefore clear that AES is DP&amp;L.</w:t>
      </w:r>
    </w:p>
  </w:footnote>
  <w:footnote w:id="1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w:t>
      </w:r>
      <w:r w:rsidRPr="00E03B36">
        <w:rPr>
          <w:rFonts w:ascii="Times New Roman" w:hAnsi="Times New Roman" w:cs="Times New Roman"/>
          <w:i/>
        </w:rPr>
        <w:t>In the Matter of the Application of the AES Corporation</w:t>
      </w:r>
      <w:r w:rsidRPr="00E03B36">
        <w:rPr>
          <w:rFonts w:ascii="Times New Roman" w:hAnsi="Times New Roman" w:cs="Times New Roman"/>
        </w:rPr>
        <w:t xml:space="preserve">, Case No. 11-3002-EL-MER, Finding and Order at 9 (November 22, 2011).  Although not germane, the details of how the acquisition was effected are summarized on page 1, paragraph 2 of the Finding and Order.  </w:t>
      </w:r>
    </w:p>
  </w:footnote>
  <w:footnote w:id="1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Supplemental Direct Testimony of Mathew I. Kahal (OCC Ex. 12) filed March 29, 2017 (“Kahal Supp. Dir.”) at 30:16-31:2.</w:t>
      </w:r>
    </w:p>
  </w:footnote>
  <w:footnote w:id="1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w:t>
      </w:r>
      <w:r w:rsidRPr="00E03B36">
        <w:rPr>
          <w:rFonts w:ascii="Times New Roman" w:hAnsi="Times New Roman" w:cs="Times New Roman"/>
          <w:i/>
        </w:rPr>
        <w:t>In re Application of Columbus Southern Power Co.</w:t>
      </w:r>
      <w:r w:rsidRPr="00E03B36">
        <w:rPr>
          <w:rFonts w:ascii="Times New Roman" w:hAnsi="Times New Roman" w:cs="Times New Roman"/>
        </w:rPr>
        <w:t xml:space="preserve">, 147 Ohio St. 3d 439 (2016); </w:t>
      </w:r>
      <w:r w:rsidRPr="00E03B36">
        <w:rPr>
          <w:rFonts w:ascii="Times New Roman" w:hAnsi="Times New Roman" w:cs="Times New Roman"/>
          <w:i/>
        </w:rPr>
        <w:t>In re Dayton Power &amp; Light Co.</w:t>
      </w:r>
      <w:r w:rsidRPr="00E03B36">
        <w:rPr>
          <w:rFonts w:ascii="Times New Roman" w:hAnsi="Times New Roman" w:cs="Times New Roman"/>
        </w:rPr>
        <w:t>, 147 Ohio St. 3d 166 (2016).</w:t>
      </w:r>
    </w:p>
  </w:footnote>
  <w:footnote w:id="1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Schroder Testimony at 10:12.</w:t>
      </w:r>
    </w:p>
  </w:footnote>
  <w:footnote w:id="1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10:12-14.</w:t>
      </w:r>
    </w:p>
  </w:footnote>
  <w:footnote w:id="1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30:1-13.</w:t>
      </w:r>
    </w:p>
  </w:footnote>
  <w:footnote w:id="1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see also id., Vol. II at 293:22-294:1.</w:t>
      </w:r>
    </w:p>
  </w:footnote>
  <w:footnote w:id="1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section IVA2, infra.</w:t>
      </w:r>
    </w:p>
  </w:footnote>
  <w:footnote w:id="1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Were DP&amp;L suffering losses from its distribution business, it could file a traditional distribution rate case (and, of course, it has one pending).  See Hearing Transcript, Vol. I at 36:6 – 37:14.  Federal Energy Regulatory Commission (“FERC”)-approved transmission costs are a pass through to DP&amp;L’s distribution customers, thus creating no financial hardship for DP&amp;L from its transmission business.  See id. at 37:18-21; 38:1-11.  Further, DP&amp;L could file a rate case at FERC if its transmission revenues were not enough.  See id at 37:15-25.</w:t>
      </w:r>
    </w:p>
  </w:footnote>
  <w:footnote w:id="1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w:t>
      </w:r>
      <w:r w:rsidRPr="00E03B36">
        <w:rPr>
          <w:rFonts w:ascii="Times New Roman" w:hAnsi="Times New Roman" w:cs="Times New Roman"/>
          <w:i/>
        </w:rPr>
        <w:t>Consumers’ Counsel v. PUC</w:t>
      </w:r>
      <w:r w:rsidRPr="00E03B36">
        <w:rPr>
          <w:rFonts w:ascii="Times New Roman" w:hAnsi="Times New Roman" w:cs="Times New Roman"/>
        </w:rPr>
        <w:t>, 64 Ohio St. 3d 123, 126 (1992).</w:t>
      </w:r>
    </w:p>
  </w:footnote>
  <w:footnote w:id="2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w:t>
      </w:r>
      <w:r w:rsidRPr="00E03B36">
        <w:rPr>
          <w:rFonts w:ascii="Times New Roman" w:hAnsi="Times New Roman" w:cs="Times New Roman"/>
          <w:i/>
        </w:rPr>
        <w:t>In the Matter of the Application of Ohio Edison Company, The Cleveland Electric Illuminating Company, and The Toledo Edison Company for Authority to Provide for a Standard Service Offer Pursuant to R.C. 4928.143 in the Form of an Electric Security Plan</w:t>
      </w:r>
      <w:r w:rsidRPr="00E03B36">
        <w:rPr>
          <w:rFonts w:ascii="Times New Roman" w:hAnsi="Times New Roman" w:cs="Times New Roman"/>
        </w:rPr>
        <w:t>, Case No. 14-1297-EL-SSO, Opinion and Order at 43 (March 31, 2016).</w:t>
      </w:r>
    </w:p>
  </w:footnote>
  <w:footnote w:id="2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Hearing Transcript, Vol. V at 865:19-866:5.</w:t>
      </w:r>
    </w:p>
  </w:footnote>
  <w:footnote w:id="2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4928.143(C)(1).</w:t>
      </w:r>
    </w:p>
  </w:footnote>
  <w:footnote w:id="2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w:t>
      </w:r>
      <w:r w:rsidRPr="00E03B36">
        <w:rPr>
          <w:rFonts w:ascii="Times New Roman" w:hAnsi="Times New Roman" w:cs="Times New Roman"/>
          <w:i/>
        </w:rPr>
        <w:t xml:space="preserve"> AK Steel Corp. v. PUCO</w:t>
      </w:r>
      <w:r w:rsidRPr="00E03B36">
        <w:rPr>
          <w:rFonts w:ascii="Times New Roman" w:hAnsi="Times New Roman" w:cs="Times New Roman"/>
        </w:rPr>
        <w:t xml:space="preserve">, 95 Ohio St. 3d 81, 81 (2002); </w:t>
      </w:r>
      <w:r w:rsidRPr="00E03B36">
        <w:rPr>
          <w:rFonts w:ascii="Times New Roman" w:hAnsi="Times New Roman" w:cs="Times New Roman"/>
          <w:i/>
        </w:rPr>
        <w:t>OCC v. PUCO</w:t>
      </w:r>
      <w:r w:rsidRPr="00E03B36">
        <w:rPr>
          <w:rFonts w:ascii="Times New Roman" w:hAnsi="Times New Roman" w:cs="Times New Roman"/>
        </w:rPr>
        <w:t>, 114 Ohio St. 3d 340, 340 (2007).</w:t>
      </w:r>
    </w:p>
  </w:footnote>
  <w:footnote w:id="2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w:t>
      </w:r>
      <w:r w:rsidRPr="00E03B36">
        <w:rPr>
          <w:rFonts w:ascii="Times New Roman" w:hAnsi="Times New Roman" w:cs="Times New Roman"/>
          <w:i/>
        </w:rPr>
        <w:t xml:space="preserve"> OCC</w:t>
      </w:r>
      <w:r w:rsidRPr="00E03B36">
        <w:rPr>
          <w:rFonts w:ascii="Times New Roman" w:hAnsi="Times New Roman" w:cs="Times New Roman"/>
        </w:rPr>
        <w:t>, 114 Ohio St. 3d at 343.</w:t>
      </w:r>
    </w:p>
  </w:footnote>
  <w:footnote w:id="2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w:t>
      </w:r>
      <w:r w:rsidRPr="00E03B36">
        <w:rPr>
          <w:rFonts w:ascii="Times New Roman" w:hAnsi="Times New Roman" w:cs="Times New Roman"/>
          <w:i/>
        </w:rPr>
        <w:t xml:space="preserve"> In re Columbus S. Power Co.</w:t>
      </w:r>
      <w:r w:rsidRPr="00E03B36">
        <w:rPr>
          <w:rFonts w:ascii="Times New Roman" w:hAnsi="Times New Roman" w:cs="Times New Roman"/>
        </w:rPr>
        <w:t>, 128 Ohio St. 3d 512, 513 (2011).</w:t>
      </w:r>
    </w:p>
  </w:footnote>
  <w:footnote w:id="2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(citations omitted).</w:t>
      </w:r>
    </w:p>
  </w:footnote>
  <w:footnote w:id="2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see also</w:t>
      </w:r>
      <w:r w:rsidRPr="00E03B36">
        <w:rPr>
          <w:rFonts w:ascii="Times New Roman" w:hAnsi="Times New Roman" w:cs="Times New Roman"/>
          <w:i/>
        </w:rPr>
        <w:t xml:space="preserve"> </w:t>
      </w:r>
      <w:r w:rsidRPr="00E03B36">
        <w:rPr>
          <w:rFonts w:ascii="Times New Roman" w:hAnsi="Times New Roman" w:cs="Times New Roman"/>
        </w:rPr>
        <w:t>R.C. secs. 4928.141-4928.144.</w:t>
      </w:r>
    </w:p>
  </w:footnote>
  <w:footnote w:id="2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R.C. 4928.142.  An “MRO” sets “rates using a competitive-bidding process to harness market forces.”  </w:t>
      </w:r>
      <w:r w:rsidRPr="00E03B36">
        <w:rPr>
          <w:rFonts w:ascii="Times New Roman" w:hAnsi="Times New Roman" w:cs="Times New Roman"/>
          <w:i/>
        </w:rPr>
        <w:t>See In re Columbus S. Power Co.</w:t>
      </w:r>
      <w:r w:rsidRPr="00E03B36">
        <w:rPr>
          <w:rFonts w:ascii="Times New Roman" w:hAnsi="Times New Roman" w:cs="Times New Roman"/>
        </w:rPr>
        <w:t>, 128 Ohio St. 3d at 514.</w:t>
      </w:r>
    </w:p>
  </w:footnote>
  <w:footnote w:id="2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R.C. 4928.143.</w:t>
      </w:r>
    </w:p>
  </w:footnote>
  <w:footnote w:id="3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w:t>
      </w:r>
      <w:r w:rsidRPr="00E03B36">
        <w:rPr>
          <w:rFonts w:ascii="Times New Roman" w:hAnsi="Times New Roman" w:cs="Times New Roman"/>
          <w:i/>
        </w:rPr>
        <w:t xml:space="preserve"> </w:t>
      </w:r>
      <w:r w:rsidRPr="00E03B36">
        <w:rPr>
          <w:rFonts w:ascii="Times New Roman" w:hAnsi="Times New Roman" w:cs="Times New Roman"/>
        </w:rPr>
        <w:t>R.C. 4928.143(C)(1).  This test should be limited to considering quantitative factors.</w:t>
      </w:r>
    </w:p>
  </w:footnote>
  <w:footnote w:id="3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eastAsia="Times New Roman" w:hAnsi="Times New Roman" w:cs="Times New Roman"/>
          <w:iCs/>
          <w:color w:val="373739"/>
        </w:rPr>
        <w:t>See</w:t>
      </w:r>
      <w:r w:rsidRPr="00E03B36">
        <w:rPr>
          <w:rFonts w:ascii="Times New Roman" w:eastAsia="Times New Roman" w:hAnsi="Times New Roman" w:cs="Times New Roman"/>
          <w:i/>
          <w:iCs/>
          <w:color w:val="373739"/>
        </w:rPr>
        <w:t xml:space="preserve"> </w:t>
      </w:r>
      <w:r w:rsidRPr="00E03B36">
        <w:rPr>
          <w:rFonts w:ascii="Times New Roman" w:eastAsia="Times New Roman" w:hAnsi="Times New Roman" w:cs="Times New Roman"/>
          <w:i/>
          <w:iCs/>
        </w:rPr>
        <w:t>In</w:t>
      </w:r>
      <w:r w:rsidRPr="00E03B36">
        <w:rPr>
          <w:rFonts w:ascii="Times New Roman" w:eastAsia="Times New Roman" w:hAnsi="Times New Roman" w:cs="Times New Roman"/>
        </w:rPr>
        <w:t xml:space="preserve"> </w:t>
      </w:r>
      <w:r w:rsidRPr="00E03B36">
        <w:rPr>
          <w:rFonts w:ascii="Times New Roman" w:eastAsia="Times New Roman" w:hAnsi="Times New Roman" w:cs="Times New Roman"/>
          <w:i/>
        </w:rPr>
        <w:t>re Columbus Southern Power Co.</w:t>
      </w:r>
      <w:r w:rsidRPr="00E03B36">
        <w:rPr>
          <w:rFonts w:ascii="Times New Roman" w:eastAsia="Times New Roman" w:hAnsi="Times New Roman" w:cs="Times New Roman"/>
        </w:rPr>
        <w:t>, 147 Ohio St. at 443 (citations omitted)</w:t>
      </w:r>
      <w:r w:rsidRPr="00E03B36">
        <w:rPr>
          <w:rFonts w:ascii="Times New Roman" w:eastAsia="Times New Roman" w:hAnsi="Times New Roman" w:cs="Times New Roman"/>
          <w:color w:val="373739"/>
        </w:rPr>
        <w:t xml:space="preserve">; </w:t>
      </w:r>
      <w:r w:rsidRPr="00E03B36">
        <w:rPr>
          <w:rFonts w:ascii="Times New Roman" w:eastAsia="Times New Roman" w:hAnsi="Times New Roman" w:cs="Times New Roman"/>
        </w:rPr>
        <w:t xml:space="preserve">R.C. 4928.37 and 4928.39.  </w:t>
      </w:r>
    </w:p>
  </w:footnote>
  <w:footnote w:id="3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eastAsia="Times New Roman" w:hAnsi="Times New Roman" w:cs="Times New Roman"/>
          <w:iCs/>
          <w:color w:val="373739"/>
        </w:rPr>
        <w:t>See</w:t>
      </w:r>
      <w:r w:rsidRPr="00E03B36">
        <w:rPr>
          <w:rFonts w:ascii="Times New Roman" w:eastAsia="Times New Roman" w:hAnsi="Times New Roman" w:cs="Times New Roman"/>
          <w:i/>
          <w:iCs/>
          <w:color w:val="373739"/>
        </w:rPr>
        <w:t xml:space="preserve"> </w:t>
      </w:r>
      <w:r w:rsidRPr="00E03B36">
        <w:rPr>
          <w:rFonts w:ascii="Times New Roman" w:eastAsia="Times New Roman" w:hAnsi="Times New Roman" w:cs="Times New Roman"/>
          <w:i/>
          <w:iCs/>
        </w:rPr>
        <w:t>In</w:t>
      </w:r>
      <w:r w:rsidRPr="00E03B36">
        <w:rPr>
          <w:rFonts w:ascii="Times New Roman" w:eastAsia="Times New Roman" w:hAnsi="Times New Roman" w:cs="Times New Roman"/>
        </w:rPr>
        <w:t xml:space="preserve"> </w:t>
      </w:r>
      <w:r w:rsidRPr="00E03B36">
        <w:rPr>
          <w:rFonts w:ascii="Times New Roman" w:eastAsia="Times New Roman" w:hAnsi="Times New Roman" w:cs="Times New Roman"/>
          <w:i/>
        </w:rPr>
        <w:t>re Columbus Southern Power Co.</w:t>
      </w:r>
      <w:r w:rsidRPr="00E03B36">
        <w:rPr>
          <w:rFonts w:ascii="Times New Roman" w:eastAsia="Times New Roman" w:hAnsi="Times New Roman" w:cs="Times New Roman"/>
        </w:rPr>
        <w:t>, 147 Ohio St. at 443 (citations omitted).</w:t>
      </w:r>
    </w:p>
  </w:footnote>
  <w:footnote w:id="3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(citations omitted).</w:t>
      </w:r>
    </w:p>
  </w:footnote>
  <w:footnote w:id="3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eastAsia="Times New Roman" w:hAnsi="Times New Roman" w:cs="Times New Roman"/>
          <w:i/>
          <w:iCs/>
        </w:rPr>
        <w:t>AK Steel Corp.</w:t>
      </w:r>
      <w:r w:rsidRPr="00E03B36">
        <w:rPr>
          <w:rFonts w:ascii="Times New Roman" w:eastAsia="Times New Roman" w:hAnsi="Times New Roman" w:cs="Times New Roman"/>
        </w:rPr>
        <w:t>, 95 Ohio St. 3d at 81.</w:t>
      </w:r>
    </w:p>
  </w:footnote>
  <w:footnote w:id="3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eastAsia="Times New Roman" w:hAnsi="Times New Roman" w:cs="Times New Roman"/>
        </w:rPr>
        <w:t>The end of the market development period.  S</w:t>
      </w:r>
      <w:r w:rsidRPr="00E03B36">
        <w:rPr>
          <w:rFonts w:ascii="Times New Roman" w:eastAsia="Times New Roman" w:hAnsi="Times New Roman" w:cs="Times New Roman"/>
          <w:iCs/>
        </w:rPr>
        <w:t>ee</w:t>
      </w:r>
      <w:r w:rsidRPr="00E03B36">
        <w:rPr>
          <w:rFonts w:ascii="Times New Roman" w:eastAsia="Times New Roman" w:hAnsi="Times New Roman" w:cs="Times New Roman"/>
        </w:rPr>
        <w:t xml:space="preserve"> R.C. 4928.01(A)(26).</w:t>
      </w:r>
    </w:p>
  </w:footnote>
  <w:footnote w:id="3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eastAsia="Times New Roman" w:hAnsi="Times New Roman" w:cs="Times New Roman"/>
        </w:rPr>
        <w:t>R.C. 4928.38 and 4928.40(A).</w:t>
      </w:r>
    </w:p>
  </w:footnote>
  <w:footnote w:id="3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note 11, supra.</w:t>
      </w:r>
    </w:p>
  </w:footnote>
  <w:footnote w:id="3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w:t>
      </w:r>
      <w:r w:rsidRPr="00E03B36">
        <w:rPr>
          <w:rFonts w:ascii="Times New Roman" w:hAnsi="Times New Roman" w:cs="Times New Roman"/>
          <w:i/>
        </w:rPr>
        <w:t>In the Matter of the Application of The Dayton Power and Light Company for the Creation of a Rate Stabilization Surcharge Rider and Distribution Rate Increase</w:t>
      </w:r>
      <w:r w:rsidRPr="00E03B36">
        <w:rPr>
          <w:rFonts w:ascii="Times New Roman" w:hAnsi="Times New Roman" w:cs="Times New Roman"/>
        </w:rPr>
        <w:t xml:space="preserve">, Case No. 05-276-EL-AIR, Opinion and Order at 11 (December 28, 2005) (setting RSS at $76,250,127); </w:t>
      </w:r>
      <w:r w:rsidRPr="00E03B36">
        <w:rPr>
          <w:rFonts w:ascii="Times New Roman" w:hAnsi="Times New Roman" w:cs="Times New Roman"/>
          <w:i/>
        </w:rPr>
        <w:t>In the Matter of the Application of The Dayton Power and Light Company for Approval of its Electric Security Plan</w:t>
      </w:r>
      <w:r w:rsidRPr="00E03B36">
        <w:rPr>
          <w:rFonts w:ascii="Times New Roman" w:hAnsi="Times New Roman" w:cs="Times New Roman"/>
        </w:rPr>
        <w:t>, Case No. 08-1094-EL-SSO, Application at 5 (October 10, 2008); Opinion and Order at 5 (June 24, 2009) (cont</w:t>
      </w:r>
      <w:r>
        <w:rPr>
          <w:rFonts w:ascii="Times New Roman" w:hAnsi="Times New Roman" w:cs="Times New Roman"/>
        </w:rPr>
        <w:t>inuing RSS, but calling it RSC).</w:t>
      </w:r>
      <w:r w:rsidRPr="00E03B36">
        <w:rPr>
          <w:rFonts w:ascii="Times New Roman" w:hAnsi="Times New Roman" w:cs="Times New Roman"/>
        </w:rPr>
        <w:t xml:space="preserve"> </w:t>
      </w:r>
    </w:p>
  </w:footnote>
  <w:footnote w:id="3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w:t>
      </w:r>
    </w:p>
  </w:footnote>
  <w:footnote w:id="4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w:t>
      </w:r>
      <w:r w:rsidRPr="00E03B36">
        <w:rPr>
          <w:rFonts w:ascii="Times New Roman" w:hAnsi="Times New Roman" w:cs="Times New Roman"/>
          <w:i/>
        </w:rPr>
        <w:t>In the Matter of the Application of The Dayton Power and Light Company for Approval of its Electric Security Plan</w:t>
      </w:r>
      <w:r w:rsidRPr="00E03B36">
        <w:rPr>
          <w:rFonts w:ascii="Times New Roman" w:hAnsi="Times New Roman" w:cs="Times New Roman"/>
        </w:rPr>
        <w:t xml:space="preserve">, Case No. 12-426-EL-SSO, Opinion and Order at 17-22 (September 4, 2013); </w:t>
      </w:r>
      <w:r w:rsidRPr="00E03B36">
        <w:rPr>
          <w:rFonts w:ascii="Times New Roman" w:hAnsi="Times New Roman" w:cs="Times New Roman"/>
          <w:i/>
        </w:rPr>
        <w:t>In the Matter of the Application of the Dayton Power and Light Company for Approval of its Electric Security Plan</w:t>
      </w:r>
      <w:r w:rsidRPr="00E03B36">
        <w:rPr>
          <w:rFonts w:ascii="Times New Roman" w:hAnsi="Times New Roman" w:cs="Times New Roman"/>
        </w:rPr>
        <w:t>, Case No. 12-426-EL-SSO, Entry Nunc Pro Tunc at 2 (September 6, 2013) (setting SSR at $110 million).</w:t>
      </w:r>
    </w:p>
  </w:footnote>
  <w:footnote w:id="4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In re Dayton Power &amp; Light Co.</w:t>
      </w:r>
      <w:r w:rsidRPr="00E03B36">
        <w:rPr>
          <w:rFonts w:ascii="Times New Roman" w:hAnsi="Times New Roman" w:cs="Times New Roman"/>
        </w:rPr>
        <w:t xml:space="preserve">, 147 Ohio St. 3d 166 (2016).  And DP&amp;L's current rates, placed in effect after it withdrew its ESP II, contain another rate stabilization surcharge that is being collected from customers at the rate of approximately $6 million per month.    </w:t>
      </w:r>
    </w:p>
  </w:footnote>
  <w:footnote w:id="4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Schroder Testimony at 10:14-19; 22:7-10.</w:t>
      </w:r>
    </w:p>
  </w:footnote>
  <w:footnote w:id="4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56 Ohio St. 2d 367 (1978); see also Ohio Adm. Code 4901-1-30(E).</w:t>
      </w:r>
    </w:p>
  </w:footnote>
  <w:footnote w:id="4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w:t>
      </w:r>
    </w:p>
  </w:footnote>
  <w:footnote w:id="4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64 Ohio St. 3d at 125.</w:t>
      </w:r>
    </w:p>
  </w:footnote>
  <w:footnote w:id="4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In re FirstEnergy’s 2008 ESP Case</w:t>
      </w:r>
      <w:r w:rsidRPr="00E03B36">
        <w:rPr>
          <w:rFonts w:ascii="Times New Roman" w:hAnsi="Times New Roman" w:cs="Times New Roman"/>
        </w:rPr>
        <w:t>, Case No. 08-935-EL-SSO, Second Opinion and Order, Opinion of Commissioner Cheryl L. Roberto Concurring in Part and Dissenting in Part at 1-2 (March 25, 2009) (citations omitted).</w:t>
      </w:r>
    </w:p>
  </w:footnote>
  <w:footnote w:id="4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Opinion of Commissioners Paul A. Centolella and Valerie A. Lemmie, Concurring at 2.</w:t>
      </w:r>
    </w:p>
  </w:footnote>
  <w:footnote w:id="48">
    <w:p w:rsidR="00761D0A" w:rsidRPr="00E03B36" w:rsidP="00E678AB">
      <w:pPr>
        <w:autoSpaceDE w:val="0"/>
        <w:autoSpaceDN w:val="0"/>
        <w:adjustRightInd w:val="0"/>
        <w:spacing w:after="0" w:line="240" w:lineRule="auto"/>
        <w:rPr>
          <w:rFonts w:ascii="Times New Roman" w:hAnsi="Times New Roman" w:cs="Times New Roman"/>
          <w:i/>
          <w:iCs/>
          <w:sz w:val="20"/>
          <w:szCs w:val="20"/>
        </w:rPr>
      </w:pPr>
      <w:r w:rsidRPr="00E03B36">
        <w:rPr>
          <w:rStyle w:val="FootnoteReference"/>
          <w:rFonts w:ascii="Times New Roman" w:hAnsi="Times New Roman" w:cs="Times New Roman"/>
          <w:sz w:val="20"/>
          <w:szCs w:val="20"/>
        </w:rPr>
        <w:footnoteRef/>
      </w:r>
      <w:r w:rsidRPr="00E03B36">
        <w:rPr>
          <w:rFonts w:ascii="Times New Roman" w:hAnsi="Times New Roman" w:cs="Times New Roman"/>
          <w:sz w:val="20"/>
          <w:szCs w:val="20"/>
        </w:rPr>
        <w:t xml:space="preserve"> </w:t>
      </w:r>
      <w:r w:rsidRPr="00E03B36">
        <w:rPr>
          <w:rFonts w:ascii="Times New Roman" w:hAnsi="Times New Roman" w:cs="Times New Roman"/>
          <w:i/>
          <w:iCs/>
          <w:sz w:val="20"/>
          <w:szCs w:val="20"/>
        </w:rPr>
        <w:t xml:space="preserve">See, e.g., </w:t>
      </w:r>
      <w:r w:rsidRPr="00E03B36">
        <w:rPr>
          <w:rFonts w:ascii="Times New Roman" w:hAnsi="Times New Roman" w:cs="Times New Roman"/>
          <w:sz w:val="20"/>
          <w:szCs w:val="20"/>
        </w:rPr>
        <w:t xml:space="preserve">R.C. 4928.143(C)(1); </w:t>
      </w:r>
      <w:r w:rsidRPr="00E03B36">
        <w:rPr>
          <w:rFonts w:ascii="Times New Roman" w:hAnsi="Times New Roman" w:cs="Times New Roman"/>
          <w:i/>
          <w:iCs/>
          <w:sz w:val="20"/>
          <w:szCs w:val="20"/>
        </w:rPr>
        <w:t>In the Matter of the Application of The Ohio Bell Telephone Company for</w:t>
      </w:r>
    </w:p>
    <w:p w:rsidR="00761D0A" w:rsidRPr="00E03B36" w:rsidP="00E678AB">
      <w:pPr>
        <w:autoSpaceDE w:val="0"/>
        <w:autoSpaceDN w:val="0"/>
        <w:adjustRightInd w:val="0"/>
        <w:spacing w:after="0" w:line="240" w:lineRule="auto"/>
        <w:rPr>
          <w:rFonts w:ascii="Times New Roman" w:hAnsi="Times New Roman" w:cs="Times New Roman"/>
          <w:i/>
          <w:iCs/>
          <w:sz w:val="20"/>
          <w:szCs w:val="20"/>
        </w:rPr>
      </w:pPr>
      <w:r w:rsidRPr="00E03B36">
        <w:rPr>
          <w:rFonts w:ascii="Times New Roman" w:hAnsi="Times New Roman" w:cs="Times New Roman"/>
          <w:i/>
          <w:iCs/>
          <w:sz w:val="20"/>
          <w:szCs w:val="20"/>
        </w:rPr>
        <w:t>Authority to Amend Certain of its Intrastate Tariffs to Increase and Adjust its Rates and Charges and to</w:t>
      </w:r>
    </w:p>
    <w:p w:rsidR="00761D0A" w:rsidRPr="00E03B36" w:rsidP="00E678AB">
      <w:pPr>
        <w:autoSpaceDE w:val="0"/>
        <w:autoSpaceDN w:val="0"/>
        <w:adjustRightInd w:val="0"/>
        <w:spacing w:after="0" w:line="240" w:lineRule="auto"/>
        <w:rPr>
          <w:rFonts w:ascii="Times New Roman" w:hAnsi="Times New Roman" w:cs="Times New Roman"/>
          <w:i/>
          <w:iCs/>
          <w:sz w:val="20"/>
          <w:szCs w:val="20"/>
        </w:rPr>
      </w:pPr>
      <w:r w:rsidRPr="00E03B36">
        <w:rPr>
          <w:rFonts w:ascii="Times New Roman" w:hAnsi="Times New Roman" w:cs="Times New Roman"/>
          <w:i/>
          <w:iCs/>
          <w:sz w:val="20"/>
          <w:szCs w:val="20"/>
        </w:rPr>
        <w:t>Change its Regulations</w:t>
      </w:r>
      <w:r w:rsidRPr="00E03B36">
        <w:rPr>
          <w:rFonts w:ascii="Times New Roman" w:hAnsi="Times New Roman" w:cs="Times New Roman"/>
          <w:sz w:val="20"/>
          <w:szCs w:val="20"/>
        </w:rPr>
        <w:t xml:space="preserve">, 1985 Ohio PUC Lexis 7, 91 (PUCO Case No. 84-1435-TP-AIR); </w:t>
      </w:r>
      <w:r w:rsidRPr="00E03B36">
        <w:rPr>
          <w:rFonts w:ascii="Times New Roman" w:hAnsi="Times New Roman" w:cs="Times New Roman"/>
          <w:i/>
          <w:iCs/>
          <w:sz w:val="20"/>
          <w:szCs w:val="20"/>
        </w:rPr>
        <w:t>In the Matter of</w:t>
      </w:r>
    </w:p>
    <w:p w:rsidR="00761D0A" w:rsidRPr="00E03B36" w:rsidP="00E678AB">
      <w:pPr>
        <w:autoSpaceDE w:val="0"/>
        <w:autoSpaceDN w:val="0"/>
        <w:adjustRightInd w:val="0"/>
        <w:spacing w:after="0" w:line="240" w:lineRule="auto"/>
        <w:rPr>
          <w:rFonts w:ascii="Times New Roman" w:hAnsi="Times New Roman" w:cs="Times New Roman"/>
          <w:i/>
          <w:iCs/>
          <w:sz w:val="20"/>
          <w:szCs w:val="20"/>
        </w:rPr>
      </w:pPr>
      <w:r w:rsidRPr="00E03B36">
        <w:rPr>
          <w:rFonts w:ascii="Times New Roman" w:hAnsi="Times New Roman" w:cs="Times New Roman"/>
          <w:i/>
          <w:iCs/>
          <w:sz w:val="20"/>
          <w:szCs w:val="20"/>
        </w:rPr>
        <w:t>the Application of the Ottoville Mutual Telephone Company for Authority to Increase its Rates and</w:t>
      </w:r>
    </w:p>
    <w:p w:rsidR="00761D0A" w:rsidRPr="00E03B36" w:rsidP="00E678AB">
      <w:pPr>
        <w:autoSpaceDE w:val="0"/>
        <w:autoSpaceDN w:val="0"/>
        <w:adjustRightInd w:val="0"/>
        <w:spacing w:after="0" w:line="240" w:lineRule="auto"/>
        <w:rPr>
          <w:rFonts w:ascii="Times New Roman" w:hAnsi="Times New Roman" w:cs="Times New Roman"/>
          <w:i/>
          <w:iCs/>
          <w:sz w:val="20"/>
          <w:szCs w:val="20"/>
        </w:rPr>
      </w:pPr>
      <w:r w:rsidRPr="00E03B36">
        <w:rPr>
          <w:rFonts w:ascii="Times New Roman" w:hAnsi="Times New Roman" w:cs="Times New Roman"/>
          <w:i/>
          <w:iCs/>
          <w:sz w:val="20"/>
          <w:szCs w:val="20"/>
        </w:rPr>
        <w:t>Charges and to Revise its Tariffs on an Emergency and Temporary Basis Pursuant to Section 4909.16</w:t>
      </w:r>
    </w:p>
    <w:p w:rsidR="00761D0A" w:rsidRPr="00E03B36" w:rsidP="00E678AB">
      <w:pPr>
        <w:autoSpaceDE w:val="0"/>
        <w:autoSpaceDN w:val="0"/>
        <w:adjustRightInd w:val="0"/>
        <w:spacing w:after="0" w:line="240" w:lineRule="auto"/>
        <w:rPr>
          <w:rFonts w:ascii="Times New Roman" w:hAnsi="Times New Roman" w:cs="Times New Roman"/>
          <w:sz w:val="20"/>
          <w:szCs w:val="20"/>
        </w:rPr>
      </w:pPr>
      <w:r w:rsidRPr="00E03B36">
        <w:rPr>
          <w:rFonts w:ascii="Times New Roman" w:hAnsi="Times New Roman" w:cs="Times New Roman"/>
          <w:i/>
          <w:iCs/>
          <w:sz w:val="20"/>
          <w:szCs w:val="20"/>
        </w:rPr>
        <w:t>Revised Code</w:t>
      </w:r>
      <w:r w:rsidRPr="00E03B36">
        <w:rPr>
          <w:rFonts w:ascii="Times New Roman" w:hAnsi="Times New Roman" w:cs="Times New Roman"/>
          <w:sz w:val="20"/>
          <w:szCs w:val="20"/>
        </w:rPr>
        <w:t>, 1973 Ohio PUC Lexis 3, 4 (PUCO Case No. 73-356-Y) (“Although the applicant must</w:t>
      </w:r>
    </w:p>
    <w:p w:rsidR="00761D0A" w:rsidRPr="00E03B36" w:rsidP="00E678AB">
      <w:pPr>
        <w:autoSpaceDE w:val="0"/>
        <w:autoSpaceDN w:val="0"/>
        <w:adjustRightInd w:val="0"/>
        <w:spacing w:after="0" w:line="240" w:lineRule="auto"/>
        <w:rPr>
          <w:rFonts w:ascii="Times New Roman" w:hAnsi="Times New Roman" w:cs="Times New Roman"/>
          <w:sz w:val="20"/>
          <w:szCs w:val="20"/>
        </w:rPr>
      </w:pPr>
      <w:r w:rsidRPr="00E03B36">
        <w:rPr>
          <w:rFonts w:ascii="Times New Roman" w:hAnsi="Times New Roman" w:cs="Times New Roman"/>
          <w:sz w:val="20"/>
          <w:szCs w:val="20"/>
        </w:rPr>
        <w:t>shoulder the burden of proof in every application proceeding before the Commission, this burden takes on</w:t>
      </w:r>
    </w:p>
    <w:p w:rsidR="00761D0A" w:rsidRPr="00E03B36" w:rsidP="00E678AB">
      <w:pPr>
        <w:pStyle w:val="FootnoteText"/>
        <w:rPr>
          <w:rFonts w:ascii="Times New Roman" w:hAnsi="Times New Roman" w:cs="Times New Roman"/>
        </w:rPr>
      </w:pPr>
      <w:r w:rsidRPr="00E03B36">
        <w:rPr>
          <w:rFonts w:ascii="Times New Roman" w:hAnsi="Times New Roman" w:cs="Times New Roman"/>
        </w:rPr>
        <w:t>an added dimension in the context of an emergency rate case.”).</w:t>
      </w:r>
    </w:p>
  </w:footnote>
  <w:footnote w:id="4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30:1-13.  The consolidated debt of DPL and DP&amp;L is approximately $1.8 billion.  See id. at 29:13-18.  </w:t>
      </w:r>
    </w:p>
  </w:footnote>
  <w:footnote w:id="5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Vol. II at 293:22-294:1.  </w:t>
      </w:r>
    </w:p>
  </w:footnote>
  <w:footnote w:id="5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Vol. I at 28:15-23.</w:t>
      </w:r>
    </w:p>
  </w:footnote>
  <w:footnote w:id="5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28:24-29:5; id. at 43:21-23.</w:t>
      </w:r>
    </w:p>
  </w:footnote>
  <w:footnote w:id="5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58:3-6 (italics added).</w:t>
      </w:r>
    </w:p>
  </w:footnote>
  <w:footnote w:id="5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60:10-12 (</w:t>
      </w:r>
      <w:r>
        <w:rPr>
          <w:rFonts w:ascii="Times New Roman" w:hAnsi="Times New Roman" w:cs="Times New Roman"/>
        </w:rPr>
        <w:t xml:space="preserve">DP&amp;L Witness Jackson explains: </w:t>
      </w:r>
      <w:r w:rsidRPr="00E03B36">
        <w:rPr>
          <w:rFonts w:ascii="Times New Roman" w:hAnsi="Times New Roman" w:cs="Times New Roman"/>
        </w:rPr>
        <w:t xml:space="preserve">“I believe without the DMR, Dayton Power and Light could service its existing debt.”); id. at 58:2-7 (“[I]f the debt at DPL Inc. cannot be serviced, which does rely on cash flow from DP&amp;L, it may prevent us from meeting our debt obligations </w:t>
      </w:r>
      <w:r w:rsidRPr="00E03B36">
        <w:rPr>
          <w:rFonts w:ascii="Times New Roman" w:hAnsi="Times New Roman" w:cs="Times New Roman"/>
          <w:i/>
        </w:rPr>
        <w:t>at the parent</w:t>
      </w:r>
      <w:r w:rsidRPr="00E03B36">
        <w:rPr>
          <w:rFonts w:ascii="Times New Roman" w:hAnsi="Times New Roman" w:cs="Times New Roman"/>
        </w:rPr>
        <w:t xml:space="preserve"> . . . .”)</w:t>
      </w:r>
      <w:r>
        <w:rPr>
          <w:rFonts w:ascii="Times New Roman" w:hAnsi="Times New Roman" w:cs="Times New Roman"/>
        </w:rPr>
        <w:t>.</w:t>
      </w:r>
    </w:p>
  </w:footnote>
  <w:footnote w:id="5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35:5-12.</w:t>
      </w:r>
    </w:p>
  </w:footnote>
  <w:footnote w:id="5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Settlement (Joint Ex. 1) at 5.</w:t>
      </w:r>
    </w:p>
  </w:footnote>
  <w:footnote w:id="5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5.</w:t>
      </w:r>
    </w:p>
  </w:footnote>
  <w:footnote w:id="5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Hearing Transcript, Vol. I at 202:3-13; see also id. at 30:1-13; 135-136; Direct Testimony of Jeffrey Malinak (DP&amp;L Ex. 2b) filed March 22, 2017 (“Malinak Testimony”) at RJM-19A ($200 Million from 2019 Bonds and $780 million from 2021 Bonds that are tied to acquisition debt); see also Hearing Transcript, Vol. I at 198:19-199:8; id. at 209:22-210:2 (no debt has been allocated to certain generation assets, so all debt will remain on the books).</w:t>
      </w:r>
    </w:p>
  </w:footnote>
  <w:footnote w:id="5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Hearing Transcript, Vol. I at 28:24-29:5; id. at 43:21-23.</w:t>
      </w:r>
    </w:p>
  </w:footnote>
  <w:footnote w:id="6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eastAsia="Times New Roman" w:hAnsi="Times New Roman" w:cs="Times New Roman"/>
        </w:rPr>
        <w:t>R.C. 4928.38.</w:t>
      </w:r>
    </w:p>
  </w:footnote>
  <w:footnote w:id="6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Direct Testimony of Craig L. Jackson (DP&amp;L Exs. 1A and 1B) filed October 11, 2016 (“Jackson Direct”) at 8:2-3.</w:t>
      </w:r>
    </w:p>
  </w:footnote>
  <w:footnote w:id="6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8:4-6; see also </w:t>
      </w:r>
      <w:r w:rsidRPr="00E03B36">
        <w:rPr>
          <w:rFonts w:ascii="Times New Roman" w:hAnsi="Times New Roman" w:cs="Times New Roman"/>
          <w:i/>
        </w:rPr>
        <w:t>In re Dayton Power &amp; Light Co.</w:t>
      </w:r>
      <w:r w:rsidRPr="00E03B36">
        <w:rPr>
          <w:rFonts w:ascii="Times New Roman" w:hAnsi="Times New Roman" w:cs="Times New Roman"/>
        </w:rPr>
        <w:t>, 147 Ohio St. 3d 166 (2016).</w:t>
      </w:r>
    </w:p>
  </w:footnote>
  <w:footnote w:id="6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Jackson Direct at 8:3-11.</w:t>
      </w:r>
    </w:p>
  </w:footnote>
  <w:footnote w:id="6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8:12-14.</w:t>
      </w:r>
    </w:p>
  </w:footnote>
  <w:footnote w:id="6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33:7-11.</w:t>
      </w:r>
    </w:p>
  </w:footnote>
  <w:footnote w:id="6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36:6-9.</w:t>
      </w:r>
    </w:p>
  </w:footnote>
  <w:footnote w:id="6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33:7-11.</w:t>
      </w:r>
    </w:p>
  </w:footnote>
  <w:footnote w:id="6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36:18-22.</w:t>
      </w:r>
    </w:p>
  </w:footnote>
  <w:footnote w:id="6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36:10-17.</w:t>
      </w:r>
    </w:p>
  </w:footnote>
  <w:footnote w:id="7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37:1-14.</w:t>
      </w:r>
    </w:p>
  </w:footnote>
  <w:footnote w:id="7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38:12-18.</w:t>
      </w:r>
    </w:p>
  </w:footnote>
  <w:footnote w:id="7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37:18-21.</w:t>
      </w:r>
    </w:p>
  </w:footnote>
  <w:footnote w:id="7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37:22-25.</w:t>
      </w:r>
    </w:p>
  </w:footnote>
  <w:footnote w:id="7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38:1-9.</w:t>
      </w:r>
    </w:p>
  </w:footnote>
  <w:footnote w:id="7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41:13-22.</w:t>
      </w:r>
    </w:p>
  </w:footnote>
  <w:footnote w:id="7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42:7-12.</w:t>
      </w:r>
    </w:p>
  </w:footnote>
  <w:footnote w:id="7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42:13-23; see also id. at 126:18-127:7 (DP&amp;L Witness Malinak conceding that generating assets producing less income than expected).</w:t>
      </w:r>
    </w:p>
  </w:footnote>
  <w:footnote w:id="7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In re Dayton Power &amp; Light Co.</w:t>
      </w:r>
      <w:r w:rsidRPr="00E03B36">
        <w:rPr>
          <w:rFonts w:ascii="Times New Roman" w:hAnsi="Times New Roman" w:cs="Times New Roman"/>
        </w:rPr>
        <w:t>, 147 Ohio St. 3d 166 (2016).</w:t>
      </w:r>
    </w:p>
  </w:footnote>
  <w:footnote w:id="7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38:23-39:3.</w:t>
      </w:r>
    </w:p>
  </w:footnote>
  <w:footnote w:id="8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39:9-14.</w:t>
      </w:r>
    </w:p>
  </w:footnote>
  <w:footnote w:id="8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39:15-41:10.</w:t>
      </w:r>
    </w:p>
  </w:footnote>
  <w:footnote w:id="8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generally Direct Testimony of Matthew White (RESA Exhibit 1) filed March 22, 2017 (“White Testimony”) (discussing smart grid, purportedly appropriate allocation of costs to the SSO, supplier consolidated billing, etc. and concluding that “Each of the above-referenced measures and programs follow those and other Ohio policies that are intended to promote the development of the competitive retail markets in Ohio[.]”).  </w:t>
      </w:r>
    </w:p>
  </w:footnote>
  <w:footnote w:id="8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41:13-42:2.</w:t>
      </w:r>
    </w:p>
  </w:footnote>
  <w:footnote w:id="8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Vol. II, 293:2-6.</w:t>
      </w:r>
    </w:p>
  </w:footnote>
  <w:footnote w:id="8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294:2-6.</w:t>
      </w:r>
    </w:p>
  </w:footnote>
  <w:footnote w:id="8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4928.38 (emphasis added). </w:t>
      </w:r>
    </w:p>
  </w:footnote>
  <w:footnote w:id="8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“But the fact that AEP did not explicitly seek transition revenues does not foreclose a finding that the Company is receiving the equivalent of transition revenue under the guise of the RSR.” </w:t>
      </w:r>
      <w:r w:rsidRPr="00E03B36">
        <w:rPr>
          <w:rFonts w:ascii="Times New Roman" w:hAnsi="Times New Roman" w:cs="Times New Roman"/>
          <w:i/>
        </w:rPr>
        <w:t>In Re Application of Columbus Southern Power Co.</w:t>
      </w:r>
      <w:r w:rsidRPr="00E03B36">
        <w:rPr>
          <w:rFonts w:ascii="Times New Roman" w:hAnsi="Times New Roman" w:cs="Times New Roman"/>
        </w:rPr>
        <w:t xml:space="preserve">, 147 Ohio St. 3d at 444. </w:t>
      </w:r>
    </w:p>
  </w:footnote>
  <w:footnote w:id="8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449.</w:t>
      </w:r>
    </w:p>
  </w:footnote>
  <w:footnote w:id="8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448.</w:t>
      </w:r>
    </w:p>
  </w:footnote>
  <w:footnote w:id="9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In re Dayton Power &amp; Light Co.</w:t>
      </w:r>
      <w:r w:rsidRPr="00E03B36">
        <w:rPr>
          <w:rFonts w:ascii="Times New Roman" w:hAnsi="Times New Roman" w:cs="Times New Roman"/>
        </w:rPr>
        <w:t>, 147 Ohio St. 3d 166 (2016).</w:t>
      </w:r>
    </w:p>
  </w:footnote>
  <w:footnote w:id="9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186:10 – 186:23.</w:t>
      </w:r>
    </w:p>
  </w:footnote>
  <w:footnote w:id="9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4928.39(C).</w:t>
      </w:r>
    </w:p>
  </w:footnote>
  <w:footnote w:id="9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section IIB, supra.</w:t>
      </w:r>
    </w:p>
  </w:footnote>
  <w:footnote w:id="9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Migden-Ostrander v. PUC</w:t>
      </w:r>
      <w:r w:rsidRPr="00E03B36">
        <w:rPr>
          <w:rFonts w:ascii="Times New Roman" w:hAnsi="Times New Roman" w:cs="Times New Roman"/>
        </w:rPr>
        <w:t>, 102 Ohio St. 3d 451, 453 (2004).</w:t>
      </w:r>
    </w:p>
  </w:footnote>
  <w:footnote w:id="9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section IVA2, supra.</w:t>
      </w:r>
    </w:p>
  </w:footnote>
  <w:footnote w:id="9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iCs/>
        </w:rPr>
        <w:t xml:space="preserve">Elyria Foundry Co. v. Pub. Util. Comm., </w:t>
      </w:r>
      <w:r w:rsidRPr="00E03B36">
        <w:rPr>
          <w:rFonts w:ascii="Times New Roman" w:hAnsi="Times New Roman" w:cs="Times New Roman"/>
        </w:rPr>
        <w:t>114 Ohio St. 3d 305, 315 (2007).</w:t>
      </w:r>
    </w:p>
  </w:footnote>
  <w:footnote w:id="9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iCs/>
        </w:rPr>
        <w:t xml:space="preserve">Ohio Consumers' Counsel v. Pub. Comm., </w:t>
      </w:r>
      <w:r w:rsidRPr="00E03B36">
        <w:rPr>
          <w:rFonts w:ascii="Times New Roman" w:hAnsi="Times New Roman" w:cs="Times New Roman"/>
        </w:rPr>
        <w:t>109 Ohio St.3d 328, 329 (2006).</w:t>
      </w:r>
    </w:p>
  </w:footnote>
  <w:footnote w:id="98">
    <w:p w:rsidR="00761D0A" w:rsidRPr="00E03B36" w:rsidP="00761D0A">
      <w:pPr>
        <w:autoSpaceDE w:val="0"/>
        <w:autoSpaceDN w:val="0"/>
        <w:adjustRightInd w:val="0"/>
        <w:spacing w:after="120" w:line="240" w:lineRule="auto"/>
        <w:rPr>
          <w:rFonts w:ascii="Times New Roman" w:hAnsi="Times New Roman" w:cs="Times New Roman"/>
          <w:sz w:val="20"/>
          <w:szCs w:val="20"/>
        </w:rPr>
      </w:pPr>
      <w:r w:rsidRPr="00E03B36">
        <w:rPr>
          <w:rStyle w:val="FootnoteReference"/>
          <w:rFonts w:ascii="Times New Roman" w:hAnsi="Times New Roman" w:cs="Times New Roman"/>
          <w:sz w:val="20"/>
          <w:szCs w:val="20"/>
        </w:rPr>
        <w:footnoteRef/>
      </w:r>
      <w:r w:rsidRPr="00E03B36">
        <w:rPr>
          <w:rFonts w:ascii="Times New Roman" w:hAnsi="Times New Roman" w:cs="Times New Roman"/>
          <w:sz w:val="20"/>
          <w:szCs w:val="20"/>
        </w:rPr>
        <w:t xml:space="preserve"> </w:t>
      </w:r>
      <w:r w:rsidRPr="00E03B36">
        <w:rPr>
          <w:rFonts w:ascii="Times New Roman" w:hAnsi="Times New Roman" w:cs="Times New Roman"/>
          <w:i/>
          <w:iCs/>
          <w:sz w:val="20"/>
          <w:szCs w:val="20"/>
        </w:rPr>
        <w:t>Migden-Ostrander</w:t>
      </w:r>
      <w:r w:rsidRPr="00E03B36">
        <w:rPr>
          <w:rFonts w:ascii="Times New Roman" w:hAnsi="Times New Roman" w:cs="Times New Roman"/>
          <w:iCs/>
          <w:sz w:val="20"/>
          <w:szCs w:val="20"/>
        </w:rPr>
        <w:t>, 102 Ohio St. 3d at 452-53.</w:t>
      </w:r>
    </w:p>
  </w:footnote>
  <w:footnote w:id="9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iCs/>
        </w:rPr>
        <w:t xml:space="preserve">See </w:t>
      </w:r>
      <w:r w:rsidRPr="00E03B36">
        <w:rPr>
          <w:rFonts w:ascii="Times New Roman" w:hAnsi="Times New Roman" w:cs="Times New Roman"/>
        </w:rPr>
        <w:t>R.C. 4928.17.</w:t>
      </w:r>
    </w:p>
  </w:footnote>
  <w:footnote w:id="10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section IVA2, supra.</w:t>
      </w:r>
    </w:p>
  </w:footnote>
  <w:footnote w:id="10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13aii.</w:t>
      </w:r>
    </w:p>
  </w:footnote>
  <w:footnote w:id="10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II at 376:6-9.</w:t>
      </w:r>
    </w:p>
  </w:footnote>
  <w:footnote w:id="10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Schroder Testimony at 14:19-20.</w:t>
      </w:r>
    </w:p>
  </w:footnote>
  <w:footnote w:id="10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35:10-12; see also Hearing Transcript, Vol. II at 374:25-375:2 (OVEC entitlement bid into PJM markets). </w:t>
      </w:r>
    </w:p>
  </w:footnote>
  <w:footnote w:id="10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section IIB, supra; see also Kahal Supp. Dir. at 35:10-13. </w:t>
      </w:r>
    </w:p>
  </w:footnote>
  <w:footnote w:id="10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iCs/>
        </w:rPr>
        <w:t>Consumers’ Counsel v. Pub. Util. Comm’n</w:t>
      </w:r>
      <w:r w:rsidRPr="00E03B36">
        <w:rPr>
          <w:rFonts w:ascii="Times New Roman" w:hAnsi="Times New Roman" w:cs="Times New Roman"/>
        </w:rPr>
        <w:t>. (1992), 64 Ohio St.3d 123, 126.</w:t>
      </w:r>
    </w:p>
  </w:footnote>
  <w:footnote w:id="10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The PUCO takes into account the “diversity of interests” as part of the first part of the stipulation assessment.  </w:t>
      </w:r>
      <w:r w:rsidRPr="00E03B36">
        <w:rPr>
          <w:rFonts w:ascii="Times New Roman" w:hAnsi="Times New Roman" w:cs="Times New Roman"/>
          <w:i/>
        </w:rPr>
        <w:t>See</w:t>
      </w:r>
      <w:r w:rsidRPr="00E03B36">
        <w:rPr>
          <w:rFonts w:ascii="Times New Roman" w:hAnsi="Times New Roman" w:cs="Times New Roman"/>
        </w:rPr>
        <w:t xml:space="preserve"> </w:t>
      </w:r>
      <w:r w:rsidRPr="00E03B36">
        <w:rPr>
          <w:rFonts w:ascii="Times New Roman" w:hAnsi="Times New Roman" w:cs="Times New Roman"/>
          <w:i/>
        </w:rPr>
        <w:t>In the Matter of the Application of Ohio Edison Company, The Cleveland Electric Illuminating Company, and The Toledo Edison Company for Authority to Establish a Standard Service Offer</w:t>
      </w:r>
      <w:r w:rsidRPr="00E03B36">
        <w:rPr>
          <w:rFonts w:ascii="Times New Roman" w:hAnsi="Times New Roman" w:cs="Times New Roman"/>
        </w:rPr>
        <w:t>, Case No. 10-388-EL-SSO, Opinion and Order at 48 (August 25, 2010).</w:t>
      </w:r>
    </w:p>
  </w:footnote>
  <w:footnote w:id="108">
    <w:p w:rsidR="00761D0A" w:rsidRPr="00E03B36" w:rsidP="00761D0A">
      <w:pPr>
        <w:pStyle w:val="FootnoteText"/>
        <w:spacing w:after="120"/>
        <w:rPr>
          <w:rFonts w:ascii="Times New Roman" w:hAnsi="Times New Roman" w:cs="Times New Roman"/>
          <w:i/>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w:t>
      </w:r>
      <w:r w:rsidRPr="00E03B36">
        <w:rPr>
          <w:rFonts w:ascii="Times New Roman" w:hAnsi="Times New Roman" w:cs="Times New Roman"/>
          <w:i/>
        </w:rPr>
        <w:t>In the Matter of the Application of Ohio Edison Company, The Cleveland Electric Illuminating Company, and The Toledo Edison Company for Authority to Establish a Standard Service Offer</w:t>
      </w:r>
      <w:r w:rsidRPr="00E03B36">
        <w:rPr>
          <w:rFonts w:ascii="Times New Roman" w:hAnsi="Times New Roman" w:cs="Times New Roman"/>
        </w:rPr>
        <w:t xml:space="preserve">, Case No. 14-1297-EL-SSO, Opinion and Order at 43 (March 31, 2016). </w:t>
      </w:r>
    </w:p>
  </w:footnote>
  <w:footnote w:id="10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Kahal Supp. Dir. at 13:4-20.</w:t>
      </w:r>
    </w:p>
  </w:footnote>
  <w:footnote w:id="11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14:6-8.</w:t>
      </w:r>
    </w:p>
  </w:footnote>
  <w:footnote w:id="11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13:4-20; 14:8-12.</w:t>
      </w:r>
    </w:p>
  </w:footnote>
  <w:footnote w:id="11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5, footnote 1.</w:t>
      </w:r>
    </w:p>
  </w:footnote>
  <w:footnote w:id="11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White Testimony at 2:14.</w:t>
      </w:r>
    </w:p>
  </w:footnote>
  <w:footnote w:id="11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Supplemental Direct Testimony of James D Williams (OCC Ex. 13) filed March 29, 2017 (“Williams Supp. Dir.”) at 7:9-10; see also Kahal Supp. Dir. at 13:10-12 (“notably the OCC, which represents the interests of DP&amp;L residential customers [nearly half the load and most of the customers] opposes [the Settlement].”)</w:t>
      </w:r>
    </w:p>
  </w:footnote>
  <w:footnote w:id="11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p11-12 (describing specific payouts to individual parties to “offset the costs of this stipulation”). </w:t>
      </w:r>
    </w:p>
  </w:footnote>
  <w:footnote w:id="11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7:9-10.</w:t>
      </w:r>
    </w:p>
  </w:footnote>
  <w:footnote w:id="11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16:1-2.</w:t>
      </w:r>
    </w:p>
  </w:footnote>
  <w:footnote w:id="11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16:3-4.</w:t>
      </w:r>
    </w:p>
  </w:footnote>
  <w:footnote w:id="11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16:4-7.</w:t>
      </w:r>
    </w:p>
  </w:footnote>
  <w:footnote w:id="12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10-14.</w:t>
      </w:r>
    </w:p>
  </w:footnote>
  <w:footnote w:id="12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In the Matter of the Application of Columbus Southern Power Company and Ohio Power Company for Authority to Recover Costs associated with the Ultimate Construction and Operation of an Integrated Gasification Combined Cycle Electric Generation Facility</w:t>
      </w:r>
      <w:r w:rsidRPr="00E03B36">
        <w:rPr>
          <w:rFonts w:ascii="Times New Roman" w:hAnsi="Times New Roman" w:cs="Times New Roman"/>
        </w:rPr>
        <w:t>, Case No. 05-376-EL-UNC, Order on Remand at 12 (Feb. 11, 2015).</w:t>
      </w:r>
    </w:p>
  </w:footnote>
  <w:footnote w:id="12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Kahal Supp. Dir. at 17:9-12.</w:t>
      </w:r>
    </w:p>
  </w:footnote>
  <w:footnote w:id="12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17:12-16.</w:t>
      </w:r>
    </w:p>
  </w:footnote>
  <w:footnote w:id="12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18:1-2.</w:t>
      </w:r>
    </w:p>
  </w:footnote>
  <w:footnote w:id="12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Schroder Testimony at Ex. A.</w:t>
      </w:r>
    </w:p>
  </w:footnote>
  <w:footnote w:id="12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Kahal Supp. Dir. at 18:2-6.</w:t>
      </w:r>
    </w:p>
  </w:footnote>
  <w:footnote w:id="12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18:12-15.  </w:t>
      </w:r>
    </w:p>
  </w:footnote>
  <w:footnote w:id="12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4928.02(A).</w:t>
      </w:r>
    </w:p>
  </w:footnote>
  <w:footnote w:id="12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Hearing Transcript, Vol. II, at 275:11-14; 291:3-9; Williams Supp. Dir. at 18:11-19:15.</w:t>
      </w:r>
    </w:p>
  </w:footnote>
  <w:footnote w:id="13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Testimony of Jacob J. Nicodemus (Staff Ex. 1) filed March 22, 2017 (“Nicodemus Testimony”) at 5.  </w:t>
      </w:r>
    </w:p>
  </w:footnote>
  <w:footnote w:id="13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Malinak Testimony at 8:3-5. </w:t>
      </w:r>
    </w:p>
  </w:footnote>
  <w:footnote w:id="13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Supplemental Testimony of David C. Parcell (OCC Ex. 15) filed March 29, 2017 (“Parcell Supp. Dir.”) at 16:20-22; Kahal Supp. Dir. at 10.</w:t>
      </w:r>
    </w:p>
  </w:footnote>
  <w:footnote w:id="13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Parcell Supp. Dir. at 13:5-8; id. at 13:20-21.</w:t>
      </w:r>
    </w:p>
  </w:footnote>
  <w:footnote w:id="13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RJM-19A ($200 Million from 2019 Bonds and $780 million from 2021 Bonds that are tied to acquisition debt); see also IGS Interrogatory 4-1 (OCC Ex. 1) (details the bonds involved in the Merger); Hearing Transcript, Vol I at 135-136 (Mr. Malinak admits that the notes identified in RJM-19A are those identified in IGS Interrogatory 4-1). </w:t>
      </w:r>
    </w:p>
  </w:footnote>
  <w:footnote w:id="13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Parcell Supp. Dir. at 15:8-14 (quoting Moody’s October 13, 2015 credit rating). </w:t>
      </w:r>
    </w:p>
  </w:footnote>
  <w:footnote w:id="13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Parcell Supp. Dir. at 14:4-5. </w:t>
      </w:r>
    </w:p>
  </w:footnote>
  <w:footnote w:id="13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13.</w:t>
      </w:r>
    </w:p>
  </w:footnote>
  <w:footnote w:id="13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w:t>
      </w:r>
      <w:r w:rsidRPr="00E03B36">
        <w:rPr>
          <w:rFonts w:ascii="Times New Roman" w:hAnsi="Times New Roman" w:cs="Times New Roman"/>
          <w:i/>
        </w:rPr>
        <w:t>In the Matter of the Application of the AES Corporation</w:t>
      </w:r>
      <w:r w:rsidRPr="00E03B36">
        <w:rPr>
          <w:rFonts w:ascii="Times New Roman" w:hAnsi="Times New Roman" w:cs="Times New Roman"/>
        </w:rPr>
        <w:t xml:space="preserve">, Case No. 11-3002-EL-MER, Finding and Order at 9 (November 22, 2011).  </w:t>
      </w:r>
    </w:p>
  </w:footnote>
  <w:footnote w:id="13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32:19-33:2.</w:t>
      </w:r>
    </w:p>
  </w:footnote>
  <w:footnote w:id="14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Settlement.</w:t>
      </w:r>
    </w:p>
  </w:footnote>
  <w:footnote w:id="14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3-4. </w:t>
      </w:r>
    </w:p>
  </w:footnote>
  <w:footnote w:id="14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3-4.</w:t>
      </w:r>
    </w:p>
  </w:footnote>
  <w:footnote w:id="14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15.</w:t>
      </w:r>
    </w:p>
  </w:footnote>
  <w:footnote w:id="14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Parcell Supp. Dir. at 12:7-10.</w:t>
      </w:r>
    </w:p>
  </w:footnote>
  <w:footnote w:id="14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14.</w:t>
      </w:r>
    </w:p>
  </w:footnote>
  <w:footnote w:id="14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V at 16-21; Kahal Supp. Dir. at 31:12-16. </w:t>
      </w:r>
    </w:p>
  </w:footnote>
  <w:footnote w:id="14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31:12-16.</w:t>
      </w:r>
    </w:p>
  </w:footnote>
  <w:footnote w:id="14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14.</w:t>
      </w:r>
    </w:p>
  </w:footnote>
  <w:footnote w:id="14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Parcell Supp. Dir. at 23:7-15.</w:t>
      </w:r>
    </w:p>
  </w:footnote>
  <w:footnote w:id="15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12. </w:t>
      </w:r>
    </w:p>
  </w:footnote>
  <w:footnote w:id="15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Direct Testimony of Mathew I. Kahal (OCC Ex. 12a) filed November 21, 2016 (“Kahal Direct”) at 38:18-20.</w:t>
      </w:r>
    </w:p>
  </w:footnote>
  <w:footnote w:id="15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38:20-22.</w:t>
      </w:r>
    </w:p>
  </w:footnote>
  <w:footnote w:id="15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39:1-9; MIK-1.</w:t>
      </w:r>
    </w:p>
  </w:footnote>
  <w:footnote w:id="15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29:4-16.</w:t>
      </w:r>
    </w:p>
  </w:footnote>
  <w:footnote w:id="15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w:t>
      </w:r>
    </w:p>
  </w:footnote>
  <w:footnote w:id="15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Parcell Supp. Dir. at 18:17-18.</w:t>
      </w:r>
    </w:p>
  </w:footnote>
  <w:footnote w:id="15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OCC Exhibit 2.</w:t>
      </w:r>
    </w:p>
  </w:footnote>
  <w:footnote w:id="15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29:4-16.</w:t>
      </w:r>
    </w:p>
  </w:footnote>
  <w:footnote w:id="15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w:t>
      </w:r>
    </w:p>
  </w:footnote>
  <w:footnote w:id="16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20:1-2. </w:t>
      </w:r>
    </w:p>
  </w:footnote>
  <w:footnote w:id="16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22:11-15.</w:t>
      </w:r>
    </w:p>
  </w:footnote>
  <w:footnote w:id="16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Importantly, Staff Witness Donlon conceded that Staff is able to negotiate concessions from AES.  See Hearing Transcript at 886:16-887:18. Thus, not only should AES do more before the PUCO allows DP&amp;L to charge consumers hundreds of millions of dollars to pay off a debt they played no role in creating, Staff is capable of negotiating more out of AES.</w:t>
      </w:r>
    </w:p>
  </w:footnote>
  <w:footnote w:id="16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Schroeder Testimony at 3:14-16.</w:t>
      </w:r>
    </w:p>
  </w:footnote>
  <w:footnote w:id="16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 xml:space="preserve">See </w:t>
      </w:r>
      <w:r w:rsidRPr="00E03B36">
        <w:rPr>
          <w:rFonts w:ascii="Times New Roman" w:hAnsi="Times New Roman" w:cs="Times New Roman"/>
        </w:rPr>
        <w:t>Ohio Admin. Code §4901:1-20 et seq.</w:t>
      </w:r>
    </w:p>
  </w:footnote>
  <w:footnote w:id="16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18-19:17-7</w:t>
      </w:r>
      <w:r>
        <w:rPr>
          <w:rFonts w:ascii="Times New Roman" w:hAnsi="Times New Roman" w:cs="Times New Roman"/>
        </w:rPr>
        <w:t>.</w:t>
      </w:r>
    </w:p>
  </w:footnote>
  <w:footnote w:id="16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19:12-13. </w:t>
      </w:r>
    </w:p>
  </w:footnote>
  <w:footnote w:id="16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20:15-19. </w:t>
      </w:r>
    </w:p>
  </w:footnote>
  <w:footnote w:id="16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21:1-4. </w:t>
      </w:r>
    </w:p>
  </w:footnote>
  <w:footnote w:id="16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20:5-11.</w:t>
      </w:r>
    </w:p>
  </w:footnote>
  <w:footnote w:id="17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18:5-8.</w:t>
      </w:r>
    </w:p>
  </w:footnote>
  <w:footnote w:id="17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38:5-10.</w:t>
      </w:r>
    </w:p>
  </w:footnote>
  <w:footnote w:id="17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12:14-16</w:t>
      </w:r>
      <w:r>
        <w:rPr>
          <w:rFonts w:ascii="Times New Roman" w:hAnsi="Times New Roman" w:cs="Times New Roman"/>
        </w:rPr>
        <w:t>.</w:t>
      </w:r>
    </w:p>
  </w:footnote>
  <w:footnote w:id="17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12:13-13:18. </w:t>
      </w:r>
    </w:p>
  </w:footnote>
  <w:footnote w:id="17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13:7-13. </w:t>
      </w:r>
    </w:p>
  </w:footnote>
  <w:footnote w:id="17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4.</w:t>
      </w:r>
    </w:p>
  </w:footnote>
  <w:footnote w:id="17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6. </w:t>
      </w:r>
    </w:p>
  </w:footnote>
  <w:footnote w:id="17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26:10-11.</w:t>
      </w:r>
    </w:p>
  </w:footnote>
  <w:footnote w:id="17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w:t>
      </w:r>
    </w:p>
  </w:footnote>
  <w:footnote w:id="17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Parcell Supp. Dir. at 6:13-18, 7:1-15. </w:t>
      </w:r>
    </w:p>
  </w:footnote>
  <w:footnote w:id="18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8:1-2.</w:t>
      </w:r>
    </w:p>
  </w:footnote>
  <w:footnote w:id="18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Schroder Testimony at 11:8-12.</w:t>
      </w:r>
    </w:p>
  </w:footnote>
  <w:footnote w:id="18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9:2-4. </w:t>
      </w:r>
    </w:p>
  </w:footnote>
  <w:footnote w:id="18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9:4-6. </w:t>
      </w:r>
    </w:p>
  </w:footnote>
  <w:footnote w:id="18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10: 4-16. </w:t>
      </w:r>
    </w:p>
  </w:footnote>
  <w:footnote w:id="18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14-16. </w:t>
      </w:r>
    </w:p>
  </w:footnote>
  <w:footnote w:id="18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Customers receiving service at primary voltage are the only customers eligible for this program. Id. at 15. </w:t>
      </w:r>
    </w:p>
  </w:footnote>
  <w:footnote w:id="18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14. </w:t>
      </w:r>
    </w:p>
  </w:footnote>
  <w:footnote w:id="18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Direct Testimony of Michael P. Haugh (OCC Ex. 11) filed March 29, 2017 (“Haugh Testimony”) at 6:4-8.</w:t>
      </w:r>
    </w:p>
  </w:footnote>
  <w:footnote w:id="18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15. </w:t>
      </w:r>
    </w:p>
  </w:footnote>
  <w:footnote w:id="19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Haugh Testimony at 6:1-6.</w:t>
      </w:r>
    </w:p>
  </w:footnote>
  <w:footnote w:id="19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21-23.</w:t>
      </w:r>
    </w:p>
  </w:footnote>
  <w:footnote w:id="19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Haugh Testimony at 6:11-14. </w:t>
      </w:r>
    </w:p>
  </w:footnote>
  <w:footnote w:id="19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Haugh Testimony at 6:11-14. </w:t>
      </w:r>
    </w:p>
  </w:footnote>
  <w:footnote w:id="19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23. </w:t>
      </w:r>
    </w:p>
  </w:footnote>
  <w:footnote w:id="19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Haugh Testimony at 6:20. </w:t>
      </w:r>
    </w:p>
  </w:footnote>
  <w:footnote w:id="19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6:21-23.</w:t>
      </w:r>
    </w:p>
  </w:footnote>
  <w:footnote w:id="19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7:4-6.</w:t>
      </w:r>
    </w:p>
  </w:footnote>
  <w:footnote w:id="19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Schroder Testimony at 9. </w:t>
      </w:r>
    </w:p>
  </w:footnote>
  <w:footnote w:id="19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11.  </w:t>
      </w:r>
    </w:p>
  </w:footnote>
  <w:footnote w:id="20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Direct Testimony of Patrick J. Donlon (Staff Ex. 2) filed March 22, 2017 (“Donlon Testimony”) at 5. </w:t>
      </w:r>
    </w:p>
  </w:footnote>
  <w:footnote w:id="20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Direct at 21.</w:t>
      </w:r>
    </w:p>
  </w:footnote>
  <w:footnote w:id="20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21</w:t>
      </w:r>
      <w:r>
        <w:rPr>
          <w:rFonts w:ascii="Times New Roman" w:hAnsi="Times New Roman" w:cs="Times New Roman"/>
        </w:rPr>
        <w:t>.</w:t>
      </w:r>
    </w:p>
  </w:footnote>
  <w:footnote w:id="20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22.</w:t>
      </w:r>
    </w:p>
  </w:footnote>
  <w:footnote w:id="20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22.</w:t>
      </w:r>
    </w:p>
  </w:footnote>
  <w:footnote w:id="20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22-23.</w:t>
      </w:r>
    </w:p>
  </w:footnote>
  <w:footnote w:id="20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w:t>
      </w:r>
    </w:p>
  </w:footnote>
  <w:footnote w:id="20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II at 330:24 – 335:23.</w:t>
      </w:r>
    </w:p>
  </w:footnote>
  <w:footnote w:id="20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32:19-21. </w:t>
      </w:r>
    </w:p>
  </w:footnote>
  <w:footnote w:id="20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Testimony, Vol. II at 424:13-19.</w:t>
      </w:r>
    </w:p>
  </w:footnote>
  <w:footnote w:id="21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Direct Testimony of Mathew White (RESA Ex. 1) filed March 22, 2017 at 3:2-6; Hearing Transcript, Vol. II at 424:20-25.</w:t>
      </w:r>
    </w:p>
  </w:footnote>
  <w:footnote w:id="21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Hearing Transcript, Vol. II at 428:9-14 (IGS does not offer time-of-use products in Texas even though Texas has allegedly gotten Smart Grid right).</w:t>
      </w:r>
    </w:p>
  </w:footnote>
  <w:footnote w:id="21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Haugh Testimony at 7:4-6.  Further, no electric utility in Ohio allows marketers to bill for non-commodity products or services.  Hearing Transcript, Vol. II at 446:1-4. </w:t>
      </w:r>
    </w:p>
  </w:footnote>
  <w:footnote w:id="21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Haugh Testimony at 6:20; 7:4-6.</w:t>
      </w:r>
    </w:p>
  </w:footnote>
  <w:footnote w:id="21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39:1-13. </w:t>
      </w:r>
    </w:p>
  </w:footnote>
  <w:footnote w:id="21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Direct Testimony of Robert B. Fortney (OCC Ex. 14) filed March 29, 2017 (“Fortney Testimony”) at 7:16-19.</w:t>
      </w:r>
    </w:p>
  </w:footnote>
  <w:footnote w:id="21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8:22-23.</w:t>
      </w:r>
    </w:p>
  </w:footnote>
  <w:footnote w:id="21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8:25-9:2.</w:t>
      </w:r>
    </w:p>
  </w:footnote>
  <w:footnote w:id="21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9:2-4.</w:t>
      </w:r>
    </w:p>
  </w:footnote>
  <w:footnote w:id="21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9:9-12.</w:t>
      </w:r>
    </w:p>
  </w:footnote>
  <w:footnote w:id="22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6:10-7:2.</w:t>
      </w:r>
    </w:p>
  </w:footnote>
  <w:footnote w:id="22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7:4-14.</w:t>
      </w:r>
    </w:p>
  </w:footnote>
  <w:footnote w:id="22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13aii.</w:t>
      </w:r>
    </w:p>
  </w:footnote>
  <w:footnote w:id="22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38:18-19.</w:t>
      </w:r>
    </w:p>
  </w:footnote>
  <w:footnote w:id="22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36:21-23.</w:t>
      </w:r>
    </w:p>
  </w:footnote>
  <w:footnote w:id="22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38:6-7.</w:t>
      </w:r>
    </w:p>
  </w:footnote>
  <w:footnote w:id="22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38:7-8.</w:t>
      </w:r>
    </w:p>
  </w:footnote>
  <w:footnote w:id="22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38:9-10.</w:t>
      </w:r>
    </w:p>
  </w:footnote>
  <w:footnote w:id="22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38:10-12.</w:t>
      </w:r>
    </w:p>
  </w:footnote>
  <w:footnote w:id="22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38:12.</w:t>
      </w:r>
    </w:p>
  </w:footnote>
  <w:footnote w:id="23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DP&amp;L Witness Jackson has indicated that shopping has increased.  See Hearing Transcript, Vol. I at 40:21-41:9.</w:t>
      </w:r>
    </w:p>
  </w:footnote>
  <w:footnote w:id="23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36:13-37:6.</w:t>
      </w:r>
    </w:p>
  </w:footnote>
  <w:footnote w:id="23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37:5-6.</w:t>
      </w:r>
    </w:p>
  </w:footnote>
  <w:footnote w:id="23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section IVA2, supra.</w:t>
      </w:r>
    </w:p>
  </w:footnote>
  <w:footnote w:id="23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Parcell Supp. Dir. at 11.  </w:t>
      </w:r>
    </w:p>
  </w:footnote>
  <w:footnote w:id="23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20:7-21:8.  </w:t>
      </w:r>
    </w:p>
  </w:footnote>
  <w:footnote w:id="23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21:10-15.  </w:t>
      </w:r>
    </w:p>
  </w:footnote>
  <w:footnote w:id="23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21:17-23:2.  </w:t>
      </w:r>
    </w:p>
  </w:footnote>
  <w:footnote w:id="23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26.</w:t>
      </w:r>
    </w:p>
  </w:footnote>
  <w:footnote w:id="23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22:14-16. </w:t>
      </w:r>
    </w:p>
  </w:footnote>
  <w:footnote w:id="24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Direct at 36:2-4.</w:t>
      </w:r>
    </w:p>
  </w:footnote>
  <w:footnote w:id="24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36: 4-13.</w:t>
      </w:r>
    </w:p>
  </w:footnote>
  <w:footnote w:id="24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In the Matter of the Application of Columbus Southern Power Company and Ohio Power Company for Authority to Recover Costs associated with the Ultimate Construction and Operation of an Integrated Gasification Combined Cycle Electric Generation Facility</w:t>
      </w:r>
      <w:r w:rsidRPr="00E03B36">
        <w:rPr>
          <w:rFonts w:ascii="Times New Roman" w:hAnsi="Times New Roman" w:cs="Times New Roman"/>
        </w:rPr>
        <w:t>, Case No. 05-376-EL-UNC, Order on Remand at 12 (Feb. 11, 2015).</w:t>
      </w:r>
    </w:p>
  </w:footnote>
  <w:footnote w:id="24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24:6-9.</w:t>
      </w:r>
    </w:p>
  </w:footnote>
  <w:footnote w:id="24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9; Haugh Testimony at 9:12-14. </w:t>
      </w:r>
    </w:p>
  </w:footnote>
  <w:footnote w:id="24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9-10. </w:t>
      </w:r>
    </w:p>
  </w:footnote>
  <w:footnote w:id="24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Haugh Testimony at 10:10-12. </w:t>
      </w:r>
    </w:p>
  </w:footnote>
  <w:footnote w:id="24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9-10; Haugh Testimony at 11:11-16. </w:t>
      </w:r>
    </w:p>
  </w:footnote>
  <w:footnote w:id="24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Haugh Testimony at 10:16-21. </w:t>
      </w:r>
    </w:p>
  </w:footnote>
  <w:footnote w:id="24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10:10-12.</w:t>
      </w:r>
    </w:p>
  </w:footnote>
  <w:footnote w:id="25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4905.33 states “No public utility shall directly or indirectly, or by any special rate, rebate, drawback, or other device or method, charge, demand, collect, or receive from any person, firm, or corporation a greater or lesser compensation for any services rendered, or to be rendered, except as provided in Chapters 4901., 4903., 4905., 4907., 4909., 4921., and 4923. of the Revised Code, than it charges, demands, collects, or receives from any other person, firm, or corporation for doing a like and contemporaneous service under substantially the same circumstances and conditions.” </w:t>
      </w:r>
    </w:p>
  </w:footnote>
  <w:footnote w:id="25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11. </w:t>
      </w:r>
    </w:p>
  </w:footnote>
  <w:footnote w:id="25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24:21-25:3. </w:t>
      </w:r>
    </w:p>
  </w:footnote>
  <w:footnote w:id="25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24:19-20.</w:t>
      </w:r>
    </w:p>
  </w:footnote>
  <w:footnote w:id="25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t>
      </w:r>
      <w:r w:rsidRPr="00E03B36">
        <w:rPr>
          <w:rFonts w:ascii="Times New Roman" w:hAnsi="Times New Roman" w:cs="Times New Roman"/>
          <w:i/>
        </w:rPr>
        <w:t>In the Matter of the Application of Columbus Southern Power Company and Ohio Power Company for Authority to Recover Costs Associated with the Ultimate Construction and Operation of an Integrated Gasification Combined Cycle Electric Generation Facility</w:t>
      </w:r>
      <w:r w:rsidRPr="00E03B36">
        <w:rPr>
          <w:rFonts w:ascii="Times New Roman" w:hAnsi="Times New Roman" w:cs="Times New Roman"/>
        </w:rPr>
        <w:t>, Case No. 05-376-EL-UNC, Order On Remand at pages 11-12 (Feb. 11, 2015).</w:t>
      </w:r>
    </w:p>
  </w:footnote>
  <w:footnote w:id="25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71 and Exhibit RJM 20; see also Donlon Testimony at page 5. </w:t>
      </w:r>
    </w:p>
  </w:footnote>
  <w:footnote w:id="25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Donlon Testimony at 5:103-113.</w:t>
      </w:r>
    </w:p>
  </w:footnote>
  <w:footnote w:id="25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Kahal Supp. Dir. at 26:2-3.</w:t>
      </w:r>
    </w:p>
  </w:footnote>
  <w:footnote w:id="25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26:4-5. </w:t>
      </w:r>
    </w:p>
  </w:footnote>
  <w:footnote w:id="25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Ohio Admin. Code §4901:1-35-03(C)(9)(g) states that any application for an infrastructure modernization plan shall include the following specific requirements:   </w:t>
      </w:r>
    </w:p>
    <w:p w:rsidR="00761D0A" w:rsidRPr="00E03B36" w:rsidP="00761D0A">
      <w:pPr>
        <w:pStyle w:val="FootnoteText"/>
        <w:spacing w:after="120"/>
        <w:ind w:firstLine="270"/>
        <w:rPr>
          <w:rFonts w:ascii="Times New Roman" w:hAnsi="Times New Roman" w:cs="Times New Roman"/>
        </w:rPr>
      </w:pPr>
      <w:r w:rsidRPr="00E03B36">
        <w:rPr>
          <w:rFonts w:ascii="Times New Roman" w:hAnsi="Times New Roman" w:cs="Times New Roman"/>
        </w:rPr>
        <w:t xml:space="preserve"> (i)  A description of the infrastructure modernization plan, including but not limited to, the electric utility's existing infrastructure, its existing asset management system and related capabilities, the type of technology and reason chosen, the portion of service territory affected, the percentage of customers directly impacted (non-rate impact), and the implementation schedule by geographic location and/or type of activity. A description of any communication infrastructure included in the infrastructure modernization plan and any metering, distribution automation, or other applications that may be supported by this communication infrastructure also shall be included.</w:t>
      </w:r>
    </w:p>
    <w:p w:rsidR="00761D0A" w:rsidRPr="00E03B36" w:rsidP="00761D0A">
      <w:pPr>
        <w:pStyle w:val="FootnoteText"/>
        <w:spacing w:after="120"/>
        <w:rPr>
          <w:rFonts w:ascii="Times New Roman" w:hAnsi="Times New Roman" w:cs="Times New Roman"/>
        </w:rPr>
      </w:pPr>
      <w:r w:rsidRPr="00E03B36">
        <w:rPr>
          <w:rFonts w:ascii="Times New Roman" w:hAnsi="Times New Roman" w:cs="Times New Roman"/>
        </w:rPr>
        <w:t xml:space="preserve">    (ii)  A description of the benefits of the infrastructure modernization plan (in total and by activity or type), including but not limited to the following as they may apply to the plan: the impacts on current reliability, the number of circuits impacted, the number of customers impacted, the timing of impacts, whether the impact is on the frequency or duration of outages, whether the infrastructure modernization plan addresses primary outage causes, what problems are addressed by the infrastructure modernization plan, the resulting dollar savings and additional costs, the activities affected and related accounts, the timing of savings, other customer benefits, and societal benefits. Through metrics and milestones, the infrastructure modernization plan shall include a description of how the performance and outcomes of the plan will be measured.</w:t>
      </w:r>
    </w:p>
    <w:p w:rsidR="00761D0A" w:rsidRPr="00E03B36" w:rsidP="00761D0A">
      <w:pPr>
        <w:pStyle w:val="FootnoteText"/>
        <w:spacing w:after="120"/>
        <w:rPr>
          <w:rFonts w:ascii="Times New Roman" w:hAnsi="Times New Roman" w:cs="Times New Roman"/>
        </w:rPr>
      </w:pPr>
      <w:r w:rsidRPr="00E03B36">
        <w:rPr>
          <w:rFonts w:ascii="Times New Roman" w:hAnsi="Times New Roman" w:cs="Times New Roman"/>
        </w:rPr>
        <w:t xml:space="preserve">    (iii)  A detailed description of the costs of the infrastructure modernization plan, including a breakdown of capital costs and operating and maintenance expenses net of any related savings, the revenue requirement, including recovery of stranded investment related to replacement of un-depreciated plant with new technology, the impact on customer bills, service disruptions associated with plan implementation, and description of (and dollar value of) equipment being made obsolescent by the plan and reason for early plant retirement. The infrastructure modernization plan shall also include a description of efforts made to mitigate such stranded investment.</w:t>
      </w:r>
    </w:p>
    <w:p w:rsidR="00761D0A" w:rsidRPr="00E03B36" w:rsidP="00761D0A">
      <w:pPr>
        <w:pStyle w:val="FootnoteText"/>
        <w:spacing w:after="120"/>
        <w:rPr>
          <w:rFonts w:ascii="Times New Roman" w:hAnsi="Times New Roman" w:cs="Times New Roman"/>
        </w:rPr>
      </w:pPr>
      <w:r w:rsidRPr="00E03B36">
        <w:rPr>
          <w:rFonts w:ascii="Times New Roman" w:hAnsi="Times New Roman" w:cs="Times New Roman"/>
        </w:rPr>
        <w:t xml:space="preserve">    (iv)  A detailed description of any proposed cost recovery mechanism, including the components of any regulatory asset created by the infrastructure modernization plan, the reporting structure and schedule, and the proposed process for approval of cost recovery and increase in rates.</w:t>
      </w:r>
    </w:p>
    <w:p w:rsidR="00761D0A" w:rsidRPr="00E03B36" w:rsidP="00761D0A">
      <w:pPr>
        <w:pStyle w:val="FootnoteText"/>
        <w:spacing w:after="120"/>
        <w:rPr>
          <w:rFonts w:ascii="Times New Roman" w:hAnsi="Times New Roman" w:cs="Times New Roman"/>
        </w:rPr>
      </w:pPr>
      <w:r w:rsidRPr="00E03B36">
        <w:rPr>
          <w:rFonts w:ascii="Times New Roman" w:hAnsi="Times New Roman" w:cs="Times New Roman"/>
        </w:rPr>
        <w:t xml:space="preserve">    (v)  A detailed explanation of how the infrastructure modernization plan aligns customer and electric utility reliability and power quality expectations by customer class.</w:t>
      </w:r>
    </w:p>
  </w:footnote>
  <w:footnote w:id="26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DP&amp;L’s Application at 8. </w:t>
      </w:r>
    </w:p>
  </w:footnote>
  <w:footnote w:id="26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4-6. </w:t>
      </w:r>
    </w:p>
  </w:footnote>
  <w:footnote w:id="26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Ohio Admin. Code. §4901-35-03(A). </w:t>
      </w:r>
    </w:p>
  </w:footnote>
  <w:footnote w:id="26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Ohio Admin. Code §4901:1-35-03(C)(9)(g)</w:t>
      </w:r>
      <w:r>
        <w:rPr>
          <w:rFonts w:ascii="Times New Roman" w:hAnsi="Times New Roman" w:cs="Times New Roman"/>
        </w:rPr>
        <w:t>.</w:t>
      </w:r>
    </w:p>
  </w:footnote>
  <w:footnote w:id="26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4928.143(B)(2)(h)</w:t>
      </w:r>
      <w:r>
        <w:rPr>
          <w:rFonts w:ascii="Times New Roman" w:hAnsi="Times New Roman" w:cs="Times New Roman"/>
        </w:rPr>
        <w:t>.</w:t>
      </w:r>
    </w:p>
  </w:footnote>
  <w:footnote w:id="26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II at 457:7-11. </w:t>
      </w:r>
    </w:p>
  </w:footnote>
  <w:footnote w:id="26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Nicodemus Testimony at4:4-5.</w:t>
      </w:r>
    </w:p>
  </w:footnote>
  <w:footnote w:id="26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II at 459-461:11-1. </w:t>
      </w:r>
    </w:p>
  </w:footnote>
  <w:footnote w:id="26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Direct Testimony of James D. Williams (OCC Ex. 13a) filed November 21, 2016 at 22:2-4.</w:t>
      </w:r>
    </w:p>
  </w:footnote>
  <w:footnote w:id="26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4928.143(B)(2)(h).</w:t>
      </w:r>
    </w:p>
  </w:footnote>
  <w:footnote w:id="27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6. </w:t>
      </w:r>
    </w:p>
  </w:footnote>
  <w:footnote w:id="27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24:15-17.</w:t>
      </w:r>
    </w:p>
  </w:footnote>
  <w:footnote w:id="27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24:19-20.</w:t>
      </w:r>
    </w:p>
  </w:footnote>
  <w:footnote w:id="27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17.</w:t>
      </w:r>
    </w:p>
  </w:footnote>
  <w:footnote w:id="27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18-19.</w:t>
      </w:r>
    </w:p>
  </w:footnote>
  <w:footnote w:id="27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19-20.</w:t>
      </w:r>
    </w:p>
  </w:footnote>
  <w:footnote w:id="27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17.</w:t>
      </w:r>
    </w:p>
  </w:footnote>
  <w:footnote w:id="27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26:1-3</w:t>
      </w:r>
      <w:r>
        <w:rPr>
          <w:rFonts w:ascii="Times New Roman" w:hAnsi="Times New Roman" w:cs="Times New Roman"/>
        </w:rPr>
        <w:t>.</w:t>
      </w:r>
    </w:p>
  </w:footnote>
  <w:footnote w:id="27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26:5-15</w:t>
      </w:r>
      <w:r>
        <w:rPr>
          <w:rFonts w:ascii="Times New Roman" w:hAnsi="Times New Roman" w:cs="Times New Roman"/>
        </w:rPr>
        <w:t>.</w:t>
      </w:r>
    </w:p>
  </w:footnote>
  <w:footnote w:id="27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The PUCO has noted that it generally opposes creating deferrals except in extraordinary circumstances.  See, e.g., </w:t>
      </w:r>
      <w:r w:rsidRPr="00E03B36">
        <w:rPr>
          <w:rFonts w:ascii="Times New Roman" w:hAnsi="Times New Roman" w:cs="Times New Roman"/>
          <w:i/>
        </w:rPr>
        <w:t>In the Matter of the Application of Columbus Southern Power Company and Ohio Power Company for Authority to Establish a Standard Service Offer</w:t>
      </w:r>
      <w:r w:rsidRPr="00E03B36">
        <w:rPr>
          <w:rFonts w:ascii="Times New Roman" w:hAnsi="Times New Roman" w:cs="Times New Roman"/>
        </w:rPr>
        <w:t>, Case No. 11-346-EL-SSO, Opinion and Order at 36 (August 8, 2012).</w:t>
      </w:r>
    </w:p>
  </w:footnote>
  <w:footnote w:id="28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26-27:13-3.</w:t>
      </w:r>
    </w:p>
  </w:footnote>
  <w:footnote w:id="28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26-27:13-3.</w:t>
      </w:r>
    </w:p>
  </w:footnote>
  <w:footnote w:id="28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27:5-12</w:t>
      </w:r>
      <w:r>
        <w:rPr>
          <w:rFonts w:ascii="Times New Roman" w:hAnsi="Times New Roman" w:cs="Times New Roman"/>
        </w:rPr>
        <w:t>.</w:t>
      </w:r>
    </w:p>
  </w:footnote>
  <w:footnote w:id="28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27:15-22</w:t>
      </w:r>
      <w:r>
        <w:rPr>
          <w:rFonts w:ascii="Times New Roman" w:hAnsi="Times New Roman" w:cs="Times New Roman"/>
        </w:rPr>
        <w:t>.</w:t>
      </w:r>
    </w:p>
  </w:footnote>
  <w:footnote w:id="28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28:1-5. </w:t>
      </w:r>
    </w:p>
  </w:footnote>
  <w:footnote w:id="28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28:7-10.</w:t>
      </w:r>
    </w:p>
  </w:footnote>
  <w:footnote w:id="28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21. </w:t>
      </w:r>
    </w:p>
  </w:footnote>
  <w:footnote w:id="28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Ohio Admin. Code §§ 4901:1-21; Haugh at 13:6-11. </w:t>
      </w:r>
    </w:p>
  </w:footnote>
  <w:footnote w:id="28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Fortney Testimony at page 10.</w:t>
      </w:r>
    </w:p>
  </w:footnote>
  <w:footnote w:id="28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100:17-19.</w:t>
      </w:r>
    </w:p>
  </w:footnote>
  <w:footnote w:id="29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Fifth Entry on Rehearing issued on October 12, 2016, in Case No. 14-1297-EL-SSO, page 8, paragraph 211 (internal citations omitted). </w:t>
      </w:r>
    </w:p>
  </w:footnote>
  <w:footnote w:id="29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w:t>
      </w:r>
    </w:p>
  </w:footnote>
  <w:footnote w:id="29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w:t>
      </w:r>
    </w:p>
  </w:footnote>
  <w:footnote w:id="29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Kahal Supp. Dir. at 36:2-3; see also Settlement at 13aii (Reconciliation Rider bypassable).</w:t>
      </w:r>
    </w:p>
  </w:footnote>
  <w:footnote w:id="29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4-6.</w:t>
      </w:r>
    </w:p>
  </w:footnote>
  <w:footnote w:id="29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6-7.</w:t>
      </w:r>
    </w:p>
  </w:footnote>
  <w:footnote w:id="29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38:18-19.</w:t>
      </w:r>
    </w:p>
  </w:footnote>
  <w:footnote w:id="29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36:4-6.</w:t>
      </w:r>
    </w:p>
  </w:footnote>
  <w:footnote w:id="29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R.C. 4905.35.</w:t>
      </w:r>
    </w:p>
  </w:footnote>
  <w:footnote w:id="29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Ohio Revised Code Section 4928.143(C)(1).  See also Public Utilities Commission of Ohio, Opinion and Order, Case No. 11-346-EL-SSO, August 8, 2012, p. 77; Public Utilities Commission of Ohio, Opinion and Order, Case No. 12-1230-EL-SSO, July 18, 2012, pp. 56-57.</w:t>
      </w:r>
    </w:p>
  </w:footnote>
  <w:footnote w:id="30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Ohio Revised Code Section 4928.143(C)(1) (“The burden of proof in the proceeding shall be on the electric distribution utility.”) </w:t>
      </w:r>
    </w:p>
  </w:footnote>
  <w:footnote w:id="30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9-10.</w:t>
      </w:r>
    </w:p>
  </w:footnote>
  <w:footnote w:id="30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9-10; 12.</w:t>
      </w:r>
    </w:p>
  </w:footnote>
  <w:footnote w:id="30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9-10.</w:t>
      </w:r>
    </w:p>
  </w:footnote>
  <w:footnote w:id="30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12-13.</w:t>
      </w:r>
    </w:p>
  </w:footnote>
  <w:footnote w:id="30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17.</w:t>
      </w:r>
    </w:p>
  </w:footnote>
  <w:footnote w:id="30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Some examples include the DIR, Regulatory Compliance Rider, Uncollectible Rider, Storm Cost Recovery Rider, Economic Development Rider, etc.  See Malinak Testimony at 14:9-20.  </w:t>
      </w:r>
    </w:p>
  </w:footnote>
  <w:footnote w:id="30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6.</w:t>
      </w:r>
    </w:p>
  </w:footnote>
  <w:footnote w:id="30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id. page 10-12, 27-36. </w:t>
      </w:r>
    </w:p>
  </w:footnote>
  <w:footnote w:id="30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id. at page 10-12, 27-36.</w:t>
      </w:r>
    </w:p>
  </w:footnote>
  <w:footnote w:id="31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4928.143(B)(1).</w:t>
      </w:r>
    </w:p>
  </w:footnote>
  <w:footnote w:id="31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R.C. 4928.143(B)(2)(a); R.C. 4928.143(B)(2)(b) (reasonable allowances); R.C. 4928.143(B)(2)(c) (non-bypassable surcharges).</w:t>
      </w:r>
    </w:p>
  </w:footnote>
  <w:footnote w:id="31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4928.142(A).</w:t>
      </w:r>
    </w:p>
  </w:footnote>
  <w:footnote w:id="31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R.C. 4928.142(A)(1).</w:t>
      </w:r>
    </w:p>
  </w:footnote>
  <w:footnote w:id="31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Hearing Transcript, Vol. V, at 886:16-887:18.</w:t>
      </w:r>
    </w:p>
  </w:footnote>
  <w:footnote w:id="31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Schroder Testimony at 4:9-17.</w:t>
      </w:r>
    </w:p>
  </w:footnote>
  <w:footnote w:id="31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17:15-18:20.  </w:t>
      </w:r>
    </w:p>
  </w:footnote>
  <w:footnote w:id="31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19:103.</w:t>
      </w:r>
    </w:p>
  </w:footnote>
  <w:footnote w:id="31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e.g., id. at 18:1-5.  These non-quantifiable benefits are not relevant for Witness Malinak’s first scenario because he assumes that the DMR and Reconciliation Rider would be available under an MRO (or distribution rate case or some other docket).  As such, the outcome of the ESP versus MRO test in the first scenario comes down to the $11.5 million of other quantifiable benefits.  </w:t>
      </w:r>
    </w:p>
  </w:footnote>
  <w:footnote w:id="31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Settlement at 7.</w:t>
      </w:r>
    </w:p>
  </w:footnote>
  <w:footnote w:id="32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7-8.</w:t>
      </w:r>
    </w:p>
  </w:footnote>
  <w:footnote w:id="32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Further, any Smart Grid benefits to the competitiveness of the retail market should also be severely discounted.  See section IVC2kii, supra.  </w:t>
      </w:r>
    </w:p>
  </w:footnote>
  <w:footnote w:id="32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44:6-8.</w:t>
      </w:r>
    </w:p>
  </w:footnote>
  <w:footnote w:id="32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45:14-21.</w:t>
      </w:r>
    </w:p>
  </w:footnote>
  <w:footnote w:id="32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45:14-16.</w:t>
      </w:r>
    </w:p>
  </w:footnote>
  <w:footnote w:id="32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45:17-21. </w:t>
      </w:r>
    </w:p>
  </w:footnote>
  <w:footnote w:id="32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9-10.</w:t>
      </w:r>
    </w:p>
  </w:footnote>
  <w:footnote w:id="32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 at 49:24 – 52:7. </w:t>
      </w:r>
    </w:p>
  </w:footnote>
  <w:footnote w:id="32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Kahal Supp. Dir. at 46:10-12. </w:t>
      </w:r>
    </w:p>
  </w:footnote>
  <w:footnote w:id="32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id. at 46:13-20. </w:t>
      </w:r>
    </w:p>
  </w:footnote>
  <w:footnote w:id="33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18-19:17-7; see also Nicodemus Testimony; Schroder Testimony.  </w:t>
      </w:r>
    </w:p>
  </w:footnote>
  <w:footnote w:id="331">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See Williams Supp. Dir.; Nicodemus Testimony</w:t>
      </w:r>
      <w:r>
        <w:rPr>
          <w:rFonts w:ascii="Times New Roman" w:hAnsi="Times New Roman" w:cs="Times New Roman"/>
        </w:rPr>
        <w:t>.</w:t>
      </w:r>
    </w:p>
  </w:footnote>
  <w:footnote w:id="33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Williams Supp. Dir. at 18-19:17-7; see also Nicodemus Testimony.  </w:t>
      </w:r>
    </w:p>
  </w:footnote>
  <w:footnote w:id="333">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19:4-9.</w:t>
      </w:r>
    </w:p>
  </w:footnote>
  <w:footnote w:id="334">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44:13-17.</w:t>
      </w:r>
    </w:p>
  </w:footnote>
  <w:footnote w:id="335">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Id. at 44:21-23.</w:t>
      </w:r>
    </w:p>
  </w:footnote>
  <w:footnote w:id="336">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18:18-19.</w:t>
      </w:r>
    </w:p>
  </w:footnote>
  <w:footnote w:id="337">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Hearing Transcript, Vol. II at 383:2 – 21.</w:t>
      </w:r>
    </w:p>
  </w:footnote>
  <w:footnote w:id="338">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19:1-3</w:t>
      </w:r>
      <w:r>
        <w:rPr>
          <w:rFonts w:ascii="Times New Roman" w:hAnsi="Times New Roman" w:cs="Times New Roman"/>
        </w:rPr>
        <w:t>.</w:t>
      </w:r>
    </w:p>
  </w:footnote>
  <w:footnote w:id="339">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Kahal Supp. Dir. at 3-6.  </w:t>
      </w:r>
    </w:p>
  </w:footnote>
  <w:footnote w:id="340">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12:16-17. </w:t>
      </w:r>
    </w:p>
  </w:footnote>
  <w:footnote w:id="341">
    <w:p w:rsidR="00761D0A" w:rsidRPr="005D28A7" w:rsidP="00761D0A">
      <w:pPr>
        <w:spacing w:after="120" w:line="240" w:lineRule="auto"/>
        <w:rPr>
          <w:rFonts w:ascii="Times New Roman" w:hAnsi="Times New Roman" w:cs="Times New Roman"/>
          <w:sz w:val="20"/>
          <w:szCs w:val="20"/>
        </w:rPr>
      </w:pPr>
      <w:r w:rsidRPr="00E03B36">
        <w:rPr>
          <w:rStyle w:val="FootnoteReference"/>
          <w:rFonts w:ascii="Times New Roman" w:hAnsi="Times New Roman" w:cs="Times New Roman"/>
          <w:sz w:val="20"/>
          <w:szCs w:val="20"/>
        </w:rPr>
        <w:footnoteRef/>
      </w:r>
      <w:r w:rsidRPr="00E03B36">
        <w:rPr>
          <w:rFonts w:ascii="Times New Roman" w:hAnsi="Times New Roman" w:cs="Times New Roman"/>
          <w:sz w:val="20"/>
          <w:szCs w:val="20"/>
        </w:rPr>
        <w:t xml:space="preserve"> For example, the signatory parties who receive the benefits under the Economic Development Rider in the Settlement do not have to retain or create any jobs to receive the benefits.  Hearing Transcript, Vol. II at 330:16-331:16.  But they would have to if such incentives were offered outside of an ESP and they wanted to receive them.  Because the signatory parties have not pledged to create or retain any jobs, but still get the benefits under the Rider, the costs of the Rider in the ESP embodied by the Settlement is higher than what it would be in an MRO.    </w:t>
      </w:r>
    </w:p>
  </w:footnote>
  <w:footnote w:id="342">
    <w:p w:rsidR="00761D0A" w:rsidRPr="00E03B36" w:rsidP="00761D0A">
      <w:pPr>
        <w:pStyle w:val="FootnoteText"/>
        <w:spacing w:after="120"/>
        <w:rPr>
          <w:rFonts w:ascii="Times New Roman" w:hAnsi="Times New Roman" w:cs="Times New Roman"/>
        </w:rPr>
      </w:pPr>
      <w:r w:rsidRPr="00E03B36">
        <w:rPr>
          <w:rStyle w:val="FootnoteReference"/>
          <w:rFonts w:ascii="Times New Roman" w:hAnsi="Times New Roman" w:cs="Times New Roman"/>
        </w:rPr>
        <w:footnoteRef/>
      </w:r>
      <w:r w:rsidRPr="00E03B36">
        <w:rPr>
          <w:rFonts w:ascii="Times New Roman" w:hAnsi="Times New Roman" w:cs="Times New Roman"/>
        </w:rPr>
        <w:t xml:space="preserve"> Malinak Testimony at 13:10-14.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835637"/>
    <w:multiLevelType w:val="hybridMultilevel"/>
    <w:tmpl w:val="6BD66C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086468D"/>
    <w:multiLevelType w:val="hybridMultilevel"/>
    <w:tmpl w:val="72CECF7E"/>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35280683"/>
    <w:multiLevelType w:val="hybridMultilevel"/>
    <w:tmpl w:val="D2F6C8C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97324B6"/>
    <w:multiLevelType w:val="hybridMultilevel"/>
    <w:tmpl w:val="75E67F5C"/>
    <w:lvl w:ilvl="0">
      <w:start w:val="3"/>
      <w:numFmt w:val="lowerRoman"/>
      <w:lvlText w:val="%1."/>
      <w:lvlJc w:val="left"/>
      <w:pPr>
        <w:ind w:left="36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
    <w:nsid w:val="39F77048"/>
    <w:multiLevelType w:val="hybridMultilevel"/>
    <w:tmpl w:val="D1809D2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3A4118D7"/>
    <w:multiLevelType w:val="hybridMultilevel"/>
    <w:tmpl w:val="1BE8FA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3AA22B62"/>
    <w:multiLevelType w:val="hybridMultilevel"/>
    <w:tmpl w:val="D8500A8E"/>
    <w:lvl w:ilvl="0">
      <w:start w:val="3"/>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3C303359"/>
    <w:multiLevelType w:val="hybridMultilevel"/>
    <w:tmpl w:val="408496E8"/>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CB3215"/>
    <w:multiLevelType w:val="hybridMultilevel"/>
    <w:tmpl w:val="0660DC22"/>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4B413B4A"/>
    <w:multiLevelType w:val="hybridMultilevel"/>
    <w:tmpl w:val="4BAA1EF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3E1BDA"/>
    <w:multiLevelType w:val="hybridMultilevel"/>
    <w:tmpl w:val="B204FA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9331E3"/>
    <w:multiLevelType w:val="hybridMultilevel"/>
    <w:tmpl w:val="6FC438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9662AA"/>
    <w:multiLevelType w:val="hybridMultilevel"/>
    <w:tmpl w:val="D190360A"/>
    <w:lvl w:ilvl="0">
      <w:start w:val="1"/>
      <w:numFmt w:val="lowerLetter"/>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530C3317"/>
    <w:multiLevelType w:val="hybridMultilevel"/>
    <w:tmpl w:val="207ECBB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6A77B04"/>
    <w:multiLevelType w:val="hybridMultilevel"/>
    <w:tmpl w:val="E9006A5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976427D"/>
    <w:multiLevelType w:val="hybridMultilevel"/>
    <w:tmpl w:val="124AE200"/>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6">
    <w:nsid w:val="5AF11BA2"/>
    <w:multiLevelType w:val="hybridMultilevel"/>
    <w:tmpl w:val="0B1CB5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D834010"/>
    <w:multiLevelType w:val="hybridMultilevel"/>
    <w:tmpl w:val="D11CAC3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614155A2"/>
    <w:multiLevelType w:val="hybridMultilevel"/>
    <w:tmpl w:val="69C4E27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404772"/>
    <w:multiLevelType w:val="multilevel"/>
    <w:tmpl w:val="878456A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3E6312C"/>
    <w:multiLevelType w:val="hybridMultilevel"/>
    <w:tmpl w:val="7272221C"/>
    <w:lvl w:ilvl="0">
      <w:start w:val="1"/>
      <w:numFmt w:val="upperLetter"/>
      <w:lvlText w:val="%1."/>
      <w:lvlJc w:val="left"/>
      <w:pPr>
        <w:ind w:left="1800" w:hanging="360"/>
      </w:pPr>
      <w:rPr>
        <w:rFonts w:hint="default"/>
      </w:rPr>
    </w:lvl>
    <w:lvl w:ilvl="1">
      <w:start w:val="1"/>
      <w:numFmt w:val="decimal"/>
      <w:lvlText w:val="%2."/>
      <w:lvlJc w:val="left"/>
      <w:pPr>
        <w:ind w:left="2520" w:hanging="360"/>
      </w:pPr>
      <w:rPr>
        <w:b/>
      </w:r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69083038"/>
    <w:multiLevelType w:val="hybridMultilevel"/>
    <w:tmpl w:val="2AC412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C606B21"/>
    <w:multiLevelType w:val="hybridMultilevel"/>
    <w:tmpl w:val="239C9F08"/>
    <w:lvl w:ilvl="0">
      <w:start w:val="1"/>
      <w:numFmt w:val="lowerRoman"/>
      <w:lvlText w:val="%1."/>
      <w:lvlJc w:val="left"/>
      <w:pPr>
        <w:ind w:left="36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3">
    <w:nsid w:val="6C6117FE"/>
    <w:multiLevelType w:val="hybridMultilevel"/>
    <w:tmpl w:val="98683B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730B99"/>
    <w:multiLevelType w:val="hybridMultilevel"/>
    <w:tmpl w:val="AB601680"/>
    <w:lvl w:ilvl="0">
      <w:start w:val="1"/>
      <w:numFmt w:val="upperLetter"/>
      <w:lvlText w:val="%1."/>
      <w:lvlJc w:val="left"/>
      <w:pPr>
        <w:ind w:left="117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06A5323"/>
    <w:multiLevelType w:val="hybridMultilevel"/>
    <w:tmpl w:val="5D84F2D8"/>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6">
    <w:nsid w:val="730552B0"/>
    <w:multiLevelType w:val="hybridMultilevel"/>
    <w:tmpl w:val="4746AE98"/>
    <w:lvl w:ilvl="0">
      <w:start w:val="1"/>
      <w:numFmt w:val="upperRoman"/>
      <w:lvlText w:val="%1."/>
      <w:lvlJc w:val="left"/>
      <w:pPr>
        <w:ind w:left="1080" w:hanging="720"/>
      </w:pPr>
      <w:rPr>
        <w:rFonts w:hint="default"/>
      </w:rPr>
    </w:lvl>
    <w:lvl w:ilvl="1">
      <w:start w:val="1"/>
      <w:numFmt w:val="lowerLetter"/>
      <w:lvlText w:val="%2."/>
      <w:lvlJc w:val="left"/>
      <w:pPr>
        <w:ind w:left="4410" w:hanging="360"/>
      </w:pPr>
      <w:rPr>
        <w:b/>
      </w:rPr>
    </w:lvl>
    <w:lvl w:ilvl="2">
      <w:start w:val="1"/>
      <w:numFmt w:val="lowerRoman"/>
      <w:lvlText w:val="%3."/>
      <w:lvlJc w:val="right"/>
      <w:pPr>
        <w:ind w:left="2070" w:hanging="180"/>
      </w:pPr>
    </w:lvl>
    <w:lvl w:ilvl="3">
      <w:start w:val="1"/>
      <w:numFmt w:val="decimal"/>
      <w:lvlText w:val="%4."/>
      <w:lvlJc w:val="left"/>
      <w:pPr>
        <w:ind w:left="3060" w:hanging="360"/>
      </w:pPr>
      <w:rPr>
        <w:b/>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B52F8E"/>
    <w:multiLevelType w:val="hybridMultilevel"/>
    <w:tmpl w:val="61CC5F4E"/>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8">
    <w:nsid w:val="740E1692"/>
    <w:multiLevelType w:val="hybridMultilevel"/>
    <w:tmpl w:val="11C0450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5B16B5B"/>
    <w:multiLevelType w:val="hybridMultilevel"/>
    <w:tmpl w:val="94BEAC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75A01F3"/>
    <w:multiLevelType w:val="hybridMultilevel"/>
    <w:tmpl w:val="811203C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7B6E04FF"/>
    <w:multiLevelType w:val="hybridMultilevel"/>
    <w:tmpl w:val="F9D404B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F454D8A"/>
    <w:multiLevelType w:val="hybridMultilevel"/>
    <w:tmpl w:val="340074B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FCA4012"/>
    <w:multiLevelType w:val="hybridMultilevel"/>
    <w:tmpl w:val="A7B669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26"/>
  </w:num>
  <w:num w:numId="3">
    <w:abstractNumId w:val="16"/>
  </w:num>
  <w:num w:numId="4">
    <w:abstractNumId w:val="21"/>
  </w:num>
  <w:num w:numId="5">
    <w:abstractNumId w:val="7"/>
  </w:num>
  <w:num w:numId="6">
    <w:abstractNumId w:val="17"/>
  </w:num>
  <w:num w:numId="7">
    <w:abstractNumId w:val="18"/>
  </w:num>
  <w:num w:numId="8">
    <w:abstractNumId w:val="33"/>
  </w:num>
  <w:num w:numId="9">
    <w:abstractNumId w:val="18"/>
    <w:lvlOverride w:ilvl="0">
      <w:startOverride w:val="1"/>
    </w:lvlOverride>
  </w:num>
  <w:num w:numId="10">
    <w:abstractNumId w:val="18"/>
    <w:lvlOverride w:ilvl="0">
      <w:startOverride w:val="1"/>
    </w:lvlOverride>
  </w:num>
  <w:num w:numId="11">
    <w:abstractNumId w:val="19"/>
  </w:num>
  <w:num w:numId="12">
    <w:abstractNumId w:val="20"/>
    <w:lvlOverride w:ilvl="0">
      <w:startOverride w:val="1"/>
    </w:lvlOverride>
  </w:num>
  <w:num w:numId="13">
    <w:abstractNumId w:val="2"/>
  </w:num>
  <w:num w:numId="14">
    <w:abstractNumId w:val="10"/>
  </w:num>
  <w:num w:numId="15">
    <w:abstractNumId w:val="30"/>
  </w:num>
  <w:num w:numId="16">
    <w:abstractNumId w:val="20"/>
    <w:lvlOverride w:ilvl="0">
      <w:startOverride w:val="1"/>
    </w:lvlOverride>
  </w:num>
  <w:num w:numId="17">
    <w:abstractNumId w:val="10"/>
    <w:lvlOverride w:ilvl="0">
      <w:startOverride w:val="1"/>
    </w:lvlOverride>
  </w:num>
  <w:num w:numId="18">
    <w:abstractNumId w:val="11"/>
  </w:num>
  <w:num w:numId="19">
    <w:abstractNumId w:val="23"/>
  </w:num>
  <w:num w:numId="20">
    <w:abstractNumId w:val="23"/>
    <w:lvlOverride w:ilvl="0">
      <w:startOverride w:val="1"/>
    </w:lvlOverride>
  </w:num>
  <w:num w:numId="21">
    <w:abstractNumId w:val="23"/>
    <w:lvlOverride w:ilvl="0">
      <w:startOverride w:val="1"/>
    </w:lvlOverride>
  </w:num>
  <w:num w:numId="22">
    <w:abstractNumId w:val="20"/>
    <w:lvlOverride w:ilvl="0">
      <w:startOverride w:val="2"/>
    </w:lvlOverride>
  </w:num>
  <w:num w:numId="23">
    <w:abstractNumId w:val="31"/>
  </w:num>
  <w:num w:numId="24">
    <w:abstractNumId w:val="8"/>
  </w:num>
  <w:num w:numId="25">
    <w:abstractNumId w:val="9"/>
  </w:num>
  <w:num w:numId="26">
    <w:abstractNumId w:val="24"/>
  </w:num>
  <w:num w:numId="27">
    <w:abstractNumId w:val="5"/>
  </w:num>
  <w:num w:numId="28">
    <w:abstractNumId w:val="15"/>
  </w:num>
  <w:num w:numId="29">
    <w:abstractNumId w:val="22"/>
  </w:num>
  <w:num w:numId="30">
    <w:abstractNumId w:val="3"/>
  </w:num>
  <w:num w:numId="31">
    <w:abstractNumId w:val="28"/>
  </w:num>
  <w:num w:numId="32">
    <w:abstractNumId w:val="29"/>
  </w:num>
  <w:num w:numId="33">
    <w:abstractNumId w:val="0"/>
  </w:num>
  <w:num w:numId="34">
    <w:abstractNumId w:val="32"/>
  </w:num>
  <w:num w:numId="35">
    <w:abstractNumId w:val="32"/>
    <w:lvlOverride w:ilvl="0">
      <w:startOverride w:val="3"/>
    </w:lvlOverride>
  </w:num>
  <w:num w:numId="36">
    <w:abstractNumId w:val="6"/>
  </w:num>
  <w:num w:numId="37">
    <w:abstractNumId w:val="13"/>
  </w:num>
  <w:num w:numId="38">
    <w:abstractNumId w:val="4"/>
  </w:num>
  <w:num w:numId="39">
    <w:abstractNumId w:val="27"/>
  </w:num>
  <w:num w:numId="40">
    <w:abstractNumId w:val="25"/>
  </w:num>
  <w:num w:numId="41">
    <w:abstractNumId w:val="12"/>
  </w:num>
  <w:num w:numId="42">
    <w:abstractNumId w:val="1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5715B3"/>
    <w:pPr>
      <w:keepNext/>
      <w:keepLines/>
      <w:spacing w:after="240" w:line="240" w:lineRule="auto"/>
      <w:ind w:left="720" w:hanging="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225B94"/>
    <w:pPr>
      <w:keepNext/>
      <w:keepLines/>
      <w:numPr>
        <w:numId w:val="43"/>
      </w:numPr>
      <w:tabs>
        <w:tab w:val="left" w:pos="1440"/>
      </w:tabs>
      <w:spacing w:after="240" w:line="240" w:lineRule="auto"/>
      <w:ind w:left="1440" w:righ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225B94"/>
    <w:pPr>
      <w:keepNext/>
      <w:keepLines/>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D62829"/>
    <w:pPr>
      <w:spacing w:after="0" w:line="240" w:lineRule="auto"/>
    </w:pPr>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D62829"/>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225B94"/>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iPriority w:val="99"/>
    <w:semiHidden/>
    <w:unhideWhenUsed/>
    <w:rsid w:val="00775C0C"/>
    <w:pPr>
      <w:spacing w:line="240" w:lineRule="auto"/>
    </w:pPr>
    <w:rPr>
      <w:sz w:val="20"/>
      <w:szCs w:val="20"/>
    </w:rPr>
  </w:style>
  <w:style w:type="character" w:customStyle="1" w:styleId="CommentTextChar">
    <w:name w:val="Comment Text Char"/>
    <w:basedOn w:val="DefaultParagraphFont"/>
    <w:link w:val="CommentText"/>
    <w:uiPriority w:val="99"/>
    <w:semiHidden/>
    <w:rsid w:val="00775C0C"/>
    <w:rPr>
      <w:sz w:val="20"/>
      <w:szCs w:val="20"/>
    </w:rPr>
  </w:style>
  <w:style w:type="paragraph" w:styleId="CommentSubject">
    <w:name w:val="annotation subject"/>
    <w:basedOn w:val="CommentText"/>
    <w:next w:val="CommentText"/>
    <w:link w:val="CommentSubjectChar"/>
    <w:uiPriority w:val="99"/>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15B3"/>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225B94"/>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4A25FC"/>
    <w:pPr>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4A25FC"/>
    <w:pPr>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CD34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16055</Words>
  <Characters>91514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16-395-EL-SSO Initial Brief.DOCX</vt:lpstr>
    </vt:vector>
  </TitlesOfParts>
  <Company/>
  <LinksUpToDate>false</LinksUpToDate>
  <CharactersWithSpaces>107355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2017-05-05T20:31:44Z</dcterms:created>
  <dcterms:modified xsi:type="dcterms:W3CDTF">2017-05-05T20:31:44Z</dcterms:modified>
</cp:coreProperties>
</file>