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2CA" w:rsidRPr="00C446A1" w:rsidRDefault="007602CA" w:rsidP="007602CA">
      <w:pPr>
        <w:ind w:right="-36"/>
        <w:jc w:val="center"/>
        <w:rPr>
          <w:rFonts w:ascii="Times New Roman" w:hAnsi="Times New Roman"/>
          <w:b/>
          <w:bCs/>
          <w:sz w:val="24"/>
          <w:szCs w:val="24"/>
        </w:rPr>
      </w:pPr>
      <w:r w:rsidRPr="00C446A1">
        <w:rPr>
          <w:rFonts w:ascii="Times New Roman" w:hAnsi="Times New Roman"/>
          <w:b/>
          <w:bCs/>
          <w:sz w:val="24"/>
          <w:szCs w:val="24"/>
        </w:rPr>
        <w:t>BEFORE</w:t>
      </w:r>
    </w:p>
    <w:p w:rsidR="007602CA" w:rsidRPr="00C446A1" w:rsidRDefault="007602CA" w:rsidP="007602CA">
      <w:pPr>
        <w:ind w:right="-36"/>
        <w:jc w:val="center"/>
        <w:rPr>
          <w:rFonts w:ascii="Times New Roman" w:hAnsi="Times New Roman"/>
          <w:b/>
          <w:bCs/>
          <w:sz w:val="24"/>
          <w:szCs w:val="24"/>
        </w:rPr>
      </w:pPr>
      <w:r w:rsidRPr="00C446A1">
        <w:rPr>
          <w:rFonts w:ascii="Times New Roman" w:hAnsi="Times New Roman"/>
          <w:b/>
          <w:bCs/>
          <w:sz w:val="24"/>
          <w:szCs w:val="24"/>
        </w:rPr>
        <w:t>THE PUBLIC UTILITIES COMMISSION OF OHIO</w:t>
      </w:r>
    </w:p>
    <w:tbl>
      <w:tblPr>
        <w:tblW w:w="0" w:type="auto"/>
        <w:tblCellMar>
          <w:left w:w="0" w:type="dxa"/>
          <w:right w:w="0" w:type="dxa"/>
        </w:tblCellMar>
        <w:tblLook w:val="0000" w:firstRow="0" w:lastRow="0" w:firstColumn="0" w:lastColumn="0" w:noHBand="0" w:noVBand="0"/>
      </w:tblPr>
      <w:tblGrid>
        <w:gridCol w:w="4518"/>
        <w:gridCol w:w="540"/>
        <w:gridCol w:w="4230"/>
      </w:tblGrid>
      <w:tr w:rsidR="007602CA" w:rsidRPr="00C446A1" w:rsidTr="00FB71DB">
        <w:tc>
          <w:tcPr>
            <w:tcW w:w="4518" w:type="dxa"/>
            <w:tcMar>
              <w:top w:w="0" w:type="dxa"/>
              <w:left w:w="108" w:type="dxa"/>
              <w:bottom w:w="0" w:type="dxa"/>
              <w:right w:w="108" w:type="dxa"/>
            </w:tcMar>
          </w:tcPr>
          <w:p w:rsidR="007602CA" w:rsidRPr="00C446A1" w:rsidRDefault="007602CA" w:rsidP="00FB71DB">
            <w:pPr>
              <w:autoSpaceDE w:val="0"/>
              <w:autoSpaceDN w:val="0"/>
              <w:adjustRightInd w:val="0"/>
              <w:rPr>
                <w:rFonts w:ascii="Times New Roman" w:hAnsi="Times New Roman"/>
                <w:sz w:val="24"/>
                <w:szCs w:val="24"/>
              </w:rPr>
            </w:pPr>
          </w:p>
          <w:p w:rsidR="007602CA" w:rsidRPr="00C446A1" w:rsidRDefault="007602CA" w:rsidP="00FB71DB">
            <w:pPr>
              <w:autoSpaceDE w:val="0"/>
              <w:autoSpaceDN w:val="0"/>
              <w:adjustRightInd w:val="0"/>
              <w:rPr>
                <w:rFonts w:ascii="Times New Roman" w:hAnsi="Times New Roman"/>
                <w:sz w:val="24"/>
                <w:szCs w:val="24"/>
              </w:rPr>
            </w:pPr>
            <w:r w:rsidRPr="00C446A1">
              <w:rPr>
                <w:rFonts w:ascii="Times New Roman" w:hAnsi="Times New Roman"/>
                <w:sz w:val="24"/>
                <w:szCs w:val="24"/>
              </w:rPr>
              <w:t>In the Matter of the Commission’s</w:t>
            </w:r>
          </w:p>
          <w:p w:rsidR="007602CA" w:rsidRPr="00C446A1" w:rsidRDefault="007602CA" w:rsidP="00FB71DB">
            <w:pPr>
              <w:autoSpaceDE w:val="0"/>
              <w:autoSpaceDN w:val="0"/>
              <w:adjustRightInd w:val="0"/>
              <w:rPr>
                <w:rFonts w:ascii="Times New Roman" w:hAnsi="Times New Roman"/>
                <w:sz w:val="24"/>
                <w:szCs w:val="24"/>
              </w:rPr>
            </w:pPr>
            <w:r w:rsidRPr="00C446A1">
              <w:rPr>
                <w:rFonts w:ascii="Times New Roman" w:hAnsi="Times New Roman"/>
                <w:sz w:val="24"/>
                <w:szCs w:val="24"/>
              </w:rPr>
              <w:t>Review of Chapter 4901:1-10, Ohio</w:t>
            </w:r>
          </w:p>
          <w:p w:rsidR="007602CA" w:rsidRPr="00C446A1" w:rsidRDefault="007602CA" w:rsidP="00FB71DB">
            <w:pPr>
              <w:autoSpaceDE w:val="0"/>
              <w:autoSpaceDN w:val="0"/>
              <w:adjustRightInd w:val="0"/>
              <w:rPr>
                <w:rFonts w:ascii="Times New Roman" w:hAnsi="Times New Roman"/>
                <w:sz w:val="24"/>
                <w:szCs w:val="24"/>
              </w:rPr>
            </w:pPr>
            <w:r w:rsidRPr="00C446A1">
              <w:rPr>
                <w:rFonts w:ascii="Times New Roman" w:hAnsi="Times New Roman"/>
                <w:sz w:val="24"/>
                <w:szCs w:val="24"/>
              </w:rPr>
              <w:t>Administrative Code, Regarding</w:t>
            </w:r>
          </w:p>
          <w:p w:rsidR="007602CA" w:rsidRPr="00C446A1" w:rsidRDefault="007602CA" w:rsidP="00FB71DB">
            <w:pPr>
              <w:autoSpaceDE w:val="0"/>
              <w:autoSpaceDN w:val="0"/>
              <w:adjustRightInd w:val="0"/>
              <w:rPr>
                <w:rFonts w:ascii="Times New Roman" w:hAnsi="Times New Roman"/>
                <w:sz w:val="24"/>
                <w:szCs w:val="24"/>
              </w:rPr>
            </w:pPr>
            <w:r w:rsidRPr="00C446A1">
              <w:rPr>
                <w:rFonts w:ascii="Times New Roman" w:hAnsi="Times New Roman"/>
                <w:sz w:val="24"/>
                <w:szCs w:val="24"/>
              </w:rPr>
              <w:t>Electric Companies</w:t>
            </w:r>
          </w:p>
          <w:p w:rsidR="007602CA" w:rsidRPr="00C446A1" w:rsidRDefault="007602CA" w:rsidP="00FB71DB">
            <w:pPr>
              <w:autoSpaceDE w:val="0"/>
              <w:autoSpaceDN w:val="0"/>
              <w:adjustRightInd w:val="0"/>
              <w:rPr>
                <w:rFonts w:ascii="Times New Roman" w:hAnsi="Times New Roman"/>
                <w:sz w:val="24"/>
                <w:szCs w:val="24"/>
              </w:rPr>
            </w:pPr>
          </w:p>
        </w:tc>
        <w:tc>
          <w:tcPr>
            <w:tcW w:w="540" w:type="dxa"/>
            <w:tcMar>
              <w:top w:w="0" w:type="dxa"/>
              <w:left w:w="108" w:type="dxa"/>
              <w:bottom w:w="0" w:type="dxa"/>
              <w:right w:w="108" w:type="dxa"/>
            </w:tcMar>
          </w:tcPr>
          <w:p w:rsidR="007602CA" w:rsidRPr="00C446A1" w:rsidRDefault="007602CA" w:rsidP="00FB71DB">
            <w:pPr>
              <w:ind w:right="-36"/>
              <w:jc w:val="center"/>
              <w:rPr>
                <w:rFonts w:ascii="Times New Roman" w:hAnsi="Times New Roman"/>
                <w:sz w:val="24"/>
                <w:szCs w:val="24"/>
              </w:rPr>
            </w:pPr>
          </w:p>
          <w:p w:rsidR="007602CA" w:rsidRPr="00C446A1" w:rsidRDefault="007602CA" w:rsidP="00FB71DB">
            <w:pPr>
              <w:ind w:right="-36"/>
              <w:jc w:val="center"/>
              <w:rPr>
                <w:rFonts w:ascii="Times New Roman" w:hAnsi="Times New Roman"/>
                <w:sz w:val="24"/>
                <w:szCs w:val="24"/>
              </w:rPr>
            </w:pPr>
            <w:r w:rsidRPr="00C446A1">
              <w:rPr>
                <w:rFonts w:ascii="Times New Roman" w:hAnsi="Times New Roman"/>
                <w:sz w:val="24"/>
                <w:szCs w:val="24"/>
              </w:rPr>
              <w:t>)</w:t>
            </w:r>
          </w:p>
          <w:p w:rsidR="007602CA" w:rsidRPr="00C446A1" w:rsidRDefault="007602CA" w:rsidP="00FB71DB">
            <w:pPr>
              <w:ind w:right="-36"/>
              <w:jc w:val="center"/>
              <w:rPr>
                <w:rFonts w:ascii="Times New Roman" w:hAnsi="Times New Roman"/>
                <w:sz w:val="24"/>
                <w:szCs w:val="24"/>
              </w:rPr>
            </w:pPr>
            <w:r w:rsidRPr="00C446A1">
              <w:rPr>
                <w:rFonts w:ascii="Times New Roman" w:hAnsi="Times New Roman"/>
                <w:sz w:val="24"/>
                <w:szCs w:val="24"/>
              </w:rPr>
              <w:t>)</w:t>
            </w:r>
          </w:p>
          <w:p w:rsidR="007602CA" w:rsidRPr="00C446A1" w:rsidRDefault="007602CA" w:rsidP="00FB71DB">
            <w:pPr>
              <w:ind w:right="-36"/>
              <w:jc w:val="center"/>
              <w:rPr>
                <w:rFonts w:ascii="Times New Roman" w:hAnsi="Times New Roman"/>
                <w:sz w:val="24"/>
                <w:szCs w:val="24"/>
              </w:rPr>
            </w:pPr>
            <w:r w:rsidRPr="00C446A1">
              <w:rPr>
                <w:rFonts w:ascii="Times New Roman" w:hAnsi="Times New Roman"/>
                <w:sz w:val="24"/>
                <w:szCs w:val="24"/>
              </w:rPr>
              <w:t>)</w:t>
            </w:r>
          </w:p>
          <w:p w:rsidR="007602CA" w:rsidRPr="00C446A1" w:rsidRDefault="007602CA" w:rsidP="00FB71DB">
            <w:pPr>
              <w:ind w:right="-36"/>
              <w:jc w:val="center"/>
              <w:rPr>
                <w:rFonts w:ascii="Times New Roman" w:hAnsi="Times New Roman"/>
                <w:sz w:val="24"/>
                <w:szCs w:val="24"/>
              </w:rPr>
            </w:pPr>
          </w:p>
        </w:tc>
        <w:tc>
          <w:tcPr>
            <w:tcW w:w="4230" w:type="dxa"/>
            <w:tcMar>
              <w:top w:w="0" w:type="dxa"/>
              <w:left w:w="108" w:type="dxa"/>
              <w:bottom w:w="0" w:type="dxa"/>
              <w:right w:w="108" w:type="dxa"/>
            </w:tcMar>
          </w:tcPr>
          <w:p w:rsidR="007602CA" w:rsidRPr="00C446A1" w:rsidRDefault="007602CA" w:rsidP="00FB71DB">
            <w:pPr>
              <w:ind w:right="-36"/>
              <w:rPr>
                <w:rFonts w:ascii="Times New Roman" w:hAnsi="Times New Roman"/>
                <w:sz w:val="24"/>
                <w:szCs w:val="24"/>
              </w:rPr>
            </w:pPr>
          </w:p>
          <w:p w:rsidR="007602CA" w:rsidRPr="00C446A1" w:rsidRDefault="007602CA" w:rsidP="00FB71DB">
            <w:pPr>
              <w:tabs>
                <w:tab w:val="left" w:pos="432"/>
                <w:tab w:val="left" w:pos="1422"/>
              </w:tabs>
              <w:ind w:right="-36"/>
              <w:rPr>
                <w:rFonts w:ascii="Times New Roman" w:hAnsi="Times New Roman"/>
                <w:sz w:val="24"/>
                <w:szCs w:val="24"/>
              </w:rPr>
            </w:pPr>
          </w:p>
          <w:p w:rsidR="007602CA" w:rsidRPr="00C446A1" w:rsidRDefault="007602CA" w:rsidP="00FB71DB">
            <w:pPr>
              <w:tabs>
                <w:tab w:val="left" w:pos="1422"/>
              </w:tabs>
              <w:ind w:left="432" w:right="-36"/>
              <w:rPr>
                <w:rFonts w:ascii="Times New Roman" w:hAnsi="Times New Roman"/>
                <w:sz w:val="24"/>
                <w:szCs w:val="24"/>
              </w:rPr>
            </w:pPr>
            <w:r w:rsidRPr="00C446A1">
              <w:rPr>
                <w:rFonts w:ascii="Times New Roman" w:hAnsi="Times New Roman"/>
                <w:sz w:val="24"/>
                <w:szCs w:val="24"/>
              </w:rPr>
              <w:t>Case No. 12-2050-EL-ORD</w:t>
            </w:r>
          </w:p>
          <w:p w:rsidR="007602CA" w:rsidRPr="00C446A1" w:rsidRDefault="007602CA" w:rsidP="00FB71DB">
            <w:pPr>
              <w:tabs>
                <w:tab w:val="left" w:pos="1422"/>
              </w:tabs>
              <w:ind w:left="432" w:right="-36"/>
              <w:rPr>
                <w:rFonts w:ascii="Times New Roman" w:hAnsi="Times New Roman"/>
                <w:sz w:val="24"/>
                <w:szCs w:val="24"/>
              </w:rPr>
            </w:pPr>
          </w:p>
        </w:tc>
      </w:tr>
    </w:tbl>
    <w:p w:rsidR="007602CA" w:rsidRPr="00C446A1" w:rsidRDefault="007602CA" w:rsidP="007602CA">
      <w:pPr>
        <w:pBdr>
          <w:bottom w:val="single" w:sz="12" w:space="1" w:color="auto"/>
        </w:pBdr>
        <w:autoSpaceDE w:val="0"/>
        <w:autoSpaceDN w:val="0"/>
        <w:adjustRightInd w:val="0"/>
        <w:rPr>
          <w:rFonts w:ascii="Times New Roman" w:hAnsi="Times New Roman"/>
          <w:b/>
          <w:sz w:val="24"/>
          <w:szCs w:val="24"/>
        </w:rPr>
      </w:pPr>
    </w:p>
    <w:p w:rsidR="009A6330" w:rsidRPr="00C446A1" w:rsidRDefault="009A6330" w:rsidP="007602CA">
      <w:pPr>
        <w:pBdr>
          <w:bottom w:val="single" w:sz="12" w:space="1" w:color="auto"/>
        </w:pBdr>
        <w:autoSpaceDE w:val="0"/>
        <w:autoSpaceDN w:val="0"/>
        <w:adjustRightInd w:val="0"/>
        <w:rPr>
          <w:rFonts w:ascii="Times New Roman" w:hAnsi="Times New Roman"/>
          <w:b/>
          <w:sz w:val="24"/>
          <w:szCs w:val="24"/>
        </w:rPr>
      </w:pPr>
    </w:p>
    <w:p w:rsidR="009A6330" w:rsidRPr="00C446A1" w:rsidRDefault="009A6330" w:rsidP="007602CA">
      <w:pPr>
        <w:pBdr>
          <w:bottom w:val="single" w:sz="12" w:space="1" w:color="auto"/>
        </w:pBdr>
        <w:autoSpaceDE w:val="0"/>
        <w:autoSpaceDN w:val="0"/>
        <w:adjustRightInd w:val="0"/>
        <w:rPr>
          <w:rFonts w:ascii="Times New Roman" w:hAnsi="Times New Roman"/>
          <w:b/>
          <w:sz w:val="24"/>
          <w:szCs w:val="24"/>
        </w:rPr>
      </w:pPr>
    </w:p>
    <w:p w:rsidR="009A6330" w:rsidRPr="00C446A1" w:rsidRDefault="009A6330" w:rsidP="007602CA">
      <w:pPr>
        <w:pBdr>
          <w:bottom w:val="single" w:sz="12" w:space="1" w:color="auto"/>
        </w:pBdr>
        <w:autoSpaceDE w:val="0"/>
        <w:autoSpaceDN w:val="0"/>
        <w:adjustRightInd w:val="0"/>
        <w:rPr>
          <w:rFonts w:ascii="Times New Roman" w:hAnsi="Times New Roman"/>
          <w:b/>
          <w:sz w:val="24"/>
          <w:szCs w:val="24"/>
        </w:rPr>
      </w:pPr>
    </w:p>
    <w:p w:rsidR="009A6330" w:rsidRPr="00C446A1" w:rsidRDefault="009A6330" w:rsidP="007602CA">
      <w:pPr>
        <w:pBdr>
          <w:bottom w:val="single" w:sz="12" w:space="1" w:color="auto"/>
        </w:pBdr>
        <w:autoSpaceDE w:val="0"/>
        <w:autoSpaceDN w:val="0"/>
        <w:adjustRightInd w:val="0"/>
        <w:rPr>
          <w:rFonts w:ascii="Times New Roman" w:hAnsi="Times New Roman"/>
          <w:b/>
          <w:sz w:val="24"/>
          <w:szCs w:val="24"/>
        </w:rPr>
      </w:pPr>
    </w:p>
    <w:p w:rsidR="007602CA" w:rsidRPr="00C446A1" w:rsidRDefault="007602CA" w:rsidP="007602CA">
      <w:pPr>
        <w:autoSpaceDE w:val="0"/>
        <w:autoSpaceDN w:val="0"/>
        <w:adjustRightInd w:val="0"/>
        <w:rPr>
          <w:rFonts w:ascii="Times New Roman" w:hAnsi="Times New Roman"/>
          <w:b/>
          <w:sz w:val="24"/>
          <w:szCs w:val="24"/>
        </w:rPr>
      </w:pPr>
    </w:p>
    <w:p w:rsidR="007602CA" w:rsidRPr="00C446A1" w:rsidRDefault="007602CA" w:rsidP="007602CA">
      <w:pPr>
        <w:autoSpaceDE w:val="0"/>
        <w:autoSpaceDN w:val="0"/>
        <w:adjustRightInd w:val="0"/>
        <w:jc w:val="center"/>
        <w:rPr>
          <w:rFonts w:ascii="Times New Roman" w:hAnsi="Times New Roman"/>
          <w:b/>
          <w:sz w:val="24"/>
          <w:szCs w:val="24"/>
        </w:rPr>
      </w:pPr>
      <w:r w:rsidRPr="00C446A1">
        <w:rPr>
          <w:rFonts w:ascii="Times New Roman" w:hAnsi="Times New Roman"/>
          <w:b/>
          <w:sz w:val="24"/>
          <w:szCs w:val="24"/>
        </w:rPr>
        <w:t>INITIAL COMMENTS OF DIRECT ENERGY SERVICES, LLC</w:t>
      </w:r>
    </w:p>
    <w:p w:rsidR="007602CA" w:rsidRPr="00C446A1" w:rsidRDefault="007602CA" w:rsidP="007602CA">
      <w:pPr>
        <w:autoSpaceDE w:val="0"/>
        <w:autoSpaceDN w:val="0"/>
        <w:adjustRightInd w:val="0"/>
        <w:jc w:val="center"/>
        <w:rPr>
          <w:rFonts w:ascii="Times New Roman" w:hAnsi="Times New Roman"/>
          <w:b/>
          <w:sz w:val="24"/>
          <w:szCs w:val="24"/>
        </w:rPr>
      </w:pPr>
      <w:r w:rsidRPr="00C446A1">
        <w:rPr>
          <w:rFonts w:ascii="Times New Roman" w:hAnsi="Times New Roman"/>
          <w:b/>
          <w:sz w:val="24"/>
          <w:szCs w:val="24"/>
        </w:rPr>
        <w:t>AND DIRECT ENERGY BUSINESS, LLC</w:t>
      </w:r>
    </w:p>
    <w:p w:rsidR="007602CA" w:rsidRPr="00C446A1" w:rsidRDefault="007602CA" w:rsidP="007602CA">
      <w:pPr>
        <w:autoSpaceDE w:val="0"/>
        <w:autoSpaceDN w:val="0"/>
        <w:adjustRightInd w:val="0"/>
        <w:rPr>
          <w:rFonts w:ascii="Times New Roman" w:hAnsi="Times New Roman"/>
          <w:b/>
          <w:sz w:val="24"/>
          <w:szCs w:val="24"/>
        </w:rPr>
      </w:pPr>
      <w:r w:rsidRPr="00C446A1">
        <w:rPr>
          <w:rFonts w:ascii="Times New Roman" w:hAnsi="Times New Roman"/>
          <w:b/>
          <w:sz w:val="24"/>
          <w:szCs w:val="24"/>
        </w:rPr>
        <w:t>______________________________________________________________________________</w:t>
      </w:r>
    </w:p>
    <w:p w:rsidR="007602CA" w:rsidRPr="00C446A1" w:rsidRDefault="007602CA" w:rsidP="007602CA">
      <w:pPr>
        <w:ind w:right="-36"/>
        <w:jc w:val="center"/>
        <w:rPr>
          <w:rFonts w:ascii="Times New Roman" w:hAnsi="Times New Roman"/>
          <w:b/>
          <w:bCs/>
          <w:sz w:val="24"/>
          <w:szCs w:val="24"/>
        </w:rPr>
      </w:pPr>
    </w:p>
    <w:p w:rsidR="007602CA" w:rsidRPr="00C446A1" w:rsidRDefault="007602CA" w:rsidP="007602CA">
      <w:pPr>
        <w:ind w:right="-36"/>
        <w:jc w:val="center"/>
        <w:rPr>
          <w:rFonts w:ascii="Times New Roman" w:hAnsi="Times New Roman"/>
          <w:b/>
          <w:bCs/>
          <w:sz w:val="24"/>
          <w:szCs w:val="24"/>
        </w:rPr>
      </w:pPr>
    </w:p>
    <w:p w:rsidR="007602CA" w:rsidRPr="00C446A1" w:rsidRDefault="007602CA" w:rsidP="007602CA">
      <w:pPr>
        <w:ind w:right="-36"/>
        <w:jc w:val="center"/>
        <w:rPr>
          <w:rFonts w:ascii="Times New Roman" w:hAnsi="Times New Roman"/>
          <w:b/>
          <w:bCs/>
          <w:sz w:val="24"/>
          <w:szCs w:val="24"/>
        </w:rPr>
      </w:pPr>
    </w:p>
    <w:p w:rsidR="007602CA" w:rsidRPr="00C446A1" w:rsidRDefault="007602CA" w:rsidP="007602CA">
      <w:pPr>
        <w:ind w:right="-36"/>
        <w:jc w:val="center"/>
        <w:rPr>
          <w:rFonts w:ascii="Times New Roman" w:hAnsi="Times New Roman"/>
          <w:b/>
          <w:bCs/>
          <w:sz w:val="24"/>
          <w:szCs w:val="24"/>
        </w:rPr>
      </w:pPr>
    </w:p>
    <w:p w:rsidR="007602CA" w:rsidRPr="00C446A1" w:rsidRDefault="007602CA" w:rsidP="007602CA">
      <w:pPr>
        <w:ind w:right="-36"/>
        <w:jc w:val="center"/>
        <w:rPr>
          <w:rFonts w:ascii="Times New Roman" w:hAnsi="Times New Roman"/>
          <w:b/>
          <w:bCs/>
          <w:sz w:val="24"/>
          <w:szCs w:val="24"/>
        </w:rPr>
      </w:pPr>
    </w:p>
    <w:p w:rsidR="007602CA" w:rsidRPr="00C446A1" w:rsidRDefault="007602CA" w:rsidP="007602CA">
      <w:pPr>
        <w:ind w:right="-36"/>
        <w:jc w:val="center"/>
        <w:rPr>
          <w:rFonts w:ascii="Times New Roman" w:hAnsi="Times New Roman"/>
          <w:b/>
          <w:bCs/>
          <w:sz w:val="24"/>
          <w:szCs w:val="24"/>
        </w:rPr>
      </w:pPr>
    </w:p>
    <w:p w:rsidR="007602CA" w:rsidRPr="00C446A1" w:rsidRDefault="007602CA" w:rsidP="007602CA">
      <w:pPr>
        <w:ind w:right="-36"/>
        <w:jc w:val="center"/>
        <w:rPr>
          <w:rFonts w:ascii="Times New Roman" w:hAnsi="Times New Roman"/>
          <w:b/>
          <w:bCs/>
          <w:sz w:val="24"/>
          <w:szCs w:val="24"/>
        </w:rPr>
      </w:pPr>
    </w:p>
    <w:p w:rsidR="007602CA" w:rsidRPr="00C446A1" w:rsidRDefault="007602CA" w:rsidP="007602CA">
      <w:pPr>
        <w:ind w:right="-36"/>
        <w:jc w:val="center"/>
        <w:rPr>
          <w:rFonts w:ascii="Times New Roman" w:hAnsi="Times New Roman"/>
          <w:b/>
          <w:bCs/>
          <w:sz w:val="24"/>
          <w:szCs w:val="24"/>
        </w:rPr>
      </w:pPr>
    </w:p>
    <w:p w:rsidR="007602CA" w:rsidRPr="00C446A1" w:rsidRDefault="007602CA" w:rsidP="007602CA">
      <w:pPr>
        <w:ind w:right="-36"/>
        <w:jc w:val="center"/>
        <w:rPr>
          <w:rFonts w:ascii="Times New Roman" w:hAnsi="Times New Roman"/>
          <w:b/>
          <w:bCs/>
          <w:sz w:val="24"/>
          <w:szCs w:val="24"/>
        </w:rPr>
      </w:pPr>
    </w:p>
    <w:p w:rsidR="007602CA" w:rsidRPr="00C446A1" w:rsidRDefault="007602CA" w:rsidP="007602CA">
      <w:pPr>
        <w:ind w:right="-36"/>
        <w:jc w:val="center"/>
        <w:rPr>
          <w:rFonts w:ascii="Times New Roman" w:hAnsi="Times New Roman"/>
          <w:b/>
          <w:bCs/>
          <w:sz w:val="24"/>
          <w:szCs w:val="24"/>
        </w:rPr>
      </w:pPr>
    </w:p>
    <w:p w:rsidR="007602CA" w:rsidRPr="00C446A1" w:rsidRDefault="007602CA" w:rsidP="007602CA">
      <w:pPr>
        <w:ind w:right="-36"/>
        <w:jc w:val="center"/>
        <w:rPr>
          <w:rFonts w:ascii="Times New Roman" w:hAnsi="Times New Roman"/>
          <w:b/>
          <w:bCs/>
          <w:sz w:val="24"/>
          <w:szCs w:val="24"/>
        </w:rPr>
      </w:pPr>
    </w:p>
    <w:p w:rsidR="009A6330" w:rsidRPr="00C446A1" w:rsidRDefault="009A6330" w:rsidP="007602CA">
      <w:pPr>
        <w:ind w:right="-36"/>
        <w:jc w:val="center"/>
        <w:rPr>
          <w:rFonts w:ascii="Times New Roman" w:hAnsi="Times New Roman"/>
          <w:b/>
          <w:bCs/>
          <w:sz w:val="24"/>
          <w:szCs w:val="24"/>
        </w:rPr>
      </w:pPr>
    </w:p>
    <w:p w:rsidR="009A6330" w:rsidRPr="00C446A1" w:rsidRDefault="009A6330" w:rsidP="007602CA">
      <w:pPr>
        <w:ind w:right="-36"/>
        <w:jc w:val="center"/>
        <w:rPr>
          <w:rFonts w:ascii="Times New Roman" w:hAnsi="Times New Roman"/>
          <w:b/>
          <w:bCs/>
          <w:sz w:val="24"/>
          <w:szCs w:val="24"/>
        </w:rPr>
      </w:pPr>
    </w:p>
    <w:p w:rsidR="007602CA" w:rsidRPr="00C446A1" w:rsidRDefault="007602CA" w:rsidP="007602CA">
      <w:pPr>
        <w:ind w:right="-36"/>
        <w:jc w:val="center"/>
        <w:rPr>
          <w:rFonts w:ascii="Times New Roman" w:hAnsi="Times New Roman"/>
          <w:b/>
          <w:bCs/>
          <w:sz w:val="24"/>
          <w:szCs w:val="24"/>
        </w:rPr>
      </w:pPr>
    </w:p>
    <w:p w:rsidR="007602CA" w:rsidRPr="00C446A1" w:rsidRDefault="007602CA" w:rsidP="007602CA">
      <w:pPr>
        <w:ind w:right="-36"/>
        <w:jc w:val="center"/>
        <w:rPr>
          <w:rFonts w:ascii="Times New Roman" w:hAnsi="Times New Roman"/>
          <w:b/>
          <w:bCs/>
          <w:sz w:val="24"/>
          <w:szCs w:val="24"/>
        </w:rPr>
      </w:pPr>
    </w:p>
    <w:p w:rsidR="007602CA" w:rsidRPr="00C446A1" w:rsidRDefault="007602CA" w:rsidP="007602CA">
      <w:pPr>
        <w:ind w:right="-36"/>
        <w:jc w:val="center"/>
        <w:rPr>
          <w:rFonts w:ascii="Times New Roman" w:hAnsi="Times New Roman"/>
          <w:b/>
          <w:bCs/>
          <w:sz w:val="24"/>
          <w:szCs w:val="24"/>
        </w:rPr>
      </w:pPr>
    </w:p>
    <w:p w:rsidR="009A6330" w:rsidRPr="00C446A1" w:rsidRDefault="009A6330" w:rsidP="007602CA">
      <w:pPr>
        <w:ind w:right="-36"/>
        <w:jc w:val="center"/>
        <w:rPr>
          <w:rFonts w:ascii="Times New Roman" w:hAnsi="Times New Roman"/>
          <w:b/>
          <w:bCs/>
          <w:sz w:val="24"/>
          <w:szCs w:val="24"/>
        </w:rPr>
      </w:pPr>
      <w:r w:rsidRPr="00C446A1">
        <w:rPr>
          <w:rFonts w:ascii="Times New Roman" w:hAnsi="Times New Roman"/>
          <w:b/>
          <w:bCs/>
          <w:sz w:val="24"/>
          <w:szCs w:val="24"/>
        </w:rPr>
        <w:tab/>
      </w:r>
      <w:r w:rsidRPr="00C446A1">
        <w:rPr>
          <w:rFonts w:ascii="Times New Roman" w:hAnsi="Times New Roman"/>
          <w:b/>
          <w:bCs/>
          <w:sz w:val="24"/>
          <w:szCs w:val="24"/>
        </w:rPr>
        <w:tab/>
      </w:r>
      <w:r w:rsidRPr="00C446A1">
        <w:rPr>
          <w:rFonts w:ascii="Times New Roman" w:hAnsi="Times New Roman"/>
          <w:b/>
          <w:bCs/>
          <w:sz w:val="24"/>
          <w:szCs w:val="24"/>
        </w:rPr>
        <w:tab/>
        <w:t xml:space="preserve">  Joseph M. Clark</w:t>
      </w:r>
    </w:p>
    <w:p w:rsidR="007602CA" w:rsidRPr="00C446A1" w:rsidRDefault="007602CA" w:rsidP="007602CA">
      <w:pPr>
        <w:ind w:right="-36"/>
        <w:jc w:val="center"/>
        <w:rPr>
          <w:rFonts w:ascii="Times New Roman" w:hAnsi="Times New Roman"/>
          <w:b/>
          <w:bCs/>
          <w:sz w:val="24"/>
          <w:szCs w:val="24"/>
        </w:rPr>
      </w:pPr>
      <w:r w:rsidRPr="00C446A1">
        <w:rPr>
          <w:rFonts w:ascii="Times New Roman" w:hAnsi="Times New Roman"/>
          <w:b/>
          <w:bCs/>
          <w:sz w:val="24"/>
          <w:szCs w:val="24"/>
        </w:rPr>
        <w:tab/>
      </w:r>
      <w:r w:rsidRPr="00C446A1">
        <w:rPr>
          <w:rFonts w:ascii="Times New Roman" w:hAnsi="Times New Roman"/>
          <w:b/>
          <w:bCs/>
          <w:sz w:val="24"/>
          <w:szCs w:val="24"/>
        </w:rPr>
        <w:tab/>
      </w:r>
      <w:r w:rsidRPr="00C446A1">
        <w:rPr>
          <w:rFonts w:ascii="Times New Roman" w:hAnsi="Times New Roman"/>
          <w:b/>
          <w:bCs/>
          <w:sz w:val="24"/>
          <w:szCs w:val="24"/>
        </w:rPr>
        <w:tab/>
        <w:t xml:space="preserve">  </w:t>
      </w:r>
      <w:r w:rsidR="009A6330" w:rsidRPr="00C446A1">
        <w:rPr>
          <w:rFonts w:ascii="Times New Roman" w:hAnsi="Times New Roman"/>
          <w:b/>
          <w:bCs/>
          <w:sz w:val="24"/>
          <w:szCs w:val="24"/>
        </w:rPr>
        <w:t xml:space="preserve">  </w:t>
      </w:r>
      <w:r w:rsidRPr="00C446A1">
        <w:rPr>
          <w:rFonts w:ascii="Times New Roman" w:hAnsi="Times New Roman"/>
          <w:b/>
          <w:bCs/>
          <w:sz w:val="24"/>
          <w:szCs w:val="24"/>
        </w:rPr>
        <w:t>Jennifer L. Lause</w:t>
      </w:r>
    </w:p>
    <w:p w:rsidR="007602CA" w:rsidRPr="00C446A1" w:rsidRDefault="007602CA" w:rsidP="007602CA">
      <w:pPr>
        <w:ind w:left="4320" w:firstLine="720"/>
        <w:rPr>
          <w:rFonts w:ascii="Times New Roman" w:hAnsi="Times New Roman"/>
          <w:sz w:val="24"/>
          <w:szCs w:val="24"/>
        </w:rPr>
      </w:pPr>
      <w:r w:rsidRPr="00C446A1">
        <w:rPr>
          <w:rFonts w:ascii="Times New Roman" w:hAnsi="Times New Roman"/>
          <w:sz w:val="24"/>
          <w:szCs w:val="24"/>
        </w:rPr>
        <w:t>Direct Energy</w:t>
      </w:r>
    </w:p>
    <w:p w:rsidR="007602CA" w:rsidRPr="00C446A1" w:rsidRDefault="007602CA" w:rsidP="007602CA">
      <w:pPr>
        <w:ind w:left="4320" w:firstLine="720"/>
        <w:rPr>
          <w:rFonts w:ascii="Times New Roman" w:hAnsi="Times New Roman"/>
          <w:sz w:val="24"/>
          <w:szCs w:val="24"/>
        </w:rPr>
      </w:pPr>
      <w:r w:rsidRPr="00C446A1">
        <w:rPr>
          <w:rFonts w:ascii="Times New Roman" w:hAnsi="Times New Roman"/>
          <w:sz w:val="24"/>
          <w:szCs w:val="24"/>
        </w:rPr>
        <w:t>Fifth Third Building</w:t>
      </w:r>
    </w:p>
    <w:p w:rsidR="007602CA" w:rsidRPr="00C446A1" w:rsidRDefault="007602CA" w:rsidP="007602CA">
      <w:pPr>
        <w:ind w:left="4320" w:firstLine="720"/>
        <w:rPr>
          <w:rFonts w:ascii="Times New Roman" w:hAnsi="Times New Roman"/>
          <w:sz w:val="24"/>
          <w:szCs w:val="24"/>
        </w:rPr>
      </w:pPr>
      <w:r w:rsidRPr="00C446A1">
        <w:rPr>
          <w:rFonts w:ascii="Times New Roman" w:hAnsi="Times New Roman"/>
          <w:sz w:val="24"/>
          <w:szCs w:val="24"/>
        </w:rPr>
        <w:t>21 E</w:t>
      </w:r>
      <w:r w:rsidR="00072B6F">
        <w:rPr>
          <w:rFonts w:ascii="Times New Roman" w:hAnsi="Times New Roman"/>
          <w:sz w:val="24"/>
          <w:szCs w:val="24"/>
        </w:rPr>
        <w:t>ast</w:t>
      </w:r>
      <w:r w:rsidRPr="00C446A1">
        <w:rPr>
          <w:rFonts w:ascii="Times New Roman" w:hAnsi="Times New Roman"/>
          <w:sz w:val="24"/>
          <w:szCs w:val="24"/>
        </w:rPr>
        <w:t xml:space="preserve"> State Street</w:t>
      </w:r>
      <w:r w:rsidR="00FD177B">
        <w:rPr>
          <w:rFonts w:ascii="Times New Roman" w:hAnsi="Times New Roman"/>
          <w:sz w:val="24"/>
          <w:szCs w:val="24"/>
        </w:rPr>
        <w:t>, 19</w:t>
      </w:r>
      <w:r w:rsidR="00FD177B" w:rsidRPr="00FD177B">
        <w:rPr>
          <w:rFonts w:ascii="Times New Roman" w:hAnsi="Times New Roman"/>
          <w:sz w:val="24"/>
          <w:szCs w:val="24"/>
          <w:vertAlign w:val="superscript"/>
        </w:rPr>
        <w:t>th</w:t>
      </w:r>
      <w:r w:rsidR="00FD177B">
        <w:rPr>
          <w:rFonts w:ascii="Times New Roman" w:hAnsi="Times New Roman"/>
          <w:sz w:val="24"/>
          <w:szCs w:val="24"/>
        </w:rPr>
        <w:t xml:space="preserve"> Floor</w:t>
      </w:r>
    </w:p>
    <w:p w:rsidR="007602CA" w:rsidRPr="00C446A1" w:rsidRDefault="007602CA" w:rsidP="007602CA">
      <w:pPr>
        <w:ind w:left="4320" w:firstLine="720"/>
        <w:rPr>
          <w:rFonts w:ascii="Times New Roman" w:hAnsi="Times New Roman"/>
          <w:sz w:val="24"/>
          <w:szCs w:val="24"/>
        </w:rPr>
      </w:pPr>
      <w:r w:rsidRPr="00C446A1">
        <w:rPr>
          <w:rFonts w:ascii="Times New Roman" w:hAnsi="Times New Roman"/>
          <w:sz w:val="24"/>
          <w:szCs w:val="24"/>
        </w:rPr>
        <w:t>Columbus, OH 43215</w:t>
      </w:r>
    </w:p>
    <w:p w:rsidR="009A6330" w:rsidRPr="00C446A1" w:rsidRDefault="004D0B0C" w:rsidP="007602CA">
      <w:pPr>
        <w:ind w:left="4320" w:firstLine="720"/>
        <w:rPr>
          <w:rFonts w:ascii="Times New Roman" w:hAnsi="Times New Roman"/>
          <w:sz w:val="24"/>
          <w:szCs w:val="24"/>
        </w:rPr>
      </w:pPr>
      <w:hyperlink r:id="rId9" w:history="1">
        <w:r w:rsidR="009A6330" w:rsidRPr="00C446A1">
          <w:rPr>
            <w:rStyle w:val="Hyperlink"/>
            <w:rFonts w:ascii="Times New Roman" w:hAnsi="Times New Roman"/>
            <w:sz w:val="24"/>
            <w:szCs w:val="24"/>
          </w:rPr>
          <w:t>joseph.clark@directenergy.com</w:t>
        </w:r>
      </w:hyperlink>
      <w:r w:rsidR="009A6330" w:rsidRPr="00C446A1">
        <w:rPr>
          <w:rFonts w:ascii="Times New Roman" w:hAnsi="Times New Roman"/>
          <w:sz w:val="24"/>
          <w:szCs w:val="24"/>
        </w:rPr>
        <w:t xml:space="preserve"> </w:t>
      </w:r>
    </w:p>
    <w:p w:rsidR="007602CA" w:rsidRPr="00C446A1" w:rsidRDefault="004D0B0C" w:rsidP="007602CA">
      <w:pPr>
        <w:ind w:left="4320" w:right="-36" w:firstLine="720"/>
        <w:rPr>
          <w:rFonts w:ascii="Times New Roman" w:hAnsi="Times New Roman"/>
          <w:bCs/>
          <w:sz w:val="24"/>
          <w:szCs w:val="24"/>
        </w:rPr>
      </w:pPr>
      <w:hyperlink r:id="rId10" w:history="1">
        <w:r w:rsidR="00FD177B" w:rsidRPr="00714395">
          <w:rPr>
            <w:rStyle w:val="Hyperlink"/>
            <w:rFonts w:ascii="Times New Roman" w:hAnsi="Times New Roman"/>
            <w:bCs/>
            <w:sz w:val="24"/>
            <w:szCs w:val="24"/>
          </w:rPr>
          <w:t>jennifer.lause@directenergy.com</w:t>
        </w:r>
      </w:hyperlink>
    </w:p>
    <w:p w:rsidR="007602CA" w:rsidRPr="00C446A1" w:rsidRDefault="007602CA" w:rsidP="007602CA">
      <w:pPr>
        <w:ind w:left="4320" w:right="-36" w:firstLine="720"/>
        <w:rPr>
          <w:rFonts w:ascii="Times New Roman" w:hAnsi="Times New Roman"/>
          <w:bCs/>
          <w:sz w:val="24"/>
          <w:szCs w:val="24"/>
        </w:rPr>
      </w:pPr>
    </w:p>
    <w:p w:rsidR="007602CA" w:rsidRPr="00C446A1" w:rsidRDefault="009A6330" w:rsidP="007602CA">
      <w:pPr>
        <w:ind w:right="-36"/>
        <w:rPr>
          <w:rFonts w:ascii="Times New Roman" w:hAnsi="Times New Roman"/>
          <w:bCs/>
          <w:sz w:val="24"/>
          <w:szCs w:val="24"/>
        </w:rPr>
      </w:pPr>
      <w:r w:rsidRPr="00C446A1">
        <w:rPr>
          <w:rFonts w:ascii="Times New Roman" w:hAnsi="Times New Roman"/>
          <w:bCs/>
          <w:sz w:val="24"/>
          <w:szCs w:val="24"/>
        </w:rPr>
        <w:t>January 7, 2013</w:t>
      </w:r>
      <w:r w:rsidR="007602CA" w:rsidRPr="00C446A1">
        <w:rPr>
          <w:rFonts w:ascii="Times New Roman" w:hAnsi="Times New Roman"/>
          <w:bCs/>
          <w:sz w:val="24"/>
          <w:szCs w:val="24"/>
        </w:rPr>
        <w:tab/>
      </w:r>
      <w:r w:rsidR="007602CA" w:rsidRPr="00C446A1">
        <w:rPr>
          <w:rFonts w:ascii="Times New Roman" w:hAnsi="Times New Roman"/>
          <w:bCs/>
          <w:sz w:val="24"/>
          <w:szCs w:val="24"/>
        </w:rPr>
        <w:tab/>
      </w:r>
      <w:r w:rsidR="007602CA" w:rsidRPr="00C446A1">
        <w:rPr>
          <w:rFonts w:ascii="Times New Roman" w:hAnsi="Times New Roman"/>
          <w:bCs/>
          <w:sz w:val="24"/>
          <w:szCs w:val="24"/>
        </w:rPr>
        <w:tab/>
      </w:r>
      <w:r w:rsidR="007602CA" w:rsidRPr="00C446A1">
        <w:rPr>
          <w:rFonts w:ascii="Times New Roman" w:hAnsi="Times New Roman"/>
          <w:bCs/>
          <w:sz w:val="24"/>
          <w:szCs w:val="24"/>
        </w:rPr>
        <w:tab/>
      </w:r>
      <w:r w:rsidR="007602CA" w:rsidRPr="00C446A1">
        <w:rPr>
          <w:rFonts w:ascii="Times New Roman" w:hAnsi="Times New Roman"/>
          <w:bCs/>
          <w:sz w:val="24"/>
          <w:szCs w:val="24"/>
        </w:rPr>
        <w:tab/>
        <w:t>Attorney</w:t>
      </w:r>
      <w:r w:rsidRPr="00C446A1">
        <w:rPr>
          <w:rFonts w:ascii="Times New Roman" w:hAnsi="Times New Roman"/>
          <w:bCs/>
          <w:sz w:val="24"/>
          <w:szCs w:val="24"/>
        </w:rPr>
        <w:t>s</w:t>
      </w:r>
      <w:r w:rsidR="007602CA" w:rsidRPr="00C446A1">
        <w:rPr>
          <w:rFonts w:ascii="Times New Roman" w:hAnsi="Times New Roman"/>
          <w:bCs/>
          <w:sz w:val="24"/>
          <w:szCs w:val="24"/>
        </w:rPr>
        <w:t xml:space="preserve"> for Direct Energy Services, LLC</w:t>
      </w:r>
    </w:p>
    <w:p w:rsidR="007602CA" w:rsidRPr="00C446A1" w:rsidRDefault="007602CA" w:rsidP="007602CA">
      <w:pPr>
        <w:ind w:right="-36"/>
        <w:rPr>
          <w:rFonts w:ascii="Times New Roman" w:hAnsi="Times New Roman"/>
          <w:bCs/>
          <w:sz w:val="24"/>
          <w:szCs w:val="24"/>
        </w:rPr>
      </w:pPr>
      <w:r w:rsidRPr="00C446A1">
        <w:rPr>
          <w:rFonts w:ascii="Times New Roman" w:hAnsi="Times New Roman"/>
          <w:bCs/>
          <w:sz w:val="24"/>
          <w:szCs w:val="24"/>
        </w:rPr>
        <w:tab/>
      </w:r>
      <w:r w:rsidRPr="00C446A1">
        <w:rPr>
          <w:rFonts w:ascii="Times New Roman" w:hAnsi="Times New Roman"/>
          <w:bCs/>
          <w:sz w:val="24"/>
          <w:szCs w:val="24"/>
        </w:rPr>
        <w:tab/>
      </w:r>
      <w:r w:rsidRPr="00C446A1">
        <w:rPr>
          <w:rFonts w:ascii="Times New Roman" w:hAnsi="Times New Roman"/>
          <w:bCs/>
          <w:sz w:val="24"/>
          <w:szCs w:val="24"/>
        </w:rPr>
        <w:tab/>
      </w:r>
      <w:r w:rsidRPr="00C446A1">
        <w:rPr>
          <w:rFonts w:ascii="Times New Roman" w:hAnsi="Times New Roman"/>
          <w:bCs/>
          <w:sz w:val="24"/>
          <w:szCs w:val="24"/>
        </w:rPr>
        <w:tab/>
      </w:r>
      <w:r w:rsidRPr="00C446A1">
        <w:rPr>
          <w:rFonts w:ascii="Times New Roman" w:hAnsi="Times New Roman"/>
          <w:bCs/>
          <w:sz w:val="24"/>
          <w:szCs w:val="24"/>
        </w:rPr>
        <w:tab/>
      </w:r>
      <w:r w:rsidRPr="00C446A1">
        <w:rPr>
          <w:rFonts w:ascii="Times New Roman" w:hAnsi="Times New Roman"/>
          <w:bCs/>
          <w:sz w:val="24"/>
          <w:szCs w:val="24"/>
        </w:rPr>
        <w:tab/>
      </w:r>
      <w:r w:rsidRPr="00C446A1">
        <w:rPr>
          <w:rFonts w:ascii="Times New Roman" w:hAnsi="Times New Roman"/>
          <w:bCs/>
          <w:sz w:val="24"/>
          <w:szCs w:val="24"/>
        </w:rPr>
        <w:tab/>
      </w:r>
      <w:proofErr w:type="gramStart"/>
      <w:r w:rsidRPr="00C446A1">
        <w:rPr>
          <w:rFonts w:ascii="Times New Roman" w:hAnsi="Times New Roman"/>
          <w:bCs/>
          <w:sz w:val="24"/>
          <w:szCs w:val="24"/>
        </w:rPr>
        <w:t>and</w:t>
      </w:r>
      <w:proofErr w:type="gramEnd"/>
      <w:r w:rsidRPr="00C446A1">
        <w:rPr>
          <w:rFonts w:ascii="Times New Roman" w:hAnsi="Times New Roman"/>
          <w:bCs/>
          <w:sz w:val="24"/>
          <w:szCs w:val="24"/>
        </w:rPr>
        <w:t xml:space="preserve"> Direct Energy Business, LLC</w:t>
      </w:r>
    </w:p>
    <w:p w:rsidR="009A6330" w:rsidRPr="00C446A1" w:rsidRDefault="009A6330">
      <w:pPr>
        <w:spacing w:after="200" w:line="276" w:lineRule="auto"/>
        <w:rPr>
          <w:rFonts w:ascii="Times New Roman" w:hAnsi="Times New Roman"/>
          <w:b/>
          <w:bCs/>
          <w:sz w:val="24"/>
          <w:szCs w:val="24"/>
        </w:rPr>
      </w:pPr>
      <w:r w:rsidRPr="00C446A1">
        <w:rPr>
          <w:rFonts w:ascii="Times New Roman" w:hAnsi="Times New Roman"/>
          <w:b/>
          <w:bCs/>
          <w:sz w:val="24"/>
          <w:szCs w:val="24"/>
        </w:rPr>
        <w:br w:type="page"/>
      </w:r>
    </w:p>
    <w:p w:rsidR="00CC155C" w:rsidRPr="00C446A1" w:rsidRDefault="00CC155C" w:rsidP="00CC155C">
      <w:pPr>
        <w:ind w:right="-36"/>
        <w:jc w:val="center"/>
        <w:rPr>
          <w:rFonts w:ascii="Times New Roman" w:hAnsi="Times New Roman"/>
          <w:b/>
          <w:bCs/>
          <w:sz w:val="24"/>
          <w:szCs w:val="24"/>
        </w:rPr>
      </w:pPr>
      <w:r w:rsidRPr="00C446A1">
        <w:rPr>
          <w:rFonts w:ascii="Times New Roman" w:hAnsi="Times New Roman"/>
          <w:b/>
          <w:bCs/>
          <w:sz w:val="24"/>
          <w:szCs w:val="24"/>
        </w:rPr>
        <w:lastRenderedPageBreak/>
        <w:t>BEFORE</w:t>
      </w:r>
    </w:p>
    <w:p w:rsidR="00CC155C" w:rsidRPr="00C446A1" w:rsidRDefault="00CC155C" w:rsidP="00CC155C">
      <w:pPr>
        <w:ind w:right="-36"/>
        <w:jc w:val="center"/>
        <w:rPr>
          <w:rFonts w:ascii="Times New Roman" w:hAnsi="Times New Roman"/>
          <w:b/>
          <w:bCs/>
          <w:sz w:val="24"/>
          <w:szCs w:val="24"/>
        </w:rPr>
      </w:pPr>
      <w:r w:rsidRPr="00C446A1">
        <w:rPr>
          <w:rFonts w:ascii="Times New Roman" w:hAnsi="Times New Roman"/>
          <w:b/>
          <w:bCs/>
          <w:sz w:val="24"/>
          <w:szCs w:val="24"/>
        </w:rPr>
        <w:t>THE PUBLIC UTILITIES COMMISSION OF OHIO</w:t>
      </w:r>
    </w:p>
    <w:tbl>
      <w:tblPr>
        <w:tblW w:w="0" w:type="auto"/>
        <w:tblCellMar>
          <w:left w:w="0" w:type="dxa"/>
          <w:right w:w="0" w:type="dxa"/>
        </w:tblCellMar>
        <w:tblLook w:val="0000" w:firstRow="0" w:lastRow="0" w:firstColumn="0" w:lastColumn="0" w:noHBand="0" w:noVBand="0"/>
      </w:tblPr>
      <w:tblGrid>
        <w:gridCol w:w="4518"/>
        <w:gridCol w:w="540"/>
        <w:gridCol w:w="4230"/>
      </w:tblGrid>
      <w:tr w:rsidR="00CC155C" w:rsidRPr="00C446A1" w:rsidTr="00FB71DB">
        <w:tc>
          <w:tcPr>
            <w:tcW w:w="4518" w:type="dxa"/>
            <w:tcMar>
              <w:top w:w="0" w:type="dxa"/>
              <w:left w:w="108" w:type="dxa"/>
              <w:bottom w:w="0" w:type="dxa"/>
              <w:right w:w="108" w:type="dxa"/>
            </w:tcMar>
          </w:tcPr>
          <w:p w:rsidR="00CC155C" w:rsidRPr="00C446A1" w:rsidRDefault="00CC155C" w:rsidP="00FB71DB">
            <w:pPr>
              <w:autoSpaceDE w:val="0"/>
              <w:autoSpaceDN w:val="0"/>
              <w:adjustRightInd w:val="0"/>
              <w:rPr>
                <w:rFonts w:ascii="Times New Roman" w:hAnsi="Times New Roman"/>
                <w:sz w:val="24"/>
                <w:szCs w:val="24"/>
              </w:rPr>
            </w:pPr>
          </w:p>
          <w:p w:rsidR="00CC155C" w:rsidRPr="00C446A1" w:rsidRDefault="00CC155C" w:rsidP="00FB71DB">
            <w:pPr>
              <w:autoSpaceDE w:val="0"/>
              <w:autoSpaceDN w:val="0"/>
              <w:adjustRightInd w:val="0"/>
              <w:rPr>
                <w:rFonts w:ascii="Times New Roman" w:hAnsi="Times New Roman"/>
                <w:sz w:val="24"/>
                <w:szCs w:val="24"/>
              </w:rPr>
            </w:pPr>
            <w:r w:rsidRPr="00C446A1">
              <w:rPr>
                <w:rFonts w:ascii="Times New Roman" w:hAnsi="Times New Roman"/>
                <w:sz w:val="24"/>
                <w:szCs w:val="24"/>
              </w:rPr>
              <w:t>In the Matter of the Commission’s</w:t>
            </w:r>
          </w:p>
          <w:p w:rsidR="00CC155C" w:rsidRPr="00C446A1" w:rsidRDefault="00CC155C" w:rsidP="00FB71DB">
            <w:pPr>
              <w:autoSpaceDE w:val="0"/>
              <w:autoSpaceDN w:val="0"/>
              <w:adjustRightInd w:val="0"/>
              <w:rPr>
                <w:rFonts w:ascii="Times New Roman" w:hAnsi="Times New Roman"/>
                <w:sz w:val="24"/>
                <w:szCs w:val="24"/>
              </w:rPr>
            </w:pPr>
            <w:r w:rsidRPr="00C446A1">
              <w:rPr>
                <w:rFonts w:ascii="Times New Roman" w:hAnsi="Times New Roman"/>
                <w:sz w:val="24"/>
                <w:szCs w:val="24"/>
              </w:rPr>
              <w:t>Review of Chapter 4901:1-10, Ohio</w:t>
            </w:r>
          </w:p>
          <w:p w:rsidR="00CC155C" w:rsidRPr="00C446A1" w:rsidRDefault="00CC155C" w:rsidP="00FB71DB">
            <w:pPr>
              <w:autoSpaceDE w:val="0"/>
              <w:autoSpaceDN w:val="0"/>
              <w:adjustRightInd w:val="0"/>
              <w:rPr>
                <w:rFonts w:ascii="Times New Roman" w:hAnsi="Times New Roman"/>
                <w:sz w:val="24"/>
                <w:szCs w:val="24"/>
              </w:rPr>
            </w:pPr>
            <w:r w:rsidRPr="00C446A1">
              <w:rPr>
                <w:rFonts w:ascii="Times New Roman" w:hAnsi="Times New Roman"/>
                <w:sz w:val="24"/>
                <w:szCs w:val="24"/>
              </w:rPr>
              <w:t>Administrative Code, Regarding</w:t>
            </w:r>
          </w:p>
          <w:p w:rsidR="00CC155C" w:rsidRPr="00C446A1" w:rsidRDefault="00CC155C" w:rsidP="00FB71DB">
            <w:pPr>
              <w:autoSpaceDE w:val="0"/>
              <w:autoSpaceDN w:val="0"/>
              <w:adjustRightInd w:val="0"/>
              <w:rPr>
                <w:rFonts w:ascii="Times New Roman" w:hAnsi="Times New Roman"/>
                <w:sz w:val="24"/>
                <w:szCs w:val="24"/>
              </w:rPr>
            </w:pPr>
            <w:r w:rsidRPr="00C446A1">
              <w:rPr>
                <w:rFonts w:ascii="Times New Roman" w:hAnsi="Times New Roman"/>
                <w:sz w:val="24"/>
                <w:szCs w:val="24"/>
              </w:rPr>
              <w:t>Electric Companies</w:t>
            </w:r>
          </w:p>
          <w:p w:rsidR="00CC155C" w:rsidRPr="00C446A1" w:rsidRDefault="00CC155C" w:rsidP="00FB71DB">
            <w:pPr>
              <w:autoSpaceDE w:val="0"/>
              <w:autoSpaceDN w:val="0"/>
              <w:adjustRightInd w:val="0"/>
              <w:rPr>
                <w:rFonts w:ascii="Times New Roman" w:hAnsi="Times New Roman"/>
                <w:sz w:val="24"/>
                <w:szCs w:val="24"/>
              </w:rPr>
            </w:pPr>
          </w:p>
        </w:tc>
        <w:tc>
          <w:tcPr>
            <w:tcW w:w="540" w:type="dxa"/>
            <w:tcMar>
              <w:top w:w="0" w:type="dxa"/>
              <w:left w:w="108" w:type="dxa"/>
              <w:bottom w:w="0" w:type="dxa"/>
              <w:right w:w="108" w:type="dxa"/>
            </w:tcMar>
          </w:tcPr>
          <w:p w:rsidR="00CC155C" w:rsidRPr="00C446A1" w:rsidRDefault="00CC155C" w:rsidP="00FB71DB">
            <w:pPr>
              <w:ind w:right="-36"/>
              <w:jc w:val="center"/>
              <w:rPr>
                <w:rFonts w:ascii="Times New Roman" w:hAnsi="Times New Roman"/>
                <w:sz w:val="24"/>
                <w:szCs w:val="24"/>
              </w:rPr>
            </w:pPr>
          </w:p>
          <w:p w:rsidR="00CC155C" w:rsidRPr="00C446A1" w:rsidRDefault="00CC155C" w:rsidP="00FB71DB">
            <w:pPr>
              <w:ind w:right="-36"/>
              <w:jc w:val="center"/>
              <w:rPr>
                <w:rFonts w:ascii="Times New Roman" w:hAnsi="Times New Roman"/>
                <w:sz w:val="24"/>
                <w:szCs w:val="24"/>
              </w:rPr>
            </w:pPr>
            <w:r w:rsidRPr="00C446A1">
              <w:rPr>
                <w:rFonts w:ascii="Times New Roman" w:hAnsi="Times New Roman"/>
                <w:sz w:val="24"/>
                <w:szCs w:val="24"/>
              </w:rPr>
              <w:t>)</w:t>
            </w:r>
          </w:p>
          <w:p w:rsidR="00CC155C" w:rsidRPr="00C446A1" w:rsidRDefault="00CC155C" w:rsidP="00FB71DB">
            <w:pPr>
              <w:ind w:right="-36"/>
              <w:jc w:val="center"/>
              <w:rPr>
                <w:rFonts w:ascii="Times New Roman" w:hAnsi="Times New Roman"/>
                <w:sz w:val="24"/>
                <w:szCs w:val="24"/>
              </w:rPr>
            </w:pPr>
            <w:r w:rsidRPr="00C446A1">
              <w:rPr>
                <w:rFonts w:ascii="Times New Roman" w:hAnsi="Times New Roman"/>
                <w:sz w:val="24"/>
                <w:szCs w:val="24"/>
              </w:rPr>
              <w:t>)</w:t>
            </w:r>
          </w:p>
          <w:p w:rsidR="00CC155C" w:rsidRPr="00C446A1" w:rsidRDefault="00CC155C" w:rsidP="00FB71DB">
            <w:pPr>
              <w:ind w:right="-36"/>
              <w:jc w:val="center"/>
              <w:rPr>
                <w:rFonts w:ascii="Times New Roman" w:hAnsi="Times New Roman"/>
                <w:sz w:val="24"/>
                <w:szCs w:val="24"/>
              </w:rPr>
            </w:pPr>
            <w:r w:rsidRPr="00C446A1">
              <w:rPr>
                <w:rFonts w:ascii="Times New Roman" w:hAnsi="Times New Roman"/>
                <w:sz w:val="24"/>
                <w:szCs w:val="24"/>
              </w:rPr>
              <w:t>)</w:t>
            </w:r>
          </w:p>
          <w:p w:rsidR="00CC155C" w:rsidRPr="00C446A1" w:rsidRDefault="00CC155C" w:rsidP="00FB71DB">
            <w:pPr>
              <w:ind w:right="-36"/>
              <w:jc w:val="center"/>
              <w:rPr>
                <w:rFonts w:ascii="Times New Roman" w:hAnsi="Times New Roman"/>
                <w:sz w:val="24"/>
                <w:szCs w:val="24"/>
              </w:rPr>
            </w:pPr>
          </w:p>
        </w:tc>
        <w:tc>
          <w:tcPr>
            <w:tcW w:w="4230" w:type="dxa"/>
            <w:tcMar>
              <w:top w:w="0" w:type="dxa"/>
              <w:left w:w="108" w:type="dxa"/>
              <w:bottom w:w="0" w:type="dxa"/>
              <w:right w:w="108" w:type="dxa"/>
            </w:tcMar>
          </w:tcPr>
          <w:p w:rsidR="00CC155C" w:rsidRPr="00C446A1" w:rsidRDefault="00CC155C" w:rsidP="00FB71DB">
            <w:pPr>
              <w:ind w:right="-36"/>
              <w:rPr>
                <w:rFonts w:ascii="Times New Roman" w:hAnsi="Times New Roman"/>
                <w:sz w:val="24"/>
                <w:szCs w:val="24"/>
              </w:rPr>
            </w:pPr>
          </w:p>
          <w:p w:rsidR="00CC155C" w:rsidRPr="00C446A1" w:rsidRDefault="00CC155C" w:rsidP="00FB71DB">
            <w:pPr>
              <w:tabs>
                <w:tab w:val="left" w:pos="432"/>
                <w:tab w:val="left" w:pos="1422"/>
              </w:tabs>
              <w:ind w:right="-36"/>
              <w:rPr>
                <w:rFonts w:ascii="Times New Roman" w:hAnsi="Times New Roman"/>
                <w:sz w:val="24"/>
                <w:szCs w:val="24"/>
              </w:rPr>
            </w:pPr>
          </w:p>
          <w:p w:rsidR="00CC155C" w:rsidRPr="00C446A1" w:rsidRDefault="00CC155C" w:rsidP="00FB71DB">
            <w:pPr>
              <w:tabs>
                <w:tab w:val="left" w:pos="1422"/>
              </w:tabs>
              <w:ind w:left="432" w:right="-36"/>
              <w:rPr>
                <w:rFonts w:ascii="Times New Roman" w:hAnsi="Times New Roman"/>
                <w:sz w:val="24"/>
                <w:szCs w:val="24"/>
              </w:rPr>
            </w:pPr>
            <w:r w:rsidRPr="00C446A1">
              <w:rPr>
                <w:rFonts w:ascii="Times New Roman" w:hAnsi="Times New Roman"/>
                <w:sz w:val="24"/>
                <w:szCs w:val="24"/>
              </w:rPr>
              <w:t>Case No. 12-2050-EL-ORD</w:t>
            </w:r>
          </w:p>
          <w:p w:rsidR="00CC155C" w:rsidRPr="00C446A1" w:rsidRDefault="00CC155C" w:rsidP="00FB71DB">
            <w:pPr>
              <w:tabs>
                <w:tab w:val="left" w:pos="1422"/>
              </w:tabs>
              <w:ind w:left="432" w:right="-36"/>
              <w:rPr>
                <w:rFonts w:ascii="Times New Roman" w:hAnsi="Times New Roman"/>
                <w:sz w:val="24"/>
                <w:szCs w:val="24"/>
              </w:rPr>
            </w:pPr>
          </w:p>
        </w:tc>
      </w:tr>
    </w:tbl>
    <w:p w:rsidR="00CC155C" w:rsidRPr="00C446A1" w:rsidRDefault="00CC155C" w:rsidP="00CC155C">
      <w:pPr>
        <w:pBdr>
          <w:bottom w:val="single" w:sz="12" w:space="1" w:color="auto"/>
        </w:pBdr>
        <w:autoSpaceDE w:val="0"/>
        <w:autoSpaceDN w:val="0"/>
        <w:adjustRightInd w:val="0"/>
        <w:rPr>
          <w:rFonts w:ascii="Times New Roman" w:hAnsi="Times New Roman"/>
          <w:b/>
          <w:sz w:val="24"/>
          <w:szCs w:val="24"/>
        </w:rPr>
      </w:pPr>
    </w:p>
    <w:p w:rsidR="00CC155C" w:rsidRPr="00C446A1" w:rsidRDefault="00CC155C" w:rsidP="00CC155C">
      <w:pPr>
        <w:autoSpaceDE w:val="0"/>
        <w:autoSpaceDN w:val="0"/>
        <w:adjustRightInd w:val="0"/>
        <w:rPr>
          <w:rFonts w:ascii="Times New Roman" w:hAnsi="Times New Roman"/>
          <w:b/>
          <w:sz w:val="24"/>
          <w:szCs w:val="24"/>
        </w:rPr>
      </w:pPr>
    </w:p>
    <w:p w:rsidR="00CC155C" w:rsidRPr="00C446A1" w:rsidRDefault="00CC155C" w:rsidP="00CC155C">
      <w:pPr>
        <w:autoSpaceDE w:val="0"/>
        <w:autoSpaceDN w:val="0"/>
        <w:adjustRightInd w:val="0"/>
        <w:jc w:val="center"/>
        <w:rPr>
          <w:rFonts w:ascii="Times New Roman" w:hAnsi="Times New Roman"/>
          <w:b/>
          <w:sz w:val="24"/>
          <w:szCs w:val="24"/>
        </w:rPr>
      </w:pPr>
      <w:r w:rsidRPr="00C446A1">
        <w:rPr>
          <w:rFonts w:ascii="Times New Roman" w:hAnsi="Times New Roman"/>
          <w:b/>
          <w:sz w:val="24"/>
          <w:szCs w:val="24"/>
        </w:rPr>
        <w:t>INITIAL COMMENTS OF DIRECT ENERGY SERVICES, LLC</w:t>
      </w:r>
    </w:p>
    <w:p w:rsidR="00CC155C" w:rsidRPr="00C446A1" w:rsidRDefault="00CC155C" w:rsidP="00CC155C">
      <w:pPr>
        <w:autoSpaceDE w:val="0"/>
        <w:autoSpaceDN w:val="0"/>
        <w:adjustRightInd w:val="0"/>
        <w:jc w:val="center"/>
        <w:rPr>
          <w:rFonts w:ascii="Times New Roman" w:hAnsi="Times New Roman"/>
          <w:b/>
          <w:sz w:val="24"/>
          <w:szCs w:val="24"/>
        </w:rPr>
      </w:pPr>
      <w:r w:rsidRPr="00C446A1">
        <w:rPr>
          <w:rFonts w:ascii="Times New Roman" w:hAnsi="Times New Roman"/>
          <w:b/>
          <w:sz w:val="24"/>
          <w:szCs w:val="24"/>
        </w:rPr>
        <w:t>AND DIRECT ENERGY BUSINESS, LLC</w:t>
      </w:r>
    </w:p>
    <w:p w:rsidR="00CC155C" w:rsidRPr="00C446A1" w:rsidRDefault="00CC155C" w:rsidP="00CC155C">
      <w:pPr>
        <w:autoSpaceDE w:val="0"/>
        <w:autoSpaceDN w:val="0"/>
        <w:adjustRightInd w:val="0"/>
        <w:rPr>
          <w:rFonts w:ascii="Times New Roman" w:hAnsi="Times New Roman"/>
          <w:b/>
          <w:sz w:val="24"/>
          <w:szCs w:val="24"/>
        </w:rPr>
      </w:pPr>
      <w:r w:rsidRPr="00C446A1">
        <w:rPr>
          <w:rFonts w:ascii="Times New Roman" w:hAnsi="Times New Roman"/>
          <w:b/>
          <w:sz w:val="24"/>
          <w:szCs w:val="24"/>
        </w:rPr>
        <w:t>______________________________________________________________________________</w:t>
      </w:r>
    </w:p>
    <w:p w:rsidR="00CC155C" w:rsidRPr="00C446A1" w:rsidRDefault="00CC155C" w:rsidP="00CC155C">
      <w:pPr>
        <w:ind w:right="-36"/>
        <w:jc w:val="center"/>
        <w:rPr>
          <w:rFonts w:ascii="Times New Roman" w:hAnsi="Times New Roman"/>
          <w:b/>
          <w:bCs/>
          <w:sz w:val="24"/>
          <w:szCs w:val="24"/>
        </w:rPr>
      </w:pPr>
    </w:p>
    <w:p w:rsidR="00CC155C" w:rsidRPr="00C446A1" w:rsidRDefault="00CC155C">
      <w:pPr>
        <w:rPr>
          <w:rFonts w:ascii="Times New Roman" w:hAnsi="Times New Roman"/>
          <w:b/>
          <w:bCs/>
          <w:sz w:val="24"/>
          <w:szCs w:val="24"/>
        </w:rPr>
      </w:pPr>
      <w:r w:rsidRPr="00C446A1">
        <w:rPr>
          <w:rFonts w:ascii="Times New Roman" w:hAnsi="Times New Roman"/>
          <w:b/>
          <w:bCs/>
          <w:sz w:val="24"/>
          <w:szCs w:val="24"/>
        </w:rPr>
        <w:t>I.</w:t>
      </w:r>
      <w:r w:rsidRPr="00C446A1">
        <w:rPr>
          <w:rFonts w:ascii="Times New Roman" w:hAnsi="Times New Roman"/>
          <w:b/>
          <w:bCs/>
          <w:sz w:val="24"/>
          <w:szCs w:val="24"/>
        </w:rPr>
        <w:tab/>
        <w:t>INTRODUCTION</w:t>
      </w:r>
    </w:p>
    <w:p w:rsidR="00CC155C" w:rsidRPr="00C446A1" w:rsidRDefault="00CC155C">
      <w:pPr>
        <w:rPr>
          <w:rFonts w:ascii="Times New Roman" w:hAnsi="Times New Roman"/>
          <w:b/>
          <w:bCs/>
          <w:sz w:val="24"/>
          <w:szCs w:val="24"/>
        </w:rPr>
      </w:pPr>
    </w:p>
    <w:p w:rsidR="00C446A1" w:rsidRDefault="009A6330" w:rsidP="00FF43F0">
      <w:pPr>
        <w:autoSpaceDE w:val="0"/>
        <w:autoSpaceDN w:val="0"/>
        <w:adjustRightInd w:val="0"/>
        <w:spacing w:line="480" w:lineRule="auto"/>
        <w:jc w:val="both"/>
        <w:rPr>
          <w:rFonts w:ascii="Times New Roman" w:hAnsi="Times New Roman"/>
          <w:bCs/>
          <w:sz w:val="24"/>
          <w:szCs w:val="24"/>
        </w:rPr>
      </w:pPr>
      <w:r w:rsidRPr="00C446A1">
        <w:rPr>
          <w:rFonts w:ascii="Times New Roman" w:hAnsi="Times New Roman"/>
          <w:bCs/>
          <w:sz w:val="24"/>
          <w:szCs w:val="24"/>
        </w:rPr>
        <w:tab/>
        <w:t xml:space="preserve">On July 16, 2012, the Public Utilities Commission of Ohio (“Commission”) issued an Entry in the above-captioned docket and ordered a technical conference regarding the rules in this chapter (as well as four (4) other chapters of Ohio Administrative Code 4901:1-29) as part of the Commission’s statutorily-required five (5) year review of these rules.  </w:t>
      </w:r>
    </w:p>
    <w:p w:rsidR="00C446A1" w:rsidRDefault="009A6330" w:rsidP="00FF43F0">
      <w:pPr>
        <w:autoSpaceDE w:val="0"/>
        <w:autoSpaceDN w:val="0"/>
        <w:adjustRightInd w:val="0"/>
        <w:spacing w:line="480" w:lineRule="auto"/>
        <w:ind w:firstLine="720"/>
        <w:jc w:val="both"/>
        <w:rPr>
          <w:rFonts w:ascii="Times New Roman" w:eastAsiaTheme="minorHAnsi" w:hAnsi="Times New Roman"/>
          <w:sz w:val="24"/>
          <w:szCs w:val="24"/>
        </w:rPr>
      </w:pPr>
      <w:r w:rsidRPr="00C446A1">
        <w:rPr>
          <w:rFonts w:ascii="Times New Roman" w:hAnsi="Times New Roman"/>
          <w:bCs/>
          <w:sz w:val="24"/>
          <w:szCs w:val="24"/>
        </w:rPr>
        <w:t xml:space="preserve">Additionally, on August 1, 2012, the Attorney Examiner scheduled a subsequent technical conference on August 31, 2012 in this docket </w:t>
      </w:r>
      <w:r w:rsidRPr="00C446A1">
        <w:rPr>
          <w:rFonts w:ascii="Times New Roman" w:eastAsiaTheme="minorHAnsi" w:hAnsi="Times New Roman"/>
          <w:sz w:val="24"/>
          <w:szCs w:val="24"/>
        </w:rPr>
        <w:t>for the purpose of reviewing implementation of the partial payment priority rule [4901:1-10-33(H)] by the FirstEnergy operating companies</w:t>
      </w:r>
      <w:r w:rsidR="00FF43F0" w:rsidRPr="00C446A1">
        <w:rPr>
          <w:rFonts w:ascii="Times New Roman" w:eastAsiaTheme="minorHAnsi" w:hAnsi="Times New Roman"/>
          <w:sz w:val="24"/>
          <w:szCs w:val="24"/>
        </w:rPr>
        <w:t xml:space="preserve"> with respect to customers on deferred payment plans</w:t>
      </w:r>
      <w:r w:rsidR="00FF43F0">
        <w:rPr>
          <w:rFonts w:ascii="Times New Roman" w:eastAsiaTheme="minorHAnsi" w:hAnsi="Times New Roman"/>
          <w:sz w:val="24"/>
          <w:szCs w:val="24"/>
        </w:rPr>
        <w:t xml:space="preserve">.  This additional technical conference was scheduled to fulfill the Commission’s order </w:t>
      </w:r>
      <w:r w:rsidRPr="00C446A1">
        <w:rPr>
          <w:rFonts w:ascii="Times New Roman" w:eastAsiaTheme="minorHAnsi" w:hAnsi="Times New Roman"/>
          <w:sz w:val="24"/>
          <w:szCs w:val="24"/>
        </w:rPr>
        <w:t>modif</w:t>
      </w:r>
      <w:r w:rsidR="00FF43F0">
        <w:rPr>
          <w:rFonts w:ascii="Times New Roman" w:eastAsiaTheme="minorHAnsi" w:hAnsi="Times New Roman"/>
          <w:sz w:val="24"/>
          <w:szCs w:val="24"/>
        </w:rPr>
        <w:t>ying</w:t>
      </w:r>
      <w:r w:rsidRPr="00C446A1">
        <w:rPr>
          <w:rFonts w:ascii="Times New Roman" w:eastAsiaTheme="minorHAnsi" w:hAnsi="Times New Roman"/>
          <w:sz w:val="24"/>
          <w:szCs w:val="24"/>
        </w:rPr>
        <w:t xml:space="preserve"> and approv</w:t>
      </w:r>
      <w:r w:rsidR="00FF43F0">
        <w:rPr>
          <w:rFonts w:ascii="Times New Roman" w:eastAsiaTheme="minorHAnsi" w:hAnsi="Times New Roman"/>
          <w:sz w:val="24"/>
          <w:szCs w:val="24"/>
        </w:rPr>
        <w:t>ing the</w:t>
      </w:r>
      <w:r w:rsidRPr="00C446A1">
        <w:rPr>
          <w:rFonts w:ascii="Times New Roman" w:eastAsiaTheme="minorHAnsi" w:hAnsi="Times New Roman"/>
          <w:sz w:val="24"/>
          <w:szCs w:val="24"/>
        </w:rPr>
        <w:t xml:space="preserve"> stipulation</w:t>
      </w:r>
      <w:r w:rsidR="00C446A1" w:rsidRPr="00C446A1">
        <w:rPr>
          <w:rFonts w:ascii="Times New Roman" w:eastAsiaTheme="minorHAnsi" w:hAnsi="Times New Roman"/>
          <w:sz w:val="24"/>
          <w:szCs w:val="24"/>
        </w:rPr>
        <w:t xml:space="preserve"> in FirstEnergy’s electric security plan (“ESP”) case</w:t>
      </w:r>
      <w:r w:rsidRPr="00C446A1">
        <w:rPr>
          <w:rFonts w:ascii="Times New Roman" w:eastAsiaTheme="minorHAnsi" w:hAnsi="Times New Roman"/>
          <w:sz w:val="24"/>
          <w:szCs w:val="24"/>
        </w:rPr>
        <w:t xml:space="preserve">.  </w:t>
      </w:r>
      <w:r w:rsidR="00C446A1" w:rsidRPr="00C446A1">
        <w:rPr>
          <w:rFonts w:ascii="Times New Roman" w:eastAsiaTheme="minorHAnsi" w:hAnsi="Times New Roman"/>
          <w:sz w:val="24"/>
          <w:szCs w:val="24"/>
        </w:rPr>
        <w:t>T</w:t>
      </w:r>
      <w:r w:rsidRPr="00C446A1">
        <w:rPr>
          <w:rFonts w:ascii="Times New Roman" w:eastAsiaTheme="minorHAnsi" w:hAnsi="Times New Roman"/>
          <w:sz w:val="24"/>
          <w:szCs w:val="24"/>
        </w:rPr>
        <w:t xml:space="preserve">he Retail Energy Supply Association (“RESA”) offered a presentation </w:t>
      </w:r>
      <w:r w:rsidR="00C446A1" w:rsidRPr="00C446A1">
        <w:rPr>
          <w:rFonts w:ascii="Times New Roman" w:eastAsiaTheme="minorHAnsi" w:hAnsi="Times New Roman"/>
          <w:sz w:val="24"/>
          <w:szCs w:val="24"/>
        </w:rPr>
        <w:t xml:space="preserve">at the August 31, 2012 technical conference </w:t>
      </w:r>
      <w:r w:rsidR="00683308">
        <w:rPr>
          <w:rFonts w:ascii="Times New Roman" w:eastAsiaTheme="minorHAnsi" w:hAnsi="Times New Roman"/>
          <w:sz w:val="24"/>
          <w:szCs w:val="24"/>
        </w:rPr>
        <w:t>to further explain</w:t>
      </w:r>
      <w:r w:rsidR="00C446A1" w:rsidRPr="00C446A1">
        <w:rPr>
          <w:rFonts w:ascii="Times New Roman" w:eastAsiaTheme="minorHAnsi" w:hAnsi="Times New Roman"/>
          <w:sz w:val="24"/>
          <w:szCs w:val="24"/>
        </w:rPr>
        <w:t xml:space="preserve"> the </w:t>
      </w:r>
      <w:r w:rsidR="00FF43F0">
        <w:rPr>
          <w:rFonts w:ascii="Times New Roman" w:eastAsiaTheme="minorHAnsi" w:hAnsi="Times New Roman"/>
          <w:sz w:val="24"/>
          <w:szCs w:val="24"/>
        </w:rPr>
        <w:t xml:space="preserve">partial payment priority </w:t>
      </w:r>
      <w:r w:rsidR="00C446A1" w:rsidRPr="00C446A1">
        <w:rPr>
          <w:rFonts w:ascii="Times New Roman" w:eastAsiaTheme="minorHAnsi" w:hAnsi="Times New Roman"/>
          <w:sz w:val="24"/>
          <w:szCs w:val="24"/>
        </w:rPr>
        <w:t>issues</w:t>
      </w:r>
      <w:r w:rsidR="00683308">
        <w:rPr>
          <w:rFonts w:ascii="Times New Roman" w:eastAsiaTheme="minorHAnsi" w:hAnsi="Times New Roman"/>
          <w:sz w:val="24"/>
          <w:szCs w:val="24"/>
        </w:rPr>
        <w:t xml:space="preserve"> RESA</w:t>
      </w:r>
      <w:r w:rsidR="00C446A1" w:rsidRPr="00C446A1">
        <w:rPr>
          <w:rFonts w:ascii="Times New Roman" w:eastAsiaTheme="minorHAnsi" w:hAnsi="Times New Roman"/>
          <w:sz w:val="24"/>
          <w:szCs w:val="24"/>
        </w:rPr>
        <w:t xml:space="preserve"> identified in the FirstEnergy ESP case.  RESA advocated at the technical conference for a purchase of receivables (“POR”) program as well as for solutions to ease some of the difficulties currently experienced by competitive retail electric supply (“CRES”) providers</w:t>
      </w:r>
      <w:r w:rsidR="00FF43F0">
        <w:rPr>
          <w:rFonts w:ascii="Times New Roman" w:eastAsiaTheme="minorHAnsi" w:hAnsi="Times New Roman"/>
          <w:sz w:val="24"/>
          <w:szCs w:val="24"/>
        </w:rPr>
        <w:t xml:space="preserve"> when it comes to partial payments of bills by customers</w:t>
      </w:r>
      <w:r w:rsidR="00C446A1" w:rsidRPr="00C446A1">
        <w:rPr>
          <w:rFonts w:ascii="Times New Roman" w:eastAsiaTheme="minorHAnsi" w:hAnsi="Times New Roman"/>
          <w:sz w:val="24"/>
          <w:szCs w:val="24"/>
        </w:rPr>
        <w:t xml:space="preserve">.  </w:t>
      </w:r>
    </w:p>
    <w:p w:rsidR="009A6330" w:rsidRPr="00C446A1" w:rsidRDefault="00C446A1" w:rsidP="00FF43F0">
      <w:pPr>
        <w:autoSpaceDE w:val="0"/>
        <w:autoSpaceDN w:val="0"/>
        <w:adjustRightInd w:val="0"/>
        <w:spacing w:line="480" w:lineRule="auto"/>
        <w:ind w:firstLine="720"/>
        <w:jc w:val="both"/>
        <w:rPr>
          <w:rFonts w:ascii="Times New Roman" w:hAnsi="Times New Roman"/>
          <w:bCs/>
          <w:sz w:val="24"/>
          <w:szCs w:val="24"/>
        </w:rPr>
      </w:pPr>
      <w:r w:rsidRPr="00C446A1">
        <w:rPr>
          <w:rFonts w:ascii="Times New Roman" w:eastAsiaTheme="minorHAnsi" w:hAnsi="Times New Roman"/>
          <w:sz w:val="24"/>
          <w:szCs w:val="24"/>
        </w:rPr>
        <w:lastRenderedPageBreak/>
        <w:t>On November 7, 2012, the Commission issued an Entry with Staff’s proposed changes to the rules and set an initial comment deadline of January 7, 2013 and a reply comment deadline of February 6, 2013. Direct Energy respectfully submits its Initial Comments in this proceeding.</w:t>
      </w:r>
    </w:p>
    <w:p w:rsidR="009A6330" w:rsidRPr="00C446A1" w:rsidRDefault="009A6330">
      <w:pPr>
        <w:rPr>
          <w:rFonts w:ascii="Times New Roman" w:hAnsi="Times New Roman"/>
          <w:b/>
          <w:bCs/>
          <w:sz w:val="24"/>
          <w:szCs w:val="24"/>
        </w:rPr>
      </w:pPr>
    </w:p>
    <w:p w:rsidR="00CC155C" w:rsidRPr="00C446A1" w:rsidRDefault="00CC155C">
      <w:pPr>
        <w:rPr>
          <w:rFonts w:ascii="Times New Roman" w:hAnsi="Times New Roman"/>
          <w:b/>
          <w:bCs/>
          <w:sz w:val="24"/>
          <w:szCs w:val="24"/>
        </w:rPr>
      </w:pPr>
      <w:r w:rsidRPr="00C446A1">
        <w:rPr>
          <w:rFonts w:ascii="Times New Roman" w:hAnsi="Times New Roman"/>
          <w:b/>
          <w:bCs/>
          <w:sz w:val="24"/>
          <w:szCs w:val="24"/>
        </w:rPr>
        <w:t>II.</w:t>
      </w:r>
      <w:r w:rsidRPr="00C446A1">
        <w:rPr>
          <w:rFonts w:ascii="Times New Roman" w:hAnsi="Times New Roman"/>
          <w:b/>
          <w:bCs/>
          <w:sz w:val="24"/>
          <w:szCs w:val="24"/>
        </w:rPr>
        <w:tab/>
        <w:t>INITIAL COMMENTS</w:t>
      </w:r>
    </w:p>
    <w:p w:rsidR="00AB2EF3" w:rsidRDefault="00AB2EF3">
      <w:pPr>
        <w:rPr>
          <w:rFonts w:ascii="Times New Roman" w:hAnsi="Times New Roman"/>
          <w:b/>
          <w:bCs/>
          <w:sz w:val="24"/>
          <w:szCs w:val="24"/>
        </w:rPr>
      </w:pPr>
    </w:p>
    <w:p w:rsidR="002A33B1" w:rsidRDefault="002A33B1" w:rsidP="00CF6042">
      <w:pPr>
        <w:spacing w:line="480" w:lineRule="auto"/>
        <w:ind w:firstLine="720"/>
        <w:rPr>
          <w:rFonts w:ascii="Times New Roman" w:hAnsi="Times New Roman"/>
          <w:b/>
          <w:bCs/>
          <w:sz w:val="24"/>
          <w:szCs w:val="24"/>
        </w:rPr>
      </w:pPr>
      <w:r>
        <w:rPr>
          <w:rFonts w:ascii="Times New Roman" w:hAnsi="Times New Roman"/>
          <w:b/>
          <w:bCs/>
          <w:sz w:val="24"/>
          <w:szCs w:val="24"/>
        </w:rPr>
        <w:t>Rule 4901:1-10-19 – Delinquent Residential Bills</w:t>
      </w:r>
    </w:p>
    <w:p w:rsidR="002A33B1" w:rsidRPr="002A33B1" w:rsidRDefault="002A33B1" w:rsidP="002A33B1">
      <w:pPr>
        <w:spacing w:line="480" w:lineRule="auto"/>
        <w:ind w:firstLine="720"/>
        <w:jc w:val="both"/>
        <w:rPr>
          <w:rFonts w:ascii="Times New Roman" w:hAnsi="Times New Roman"/>
          <w:bCs/>
          <w:sz w:val="24"/>
          <w:szCs w:val="24"/>
        </w:rPr>
      </w:pPr>
      <w:r>
        <w:rPr>
          <w:rFonts w:ascii="Times New Roman" w:hAnsi="Times New Roman"/>
          <w:sz w:val="24"/>
          <w:szCs w:val="24"/>
        </w:rPr>
        <w:t xml:space="preserve">Rule 4901:1-10-19(A) currently prohibits an </w:t>
      </w:r>
      <w:r w:rsidR="00277252">
        <w:rPr>
          <w:rFonts w:ascii="Times New Roman" w:hAnsi="Times New Roman"/>
          <w:sz w:val="24"/>
          <w:szCs w:val="24"/>
        </w:rPr>
        <w:t>electric distribution utility (“</w:t>
      </w:r>
      <w:r>
        <w:rPr>
          <w:rFonts w:ascii="Times New Roman" w:hAnsi="Times New Roman"/>
          <w:sz w:val="24"/>
          <w:szCs w:val="24"/>
        </w:rPr>
        <w:t>EDU</w:t>
      </w:r>
      <w:r w:rsidR="00277252">
        <w:rPr>
          <w:rFonts w:ascii="Times New Roman" w:hAnsi="Times New Roman"/>
          <w:sz w:val="24"/>
          <w:szCs w:val="24"/>
        </w:rPr>
        <w:t>”)</w:t>
      </w:r>
      <w:r>
        <w:rPr>
          <w:rFonts w:ascii="Times New Roman" w:hAnsi="Times New Roman"/>
          <w:sz w:val="24"/>
          <w:szCs w:val="24"/>
        </w:rPr>
        <w:t xml:space="preserve"> from disconnecting a customer for failure to pay CRES </w:t>
      </w:r>
      <w:r w:rsidR="008E246F">
        <w:rPr>
          <w:rFonts w:ascii="Times New Roman" w:hAnsi="Times New Roman"/>
          <w:sz w:val="24"/>
          <w:szCs w:val="24"/>
        </w:rPr>
        <w:t xml:space="preserve">provider </w:t>
      </w:r>
      <w:r>
        <w:rPr>
          <w:rFonts w:ascii="Times New Roman" w:hAnsi="Times New Roman"/>
          <w:sz w:val="24"/>
          <w:szCs w:val="24"/>
        </w:rPr>
        <w:t>charges.  This rule should be amended to acknowledge situations where a supplier enters into a supplier consolidated billing agreement with an EDU or an EDU adopts a purchase of receivables (“POR”) program.  Direct Energy suggests the rule could be amended to accomplish this task through the following language:  “</w:t>
      </w:r>
      <w:r w:rsidRPr="00E31B85">
        <w:rPr>
          <w:rFonts w:ascii="Times New Roman" w:hAnsi="Times New Roman"/>
          <w:sz w:val="24"/>
          <w:szCs w:val="24"/>
          <w:lang w:val="en"/>
        </w:rPr>
        <w:t>In addition to the requirements of Chapter 4901:1-18 of the Administrative Code, no electric utility may disconnect service to a residential customer when:</w:t>
      </w:r>
      <w:r w:rsidRPr="002A33B1">
        <w:rPr>
          <w:rFonts w:ascii="Times New Roman" w:hAnsi="Times New Roman"/>
          <w:sz w:val="24"/>
          <w:szCs w:val="24"/>
          <w:lang w:val="en"/>
        </w:rPr>
        <w:t xml:space="preserve"> </w:t>
      </w:r>
      <w:r w:rsidRPr="00E31B85">
        <w:rPr>
          <w:rFonts w:ascii="Times New Roman" w:hAnsi="Times New Roman"/>
          <w:sz w:val="24"/>
          <w:szCs w:val="24"/>
          <w:lang w:val="en"/>
        </w:rPr>
        <w:t xml:space="preserve">(A) That customer fails to pay any charge for a </w:t>
      </w:r>
      <w:proofErr w:type="spellStart"/>
      <w:r w:rsidRPr="00E31B85">
        <w:rPr>
          <w:rFonts w:ascii="Times New Roman" w:hAnsi="Times New Roman"/>
          <w:sz w:val="24"/>
          <w:szCs w:val="24"/>
          <w:lang w:val="en"/>
        </w:rPr>
        <w:t>nontariffed</w:t>
      </w:r>
      <w:proofErr w:type="spellEnd"/>
      <w:r w:rsidRPr="00E31B85">
        <w:rPr>
          <w:rFonts w:ascii="Times New Roman" w:hAnsi="Times New Roman"/>
          <w:sz w:val="24"/>
          <w:szCs w:val="24"/>
          <w:lang w:val="en"/>
        </w:rPr>
        <w:t xml:space="preserve"> service, including competitive retail el</w:t>
      </w:r>
      <w:r w:rsidRPr="002A33B1">
        <w:rPr>
          <w:rFonts w:ascii="Times New Roman" w:hAnsi="Times New Roman"/>
          <w:sz w:val="24"/>
          <w:szCs w:val="24"/>
          <w:lang w:val="en"/>
        </w:rPr>
        <w:t xml:space="preserve">ectric service (CRES), </w:t>
      </w:r>
      <w:r w:rsidRPr="002A33B1">
        <w:rPr>
          <w:rFonts w:ascii="Times New Roman" w:hAnsi="Times New Roman"/>
          <w:sz w:val="24"/>
          <w:szCs w:val="24"/>
          <w:u w:val="single"/>
          <w:lang w:val="en"/>
        </w:rPr>
        <w:t xml:space="preserve">unless the CRES provider participates in an electric utility’s purchase of receivables program or the customer is billed under a supplier consolidated billing arrangement between the CRES provider and the electric utility.    </w:t>
      </w:r>
    </w:p>
    <w:p w:rsidR="00C446A1" w:rsidRDefault="00C446A1" w:rsidP="00CF6042">
      <w:pPr>
        <w:spacing w:line="480" w:lineRule="auto"/>
        <w:ind w:firstLine="720"/>
        <w:rPr>
          <w:rFonts w:ascii="Times New Roman" w:hAnsi="Times New Roman"/>
          <w:b/>
          <w:bCs/>
          <w:sz w:val="24"/>
          <w:szCs w:val="24"/>
        </w:rPr>
      </w:pPr>
      <w:r>
        <w:rPr>
          <w:rFonts w:ascii="Times New Roman" w:hAnsi="Times New Roman"/>
          <w:b/>
          <w:bCs/>
          <w:sz w:val="24"/>
          <w:szCs w:val="24"/>
        </w:rPr>
        <w:t>Rule 4901:1-10-28 – Net Metering</w:t>
      </w:r>
    </w:p>
    <w:p w:rsidR="00683308" w:rsidRDefault="00683308" w:rsidP="00683308">
      <w:pPr>
        <w:spacing w:line="480" w:lineRule="auto"/>
        <w:ind w:firstLine="720"/>
        <w:jc w:val="both"/>
        <w:rPr>
          <w:rFonts w:ascii="Times New Roman" w:hAnsi="Times New Roman"/>
          <w:bCs/>
          <w:sz w:val="24"/>
          <w:szCs w:val="24"/>
        </w:rPr>
      </w:pPr>
      <w:r w:rsidRPr="00FF43F0">
        <w:rPr>
          <w:rFonts w:ascii="Times New Roman" w:hAnsi="Times New Roman"/>
          <w:sz w:val="24"/>
          <w:szCs w:val="24"/>
        </w:rPr>
        <w:t>As a general matter, Direct Energy wishes to highlight the importance of a defined set of operating rules to automate net metered transactions between ED</w:t>
      </w:r>
      <w:r w:rsidR="00277252">
        <w:rPr>
          <w:rFonts w:ascii="Times New Roman" w:hAnsi="Times New Roman"/>
          <w:sz w:val="24"/>
          <w:szCs w:val="24"/>
        </w:rPr>
        <w:t>U</w:t>
      </w:r>
      <w:r w:rsidRPr="00FF43F0">
        <w:rPr>
          <w:rFonts w:ascii="Times New Roman" w:hAnsi="Times New Roman"/>
          <w:sz w:val="24"/>
          <w:szCs w:val="24"/>
        </w:rPr>
        <w:t>s and CRES</w:t>
      </w:r>
      <w:r w:rsidR="00BE6512">
        <w:rPr>
          <w:rFonts w:ascii="Times New Roman" w:hAnsi="Times New Roman"/>
          <w:sz w:val="24"/>
          <w:szCs w:val="24"/>
        </w:rPr>
        <w:t xml:space="preserve"> provider</w:t>
      </w:r>
      <w:r w:rsidRPr="00FF43F0">
        <w:rPr>
          <w:rFonts w:ascii="Times New Roman" w:hAnsi="Times New Roman"/>
          <w:sz w:val="24"/>
          <w:szCs w:val="24"/>
        </w:rPr>
        <w:t>s, similar to the rules implemented in Pennsylvania.  The importance of net metering customers will continue to increase as renewable energy procurement requirements ramp up in Ohio and the Commission continues to promote net metering to customers.  Direct Energy encourages the Commission to</w:t>
      </w:r>
      <w:r w:rsidR="00E9201E">
        <w:rPr>
          <w:rFonts w:ascii="Times New Roman" w:hAnsi="Times New Roman"/>
          <w:sz w:val="24"/>
          <w:szCs w:val="24"/>
        </w:rPr>
        <w:t xml:space="preserve"> continue proactively using the electronic data interface (“EDI”) working group</w:t>
      </w:r>
      <w:r w:rsidRPr="00FF43F0">
        <w:rPr>
          <w:rFonts w:ascii="Times New Roman" w:hAnsi="Times New Roman"/>
          <w:sz w:val="24"/>
          <w:szCs w:val="24"/>
        </w:rPr>
        <w:t xml:space="preserve"> to </w:t>
      </w:r>
      <w:r w:rsidRPr="00FF43F0">
        <w:rPr>
          <w:rFonts w:ascii="Times New Roman" w:hAnsi="Times New Roman"/>
          <w:sz w:val="24"/>
          <w:szCs w:val="24"/>
        </w:rPr>
        <w:lastRenderedPageBreak/>
        <w:t>suggest continuous updates to these rules so as to ensure the rules keep up with the dynamic net metering marketplace.</w:t>
      </w:r>
    </w:p>
    <w:p w:rsidR="0017131C" w:rsidRPr="0017131C" w:rsidRDefault="0017131C" w:rsidP="000A0BDE">
      <w:pPr>
        <w:spacing w:line="480" w:lineRule="auto"/>
        <w:ind w:firstLine="720"/>
        <w:rPr>
          <w:rFonts w:ascii="Times New Roman" w:hAnsi="Times New Roman"/>
          <w:bCs/>
          <w:i/>
          <w:sz w:val="24"/>
          <w:szCs w:val="24"/>
          <w:u w:val="single"/>
        </w:rPr>
      </w:pPr>
      <w:r w:rsidRPr="0017131C">
        <w:rPr>
          <w:rFonts w:ascii="Times New Roman" w:hAnsi="Times New Roman"/>
          <w:bCs/>
          <w:i/>
          <w:sz w:val="24"/>
          <w:szCs w:val="24"/>
          <w:u w:val="single"/>
        </w:rPr>
        <w:t>4901:1-10-28(B</w:t>
      </w:r>
      <w:proofErr w:type="gramStart"/>
      <w:r w:rsidRPr="0017131C">
        <w:rPr>
          <w:rFonts w:ascii="Times New Roman" w:hAnsi="Times New Roman"/>
          <w:bCs/>
          <w:i/>
          <w:sz w:val="24"/>
          <w:szCs w:val="24"/>
          <w:u w:val="single"/>
        </w:rPr>
        <w:t>)(</w:t>
      </w:r>
      <w:proofErr w:type="gramEnd"/>
      <w:r w:rsidRPr="0017131C">
        <w:rPr>
          <w:rFonts w:ascii="Times New Roman" w:hAnsi="Times New Roman"/>
          <w:bCs/>
          <w:i/>
          <w:sz w:val="24"/>
          <w:szCs w:val="24"/>
          <w:u w:val="single"/>
        </w:rPr>
        <w:t>9)</w:t>
      </w:r>
    </w:p>
    <w:p w:rsidR="00B66A2D" w:rsidRDefault="000A0BDE" w:rsidP="00FF43F0">
      <w:pPr>
        <w:spacing w:line="480" w:lineRule="auto"/>
        <w:ind w:firstLine="720"/>
        <w:jc w:val="both"/>
        <w:rPr>
          <w:rFonts w:ascii="Times New Roman" w:hAnsi="Times New Roman"/>
          <w:sz w:val="24"/>
          <w:szCs w:val="24"/>
        </w:rPr>
      </w:pPr>
      <w:r w:rsidRPr="00FF43F0">
        <w:rPr>
          <w:rFonts w:ascii="Times New Roman" w:hAnsi="Times New Roman"/>
          <w:bCs/>
          <w:sz w:val="24"/>
          <w:szCs w:val="24"/>
        </w:rPr>
        <w:t>Rule 4901:1-10-28(B</w:t>
      </w:r>
      <w:proofErr w:type="gramStart"/>
      <w:r w:rsidRPr="00FF43F0">
        <w:rPr>
          <w:rFonts w:ascii="Times New Roman" w:hAnsi="Times New Roman"/>
          <w:bCs/>
          <w:sz w:val="24"/>
          <w:szCs w:val="24"/>
        </w:rPr>
        <w:t>)(</w:t>
      </w:r>
      <w:proofErr w:type="gramEnd"/>
      <w:r w:rsidRPr="00FF43F0">
        <w:rPr>
          <w:rFonts w:ascii="Times New Roman" w:hAnsi="Times New Roman"/>
          <w:bCs/>
          <w:sz w:val="24"/>
          <w:szCs w:val="24"/>
        </w:rPr>
        <w:t xml:space="preserve">9) describes how the measurement of net electricity supplied or generated during a billing period should be calculated.  </w:t>
      </w:r>
      <w:r w:rsidR="00AB2EF3" w:rsidRPr="00FF43F0">
        <w:rPr>
          <w:rFonts w:ascii="Times New Roman" w:hAnsi="Times New Roman"/>
          <w:sz w:val="24"/>
          <w:szCs w:val="24"/>
        </w:rPr>
        <w:t>Unfortunately</w:t>
      </w:r>
      <w:r w:rsidRPr="00FF43F0">
        <w:rPr>
          <w:rFonts w:ascii="Times New Roman" w:hAnsi="Times New Roman"/>
          <w:sz w:val="24"/>
          <w:szCs w:val="24"/>
        </w:rPr>
        <w:t>,</w:t>
      </w:r>
      <w:r w:rsidR="00AB2EF3" w:rsidRPr="00FF43F0">
        <w:rPr>
          <w:rFonts w:ascii="Times New Roman" w:hAnsi="Times New Roman"/>
          <w:sz w:val="24"/>
          <w:szCs w:val="24"/>
        </w:rPr>
        <w:t xml:space="preserve"> many</w:t>
      </w:r>
      <w:r w:rsidRPr="00FF43F0">
        <w:rPr>
          <w:rFonts w:ascii="Times New Roman" w:hAnsi="Times New Roman"/>
          <w:sz w:val="24"/>
          <w:szCs w:val="24"/>
        </w:rPr>
        <w:t xml:space="preserve"> electric distribution utility (“EDU”)</w:t>
      </w:r>
      <w:r w:rsidR="00AB2EF3" w:rsidRPr="00FF43F0">
        <w:rPr>
          <w:rFonts w:ascii="Times New Roman" w:hAnsi="Times New Roman"/>
          <w:sz w:val="24"/>
          <w:szCs w:val="24"/>
        </w:rPr>
        <w:t xml:space="preserve"> systems are unable to provide this billing data at the hourly level and only provide summary level data </w:t>
      </w:r>
      <w:r w:rsidRPr="00FF43F0">
        <w:rPr>
          <w:rFonts w:ascii="Times New Roman" w:hAnsi="Times New Roman"/>
          <w:sz w:val="24"/>
          <w:szCs w:val="24"/>
        </w:rPr>
        <w:t>of</w:t>
      </w:r>
      <w:r w:rsidR="00AB2EF3" w:rsidRPr="00FF43F0">
        <w:rPr>
          <w:rFonts w:ascii="Times New Roman" w:hAnsi="Times New Roman"/>
          <w:sz w:val="24"/>
          <w:szCs w:val="24"/>
        </w:rPr>
        <w:t xml:space="preserve"> total load &amp; total generation</w:t>
      </w:r>
      <w:r w:rsidRPr="00FF43F0">
        <w:rPr>
          <w:rFonts w:ascii="Times New Roman" w:hAnsi="Times New Roman"/>
          <w:sz w:val="24"/>
          <w:szCs w:val="24"/>
        </w:rPr>
        <w:t xml:space="preserve"> during the billing period.  The Commission should require </w:t>
      </w:r>
      <w:r w:rsidR="00474C86" w:rsidRPr="00FF43F0">
        <w:rPr>
          <w:rFonts w:ascii="Times New Roman" w:hAnsi="Times New Roman"/>
          <w:sz w:val="24"/>
          <w:szCs w:val="24"/>
        </w:rPr>
        <w:t xml:space="preserve">EDU billing systems </w:t>
      </w:r>
      <w:r w:rsidR="00D716AF">
        <w:rPr>
          <w:rFonts w:ascii="Times New Roman" w:hAnsi="Times New Roman"/>
          <w:sz w:val="24"/>
          <w:szCs w:val="24"/>
        </w:rPr>
        <w:t>possess the capability</w:t>
      </w:r>
      <w:r w:rsidR="00474C86" w:rsidRPr="00FF43F0">
        <w:rPr>
          <w:rFonts w:ascii="Times New Roman" w:hAnsi="Times New Roman"/>
          <w:sz w:val="24"/>
          <w:szCs w:val="24"/>
        </w:rPr>
        <w:t xml:space="preserve"> of communicating</w:t>
      </w:r>
      <w:r w:rsidR="00CC5DAB">
        <w:rPr>
          <w:rFonts w:ascii="Times New Roman" w:hAnsi="Times New Roman"/>
          <w:sz w:val="24"/>
          <w:szCs w:val="24"/>
        </w:rPr>
        <w:t xml:space="preserve"> hourly</w:t>
      </w:r>
      <w:r w:rsidR="0096362B">
        <w:rPr>
          <w:rFonts w:ascii="Times New Roman" w:hAnsi="Times New Roman"/>
          <w:sz w:val="24"/>
          <w:szCs w:val="24"/>
        </w:rPr>
        <w:t xml:space="preserve"> load and generation information </w:t>
      </w:r>
      <w:r w:rsidR="00474C86" w:rsidRPr="00FF43F0">
        <w:rPr>
          <w:rFonts w:ascii="Times New Roman" w:hAnsi="Times New Roman"/>
          <w:sz w:val="24"/>
          <w:szCs w:val="24"/>
        </w:rPr>
        <w:t>to the customer and CRES</w:t>
      </w:r>
      <w:r w:rsidR="00B66A2D">
        <w:rPr>
          <w:rFonts w:ascii="Times New Roman" w:hAnsi="Times New Roman"/>
          <w:sz w:val="24"/>
          <w:szCs w:val="24"/>
        </w:rPr>
        <w:t xml:space="preserve"> </w:t>
      </w:r>
      <w:r w:rsidR="00CC5DAB">
        <w:rPr>
          <w:rFonts w:ascii="Times New Roman" w:hAnsi="Times New Roman"/>
          <w:sz w:val="24"/>
          <w:szCs w:val="24"/>
        </w:rPr>
        <w:t xml:space="preserve">provider </w:t>
      </w:r>
      <w:r w:rsidR="00B66A2D">
        <w:rPr>
          <w:rFonts w:ascii="Times New Roman" w:hAnsi="Times New Roman"/>
          <w:sz w:val="24"/>
          <w:szCs w:val="24"/>
        </w:rPr>
        <w:t xml:space="preserve">within 48 hours </w:t>
      </w:r>
      <w:r w:rsidR="00C36BC4">
        <w:rPr>
          <w:rFonts w:ascii="Times New Roman" w:hAnsi="Times New Roman"/>
          <w:sz w:val="24"/>
          <w:szCs w:val="24"/>
        </w:rPr>
        <w:t>of that particular hour’s usage</w:t>
      </w:r>
      <w:r w:rsidR="00B66A2D">
        <w:rPr>
          <w:rFonts w:ascii="Times New Roman" w:hAnsi="Times New Roman"/>
          <w:sz w:val="24"/>
          <w:szCs w:val="24"/>
        </w:rPr>
        <w:t>.</w:t>
      </w:r>
      <w:r w:rsidR="00CC5DAB">
        <w:rPr>
          <w:rFonts w:ascii="Times New Roman" w:hAnsi="Times New Roman"/>
          <w:sz w:val="24"/>
          <w:szCs w:val="24"/>
        </w:rPr>
        <w:t xml:space="preserve">  </w:t>
      </w:r>
      <w:r w:rsidR="00CC5DAB" w:rsidRPr="00FF43F0">
        <w:rPr>
          <w:rFonts w:ascii="Times New Roman" w:hAnsi="Times New Roman"/>
          <w:sz w:val="24"/>
          <w:szCs w:val="24"/>
        </w:rPr>
        <w:t>Direct Energy recognizes that such a change would likely entail programming changes by the EDUs and suggests the Commission grant EDUs one year from the date of the Commission’s original Finding and Order in this proceeding to implement this change.</w:t>
      </w:r>
      <w:r w:rsidR="00CC5DAB">
        <w:rPr>
          <w:rFonts w:ascii="Times New Roman" w:hAnsi="Times New Roman"/>
          <w:sz w:val="24"/>
          <w:szCs w:val="24"/>
        </w:rPr>
        <w:t xml:space="preserve">  Alternatively, while a less preferred option, the Commission should require that hourly usage data be transmitted with the summary load and generation data at the end of a customer’s billing cycle.</w:t>
      </w:r>
    </w:p>
    <w:p w:rsidR="00AB2EF3" w:rsidRPr="00FF43F0" w:rsidRDefault="00CC5DAB" w:rsidP="00FF43F0">
      <w:pPr>
        <w:spacing w:line="480" w:lineRule="auto"/>
        <w:ind w:firstLine="720"/>
        <w:jc w:val="both"/>
        <w:rPr>
          <w:rFonts w:ascii="Times New Roman" w:hAnsi="Times New Roman"/>
          <w:sz w:val="24"/>
          <w:szCs w:val="24"/>
        </w:rPr>
      </w:pPr>
      <w:r w:rsidRPr="00FF43F0">
        <w:rPr>
          <w:rFonts w:ascii="Times New Roman" w:hAnsi="Times New Roman"/>
          <w:sz w:val="24"/>
          <w:szCs w:val="24"/>
        </w:rPr>
        <w:t>The lack of hourly data from the EDU limits many of the products a CRES provider can offer.</w:t>
      </w:r>
      <w:r>
        <w:rPr>
          <w:rFonts w:ascii="Times New Roman" w:hAnsi="Times New Roman"/>
          <w:sz w:val="24"/>
          <w:szCs w:val="24"/>
        </w:rPr>
        <w:t xml:space="preserve">  </w:t>
      </w:r>
      <w:r w:rsidR="00CA35F7">
        <w:rPr>
          <w:rFonts w:ascii="Times New Roman" w:hAnsi="Times New Roman"/>
          <w:sz w:val="24"/>
          <w:szCs w:val="24"/>
        </w:rPr>
        <w:t xml:space="preserve">Without hourly data a CRES </w:t>
      </w:r>
      <w:r w:rsidR="008E246F">
        <w:rPr>
          <w:rFonts w:ascii="Times New Roman" w:hAnsi="Times New Roman"/>
          <w:sz w:val="24"/>
          <w:szCs w:val="24"/>
        </w:rPr>
        <w:t xml:space="preserve">provider </w:t>
      </w:r>
      <w:r w:rsidR="00CA35F7">
        <w:rPr>
          <w:rFonts w:ascii="Times New Roman" w:hAnsi="Times New Roman"/>
          <w:sz w:val="24"/>
          <w:szCs w:val="24"/>
        </w:rPr>
        <w:t>cannot offer a time of use product because it cannot reconcile this information for billing purposes.</w:t>
      </w:r>
      <w:r w:rsidR="0017131C" w:rsidRPr="00FF43F0">
        <w:rPr>
          <w:rFonts w:ascii="Times New Roman" w:hAnsi="Times New Roman"/>
          <w:sz w:val="24"/>
          <w:szCs w:val="24"/>
        </w:rPr>
        <w:t xml:space="preserve"> </w:t>
      </w:r>
      <w:r w:rsidR="00CA35F7">
        <w:rPr>
          <w:rFonts w:ascii="Times New Roman" w:hAnsi="Times New Roman"/>
          <w:sz w:val="24"/>
          <w:szCs w:val="24"/>
        </w:rPr>
        <w:t xml:space="preserve"> Further, the hourly data would also provide CRES providers an opportunity to offer demand response products to customers.  Finally, having this data would also permit CRES providers to provide better customer service, specifically (but not limited to) the ability to spot </w:t>
      </w:r>
      <w:r w:rsidR="00E35457">
        <w:rPr>
          <w:rFonts w:ascii="Times New Roman" w:hAnsi="Times New Roman"/>
          <w:sz w:val="24"/>
          <w:szCs w:val="24"/>
        </w:rPr>
        <w:t xml:space="preserve">irregularities </w:t>
      </w:r>
      <w:r w:rsidR="00CA35F7">
        <w:rPr>
          <w:rFonts w:ascii="Times New Roman" w:hAnsi="Times New Roman"/>
          <w:sz w:val="24"/>
          <w:szCs w:val="24"/>
        </w:rPr>
        <w:t xml:space="preserve">in usage patterns for customers and suggest the customer investigate to determine if there are equipment failures or other reasons for </w:t>
      </w:r>
      <w:r w:rsidR="00CA35F7">
        <w:rPr>
          <w:rFonts w:ascii="Times New Roman" w:hAnsi="Times New Roman"/>
          <w:sz w:val="24"/>
          <w:szCs w:val="24"/>
        </w:rPr>
        <w:lastRenderedPageBreak/>
        <w:t>unexplained changes in usage. Thus, t</w:t>
      </w:r>
      <w:r w:rsidR="00CA35F7" w:rsidRPr="00FF43F0">
        <w:rPr>
          <w:rFonts w:ascii="Times New Roman" w:hAnsi="Times New Roman"/>
          <w:sz w:val="24"/>
          <w:szCs w:val="24"/>
        </w:rPr>
        <w:t>his capability would afford CRES providers a much improved ability to offer innovative net metering products to customers</w:t>
      </w:r>
      <w:r w:rsidR="00E35457">
        <w:rPr>
          <w:rFonts w:ascii="Times New Roman" w:hAnsi="Times New Roman"/>
          <w:sz w:val="24"/>
          <w:szCs w:val="24"/>
        </w:rPr>
        <w:t xml:space="preserve">.  </w:t>
      </w:r>
    </w:p>
    <w:p w:rsidR="0017131C" w:rsidRPr="00FF43F0" w:rsidRDefault="0017131C" w:rsidP="00C830EE">
      <w:pPr>
        <w:spacing w:line="480" w:lineRule="auto"/>
        <w:ind w:firstLine="720"/>
        <w:rPr>
          <w:rFonts w:ascii="Times New Roman" w:hAnsi="Times New Roman"/>
          <w:i/>
          <w:sz w:val="24"/>
          <w:szCs w:val="24"/>
          <w:u w:val="single"/>
        </w:rPr>
      </w:pPr>
      <w:r w:rsidRPr="00FF43F0">
        <w:rPr>
          <w:rFonts w:ascii="Times New Roman" w:hAnsi="Times New Roman"/>
          <w:i/>
          <w:sz w:val="24"/>
          <w:szCs w:val="24"/>
          <w:u w:val="single"/>
        </w:rPr>
        <w:t>Rule 4901:1-10-28(B</w:t>
      </w:r>
      <w:proofErr w:type="gramStart"/>
      <w:r w:rsidRPr="00FF43F0">
        <w:rPr>
          <w:rFonts w:ascii="Times New Roman" w:hAnsi="Times New Roman"/>
          <w:i/>
          <w:sz w:val="24"/>
          <w:szCs w:val="24"/>
          <w:u w:val="single"/>
        </w:rPr>
        <w:t>)(</w:t>
      </w:r>
      <w:proofErr w:type="gramEnd"/>
      <w:r w:rsidRPr="00FF43F0">
        <w:rPr>
          <w:rFonts w:ascii="Times New Roman" w:hAnsi="Times New Roman"/>
          <w:i/>
          <w:sz w:val="24"/>
          <w:szCs w:val="24"/>
          <w:u w:val="single"/>
        </w:rPr>
        <w:t>10)</w:t>
      </w:r>
    </w:p>
    <w:p w:rsidR="00C830EE" w:rsidRPr="00C830EE" w:rsidRDefault="00C830EE" w:rsidP="00FF43F0">
      <w:pPr>
        <w:spacing w:line="480" w:lineRule="auto"/>
        <w:ind w:firstLine="720"/>
        <w:jc w:val="both"/>
        <w:rPr>
          <w:rFonts w:ascii="Times New Roman" w:hAnsi="Times New Roman"/>
          <w:color w:val="1F497D"/>
          <w:sz w:val="24"/>
          <w:szCs w:val="24"/>
        </w:rPr>
      </w:pPr>
      <w:r w:rsidRPr="00FF43F0">
        <w:rPr>
          <w:rFonts w:ascii="Times New Roman" w:hAnsi="Times New Roman"/>
          <w:sz w:val="24"/>
          <w:szCs w:val="24"/>
        </w:rPr>
        <w:t xml:space="preserve">Newly proposed </w:t>
      </w:r>
      <w:r w:rsidR="00CA777E" w:rsidRPr="00FF43F0">
        <w:rPr>
          <w:rFonts w:ascii="Times New Roman" w:hAnsi="Times New Roman"/>
          <w:sz w:val="24"/>
          <w:szCs w:val="24"/>
        </w:rPr>
        <w:t>Rule 4901:1-10-</w:t>
      </w:r>
      <w:r w:rsidRPr="00FF43F0">
        <w:rPr>
          <w:rFonts w:ascii="Times New Roman" w:hAnsi="Times New Roman"/>
          <w:bCs/>
          <w:sz w:val="24"/>
          <w:szCs w:val="24"/>
        </w:rPr>
        <w:t>28(B</w:t>
      </w:r>
      <w:proofErr w:type="gramStart"/>
      <w:r w:rsidRPr="00FF43F0">
        <w:rPr>
          <w:rFonts w:ascii="Times New Roman" w:hAnsi="Times New Roman"/>
          <w:bCs/>
          <w:sz w:val="24"/>
          <w:szCs w:val="24"/>
        </w:rPr>
        <w:t>)(</w:t>
      </w:r>
      <w:proofErr w:type="gramEnd"/>
      <w:r w:rsidRPr="00FF43F0">
        <w:rPr>
          <w:rFonts w:ascii="Times New Roman" w:hAnsi="Times New Roman"/>
          <w:bCs/>
          <w:sz w:val="24"/>
          <w:szCs w:val="24"/>
        </w:rPr>
        <w:t>10) states as follows:  “</w:t>
      </w:r>
      <w:r w:rsidRPr="00FF43F0">
        <w:rPr>
          <w:rFonts w:ascii="Times New Roman" w:eastAsiaTheme="minorHAnsi" w:hAnsi="Times New Roman"/>
          <w:sz w:val="24"/>
          <w:szCs w:val="24"/>
        </w:rPr>
        <w:t xml:space="preserve">The electric utility shall issue a </w:t>
      </w:r>
      <w:r>
        <w:rPr>
          <w:rFonts w:ascii="Times New Roman" w:eastAsiaTheme="minorHAnsi" w:hAnsi="Times New Roman"/>
          <w:sz w:val="24"/>
          <w:szCs w:val="24"/>
        </w:rPr>
        <w:t>refund to the customer-generator for the amount of the credit remaining in the net excess generation account at the end of the twelve month period of June 1 to May 31, regardless of whether the customer-generator is receiving generation from the electric utility or a competitive retail electric service provider. This refund shall be equivalent to an annual true-up of net excess generation and should be calculated at the rate the customer-generator pays for generation. The refund should be issued to customer-generators by July 1 of each year.”</w:t>
      </w:r>
    </w:p>
    <w:p w:rsidR="00E00730" w:rsidRPr="00E00730" w:rsidRDefault="00E00730" w:rsidP="00E00730">
      <w:pPr>
        <w:pStyle w:val="ListParagraph"/>
        <w:numPr>
          <w:ilvl w:val="0"/>
          <w:numId w:val="3"/>
        </w:numPr>
        <w:spacing w:line="480" w:lineRule="auto"/>
        <w:jc w:val="both"/>
        <w:rPr>
          <w:rFonts w:ascii="Times New Roman" w:hAnsi="Times New Roman"/>
          <w:bCs/>
          <w:i/>
          <w:sz w:val="24"/>
          <w:szCs w:val="24"/>
        </w:rPr>
      </w:pPr>
      <w:r>
        <w:rPr>
          <w:rFonts w:ascii="Times New Roman" w:hAnsi="Times New Roman"/>
          <w:bCs/>
          <w:i/>
          <w:sz w:val="24"/>
          <w:szCs w:val="24"/>
        </w:rPr>
        <w:t>Customer-G</w:t>
      </w:r>
      <w:r w:rsidRPr="00E00730">
        <w:rPr>
          <w:rFonts w:ascii="Times New Roman" w:hAnsi="Times New Roman"/>
          <w:bCs/>
          <w:i/>
          <w:sz w:val="24"/>
          <w:szCs w:val="24"/>
        </w:rPr>
        <w:t>enerat</w:t>
      </w:r>
      <w:r>
        <w:rPr>
          <w:rFonts w:ascii="Times New Roman" w:hAnsi="Times New Roman"/>
          <w:bCs/>
          <w:i/>
          <w:sz w:val="24"/>
          <w:szCs w:val="24"/>
        </w:rPr>
        <w:t>or</w:t>
      </w:r>
      <w:r w:rsidRPr="00E00730">
        <w:rPr>
          <w:rFonts w:ascii="Times New Roman" w:hAnsi="Times New Roman"/>
          <w:bCs/>
          <w:i/>
          <w:sz w:val="24"/>
          <w:szCs w:val="24"/>
        </w:rPr>
        <w:t xml:space="preserve"> </w:t>
      </w:r>
      <w:r>
        <w:rPr>
          <w:rFonts w:ascii="Times New Roman" w:hAnsi="Times New Roman"/>
          <w:bCs/>
          <w:i/>
          <w:sz w:val="24"/>
          <w:szCs w:val="24"/>
        </w:rPr>
        <w:t>R</w:t>
      </w:r>
      <w:r w:rsidRPr="00E00730">
        <w:rPr>
          <w:rFonts w:ascii="Times New Roman" w:hAnsi="Times New Roman"/>
          <w:bCs/>
          <w:i/>
          <w:sz w:val="24"/>
          <w:szCs w:val="24"/>
        </w:rPr>
        <w:t xml:space="preserve">efund </w:t>
      </w:r>
      <w:r>
        <w:rPr>
          <w:rFonts w:ascii="Times New Roman" w:hAnsi="Times New Roman"/>
          <w:bCs/>
          <w:i/>
          <w:sz w:val="24"/>
          <w:szCs w:val="24"/>
        </w:rPr>
        <w:t>R</w:t>
      </w:r>
      <w:r w:rsidRPr="00E00730">
        <w:rPr>
          <w:rFonts w:ascii="Times New Roman" w:hAnsi="Times New Roman"/>
          <w:bCs/>
          <w:i/>
          <w:sz w:val="24"/>
          <w:szCs w:val="24"/>
        </w:rPr>
        <w:t>ate</w:t>
      </w:r>
    </w:p>
    <w:p w:rsidR="00DA34E3" w:rsidRDefault="00E00730" w:rsidP="00FF43F0">
      <w:pPr>
        <w:spacing w:line="480" w:lineRule="auto"/>
        <w:ind w:firstLine="720"/>
        <w:jc w:val="both"/>
        <w:rPr>
          <w:rFonts w:ascii="Times New Roman" w:eastAsiaTheme="minorHAnsi" w:hAnsi="Times New Roman"/>
          <w:sz w:val="24"/>
          <w:szCs w:val="24"/>
        </w:rPr>
      </w:pPr>
      <w:r>
        <w:rPr>
          <w:rFonts w:ascii="Times New Roman" w:hAnsi="Times New Roman"/>
          <w:bCs/>
          <w:sz w:val="24"/>
          <w:szCs w:val="24"/>
        </w:rPr>
        <w:t>T</w:t>
      </w:r>
      <w:r w:rsidR="00EF27DC">
        <w:rPr>
          <w:rFonts w:ascii="Times New Roman" w:hAnsi="Times New Roman"/>
          <w:bCs/>
          <w:sz w:val="24"/>
          <w:szCs w:val="24"/>
        </w:rPr>
        <w:t xml:space="preserve">he </w:t>
      </w:r>
      <w:r w:rsidR="00DA34E3">
        <w:rPr>
          <w:rFonts w:ascii="Times New Roman" w:hAnsi="Times New Roman"/>
          <w:bCs/>
          <w:sz w:val="24"/>
          <w:szCs w:val="24"/>
        </w:rPr>
        <w:t xml:space="preserve">portion of the </w:t>
      </w:r>
      <w:r w:rsidR="00EF27DC">
        <w:rPr>
          <w:rFonts w:ascii="Times New Roman" w:hAnsi="Times New Roman"/>
          <w:bCs/>
          <w:sz w:val="24"/>
          <w:szCs w:val="24"/>
        </w:rPr>
        <w:t xml:space="preserve">proposed rule </w:t>
      </w:r>
      <w:r w:rsidR="00DA34E3">
        <w:rPr>
          <w:rFonts w:ascii="Times New Roman" w:hAnsi="Times New Roman"/>
          <w:bCs/>
          <w:sz w:val="24"/>
          <w:szCs w:val="24"/>
        </w:rPr>
        <w:t xml:space="preserve">that requires a refund be </w:t>
      </w:r>
      <w:r w:rsidR="00DA34E3">
        <w:rPr>
          <w:rFonts w:ascii="Times New Roman" w:eastAsiaTheme="minorHAnsi" w:hAnsi="Times New Roman"/>
          <w:sz w:val="24"/>
          <w:szCs w:val="24"/>
        </w:rPr>
        <w:t>calculated at the rate the customer-generator pays for generation suffers from several defects</w:t>
      </w:r>
      <w:r>
        <w:rPr>
          <w:rFonts w:ascii="Times New Roman" w:eastAsiaTheme="minorHAnsi" w:hAnsi="Times New Roman"/>
          <w:sz w:val="24"/>
          <w:szCs w:val="24"/>
        </w:rPr>
        <w:t xml:space="preserve"> and should not be adopted</w:t>
      </w:r>
      <w:r w:rsidR="00DA34E3">
        <w:rPr>
          <w:rFonts w:ascii="Times New Roman" w:eastAsiaTheme="minorHAnsi" w:hAnsi="Times New Roman"/>
          <w:sz w:val="24"/>
          <w:szCs w:val="24"/>
        </w:rPr>
        <w:t>.</w:t>
      </w:r>
    </w:p>
    <w:p w:rsidR="00607ADB" w:rsidRDefault="00DA34E3" w:rsidP="00607ADB">
      <w:pPr>
        <w:spacing w:line="48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First, the Commission l</w:t>
      </w:r>
      <w:r w:rsidR="00134565">
        <w:rPr>
          <w:rFonts w:ascii="Times New Roman" w:eastAsiaTheme="minorHAnsi" w:hAnsi="Times New Roman"/>
          <w:sz w:val="24"/>
          <w:szCs w:val="24"/>
        </w:rPr>
        <w:t>acks statutory authority to adopt this portion of the rule</w:t>
      </w:r>
      <w:r w:rsidR="00E025A8">
        <w:rPr>
          <w:rFonts w:ascii="Times New Roman" w:eastAsiaTheme="minorHAnsi" w:hAnsi="Times New Roman"/>
          <w:sz w:val="24"/>
          <w:szCs w:val="24"/>
        </w:rPr>
        <w:t xml:space="preserve"> inasmuch as </w:t>
      </w:r>
      <w:r w:rsidR="00134565">
        <w:rPr>
          <w:rFonts w:ascii="Times New Roman" w:eastAsiaTheme="minorHAnsi" w:hAnsi="Times New Roman"/>
          <w:sz w:val="24"/>
          <w:szCs w:val="24"/>
        </w:rPr>
        <w:t xml:space="preserve">mandating a particular refund rate is rate regulation.  The Commission does not possess the authority to regulate </w:t>
      </w:r>
      <w:r w:rsidR="00932688">
        <w:rPr>
          <w:rFonts w:ascii="Times New Roman" w:eastAsiaTheme="minorHAnsi" w:hAnsi="Times New Roman"/>
          <w:sz w:val="24"/>
          <w:szCs w:val="24"/>
        </w:rPr>
        <w:t>supplier rates and therefore th</w:t>
      </w:r>
      <w:r w:rsidR="00E025A8">
        <w:rPr>
          <w:rFonts w:ascii="Times New Roman" w:eastAsiaTheme="minorHAnsi" w:hAnsi="Times New Roman"/>
          <w:sz w:val="24"/>
          <w:szCs w:val="24"/>
        </w:rPr>
        <w:t>is</w:t>
      </w:r>
      <w:r w:rsidR="00932688">
        <w:rPr>
          <w:rFonts w:ascii="Times New Roman" w:eastAsiaTheme="minorHAnsi" w:hAnsi="Times New Roman"/>
          <w:sz w:val="24"/>
          <w:szCs w:val="24"/>
        </w:rPr>
        <w:t xml:space="preserve"> portion of the proposed rule should not be adopted</w:t>
      </w:r>
      <w:r w:rsidR="00134565">
        <w:rPr>
          <w:rFonts w:ascii="Times New Roman" w:eastAsiaTheme="minorHAnsi" w:hAnsi="Times New Roman"/>
          <w:sz w:val="24"/>
          <w:szCs w:val="24"/>
        </w:rPr>
        <w:t xml:space="preserve">. </w:t>
      </w:r>
    </w:p>
    <w:p w:rsidR="00A33DF8" w:rsidRDefault="00607ADB" w:rsidP="00607ADB">
      <w:pPr>
        <w:spacing w:line="480" w:lineRule="auto"/>
        <w:ind w:firstLine="720"/>
        <w:jc w:val="both"/>
        <w:rPr>
          <w:rFonts w:ascii="Times New Roman" w:hAnsi="Times New Roman"/>
          <w:bCs/>
          <w:sz w:val="24"/>
          <w:szCs w:val="24"/>
        </w:rPr>
      </w:pPr>
      <w:r>
        <w:rPr>
          <w:rFonts w:ascii="Times New Roman" w:eastAsiaTheme="minorHAnsi" w:hAnsi="Times New Roman"/>
          <w:sz w:val="24"/>
          <w:szCs w:val="24"/>
        </w:rPr>
        <w:t xml:space="preserve">Further, </w:t>
      </w:r>
      <w:r w:rsidR="00DA34E3">
        <w:rPr>
          <w:rFonts w:ascii="Times New Roman" w:eastAsiaTheme="minorHAnsi" w:hAnsi="Times New Roman"/>
          <w:sz w:val="24"/>
          <w:szCs w:val="24"/>
        </w:rPr>
        <w:t xml:space="preserve">the rule </w:t>
      </w:r>
      <w:r w:rsidR="00EF27DC">
        <w:rPr>
          <w:rFonts w:ascii="Times New Roman" w:hAnsi="Times New Roman"/>
          <w:bCs/>
          <w:sz w:val="24"/>
          <w:szCs w:val="24"/>
        </w:rPr>
        <w:t xml:space="preserve">is </w:t>
      </w:r>
      <w:r w:rsidR="006A7391">
        <w:rPr>
          <w:rFonts w:ascii="Times New Roman" w:hAnsi="Times New Roman"/>
          <w:bCs/>
          <w:sz w:val="24"/>
          <w:szCs w:val="24"/>
        </w:rPr>
        <w:t xml:space="preserve">also </w:t>
      </w:r>
      <w:r w:rsidR="00EF27DC">
        <w:rPr>
          <w:rFonts w:ascii="Times New Roman" w:hAnsi="Times New Roman"/>
          <w:bCs/>
          <w:sz w:val="24"/>
          <w:szCs w:val="24"/>
        </w:rPr>
        <w:t xml:space="preserve">so prescriptive it </w:t>
      </w:r>
      <w:r w:rsidR="00932688">
        <w:rPr>
          <w:rFonts w:ascii="Times New Roman" w:hAnsi="Times New Roman"/>
          <w:bCs/>
          <w:sz w:val="24"/>
          <w:szCs w:val="24"/>
        </w:rPr>
        <w:t>pigeonholes</w:t>
      </w:r>
      <w:r w:rsidR="00EF27DC">
        <w:rPr>
          <w:rFonts w:ascii="Times New Roman" w:hAnsi="Times New Roman"/>
          <w:bCs/>
          <w:sz w:val="24"/>
          <w:szCs w:val="24"/>
        </w:rPr>
        <w:t xml:space="preserve"> customers and CRES </w:t>
      </w:r>
      <w:r w:rsidR="008E246F">
        <w:rPr>
          <w:rFonts w:ascii="Times New Roman" w:hAnsi="Times New Roman"/>
          <w:bCs/>
          <w:sz w:val="24"/>
          <w:szCs w:val="24"/>
        </w:rPr>
        <w:t xml:space="preserve">providers </w:t>
      </w:r>
      <w:r w:rsidR="00EF27DC">
        <w:rPr>
          <w:rFonts w:ascii="Times New Roman" w:hAnsi="Times New Roman"/>
          <w:bCs/>
          <w:sz w:val="24"/>
          <w:szCs w:val="24"/>
        </w:rPr>
        <w:t xml:space="preserve">into narrow contract </w:t>
      </w:r>
      <w:r w:rsidR="00BE4B27">
        <w:rPr>
          <w:rFonts w:ascii="Times New Roman" w:hAnsi="Times New Roman"/>
          <w:bCs/>
          <w:sz w:val="24"/>
          <w:szCs w:val="24"/>
        </w:rPr>
        <w:t xml:space="preserve">terms and precludes the ability of customers and CRES </w:t>
      </w:r>
      <w:r w:rsidR="008E246F">
        <w:rPr>
          <w:rFonts w:ascii="Times New Roman" w:hAnsi="Times New Roman"/>
          <w:bCs/>
          <w:sz w:val="24"/>
          <w:szCs w:val="24"/>
        </w:rPr>
        <w:t xml:space="preserve">providers </w:t>
      </w:r>
      <w:r w:rsidR="00BE4B27">
        <w:rPr>
          <w:rFonts w:ascii="Times New Roman" w:hAnsi="Times New Roman"/>
          <w:bCs/>
          <w:sz w:val="24"/>
          <w:szCs w:val="24"/>
        </w:rPr>
        <w:t>to enter into creative contract terms related to net metering.  The fact that a customer is a net metering customer demonstrates that</w:t>
      </w:r>
      <w:r w:rsidR="00932688">
        <w:rPr>
          <w:rFonts w:ascii="Times New Roman" w:hAnsi="Times New Roman"/>
          <w:bCs/>
          <w:sz w:val="24"/>
          <w:szCs w:val="24"/>
        </w:rPr>
        <w:t xml:space="preserve"> the </w:t>
      </w:r>
      <w:r w:rsidR="00BE4B27">
        <w:rPr>
          <w:rFonts w:ascii="Times New Roman" w:hAnsi="Times New Roman"/>
          <w:bCs/>
          <w:sz w:val="24"/>
          <w:szCs w:val="24"/>
        </w:rPr>
        <w:t>customer is probably much more</w:t>
      </w:r>
      <w:r w:rsidR="00BE6512">
        <w:rPr>
          <w:rFonts w:ascii="Times New Roman" w:hAnsi="Times New Roman"/>
          <w:bCs/>
          <w:sz w:val="24"/>
          <w:szCs w:val="24"/>
        </w:rPr>
        <w:t xml:space="preserve"> sophisticated about their energy usage </w:t>
      </w:r>
      <w:r w:rsidR="00BE4B27">
        <w:rPr>
          <w:rFonts w:ascii="Times New Roman" w:hAnsi="Times New Roman"/>
          <w:bCs/>
          <w:sz w:val="24"/>
          <w:szCs w:val="24"/>
        </w:rPr>
        <w:t>than an ordinary customer and therefore do</w:t>
      </w:r>
      <w:r w:rsidR="009F4561">
        <w:rPr>
          <w:rFonts w:ascii="Times New Roman" w:hAnsi="Times New Roman"/>
          <w:bCs/>
          <w:sz w:val="24"/>
          <w:szCs w:val="24"/>
        </w:rPr>
        <w:t>es</w:t>
      </w:r>
      <w:r w:rsidR="00BE4B27">
        <w:rPr>
          <w:rFonts w:ascii="Times New Roman" w:hAnsi="Times New Roman"/>
          <w:bCs/>
          <w:sz w:val="24"/>
          <w:szCs w:val="24"/>
        </w:rPr>
        <w:t xml:space="preserve"> not need the type of protection that this draft rule appears to try to provide.</w:t>
      </w:r>
      <w:r w:rsidR="0017131C">
        <w:rPr>
          <w:rFonts w:ascii="Times New Roman" w:hAnsi="Times New Roman"/>
          <w:bCs/>
          <w:sz w:val="24"/>
          <w:szCs w:val="24"/>
        </w:rPr>
        <w:t xml:space="preserve">  </w:t>
      </w:r>
      <w:r w:rsidR="00742415">
        <w:rPr>
          <w:rFonts w:ascii="Times New Roman" w:hAnsi="Times New Roman"/>
          <w:bCs/>
          <w:sz w:val="24"/>
          <w:szCs w:val="24"/>
        </w:rPr>
        <w:t>The Commission should reject this section of the</w:t>
      </w:r>
      <w:r w:rsidR="0017131C">
        <w:rPr>
          <w:rFonts w:ascii="Times New Roman" w:hAnsi="Times New Roman"/>
          <w:bCs/>
          <w:sz w:val="24"/>
          <w:szCs w:val="24"/>
        </w:rPr>
        <w:t xml:space="preserve"> proposed rule </w:t>
      </w:r>
      <w:r w:rsidR="0017131C">
        <w:rPr>
          <w:rFonts w:ascii="Times New Roman" w:hAnsi="Times New Roman"/>
          <w:bCs/>
          <w:sz w:val="24"/>
          <w:szCs w:val="24"/>
        </w:rPr>
        <w:lastRenderedPageBreak/>
        <w:t xml:space="preserve">and preserve the freedom of customers and net metered customers to contract as they mutually see fit.  </w:t>
      </w:r>
      <w:r w:rsidR="004505D7">
        <w:rPr>
          <w:rFonts w:ascii="Times New Roman" w:hAnsi="Times New Roman"/>
          <w:bCs/>
          <w:sz w:val="24"/>
          <w:szCs w:val="24"/>
        </w:rPr>
        <w:t xml:space="preserve">However, if the Commission denies </w:t>
      </w:r>
      <w:r w:rsidR="004505D7" w:rsidRPr="004505D7">
        <w:rPr>
          <w:rFonts w:ascii="Times New Roman" w:hAnsi="Times New Roman"/>
          <w:bCs/>
          <w:sz w:val="24"/>
          <w:szCs w:val="24"/>
        </w:rPr>
        <w:t>Direct Energy</w:t>
      </w:r>
      <w:r w:rsidR="004505D7">
        <w:rPr>
          <w:rFonts w:ascii="Times New Roman" w:hAnsi="Times New Roman"/>
          <w:bCs/>
          <w:sz w:val="24"/>
          <w:szCs w:val="24"/>
        </w:rPr>
        <w:t>’s request to reject th</w:t>
      </w:r>
      <w:r w:rsidR="00742415">
        <w:rPr>
          <w:rFonts w:ascii="Times New Roman" w:hAnsi="Times New Roman"/>
          <w:bCs/>
          <w:sz w:val="24"/>
          <w:szCs w:val="24"/>
        </w:rPr>
        <w:t>is portion of the</w:t>
      </w:r>
      <w:r w:rsidR="004505D7">
        <w:rPr>
          <w:rFonts w:ascii="Times New Roman" w:hAnsi="Times New Roman"/>
          <w:bCs/>
          <w:sz w:val="24"/>
          <w:szCs w:val="24"/>
        </w:rPr>
        <w:t xml:space="preserve"> proposed rule, </w:t>
      </w:r>
      <w:r w:rsidR="004505D7" w:rsidRPr="004505D7">
        <w:rPr>
          <w:rFonts w:ascii="Times New Roman" w:hAnsi="Times New Roman"/>
          <w:bCs/>
          <w:sz w:val="24"/>
          <w:szCs w:val="24"/>
        </w:rPr>
        <w:t>Direct Energy</w:t>
      </w:r>
      <w:r w:rsidR="004505D7">
        <w:rPr>
          <w:rFonts w:ascii="Times New Roman" w:hAnsi="Times New Roman"/>
          <w:bCs/>
          <w:sz w:val="24"/>
          <w:szCs w:val="24"/>
        </w:rPr>
        <w:t xml:space="preserve"> </w:t>
      </w:r>
      <w:r w:rsidR="00262FCC">
        <w:rPr>
          <w:rFonts w:ascii="Times New Roman" w:hAnsi="Times New Roman"/>
          <w:bCs/>
          <w:sz w:val="24"/>
          <w:szCs w:val="24"/>
        </w:rPr>
        <w:t xml:space="preserve">alternatively </w:t>
      </w:r>
      <w:r w:rsidR="004505D7">
        <w:rPr>
          <w:rFonts w:ascii="Times New Roman" w:hAnsi="Times New Roman"/>
          <w:bCs/>
          <w:sz w:val="24"/>
          <w:szCs w:val="24"/>
        </w:rPr>
        <w:t xml:space="preserve">requests the Commission make the proposed rule only applicable to residential customer contracts.  </w:t>
      </w:r>
      <w:r w:rsidR="00A33DF8">
        <w:rPr>
          <w:rFonts w:ascii="Times New Roman" w:hAnsi="Times New Roman"/>
          <w:bCs/>
          <w:sz w:val="24"/>
          <w:szCs w:val="24"/>
        </w:rPr>
        <w:t xml:space="preserve">As noted above, net metered customers have already demonstrated </w:t>
      </w:r>
      <w:r w:rsidR="00D97D80">
        <w:rPr>
          <w:rFonts w:ascii="Times New Roman" w:hAnsi="Times New Roman"/>
          <w:bCs/>
          <w:sz w:val="24"/>
          <w:szCs w:val="24"/>
        </w:rPr>
        <w:t xml:space="preserve">their sophistication and non-residential customers are much better </w:t>
      </w:r>
      <w:proofErr w:type="gramStart"/>
      <w:r w:rsidR="00D97D80">
        <w:rPr>
          <w:rFonts w:ascii="Times New Roman" w:hAnsi="Times New Roman"/>
          <w:bCs/>
          <w:sz w:val="24"/>
          <w:szCs w:val="24"/>
        </w:rPr>
        <w:t xml:space="preserve">situated </w:t>
      </w:r>
      <w:r w:rsidR="00932688">
        <w:rPr>
          <w:rFonts w:ascii="Times New Roman" w:hAnsi="Times New Roman"/>
          <w:bCs/>
          <w:sz w:val="24"/>
          <w:szCs w:val="24"/>
        </w:rPr>
        <w:t xml:space="preserve"> than</w:t>
      </w:r>
      <w:proofErr w:type="gramEnd"/>
      <w:r w:rsidR="00932688">
        <w:rPr>
          <w:rFonts w:ascii="Times New Roman" w:hAnsi="Times New Roman"/>
          <w:bCs/>
          <w:sz w:val="24"/>
          <w:szCs w:val="24"/>
        </w:rPr>
        <w:t xml:space="preserve"> residential customers </w:t>
      </w:r>
      <w:r w:rsidR="00D97D80">
        <w:rPr>
          <w:rFonts w:ascii="Times New Roman" w:hAnsi="Times New Roman"/>
          <w:bCs/>
          <w:sz w:val="24"/>
          <w:szCs w:val="24"/>
        </w:rPr>
        <w:t xml:space="preserve">to negotiate their own contract terms as they enter into bilateral contracts.  </w:t>
      </w:r>
    </w:p>
    <w:p w:rsidR="0017131C" w:rsidRDefault="0017131C" w:rsidP="00FF43F0">
      <w:pPr>
        <w:spacing w:line="480" w:lineRule="auto"/>
        <w:ind w:firstLine="720"/>
        <w:jc w:val="both"/>
        <w:rPr>
          <w:rFonts w:ascii="Times New Roman" w:hAnsi="Times New Roman"/>
          <w:bCs/>
          <w:sz w:val="24"/>
          <w:szCs w:val="24"/>
        </w:rPr>
      </w:pPr>
      <w:r>
        <w:rPr>
          <w:rFonts w:ascii="Times New Roman" w:hAnsi="Times New Roman"/>
          <w:bCs/>
          <w:sz w:val="24"/>
          <w:szCs w:val="24"/>
        </w:rPr>
        <w:t xml:space="preserve">Finally, requiring a CRES </w:t>
      </w:r>
      <w:r w:rsidR="008E246F">
        <w:rPr>
          <w:rFonts w:ascii="Times New Roman" w:hAnsi="Times New Roman"/>
          <w:bCs/>
          <w:sz w:val="24"/>
          <w:szCs w:val="24"/>
        </w:rPr>
        <w:t xml:space="preserve">provider </w:t>
      </w:r>
      <w:r>
        <w:rPr>
          <w:rFonts w:ascii="Times New Roman" w:hAnsi="Times New Roman"/>
          <w:bCs/>
          <w:sz w:val="24"/>
          <w:szCs w:val="24"/>
        </w:rPr>
        <w:t>to refund the customer at the same rate as the customer pays</w:t>
      </w:r>
      <w:r w:rsidR="009F4553">
        <w:rPr>
          <w:rFonts w:ascii="Times New Roman" w:hAnsi="Times New Roman"/>
          <w:bCs/>
          <w:sz w:val="24"/>
          <w:szCs w:val="24"/>
        </w:rPr>
        <w:t xml:space="preserve"> the CRES provider</w:t>
      </w:r>
      <w:r>
        <w:rPr>
          <w:rFonts w:ascii="Times New Roman" w:hAnsi="Times New Roman"/>
          <w:bCs/>
          <w:sz w:val="24"/>
          <w:szCs w:val="24"/>
        </w:rPr>
        <w:t xml:space="preserve"> ignores the fact that a CRES </w:t>
      </w:r>
      <w:r w:rsidR="008E246F">
        <w:rPr>
          <w:rFonts w:ascii="Times New Roman" w:hAnsi="Times New Roman"/>
          <w:bCs/>
          <w:sz w:val="24"/>
          <w:szCs w:val="24"/>
        </w:rPr>
        <w:t xml:space="preserve">provider </w:t>
      </w:r>
      <w:r>
        <w:rPr>
          <w:rFonts w:ascii="Times New Roman" w:hAnsi="Times New Roman"/>
          <w:bCs/>
          <w:sz w:val="24"/>
          <w:szCs w:val="24"/>
        </w:rPr>
        <w:t xml:space="preserve">will have administrative and other </w:t>
      </w:r>
      <w:r w:rsidR="004505D7">
        <w:rPr>
          <w:rFonts w:ascii="Times New Roman" w:hAnsi="Times New Roman"/>
          <w:bCs/>
          <w:sz w:val="24"/>
          <w:szCs w:val="24"/>
        </w:rPr>
        <w:t xml:space="preserve">up front and on-going </w:t>
      </w:r>
      <w:r>
        <w:rPr>
          <w:rFonts w:ascii="Times New Roman" w:hAnsi="Times New Roman"/>
          <w:bCs/>
          <w:sz w:val="24"/>
          <w:szCs w:val="24"/>
        </w:rPr>
        <w:t>costs to service the net metered account.  As an alternative, if the Commission</w:t>
      </w:r>
      <w:r w:rsidR="00572FE9">
        <w:rPr>
          <w:rFonts w:ascii="Times New Roman" w:hAnsi="Times New Roman"/>
          <w:bCs/>
          <w:sz w:val="24"/>
          <w:szCs w:val="24"/>
        </w:rPr>
        <w:t xml:space="preserve"> denies </w:t>
      </w:r>
      <w:r w:rsidR="00572FE9" w:rsidRPr="00572FE9">
        <w:rPr>
          <w:rFonts w:ascii="Times New Roman" w:hAnsi="Times New Roman"/>
          <w:bCs/>
          <w:sz w:val="24"/>
          <w:szCs w:val="24"/>
        </w:rPr>
        <w:t>Direct Energy</w:t>
      </w:r>
      <w:r w:rsidR="00572FE9">
        <w:rPr>
          <w:rFonts w:ascii="Times New Roman" w:hAnsi="Times New Roman"/>
          <w:bCs/>
          <w:sz w:val="24"/>
          <w:szCs w:val="24"/>
        </w:rPr>
        <w:t>’s request to</w:t>
      </w:r>
      <w:r>
        <w:rPr>
          <w:rFonts w:ascii="Times New Roman" w:hAnsi="Times New Roman"/>
          <w:bCs/>
          <w:sz w:val="24"/>
          <w:szCs w:val="24"/>
        </w:rPr>
        <w:t xml:space="preserve"> reject</w:t>
      </w:r>
      <w:r w:rsidR="00DA34E3">
        <w:rPr>
          <w:rFonts w:ascii="Times New Roman" w:hAnsi="Times New Roman"/>
          <w:bCs/>
          <w:sz w:val="24"/>
          <w:szCs w:val="24"/>
        </w:rPr>
        <w:t xml:space="preserve"> the portion of</w:t>
      </w:r>
      <w:r w:rsidR="00572FE9">
        <w:rPr>
          <w:rFonts w:ascii="Times New Roman" w:hAnsi="Times New Roman"/>
          <w:bCs/>
          <w:sz w:val="24"/>
          <w:szCs w:val="24"/>
        </w:rPr>
        <w:t xml:space="preserve"> the proposed rule</w:t>
      </w:r>
      <w:r w:rsidR="00DA34E3">
        <w:rPr>
          <w:rFonts w:ascii="Times New Roman" w:hAnsi="Times New Roman"/>
          <w:bCs/>
          <w:sz w:val="24"/>
          <w:szCs w:val="24"/>
        </w:rPr>
        <w:t xml:space="preserve"> dictating a refund rate</w:t>
      </w:r>
      <w:r>
        <w:rPr>
          <w:rFonts w:ascii="Times New Roman" w:hAnsi="Times New Roman"/>
          <w:bCs/>
          <w:sz w:val="24"/>
          <w:szCs w:val="24"/>
        </w:rPr>
        <w:t xml:space="preserve">, </w:t>
      </w:r>
      <w:r w:rsidR="00572FE9" w:rsidRPr="00572FE9">
        <w:rPr>
          <w:rFonts w:ascii="Times New Roman" w:hAnsi="Times New Roman"/>
          <w:bCs/>
          <w:sz w:val="24"/>
          <w:szCs w:val="24"/>
        </w:rPr>
        <w:t>Direct Energy</w:t>
      </w:r>
      <w:r w:rsidR="00572FE9">
        <w:rPr>
          <w:rFonts w:ascii="Times New Roman" w:hAnsi="Times New Roman"/>
          <w:bCs/>
          <w:sz w:val="24"/>
          <w:szCs w:val="24"/>
        </w:rPr>
        <w:t xml:space="preserve"> suggests the Commission permit</w:t>
      </w:r>
      <w:r w:rsidR="00134565">
        <w:rPr>
          <w:rFonts w:ascii="Times New Roman" w:hAnsi="Times New Roman"/>
          <w:bCs/>
          <w:sz w:val="24"/>
          <w:szCs w:val="24"/>
        </w:rPr>
        <w:t xml:space="preserve"> cont</w:t>
      </w:r>
      <w:r w:rsidR="00262FCC">
        <w:rPr>
          <w:rFonts w:ascii="Times New Roman" w:hAnsi="Times New Roman"/>
          <w:bCs/>
          <w:sz w:val="24"/>
          <w:szCs w:val="24"/>
        </w:rPr>
        <w:t>r</w:t>
      </w:r>
      <w:r w:rsidR="00134565">
        <w:rPr>
          <w:rFonts w:ascii="Times New Roman" w:hAnsi="Times New Roman"/>
          <w:bCs/>
          <w:sz w:val="24"/>
          <w:szCs w:val="24"/>
        </w:rPr>
        <w:t>act terms that include</w:t>
      </w:r>
      <w:r w:rsidR="00572FE9">
        <w:rPr>
          <w:rFonts w:ascii="Times New Roman" w:hAnsi="Times New Roman"/>
          <w:bCs/>
          <w:sz w:val="24"/>
          <w:szCs w:val="24"/>
        </w:rPr>
        <w:t xml:space="preserve"> a reduction in the refund rate </w:t>
      </w:r>
      <w:r w:rsidR="00134565">
        <w:rPr>
          <w:rFonts w:ascii="Times New Roman" w:hAnsi="Times New Roman"/>
          <w:bCs/>
          <w:sz w:val="24"/>
          <w:szCs w:val="24"/>
        </w:rPr>
        <w:t xml:space="preserve">of </w:t>
      </w:r>
      <w:r w:rsidR="00572FE9">
        <w:rPr>
          <w:rFonts w:ascii="Times New Roman" w:hAnsi="Times New Roman"/>
          <w:bCs/>
          <w:sz w:val="24"/>
          <w:szCs w:val="24"/>
        </w:rPr>
        <w:t>up to ten (10) percent as a</w:t>
      </w:r>
      <w:r w:rsidR="00E82DD9">
        <w:rPr>
          <w:rFonts w:ascii="Times New Roman" w:hAnsi="Times New Roman"/>
          <w:bCs/>
          <w:sz w:val="24"/>
          <w:szCs w:val="24"/>
        </w:rPr>
        <w:t xml:space="preserve"> fee for administering the customer’s net metering contract.</w:t>
      </w:r>
    </w:p>
    <w:p w:rsidR="00E00730" w:rsidRPr="00E00730" w:rsidRDefault="00E00730" w:rsidP="00E00730">
      <w:pPr>
        <w:pStyle w:val="ListParagraph"/>
        <w:numPr>
          <w:ilvl w:val="0"/>
          <w:numId w:val="3"/>
        </w:numPr>
        <w:spacing w:line="480" w:lineRule="auto"/>
        <w:jc w:val="both"/>
        <w:rPr>
          <w:rFonts w:ascii="Times New Roman" w:hAnsi="Times New Roman"/>
          <w:bCs/>
          <w:i/>
          <w:sz w:val="24"/>
          <w:szCs w:val="24"/>
        </w:rPr>
      </w:pPr>
      <w:r>
        <w:rPr>
          <w:rFonts w:ascii="Times New Roman" w:hAnsi="Times New Roman"/>
          <w:bCs/>
          <w:i/>
          <w:sz w:val="24"/>
          <w:szCs w:val="24"/>
        </w:rPr>
        <w:t>Requested Additional Clarifications</w:t>
      </w:r>
      <w:r w:rsidRPr="00E00730">
        <w:rPr>
          <w:rFonts w:ascii="Times New Roman" w:hAnsi="Times New Roman"/>
          <w:bCs/>
          <w:i/>
          <w:sz w:val="24"/>
          <w:szCs w:val="24"/>
        </w:rPr>
        <w:t xml:space="preserve">  </w:t>
      </w:r>
    </w:p>
    <w:p w:rsidR="00E00730" w:rsidRDefault="00E00730" w:rsidP="00FF43F0">
      <w:pPr>
        <w:spacing w:line="480" w:lineRule="auto"/>
        <w:ind w:firstLine="720"/>
        <w:jc w:val="both"/>
        <w:rPr>
          <w:rFonts w:ascii="Times New Roman" w:hAnsi="Times New Roman"/>
          <w:sz w:val="24"/>
          <w:szCs w:val="24"/>
        </w:rPr>
      </w:pPr>
      <w:r w:rsidRPr="006A7391">
        <w:rPr>
          <w:rFonts w:ascii="Times New Roman" w:hAnsi="Times New Roman"/>
          <w:bCs/>
          <w:sz w:val="24"/>
          <w:szCs w:val="24"/>
        </w:rPr>
        <w:t>Th</w:t>
      </w:r>
      <w:r>
        <w:rPr>
          <w:rFonts w:ascii="Times New Roman" w:hAnsi="Times New Roman"/>
          <w:bCs/>
          <w:sz w:val="24"/>
          <w:szCs w:val="24"/>
        </w:rPr>
        <w:t>e</w:t>
      </w:r>
      <w:r w:rsidRPr="006A7391">
        <w:rPr>
          <w:rFonts w:ascii="Times New Roman" w:hAnsi="Times New Roman"/>
          <w:bCs/>
          <w:sz w:val="24"/>
          <w:szCs w:val="24"/>
        </w:rPr>
        <w:t xml:space="preserve"> </w:t>
      </w:r>
      <w:r>
        <w:rPr>
          <w:rFonts w:ascii="Times New Roman" w:hAnsi="Times New Roman"/>
          <w:bCs/>
          <w:sz w:val="24"/>
          <w:szCs w:val="24"/>
        </w:rPr>
        <w:t xml:space="preserve">proposed </w:t>
      </w:r>
      <w:r w:rsidRPr="006A7391">
        <w:rPr>
          <w:rFonts w:ascii="Times New Roman" w:hAnsi="Times New Roman"/>
          <w:bCs/>
          <w:sz w:val="24"/>
          <w:szCs w:val="24"/>
        </w:rPr>
        <w:t xml:space="preserve">rule </w:t>
      </w:r>
      <w:r>
        <w:rPr>
          <w:rFonts w:ascii="Times New Roman" w:hAnsi="Times New Roman"/>
          <w:bCs/>
          <w:sz w:val="24"/>
          <w:szCs w:val="24"/>
        </w:rPr>
        <w:t xml:space="preserve">would also benefit from </w:t>
      </w:r>
      <w:r w:rsidRPr="006A7391">
        <w:rPr>
          <w:rFonts w:ascii="Times New Roman" w:hAnsi="Times New Roman"/>
          <w:bCs/>
          <w:sz w:val="24"/>
          <w:szCs w:val="24"/>
        </w:rPr>
        <w:t>additional guidance for customers, EDUs, and CRES providers.  For example, how is it the ED</w:t>
      </w:r>
      <w:r>
        <w:rPr>
          <w:rFonts w:ascii="Times New Roman" w:hAnsi="Times New Roman"/>
          <w:bCs/>
          <w:sz w:val="24"/>
          <w:szCs w:val="24"/>
        </w:rPr>
        <w:t>U</w:t>
      </w:r>
      <w:r w:rsidRPr="006A7391">
        <w:rPr>
          <w:rFonts w:ascii="Times New Roman" w:hAnsi="Times New Roman"/>
          <w:bCs/>
          <w:sz w:val="24"/>
          <w:szCs w:val="24"/>
        </w:rPr>
        <w:t>’s responsibility to issue a refund to the customer if the customer is served by a CRES</w:t>
      </w:r>
      <w:r>
        <w:rPr>
          <w:rFonts w:ascii="Times New Roman" w:hAnsi="Times New Roman"/>
          <w:bCs/>
          <w:sz w:val="24"/>
          <w:szCs w:val="24"/>
        </w:rPr>
        <w:t xml:space="preserve"> provider</w:t>
      </w:r>
      <w:r w:rsidRPr="006A7391">
        <w:rPr>
          <w:rFonts w:ascii="Times New Roman" w:hAnsi="Times New Roman"/>
          <w:bCs/>
          <w:sz w:val="24"/>
          <w:szCs w:val="24"/>
        </w:rPr>
        <w:t>?  Is the ED</w:t>
      </w:r>
      <w:r>
        <w:rPr>
          <w:rFonts w:ascii="Times New Roman" w:hAnsi="Times New Roman"/>
          <w:bCs/>
          <w:sz w:val="24"/>
          <w:szCs w:val="24"/>
        </w:rPr>
        <w:t>U</w:t>
      </w:r>
      <w:r w:rsidRPr="006A7391">
        <w:rPr>
          <w:rFonts w:ascii="Times New Roman" w:hAnsi="Times New Roman"/>
          <w:bCs/>
          <w:sz w:val="24"/>
          <w:szCs w:val="24"/>
        </w:rPr>
        <w:t xml:space="preserve"> supposed to recoup the refund from a CRES</w:t>
      </w:r>
      <w:r>
        <w:rPr>
          <w:rFonts w:ascii="Times New Roman" w:hAnsi="Times New Roman"/>
          <w:bCs/>
          <w:sz w:val="24"/>
          <w:szCs w:val="24"/>
        </w:rPr>
        <w:t xml:space="preserve"> provider</w:t>
      </w:r>
      <w:r w:rsidRPr="006A7391">
        <w:rPr>
          <w:rFonts w:ascii="Times New Roman" w:hAnsi="Times New Roman"/>
          <w:bCs/>
          <w:sz w:val="24"/>
          <w:szCs w:val="24"/>
        </w:rPr>
        <w:t xml:space="preserve">?  Additionally, the rule should explicitly state that </w:t>
      </w:r>
      <w:r>
        <w:rPr>
          <w:rFonts w:ascii="Times New Roman" w:hAnsi="Times New Roman"/>
          <w:bCs/>
          <w:sz w:val="24"/>
          <w:szCs w:val="24"/>
        </w:rPr>
        <w:t>e</w:t>
      </w:r>
      <w:r w:rsidRPr="006A7391">
        <w:rPr>
          <w:rFonts w:ascii="Times New Roman" w:hAnsi="Times New Roman"/>
          <w:sz w:val="24"/>
          <w:szCs w:val="24"/>
        </w:rPr>
        <w:t>arned net-metered credits must remain the property of the customer no matter if they remain on</w:t>
      </w:r>
      <w:r>
        <w:rPr>
          <w:rFonts w:ascii="Times New Roman" w:hAnsi="Times New Roman"/>
          <w:sz w:val="24"/>
          <w:szCs w:val="24"/>
        </w:rPr>
        <w:t xml:space="preserve"> a</w:t>
      </w:r>
      <w:r w:rsidRPr="006A7391">
        <w:rPr>
          <w:rFonts w:ascii="Times New Roman" w:hAnsi="Times New Roman"/>
          <w:sz w:val="24"/>
          <w:szCs w:val="24"/>
        </w:rPr>
        <w:t xml:space="preserve"> standard </w:t>
      </w:r>
      <w:r>
        <w:rPr>
          <w:rFonts w:ascii="Times New Roman" w:hAnsi="Times New Roman"/>
          <w:sz w:val="24"/>
          <w:szCs w:val="24"/>
        </w:rPr>
        <w:t xml:space="preserve">service </w:t>
      </w:r>
      <w:r w:rsidRPr="006A7391">
        <w:rPr>
          <w:rFonts w:ascii="Times New Roman" w:hAnsi="Times New Roman"/>
          <w:sz w:val="24"/>
          <w:szCs w:val="24"/>
        </w:rPr>
        <w:t xml:space="preserve">offer or CRES service. </w:t>
      </w:r>
      <w:r>
        <w:rPr>
          <w:rFonts w:ascii="Times New Roman" w:hAnsi="Times New Roman"/>
          <w:sz w:val="24"/>
          <w:szCs w:val="24"/>
        </w:rPr>
        <w:t>Currently</w:t>
      </w:r>
      <w:r w:rsidRPr="006A7391">
        <w:rPr>
          <w:rFonts w:ascii="Times New Roman" w:hAnsi="Times New Roman"/>
          <w:sz w:val="24"/>
          <w:szCs w:val="24"/>
        </w:rPr>
        <w:t xml:space="preserve"> ED</w:t>
      </w:r>
      <w:r>
        <w:rPr>
          <w:rFonts w:ascii="Times New Roman" w:hAnsi="Times New Roman"/>
          <w:sz w:val="24"/>
          <w:szCs w:val="24"/>
        </w:rPr>
        <w:t>U</w:t>
      </w:r>
      <w:r w:rsidRPr="006A7391">
        <w:rPr>
          <w:rFonts w:ascii="Times New Roman" w:hAnsi="Times New Roman"/>
          <w:sz w:val="24"/>
          <w:szCs w:val="24"/>
        </w:rPr>
        <w:t>s have a significant competitive advantage over CRES</w:t>
      </w:r>
      <w:r>
        <w:rPr>
          <w:rFonts w:ascii="Times New Roman" w:hAnsi="Times New Roman"/>
          <w:sz w:val="24"/>
          <w:szCs w:val="24"/>
        </w:rPr>
        <w:t xml:space="preserve"> providers</w:t>
      </w:r>
      <w:r w:rsidRPr="006A7391">
        <w:rPr>
          <w:rFonts w:ascii="Times New Roman" w:hAnsi="Times New Roman"/>
          <w:sz w:val="24"/>
          <w:szCs w:val="24"/>
        </w:rPr>
        <w:t xml:space="preserve"> because </w:t>
      </w:r>
      <w:r>
        <w:rPr>
          <w:rFonts w:ascii="Times New Roman" w:hAnsi="Times New Roman"/>
          <w:sz w:val="24"/>
          <w:szCs w:val="24"/>
        </w:rPr>
        <w:t xml:space="preserve">they void out a </w:t>
      </w:r>
      <w:r w:rsidRPr="006A7391">
        <w:rPr>
          <w:rFonts w:ascii="Times New Roman" w:hAnsi="Times New Roman"/>
          <w:sz w:val="24"/>
          <w:szCs w:val="24"/>
        </w:rPr>
        <w:t xml:space="preserve">customer’s </w:t>
      </w:r>
      <w:r>
        <w:rPr>
          <w:rFonts w:ascii="Times New Roman" w:hAnsi="Times New Roman"/>
          <w:sz w:val="24"/>
          <w:szCs w:val="24"/>
        </w:rPr>
        <w:t xml:space="preserve">generation </w:t>
      </w:r>
      <w:r w:rsidRPr="006A7391">
        <w:rPr>
          <w:rFonts w:ascii="Times New Roman" w:hAnsi="Times New Roman"/>
          <w:sz w:val="24"/>
          <w:szCs w:val="24"/>
        </w:rPr>
        <w:t xml:space="preserve">credit bank </w:t>
      </w:r>
      <w:r>
        <w:rPr>
          <w:rFonts w:ascii="Times New Roman" w:hAnsi="Times New Roman"/>
          <w:sz w:val="24"/>
          <w:szCs w:val="24"/>
        </w:rPr>
        <w:t xml:space="preserve">upon switching, thereby </w:t>
      </w:r>
      <w:r w:rsidRPr="006A7391">
        <w:rPr>
          <w:rFonts w:ascii="Times New Roman" w:hAnsi="Times New Roman"/>
          <w:sz w:val="24"/>
          <w:szCs w:val="24"/>
        </w:rPr>
        <w:t>los</w:t>
      </w:r>
      <w:r>
        <w:rPr>
          <w:rFonts w:ascii="Times New Roman" w:hAnsi="Times New Roman"/>
          <w:sz w:val="24"/>
          <w:szCs w:val="24"/>
        </w:rPr>
        <w:t>ing</w:t>
      </w:r>
      <w:r w:rsidRPr="006A7391">
        <w:rPr>
          <w:rFonts w:ascii="Times New Roman" w:hAnsi="Times New Roman"/>
          <w:sz w:val="24"/>
          <w:szCs w:val="24"/>
        </w:rPr>
        <w:t xml:space="preserve"> a significant financial benefit of installing </w:t>
      </w:r>
      <w:r>
        <w:rPr>
          <w:rFonts w:ascii="Times New Roman" w:hAnsi="Times New Roman"/>
          <w:sz w:val="24"/>
          <w:szCs w:val="24"/>
        </w:rPr>
        <w:t xml:space="preserve">distributed generation projects.  </w:t>
      </w:r>
      <w:r w:rsidRPr="006A7391">
        <w:rPr>
          <w:rFonts w:ascii="Times New Roman" w:hAnsi="Times New Roman"/>
          <w:sz w:val="24"/>
          <w:szCs w:val="24"/>
        </w:rPr>
        <w:t xml:space="preserve">Very </w:t>
      </w:r>
      <w:r w:rsidRPr="006A7391">
        <w:rPr>
          <w:rFonts w:ascii="Times New Roman" w:hAnsi="Times New Roman"/>
          <w:sz w:val="24"/>
          <w:szCs w:val="24"/>
        </w:rPr>
        <w:lastRenderedPageBreak/>
        <w:t xml:space="preserve">often forfeiting this </w:t>
      </w:r>
      <w:r>
        <w:rPr>
          <w:rFonts w:ascii="Times New Roman" w:hAnsi="Times New Roman"/>
          <w:sz w:val="24"/>
          <w:szCs w:val="24"/>
        </w:rPr>
        <w:t xml:space="preserve">generation credit </w:t>
      </w:r>
      <w:r w:rsidRPr="006A7391">
        <w:rPr>
          <w:rFonts w:ascii="Times New Roman" w:hAnsi="Times New Roman"/>
          <w:sz w:val="24"/>
          <w:szCs w:val="24"/>
        </w:rPr>
        <w:t>bank is significantly higher than the sav</w:t>
      </w:r>
      <w:r>
        <w:rPr>
          <w:rFonts w:ascii="Times New Roman" w:hAnsi="Times New Roman"/>
          <w:sz w:val="24"/>
          <w:szCs w:val="24"/>
        </w:rPr>
        <w:t xml:space="preserve">ings provided by enrolling on a </w:t>
      </w:r>
      <w:r w:rsidRPr="006A7391">
        <w:rPr>
          <w:rFonts w:ascii="Times New Roman" w:hAnsi="Times New Roman"/>
          <w:sz w:val="24"/>
          <w:szCs w:val="24"/>
        </w:rPr>
        <w:t xml:space="preserve">CRES </w:t>
      </w:r>
      <w:r>
        <w:rPr>
          <w:rFonts w:ascii="Times New Roman" w:hAnsi="Times New Roman"/>
          <w:sz w:val="24"/>
          <w:szCs w:val="24"/>
        </w:rPr>
        <w:t xml:space="preserve">provider </w:t>
      </w:r>
      <w:r w:rsidRPr="006A7391">
        <w:rPr>
          <w:rFonts w:ascii="Times New Roman" w:hAnsi="Times New Roman"/>
          <w:sz w:val="24"/>
          <w:szCs w:val="24"/>
        </w:rPr>
        <w:t>offering.</w:t>
      </w:r>
      <w:r>
        <w:rPr>
          <w:rFonts w:ascii="Times New Roman" w:hAnsi="Times New Roman"/>
          <w:sz w:val="24"/>
          <w:szCs w:val="24"/>
        </w:rPr>
        <w:t xml:space="preserve">  Finally, the credit the utility got for the power when the customer was with the EDU is not somehow withdrawn or canceled if the customer switches so the customer should keep their credits when switching.</w:t>
      </w:r>
    </w:p>
    <w:p w:rsidR="00DC7A8C" w:rsidRDefault="00DC7A8C" w:rsidP="0017131C">
      <w:pPr>
        <w:spacing w:line="480" w:lineRule="auto"/>
        <w:ind w:firstLine="720"/>
        <w:rPr>
          <w:rFonts w:ascii="Times New Roman" w:hAnsi="Times New Roman"/>
          <w:bCs/>
          <w:sz w:val="24"/>
          <w:szCs w:val="24"/>
        </w:rPr>
      </w:pPr>
      <w:bookmarkStart w:id="0" w:name="_GoBack"/>
      <w:bookmarkEnd w:id="0"/>
      <w:r>
        <w:rPr>
          <w:rFonts w:ascii="Times New Roman" w:hAnsi="Times New Roman"/>
          <w:b/>
          <w:bCs/>
          <w:sz w:val="24"/>
          <w:szCs w:val="24"/>
        </w:rPr>
        <w:t>Rule 4901:1-10-</w:t>
      </w:r>
      <w:r w:rsidR="00E65CA2">
        <w:rPr>
          <w:rFonts w:ascii="Times New Roman" w:hAnsi="Times New Roman"/>
          <w:b/>
          <w:bCs/>
          <w:sz w:val="24"/>
          <w:szCs w:val="24"/>
        </w:rPr>
        <w:t>29</w:t>
      </w:r>
      <w:r>
        <w:rPr>
          <w:rFonts w:ascii="Times New Roman" w:hAnsi="Times New Roman"/>
          <w:b/>
          <w:bCs/>
          <w:sz w:val="24"/>
          <w:szCs w:val="24"/>
        </w:rPr>
        <w:t xml:space="preserve"> – </w:t>
      </w:r>
      <w:r w:rsidR="00E65CA2" w:rsidRPr="00E65CA2">
        <w:rPr>
          <w:rFonts w:ascii="Times New Roman" w:hAnsi="Times New Roman"/>
          <w:b/>
          <w:bCs/>
          <w:kern w:val="36"/>
          <w:sz w:val="24"/>
          <w:szCs w:val="24"/>
          <w:lang w:val="en"/>
        </w:rPr>
        <w:t>Coordination with competitive retail electric service providers</w:t>
      </w:r>
    </w:p>
    <w:p w:rsidR="008139EC" w:rsidRDefault="000D2806" w:rsidP="00FF43F0">
      <w:pPr>
        <w:spacing w:line="480" w:lineRule="auto"/>
        <w:ind w:firstLine="720"/>
        <w:jc w:val="both"/>
        <w:rPr>
          <w:rFonts w:ascii="Times New Roman" w:hAnsi="Times New Roman"/>
          <w:bCs/>
          <w:sz w:val="24"/>
          <w:szCs w:val="24"/>
        </w:rPr>
      </w:pPr>
      <w:r>
        <w:rPr>
          <w:rFonts w:ascii="Times New Roman" w:hAnsi="Times New Roman"/>
          <w:bCs/>
          <w:sz w:val="24"/>
          <w:szCs w:val="24"/>
        </w:rPr>
        <w:t xml:space="preserve">Among other things, </w:t>
      </w:r>
      <w:r w:rsidR="00DC7A8C">
        <w:rPr>
          <w:rFonts w:ascii="Times New Roman" w:hAnsi="Times New Roman"/>
          <w:bCs/>
          <w:sz w:val="24"/>
          <w:szCs w:val="24"/>
        </w:rPr>
        <w:t>Rule 4901:1-10-</w:t>
      </w:r>
      <w:r w:rsidR="00E65CA2">
        <w:rPr>
          <w:rFonts w:ascii="Times New Roman" w:hAnsi="Times New Roman"/>
          <w:bCs/>
          <w:sz w:val="24"/>
          <w:szCs w:val="24"/>
        </w:rPr>
        <w:t>29</w:t>
      </w:r>
      <w:r w:rsidR="00DC7A8C">
        <w:rPr>
          <w:rFonts w:ascii="Times New Roman" w:hAnsi="Times New Roman"/>
          <w:bCs/>
          <w:sz w:val="24"/>
          <w:szCs w:val="24"/>
        </w:rPr>
        <w:t xml:space="preserve"> </w:t>
      </w:r>
      <w:r w:rsidR="00E65CA2">
        <w:rPr>
          <w:rFonts w:ascii="Times New Roman" w:hAnsi="Times New Roman"/>
          <w:bCs/>
          <w:sz w:val="24"/>
          <w:szCs w:val="24"/>
        </w:rPr>
        <w:t>require</w:t>
      </w:r>
      <w:r w:rsidR="00DC7A8C">
        <w:rPr>
          <w:rFonts w:ascii="Times New Roman" w:hAnsi="Times New Roman"/>
          <w:bCs/>
          <w:sz w:val="24"/>
          <w:szCs w:val="24"/>
        </w:rPr>
        <w:t>s</w:t>
      </w:r>
      <w:r w:rsidR="00E65CA2">
        <w:rPr>
          <w:rFonts w:ascii="Times New Roman" w:hAnsi="Times New Roman"/>
          <w:bCs/>
          <w:sz w:val="24"/>
          <w:szCs w:val="24"/>
        </w:rPr>
        <w:t xml:space="preserve"> EDUs to offer </w:t>
      </w:r>
      <w:r>
        <w:rPr>
          <w:rFonts w:ascii="Times New Roman" w:hAnsi="Times New Roman"/>
          <w:bCs/>
          <w:sz w:val="24"/>
          <w:szCs w:val="24"/>
        </w:rPr>
        <w:t>supplier tariffs standardizing interaction</w:t>
      </w:r>
      <w:r w:rsidR="00F46E3A">
        <w:rPr>
          <w:rFonts w:ascii="Times New Roman" w:hAnsi="Times New Roman"/>
          <w:bCs/>
          <w:sz w:val="24"/>
          <w:szCs w:val="24"/>
        </w:rPr>
        <w:t>s</w:t>
      </w:r>
      <w:r>
        <w:rPr>
          <w:rFonts w:ascii="Times New Roman" w:hAnsi="Times New Roman"/>
          <w:bCs/>
          <w:sz w:val="24"/>
          <w:szCs w:val="24"/>
        </w:rPr>
        <w:t xml:space="preserve"> between an EDU and CRES providers as well as mandates that EDUs offer </w:t>
      </w:r>
      <w:r w:rsidR="00E65CA2">
        <w:rPr>
          <w:rFonts w:ascii="Times New Roman" w:hAnsi="Times New Roman"/>
          <w:bCs/>
          <w:sz w:val="24"/>
          <w:szCs w:val="24"/>
        </w:rPr>
        <w:t xml:space="preserve">consolidated billing to CRES providers.  </w:t>
      </w:r>
      <w:r w:rsidR="00A971E0">
        <w:rPr>
          <w:rFonts w:ascii="Times New Roman" w:hAnsi="Times New Roman"/>
          <w:bCs/>
          <w:sz w:val="24"/>
          <w:szCs w:val="24"/>
        </w:rPr>
        <w:t xml:space="preserve">Staff proposed no </w:t>
      </w:r>
      <w:r w:rsidR="00E65CA2">
        <w:rPr>
          <w:rFonts w:ascii="Times New Roman" w:hAnsi="Times New Roman"/>
          <w:bCs/>
          <w:sz w:val="24"/>
          <w:szCs w:val="24"/>
        </w:rPr>
        <w:t xml:space="preserve">substantive </w:t>
      </w:r>
      <w:r w:rsidR="00A971E0">
        <w:rPr>
          <w:rFonts w:ascii="Times New Roman" w:hAnsi="Times New Roman"/>
          <w:bCs/>
          <w:sz w:val="24"/>
          <w:szCs w:val="24"/>
        </w:rPr>
        <w:t xml:space="preserve">changes to this rule.  </w:t>
      </w:r>
      <w:r w:rsidR="00580629" w:rsidRPr="00580629">
        <w:rPr>
          <w:rFonts w:ascii="Times New Roman" w:hAnsi="Times New Roman"/>
          <w:bCs/>
          <w:sz w:val="24"/>
          <w:szCs w:val="24"/>
        </w:rPr>
        <w:t>Direct Energy</w:t>
      </w:r>
      <w:r w:rsidR="00580629">
        <w:rPr>
          <w:rFonts w:ascii="Times New Roman" w:hAnsi="Times New Roman"/>
          <w:bCs/>
          <w:sz w:val="24"/>
          <w:szCs w:val="24"/>
        </w:rPr>
        <w:t xml:space="preserve"> understand</w:t>
      </w:r>
      <w:r w:rsidR="00246D33">
        <w:rPr>
          <w:rFonts w:ascii="Times New Roman" w:hAnsi="Times New Roman"/>
          <w:bCs/>
          <w:sz w:val="24"/>
          <w:szCs w:val="24"/>
        </w:rPr>
        <w:t>s</w:t>
      </w:r>
      <w:r w:rsidR="00580629">
        <w:rPr>
          <w:rFonts w:ascii="Times New Roman" w:hAnsi="Times New Roman"/>
          <w:bCs/>
          <w:sz w:val="24"/>
          <w:szCs w:val="24"/>
        </w:rPr>
        <w:t xml:space="preserve"> that RESA intends to file Initial Comments in this docket </w:t>
      </w:r>
      <w:r w:rsidR="00C80108">
        <w:rPr>
          <w:rFonts w:ascii="Times New Roman" w:hAnsi="Times New Roman"/>
          <w:bCs/>
          <w:sz w:val="24"/>
          <w:szCs w:val="24"/>
        </w:rPr>
        <w:t xml:space="preserve">to present </w:t>
      </w:r>
      <w:r w:rsidR="00A971E0">
        <w:rPr>
          <w:rFonts w:ascii="Times New Roman" w:hAnsi="Times New Roman"/>
          <w:bCs/>
          <w:sz w:val="24"/>
          <w:szCs w:val="24"/>
        </w:rPr>
        <w:t>RESA’s position advocating for</w:t>
      </w:r>
      <w:r>
        <w:rPr>
          <w:rFonts w:ascii="Times New Roman" w:hAnsi="Times New Roman"/>
          <w:bCs/>
          <w:sz w:val="24"/>
          <w:szCs w:val="24"/>
        </w:rPr>
        <w:t xml:space="preserve"> amendment of this rule to</w:t>
      </w:r>
      <w:r w:rsidR="00C80108">
        <w:rPr>
          <w:rFonts w:ascii="Times New Roman" w:hAnsi="Times New Roman"/>
          <w:bCs/>
          <w:sz w:val="24"/>
          <w:szCs w:val="24"/>
        </w:rPr>
        <w:t xml:space="preserve"> mandat</w:t>
      </w:r>
      <w:r>
        <w:rPr>
          <w:rFonts w:ascii="Times New Roman" w:hAnsi="Times New Roman"/>
          <w:bCs/>
          <w:sz w:val="24"/>
          <w:szCs w:val="24"/>
        </w:rPr>
        <w:t>e p</w:t>
      </w:r>
      <w:r w:rsidR="00C80108">
        <w:rPr>
          <w:rFonts w:ascii="Times New Roman" w:hAnsi="Times New Roman"/>
          <w:bCs/>
          <w:sz w:val="24"/>
          <w:szCs w:val="24"/>
        </w:rPr>
        <w:t>urchase of receivables (“POR”) program</w:t>
      </w:r>
      <w:r w:rsidR="008139EC">
        <w:rPr>
          <w:rFonts w:ascii="Times New Roman" w:hAnsi="Times New Roman"/>
          <w:bCs/>
          <w:sz w:val="24"/>
          <w:szCs w:val="24"/>
        </w:rPr>
        <w:t>s for Ohio EDUs who do not currently have a POR program</w:t>
      </w:r>
      <w:r w:rsidR="000C1D1A">
        <w:rPr>
          <w:rFonts w:ascii="Times New Roman" w:hAnsi="Times New Roman"/>
          <w:bCs/>
          <w:sz w:val="24"/>
          <w:szCs w:val="24"/>
        </w:rPr>
        <w:t xml:space="preserve"> as well as for additional EDI transactions to help CRES providers reconcile payment issues with partial payments from customers</w:t>
      </w:r>
      <w:r w:rsidR="008139EC">
        <w:rPr>
          <w:rFonts w:ascii="Times New Roman" w:hAnsi="Times New Roman"/>
          <w:bCs/>
          <w:sz w:val="24"/>
          <w:szCs w:val="24"/>
        </w:rPr>
        <w:t xml:space="preserve">.  </w:t>
      </w:r>
      <w:r w:rsidR="008139EC" w:rsidRPr="008139EC">
        <w:rPr>
          <w:rFonts w:ascii="Times New Roman" w:hAnsi="Times New Roman"/>
          <w:bCs/>
          <w:sz w:val="24"/>
          <w:szCs w:val="24"/>
        </w:rPr>
        <w:t>Direct Energy</w:t>
      </w:r>
      <w:r w:rsidR="008139EC">
        <w:rPr>
          <w:rFonts w:ascii="Times New Roman" w:hAnsi="Times New Roman"/>
          <w:bCs/>
          <w:sz w:val="24"/>
          <w:szCs w:val="24"/>
        </w:rPr>
        <w:t xml:space="preserve"> supports th</w:t>
      </w:r>
      <w:r w:rsidR="000C1D1A">
        <w:rPr>
          <w:rFonts w:ascii="Times New Roman" w:hAnsi="Times New Roman"/>
          <w:bCs/>
          <w:sz w:val="24"/>
          <w:szCs w:val="24"/>
        </w:rPr>
        <w:t>ese</w:t>
      </w:r>
      <w:r w:rsidR="008139EC">
        <w:rPr>
          <w:rFonts w:ascii="Times New Roman" w:hAnsi="Times New Roman"/>
          <w:bCs/>
          <w:sz w:val="24"/>
          <w:szCs w:val="24"/>
        </w:rPr>
        <w:t xml:space="preserve"> position</w:t>
      </w:r>
      <w:r w:rsidR="000C1D1A">
        <w:rPr>
          <w:rFonts w:ascii="Times New Roman" w:hAnsi="Times New Roman"/>
          <w:bCs/>
          <w:sz w:val="24"/>
          <w:szCs w:val="24"/>
        </w:rPr>
        <w:t xml:space="preserve">s and </w:t>
      </w:r>
      <w:r w:rsidR="000C1D1A" w:rsidRPr="000C1D1A">
        <w:rPr>
          <w:rFonts w:ascii="Times New Roman" w:hAnsi="Times New Roman"/>
          <w:bCs/>
          <w:sz w:val="24"/>
          <w:szCs w:val="24"/>
        </w:rPr>
        <w:t>Direct Energy</w:t>
      </w:r>
      <w:r w:rsidR="000C1D1A">
        <w:rPr>
          <w:rFonts w:ascii="Times New Roman" w:hAnsi="Times New Roman"/>
          <w:bCs/>
          <w:sz w:val="24"/>
          <w:szCs w:val="24"/>
        </w:rPr>
        <w:t xml:space="preserve"> also provides some supplemental rationale below related to the EDI transactions</w:t>
      </w:r>
      <w:r w:rsidR="006F7EE2">
        <w:rPr>
          <w:rFonts w:ascii="Times New Roman" w:hAnsi="Times New Roman"/>
          <w:bCs/>
          <w:sz w:val="24"/>
          <w:szCs w:val="24"/>
        </w:rPr>
        <w:t>.</w:t>
      </w:r>
    </w:p>
    <w:p w:rsidR="00A578E3" w:rsidRDefault="000C1D1A" w:rsidP="004E3A74">
      <w:pPr>
        <w:spacing w:line="480" w:lineRule="auto"/>
        <w:ind w:firstLine="720"/>
        <w:jc w:val="both"/>
        <w:rPr>
          <w:rFonts w:ascii="Times New Roman" w:eastAsiaTheme="minorHAnsi" w:hAnsi="Times New Roman"/>
          <w:sz w:val="24"/>
          <w:szCs w:val="24"/>
        </w:rPr>
      </w:pPr>
      <w:r>
        <w:rPr>
          <w:rFonts w:ascii="Times New Roman" w:hAnsi="Times New Roman"/>
          <w:bCs/>
          <w:sz w:val="24"/>
          <w:szCs w:val="24"/>
        </w:rPr>
        <w:t>T</w:t>
      </w:r>
      <w:r w:rsidR="008139EC">
        <w:rPr>
          <w:rFonts w:ascii="Times New Roman" w:hAnsi="Times New Roman"/>
          <w:bCs/>
          <w:sz w:val="24"/>
          <w:szCs w:val="24"/>
        </w:rPr>
        <w:t xml:space="preserve">he design and implementation of POR programs will </w:t>
      </w:r>
      <w:r w:rsidR="00246D33">
        <w:rPr>
          <w:rFonts w:ascii="Times New Roman" w:hAnsi="Times New Roman"/>
          <w:bCs/>
          <w:sz w:val="24"/>
          <w:szCs w:val="24"/>
        </w:rPr>
        <w:t xml:space="preserve">require some time to put into place </w:t>
      </w:r>
      <w:r w:rsidR="007A40B7">
        <w:rPr>
          <w:rFonts w:ascii="Times New Roman" w:hAnsi="Times New Roman"/>
          <w:bCs/>
          <w:sz w:val="24"/>
          <w:szCs w:val="24"/>
        </w:rPr>
        <w:t>and</w:t>
      </w:r>
      <w:r w:rsidR="00246D33">
        <w:rPr>
          <w:rFonts w:ascii="Times New Roman" w:hAnsi="Times New Roman"/>
          <w:bCs/>
          <w:sz w:val="24"/>
          <w:szCs w:val="24"/>
        </w:rPr>
        <w:t xml:space="preserve"> </w:t>
      </w:r>
      <w:r w:rsidR="00F13FE7">
        <w:rPr>
          <w:rFonts w:ascii="Times New Roman" w:hAnsi="Times New Roman"/>
          <w:bCs/>
          <w:sz w:val="24"/>
          <w:szCs w:val="24"/>
        </w:rPr>
        <w:t>a</w:t>
      </w:r>
      <w:r w:rsidR="00246D33">
        <w:rPr>
          <w:rFonts w:ascii="Times New Roman" w:hAnsi="Times New Roman"/>
          <w:bCs/>
          <w:sz w:val="24"/>
          <w:szCs w:val="24"/>
        </w:rPr>
        <w:t xml:space="preserve"> possible short-term </w:t>
      </w:r>
      <w:r w:rsidR="003F1A19">
        <w:rPr>
          <w:rFonts w:ascii="Times New Roman" w:hAnsi="Times New Roman"/>
          <w:bCs/>
          <w:sz w:val="24"/>
          <w:szCs w:val="24"/>
        </w:rPr>
        <w:t>solution</w:t>
      </w:r>
      <w:r w:rsidR="00246D33">
        <w:rPr>
          <w:rFonts w:ascii="Times New Roman" w:hAnsi="Times New Roman"/>
          <w:bCs/>
          <w:sz w:val="24"/>
          <w:szCs w:val="24"/>
        </w:rPr>
        <w:t xml:space="preserve"> to help </w:t>
      </w:r>
      <w:r w:rsidR="003F1A19">
        <w:rPr>
          <w:rFonts w:ascii="Times New Roman" w:hAnsi="Times New Roman"/>
          <w:bCs/>
          <w:sz w:val="24"/>
          <w:szCs w:val="24"/>
        </w:rPr>
        <w:t>suppliers</w:t>
      </w:r>
      <w:r w:rsidR="00250EFD">
        <w:rPr>
          <w:rFonts w:ascii="Times New Roman" w:hAnsi="Times New Roman"/>
          <w:bCs/>
          <w:sz w:val="24"/>
          <w:szCs w:val="24"/>
        </w:rPr>
        <w:t xml:space="preserve"> verify</w:t>
      </w:r>
      <w:r w:rsidR="003F1A19">
        <w:rPr>
          <w:rFonts w:ascii="Times New Roman" w:hAnsi="Times New Roman"/>
          <w:bCs/>
          <w:sz w:val="24"/>
          <w:szCs w:val="24"/>
        </w:rPr>
        <w:t xml:space="preserve"> partial payment</w:t>
      </w:r>
      <w:r w:rsidR="00250EFD">
        <w:rPr>
          <w:rFonts w:ascii="Times New Roman" w:hAnsi="Times New Roman"/>
          <w:bCs/>
          <w:sz w:val="24"/>
          <w:szCs w:val="24"/>
        </w:rPr>
        <w:t xml:space="preserve"> application</w:t>
      </w:r>
      <w:r w:rsidR="003F1A19">
        <w:rPr>
          <w:rFonts w:ascii="Times New Roman" w:hAnsi="Times New Roman"/>
          <w:bCs/>
          <w:sz w:val="24"/>
          <w:szCs w:val="24"/>
        </w:rPr>
        <w:t xml:space="preserve"> and to help stabilize supplier balance sheets</w:t>
      </w:r>
      <w:r w:rsidR="007A40B7">
        <w:rPr>
          <w:rFonts w:ascii="Times New Roman" w:hAnsi="Times New Roman"/>
          <w:bCs/>
          <w:sz w:val="24"/>
          <w:szCs w:val="24"/>
        </w:rPr>
        <w:t xml:space="preserve"> exists with requiring </w:t>
      </w:r>
      <w:r w:rsidR="006F7EE2">
        <w:rPr>
          <w:rFonts w:ascii="Times New Roman" w:hAnsi="Times New Roman"/>
          <w:bCs/>
          <w:sz w:val="24"/>
          <w:szCs w:val="24"/>
        </w:rPr>
        <w:t xml:space="preserve">one </w:t>
      </w:r>
      <w:r w:rsidR="007A40B7">
        <w:rPr>
          <w:rFonts w:ascii="Times New Roman" w:hAnsi="Times New Roman"/>
          <w:bCs/>
          <w:sz w:val="24"/>
          <w:szCs w:val="24"/>
        </w:rPr>
        <w:t>additional EDI transaction</w:t>
      </w:r>
      <w:r w:rsidR="003F1A19">
        <w:rPr>
          <w:rFonts w:ascii="Times New Roman" w:hAnsi="Times New Roman"/>
          <w:bCs/>
          <w:sz w:val="24"/>
          <w:szCs w:val="24"/>
        </w:rPr>
        <w:t>.</w:t>
      </w:r>
      <w:r w:rsidR="003F1A19">
        <w:rPr>
          <w:rStyle w:val="FootnoteReference"/>
          <w:rFonts w:ascii="Times New Roman" w:hAnsi="Times New Roman"/>
          <w:bCs/>
          <w:sz w:val="24"/>
          <w:szCs w:val="24"/>
        </w:rPr>
        <w:footnoteReference w:id="1"/>
      </w:r>
      <w:r w:rsidR="003F1A19">
        <w:rPr>
          <w:rFonts w:ascii="Times New Roman" w:hAnsi="Times New Roman"/>
          <w:bCs/>
          <w:sz w:val="24"/>
          <w:szCs w:val="24"/>
        </w:rPr>
        <w:t xml:space="preserve"> </w:t>
      </w:r>
      <w:r w:rsidR="007A40B7">
        <w:rPr>
          <w:rFonts w:ascii="Times New Roman" w:hAnsi="Times New Roman"/>
          <w:bCs/>
          <w:sz w:val="24"/>
          <w:szCs w:val="24"/>
        </w:rPr>
        <w:t>T</w:t>
      </w:r>
      <w:r w:rsidR="003F1A19">
        <w:rPr>
          <w:rFonts w:ascii="Times New Roman" w:hAnsi="Times New Roman"/>
          <w:bCs/>
          <w:sz w:val="24"/>
          <w:szCs w:val="24"/>
        </w:rPr>
        <w:t xml:space="preserve">he Commission could </w:t>
      </w:r>
      <w:r w:rsidR="00883829">
        <w:rPr>
          <w:rFonts w:ascii="Times New Roman" w:hAnsi="Times New Roman"/>
          <w:bCs/>
          <w:sz w:val="24"/>
          <w:szCs w:val="24"/>
        </w:rPr>
        <w:t xml:space="preserve">require </w:t>
      </w:r>
      <w:r w:rsidR="008A6EFE">
        <w:rPr>
          <w:rFonts w:ascii="Times New Roman" w:hAnsi="Times New Roman"/>
          <w:bCs/>
          <w:sz w:val="24"/>
          <w:szCs w:val="24"/>
        </w:rPr>
        <w:t xml:space="preserve">EDUs to provide </w:t>
      </w:r>
      <w:r w:rsidR="00E9201E">
        <w:rPr>
          <w:rFonts w:ascii="Times New Roman" w:hAnsi="Times New Roman"/>
          <w:bCs/>
          <w:sz w:val="24"/>
          <w:szCs w:val="24"/>
        </w:rPr>
        <w:t>EDI</w:t>
      </w:r>
      <w:r w:rsidR="008A6EFE">
        <w:rPr>
          <w:rFonts w:ascii="Times New Roman" w:hAnsi="Times New Roman"/>
          <w:bCs/>
          <w:sz w:val="24"/>
          <w:szCs w:val="24"/>
        </w:rPr>
        <w:t xml:space="preserve"> transactions that </w:t>
      </w:r>
      <w:r w:rsidR="00F13FE7">
        <w:rPr>
          <w:rFonts w:ascii="Times New Roman" w:hAnsi="Times New Roman"/>
          <w:bCs/>
          <w:sz w:val="24"/>
          <w:szCs w:val="24"/>
        </w:rPr>
        <w:t xml:space="preserve">communicate </w:t>
      </w:r>
      <w:r w:rsidR="008A6EFE">
        <w:rPr>
          <w:rFonts w:ascii="Times New Roman" w:hAnsi="Times New Roman"/>
          <w:bCs/>
          <w:sz w:val="24"/>
          <w:szCs w:val="24"/>
        </w:rPr>
        <w:t xml:space="preserve">not only </w:t>
      </w:r>
      <w:r w:rsidR="003E0137">
        <w:rPr>
          <w:rFonts w:ascii="Times New Roman" w:eastAsiaTheme="minorHAnsi" w:hAnsi="Times New Roman"/>
          <w:sz w:val="24"/>
          <w:szCs w:val="24"/>
        </w:rPr>
        <w:t xml:space="preserve">the amount paid by the customer attributable to CRES </w:t>
      </w:r>
      <w:r w:rsidR="006F7EE2">
        <w:rPr>
          <w:rFonts w:ascii="Times New Roman" w:eastAsiaTheme="minorHAnsi" w:hAnsi="Times New Roman"/>
          <w:sz w:val="24"/>
          <w:szCs w:val="24"/>
        </w:rPr>
        <w:t xml:space="preserve">provider </w:t>
      </w:r>
      <w:r w:rsidR="003E0137">
        <w:rPr>
          <w:rFonts w:ascii="Times New Roman" w:eastAsiaTheme="minorHAnsi" w:hAnsi="Times New Roman"/>
          <w:sz w:val="24"/>
          <w:szCs w:val="24"/>
        </w:rPr>
        <w:t>charges</w:t>
      </w:r>
      <w:r w:rsidR="004E3A74">
        <w:rPr>
          <w:rFonts w:ascii="Times New Roman" w:eastAsiaTheme="minorHAnsi" w:hAnsi="Times New Roman"/>
          <w:sz w:val="24"/>
          <w:szCs w:val="24"/>
        </w:rPr>
        <w:t xml:space="preserve"> (which </w:t>
      </w:r>
      <w:r w:rsidR="006F7EE2">
        <w:rPr>
          <w:rFonts w:ascii="Times New Roman" w:eastAsiaTheme="minorHAnsi" w:hAnsi="Times New Roman"/>
          <w:sz w:val="24"/>
          <w:szCs w:val="24"/>
        </w:rPr>
        <w:t>EDUs</w:t>
      </w:r>
      <w:r w:rsidR="004E3A74">
        <w:rPr>
          <w:rFonts w:ascii="Times New Roman" w:eastAsiaTheme="minorHAnsi" w:hAnsi="Times New Roman"/>
          <w:sz w:val="24"/>
          <w:szCs w:val="24"/>
        </w:rPr>
        <w:t xml:space="preserve"> already provide)</w:t>
      </w:r>
      <w:r w:rsidR="008A6EFE">
        <w:rPr>
          <w:rFonts w:ascii="Times New Roman" w:eastAsiaTheme="minorHAnsi" w:hAnsi="Times New Roman"/>
          <w:sz w:val="24"/>
          <w:szCs w:val="24"/>
        </w:rPr>
        <w:t xml:space="preserve"> but also </w:t>
      </w:r>
      <w:r w:rsidR="006F7EE2">
        <w:rPr>
          <w:rFonts w:ascii="Times New Roman" w:eastAsiaTheme="minorHAnsi" w:hAnsi="Times New Roman"/>
          <w:sz w:val="24"/>
          <w:szCs w:val="24"/>
        </w:rPr>
        <w:t>a</w:t>
      </w:r>
      <w:r w:rsidR="00277252">
        <w:rPr>
          <w:rFonts w:ascii="Times New Roman" w:eastAsiaTheme="minorHAnsi" w:hAnsi="Times New Roman"/>
          <w:sz w:val="24"/>
          <w:szCs w:val="24"/>
        </w:rPr>
        <w:t xml:space="preserve">n </w:t>
      </w:r>
      <w:r w:rsidR="008A6EFE">
        <w:rPr>
          <w:rFonts w:ascii="Times New Roman" w:eastAsiaTheme="minorHAnsi" w:hAnsi="Times New Roman"/>
          <w:sz w:val="24"/>
          <w:szCs w:val="24"/>
        </w:rPr>
        <w:t xml:space="preserve">EDI </w:t>
      </w:r>
      <w:r w:rsidR="000B0326">
        <w:rPr>
          <w:rFonts w:ascii="Times New Roman" w:eastAsiaTheme="minorHAnsi" w:hAnsi="Times New Roman"/>
          <w:sz w:val="24"/>
          <w:szCs w:val="24"/>
        </w:rPr>
        <w:t xml:space="preserve">transaction </w:t>
      </w:r>
      <w:r w:rsidR="008A6EFE">
        <w:rPr>
          <w:rFonts w:ascii="Times New Roman" w:eastAsiaTheme="minorHAnsi" w:hAnsi="Times New Roman"/>
          <w:sz w:val="24"/>
          <w:szCs w:val="24"/>
        </w:rPr>
        <w:t xml:space="preserve">that </w:t>
      </w:r>
      <w:r w:rsidR="000B0326">
        <w:rPr>
          <w:rFonts w:ascii="Times New Roman" w:eastAsiaTheme="minorHAnsi" w:hAnsi="Times New Roman"/>
          <w:sz w:val="24"/>
          <w:szCs w:val="24"/>
        </w:rPr>
        <w:t>show</w:t>
      </w:r>
      <w:r w:rsidR="006F4B16">
        <w:rPr>
          <w:rFonts w:ascii="Times New Roman" w:eastAsiaTheme="minorHAnsi" w:hAnsi="Times New Roman"/>
          <w:sz w:val="24"/>
          <w:szCs w:val="24"/>
        </w:rPr>
        <w:t>s</w:t>
      </w:r>
      <w:r w:rsidR="003E0137">
        <w:rPr>
          <w:rFonts w:ascii="Times New Roman" w:eastAsiaTheme="minorHAnsi" w:hAnsi="Times New Roman"/>
          <w:sz w:val="24"/>
          <w:szCs w:val="24"/>
        </w:rPr>
        <w:t xml:space="preserve"> the total</w:t>
      </w:r>
      <w:r w:rsidR="00277252">
        <w:rPr>
          <w:rFonts w:ascii="Times New Roman" w:eastAsiaTheme="minorHAnsi" w:hAnsi="Times New Roman"/>
          <w:sz w:val="24"/>
          <w:szCs w:val="24"/>
        </w:rPr>
        <w:t xml:space="preserve"> amount applied to that month’s total </w:t>
      </w:r>
      <w:r w:rsidR="00277252">
        <w:rPr>
          <w:rFonts w:ascii="Times New Roman" w:eastAsiaTheme="minorHAnsi" w:hAnsi="Times New Roman"/>
          <w:sz w:val="24"/>
          <w:szCs w:val="24"/>
        </w:rPr>
        <w:lastRenderedPageBreak/>
        <w:t>bill</w:t>
      </w:r>
      <w:r w:rsidR="00B4353E">
        <w:rPr>
          <w:rFonts w:ascii="Times New Roman" w:eastAsiaTheme="minorHAnsi" w:hAnsi="Times New Roman"/>
          <w:sz w:val="24"/>
          <w:szCs w:val="24"/>
        </w:rPr>
        <w:t xml:space="preserve">. </w:t>
      </w:r>
      <w:r w:rsidR="006F7EE2">
        <w:rPr>
          <w:rFonts w:ascii="Times New Roman" w:eastAsiaTheme="minorHAnsi" w:hAnsi="Times New Roman"/>
          <w:sz w:val="24"/>
          <w:szCs w:val="24"/>
        </w:rPr>
        <w:t xml:space="preserve"> </w:t>
      </w:r>
      <w:r w:rsidR="000F3507">
        <w:rPr>
          <w:rFonts w:ascii="Times New Roman" w:eastAsiaTheme="minorHAnsi" w:hAnsi="Times New Roman"/>
          <w:sz w:val="24"/>
          <w:szCs w:val="24"/>
        </w:rPr>
        <w:t xml:space="preserve">Likewise, </w:t>
      </w:r>
      <w:r w:rsidR="006F7EE2" w:rsidRPr="006F7EE2">
        <w:rPr>
          <w:rFonts w:ascii="Times New Roman" w:eastAsiaTheme="minorHAnsi" w:hAnsi="Times New Roman"/>
          <w:sz w:val="24"/>
          <w:szCs w:val="24"/>
        </w:rPr>
        <w:t>Direct Energy</w:t>
      </w:r>
      <w:r w:rsidR="006F7EE2">
        <w:rPr>
          <w:rFonts w:ascii="Times New Roman" w:eastAsiaTheme="minorHAnsi" w:hAnsi="Times New Roman"/>
          <w:sz w:val="24"/>
          <w:szCs w:val="24"/>
        </w:rPr>
        <w:t xml:space="preserve"> </w:t>
      </w:r>
      <w:r w:rsidR="00384DF4">
        <w:rPr>
          <w:rFonts w:ascii="Times New Roman" w:eastAsiaTheme="minorHAnsi" w:hAnsi="Times New Roman"/>
          <w:sz w:val="24"/>
          <w:szCs w:val="24"/>
        </w:rPr>
        <w:t>is</w:t>
      </w:r>
      <w:r w:rsidR="006F7EE2">
        <w:rPr>
          <w:rFonts w:ascii="Times New Roman" w:eastAsiaTheme="minorHAnsi" w:hAnsi="Times New Roman"/>
          <w:sz w:val="24"/>
          <w:szCs w:val="24"/>
        </w:rPr>
        <w:t xml:space="preserve"> filing comments in the Commission’s </w:t>
      </w:r>
      <w:r w:rsidR="000F3507">
        <w:rPr>
          <w:rFonts w:ascii="Times New Roman" w:eastAsiaTheme="minorHAnsi" w:hAnsi="Times New Roman"/>
          <w:sz w:val="24"/>
          <w:szCs w:val="24"/>
        </w:rPr>
        <w:t xml:space="preserve">12-1924-EL-ORD </w:t>
      </w:r>
      <w:r w:rsidR="006F7EE2">
        <w:rPr>
          <w:rFonts w:ascii="Times New Roman" w:eastAsiaTheme="minorHAnsi" w:hAnsi="Times New Roman"/>
          <w:sz w:val="24"/>
          <w:szCs w:val="24"/>
        </w:rPr>
        <w:t>docket</w:t>
      </w:r>
      <w:r w:rsidR="000F3507">
        <w:rPr>
          <w:rFonts w:ascii="Times New Roman" w:eastAsiaTheme="minorHAnsi" w:hAnsi="Times New Roman"/>
          <w:sz w:val="24"/>
          <w:szCs w:val="24"/>
        </w:rPr>
        <w:t xml:space="preserve"> suggesting that</w:t>
      </w:r>
      <w:r w:rsidR="00213CF4">
        <w:rPr>
          <w:rFonts w:ascii="Times New Roman" w:eastAsiaTheme="minorHAnsi" w:hAnsi="Times New Roman"/>
          <w:sz w:val="24"/>
          <w:szCs w:val="24"/>
        </w:rPr>
        <w:t xml:space="preserve">, in the context of supplier consolidated </w:t>
      </w:r>
      <w:proofErr w:type="gramStart"/>
      <w:r w:rsidR="00213CF4">
        <w:rPr>
          <w:rFonts w:ascii="Times New Roman" w:eastAsiaTheme="minorHAnsi" w:hAnsi="Times New Roman"/>
          <w:sz w:val="24"/>
          <w:szCs w:val="24"/>
        </w:rPr>
        <w:t>billing,</w:t>
      </w:r>
      <w:proofErr w:type="gramEnd"/>
      <w:r w:rsidR="000F3507">
        <w:rPr>
          <w:rFonts w:ascii="Times New Roman" w:eastAsiaTheme="minorHAnsi" w:hAnsi="Times New Roman"/>
          <w:sz w:val="24"/>
          <w:szCs w:val="24"/>
        </w:rPr>
        <w:t xml:space="preserve"> a CRES provider would supply EDI transactions</w:t>
      </w:r>
      <w:r w:rsidR="00213CF4">
        <w:rPr>
          <w:rFonts w:ascii="Times New Roman" w:eastAsiaTheme="minorHAnsi" w:hAnsi="Times New Roman"/>
          <w:sz w:val="24"/>
          <w:szCs w:val="24"/>
        </w:rPr>
        <w:t xml:space="preserve"> showing both the total amount paid on the bill and the amount applied to the EDU’s charges.  </w:t>
      </w:r>
    </w:p>
    <w:p w:rsidR="00A578E3" w:rsidRDefault="00F46E3A" w:rsidP="004E3A74">
      <w:pPr>
        <w:spacing w:line="48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Without this data point, the CRES provider is at the mercy of the information the EDU provides unless the</w:t>
      </w:r>
      <w:r w:rsidR="003E0137">
        <w:rPr>
          <w:rFonts w:ascii="Times New Roman" w:eastAsiaTheme="minorHAnsi" w:hAnsi="Times New Roman"/>
          <w:sz w:val="24"/>
          <w:szCs w:val="24"/>
        </w:rPr>
        <w:t xml:space="preserve"> CRES </w:t>
      </w:r>
      <w:r w:rsidR="008D6F30">
        <w:rPr>
          <w:rFonts w:ascii="Times New Roman" w:eastAsiaTheme="minorHAnsi" w:hAnsi="Times New Roman"/>
          <w:sz w:val="24"/>
          <w:szCs w:val="24"/>
        </w:rPr>
        <w:t xml:space="preserve">provider </w:t>
      </w:r>
      <w:r w:rsidR="003E0137">
        <w:rPr>
          <w:rFonts w:ascii="Times New Roman" w:eastAsiaTheme="minorHAnsi" w:hAnsi="Times New Roman"/>
          <w:sz w:val="24"/>
          <w:szCs w:val="24"/>
        </w:rPr>
        <w:t>is willing to contact individual customers</w:t>
      </w:r>
      <w:r w:rsidR="00BE6512">
        <w:rPr>
          <w:rFonts w:ascii="Times New Roman" w:eastAsiaTheme="minorHAnsi" w:hAnsi="Times New Roman"/>
          <w:sz w:val="24"/>
          <w:szCs w:val="24"/>
        </w:rPr>
        <w:t xml:space="preserve"> every month</w:t>
      </w:r>
      <w:r w:rsidR="007A40B7">
        <w:rPr>
          <w:rFonts w:ascii="Times New Roman" w:eastAsiaTheme="minorHAnsi" w:hAnsi="Times New Roman"/>
          <w:sz w:val="24"/>
          <w:szCs w:val="24"/>
        </w:rPr>
        <w:t xml:space="preserve"> to gather information regarding amounts billed and amounts paid</w:t>
      </w:r>
      <w:r w:rsidR="003E0137">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00A578E3">
        <w:rPr>
          <w:rFonts w:ascii="Times New Roman" w:eastAsiaTheme="minorHAnsi" w:hAnsi="Times New Roman"/>
          <w:sz w:val="24"/>
          <w:szCs w:val="24"/>
        </w:rPr>
        <w:t>Second, while a CRES</w:t>
      </w:r>
      <w:r w:rsidR="008D6F30">
        <w:rPr>
          <w:rFonts w:ascii="Times New Roman" w:eastAsiaTheme="minorHAnsi" w:hAnsi="Times New Roman"/>
          <w:sz w:val="24"/>
          <w:szCs w:val="24"/>
        </w:rPr>
        <w:t xml:space="preserve"> provider</w:t>
      </w:r>
      <w:r w:rsidR="00A578E3">
        <w:rPr>
          <w:rFonts w:ascii="Times New Roman" w:eastAsiaTheme="minorHAnsi" w:hAnsi="Times New Roman"/>
          <w:sz w:val="24"/>
          <w:szCs w:val="24"/>
        </w:rPr>
        <w:t xml:space="preserve"> is made aware of which customers are placed on a deferred payment plan, a CRES</w:t>
      </w:r>
      <w:r w:rsidR="008D6F30" w:rsidRPr="008D6F30">
        <w:rPr>
          <w:rFonts w:ascii="Times New Roman" w:eastAsiaTheme="minorHAnsi" w:hAnsi="Times New Roman"/>
          <w:sz w:val="24"/>
          <w:szCs w:val="24"/>
        </w:rPr>
        <w:t xml:space="preserve"> </w:t>
      </w:r>
      <w:r w:rsidR="008D6F30">
        <w:rPr>
          <w:rFonts w:ascii="Times New Roman" w:eastAsiaTheme="minorHAnsi" w:hAnsi="Times New Roman"/>
          <w:sz w:val="24"/>
          <w:szCs w:val="24"/>
        </w:rPr>
        <w:t>provider</w:t>
      </w:r>
      <w:r w:rsidR="00A578E3">
        <w:rPr>
          <w:rFonts w:ascii="Times New Roman" w:eastAsiaTheme="minorHAnsi" w:hAnsi="Times New Roman"/>
          <w:sz w:val="24"/>
          <w:szCs w:val="24"/>
        </w:rPr>
        <w:t xml:space="preserve"> has no say in the payment amount which could result in little to no funds being paid to the CRES</w:t>
      </w:r>
      <w:r w:rsidR="008D6F30" w:rsidRPr="008D6F30">
        <w:rPr>
          <w:rFonts w:ascii="Times New Roman" w:eastAsiaTheme="minorHAnsi" w:hAnsi="Times New Roman"/>
          <w:sz w:val="24"/>
          <w:szCs w:val="24"/>
        </w:rPr>
        <w:t xml:space="preserve"> </w:t>
      </w:r>
      <w:r w:rsidR="008D6F30">
        <w:rPr>
          <w:rFonts w:ascii="Times New Roman" w:eastAsiaTheme="minorHAnsi" w:hAnsi="Times New Roman"/>
          <w:sz w:val="24"/>
          <w:szCs w:val="24"/>
        </w:rPr>
        <w:t>provider</w:t>
      </w:r>
      <w:r w:rsidR="00A578E3">
        <w:rPr>
          <w:rFonts w:ascii="Times New Roman" w:eastAsiaTheme="minorHAnsi" w:hAnsi="Times New Roman"/>
          <w:sz w:val="24"/>
          <w:szCs w:val="24"/>
        </w:rPr>
        <w:t xml:space="preserve">.  </w:t>
      </w:r>
    </w:p>
    <w:p w:rsidR="003E0137" w:rsidRDefault="004E4470" w:rsidP="004E3A74">
      <w:pPr>
        <w:spacing w:line="480" w:lineRule="auto"/>
        <w:ind w:firstLine="720"/>
        <w:jc w:val="both"/>
        <w:rPr>
          <w:rFonts w:ascii="Times New Roman" w:hAnsi="Times New Roman"/>
          <w:bCs/>
          <w:sz w:val="24"/>
          <w:szCs w:val="24"/>
        </w:rPr>
      </w:pPr>
      <w:r>
        <w:rPr>
          <w:rFonts w:ascii="Times New Roman" w:eastAsiaTheme="minorHAnsi" w:hAnsi="Times New Roman"/>
          <w:sz w:val="24"/>
          <w:szCs w:val="24"/>
        </w:rPr>
        <w:t>Therefore, r</w:t>
      </w:r>
      <w:r w:rsidR="00A578E3">
        <w:rPr>
          <w:rFonts w:ascii="Times New Roman" w:eastAsiaTheme="minorHAnsi" w:hAnsi="Times New Roman"/>
          <w:sz w:val="24"/>
          <w:szCs w:val="24"/>
        </w:rPr>
        <w:t>equiring the utility to also provide an EDI transaction that shows the total amount paid on the bill would grant CRES providers the ability to accurately check and verify the amount being paid by the EDU</w:t>
      </w:r>
      <w:r>
        <w:rPr>
          <w:rFonts w:ascii="Times New Roman" w:eastAsiaTheme="minorHAnsi" w:hAnsi="Times New Roman"/>
          <w:sz w:val="24"/>
          <w:szCs w:val="24"/>
        </w:rPr>
        <w:t xml:space="preserve"> to the CRES provider</w:t>
      </w:r>
      <w:r w:rsidR="00A578E3">
        <w:rPr>
          <w:rFonts w:ascii="Times New Roman" w:eastAsiaTheme="minorHAnsi" w:hAnsi="Times New Roman"/>
          <w:sz w:val="24"/>
          <w:szCs w:val="24"/>
        </w:rPr>
        <w:t xml:space="preserve"> is correct.  </w:t>
      </w:r>
      <w:r w:rsidR="004E3A74">
        <w:rPr>
          <w:rFonts w:ascii="Times New Roman" w:eastAsiaTheme="minorHAnsi" w:hAnsi="Times New Roman"/>
          <w:sz w:val="24"/>
          <w:szCs w:val="24"/>
        </w:rPr>
        <w:t xml:space="preserve">Allowing CRES providers to check and verify these amounts is important because </w:t>
      </w:r>
      <w:r w:rsidR="00A971E0">
        <w:rPr>
          <w:rFonts w:ascii="Times New Roman" w:eastAsiaTheme="minorHAnsi" w:hAnsi="Times New Roman"/>
          <w:sz w:val="24"/>
          <w:szCs w:val="24"/>
        </w:rPr>
        <w:t xml:space="preserve">it will provide CRES </w:t>
      </w:r>
      <w:r w:rsidR="008D6F30">
        <w:rPr>
          <w:rFonts w:ascii="Times New Roman" w:eastAsiaTheme="minorHAnsi" w:hAnsi="Times New Roman"/>
          <w:sz w:val="24"/>
          <w:szCs w:val="24"/>
        </w:rPr>
        <w:t xml:space="preserve">providers </w:t>
      </w:r>
      <w:r w:rsidR="00A971E0">
        <w:rPr>
          <w:rFonts w:ascii="Times New Roman" w:eastAsiaTheme="minorHAnsi" w:hAnsi="Times New Roman"/>
          <w:sz w:val="24"/>
          <w:szCs w:val="24"/>
        </w:rPr>
        <w:t xml:space="preserve">with the tools to accurately track payments on the account as well as conduct collection efforts.  </w:t>
      </w:r>
      <w:r w:rsidR="00570D95">
        <w:rPr>
          <w:rFonts w:ascii="Times New Roman" w:eastAsiaTheme="minorHAnsi" w:hAnsi="Times New Roman"/>
          <w:sz w:val="24"/>
          <w:szCs w:val="24"/>
        </w:rPr>
        <w:t xml:space="preserve">Further, </w:t>
      </w:r>
      <w:r w:rsidR="00A971E0">
        <w:rPr>
          <w:rFonts w:ascii="Times New Roman" w:eastAsiaTheme="minorHAnsi" w:hAnsi="Times New Roman"/>
          <w:sz w:val="24"/>
          <w:szCs w:val="24"/>
        </w:rPr>
        <w:t>RESA witness Ringenbach described in her testimony in the FirstEnergy ESP case how customers can be confused by the collections process.</w:t>
      </w:r>
      <w:r w:rsidR="00570D95">
        <w:rPr>
          <w:rStyle w:val="FootnoteReference"/>
          <w:rFonts w:ascii="Times New Roman" w:eastAsiaTheme="minorHAnsi" w:hAnsi="Times New Roman"/>
          <w:sz w:val="24"/>
          <w:szCs w:val="24"/>
        </w:rPr>
        <w:footnoteReference w:id="2"/>
      </w:r>
      <w:r w:rsidR="00A971E0">
        <w:rPr>
          <w:rFonts w:ascii="Times New Roman" w:eastAsiaTheme="minorHAnsi" w:hAnsi="Times New Roman"/>
          <w:sz w:val="24"/>
          <w:szCs w:val="24"/>
        </w:rPr>
        <w:t xml:space="preserve">  Providing as much information to CRES providers as possible will help CRES providers understand exactly how the payments have been allocated</w:t>
      </w:r>
      <w:r w:rsidR="00B32D0D">
        <w:rPr>
          <w:rFonts w:ascii="Times New Roman" w:eastAsiaTheme="minorHAnsi" w:hAnsi="Times New Roman"/>
          <w:sz w:val="24"/>
          <w:szCs w:val="24"/>
        </w:rPr>
        <w:t xml:space="preserve"> before talking to a customer</w:t>
      </w:r>
      <w:r w:rsidR="00A971E0">
        <w:rPr>
          <w:rFonts w:ascii="Times New Roman" w:eastAsiaTheme="minorHAnsi" w:hAnsi="Times New Roman"/>
          <w:sz w:val="24"/>
          <w:szCs w:val="24"/>
        </w:rPr>
        <w:t xml:space="preserve">, thereby </w:t>
      </w:r>
      <w:r w:rsidR="00570D95">
        <w:rPr>
          <w:rFonts w:ascii="Times New Roman" w:eastAsiaTheme="minorHAnsi" w:hAnsi="Times New Roman"/>
          <w:sz w:val="24"/>
          <w:szCs w:val="24"/>
        </w:rPr>
        <w:t>lowering customer confusion as CRES providers would have all the information necessary (without having to procure any information from the customer) to fully explain what is happening</w:t>
      </w:r>
      <w:r>
        <w:rPr>
          <w:rFonts w:ascii="Times New Roman" w:eastAsiaTheme="minorHAnsi" w:hAnsi="Times New Roman"/>
          <w:sz w:val="24"/>
          <w:szCs w:val="24"/>
        </w:rPr>
        <w:t xml:space="preserve"> and why</w:t>
      </w:r>
      <w:r w:rsidR="00570D95">
        <w:rPr>
          <w:rFonts w:ascii="Times New Roman" w:eastAsiaTheme="minorHAnsi" w:hAnsi="Times New Roman"/>
          <w:sz w:val="24"/>
          <w:szCs w:val="24"/>
        </w:rPr>
        <w:t xml:space="preserve"> </w:t>
      </w:r>
      <w:r w:rsidR="00B32D0D">
        <w:rPr>
          <w:rFonts w:ascii="Times New Roman" w:eastAsiaTheme="minorHAnsi" w:hAnsi="Times New Roman"/>
          <w:sz w:val="24"/>
          <w:szCs w:val="24"/>
        </w:rPr>
        <w:t>during the collection process.</w:t>
      </w:r>
    </w:p>
    <w:p w:rsidR="00DC7A8C" w:rsidRDefault="00DC7A8C" w:rsidP="0017131C">
      <w:pPr>
        <w:spacing w:line="480" w:lineRule="auto"/>
        <w:ind w:firstLine="720"/>
        <w:rPr>
          <w:rFonts w:ascii="Times New Roman" w:hAnsi="Times New Roman"/>
          <w:bCs/>
          <w:sz w:val="24"/>
          <w:szCs w:val="24"/>
        </w:rPr>
      </w:pPr>
    </w:p>
    <w:p w:rsidR="00CC155C" w:rsidRDefault="00CC155C">
      <w:pPr>
        <w:rPr>
          <w:rFonts w:ascii="Times New Roman" w:hAnsi="Times New Roman"/>
          <w:b/>
          <w:bCs/>
          <w:sz w:val="24"/>
          <w:szCs w:val="24"/>
        </w:rPr>
      </w:pPr>
      <w:r w:rsidRPr="00C446A1">
        <w:rPr>
          <w:rFonts w:ascii="Times New Roman" w:hAnsi="Times New Roman"/>
          <w:b/>
          <w:bCs/>
          <w:sz w:val="24"/>
          <w:szCs w:val="24"/>
        </w:rPr>
        <w:t>III.</w:t>
      </w:r>
      <w:r w:rsidRPr="00C446A1">
        <w:rPr>
          <w:rFonts w:ascii="Times New Roman" w:hAnsi="Times New Roman"/>
          <w:b/>
          <w:bCs/>
          <w:sz w:val="24"/>
          <w:szCs w:val="24"/>
        </w:rPr>
        <w:tab/>
        <w:t>CONCLUSION</w:t>
      </w:r>
    </w:p>
    <w:p w:rsidR="000B0326" w:rsidRDefault="000B0326">
      <w:pPr>
        <w:rPr>
          <w:rFonts w:ascii="Times New Roman" w:hAnsi="Times New Roman"/>
          <w:b/>
          <w:bCs/>
          <w:sz w:val="24"/>
          <w:szCs w:val="24"/>
        </w:rPr>
      </w:pPr>
    </w:p>
    <w:p w:rsidR="006B79FC" w:rsidRDefault="000B0326" w:rsidP="00C45ED2">
      <w:pPr>
        <w:spacing w:line="480" w:lineRule="auto"/>
        <w:rPr>
          <w:rFonts w:ascii="Times New Roman" w:hAnsi="Times New Roman"/>
          <w:bCs/>
          <w:sz w:val="24"/>
          <w:szCs w:val="24"/>
        </w:rPr>
      </w:pPr>
      <w:r w:rsidRPr="000B0326">
        <w:rPr>
          <w:rFonts w:ascii="Times New Roman" w:hAnsi="Times New Roman"/>
          <w:bCs/>
          <w:sz w:val="24"/>
          <w:szCs w:val="24"/>
        </w:rPr>
        <w:tab/>
        <w:t>Direct Energy</w:t>
      </w:r>
      <w:r w:rsidR="00B703E7">
        <w:rPr>
          <w:rFonts w:ascii="Times New Roman" w:hAnsi="Times New Roman"/>
          <w:bCs/>
          <w:sz w:val="24"/>
          <w:szCs w:val="24"/>
        </w:rPr>
        <w:t xml:space="preserve"> requests the Commission </w:t>
      </w:r>
      <w:r w:rsidR="00C44515">
        <w:rPr>
          <w:rFonts w:ascii="Times New Roman" w:hAnsi="Times New Roman"/>
          <w:bCs/>
          <w:sz w:val="24"/>
          <w:szCs w:val="24"/>
        </w:rPr>
        <w:t xml:space="preserve">accept </w:t>
      </w:r>
      <w:r w:rsidR="00B703E7">
        <w:rPr>
          <w:rFonts w:ascii="Times New Roman" w:hAnsi="Times New Roman"/>
          <w:bCs/>
          <w:sz w:val="24"/>
          <w:szCs w:val="24"/>
        </w:rPr>
        <w:t>its proposed changes</w:t>
      </w:r>
      <w:r w:rsidR="00C44515">
        <w:rPr>
          <w:rFonts w:ascii="Times New Roman" w:hAnsi="Times New Roman"/>
          <w:bCs/>
          <w:sz w:val="24"/>
          <w:szCs w:val="24"/>
        </w:rPr>
        <w:t xml:space="preserve"> to the proposed rules contained in the Commission’s November 7, 2012 Order.  </w:t>
      </w:r>
      <w:r w:rsidR="00C45ED2" w:rsidRPr="00C45ED2">
        <w:rPr>
          <w:rFonts w:ascii="Times New Roman" w:hAnsi="Times New Roman"/>
          <w:bCs/>
          <w:sz w:val="24"/>
          <w:szCs w:val="24"/>
        </w:rPr>
        <w:t>Direct Energy</w:t>
      </w:r>
      <w:r w:rsidR="00C45ED2">
        <w:rPr>
          <w:rFonts w:ascii="Times New Roman" w:hAnsi="Times New Roman"/>
          <w:bCs/>
          <w:sz w:val="24"/>
          <w:szCs w:val="24"/>
        </w:rPr>
        <w:t xml:space="preserve"> also reserves the right to file reply comments in this docket.  </w:t>
      </w:r>
    </w:p>
    <w:p w:rsidR="000038B0" w:rsidRPr="000038B0" w:rsidRDefault="000038B0" w:rsidP="000038B0">
      <w:pPr>
        <w:keepNext/>
        <w:ind w:left="4320"/>
        <w:rPr>
          <w:rFonts w:ascii="Times New Roman" w:hAnsi="Times New Roman"/>
          <w:sz w:val="24"/>
          <w:szCs w:val="24"/>
        </w:rPr>
      </w:pPr>
      <w:r w:rsidRPr="000038B0">
        <w:rPr>
          <w:rFonts w:ascii="Times New Roman" w:hAnsi="Times New Roman"/>
          <w:sz w:val="24"/>
          <w:szCs w:val="24"/>
        </w:rPr>
        <w:t>Respectfully submitted,</w:t>
      </w:r>
    </w:p>
    <w:p w:rsidR="000038B0" w:rsidRPr="000038B0" w:rsidRDefault="000038B0" w:rsidP="000038B0">
      <w:pPr>
        <w:keepNext/>
        <w:ind w:left="4320"/>
        <w:rPr>
          <w:rFonts w:ascii="Times New Roman" w:hAnsi="Times New Roman"/>
          <w:sz w:val="24"/>
          <w:szCs w:val="24"/>
        </w:rPr>
      </w:pPr>
    </w:p>
    <w:p w:rsidR="000038B0" w:rsidRPr="000038B0" w:rsidRDefault="000038B0" w:rsidP="000038B0">
      <w:pPr>
        <w:keepNext/>
        <w:ind w:left="4320"/>
        <w:rPr>
          <w:rFonts w:ascii="Times New Roman" w:hAnsi="Times New Roman"/>
          <w:sz w:val="24"/>
          <w:szCs w:val="24"/>
        </w:rPr>
      </w:pPr>
    </w:p>
    <w:p w:rsidR="000038B0" w:rsidRPr="000038B0" w:rsidRDefault="000038B0" w:rsidP="000038B0">
      <w:pPr>
        <w:keepNext/>
        <w:ind w:left="4320"/>
        <w:rPr>
          <w:rFonts w:ascii="Times New Roman" w:hAnsi="Times New Roman"/>
          <w:sz w:val="24"/>
          <w:szCs w:val="24"/>
        </w:rPr>
      </w:pPr>
    </w:p>
    <w:p w:rsidR="000038B0" w:rsidRPr="000038B0" w:rsidRDefault="009554D2" w:rsidP="000038B0">
      <w:pPr>
        <w:keepNext/>
        <w:tabs>
          <w:tab w:val="right" w:pos="9360"/>
        </w:tabs>
        <w:ind w:left="4320"/>
        <w:rPr>
          <w:rFonts w:ascii="Times New Roman" w:hAnsi="Times New Roman"/>
          <w:sz w:val="24"/>
          <w:szCs w:val="24"/>
        </w:rPr>
      </w:pPr>
      <w:r>
        <w:rPr>
          <w:rFonts w:ascii="Times New Roman" w:hAnsi="Times New Roman"/>
          <w:sz w:val="24"/>
          <w:szCs w:val="24"/>
          <w:u w:val="single"/>
        </w:rPr>
        <w:t>/s/ Joseph M. Clark</w:t>
      </w:r>
      <w:r w:rsidR="000038B0" w:rsidRPr="000038B0">
        <w:rPr>
          <w:rFonts w:ascii="Times New Roman" w:hAnsi="Times New Roman"/>
          <w:sz w:val="24"/>
          <w:szCs w:val="24"/>
          <w:u w:val="single"/>
        </w:rPr>
        <w:tab/>
      </w:r>
    </w:p>
    <w:p w:rsidR="000038B0" w:rsidRDefault="000038B0" w:rsidP="000038B0">
      <w:pPr>
        <w:keepNext/>
        <w:tabs>
          <w:tab w:val="right" w:pos="9360"/>
        </w:tabs>
        <w:ind w:left="4320"/>
        <w:rPr>
          <w:rFonts w:ascii="Times New Roman" w:hAnsi="Times New Roman"/>
          <w:sz w:val="24"/>
          <w:szCs w:val="24"/>
        </w:rPr>
      </w:pPr>
      <w:r>
        <w:rPr>
          <w:rFonts w:ascii="Times New Roman" w:hAnsi="Times New Roman"/>
          <w:sz w:val="24"/>
          <w:szCs w:val="24"/>
        </w:rPr>
        <w:t>Joseph M. Clark</w:t>
      </w:r>
    </w:p>
    <w:p w:rsidR="000038B0" w:rsidRDefault="000038B0" w:rsidP="000038B0">
      <w:pPr>
        <w:keepNext/>
        <w:tabs>
          <w:tab w:val="right" w:pos="9360"/>
        </w:tabs>
        <w:ind w:left="4320"/>
        <w:rPr>
          <w:rFonts w:ascii="Times New Roman" w:hAnsi="Times New Roman"/>
          <w:sz w:val="24"/>
          <w:szCs w:val="24"/>
        </w:rPr>
      </w:pPr>
      <w:r>
        <w:rPr>
          <w:rFonts w:ascii="Times New Roman" w:hAnsi="Times New Roman"/>
          <w:sz w:val="24"/>
          <w:szCs w:val="24"/>
        </w:rPr>
        <w:t>Jennifer L. Lause</w:t>
      </w:r>
    </w:p>
    <w:p w:rsidR="000038B0" w:rsidRDefault="000038B0" w:rsidP="000038B0">
      <w:pPr>
        <w:keepNext/>
        <w:tabs>
          <w:tab w:val="right" w:pos="9360"/>
        </w:tabs>
        <w:ind w:left="4320"/>
        <w:rPr>
          <w:rFonts w:ascii="Times New Roman" w:hAnsi="Times New Roman"/>
          <w:sz w:val="24"/>
          <w:szCs w:val="24"/>
        </w:rPr>
      </w:pPr>
      <w:r>
        <w:rPr>
          <w:rFonts w:ascii="Times New Roman" w:hAnsi="Times New Roman"/>
          <w:sz w:val="24"/>
          <w:szCs w:val="24"/>
        </w:rPr>
        <w:t>Direct Energy</w:t>
      </w:r>
    </w:p>
    <w:p w:rsidR="000038B0" w:rsidRDefault="000038B0" w:rsidP="000038B0">
      <w:pPr>
        <w:keepNext/>
        <w:tabs>
          <w:tab w:val="right" w:pos="9360"/>
        </w:tabs>
        <w:ind w:left="4320"/>
        <w:rPr>
          <w:rFonts w:ascii="Times New Roman" w:hAnsi="Times New Roman"/>
          <w:sz w:val="24"/>
          <w:szCs w:val="24"/>
        </w:rPr>
      </w:pPr>
      <w:r>
        <w:rPr>
          <w:rFonts w:ascii="Times New Roman" w:hAnsi="Times New Roman"/>
          <w:sz w:val="24"/>
          <w:szCs w:val="24"/>
        </w:rPr>
        <w:t>21 East State Street, 19</w:t>
      </w:r>
      <w:r w:rsidRPr="000038B0">
        <w:rPr>
          <w:rFonts w:ascii="Times New Roman" w:hAnsi="Times New Roman"/>
          <w:sz w:val="24"/>
          <w:szCs w:val="24"/>
          <w:vertAlign w:val="superscript"/>
        </w:rPr>
        <w:t>th</w:t>
      </w:r>
      <w:r>
        <w:rPr>
          <w:rFonts w:ascii="Times New Roman" w:hAnsi="Times New Roman"/>
          <w:sz w:val="24"/>
          <w:szCs w:val="24"/>
        </w:rPr>
        <w:t xml:space="preserve"> Floor</w:t>
      </w:r>
    </w:p>
    <w:p w:rsidR="000038B0" w:rsidRDefault="000038B0" w:rsidP="000038B0">
      <w:pPr>
        <w:keepNext/>
        <w:tabs>
          <w:tab w:val="right" w:pos="9360"/>
        </w:tabs>
        <w:ind w:left="4320"/>
        <w:rPr>
          <w:rFonts w:ascii="Times New Roman" w:hAnsi="Times New Roman"/>
          <w:sz w:val="24"/>
          <w:szCs w:val="24"/>
        </w:rPr>
      </w:pPr>
      <w:r>
        <w:rPr>
          <w:rFonts w:ascii="Times New Roman" w:hAnsi="Times New Roman"/>
          <w:sz w:val="24"/>
          <w:szCs w:val="24"/>
        </w:rPr>
        <w:t>Columbus, Ohio 43215</w:t>
      </w:r>
    </w:p>
    <w:p w:rsidR="000038B0" w:rsidRDefault="000038B0" w:rsidP="000038B0">
      <w:pPr>
        <w:keepNext/>
        <w:tabs>
          <w:tab w:val="right" w:pos="9360"/>
        </w:tabs>
        <w:ind w:left="4320"/>
        <w:rPr>
          <w:rFonts w:ascii="Times New Roman" w:hAnsi="Times New Roman"/>
          <w:sz w:val="24"/>
          <w:szCs w:val="24"/>
        </w:rPr>
      </w:pPr>
      <w:r>
        <w:rPr>
          <w:rFonts w:ascii="Times New Roman" w:hAnsi="Times New Roman"/>
          <w:sz w:val="24"/>
          <w:szCs w:val="24"/>
        </w:rPr>
        <w:t>(614) 220-4369</w:t>
      </w:r>
    </w:p>
    <w:p w:rsidR="000038B0" w:rsidRDefault="004D0B0C" w:rsidP="000038B0">
      <w:pPr>
        <w:keepNext/>
        <w:tabs>
          <w:tab w:val="right" w:pos="9360"/>
        </w:tabs>
        <w:ind w:left="4320"/>
        <w:rPr>
          <w:rFonts w:ascii="Times New Roman" w:hAnsi="Times New Roman"/>
          <w:sz w:val="24"/>
          <w:szCs w:val="24"/>
        </w:rPr>
      </w:pPr>
      <w:hyperlink r:id="rId11" w:history="1">
        <w:r w:rsidR="000038B0" w:rsidRPr="00021C93">
          <w:rPr>
            <w:rStyle w:val="Hyperlink"/>
            <w:rFonts w:ascii="Times New Roman" w:hAnsi="Times New Roman"/>
            <w:sz w:val="24"/>
            <w:szCs w:val="24"/>
          </w:rPr>
          <w:t>joseph.clark@directenergy.com</w:t>
        </w:r>
      </w:hyperlink>
    </w:p>
    <w:p w:rsidR="000038B0" w:rsidRPr="000038B0" w:rsidRDefault="004D0B0C" w:rsidP="000038B0">
      <w:pPr>
        <w:keepNext/>
        <w:tabs>
          <w:tab w:val="right" w:pos="9360"/>
        </w:tabs>
        <w:ind w:left="4320"/>
        <w:rPr>
          <w:rFonts w:ascii="Times New Roman" w:hAnsi="Times New Roman"/>
          <w:sz w:val="24"/>
          <w:szCs w:val="24"/>
        </w:rPr>
      </w:pPr>
      <w:hyperlink r:id="rId12" w:history="1">
        <w:r w:rsidR="000038B0" w:rsidRPr="00021C93">
          <w:rPr>
            <w:rStyle w:val="Hyperlink"/>
            <w:rFonts w:ascii="Times New Roman" w:hAnsi="Times New Roman"/>
            <w:sz w:val="24"/>
            <w:szCs w:val="24"/>
          </w:rPr>
          <w:t>jennifer.lause@directenergy.com</w:t>
        </w:r>
      </w:hyperlink>
      <w:r w:rsidR="000038B0">
        <w:rPr>
          <w:rFonts w:ascii="Times New Roman" w:hAnsi="Times New Roman"/>
          <w:sz w:val="24"/>
          <w:szCs w:val="24"/>
        </w:rPr>
        <w:t xml:space="preserve"> </w:t>
      </w:r>
    </w:p>
    <w:p w:rsidR="000038B0" w:rsidRPr="000038B0" w:rsidRDefault="000038B0" w:rsidP="000038B0">
      <w:pPr>
        <w:tabs>
          <w:tab w:val="right" w:pos="9360"/>
        </w:tabs>
        <w:ind w:left="4320"/>
        <w:rPr>
          <w:rFonts w:ascii="Times New Roman" w:hAnsi="Times New Roman"/>
          <w:sz w:val="24"/>
          <w:szCs w:val="24"/>
        </w:rPr>
      </w:pPr>
    </w:p>
    <w:p w:rsidR="000038B0" w:rsidRPr="000038B0" w:rsidRDefault="000038B0" w:rsidP="000038B0">
      <w:pPr>
        <w:tabs>
          <w:tab w:val="right" w:pos="9360"/>
        </w:tabs>
        <w:ind w:left="4320"/>
        <w:rPr>
          <w:rFonts w:ascii="Times New Roman" w:hAnsi="Times New Roman"/>
          <w:sz w:val="24"/>
          <w:szCs w:val="24"/>
        </w:rPr>
      </w:pPr>
      <w:r w:rsidRPr="000038B0">
        <w:rPr>
          <w:rFonts w:ascii="Times New Roman" w:hAnsi="Times New Roman"/>
          <w:sz w:val="24"/>
          <w:szCs w:val="24"/>
        </w:rPr>
        <w:t xml:space="preserve">Attorneys for </w:t>
      </w:r>
      <w:r>
        <w:rPr>
          <w:rFonts w:ascii="Times New Roman" w:hAnsi="Times New Roman"/>
          <w:sz w:val="24"/>
          <w:szCs w:val="24"/>
        </w:rPr>
        <w:t xml:space="preserve">Direct Energy Services, LLC and </w:t>
      </w:r>
      <w:r w:rsidRPr="000038B0">
        <w:rPr>
          <w:rFonts w:ascii="Times New Roman" w:hAnsi="Times New Roman"/>
          <w:sz w:val="24"/>
          <w:szCs w:val="24"/>
        </w:rPr>
        <w:t>Direct Energy</w:t>
      </w:r>
      <w:r>
        <w:rPr>
          <w:rFonts w:ascii="Times New Roman" w:hAnsi="Times New Roman"/>
          <w:sz w:val="24"/>
          <w:szCs w:val="24"/>
        </w:rPr>
        <w:t xml:space="preserve"> Business, LLC</w:t>
      </w:r>
    </w:p>
    <w:p w:rsidR="000038B0" w:rsidRDefault="000038B0" w:rsidP="00C45ED2">
      <w:pPr>
        <w:spacing w:line="480" w:lineRule="auto"/>
        <w:rPr>
          <w:rFonts w:ascii="Times New Roman" w:hAnsi="Times New Roman"/>
          <w:bCs/>
          <w:sz w:val="24"/>
          <w:szCs w:val="24"/>
        </w:rPr>
      </w:pPr>
    </w:p>
    <w:p w:rsidR="006B79FC" w:rsidRDefault="006B79FC">
      <w:pPr>
        <w:spacing w:after="200" w:line="276" w:lineRule="auto"/>
        <w:rPr>
          <w:rFonts w:ascii="Times New Roman" w:hAnsi="Times New Roman"/>
          <w:bCs/>
          <w:sz w:val="24"/>
          <w:szCs w:val="24"/>
        </w:rPr>
      </w:pPr>
      <w:r>
        <w:rPr>
          <w:rFonts w:ascii="Times New Roman" w:hAnsi="Times New Roman"/>
          <w:bCs/>
          <w:sz w:val="24"/>
          <w:szCs w:val="24"/>
        </w:rPr>
        <w:br w:type="page"/>
      </w:r>
    </w:p>
    <w:p w:rsidR="00A81264" w:rsidRPr="00A81264" w:rsidRDefault="00A81264" w:rsidP="00A81264">
      <w:pPr>
        <w:spacing w:line="480" w:lineRule="auto"/>
        <w:jc w:val="center"/>
        <w:rPr>
          <w:rFonts w:ascii="Times New Roman" w:hAnsi="Times New Roman"/>
          <w:b/>
          <w:bCs/>
          <w:sz w:val="24"/>
          <w:szCs w:val="24"/>
          <w:u w:val="single"/>
        </w:rPr>
      </w:pPr>
      <w:r w:rsidRPr="00A81264">
        <w:rPr>
          <w:rFonts w:ascii="Times New Roman" w:hAnsi="Times New Roman"/>
          <w:b/>
          <w:bCs/>
          <w:sz w:val="24"/>
          <w:szCs w:val="24"/>
          <w:u w:val="single"/>
        </w:rPr>
        <w:lastRenderedPageBreak/>
        <w:t>CERTIFICATE OF SERVICE</w:t>
      </w:r>
    </w:p>
    <w:p w:rsidR="00A81264" w:rsidRPr="00A81264" w:rsidRDefault="00A81264" w:rsidP="00A81264">
      <w:pPr>
        <w:spacing w:line="480" w:lineRule="auto"/>
        <w:ind w:firstLine="720"/>
        <w:rPr>
          <w:rFonts w:ascii="Times New Roman" w:hAnsi="Times New Roman"/>
          <w:sz w:val="24"/>
          <w:szCs w:val="24"/>
        </w:rPr>
      </w:pPr>
      <w:r w:rsidRPr="00A81264">
        <w:rPr>
          <w:rFonts w:ascii="Times New Roman" w:hAnsi="Times New Roman"/>
          <w:sz w:val="24"/>
          <w:szCs w:val="24"/>
        </w:rPr>
        <w:t xml:space="preserve">I certify that a copy of the foregoing document </w:t>
      </w:r>
      <w:r>
        <w:rPr>
          <w:rFonts w:ascii="Times New Roman" w:hAnsi="Times New Roman"/>
          <w:sz w:val="24"/>
          <w:szCs w:val="24"/>
        </w:rPr>
        <w:t xml:space="preserve">will be </w:t>
      </w:r>
      <w:r w:rsidRPr="00A81264">
        <w:rPr>
          <w:rFonts w:ascii="Times New Roman" w:hAnsi="Times New Roman"/>
          <w:sz w:val="24"/>
          <w:szCs w:val="24"/>
        </w:rPr>
        <w:t>served via electronic mail on all parties who submit initial comments in Case No. 12-</w:t>
      </w:r>
      <w:r>
        <w:rPr>
          <w:rFonts w:ascii="Times New Roman" w:hAnsi="Times New Roman"/>
          <w:sz w:val="24"/>
          <w:szCs w:val="24"/>
        </w:rPr>
        <w:t>2050</w:t>
      </w:r>
      <w:r w:rsidRPr="00A81264">
        <w:rPr>
          <w:rFonts w:ascii="Times New Roman" w:hAnsi="Times New Roman"/>
          <w:sz w:val="24"/>
          <w:szCs w:val="24"/>
        </w:rPr>
        <w:t>-</w:t>
      </w:r>
      <w:r>
        <w:rPr>
          <w:rFonts w:ascii="Times New Roman" w:hAnsi="Times New Roman"/>
          <w:sz w:val="24"/>
          <w:szCs w:val="24"/>
        </w:rPr>
        <w:t>EL</w:t>
      </w:r>
      <w:r w:rsidRPr="00A81264">
        <w:rPr>
          <w:rFonts w:ascii="Times New Roman" w:hAnsi="Times New Roman"/>
          <w:sz w:val="24"/>
          <w:szCs w:val="24"/>
        </w:rPr>
        <w:t>-ORD this 7th day of January, 2012</w:t>
      </w:r>
      <w:r w:rsidR="005E5D7A">
        <w:rPr>
          <w:rFonts w:ascii="Times New Roman" w:hAnsi="Times New Roman"/>
          <w:sz w:val="24"/>
          <w:szCs w:val="24"/>
        </w:rPr>
        <w:t>,</w:t>
      </w:r>
      <w:r w:rsidRPr="00A81264">
        <w:rPr>
          <w:rFonts w:ascii="Times New Roman" w:hAnsi="Times New Roman"/>
          <w:sz w:val="24"/>
          <w:szCs w:val="24"/>
        </w:rPr>
        <w:t xml:space="preserve"> when the identit</w:t>
      </w:r>
      <w:r>
        <w:rPr>
          <w:rFonts w:ascii="Times New Roman" w:hAnsi="Times New Roman"/>
          <w:sz w:val="24"/>
          <w:szCs w:val="24"/>
        </w:rPr>
        <w:t>ies</w:t>
      </w:r>
      <w:r w:rsidRPr="00A81264">
        <w:rPr>
          <w:rFonts w:ascii="Times New Roman" w:hAnsi="Times New Roman"/>
          <w:sz w:val="24"/>
          <w:szCs w:val="24"/>
        </w:rPr>
        <w:t xml:space="preserve"> of such commenter</w:t>
      </w:r>
      <w:r>
        <w:rPr>
          <w:rFonts w:ascii="Times New Roman" w:hAnsi="Times New Roman"/>
          <w:sz w:val="24"/>
          <w:szCs w:val="24"/>
        </w:rPr>
        <w:t>s</w:t>
      </w:r>
      <w:r w:rsidRPr="00A81264">
        <w:rPr>
          <w:rFonts w:ascii="Times New Roman" w:hAnsi="Times New Roman"/>
          <w:sz w:val="24"/>
          <w:szCs w:val="24"/>
        </w:rPr>
        <w:t xml:space="preserve"> are known</w:t>
      </w:r>
      <w:r w:rsidR="00AE238D">
        <w:rPr>
          <w:rFonts w:ascii="Times New Roman" w:hAnsi="Times New Roman"/>
          <w:sz w:val="24"/>
          <w:szCs w:val="24"/>
        </w:rPr>
        <w:t>,</w:t>
      </w:r>
      <w:r w:rsidR="00000FDB">
        <w:rPr>
          <w:rFonts w:ascii="Times New Roman" w:hAnsi="Times New Roman"/>
          <w:sz w:val="24"/>
          <w:szCs w:val="24"/>
        </w:rPr>
        <w:t xml:space="preserve"> as well as upon Mr. David Blair, GEM Energy, 5505 Valley Belt Road, Suite F, Independence, Ohio 44131</w:t>
      </w:r>
      <w:r w:rsidRPr="00A81264">
        <w:rPr>
          <w:rFonts w:ascii="Times New Roman" w:hAnsi="Times New Roman"/>
          <w:sz w:val="24"/>
          <w:szCs w:val="24"/>
        </w:rPr>
        <w:t>.</w:t>
      </w:r>
    </w:p>
    <w:p w:rsidR="00A81264" w:rsidRPr="00A81264" w:rsidRDefault="00A81264" w:rsidP="00A81264">
      <w:pPr>
        <w:spacing w:line="480" w:lineRule="auto"/>
        <w:ind w:firstLine="1440"/>
        <w:rPr>
          <w:rFonts w:ascii="Times New Roman" w:hAnsi="Times New Roman"/>
          <w:sz w:val="24"/>
          <w:szCs w:val="24"/>
        </w:rPr>
      </w:pPr>
    </w:p>
    <w:p w:rsidR="00A81264" w:rsidRPr="00A81264" w:rsidRDefault="000038B0" w:rsidP="00A81264">
      <w:pPr>
        <w:keepNext/>
        <w:tabs>
          <w:tab w:val="right" w:pos="9360"/>
        </w:tabs>
        <w:ind w:left="4320"/>
        <w:rPr>
          <w:rFonts w:ascii="Times New Roman" w:hAnsi="Times New Roman"/>
          <w:sz w:val="24"/>
          <w:szCs w:val="24"/>
          <w:u w:val="single"/>
        </w:rPr>
      </w:pPr>
      <w:r>
        <w:rPr>
          <w:rFonts w:ascii="Times New Roman" w:hAnsi="Times New Roman"/>
          <w:sz w:val="24"/>
          <w:szCs w:val="24"/>
          <w:u w:val="single"/>
        </w:rPr>
        <w:t xml:space="preserve"> /s/ Joseph M. Clark</w:t>
      </w:r>
      <w:r w:rsidR="00A81264" w:rsidRPr="00A81264">
        <w:rPr>
          <w:rFonts w:ascii="Times New Roman" w:hAnsi="Times New Roman"/>
          <w:sz w:val="24"/>
          <w:szCs w:val="24"/>
          <w:u w:val="single"/>
        </w:rPr>
        <w:tab/>
      </w:r>
    </w:p>
    <w:p w:rsidR="00A81264" w:rsidRPr="00A81264" w:rsidRDefault="00A81264" w:rsidP="00A81264">
      <w:pPr>
        <w:keepNext/>
        <w:tabs>
          <w:tab w:val="right" w:pos="9360"/>
        </w:tabs>
        <w:ind w:left="4320"/>
        <w:rPr>
          <w:rFonts w:ascii="Times New Roman" w:hAnsi="Times New Roman"/>
          <w:sz w:val="24"/>
          <w:szCs w:val="24"/>
        </w:rPr>
      </w:pPr>
      <w:r>
        <w:rPr>
          <w:rFonts w:ascii="Times New Roman" w:hAnsi="Times New Roman"/>
          <w:sz w:val="24"/>
          <w:szCs w:val="24"/>
        </w:rPr>
        <w:t>Joseph M. Clark</w:t>
      </w:r>
    </w:p>
    <w:p w:rsidR="008B7E3A" w:rsidRPr="00A81264" w:rsidRDefault="008B7E3A" w:rsidP="009724BB">
      <w:pPr>
        <w:rPr>
          <w:rFonts w:ascii="Times New Roman" w:hAnsi="Times New Roman"/>
          <w:sz w:val="24"/>
          <w:szCs w:val="24"/>
        </w:rPr>
      </w:pPr>
    </w:p>
    <w:p w:rsidR="009724BB" w:rsidRDefault="009724BB" w:rsidP="009724BB">
      <w:pPr>
        <w:rPr>
          <w:rFonts w:ascii="Times New Roman" w:hAnsi="Times New Roman"/>
          <w:sz w:val="24"/>
          <w:szCs w:val="24"/>
        </w:rPr>
      </w:pPr>
    </w:p>
    <w:p w:rsidR="009724BB" w:rsidRPr="000B0326" w:rsidRDefault="009724BB" w:rsidP="009724BB">
      <w:pPr>
        <w:rPr>
          <w:rFonts w:ascii="Times New Roman" w:hAnsi="Times New Roman"/>
          <w:sz w:val="24"/>
          <w:szCs w:val="24"/>
        </w:rPr>
      </w:pPr>
    </w:p>
    <w:sectPr w:rsidR="009724BB" w:rsidRPr="000B0326" w:rsidSect="00262FCC">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B0C" w:rsidRDefault="004D0B0C" w:rsidP="003F1A19">
      <w:r>
        <w:separator/>
      </w:r>
    </w:p>
  </w:endnote>
  <w:endnote w:type="continuationSeparator" w:id="0">
    <w:p w:rsidR="004D0B0C" w:rsidRDefault="004D0B0C" w:rsidP="003F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315920571"/>
      <w:docPartObj>
        <w:docPartGallery w:val="Page Numbers (Bottom of Page)"/>
        <w:docPartUnique/>
      </w:docPartObj>
    </w:sdtPr>
    <w:sdtEndPr>
      <w:rPr>
        <w:noProof/>
      </w:rPr>
    </w:sdtEndPr>
    <w:sdtContent>
      <w:p w:rsidR="00262FCC" w:rsidRPr="00B85855" w:rsidRDefault="00262FCC">
        <w:pPr>
          <w:pStyle w:val="Footer"/>
          <w:jc w:val="center"/>
          <w:rPr>
            <w:rFonts w:ascii="Times New Roman" w:hAnsi="Times New Roman"/>
            <w:sz w:val="24"/>
            <w:szCs w:val="24"/>
          </w:rPr>
        </w:pPr>
        <w:r w:rsidRPr="00B85855">
          <w:rPr>
            <w:rFonts w:ascii="Times New Roman" w:hAnsi="Times New Roman"/>
            <w:sz w:val="24"/>
            <w:szCs w:val="24"/>
          </w:rPr>
          <w:fldChar w:fldCharType="begin"/>
        </w:r>
        <w:r w:rsidRPr="00B85855">
          <w:rPr>
            <w:rFonts w:ascii="Times New Roman" w:hAnsi="Times New Roman"/>
            <w:sz w:val="24"/>
            <w:szCs w:val="24"/>
          </w:rPr>
          <w:instrText xml:space="preserve"> PAGE   \* MERGEFORMAT </w:instrText>
        </w:r>
        <w:r w:rsidRPr="00B85855">
          <w:rPr>
            <w:rFonts w:ascii="Times New Roman" w:hAnsi="Times New Roman"/>
            <w:sz w:val="24"/>
            <w:szCs w:val="24"/>
          </w:rPr>
          <w:fldChar w:fldCharType="separate"/>
        </w:r>
        <w:r w:rsidR="0099641C">
          <w:rPr>
            <w:rFonts w:ascii="Times New Roman" w:hAnsi="Times New Roman"/>
            <w:noProof/>
            <w:sz w:val="24"/>
            <w:szCs w:val="24"/>
          </w:rPr>
          <w:t>10</w:t>
        </w:r>
        <w:r w:rsidRPr="00B85855">
          <w:rPr>
            <w:rFonts w:ascii="Times New Roman" w:hAnsi="Times New Roman"/>
            <w:noProof/>
            <w:sz w:val="24"/>
            <w:szCs w:val="24"/>
          </w:rPr>
          <w:fldChar w:fldCharType="end"/>
        </w:r>
      </w:p>
    </w:sdtContent>
  </w:sdt>
  <w:p w:rsidR="00BE6512" w:rsidRDefault="00BE6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B0C" w:rsidRDefault="004D0B0C" w:rsidP="003F1A19">
      <w:r>
        <w:separator/>
      </w:r>
    </w:p>
  </w:footnote>
  <w:footnote w:type="continuationSeparator" w:id="0">
    <w:p w:rsidR="004D0B0C" w:rsidRDefault="004D0B0C" w:rsidP="003F1A19">
      <w:r>
        <w:continuationSeparator/>
      </w:r>
    </w:p>
  </w:footnote>
  <w:footnote w:id="1">
    <w:p w:rsidR="003F1A19" w:rsidRPr="003F1A19" w:rsidRDefault="003F1A19" w:rsidP="003F1A19">
      <w:pPr>
        <w:autoSpaceDE w:val="0"/>
        <w:autoSpaceDN w:val="0"/>
        <w:adjustRightInd w:val="0"/>
        <w:jc w:val="both"/>
        <w:rPr>
          <w:rFonts w:ascii="Times New Roman" w:hAnsi="Times New Roman"/>
          <w:sz w:val="20"/>
          <w:szCs w:val="20"/>
        </w:rPr>
      </w:pPr>
      <w:r w:rsidRPr="003F1A19">
        <w:rPr>
          <w:rStyle w:val="FootnoteReference"/>
          <w:rFonts w:ascii="Times New Roman" w:hAnsi="Times New Roman"/>
          <w:sz w:val="20"/>
          <w:szCs w:val="20"/>
        </w:rPr>
        <w:footnoteRef/>
      </w:r>
      <w:r w:rsidRPr="003F1A19">
        <w:rPr>
          <w:rFonts w:ascii="Times New Roman" w:hAnsi="Times New Roman"/>
          <w:sz w:val="20"/>
          <w:szCs w:val="20"/>
        </w:rPr>
        <w:t xml:space="preserve"> </w:t>
      </w:r>
      <w:r w:rsidRPr="003F1A19">
        <w:rPr>
          <w:rFonts w:ascii="Times New Roman" w:hAnsi="Times New Roman"/>
          <w:bCs/>
          <w:sz w:val="20"/>
          <w:szCs w:val="20"/>
        </w:rPr>
        <w:t xml:space="preserve">These changes are also detailed in the Direct Testimony of Teresa Ringenbach in the most recent FirstEnergy ESP case.  </w:t>
      </w:r>
      <w:r w:rsidRPr="003F1A19">
        <w:rPr>
          <w:rFonts w:ascii="Times New Roman" w:eastAsiaTheme="minorHAnsi" w:hAnsi="Times New Roman"/>
          <w:i/>
          <w:sz w:val="20"/>
          <w:szCs w:val="20"/>
        </w:rPr>
        <w:t>In the Matter of the Application of Ohio Edison Company, The Cleveland Electric</w:t>
      </w:r>
      <w:r>
        <w:rPr>
          <w:rFonts w:ascii="Times New Roman" w:eastAsiaTheme="minorHAnsi" w:hAnsi="Times New Roman"/>
          <w:i/>
          <w:sz w:val="20"/>
          <w:szCs w:val="20"/>
        </w:rPr>
        <w:t xml:space="preserve"> </w:t>
      </w:r>
      <w:r w:rsidRPr="003F1A19">
        <w:rPr>
          <w:rFonts w:ascii="Times New Roman" w:eastAsiaTheme="minorHAnsi" w:hAnsi="Times New Roman"/>
          <w:i/>
          <w:sz w:val="20"/>
          <w:szCs w:val="20"/>
        </w:rPr>
        <w:t>Illuminating Company and The Toledo Edison Company for Authority to Establish a Standard Service Offer Pursuant to R.C. § 4928.143 in the Form of an Electric Security Plan</w:t>
      </w:r>
      <w:r w:rsidRPr="003F1A19">
        <w:rPr>
          <w:rFonts w:ascii="Times New Roman" w:eastAsiaTheme="minorHAnsi" w:hAnsi="Times New Roman"/>
          <w:sz w:val="20"/>
          <w:szCs w:val="20"/>
        </w:rPr>
        <w:t>,</w:t>
      </w:r>
      <w:r>
        <w:rPr>
          <w:rFonts w:ascii="Times New Roman" w:eastAsiaTheme="minorHAnsi" w:hAnsi="Times New Roman"/>
          <w:sz w:val="20"/>
          <w:szCs w:val="20"/>
        </w:rPr>
        <w:t xml:space="preserve"> PUCO Case No. 12-1230-EL-SSO,</w:t>
      </w:r>
      <w:r w:rsidRPr="003F1A19">
        <w:rPr>
          <w:rFonts w:ascii="Times New Roman" w:eastAsiaTheme="minorHAnsi" w:hAnsi="Times New Roman"/>
          <w:sz w:val="20"/>
          <w:szCs w:val="20"/>
        </w:rPr>
        <w:t xml:space="preserve"> Direct Testimony of Teresa Ringenbach on behalf of the Retail Energy Supply Association, Direct Energy Services, LLC and Direct Energy Business, LLC at </w:t>
      </w:r>
      <w:r w:rsidR="00844DE8">
        <w:rPr>
          <w:rFonts w:ascii="Times New Roman" w:eastAsiaTheme="minorHAnsi" w:hAnsi="Times New Roman"/>
          <w:sz w:val="20"/>
          <w:szCs w:val="20"/>
        </w:rPr>
        <w:t>11-12</w:t>
      </w:r>
      <w:r w:rsidRPr="003F1A19">
        <w:rPr>
          <w:rFonts w:ascii="Times New Roman" w:eastAsiaTheme="minorHAnsi" w:hAnsi="Times New Roman"/>
          <w:sz w:val="20"/>
          <w:szCs w:val="20"/>
        </w:rPr>
        <w:t xml:space="preserve"> (May 21, 2012).</w:t>
      </w:r>
      <w:r w:rsidRPr="003F1A19">
        <w:rPr>
          <w:rFonts w:ascii="Times New Roman" w:eastAsiaTheme="minorHAnsi" w:hAnsi="Times New Roman"/>
          <w:sz w:val="24"/>
          <w:szCs w:val="24"/>
        </w:rPr>
        <w:t xml:space="preserve">  </w:t>
      </w:r>
    </w:p>
  </w:footnote>
  <w:footnote w:id="2">
    <w:p w:rsidR="00570D95" w:rsidRPr="00570D95" w:rsidRDefault="00570D95">
      <w:pPr>
        <w:pStyle w:val="FootnoteText"/>
        <w:rPr>
          <w:rFonts w:ascii="Times New Roman" w:hAnsi="Times New Roman"/>
        </w:rPr>
      </w:pPr>
      <w:r w:rsidRPr="00570D95">
        <w:rPr>
          <w:rStyle w:val="FootnoteReference"/>
          <w:rFonts w:ascii="Times New Roman" w:hAnsi="Times New Roman"/>
        </w:rPr>
        <w:footnoteRef/>
      </w:r>
      <w:r w:rsidRPr="00570D95">
        <w:rPr>
          <w:rFonts w:ascii="Times New Roman" w:hAnsi="Times New Roman"/>
        </w:rPr>
        <w:t xml:space="preserve"> </w:t>
      </w:r>
      <w:proofErr w:type="gramStart"/>
      <w:r w:rsidRPr="00570D95">
        <w:rPr>
          <w:rFonts w:ascii="Times New Roman" w:hAnsi="Times New Roman"/>
          <w:i/>
        </w:rPr>
        <w:t>Id</w:t>
      </w:r>
      <w:r w:rsidRPr="00570D95">
        <w:rPr>
          <w:rFonts w:ascii="Times New Roman" w:hAnsi="Times New Roman"/>
        </w:rPr>
        <w:t>. at 11.</w:t>
      </w:r>
      <w:proofErr w:type="gramEnd"/>
      <w:r w:rsidR="004E4470">
        <w:rPr>
          <w:rFonts w:ascii="Times New Roman" w:hAnsi="Times New Roman"/>
        </w:rPr>
        <w:t xml:space="preserve">  Customers are often confused because they are now dealing with two (2) entities for collection even though they were paying a single bill.  When the CRES comes to collect, the customer is confused on how they can still be receiving power, be up to date on their utility payments, and yet still owe the CRES money and be receiving collection notices.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3E21"/>
    <w:multiLevelType w:val="hybridMultilevel"/>
    <w:tmpl w:val="D376CC18"/>
    <w:lvl w:ilvl="0" w:tplc="CD609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251CF7"/>
    <w:multiLevelType w:val="hybridMultilevel"/>
    <w:tmpl w:val="2D5C746A"/>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71C72D2D"/>
    <w:multiLevelType w:val="hybridMultilevel"/>
    <w:tmpl w:val="310036CE"/>
    <w:lvl w:ilvl="0" w:tplc="3E4AEFBA">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CA"/>
    <w:rsid w:val="00000FDB"/>
    <w:rsid w:val="000038B0"/>
    <w:rsid w:val="000512D1"/>
    <w:rsid w:val="00070F1D"/>
    <w:rsid w:val="00072B6F"/>
    <w:rsid w:val="000A0BDE"/>
    <w:rsid w:val="000B0326"/>
    <w:rsid w:val="000C1D1A"/>
    <w:rsid w:val="000C63DF"/>
    <w:rsid w:val="000C7FA0"/>
    <w:rsid w:val="000D14AE"/>
    <w:rsid w:val="000D2806"/>
    <w:rsid w:val="000D4412"/>
    <w:rsid w:val="000E66FC"/>
    <w:rsid w:val="000F3507"/>
    <w:rsid w:val="00134565"/>
    <w:rsid w:val="001673DB"/>
    <w:rsid w:val="0017131C"/>
    <w:rsid w:val="00171376"/>
    <w:rsid w:val="00213CF4"/>
    <w:rsid w:val="00246D33"/>
    <w:rsid w:val="00250EFD"/>
    <w:rsid w:val="00262FCC"/>
    <w:rsid w:val="00277252"/>
    <w:rsid w:val="0029000E"/>
    <w:rsid w:val="002A33B1"/>
    <w:rsid w:val="002D62D4"/>
    <w:rsid w:val="00322CDF"/>
    <w:rsid w:val="003367A9"/>
    <w:rsid w:val="00337522"/>
    <w:rsid w:val="00337E90"/>
    <w:rsid w:val="003611CA"/>
    <w:rsid w:val="00382A6C"/>
    <w:rsid w:val="00384DF4"/>
    <w:rsid w:val="003D49AF"/>
    <w:rsid w:val="003E0137"/>
    <w:rsid w:val="003F1A19"/>
    <w:rsid w:val="003F1A82"/>
    <w:rsid w:val="0042453A"/>
    <w:rsid w:val="004505D7"/>
    <w:rsid w:val="004728E6"/>
    <w:rsid w:val="00474C86"/>
    <w:rsid w:val="00474CEE"/>
    <w:rsid w:val="004D0B0C"/>
    <w:rsid w:val="004E3A74"/>
    <w:rsid w:val="004E4470"/>
    <w:rsid w:val="00570D95"/>
    <w:rsid w:val="00572FE9"/>
    <w:rsid w:val="00580629"/>
    <w:rsid w:val="005E5D7A"/>
    <w:rsid w:val="00607ADB"/>
    <w:rsid w:val="006431D8"/>
    <w:rsid w:val="006611A4"/>
    <w:rsid w:val="00683308"/>
    <w:rsid w:val="006A7391"/>
    <w:rsid w:val="006B767B"/>
    <w:rsid w:val="006B79FC"/>
    <w:rsid w:val="006C1C48"/>
    <w:rsid w:val="006F4B16"/>
    <w:rsid w:val="006F7EE2"/>
    <w:rsid w:val="00742415"/>
    <w:rsid w:val="007602CA"/>
    <w:rsid w:val="007A40B7"/>
    <w:rsid w:val="007D2A97"/>
    <w:rsid w:val="008139EC"/>
    <w:rsid w:val="00844DE8"/>
    <w:rsid w:val="00883829"/>
    <w:rsid w:val="008A6EFE"/>
    <w:rsid w:val="008B7E3A"/>
    <w:rsid w:val="008C24A4"/>
    <w:rsid w:val="008D6F30"/>
    <w:rsid w:val="008E246F"/>
    <w:rsid w:val="008E26FC"/>
    <w:rsid w:val="00907696"/>
    <w:rsid w:val="00932688"/>
    <w:rsid w:val="00937BE8"/>
    <w:rsid w:val="009554D2"/>
    <w:rsid w:val="0096362B"/>
    <w:rsid w:val="009724BB"/>
    <w:rsid w:val="0099641C"/>
    <w:rsid w:val="009A3D21"/>
    <w:rsid w:val="009A6009"/>
    <w:rsid w:val="009A6330"/>
    <w:rsid w:val="009C60B0"/>
    <w:rsid w:val="009F4553"/>
    <w:rsid w:val="009F4561"/>
    <w:rsid w:val="00A115C7"/>
    <w:rsid w:val="00A17605"/>
    <w:rsid w:val="00A33DF8"/>
    <w:rsid w:val="00A45A05"/>
    <w:rsid w:val="00A578E3"/>
    <w:rsid w:val="00A81264"/>
    <w:rsid w:val="00A971E0"/>
    <w:rsid w:val="00AB2EF3"/>
    <w:rsid w:val="00AB75BC"/>
    <w:rsid w:val="00AE238D"/>
    <w:rsid w:val="00AF6B3C"/>
    <w:rsid w:val="00B07836"/>
    <w:rsid w:val="00B32D0D"/>
    <w:rsid w:val="00B419FC"/>
    <w:rsid w:val="00B4353E"/>
    <w:rsid w:val="00B54B2D"/>
    <w:rsid w:val="00B66A2D"/>
    <w:rsid w:val="00B703E7"/>
    <w:rsid w:val="00B85475"/>
    <w:rsid w:val="00B85855"/>
    <w:rsid w:val="00BE4B27"/>
    <w:rsid w:val="00BE6512"/>
    <w:rsid w:val="00BF4438"/>
    <w:rsid w:val="00C36BC4"/>
    <w:rsid w:val="00C44515"/>
    <w:rsid w:val="00C446A1"/>
    <w:rsid w:val="00C45ED2"/>
    <w:rsid w:val="00C80108"/>
    <w:rsid w:val="00C830EE"/>
    <w:rsid w:val="00C919D7"/>
    <w:rsid w:val="00CA35F7"/>
    <w:rsid w:val="00CA777E"/>
    <w:rsid w:val="00CB1905"/>
    <w:rsid w:val="00CC155C"/>
    <w:rsid w:val="00CC5DAB"/>
    <w:rsid w:val="00CF6042"/>
    <w:rsid w:val="00D04CF3"/>
    <w:rsid w:val="00D15F30"/>
    <w:rsid w:val="00D716AF"/>
    <w:rsid w:val="00D97D80"/>
    <w:rsid w:val="00DA34E3"/>
    <w:rsid w:val="00DC7A8C"/>
    <w:rsid w:val="00DE1540"/>
    <w:rsid w:val="00E00730"/>
    <w:rsid w:val="00E025A8"/>
    <w:rsid w:val="00E27EF8"/>
    <w:rsid w:val="00E35457"/>
    <w:rsid w:val="00E65CA2"/>
    <w:rsid w:val="00E82DD9"/>
    <w:rsid w:val="00E91777"/>
    <w:rsid w:val="00E9201E"/>
    <w:rsid w:val="00EA3211"/>
    <w:rsid w:val="00EF27DC"/>
    <w:rsid w:val="00F13FE7"/>
    <w:rsid w:val="00F44ED6"/>
    <w:rsid w:val="00F46E3A"/>
    <w:rsid w:val="00FD177B"/>
    <w:rsid w:val="00FF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2CA"/>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02CA"/>
    <w:rPr>
      <w:color w:val="0000FF"/>
      <w:u w:val="single"/>
    </w:rPr>
  </w:style>
  <w:style w:type="paragraph" w:styleId="ListParagraph">
    <w:name w:val="List Paragraph"/>
    <w:basedOn w:val="Normal"/>
    <w:uiPriority w:val="34"/>
    <w:qFormat/>
    <w:rsid w:val="00AB2EF3"/>
    <w:pPr>
      <w:ind w:left="720"/>
    </w:pPr>
  </w:style>
  <w:style w:type="character" w:styleId="CommentReference">
    <w:name w:val="annotation reference"/>
    <w:basedOn w:val="DefaultParagraphFont"/>
    <w:uiPriority w:val="99"/>
    <w:semiHidden/>
    <w:unhideWhenUsed/>
    <w:rsid w:val="007D2A97"/>
    <w:rPr>
      <w:sz w:val="16"/>
      <w:szCs w:val="16"/>
    </w:rPr>
  </w:style>
  <w:style w:type="paragraph" w:styleId="CommentText">
    <w:name w:val="annotation text"/>
    <w:basedOn w:val="Normal"/>
    <w:link w:val="CommentTextChar"/>
    <w:uiPriority w:val="99"/>
    <w:semiHidden/>
    <w:unhideWhenUsed/>
    <w:rsid w:val="007D2A97"/>
    <w:rPr>
      <w:sz w:val="20"/>
      <w:szCs w:val="20"/>
    </w:rPr>
  </w:style>
  <w:style w:type="character" w:customStyle="1" w:styleId="CommentTextChar">
    <w:name w:val="Comment Text Char"/>
    <w:basedOn w:val="DefaultParagraphFont"/>
    <w:link w:val="CommentText"/>
    <w:uiPriority w:val="99"/>
    <w:semiHidden/>
    <w:rsid w:val="007D2A9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D2A97"/>
    <w:rPr>
      <w:b/>
      <w:bCs/>
    </w:rPr>
  </w:style>
  <w:style w:type="character" w:customStyle="1" w:styleId="CommentSubjectChar">
    <w:name w:val="Comment Subject Char"/>
    <w:basedOn w:val="CommentTextChar"/>
    <w:link w:val="CommentSubject"/>
    <w:uiPriority w:val="99"/>
    <w:semiHidden/>
    <w:rsid w:val="007D2A97"/>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7D2A97"/>
    <w:rPr>
      <w:rFonts w:ascii="Tahoma" w:hAnsi="Tahoma" w:cs="Tahoma"/>
      <w:sz w:val="16"/>
      <w:szCs w:val="16"/>
    </w:rPr>
  </w:style>
  <w:style w:type="character" w:customStyle="1" w:styleId="BalloonTextChar">
    <w:name w:val="Balloon Text Char"/>
    <w:basedOn w:val="DefaultParagraphFont"/>
    <w:link w:val="BalloonText"/>
    <w:uiPriority w:val="99"/>
    <w:semiHidden/>
    <w:rsid w:val="007D2A97"/>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3F1A19"/>
    <w:rPr>
      <w:sz w:val="20"/>
      <w:szCs w:val="20"/>
    </w:rPr>
  </w:style>
  <w:style w:type="character" w:customStyle="1" w:styleId="FootnoteTextChar">
    <w:name w:val="Footnote Text Char"/>
    <w:basedOn w:val="DefaultParagraphFont"/>
    <w:link w:val="FootnoteText"/>
    <w:uiPriority w:val="99"/>
    <w:semiHidden/>
    <w:rsid w:val="003F1A19"/>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3F1A19"/>
    <w:rPr>
      <w:vertAlign w:val="superscript"/>
    </w:rPr>
  </w:style>
  <w:style w:type="paragraph" w:styleId="Header">
    <w:name w:val="header"/>
    <w:basedOn w:val="Normal"/>
    <w:link w:val="HeaderChar"/>
    <w:uiPriority w:val="99"/>
    <w:unhideWhenUsed/>
    <w:rsid w:val="00BE6512"/>
    <w:pPr>
      <w:tabs>
        <w:tab w:val="center" w:pos="4680"/>
        <w:tab w:val="right" w:pos="9360"/>
      </w:tabs>
    </w:pPr>
  </w:style>
  <w:style w:type="character" w:customStyle="1" w:styleId="HeaderChar">
    <w:name w:val="Header Char"/>
    <w:basedOn w:val="DefaultParagraphFont"/>
    <w:link w:val="Header"/>
    <w:uiPriority w:val="99"/>
    <w:rsid w:val="00BE6512"/>
    <w:rPr>
      <w:rFonts w:ascii="Calibri" w:eastAsia="Times New Roman" w:hAnsi="Calibri" w:cs="Times New Roman"/>
    </w:rPr>
  </w:style>
  <w:style w:type="paragraph" w:styleId="Footer">
    <w:name w:val="footer"/>
    <w:basedOn w:val="Normal"/>
    <w:link w:val="FooterChar"/>
    <w:uiPriority w:val="99"/>
    <w:unhideWhenUsed/>
    <w:rsid w:val="00BE6512"/>
    <w:pPr>
      <w:tabs>
        <w:tab w:val="center" w:pos="4680"/>
        <w:tab w:val="right" w:pos="9360"/>
      </w:tabs>
    </w:pPr>
  </w:style>
  <w:style w:type="character" w:customStyle="1" w:styleId="FooterChar">
    <w:name w:val="Footer Char"/>
    <w:basedOn w:val="DefaultParagraphFont"/>
    <w:link w:val="Footer"/>
    <w:uiPriority w:val="99"/>
    <w:rsid w:val="00BE6512"/>
    <w:rPr>
      <w:rFonts w:ascii="Calibri" w:eastAsia="Times New Roman" w:hAnsi="Calibri" w:cs="Times New Roman"/>
    </w:rPr>
  </w:style>
  <w:style w:type="paragraph" w:styleId="BodyTextIndent2">
    <w:name w:val="Body Text Indent 2"/>
    <w:basedOn w:val="Normal"/>
    <w:link w:val="BodyTextIndent2Char"/>
    <w:uiPriority w:val="99"/>
    <w:semiHidden/>
    <w:unhideWhenUsed/>
    <w:rsid w:val="009724BB"/>
    <w:pPr>
      <w:spacing w:line="480" w:lineRule="auto"/>
      <w:ind w:right="-126" w:firstLine="720"/>
    </w:pPr>
    <w:rPr>
      <w:rFonts w:ascii="Calisto MT" w:hAnsi="Calisto MT"/>
      <w:sz w:val="26"/>
      <w:szCs w:val="26"/>
    </w:rPr>
  </w:style>
  <w:style w:type="character" w:customStyle="1" w:styleId="BodyTextIndent2Char">
    <w:name w:val="Body Text Indent 2 Char"/>
    <w:basedOn w:val="DefaultParagraphFont"/>
    <w:link w:val="BodyTextIndent2"/>
    <w:uiPriority w:val="99"/>
    <w:semiHidden/>
    <w:rsid w:val="009724BB"/>
    <w:rPr>
      <w:rFonts w:ascii="Calisto MT" w:eastAsia="Times New Roman" w:hAnsi="Calisto MT"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2CA"/>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02CA"/>
    <w:rPr>
      <w:color w:val="0000FF"/>
      <w:u w:val="single"/>
    </w:rPr>
  </w:style>
  <w:style w:type="paragraph" w:styleId="ListParagraph">
    <w:name w:val="List Paragraph"/>
    <w:basedOn w:val="Normal"/>
    <w:uiPriority w:val="34"/>
    <w:qFormat/>
    <w:rsid w:val="00AB2EF3"/>
    <w:pPr>
      <w:ind w:left="720"/>
    </w:pPr>
  </w:style>
  <w:style w:type="character" w:styleId="CommentReference">
    <w:name w:val="annotation reference"/>
    <w:basedOn w:val="DefaultParagraphFont"/>
    <w:uiPriority w:val="99"/>
    <w:semiHidden/>
    <w:unhideWhenUsed/>
    <w:rsid w:val="007D2A97"/>
    <w:rPr>
      <w:sz w:val="16"/>
      <w:szCs w:val="16"/>
    </w:rPr>
  </w:style>
  <w:style w:type="paragraph" w:styleId="CommentText">
    <w:name w:val="annotation text"/>
    <w:basedOn w:val="Normal"/>
    <w:link w:val="CommentTextChar"/>
    <w:uiPriority w:val="99"/>
    <w:semiHidden/>
    <w:unhideWhenUsed/>
    <w:rsid w:val="007D2A97"/>
    <w:rPr>
      <w:sz w:val="20"/>
      <w:szCs w:val="20"/>
    </w:rPr>
  </w:style>
  <w:style w:type="character" w:customStyle="1" w:styleId="CommentTextChar">
    <w:name w:val="Comment Text Char"/>
    <w:basedOn w:val="DefaultParagraphFont"/>
    <w:link w:val="CommentText"/>
    <w:uiPriority w:val="99"/>
    <w:semiHidden/>
    <w:rsid w:val="007D2A9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D2A97"/>
    <w:rPr>
      <w:b/>
      <w:bCs/>
    </w:rPr>
  </w:style>
  <w:style w:type="character" w:customStyle="1" w:styleId="CommentSubjectChar">
    <w:name w:val="Comment Subject Char"/>
    <w:basedOn w:val="CommentTextChar"/>
    <w:link w:val="CommentSubject"/>
    <w:uiPriority w:val="99"/>
    <w:semiHidden/>
    <w:rsid w:val="007D2A97"/>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7D2A97"/>
    <w:rPr>
      <w:rFonts w:ascii="Tahoma" w:hAnsi="Tahoma" w:cs="Tahoma"/>
      <w:sz w:val="16"/>
      <w:szCs w:val="16"/>
    </w:rPr>
  </w:style>
  <w:style w:type="character" w:customStyle="1" w:styleId="BalloonTextChar">
    <w:name w:val="Balloon Text Char"/>
    <w:basedOn w:val="DefaultParagraphFont"/>
    <w:link w:val="BalloonText"/>
    <w:uiPriority w:val="99"/>
    <w:semiHidden/>
    <w:rsid w:val="007D2A97"/>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3F1A19"/>
    <w:rPr>
      <w:sz w:val="20"/>
      <w:szCs w:val="20"/>
    </w:rPr>
  </w:style>
  <w:style w:type="character" w:customStyle="1" w:styleId="FootnoteTextChar">
    <w:name w:val="Footnote Text Char"/>
    <w:basedOn w:val="DefaultParagraphFont"/>
    <w:link w:val="FootnoteText"/>
    <w:uiPriority w:val="99"/>
    <w:semiHidden/>
    <w:rsid w:val="003F1A19"/>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3F1A19"/>
    <w:rPr>
      <w:vertAlign w:val="superscript"/>
    </w:rPr>
  </w:style>
  <w:style w:type="paragraph" w:styleId="Header">
    <w:name w:val="header"/>
    <w:basedOn w:val="Normal"/>
    <w:link w:val="HeaderChar"/>
    <w:uiPriority w:val="99"/>
    <w:unhideWhenUsed/>
    <w:rsid w:val="00BE6512"/>
    <w:pPr>
      <w:tabs>
        <w:tab w:val="center" w:pos="4680"/>
        <w:tab w:val="right" w:pos="9360"/>
      </w:tabs>
    </w:pPr>
  </w:style>
  <w:style w:type="character" w:customStyle="1" w:styleId="HeaderChar">
    <w:name w:val="Header Char"/>
    <w:basedOn w:val="DefaultParagraphFont"/>
    <w:link w:val="Header"/>
    <w:uiPriority w:val="99"/>
    <w:rsid w:val="00BE6512"/>
    <w:rPr>
      <w:rFonts w:ascii="Calibri" w:eastAsia="Times New Roman" w:hAnsi="Calibri" w:cs="Times New Roman"/>
    </w:rPr>
  </w:style>
  <w:style w:type="paragraph" w:styleId="Footer">
    <w:name w:val="footer"/>
    <w:basedOn w:val="Normal"/>
    <w:link w:val="FooterChar"/>
    <w:uiPriority w:val="99"/>
    <w:unhideWhenUsed/>
    <w:rsid w:val="00BE6512"/>
    <w:pPr>
      <w:tabs>
        <w:tab w:val="center" w:pos="4680"/>
        <w:tab w:val="right" w:pos="9360"/>
      </w:tabs>
    </w:pPr>
  </w:style>
  <w:style w:type="character" w:customStyle="1" w:styleId="FooterChar">
    <w:name w:val="Footer Char"/>
    <w:basedOn w:val="DefaultParagraphFont"/>
    <w:link w:val="Footer"/>
    <w:uiPriority w:val="99"/>
    <w:rsid w:val="00BE6512"/>
    <w:rPr>
      <w:rFonts w:ascii="Calibri" w:eastAsia="Times New Roman" w:hAnsi="Calibri" w:cs="Times New Roman"/>
    </w:rPr>
  </w:style>
  <w:style w:type="paragraph" w:styleId="BodyTextIndent2">
    <w:name w:val="Body Text Indent 2"/>
    <w:basedOn w:val="Normal"/>
    <w:link w:val="BodyTextIndent2Char"/>
    <w:uiPriority w:val="99"/>
    <w:semiHidden/>
    <w:unhideWhenUsed/>
    <w:rsid w:val="009724BB"/>
    <w:pPr>
      <w:spacing w:line="480" w:lineRule="auto"/>
      <w:ind w:right="-126" w:firstLine="720"/>
    </w:pPr>
    <w:rPr>
      <w:rFonts w:ascii="Calisto MT" w:hAnsi="Calisto MT"/>
      <w:sz w:val="26"/>
      <w:szCs w:val="26"/>
    </w:rPr>
  </w:style>
  <w:style w:type="character" w:customStyle="1" w:styleId="BodyTextIndent2Char">
    <w:name w:val="Body Text Indent 2 Char"/>
    <w:basedOn w:val="DefaultParagraphFont"/>
    <w:link w:val="BodyTextIndent2"/>
    <w:uiPriority w:val="99"/>
    <w:semiHidden/>
    <w:rsid w:val="009724BB"/>
    <w:rPr>
      <w:rFonts w:ascii="Calisto MT" w:eastAsia="Times New Roman" w:hAnsi="Calisto MT"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62712">
      <w:bodyDiv w:val="1"/>
      <w:marLeft w:val="0"/>
      <w:marRight w:val="0"/>
      <w:marTop w:val="0"/>
      <w:marBottom w:val="0"/>
      <w:divBdr>
        <w:top w:val="none" w:sz="0" w:space="0" w:color="auto"/>
        <w:left w:val="none" w:sz="0" w:space="0" w:color="auto"/>
        <w:bottom w:val="none" w:sz="0" w:space="0" w:color="auto"/>
        <w:right w:val="none" w:sz="0" w:space="0" w:color="auto"/>
      </w:divBdr>
    </w:div>
    <w:div w:id="545483091">
      <w:bodyDiv w:val="1"/>
      <w:marLeft w:val="0"/>
      <w:marRight w:val="0"/>
      <w:marTop w:val="0"/>
      <w:marBottom w:val="0"/>
      <w:divBdr>
        <w:top w:val="none" w:sz="0" w:space="0" w:color="auto"/>
        <w:left w:val="none" w:sz="0" w:space="0" w:color="auto"/>
        <w:bottom w:val="none" w:sz="0" w:space="0" w:color="auto"/>
        <w:right w:val="none" w:sz="0" w:space="0" w:color="auto"/>
      </w:divBdr>
    </w:div>
    <w:div w:id="834566413">
      <w:bodyDiv w:val="1"/>
      <w:marLeft w:val="0"/>
      <w:marRight w:val="0"/>
      <w:marTop w:val="0"/>
      <w:marBottom w:val="0"/>
      <w:divBdr>
        <w:top w:val="none" w:sz="0" w:space="0" w:color="auto"/>
        <w:left w:val="none" w:sz="0" w:space="0" w:color="auto"/>
        <w:bottom w:val="none" w:sz="0" w:space="0" w:color="auto"/>
        <w:right w:val="none" w:sz="0" w:space="0" w:color="auto"/>
      </w:divBdr>
    </w:div>
    <w:div w:id="1425225326">
      <w:bodyDiv w:val="1"/>
      <w:marLeft w:val="0"/>
      <w:marRight w:val="0"/>
      <w:marTop w:val="0"/>
      <w:marBottom w:val="0"/>
      <w:divBdr>
        <w:top w:val="none" w:sz="0" w:space="0" w:color="auto"/>
        <w:left w:val="none" w:sz="0" w:space="0" w:color="auto"/>
        <w:bottom w:val="none" w:sz="0" w:space="0" w:color="auto"/>
        <w:right w:val="none" w:sz="0" w:space="0" w:color="auto"/>
      </w:divBdr>
    </w:div>
    <w:div w:id="1433891883">
      <w:bodyDiv w:val="1"/>
      <w:marLeft w:val="0"/>
      <w:marRight w:val="0"/>
      <w:marTop w:val="0"/>
      <w:marBottom w:val="0"/>
      <w:divBdr>
        <w:top w:val="none" w:sz="0" w:space="0" w:color="auto"/>
        <w:left w:val="none" w:sz="0" w:space="0" w:color="auto"/>
        <w:bottom w:val="none" w:sz="0" w:space="0" w:color="auto"/>
        <w:right w:val="none" w:sz="0" w:space="0" w:color="auto"/>
      </w:divBdr>
    </w:div>
    <w:div w:id="1783114739">
      <w:bodyDiv w:val="1"/>
      <w:marLeft w:val="0"/>
      <w:marRight w:val="0"/>
      <w:marTop w:val="0"/>
      <w:marBottom w:val="0"/>
      <w:divBdr>
        <w:top w:val="none" w:sz="0" w:space="0" w:color="auto"/>
        <w:left w:val="none" w:sz="0" w:space="0" w:color="auto"/>
        <w:bottom w:val="none" w:sz="0" w:space="0" w:color="auto"/>
        <w:right w:val="none" w:sz="0" w:space="0" w:color="auto"/>
      </w:divBdr>
    </w:div>
    <w:div w:id="201460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ennifer.lause@directenerg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seph.clark@directenergy.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ennifer.lause@directenergy.com" TargetMode="External"/><Relationship Id="rId4" Type="http://schemas.microsoft.com/office/2007/relationships/stylesWithEffects" Target="stylesWithEffects.xml"/><Relationship Id="rId9" Type="http://schemas.openxmlformats.org/officeDocument/2006/relationships/hyperlink" Target="mailto:joseph.clark@directenerg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72E7E-36D7-4457-B995-730899BBB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10</Pages>
  <Words>2192</Words>
  <Characters>12500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Direct Energy</Company>
  <LinksUpToDate>false</LinksUpToDate>
  <CharactersWithSpaces>14663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Lause, Jennifer</dc:creator>
  <cp:lastModifiedBy>Joseph Clark</cp:lastModifiedBy>
  <cp:revision>112</cp:revision>
  <cp:lastPrinted>2013-01-07T18:32:00Z</cp:lastPrinted>
  <dcterms:created xsi:type="dcterms:W3CDTF">2013-01-04T18:38:00Z</dcterms:created>
  <dcterms:modified xsi:type="dcterms:W3CDTF">2013-01-07T20:49:00Z</dcterms:modified>
</cp:coreProperties>
</file>