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FB58FD" w:rsidRPr="00FB58FD" w:rsidP="00FB58FD">
      <w:pPr>
        <w:jc w:val="center"/>
        <w:rPr>
          <w:rFonts w:eastAsia="Times New Roman" w:cs="Times New Roman"/>
          <w:b/>
          <w:szCs w:val="24"/>
        </w:rPr>
      </w:pPr>
      <w:bookmarkStart w:id="0" w:name="_GoBack"/>
      <w:bookmarkEnd w:id="0"/>
      <w:r w:rsidRPr="00FB58FD">
        <w:rPr>
          <w:rFonts w:eastAsia="Times New Roman" w:cs="Times New Roman"/>
          <w:b/>
          <w:szCs w:val="24"/>
        </w:rPr>
        <w:t>BEFORE</w:t>
      </w:r>
    </w:p>
    <w:p w:rsidR="00AB6704" w:rsidRPr="00FB58FD" w:rsidP="002C7EE6">
      <w:pPr>
        <w:spacing w:after="240"/>
        <w:jc w:val="center"/>
        <w:rPr>
          <w:rFonts w:eastAsia="Times New Roman" w:cs="Times New Roman"/>
          <w:b/>
          <w:szCs w:val="24"/>
        </w:rPr>
      </w:pPr>
      <w:r w:rsidRPr="00FB58FD">
        <w:rPr>
          <w:rFonts w:eastAsia="Times New Roman" w:cs="Times New Roman"/>
          <w:b/>
          <w:szCs w:val="24"/>
        </w:rPr>
        <w:t>THE PUBLIC UTILTIES COMMISSION OF OHIO</w:t>
      </w: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900"/>
        <w:gridCol w:w="4878"/>
      </w:tblGrid>
      <w:tr w:rsidTr="007A0867">
        <w:tblPrEx>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78" w:type="dxa"/>
          </w:tcPr>
          <w:p w:rsidR="00FB58FD" w:rsidP="00FB58FD">
            <w:pPr>
              <w:rPr>
                <w:rFonts w:eastAsia="Times New Roman" w:cs="Times New Roman"/>
                <w:b/>
                <w:szCs w:val="24"/>
              </w:rPr>
            </w:pPr>
            <w:r>
              <w:t>In the Matter of the Amendment of the Rules in Ohio Adm. Code Chapter 4901:1-43 Regarding Recovery of Infrastructure Development Costs</w:t>
            </w:r>
            <w:r w:rsidRPr="00FB58FD">
              <w:rPr>
                <w:rFonts w:cs="Times New Roman"/>
                <w:szCs w:val="24"/>
              </w:rPr>
              <w:t>.</w:t>
            </w:r>
          </w:p>
        </w:tc>
        <w:tc>
          <w:tcPr>
            <w:tcW w:w="900" w:type="dxa"/>
          </w:tcPr>
          <w:p w:rsidR="00FB58FD" w:rsidRPr="00BF263A" w:rsidP="00FB58FD">
            <w:pPr>
              <w:jc w:val="center"/>
              <w:rPr>
                <w:rFonts w:eastAsia="Times New Roman" w:cs="Times New Roman"/>
                <w:szCs w:val="24"/>
              </w:rPr>
            </w:pPr>
            <w:r w:rsidRPr="00BF263A">
              <w:rPr>
                <w:rFonts w:eastAsia="Times New Roman" w:cs="Times New Roman"/>
                <w:szCs w:val="24"/>
              </w:rPr>
              <w:t>)</w:t>
            </w:r>
          </w:p>
          <w:p w:rsidR="00BF263A" w:rsidRPr="00BF263A" w:rsidP="00FB58FD">
            <w:pPr>
              <w:jc w:val="center"/>
              <w:rPr>
                <w:rFonts w:eastAsia="Times New Roman" w:cs="Times New Roman"/>
                <w:szCs w:val="24"/>
              </w:rPr>
            </w:pPr>
            <w:r w:rsidRPr="00BF263A">
              <w:rPr>
                <w:rFonts w:eastAsia="Times New Roman" w:cs="Times New Roman"/>
                <w:szCs w:val="24"/>
              </w:rPr>
              <w:t>)</w:t>
            </w:r>
          </w:p>
          <w:p w:rsidR="00BF263A" w:rsidP="00FB58FD">
            <w:pPr>
              <w:jc w:val="center"/>
              <w:rPr>
                <w:rFonts w:eastAsia="Times New Roman" w:cs="Times New Roman"/>
                <w:szCs w:val="24"/>
              </w:rPr>
            </w:pPr>
            <w:r w:rsidRPr="00BF263A">
              <w:rPr>
                <w:rFonts w:eastAsia="Times New Roman" w:cs="Times New Roman"/>
                <w:szCs w:val="24"/>
              </w:rPr>
              <w:t>)</w:t>
            </w:r>
          </w:p>
          <w:p w:rsidR="00BF263A" w:rsidRPr="00BF263A" w:rsidP="00FB58FD">
            <w:pPr>
              <w:jc w:val="center"/>
              <w:rPr>
                <w:rFonts w:eastAsia="Times New Roman" w:cs="Times New Roman"/>
                <w:szCs w:val="24"/>
              </w:rPr>
            </w:pPr>
            <w:r>
              <w:rPr>
                <w:rFonts w:eastAsia="Times New Roman" w:cs="Times New Roman"/>
                <w:szCs w:val="24"/>
              </w:rPr>
              <w:t>)</w:t>
            </w:r>
          </w:p>
        </w:tc>
        <w:tc>
          <w:tcPr>
            <w:tcW w:w="4878" w:type="dxa"/>
          </w:tcPr>
          <w:p w:rsidR="00FB58FD" w:rsidP="00FB58FD">
            <w:pPr>
              <w:rPr>
                <w:rFonts w:eastAsia="Times New Roman" w:cs="Times New Roman"/>
                <w:b/>
                <w:szCs w:val="24"/>
              </w:rPr>
            </w:pPr>
          </w:p>
          <w:p w:rsidR="00FB58FD" w:rsidP="00176CBB">
            <w:pPr>
              <w:rPr>
                <w:rFonts w:eastAsia="Times New Roman" w:cs="Times New Roman"/>
                <w:b/>
                <w:szCs w:val="24"/>
              </w:rPr>
            </w:pPr>
            <w:r w:rsidRPr="00FB58FD">
              <w:rPr>
                <w:rFonts w:eastAsia="Times New Roman" w:cs="Times New Roman"/>
                <w:szCs w:val="24"/>
              </w:rPr>
              <w:t xml:space="preserve">Case No. </w:t>
            </w:r>
            <w:r w:rsidR="00FB00C6">
              <w:rPr>
                <w:rFonts w:eastAsia="Times New Roman" w:cs="Times New Roman"/>
                <w:bCs/>
                <w:szCs w:val="24"/>
              </w:rPr>
              <w:t>17-1905</w:t>
            </w:r>
            <w:r w:rsidRPr="00FB58FD">
              <w:rPr>
                <w:rFonts w:eastAsia="Times New Roman" w:cs="Times New Roman"/>
                <w:szCs w:val="24"/>
              </w:rPr>
              <w:t>-</w:t>
            </w:r>
            <w:r w:rsidR="00FB00C6">
              <w:rPr>
                <w:rFonts w:eastAsia="Times New Roman" w:cs="Times New Roman"/>
                <w:szCs w:val="24"/>
              </w:rPr>
              <w:t>GA</w:t>
            </w:r>
            <w:r w:rsidRPr="00FB58FD">
              <w:rPr>
                <w:rFonts w:eastAsia="Times New Roman" w:cs="Times New Roman"/>
                <w:szCs w:val="24"/>
              </w:rPr>
              <w:t>-</w:t>
            </w:r>
            <w:r>
              <w:rPr>
                <w:rFonts w:eastAsia="Times New Roman" w:cs="Times New Roman"/>
                <w:szCs w:val="24"/>
              </w:rPr>
              <w:t>ORD</w:t>
            </w:r>
          </w:p>
        </w:tc>
      </w:tr>
    </w:tbl>
    <w:p w:rsidR="00AB6704" w:rsidRPr="00FB58FD" w:rsidP="00E8167F">
      <w:pPr>
        <w:rPr>
          <w:rFonts w:eastAsia="Times New Roman" w:cs="Times New Roman"/>
          <w:b/>
          <w:szCs w:val="24"/>
        </w:rPr>
      </w:pPr>
    </w:p>
    <w:p w:rsidR="00FB58FD" w:rsidRPr="00FB58FD" w:rsidP="00FB58FD">
      <w:pPr>
        <w:pBdr>
          <w:top w:val="single" w:sz="4" w:space="1" w:color="auto"/>
          <w:bottom w:val="single" w:sz="4" w:space="1" w:color="auto"/>
        </w:pBdr>
        <w:rPr>
          <w:rFonts w:eastAsia="Times New Roman" w:cs="Times New Roman"/>
          <w:b/>
          <w:szCs w:val="24"/>
        </w:rPr>
      </w:pPr>
    </w:p>
    <w:p w:rsidR="00FB58FD" w:rsidRPr="00FB58FD" w:rsidP="00FB58FD">
      <w:pPr>
        <w:pBdr>
          <w:top w:val="single" w:sz="4" w:space="1" w:color="auto"/>
          <w:bottom w:val="single" w:sz="4" w:space="1" w:color="auto"/>
        </w:pBdr>
        <w:jc w:val="center"/>
        <w:rPr>
          <w:rFonts w:eastAsia="Times New Roman" w:cs="Times New Roman"/>
          <w:b/>
          <w:szCs w:val="24"/>
        </w:rPr>
      </w:pPr>
      <w:r w:rsidRPr="00FB58FD">
        <w:rPr>
          <w:rFonts w:eastAsia="Times New Roman" w:cs="Times New Roman"/>
          <w:b/>
          <w:szCs w:val="24"/>
        </w:rPr>
        <w:t>COMMENTS</w:t>
      </w:r>
    </w:p>
    <w:p w:rsidR="00FB58FD" w:rsidRPr="00FB58FD" w:rsidP="00FB58FD">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BY</w:t>
      </w:r>
    </w:p>
    <w:p w:rsidR="00FB58FD" w:rsidRPr="00FB58FD" w:rsidP="00FB58FD">
      <w:pPr>
        <w:pBdr>
          <w:top w:val="single" w:sz="4" w:space="1" w:color="auto"/>
          <w:bottom w:val="single" w:sz="4" w:space="1" w:color="auto"/>
        </w:pBdr>
        <w:jc w:val="center"/>
        <w:rPr>
          <w:rFonts w:eastAsia="Times New Roman" w:cs="Times New Roman"/>
          <w:b/>
          <w:szCs w:val="24"/>
        </w:rPr>
      </w:pPr>
      <w:r w:rsidRPr="00FB58FD">
        <w:rPr>
          <w:rFonts w:eastAsia="Times New Roman" w:cs="Times New Roman"/>
          <w:b/>
          <w:szCs w:val="24"/>
        </w:rPr>
        <w:t>THE OFFICE OF THE OHIO CONSUMERS</w:t>
      </w:r>
      <w:r w:rsidR="00D47D04">
        <w:rPr>
          <w:rFonts w:eastAsia="Times New Roman" w:cs="Times New Roman"/>
          <w:b/>
          <w:szCs w:val="24"/>
        </w:rPr>
        <w:t>’</w:t>
      </w:r>
      <w:r w:rsidRPr="00FB58FD">
        <w:rPr>
          <w:rFonts w:eastAsia="Times New Roman" w:cs="Times New Roman"/>
          <w:b/>
          <w:szCs w:val="24"/>
        </w:rPr>
        <w:t xml:space="preserve"> COUNSEL</w:t>
      </w:r>
    </w:p>
    <w:p w:rsidR="00FB58FD" w:rsidRPr="00FB58FD" w:rsidP="00FB58FD">
      <w:pPr>
        <w:pBdr>
          <w:top w:val="single" w:sz="4" w:space="1" w:color="auto"/>
          <w:bottom w:val="single" w:sz="4" w:space="1" w:color="auto"/>
        </w:pBdr>
        <w:rPr>
          <w:rFonts w:eastAsia="Times New Roman" w:cs="Times New Roman"/>
          <w:b/>
          <w:szCs w:val="24"/>
        </w:rPr>
      </w:pPr>
    </w:p>
    <w:p w:rsidR="00F0787A" w:rsidRPr="00F0787A" w:rsidP="002C7EE6">
      <w:pPr>
        <w:spacing w:before="360" w:line="480" w:lineRule="auto"/>
        <w:outlineLvl w:val="0"/>
        <w:rPr>
          <w:rFonts w:eastAsia="Times New Roman" w:cs="Times New Roman"/>
          <w:b/>
          <w:bCs/>
          <w:kern w:val="32"/>
          <w:szCs w:val="32"/>
        </w:rPr>
      </w:pPr>
      <w:r>
        <w:rPr>
          <w:rFonts w:eastAsia="Times New Roman" w:cs="Times New Roman"/>
          <w:b/>
          <w:bCs/>
          <w:kern w:val="32"/>
          <w:szCs w:val="32"/>
        </w:rPr>
        <w:t>I.</w:t>
      </w:r>
      <w:r>
        <w:rPr>
          <w:rFonts w:eastAsia="Times New Roman" w:cs="Times New Roman"/>
          <w:b/>
          <w:bCs/>
          <w:kern w:val="32"/>
          <w:szCs w:val="32"/>
        </w:rPr>
        <w:tab/>
        <w:t>INTRODUCTION</w:t>
      </w:r>
    </w:p>
    <w:p w:rsidR="00BF263A" w:rsidP="00F0787A">
      <w:pPr>
        <w:spacing w:line="480" w:lineRule="auto"/>
        <w:ind w:firstLine="720"/>
        <w:outlineLvl w:val="0"/>
      </w:pPr>
      <w:r>
        <w:t>Through infrastructure development riders, c</w:t>
      </w:r>
      <w:r w:rsidR="008757A5">
        <w:rPr>
          <w:rFonts w:eastAsia="Times New Roman" w:cs="Times New Roman"/>
          <w:bCs/>
          <w:kern w:val="32"/>
          <w:szCs w:val="32"/>
        </w:rPr>
        <w:t>onsumers</w:t>
      </w:r>
      <w:r w:rsidR="008042FA">
        <w:rPr>
          <w:rFonts w:eastAsia="Times New Roman" w:cs="Times New Roman"/>
          <w:bCs/>
          <w:kern w:val="32"/>
          <w:szCs w:val="32"/>
        </w:rPr>
        <w:t xml:space="preserve"> might</w:t>
      </w:r>
      <w:r w:rsidR="008757A5">
        <w:rPr>
          <w:rFonts w:eastAsia="Times New Roman" w:cs="Times New Roman"/>
          <w:bCs/>
          <w:kern w:val="32"/>
          <w:szCs w:val="32"/>
        </w:rPr>
        <w:t xml:space="preserve"> pay </w:t>
      </w:r>
      <w:r>
        <w:rPr>
          <w:rFonts w:eastAsia="Times New Roman" w:cs="Times New Roman"/>
          <w:bCs/>
          <w:kern w:val="32"/>
          <w:szCs w:val="32"/>
        </w:rPr>
        <w:t xml:space="preserve">up to </w:t>
      </w:r>
      <w:r>
        <w:t xml:space="preserve">$1.50 per month </w:t>
      </w:r>
      <w:r w:rsidR="002711B8">
        <w:rPr>
          <w:rFonts w:eastAsia="Times New Roman" w:cs="Times New Roman"/>
          <w:bCs/>
          <w:kern w:val="32"/>
          <w:szCs w:val="32"/>
        </w:rPr>
        <w:t>to</w:t>
      </w:r>
      <w:r w:rsidR="008757A5">
        <w:rPr>
          <w:rFonts w:eastAsia="Times New Roman" w:cs="Times New Roman"/>
          <w:bCs/>
          <w:kern w:val="32"/>
          <w:szCs w:val="32"/>
        </w:rPr>
        <w:t xml:space="preserve"> </w:t>
      </w:r>
      <w:r>
        <w:rPr>
          <w:rFonts w:eastAsia="Times New Roman" w:cs="Times New Roman"/>
          <w:bCs/>
          <w:kern w:val="32"/>
          <w:szCs w:val="32"/>
        </w:rPr>
        <w:t xml:space="preserve">their </w:t>
      </w:r>
      <w:r w:rsidR="005C4C72">
        <w:rPr>
          <w:rFonts w:eastAsia="Times New Roman" w:cs="Times New Roman"/>
          <w:bCs/>
          <w:kern w:val="32"/>
          <w:szCs w:val="32"/>
        </w:rPr>
        <w:t xml:space="preserve">natural </w:t>
      </w:r>
      <w:r>
        <w:rPr>
          <w:rFonts w:eastAsia="Times New Roman" w:cs="Times New Roman"/>
          <w:bCs/>
          <w:kern w:val="32"/>
          <w:szCs w:val="32"/>
        </w:rPr>
        <w:t>gas company</w:t>
      </w:r>
      <w:r w:rsidR="002711B8">
        <w:rPr>
          <w:rFonts w:eastAsia="Times New Roman" w:cs="Times New Roman"/>
          <w:bCs/>
          <w:kern w:val="32"/>
          <w:szCs w:val="32"/>
        </w:rPr>
        <w:t xml:space="preserve"> for it</w:t>
      </w:r>
      <w:r>
        <w:rPr>
          <w:rFonts w:eastAsia="Times New Roman" w:cs="Times New Roman"/>
          <w:bCs/>
          <w:kern w:val="32"/>
          <w:szCs w:val="32"/>
        </w:rPr>
        <w:t>s</w:t>
      </w:r>
      <w:r w:rsidR="008757A5">
        <w:rPr>
          <w:rFonts w:eastAsia="Times New Roman" w:cs="Times New Roman"/>
          <w:bCs/>
          <w:kern w:val="32"/>
          <w:szCs w:val="32"/>
        </w:rPr>
        <w:t xml:space="preserve"> infrastructure development projects</w:t>
      </w:r>
      <w:r>
        <w:rPr>
          <w:rFonts w:eastAsia="Times New Roman" w:cs="Times New Roman"/>
          <w:bCs/>
          <w:kern w:val="32"/>
          <w:szCs w:val="32"/>
        </w:rPr>
        <w:t>.</w:t>
      </w:r>
      <w:r>
        <w:rPr>
          <w:rStyle w:val="FootnoteReference"/>
        </w:rPr>
        <w:footnoteReference w:id="2"/>
      </w:r>
      <w:r w:rsidR="008757A5">
        <w:rPr>
          <w:rFonts w:eastAsia="Times New Roman" w:cs="Times New Roman"/>
          <w:bCs/>
          <w:kern w:val="32"/>
          <w:szCs w:val="32"/>
        </w:rPr>
        <w:t xml:space="preserve"> </w:t>
      </w:r>
      <w:r>
        <w:rPr>
          <w:rFonts w:eastAsia="Times New Roman" w:cs="Times New Roman"/>
          <w:bCs/>
          <w:kern w:val="32"/>
          <w:szCs w:val="32"/>
        </w:rPr>
        <w:t xml:space="preserve"> Before this money may be collected from customers, </w:t>
      </w:r>
      <w:r w:rsidR="005C4C72">
        <w:rPr>
          <w:rFonts w:eastAsia="Times New Roman" w:cs="Times New Roman"/>
          <w:bCs/>
          <w:kern w:val="32"/>
          <w:szCs w:val="32"/>
        </w:rPr>
        <w:t xml:space="preserve">natural </w:t>
      </w:r>
      <w:r>
        <w:rPr>
          <w:rFonts w:eastAsia="Times New Roman" w:cs="Times New Roman"/>
          <w:bCs/>
          <w:kern w:val="32"/>
          <w:szCs w:val="32"/>
        </w:rPr>
        <w:t>gas companies must apply for</w:t>
      </w:r>
      <w:r w:rsidR="009F1813">
        <w:rPr>
          <w:rFonts w:eastAsia="Times New Roman" w:cs="Times New Roman"/>
          <w:bCs/>
          <w:kern w:val="32"/>
          <w:szCs w:val="32"/>
        </w:rPr>
        <w:t>,</w:t>
      </w:r>
      <w:r>
        <w:rPr>
          <w:rFonts w:eastAsia="Times New Roman" w:cs="Times New Roman"/>
          <w:bCs/>
          <w:kern w:val="32"/>
          <w:szCs w:val="32"/>
        </w:rPr>
        <w:t xml:space="preserve"> and receive</w:t>
      </w:r>
      <w:r w:rsidR="009F1813">
        <w:rPr>
          <w:rFonts w:eastAsia="Times New Roman" w:cs="Times New Roman"/>
          <w:bCs/>
          <w:kern w:val="32"/>
          <w:szCs w:val="32"/>
        </w:rPr>
        <w:t>,</w:t>
      </w:r>
      <w:r>
        <w:rPr>
          <w:rFonts w:eastAsia="Times New Roman" w:cs="Times New Roman"/>
          <w:bCs/>
          <w:kern w:val="32"/>
          <w:szCs w:val="32"/>
        </w:rPr>
        <w:t xml:space="preserve"> approval of the projects from </w:t>
      </w:r>
      <w:r w:rsidR="0043576A">
        <w:rPr>
          <w:rFonts w:eastAsia="Times New Roman" w:cs="Times New Roman"/>
          <w:bCs/>
          <w:kern w:val="32"/>
          <w:szCs w:val="32"/>
        </w:rPr>
        <w:t>t</w:t>
      </w:r>
      <w:r w:rsidR="003E73D2">
        <w:t>he Public Utilities Commission of Ohio (“PUCO”)</w:t>
      </w:r>
      <w:r w:rsidR="0043576A">
        <w:t>.</w:t>
      </w:r>
      <w:r>
        <w:rPr>
          <w:rStyle w:val="FootnoteReference"/>
        </w:rPr>
        <w:footnoteReference w:id="3"/>
      </w:r>
      <w:r w:rsidR="008757A5">
        <w:t xml:space="preserve">  </w:t>
      </w:r>
      <w:r w:rsidR="005C4C72">
        <w:t>Natural g</w:t>
      </w:r>
      <w:r w:rsidR="008757A5">
        <w:t>as companies may collect from customer</w:t>
      </w:r>
      <w:r w:rsidR="005C4C72">
        <w:t>s only the prudently incurred expenses</w:t>
      </w:r>
      <w:r w:rsidR="008757A5">
        <w:t xml:space="preserve"> </w:t>
      </w:r>
      <w:r w:rsidR="009F1813">
        <w:t>of</w:t>
      </w:r>
      <w:r w:rsidR="008757A5">
        <w:t xml:space="preserve"> their PUCO-approved projects.</w:t>
      </w:r>
      <w:r>
        <w:rPr>
          <w:rStyle w:val="FootnoteReference"/>
        </w:rPr>
        <w:footnoteReference w:id="4"/>
      </w:r>
      <w:r w:rsidR="008757A5">
        <w:t xml:space="preserve">  </w:t>
      </w:r>
    </w:p>
    <w:p w:rsidR="00F37062" w:rsidP="0043576A">
      <w:pPr>
        <w:spacing w:line="480" w:lineRule="auto"/>
        <w:ind w:firstLine="720"/>
        <w:outlineLvl w:val="0"/>
        <w:rPr>
          <w:rFonts w:eastAsia="Times New Roman" w:cs="Times New Roman"/>
          <w:bCs/>
          <w:kern w:val="32"/>
          <w:szCs w:val="32"/>
        </w:rPr>
        <w:sectPr w:rsidSect="00642AA4">
          <w:footerReference w:type="default" r:id="rId5"/>
          <w:footerReference w:type="first" r:id="rId6"/>
          <w:pgSz w:w="12240" w:h="15840"/>
          <w:pgMar w:top="1440" w:right="1800" w:bottom="1440" w:left="1800" w:header="720" w:footer="720" w:gutter="0"/>
          <w:cols w:space="720"/>
          <w:titlePg/>
          <w:docGrid w:linePitch="360"/>
        </w:sectPr>
      </w:pPr>
      <w:r>
        <w:rPr>
          <w:rFonts w:eastAsia="Times New Roman" w:cs="Times New Roman"/>
          <w:bCs/>
          <w:kern w:val="32"/>
          <w:szCs w:val="32"/>
        </w:rPr>
        <w:t xml:space="preserve">Ohio Adm. Code Chapter 4901:1-43 sets out the rules for natural gas companies to seek PUCO approval of infrastructure development projects for collection from customers through the rider.  </w:t>
      </w:r>
      <w:r w:rsidR="0043576A">
        <w:rPr>
          <w:rFonts w:eastAsia="Times New Roman" w:cs="Times New Roman"/>
          <w:bCs/>
          <w:kern w:val="32"/>
          <w:szCs w:val="32"/>
        </w:rPr>
        <w:t>Ohio law requires the PUCO to review its rules every five years.</w:t>
      </w:r>
      <w:r>
        <w:rPr>
          <w:rStyle w:val="FootnoteReference"/>
          <w:rFonts w:eastAsia="Times New Roman" w:cs="Times New Roman"/>
          <w:bCs/>
          <w:kern w:val="32"/>
          <w:szCs w:val="32"/>
        </w:rPr>
        <w:footnoteReference w:id="5"/>
      </w:r>
      <w:r w:rsidR="0043576A">
        <w:rPr>
          <w:rFonts w:eastAsia="Times New Roman" w:cs="Times New Roman"/>
          <w:bCs/>
          <w:kern w:val="32"/>
          <w:szCs w:val="32"/>
        </w:rPr>
        <w:t xml:space="preserve">  </w:t>
      </w:r>
      <w:r w:rsidR="005C2814">
        <w:rPr>
          <w:rFonts w:eastAsia="Times New Roman" w:cs="Times New Roman"/>
          <w:bCs/>
          <w:kern w:val="32"/>
          <w:szCs w:val="32"/>
        </w:rPr>
        <w:t>Since the last review</w:t>
      </w:r>
      <w:r w:rsidR="008042FA">
        <w:rPr>
          <w:rFonts w:eastAsia="Times New Roman" w:cs="Times New Roman"/>
          <w:bCs/>
          <w:kern w:val="32"/>
          <w:szCs w:val="32"/>
        </w:rPr>
        <w:t xml:space="preserve"> of the rules</w:t>
      </w:r>
      <w:r w:rsidR="005C2814">
        <w:rPr>
          <w:rFonts w:eastAsia="Times New Roman" w:cs="Times New Roman"/>
          <w:bCs/>
          <w:kern w:val="32"/>
          <w:szCs w:val="32"/>
        </w:rPr>
        <w:t xml:space="preserve">, the General Assembly passed legislation that </w:t>
      </w:r>
      <w:r w:rsidR="008042FA">
        <w:rPr>
          <w:rFonts w:eastAsia="Times New Roman" w:cs="Times New Roman"/>
          <w:bCs/>
          <w:kern w:val="32"/>
          <w:szCs w:val="32"/>
        </w:rPr>
        <w:t>changed</w:t>
      </w:r>
      <w:r w:rsidR="005C2814">
        <w:rPr>
          <w:rFonts w:eastAsia="Times New Roman" w:cs="Times New Roman"/>
          <w:bCs/>
          <w:kern w:val="32"/>
          <w:szCs w:val="32"/>
        </w:rPr>
        <w:t xml:space="preserve"> the </w:t>
      </w:r>
      <w:r w:rsidR="008042FA">
        <w:rPr>
          <w:rFonts w:eastAsia="Times New Roman" w:cs="Times New Roman"/>
          <w:bCs/>
          <w:kern w:val="32"/>
          <w:szCs w:val="32"/>
        </w:rPr>
        <w:t xml:space="preserve">statutory provisions allowing natural gas companies to collect </w:t>
      </w:r>
      <w:r w:rsidR="002711B8">
        <w:rPr>
          <w:rFonts w:eastAsia="Times New Roman" w:cs="Times New Roman"/>
          <w:bCs/>
          <w:kern w:val="32"/>
          <w:szCs w:val="32"/>
        </w:rPr>
        <w:t xml:space="preserve">additional </w:t>
      </w:r>
    </w:p>
    <w:p w:rsidR="008042FA" w:rsidP="00F37062">
      <w:pPr>
        <w:spacing w:line="480" w:lineRule="auto"/>
        <w:outlineLvl w:val="0"/>
        <w:rPr>
          <w:rFonts w:eastAsia="Times New Roman" w:cs="Times New Roman"/>
          <w:bCs/>
          <w:kern w:val="32"/>
          <w:szCs w:val="32"/>
        </w:rPr>
      </w:pPr>
      <w:r>
        <w:rPr>
          <w:rFonts w:eastAsia="Times New Roman" w:cs="Times New Roman"/>
          <w:bCs/>
          <w:kern w:val="32"/>
          <w:szCs w:val="32"/>
        </w:rPr>
        <w:t xml:space="preserve">prudently incurred expenses </w:t>
      </w:r>
      <w:r w:rsidR="002711B8">
        <w:rPr>
          <w:rFonts w:eastAsia="Times New Roman" w:cs="Times New Roman"/>
          <w:bCs/>
          <w:kern w:val="32"/>
          <w:szCs w:val="32"/>
        </w:rPr>
        <w:t xml:space="preserve">from customers </w:t>
      </w:r>
      <w:r>
        <w:rPr>
          <w:rFonts w:eastAsia="Times New Roman" w:cs="Times New Roman"/>
          <w:bCs/>
          <w:kern w:val="32"/>
          <w:szCs w:val="32"/>
        </w:rPr>
        <w:t>for infrastructure development projects.</w:t>
      </w:r>
      <w:r>
        <w:rPr>
          <w:rStyle w:val="FootnoteReference"/>
          <w:rFonts w:eastAsia="Times New Roman" w:cs="Times New Roman"/>
          <w:bCs/>
          <w:kern w:val="32"/>
          <w:szCs w:val="32"/>
        </w:rPr>
        <w:footnoteReference w:id="6"/>
      </w:r>
      <w:r>
        <w:rPr>
          <w:rFonts w:eastAsia="Times New Roman" w:cs="Times New Roman"/>
          <w:bCs/>
          <w:kern w:val="32"/>
          <w:szCs w:val="32"/>
        </w:rPr>
        <w:t xml:space="preserve">  The changes became effective June 30, 2017.</w:t>
      </w:r>
      <w:r>
        <w:rPr>
          <w:rStyle w:val="FootnoteReference"/>
          <w:rFonts w:eastAsia="Times New Roman" w:cs="Times New Roman"/>
          <w:bCs/>
          <w:kern w:val="32"/>
          <w:szCs w:val="32"/>
        </w:rPr>
        <w:footnoteReference w:id="7"/>
      </w:r>
      <w:r>
        <w:rPr>
          <w:rFonts w:eastAsia="Times New Roman" w:cs="Times New Roman"/>
          <w:bCs/>
          <w:kern w:val="32"/>
          <w:szCs w:val="32"/>
        </w:rPr>
        <w:t xml:space="preserve"> </w:t>
      </w:r>
    </w:p>
    <w:p w:rsidR="00320E0C" w:rsidP="0043576A">
      <w:pPr>
        <w:spacing w:line="480" w:lineRule="auto"/>
        <w:ind w:firstLine="720"/>
        <w:outlineLvl w:val="0"/>
        <w:rPr>
          <w:rFonts w:eastAsia="Times New Roman" w:cs="Times New Roman"/>
          <w:bCs/>
          <w:kern w:val="32"/>
          <w:szCs w:val="32"/>
        </w:rPr>
      </w:pPr>
      <w:r>
        <w:rPr>
          <w:rFonts w:eastAsia="Times New Roman" w:cs="Times New Roman"/>
          <w:bCs/>
          <w:kern w:val="32"/>
          <w:szCs w:val="32"/>
        </w:rPr>
        <w:t>The PUCO Staff has proposed changes to</w:t>
      </w:r>
      <w:r w:rsidRPr="005C4C72" w:rsidR="005C4C72">
        <w:rPr>
          <w:rFonts w:eastAsia="Times New Roman" w:cs="Times New Roman"/>
          <w:bCs/>
          <w:kern w:val="32"/>
          <w:szCs w:val="32"/>
        </w:rPr>
        <w:t xml:space="preserve"> </w:t>
      </w:r>
      <w:r w:rsidR="005C4C72">
        <w:rPr>
          <w:rFonts w:eastAsia="Times New Roman" w:cs="Times New Roman"/>
          <w:bCs/>
          <w:kern w:val="32"/>
          <w:szCs w:val="32"/>
        </w:rPr>
        <w:t>Ohio Adm. Code Chapter 4901:1-43</w:t>
      </w:r>
      <w:r w:rsidR="008042FA">
        <w:rPr>
          <w:rFonts w:eastAsia="Times New Roman" w:cs="Times New Roman"/>
          <w:bCs/>
          <w:kern w:val="32"/>
          <w:szCs w:val="32"/>
        </w:rPr>
        <w:t xml:space="preserve"> in an effort to make it consistent with the new law</w:t>
      </w:r>
      <w:r>
        <w:rPr>
          <w:rFonts w:eastAsia="Times New Roman" w:cs="Times New Roman"/>
          <w:bCs/>
          <w:kern w:val="32"/>
          <w:szCs w:val="32"/>
        </w:rPr>
        <w:t>,</w:t>
      </w:r>
      <w:r>
        <w:rPr>
          <w:rStyle w:val="FootnoteReference"/>
          <w:rFonts w:eastAsia="Times New Roman" w:cs="Times New Roman"/>
          <w:bCs/>
          <w:kern w:val="32"/>
          <w:szCs w:val="32"/>
        </w:rPr>
        <w:footnoteReference w:id="8"/>
      </w:r>
      <w:r>
        <w:rPr>
          <w:rFonts w:eastAsia="Times New Roman" w:cs="Times New Roman"/>
          <w:bCs/>
          <w:kern w:val="32"/>
          <w:szCs w:val="32"/>
        </w:rPr>
        <w:t xml:space="preserve"> and the PUCO has sought comment on the </w:t>
      </w:r>
      <w:r w:rsidR="00283C79">
        <w:rPr>
          <w:rFonts w:eastAsia="Times New Roman" w:cs="Times New Roman"/>
          <w:bCs/>
          <w:kern w:val="32"/>
          <w:szCs w:val="32"/>
        </w:rPr>
        <w:t xml:space="preserve">proposed </w:t>
      </w:r>
      <w:r>
        <w:rPr>
          <w:rFonts w:eastAsia="Times New Roman" w:cs="Times New Roman"/>
          <w:bCs/>
          <w:kern w:val="32"/>
          <w:szCs w:val="32"/>
        </w:rPr>
        <w:t>changes.</w:t>
      </w:r>
      <w:r>
        <w:rPr>
          <w:rStyle w:val="FootnoteReference"/>
          <w:rFonts w:eastAsia="Times New Roman" w:cs="Times New Roman"/>
          <w:bCs/>
          <w:kern w:val="32"/>
          <w:szCs w:val="32"/>
        </w:rPr>
        <w:footnoteReference w:id="9"/>
      </w:r>
      <w:r>
        <w:rPr>
          <w:rFonts w:eastAsia="Times New Roman" w:cs="Times New Roman"/>
          <w:bCs/>
          <w:kern w:val="32"/>
          <w:szCs w:val="32"/>
        </w:rPr>
        <w:t xml:space="preserve">  </w:t>
      </w:r>
      <w:r w:rsidR="00B31C7C">
        <w:rPr>
          <w:rFonts w:eastAsia="Times New Roman" w:cs="Times New Roman"/>
          <w:bCs/>
          <w:kern w:val="32"/>
          <w:szCs w:val="32"/>
        </w:rPr>
        <w:t>In response to the Entry, t</w:t>
      </w:r>
      <w:r w:rsidR="000A106E">
        <w:rPr>
          <w:rFonts w:eastAsia="Times New Roman" w:cs="Times New Roman"/>
          <w:bCs/>
          <w:kern w:val="32"/>
          <w:szCs w:val="32"/>
        </w:rPr>
        <w:t>he Office of the Ohio Consumers</w:t>
      </w:r>
      <w:r w:rsidR="00D47D04">
        <w:rPr>
          <w:rFonts w:eastAsia="Times New Roman" w:cs="Times New Roman"/>
          <w:bCs/>
          <w:kern w:val="32"/>
          <w:szCs w:val="32"/>
        </w:rPr>
        <w:t>’</w:t>
      </w:r>
      <w:r w:rsidR="000A106E">
        <w:rPr>
          <w:rFonts w:eastAsia="Times New Roman" w:cs="Times New Roman"/>
          <w:bCs/>
          <w:kern w:val="32"/>
          <w:szCs w:val="32"/>
        </w:rPr>
        <w:t xml:space="preserve"> Counsel (“OCC”) files </w:t>
      </w:r>
      <w:r w:rsidR="00AF2905">
        <w:rPr>
          <w:rFonts w:eastAsia="Times New Roman" w:cs="Times New Roman"/>
          <w:bCs/>
          <w:kern w:val="32"/>
          <w:szCs w:val="32"/>
        </w:rPr>
        <w:t xml:space="preserve">these </w:t>
      </w:r>
      <w:r w:rsidR="000A106E">
        <w:rPr>
          <w:rFonts w:eastAsia="Times New Roman" w:cs="Times New Roman"/>
          <w:bCs/>
          <w:kern w:val="32"/>
          <w:szCs w:val="32"/>
        </w:rPr>
        <w:t>Comments on the proposed rule changes.</w:t>
      </w:r>
      <w:r>
        <w:rPr>
          <w:rStyle w:val="FootnoteReference"/>
          <w:rFonts w:eastAsia="Times New Roman" w:cs="Times New Roman"/>
          <w:bCs/>
          <w:kern w:val="32"/>
          <w:szCs w:val="32"/>
        </w:rPr>
        <w:footnoteReference w:id="10"/>
      </w:r>
    </w:p>
    <w:p w:rsidR="00F0787A" w:rsidRPr="00F0787A" w:rsidP="00F0787A">
      <w:pPr>
        <w:spacing w:before="240" w:line="480" w:lineRule="auto"/>
        <w:outlineLvl w:val="0"/>
        <w:rPr>
          <w:b/>
        </w:rPr>
      </w:pPr>
      <w:r>
        <w:rPr>
          <w:rFonts w:eastAsia="Times New Roman" w:cs="Times New Roman"/>
          <w:b/>
          <w:bCs/>
          <w:kern w:val="32"/>
          <w:szCs w:val="32"/>
        </w:rPr>
        <w:t>II.</w:t>
      </w:r>
      <w:r>
        <w:rPr>
          <w:rFonts w:eastAsia="Times New Roman" w:cs="Times New Roman"/>
          <w:b/>
          <w:bCs/>
          <w:kern w:val="32"/>
          <w:szCs w:val="32"/>
        </w:rPr>
        <w:tab/>
        <w:t>RECOMMENDATION</w:t>
      </w:r>
      <w:r w:rsidR="005C4C72">
        <w:rPr>
          <w:rFonts w:eastAsia="Times New Roman" w:cs="Times New Roman"/>
          <w:b/>
          <w:bCs/>
          <w:kern w:val="32"/>
          <w:szCs w:val="32"/>
        </w:rPr>
        <w:t>S</w:t>
      </w:r>
    </w:p>
    <w:p w:rsidR="00F03E6C" w:rsidRPr="00EA4024" w:rsidP="00642AA4">
      <w:pPr>
        <w:pStyle w:val="Heading1"/>
      </w:pPr>
      <w:r>
        <w:t>A.</w:t>
      </w:r>
      <w:r>
        <w:tab/>
        <w:t>To make sure that consumer</w:t>
      </w:r>
      <w:r w:rsidR="002711B8">
        <w:t>s are charged</w:t>
      </w:r>
      <w:r>
        <w:t xml:space="preserve"> </w:t>
      </w:r>
      <w:r w:rsidR="009F1813">
        <w:t xml:space="preserve">only </w:t>
      </w:r>
      <w:r w:rsidR="002711B8">
        <w:t xml:space="preserve">for </w:t>
      </w:r>
      <w:r>
        <w:t>prudently incurred expenses, applications for PUCO approval of natural gas companies’ infrastructure development projects should include a cost/benefit analysis.</w:t>
      </w:r>
    </w:p>
    <w:p w:rsidR="00E66BDB" w:rsidP="00F03E6C">
      <w:pPr>
        <w:spacing w:line="480" w:lineRule="auto"/>
        <w:ind w:firstLine="720"/>
      </w:pPr>
      <w:r>
        <w:t xml:space="preserve">Ohio Adm. Code </w:t>
      </w:r>
      <w:r w:rsidRPr="00F03E6C">
        <w:t xml:space="preserve">4901:1-43-03(A) </w:t>
      </w:r>
      <w:r>
        <w:t xml:space="preserve">sets out the items that must be included in a natural gas company’s application for approval of infrastructure development projects that may be collected through the rider.  </w:t>
      </w:r>
      <w:r w:rsidR="002743AE">
        <w:t xml:space="preserve">The current rule requires the natural gas company to include </w:t>
      </w:r>
      <w:r w:rsidRPr="00F03E6C" w:rsidR="002743AE">
        <w:t>the name and location of the project</w:t>
      </w:r>
      <w:r w:rsidR="009F1813">
        <w:t>,</w:t>
      </w:r>
      <w:r w:rsidRPr="00F03E6C" w:rsidR="002743AE">
        <w:t xml:space="preserve"> </w:t>
      </w:r>
      <w:r w:rsidR="002711B8">
        <w:t xml:space="preserve">the </w:t>
      </w:r>
      <w:r w:rsidRPr="00F03E6C" w:rsidR="002743AE">
        <w:t>background of the subject company</w:t>
      </w:r>
      <w:r w:rsidR="002711B8">
        <w:t>,</w:t>
      </w:r>
      <w:r w:rsidRPr="00F03E6C" w:rsidR="002743AE">
        <w:t xml:space="preserve"> the total investment and capital expenditure by </w:t>
      </w:r>
      <w:r w:rsidR="009F1813">
        <w:t xml:space="preserve">the </w:t>
      </w:r>
      <w:r w:rsidRPr="00F03E6C" w:rsidR="002743AE">
        <w:t>company including an economic development impact</w:t>
      </w:r>
      <w:r w:rsidR="009F1813">
        <w:t>,</w:t>
      </w:r>
      <w:r w:rsidRPr="00F03E6C" w:rsidR="002743AE">
        <w:t xml:space="preserve"> disclosure of competing</w:t>
      </w:r>
      <w:r w:rsidR="002711B8">
        <w:t xml:space="preserve"> locations for the</w:t>
      </w:r>
      <w:r w:rsidRPr="00F03E6C" w:rsidR="002743AE">
        <w:t xml:space="preserve"> project</w:t>
      </w:r>
      <w:r w:rsidR="009F1813">
        <w:t>,</w:t>
      </w:r>
      <w:r w:rsidRPr="00F03E6C" w:rsidR="002743AE">
        <w:t xml:space="preserve"> </w:t>
      </w:r>
      <w:r w:rsidR="002743AE">
        <w:t xml:space="preserve">and </w:t>
      </w:r>
      <w:r w:rsidRPr="00F03E6C" w:rsidR="002743AE">
        <w:t xml:space="preserve">the level of </w:t>
      </w:r>
      <w:r w:rsidR="002743AE">
        <w:t xml:space="preserve">anticipated infrastructure </w:t>
      </w:r>
      <w:r w:rsidRPr="00F03E6C" w:rsidR="002743AE">
        <w:t xml:space="preserve">investment by the </w:t>
      </w:r>
      <w:r w:rsidR="002743AE">
        <w:t>company.</w:t>
      </w:r>
      <w:r>
        <w:rPr>
          <w:rStyle w:val="FootnoteReference"/>
        </w:rPr>
        <w:footnoteReference w:id="11"/>
      </w:r>
      <w:r w:rsidR="002743AE">
        <w:t xml:space="preserve">  </w:t>
      </w:r>
    </w:p>
    <w:p w:rsidR="00E66BDB" w:rsidP="00F03E6C">
      <w:pPr>
        <w:spacing w:line="480" w:lineRule="auto"/>
        <w:ind w:firstLine="720"/>
      </w:pPr>
      <w:r>
        <w:t xml:space="preserve">The PUCO Staff proposes </w:t>
      </w:r>
      <w:r w:rsidR="008042FA">
        <w:t xml:space="preserve">to </w:t>
      </w:r>
      <w:r>
        <w:t>add a requirement that the natural gas company</w:t>
      </w:r>
      <w:r>
        <w:t>’s application</w:t>
      </w:r>
      <w:r>
        <w:t xml:space="preserve"> include whether</w:t>
      </w:r>
      <w:r w:rsidRPr="00F03E6C" w:rsidR="002743AE">
        <w:t xml:space="preserve"> an economic development entity or chamber of commerce</w:t>
      </w:r>
      <w:r>
        <w:t xml:space="preserve"> </w:t>
      </w:r>
      <w:r w:rsidRPr="00F03E6C">
        <w:t>support</w:t>
      </w:r>
      <w:r>
        <w:t>s</w:t>
      </w:r>
      <w:r w:rsidRPr="00F03E6C">
        <w:t xml:space="preserve"> the project</w:t>
      </w:r>
      <w:r w:rsidRPr="00F03E6C" w:rsidR="002743AE">
        <w:t>.</w:t>
      </w:r>
      <w:r>
        <w:rPr>
          <w:rStyle w:val="FootnoteReference"/>
        </w:rPr>
        <w:footnoteReference w:id="12"/>
      </w:r>
      <w:r>
        <w:t xml:space="preserve">  This is consistent with R.C. 4929.163(C)(4).  But the PUCO Staff’s proposed rule </w:t>
      </w:r>
      <w:r w:rsidRPr="00F03E6C" w:rsidR="00F03E6C">
        <w:t xml:space="preserve">lacks an important </w:t>
      </w:r>
      <w:r>
        <w:t>consumer protection</w:t>
      </w:r>
      <w:r w:rsidRPr="00F03E6C" w:rsidR="00F03E6C">
        <w:t xml:space="preserve"> that should be included in </w:t>
      </w:r>
      <w:r>
        <w:t>applications</w:t>
      </w:r>
      <w:r w:rsidRPr="00F03E6C" w:rsidR="00F03E6C">
        <w:t xml:space="preserve"> filed at the PUCO for approval of economic development projects.   </w:t>
      </w:r>
    </w:p>
    <w:p w:rsidR="00E66BDB" w:rsidP="00F03E6C">
      <w:pPr>
        <w:spacing w:line="480" w:lineRule="auto"/>
        <w:ind w:firstLine="720"/>
      </w:pPr>
      <w:r>
        <w:t>T</w:t>
      </w:r>
      <w:r w:rsidRPr="00F03E6C" w:rsidR="00F03E6C">
        <w:t>he PUCO Staff</w:t>
      </w:r>
      <w:r>
        <w:t>’s proposed</w:t>
      </w:r>
      <w:r w:rsidRPr="00F03E6C" w:rsidR="00F03E6C">
        <w:t xml:space="preserve"> rules do not </w:t>
      </w:r>
      <w:r w:rsidR="00A97781">
        <w:t>require</w:t>
      </w:r>
      <w:r w:rsidRPr="00F03E6C" w:rsidR="00F03E6C">
        <w:t xml:space="preserve"> that economic development projects demonstrate </w:t>
      </w:r>
      <w:r w:rsidR="002711B8">
        <w:t>that</w:t>
      </w:r>
      <w:r w:rsidRPr="00F03E6C" w:rsidR="00F03E6C">
        <w:t xml:space="preserve"> benefit</w:t>
      </w:r>
      <w:r w:rsidR="002711B8">
        <w:t>s outweigh the cost</w:t>
      </w:r>
      <w:r w:rsidRPr="00F03E6C" w:rsidR="00F03E6C">
        <w:t xml:space="preserve"> before the PUCO</w:t>
      </w:r>
      <w:r w:rsidR="009F1813">
        <w:t xml:space="preserve"> orders consumers to pay</w:t>
      </w:r>
      <w:r w:rsidRPr="00F03E6C" w:rsidR="00F03E6C">
        <w:t xml:space="preserve"> the costs.  Similar to all utility investments, the economic benefits of any given project must be sufficient to warrant </w:t>
      </w:r>
      <w:r w:rsidR="002711B8">
        <w:t>collection of</w:t>
      </w:r>
      <w:r w:rsidRPr="00F03E6C" w:rsidR="002711B8">
        <w:t xml:space="preserve"> the costs</w:t>
      </w:r>
      <w:r w:rsidR="002711B8">
        <w:t xml:space="preserve"> from consumers</w:t>
      </w:r>
      <w:r w:rsidRPr="00F03E6C" w:rsidR="00F03E6C">
        <w:t xml:space="preserve">.  </w:t>
      </w:r>
      <w:r>
        <w:t>R</w:t>
      </w:r>
      <w:r w:rsidRPr="00F03E6C" w:rsidR="00F03E6C">
        <w:t xml:space="preserve">.C. 4929.161 authorizes the PUCO to approve infrastructure development riders for collection of </w:t>
      </w:r>
      <w:r w:rsidRPr="00F03E6C" w:rsidR="00F03E6C">
        <w:rPr>
          <w:i/>
        </w:rPr>
        <w:t xml:space="preserve">prudently incurred </w:t>
      </w:r>
      <w:r w:rsidRPr="00F03E6C" w:rsidR="00F03E6C">
        <w:t>infrastruc</w:t>
      </w:r>
      <w:r w:rsidR="00A97781">
        <w:t>ture development costs.  A cost/</w:t>
      </w:r>
      <w:r w:rsidRPr="00F03E6C" w:rsidR="00F03E6C">
        <w:t xml:space="preserve">benefit analysis is necessary to determine the prudency of customer money spent on economic development project(s).  </w:t>
      </w:r>
    </w:p>
    <w:p w:rsidR="00E66BDB" w:rsidP="00F03E6C">
      <w:pPr>
        <w:spacing w:line="480" w:lineRule="auto"/>
        <w:ind w:firstLine="720"/>
      </w:pPr>
      <w:r>
        <w:t xml:space="preserve">Further, R.C. 4929.163 requires natural gas companies seeking PUCO approval of infrastructure development projects for collection from customers </w:t>
      </w:r>
      <w:r w:rsidR="009F1813">
        <w:t>to</w:t>
      </w:r>
      <w:r>
        <w:t xml:space="preserve"> file an “application.”  The </w:t>
      </w:r>
      <w:r w:rsidR="00F8124E">
        <w:t>current rule uses the word “notice” instead of “application” and the PUCO Staff’s proposal does not change the language.  To be consistent with R.C. 4929.163, the rule should use the word “application” instead of “notice.”</w:t>
      </w:r>
    </w:p>
    <w:p w:rsidR="00642AA4" w:rsidP="00F03E6C">
      <w:pPr>
        <w:spacing w:line="480" w:lineRule="auto"/>
        <w:ind w:firstLine="720"/>
        <w:sectPr w:rsidSect="00642AA4">
          <w:footerReference w:type="first" r:id="rId7"/>
          <w:pgSz w:w="12240" w:h="15840"/>
          <w:pgMar w:top="1440" w:right="1800" w:bottom="1440" w:left="1800" w:header="720" w:footer="720" w:gutter="0"/>
          <w:cols w:space="720"/>
          <w:titlePg/>
          <w:docGrid w:linePitch="360"/>
        </w:sectPr>
      </w:pPr>
      <w:r>
        <w:t xml:space="preserve">To protect consumers, </w:t>
      </w:r>
      <w:r w:rsidR="009F1813">
        <w:t xml:space="preserve">and to be consistent with the language in Ohio law, </w:t>
      </w:r>
      <w:r w:rsidRPr="00F03E6C" w:rsidR="00F03E6C">
        <w:t>the following change</w:t>
      </w:r>
      <w:r w:rsidR="00F8124E">
        <w:t>s</w:t>
      </w:r>
      <w:r w:rsidRPr="00F03E6C" w:rsidR="00F03E6C">
        <w:t xml:space="preserve"> </w:t>
      </w:r>
      <w:r w:rsidR="00B2744E">
        <w:t xml:space="preserve">should be made </w:t>
      </w:r>
      <w:r w:rsidRPr="00F03E6C" w:rsidR="00F03E6C">
        <w:t xml:space="preserve">to the </w:t>
      </w:r>
      <w:r w:rsidR="00F8124E">
        <w:t xml:space="preserve">PUCO Staff’s </w:t>
      </w:r>
      <w:r w:rsidRPr="00F03E6C" w:rsidR="00F03E6C">
        <w:t xml:space="preserve">proposed </w:t>
      </w:r>
      <w:r w:rsidR="001F2027">
        <w:t>Ohio Adm. Code</w:t>
      </w:r>
      <w:r w:rsidR="00D9068B">
        <w:t xml:space="preserve"> 4901:1-43-03(A):</w:t>
      </w:r>
    </w:p>
    <w:p w:rsidR="00F03E6C" w:rsidRPr="00F03E6C" w:rsidP="00F8124E">
      <w:pPr>
        <w:numPr>
          <w:ilvl w:val="0"/>
          <w:numId w:val="11"/>
        </w:numPr>
        <w:spacing w:after="240"/>
        <w:ind w:left="1080" w:right="720"/>
      </w:pPr>
      <w:r w:rsidRPr="00F03E6C">
        <w:t xml:space="preserve">Pursuant to division (A) of section 4929.163 of the Revised Code, a natural gas company may file, prior to beginning construction, for approval of an economic development project through an economic development project </w:t>
      </w:r>
      <w:r w:rsidRPr="005664DA">
        <w:rPr>
          <w:strike/>
          <w:color w:val="FF0000"/>
        </w:rPr>
        <w:t>notice</w:t>
      </w:r>
      <w:r w:rsidRPr="00F03E6C">
        <w:t xml:space="preserve"> </w:t>
      </w:r>
      <w:r w:rsidRPr="005664DA" w:rsidR="00F8124E">
        <w:rPr>
          <w:color w:val="0066FF"/>
          <w:u w:val="single"/>
        </w:rPr>
        <w:t>application</w:t>
      </w:r>
      <w:r w:rsidRPr="007F47D5" w:rsidR="00F8124E">
        <w:rPr>
          <w:u w:val="single"/>
        </w:rPr>
        <w:t xml:space="preserve"> </w:t>
      </w:r>
      <w:r w:rsidRPr="00F03E6C">
        <w:t xml:space="preserve">with the commission’s docketing division.  This </w:t>
      </w:r>
      <w:r w:rsidRPr="005664DA">
        <w:rPr>
          <w:strike/>
          <w:color w:val="FF0000"/>
        </w:rPr>
        <w:t>notice</w:t>
      </w:r>
      <w:r w:rsidRPr="005664DA">
        <w:rPr>
          <w:color w:val="FF0000"/>
        </w:rPr>
        <w:t xml:space="preserve"> </w:t>
      </w:r>
      <w:r w:rsidRPr="005664DA" w:rsidR="00F8124E">
        <w:rPr>
          <w:color w:val="0066FF"/>
          <w:u w:val="single"/>
        </w:rPr>
        <w:t xml:space="preserve">application </w:t>
      </w:r>
      <w:r w:rsidRPr="00F03E6C">
        <w:t xml:space="preserve">shall contain </w:t>
      </w:r>
      <w:r w:rsidRPr="005664DA" w:rsidR="00F8124E">
        <w:rPr>
          <w:color w:val="0066FF"/>
          <w:u w:val="single"/>
        </w:rPr>
        <w:t>all t</w:t>
      </w:r>
      <w:r w:rsidRPr="005664DA">
        <w:rPr>
          <w:color w:val="0066FF"/>
          <w:u w:val="single"/>
        </w:rPr>
        <w:t>he following</w:t>
      </w:r>
      <w:r w:rsidRPr="005664DA">
        <w:rPr>
          <w:color w:val="0066FF"/>
        </w:rPr>
        <w:t xml:space="preserve"> </w:t>
      </w:r>
      <w:r w:rsidRPr="00F03E6C">
        <w:t>information.</w:t>
      </w:r>
    </w:p>
    <w:p w:rsidR="00F03E6C" w:rsidRPr="00F03E6C" w:rsidP="00F03E6C">
      <w:r w:rsidRPr="00F03E6C">
        <w:t xml:space="preserve">       </w:t>
      </w:r>
    </w:p>
    <w:p w:rsidR="00F03E6C" w:rsidRPr="00F03E6C" w:rsidP="00F8124E">
      <w:pPr>
        <w:spacing w:after="240"/>
        <w:ind w:left="1080" w:right="720" w:hanging="360"/>
      </w:pPr>
      <w:r>
        <w:t>* * *</w:t>
      </w:r>
    </w:p>
    <w:p w:rsidR="00F03E6C" w:rsidRPr="005664DA" w:rsidP="00F8124E">
      <w:pPr>
        <w:spacing w:after="240"/>
        <w:ind w:left="1080" w:right="720" w:hanging="360"/>
        <w:rPr>
          <w:color w:val="0066FF"/>
          <w:u w:val="single"/>
        </w:rPr>
      </w:pPr>
      <w:r w:rsidRPr="005664DA">
        <w:rPr>
          <w:color w:val="0066FF"/>
          <w:u w:val="single"/>
        </w:rPr>
        <w:t>(7) An analysis demonstrating that the benefits of the proposed economic development project exceed the costs.</w:t>
      </w:r>
    </w:p>
    <w:p w:rsidR="001F2027" w:rsidRPr="001F2027" w:rsidP="001F2027">
      <w:pPr>
        <w:spacing w:line="480" w:lineRule="auto"/>
        <w:ind w:firstLine="720"/>
        <w:rPr>
          <w:rFonts w:cs="Times New Roman"/>
          <w:szCs w:val="24"/>
        </w:rPr>
      </w:pPr>
      <w:r>
        <w:rPr>
          <w:rFonts w:cs="Times New Roman"/>
          <w:szCs w:val="24"/>
        </w:rPr>
        <w:t xml:space="preserve">The word “notice” should also be changed to “application” in </w:t>
      </w:r>
      <w:r>
        <w:t>Ohio Adm. Code 4901:1-43-03(C).  In addition, proposed Ohio Adm. Code 4901:1-43-01(H),</w:t>
      </w:r>
      <w:r>
        <w:rPr>
          <w:rStyle w:val="FootnoteReference"/>
        </w:rPr>
        <w:footnoteReference w:id="13"/>
      </w:r>
      <w:r>
        <w:t xml:space="preserve"> which defines “notice,” should be deleted.</w:t>
      </w:r>
    </w:p>
    <w:p w:rsidR="00F03E6C" w:rsidRPr="00F03E6C" w:rsidP="00642AA4">
      <w:pPr>
        <w:pStyle w:val="Heading1"/>
      </w:pPr>
      <w:r>
        <w:t>B.</w:t>
      </w:r>
      <w:r>
        <w:tab/>
      </w:r>
      <w:r w:rsidR="00197415">
        <w:t xml:space="preserve">The PUCO should verify that </w:t>
      </w:r>
      <w:r w:rsidR="005D182E">
        <w:t xml:space="preserve">consumers actually benefit from </w:t>
      </w:r>
      <w:r w:rsidR="00197415">
        <w:t xml:space="preserve">the infrastructure development expenses </w:t>
      </w:r>
      <w:r w:rsidR="005D182E">
        <w:t>they pay</w:t>
      </w:r>
      <w:r w:rsidR="00197415">
        <w:t>.</w:t>
      </w:r>
    </w:p>
    <w:p w:rsidR="00735BF3" w:rsidP="001F2027">
      <w:pPr>
        <w:spacing w:line="480" w:lineRule="auto"/>
        <w:ind w:firstLine="720"/>
        <w:rPr>
          <w:rFonts w:cs="Times New Roman"/>
          <w:szCs w:val="24"/>
        </w:rPr>
      </w:pPr>
      <w:r>
        <w:rPr>
          <w:rFonts w:cs="Times New Roman"/>
          <w:szCs w:val="24"/>
        </w:rPr>
        <w:t>As part of the process for considering a natural gas company’s infrastructure development rider, the PUCO requires the company to update its rider annually.</w:t>
      </w:r>
      <w:r>
        <w:rPr>
          <w:rStyle w:val="FootnoteReference"/>
          <w:rFonts w:cs="Times New Roman"/>
          <w:szCs w:val="24"/>
        </w:rPr>
        <w:footnoteReference w:id="14"/>
      </w:r>
      <w:r>
        <w:rPr>
          <w:rFonts w:cs="Times New Roman"/>
          <w:szCs w:val="24"/>
        </w:rPr>
        <w:t xml:space="preserve">  </w:t>
      </w:r>
      <w:r w:rsidR="002C7EE6">
        <w:rPr>
          <w:rFonts w:cs="Times New Roman"/>
          <w:szCs w:val="24"/>
        </w:rPr>
        <w:t>Under the rule, n</w:t>
      </w:r>
      <w:r>
        <w:rPr>
          <w:rFonts w:cs="Times New Roman"/>
          <w:szCs w:val="24"/>
        </w:rPr>
        <w:t xml:space="preserve">atural gas companies seeking to collect infrastructure development costs from consumers </w:t>
      </w:r>
      <w:r w:rsidR="002C7EE6">
        <w:rPr>
          <w:rFonts w:cs="Times New Roman"/>
          <w:szCs w:val="24"/>
        </w:rPr>
        <w:t>must</w:t>
      </w:r>
      <w:r>
        <w:rPr>
          <w:rFonts w:cs="Times New Roman"/>
          <w:szCs w:val="24"/>
        </w:rPr>
        <w:t xml:space="preserve"> </w:t>
      </w:r>
      <w:r>
        <w:t xml:space="preserve">provide “all information set forth upon forms as may be prescribed by the commission.”  </w:t>
      </w:r>
      <w:r w:rsidR="005D182E">
        <w:t>The PUCO Staff does not propose to change the rule.</w:t>
      </w:r>
      <w:r>
        <w:rPr>
          <w:rStyle w:val="FootnoteReference"/>
        </w:rPr>
        <w:footnoteReference w:id="15"/>
      </w:r>
      <w:r w:rsidR="005D182E">
        <w:t xml:space="preserve">  However, the</w:t>
      </w:r>
      <w:r>
        <w:t xml:space="preserve"> rule </w:t>
      </w:r>
      <w:r w:rsidR="005D182E">
        <w:rPr>
          <w:rFonts w:cs="Times New Roman"/>
          <w:szCs w:val="24"/>
        </w:rPr>
        <w:t xml:space="preserve">does not ensure that </w:t>
      </w:r>
      <w:r w:rsidR="002C7EE6">
        <w:rPr>
          <w:rFonts w:cs="Times New Roman"/>
          <w:szCs w:val="24"/>
        </w:rPr>
        <w:t xml:space="preserve">the infrastructure expenditures consumers actually provide </w:t>
      </w:r>
      <w:r>
        <w:rPr>
          <w:rFonts w:cs="Times New Roman"/>
          <w:szCs w:val="24"/>
        </w:rPr>
        <w:t>the benefits</w:t>
      </w:r>
      <w:r w:rsidR="002C7EE6">
        <w:rPr>
          <w:rFonts w:cs="Times New Roman"/>
          <w:szCs w:val="24"/>
        </w:rPr>
        <w:t xml:space="preserve"> the company promised</w:t>
      </w:r>
      <w:r w:rsidRPr="00F03E6C" w:rsidR="00F03E6C">
        <w:rPr>
          <w:rFonts w:cs="Times New Roman"/>
          <w:szCs w:val="24"/>
        </w:rPr>
        <w:t xml:space="preserve">.  </w:t>
      </w:r>
    </w:p>
    <w:p w:rsidR="00B2744E" w:rsidP="001F2027">
      <w:pPr>
        <w:spacing w:line="480" w:lineRule="auto"/>
        <w:ind w:firstLine="720"/>
        <w:rPr>
          <w:rFonts w:cs="Times New Roman"/>
          <w:szCs w:val="24"/>
        </w:rPr>
      </w:pPr>
      <w:r w:rsidRPr="00F03E6C">
        <w:rPr>
          <w:rFonts w:cs="Times New Roman"/>
          <w:szCs w:val="24"/>
        </w:rPr>
        <w:t>The</w:t>
      </w:r>
      <w:r>
        <w:rPr>
          <w:rFonts w:cs="Times New Roman"/>
          <w:szCs w:val="24"/>
        </w:rPr>
        <w:t xml:space="preserve"> PUCO should</w:t>
      </w:r>
      <w:r w:rsidRPr="00F03E6C">
        <w:rPr>
          <w:rFonts w:cs="Times New Roman"/>
          <w:szCs w:val="24"/>
        </w:rPr>
        <w:t xml:space="preserve"> </w:t>
      </w:r>
      <w:r>
        <w:rPr>
          <w:rFonts w:cs="Times New Roman"/>
          <w:szCs w:val="24"/>
        </w:rPr>
        <w:t xml:space="preserve">verify </w:t>
      </w:r>
      <w:r w:rsidRPr="00F03E6C">
        <w:rPr>
          <w:rFonts w:cs="Times New Roman"/>
          <w:szCs w:val="24"/>
        </w:rPr>
        <w:t xml:space="preserve">that </w:t>
      </w:r>
      <w:r>
        <w:rPr>
          <w:rFonts w:cs="Times New Roman"/>
          <w:szCs w:val="24"/>
        </w:rPr>
        <w:t xml:space="preserve">the benefits </w:t>
      </w:r>
      <w:r w:rsidRPr="00F03E6C">
        <w:rPr>
          <w:rFonts w:cs="Times New Roman"/>
          <w:szCs w:val="24"/>
        </w:rPr>
        <w:t xml:space="preserve">promised in the </w:t>
      </w:r>
      <w:r>
        <w:rPr>
          <w:rFonts w:cs="Times New Roman"/>
          <w:szCs w:val="24"/>
        </w:rPr>
        <w:t xml:space="preserve">application – </w:t>
      </w:r>
      <w:r w:rsidR="00EA6C06">
        <w:rPr>
          <w:rFonts w:cs="Times New Roman"/>
          <w:szCs w:val="24"/>
        </w:rPr>
        <w:t>paid for by</w:t>
      </w:r>
      <w:r>
        <w:rPr>
          <w:rFonts w:cs="Times New Roman"/>
          <w:szCs w:val="24"/>
        </w:rPr>
        <w:t xml:space="preserve"> customers</w:t>
      </w:r>
      <w:r w:rsidR="00EA6C06">
        <w:rPr>
          <w:rFonts w:cs="Times New Roman"/>
          <w:szCs w:val="24"/>
        </w:rPr>
        <w:t xml:space="preserve"> </w:t>
      </w:r>
      <w:r>
        <w:rPr>
          <w:rFonts w:cs="Times New Roman"/>
          <w:szCs w:val="24"/>
        </w:rPr>
        <w:t>– actually occur</w:t>
      </w:r>
      <w:r w:rsidRPr="00F03E6C" w:rsidR="00F03E6C">
        <w:rPr>
          <w:rFonts w:cs="Times New Roman"/>
          <w:szCs w:val="24"/>
        </w:rPr>
        <w:t xml:space="preserve">.  </w:t>
      </w:r>
      <w:r>
        <w:rPr>
          <w:rFonts w:cs="Times New Roman"/>
          <w:szCs w:val="24"/>
        </w:rPr>
        <w:t xml:space="preserve">Ohio Adm. Code </w:t>
      </w:r>
      <w:r w:rsidRPr="00F03E6C" w:rsidR="00F03E6C">
        <w:rPr>
          <w:rFonts w:cs="Times New Roman"/>
          <w:szCs w:val="24"/>
        </w:rPr>
        <w:t xml:space="preserve">4901:1-43-03 requires </w:t>
      </w:r>
      <w:r>
        <w:rPr>
          <w:rFonts w:cs="Times New Roman"/>
          <w:szCs w:val="24"/>
        </w:rPr>
        <w:t>natural gas companies</w:t>
      </w:r>
      <w:r w:rsidRPr="00F03E6C" w:rsidR="00F03E6C">
        <w:rPr>
          <w:rFonts w:cs="Times New Roman"/>
          <w:szCs w:val="24"/>
        </w:rPr>
        <w:t xml:space="preserve"> to </w:t>
      </w:r>
      <w:r>
        <w:rPr>
          <w:rFonts w:cs="Times New Roman"/>
          <w:szCs w:val="24"/>
        </w:rPr>
        <w:t>provide,</w:t>
      </w:r>
      <w:r w:rsidRPr="00F03E6C" w:rsidR="00F03E6C">
        <w:rPr>
          <w:rFonts w:cs="Times New Roman"/>
          <w:szCs w:val="24"/>
        </w:rPr>
        <w:t xml:space="preserve"> with the</w:t>
      </w:r>
      <w:r>
        <w:rPr>
          <w:rFonts w:cs="Times New Roman"/>
          <w:szCs w:val="24"/>
        </w:rPr>
        <w:t>ir</w:t>
      </w:r>
      <w:r w:rsidRPr="00F03E6C" w:rsidR="00F03E6C">
        <w:rPr>
          <w:rFonts w:cs="Times New Roman"/>
          <w:szCs w:val="24"/>
        </w:rPr>
        <w:t xml:space="preserve"> initial </w:t>
      </w:r>
      <w:r>
        <w:rPr>
          <w:rFonts w:cs="Times New Roman"/>
          <w:szCs w:val="24"/>
        </w:rPr>
        <w:t xml:space="preserve">rider application, </w:t>
      </w:r>
      <w:r w:rsidRPr="00F03E6C" w:rsidR="00F03E6C">
        <w:rPr>
          <w:rFonts w:cs="Times New Roman"/>
          <w:szCs w:val="24"/>
        </w:rPr>
        <w:t>the level of total investment and total economic development impact</w:t>
      </w:r>
      <w:r>
        <w:rPr>
          <w:rFonts w:cs="Times New Roman"/>
          <w:szCs w:val="24"/>
        </w:rPr>
        <w:t xml:space="preserve"> of the investment</w:t>
      </w:r>
      <w:r w:rsidRPr="00F03E6C" w:rsidR="00F03E6C">
        <w:rPr>
          <w:rFonts w:cs="Times New Roman"/>
          <w:szCs w:val="24"/>
        </w:rPr>
        <w:t>.</w:t>
      </w:r>
      <w:r>
        <w:rPr>
          <w:rStyle w:val="FootnoteReference"/>
          <w:rFonts w:cs="Times New Roman"/>
          <w:szCs w:val="24"/>
        </w:rPr>
        <w:footnoteReference w:id="16"/>
      </w:r>
      <w:r w:rsidRPr="00F03E6C" w:rsidR="00F03E6C">
        <w:rPr>
          <w:rFonts w:cs="Times New Roman"/>
          <w:szCs w:val="24"/>
        </w:rPr>
        <w:t xml:space="preserve">  </w:t>
      </w:r>
      <w:r w:rsidR="007F47D5">
        <w:rPr>
          <w:rFonts w:cs="Times New Roman"/>
          <w:szCs w:val="24"/>
        </w:rPr>
        <w:t xml:space="preserve">This includes </w:t>
      </w:r>
      <w:r w:rsidRPr="00F03E6C" w:rsidR="007F47D5">
        <w:rPr>
          <w:rFonts w:cs="Times New Roman"/>
          <w:szCs w:val="24"/>
        </w:rPr>
        <w:t>only an estimate of jobs, tax base i</w:t>
      </w:r>
      <w:r w:rsidR="007F47D5">
        <w:rPr>
          <w:rFonts w:cs="Times New Roman"/>
          <w:szCs w:val="24"/>
        </w:rPr>
        <w:t xml:space="preserve">ncreases, and community benefits.  </w:t>
      </w:r>
      <w:r>
        <w:rPr>
          <w:rFonts w:cs="Times New Roman"/>
          <w:szCs w:val="24"/>
        </w:rPr>
        <w:t>The PUCO</w:t>
      </w:r>
      <w:r w:rsidRPr="00F03E6C" w:rsidR="00F03E6C">
        <w:rPr>
          <w:rFonts w:cs="Times New Roman"/>
          <w:szCs w:val="24"/>
        </w:rPr>
        <w:t xml:space="preserve"> should </w:t>
      </w:r>
      <w:r>
        <w:rPr>
          <w:rFonts w:cs="Times New Roman"/>
          <w:szCs w:val="24"/>
        </w:rPr>
        <w:t>follow-</w:t>
      </w:r>
      <w:r w:rsidRPr="00F03E6C" w:rsidR="00F03E6C">
        <w:rPr>
          <w:rFonts w:cs="Times New Roman"/>
          <w:szCs w:val="24"/>
        </w:rPr>
        <w:t xml:space="preserve">up to verify that the promised investment and job creation </w:t>
      </w:r>
      <w:r>
        <w:rPr>
          <w:rFonts w:cs="Times New Roman"/>
          <w:szCs w:val="24"/>
        </w:rPr>
        <w:t xml:space="preserve">that customers are paying for </w:t>
      </w:r>
      <w:r w:rsidRPr="00F03E6C" w:rsidR="00F03E6C">
        <w:rPr>
          <w:rFonts w:cs="Times New Roman"/>
          <w:szCs w:val="24"/>
        </w:rPr>
        <w:t xml:space="preserve">is </w:t>
      </w:r>
      <w:r>
        <w:rPr>
          <w:rFonts w:cs="Times New Roman"/>
          <w:szCs w:val="24"/>
        </w:rPr>
        <w:t xml:space="preserve">actually </w:t>
      </w:r>
      <w:r w:rsidRPr="00F03E6C" w:rsidR="00F03E6C">
        <w:rPr>
          <w:rFonts w:cs="Times New Roman"/>
          <w:szCs w:val="24"/>
        </w:rPr>
        <w:t xml:space="preserve">occurring.  </w:t>
      </w:r>
    </w:p>
    <w:p w:rsidR="00F03E6C" w:rsidRPr="00F03E6C" w:rsidP="001F2027">
      <w:pPr>
        <w:spacing w:line="480" w:lineRule="auto"/>
        <w:ind w:firstLine="720"/>
        <w:rPr>
          <w:rFonts w:cs="Times New Roman"/>
          <w:szCs w:val="24"/>
        </w:rPr>
      </w:pPr>
      <w:r w:rsidRPr="00F03E6C">
        <w:rPr>
          <w:rFonts w:cs="Times New Roman"/>
          <w:szCs w:val="24"/>
        </w:rPr>
        <w:t>T</w:t>
      </w:r>
      <w:r w:rsidR="00B2744E">
        <w:rPr>
          <w:rFonts w:cs="Times New Roman"/>
          <w:szCs w:val="24"/>
        </w:rPr>
        <w:t>o ensure that money customers are paying through the rider is producing the promised benefits,</w:t>
      </w:r>
      <w:r w:rsidRPr="00F03E6C">
        <w:rPr>
          <w:rFonts w:cs="Times New Roman"/>
          <w:szCs w:val="24"/>
        </w:rPr>
        <w:t xml:space="preserve"> the following change</w:t>
      </w:r>
      <w:r w:rsidR="00B2744E">
        <w:rPr>
          <w:rFonts w:cs="Times New Roman"/>
          <w:szCs w:val="24"/>
        </w:rPr>
        <w:t>s should be made</w:t>
      </w:r>
      <w:r w:rsidRPr="00F03E6C">
        <w:rPr>
          <w:rFonts w:cs="Times New Roman"/>
          <w:szCs w:val="24"/>
        </w:rPr>
        <w:t xml:space="preserve"> to </w:t>
      </w:r>
      <w:r w:rsidR="00B2744E">
        <w:rPr>
          <w:rFonts w:cs="Times New Roman"/>
          <w:szCs w:val="24"/>
        </w:rPr>
        <w:t>Ohio Adm. Code</w:t>
      </w:r>
      <w:r w:rsidRPr="00F03E6C">
        <w:rPr>
          <w:rFonts w:cs="Times New Roman"/>
          <w:szCs w:val="24"/>
        </w:rPr>
        <w:t xml:space="preserve"> 4901:1-43-04(B):</w:t>
      </w:r>
    </w:p>
    <w:p w:rsidR="00F03E6C" w:rsidRPr="00F03E6C" w:rsidP="00B2744E">
      <w:pPr>
        <w:numPr>
          <w:ilvl w:val="0"/>
          <w:numId w:val="11"/>
        </w:numPr>
        <w:spacing w:after="240"/>
        <w:ind w:left="1080" w:right="720"/>
        <w:rPr>
          <w:rFonts w:cs="Times New Roman"/>
          <w:szCs w:val="24"/>
        </w:rPr>
      </w:pPr>
      <w:r w:rsidRPr="00F03E6C">
        <w:rPr>
          <w:rFonts w:cs="Times New Roman"/>
          <w:szCs w:val="24"/>
        </w:rPr>
        <w:t xml:space="preserve">Each natural gas company with an approved infrastructure development rider shall update the rider rate on an annual basis as set forth by commission order.  Each annual report to update the infrastructure development rider shall include all </w:t>
      </w:r>
      <w:r w:rsidRPr="00EA6C06">
        <w:rPr>
          <w:rFonts w:cs="Times New Roman"/>
          <w:color w:val="0066FF"/>
          <w:szCs w:val="24"/>
          <w:u w:val="single"/>
        </w:rPr>
        <w:t>the following</w:t>
      </w:r>
      <w:r w:rsidRPr="00EA6C06">
        <w:rPr>
          <w:rFonts w:cs="Times New Roman"/>
          <w:color w:val="0066FF"/>
          <w:szCs w:val="24"/>
        </w:rPr>
        <w:t xml:space="preserve"> </w:t>
      </w:r>
      <w:r w:rsidRPr="00F03E6C">
        <w:rPr>
          <w:rFonts w:cs="Times New Roman"/>
          <w:szCs w:val="24"/>
        </w:rPr>
        <w:t>information</w:t>
      </w:r>
      <w:r w:rsidRPr="00735BF3" w:rsidR="00735BF3">
        <w:rPr>
          <w:rFonts w:cs="Times New Roman"/>
          <w:szCs w:val="24"/>
        </w:rPr>
        <w:t xml:space="preserve"> </w:t>
      </w:r>
      <w:r w:rsidRPr="00EA6C06" w:rsidR="002711B8">
        <w:rPr>
          <w:rFonts w:cs="Times New Roman"/>
          <w:color w:val="0066FF"/>
          <w:szCs w:val="24"/>
          <w:u w:val="single"/>
        </w:rPr>
        <w:t>for each project for which expenses are being collected through the rider:</w:t>
      </w:r>
      <w:r w:rsidRPr="00EA6C06" w:rsidR="002711B8">
        <w:rPr>
          <w:strike/>
          <w:color w:val="FF0000"/>
        </w:rPr>
        <w:t xml:space="preserve"> </w:t>
      </w:r>
      <w:r w:rsidRPr="00EA6C06" w:rsidR="00735BF3">
        <w:rPr>
          <w:strike/>
          <w:color w:val="FF0000"/>
        </w:rPr>
        <w:t>set forth upon forms as may be prescribed by the commission</w:t>
      </w:r>
      <w:r w:rsidRPr="00EA6C06">
        <w:rPr>
          <w:rFonts w:cs="Times New Roman"/>
          <w:strike/>
          <w:color w:val="FF0000"/>
          <w:szCs w:val="24"/>
        </w:rPr>
        <w:t>.</w:t>
      </w:r>
    </w:p>
    <w:p w:rsidR="00F03E6C" w:rsidRPr="00EA6C06" w:rsidP="00B2744E">
      <w:pPr>
        <w:spacing w:after="240"/>
        <w:ind w:left="1440" w:hanging="360"/>
        <w:rPr>
          <w:rFonts w:cs="Times New Roman"/>
          <w:color w:val="0066FF"/>
          <w:szCs w:val="24"/>
          <w:u w:val="single"/>
        </w:rPr>
      </w:pPr>
      <w:r w:rsidRPr="00F03E6C">
        <w:rPr>
          <w:rFonts w:cs="Times New Roman"/>
          <w:szCs w:val="24"/>
        </w:rPr>
        <w:tab/>
      </w:r>
      <w:r w:rsidRPr="00EA6C06">
        <w:rPr>
          <w:rFonts w:cs="Times New Roman"/>
          <w:color w:val="0066FF"/>
          <w:szCs w:val="24"/>
          <w:u w:val="single"/>
        </w:rPr>
        <w:t xml:space="preserve">(1) </w:t>
      </w:r>
      <w:r w:rsidRPr="00EA6C06" w:rsidR="002711B8">
        <w:rPr>
          <w:rFonts w:cs="Times New Roman"/>
          <w:color w:val="0066FF"/>
          <w:szCs w:val="24"/>
          <w:u w:val="single"/>
        </w:rPr>
        <w:t>Actual i</w:t>
      </w:r>
      <w:r w:rsidRPr="00EA6C06">
        <w:rPr>
          <w:rFonts w:cs="Times New Roman"/>
          <w:color w:val="0066FF"/>
          <w:szCs w:val="24"/>
          <w:u w:val="single"/>
        </w:rPr>
        <w:t>ncrease in state and local taxable base.</w:t>
      </w:r>
    </w:p>
    <w:p w:rsidR="00F03E6C" w:rsidRPr="00EA6C06" w:rsidP="00B2744E">
      <w:pPr>
        <w:spacing w:after="240"/>
        <w:ind w:left="1440" w:hanging="360"/>
        <w:rPr>
          <w:rFonts w:cs="Times New Roman"/>
          <w:color w:val="0066FF"/>
          <w:szCs w:val="24"/>
          <w:u w:val="single"/>
        </w:rPr>
      </w:pPr>
      <w:r w:rsidRPr="00EA6C06">
        <w:rPr>
          <w:rFonts w:cs="Times New Roman"/>
          <w:color w:val="0066FF"/>
          <w:szCs w:val="24"/>
        </w:rPr>
        <w:tab/>
      </w:r>
      <w:r w:rsidRPr="00EA6C06">
        <w:rPr>
          <w:rFonts w:cs="Times New Roman"/>
          <w:color w:val="0066FF"/>
          <w:szCs w:val="24"/>
          <w:u w:val="single"/>
        </w:rPr>
        <w:t xml:space="preserve">(2) </w:t>
      </w:r>
      <w:r w:rsidRPr="00EA6C06" w:rsidR="002711B8">
        <w:rPr>
          <w:rFonts w:cs="Times New Roman"/>
          <w:color w:val="0066FF"/>
          <w:szCs w:val="24"/>
          <w:u w:val="single"/>
        </w:rPr>
        <w:t>Actual n</w:t>
      </w:r>
      <w:r w:rsidRPr="00EA6C06">
        <w:rPr>
          <w:rFonts w:cs="Times New Roman"/>
          <w:color w:val="0066FF"/>
          <w:szCs w:val="24"/>
          <w:u w:val="single"/>
        </w:rPr>
        <w:t>umber of new jobs created and jobs retained by the project.</w:t>
      </w:r>
    </w:p>
    <w:p w:rsidR="00F03E6C" w:rsidRPr="00EA6C06" w:rsidP="00B2744E">
      <w:pPr>
        <w:spacing w:after="240"/>
        <w:ind w:left="1440" w:hanging="360"/>
        <w:rPr>
          <w:rFonts w:cs="Times New Roman"/>
          <w:color w:val="0066FF"/>
          <w:szCs w:val="24"/>
          <w:u w:val="single"/>
        </w:rPr>
      </w:pPr>
      <w:r w:rsidRPr="00EA6C06">
        <w:rPr>
          <w:rFonts w:cs="Times New Roman"/>
          <w:color w:val="0066FF"/>
          <w:szCs w:val="24"/>
        </w:rPr>
        <w:tab/>
      </w:r>
      <w:r w:rsidRPr="00EA6C06">
        <w:rPr>
          <w:rFonts w:cs="Times New Roman"/>
          <w:color w:val="0066FF"/>
          <w:szCs w:val="24"/>
          <w:u w:val="single"/>
        </w:rPr>
        <w:t>(3) Benefits to the community.</w:t>
      </w:r>
    </w:p>
    <w:p w:rsidR="00F03E6C" w:rsidRPr="00F03E6C" w:rsidP="00B2744E">
      <w:pPr>
        <w:spacing w:after="240"/>
        <w:ind w:left="1440" w:hanging="360"/>
        <w:rPr>
          <w:rFonts w:cs="Times New Roman"/>
          <w:szCs w:val="24"/>
          <w:u w:val="single"/>
        </w:rPr>
      </w:pPr>
      <w:r w:rsidRPr="00EA6C06">
        <w:rPr>
          <w:rFonts w:cs="Times New Roman"/>
          <w:color w:val="0066FF"/>
          <w:szCs w:val="24"/>
        </w:rPr>
        <w:tab/>
      </w:r>
      <w:r w:rsidRPr="00EA6C06">
        <w:rPr>
          <w:rFonts w:cs="Times New Roman"/>
          <w:color w:val="0066FF"/>
          <w:szCs w:val="24"/>
          <w:u w:val="single"/>
        </w:rPr>
        <w:t xml:space="preserve">(4) Any additional information requested by the commission. </w:t>
      </w:r>
      <w:r w:rsidRPr="00F03E6C">
        <w:rPr>
          <w:rFonts w:cs="Times New Roman"/>
          <w:color w:val="FF0000"/>
          <w:szCs w:val="24"/>
          <w:u w:val="single"/>
        </w:rPr>
        <w:t xml:space="preserve"> </w:t>
      </w:r>
    </w:p>
    <w:p w:rsidR="00F03E6C" w:rsidRPr="00F03E6C" w:rsidP="00B2744E">
      <w:pPr>
        <w:spacing w:line="480" w:lineRule="auto"/>
        <w:ind w:firstLine="720"/>
      </w:pPr>
      <w:r w:rsidRPr="00F03E6C">
        <w:rPr>
          <w:rFonts w:cs="Times New Roman"/>
          <w:szCs w:val="24"/>
        </w:rPr>
        <w:t xml:space="preserve">The above changes would allow the </w:t>
      </w:r>
      <w:r w:rsidR="00B2744E">
        <w:rPr>
          <w:rFonts w:cs="Times New Roman"/>
          <w:szCs w:val="24"/>
        </w:rPr>
        <w:t>PUCO</w:t>
      </w:r>
      <w:r w:rsidRPr="00F03E6C">
        <w:rPr>
          <w:rFonts w:cs="Times New Roman"/>
          <w:szCs w:val="24"/>
        </w:rPr>
        <w:t xml:space="preserve"> and interested stakeholders to verify that </w:t>
      </w:r>
      <w:r w:rsidR="00B2744E">
        <w:rPr>
          <w:rFonts w:cs="Times New Roman"/>
          <w:szCs w:val="24"/>
        </w:rPr>
        <w:t xml:space="preserve">customers are </w:t>
      </w:r>
      <w:r w:rsidRPr="00F03E6C">
        <w:rPr>
          <w:rFonts w:cs="Times New Roman"/>
          <w:szCs w:val="24"/>
        </w:rPr>
        <w:t>in fact benefiting</w:t>
      </w:r>
      <w:r w:rsidR="007F47D5">
        <w:rPr>
          <w:rFonts w:cs="Times New Roman"/>
          <w:szCs w:val="24"/>
        </w:rPr>
        <w:t xml:space="preserve"> from the money they pay through their natural gas company’s </w:t>
      </w:r>
      <w:r w:rsidRPr="00F03E6C" w:rsidR="007F47D5">
        <w:rPr>
          <w:rFonts w:cs="Times New Roman"/>
          <w:szCs w:val="24"/>
        </w:rPr>
        <w:t>infrastructure development</w:t>
      </w:r>
      <w:r w:rsidR="007F47D5">
        <w:rPr>
          <w:rFonts w:cs="Times New Roman"/>
          <w:szCs w:val="24"/>
        </w:rPr>
        <w:t xml:space="preserve"> rider</w:t>
      </w:r>
      <w:r w:rsidRPr="00F03E6C">
        <w:rPr>
          <w:rFonts w:cs="Times New Roman"/>
          <w:szCs w:val="24"/>
        </w:rPr>
        <w:t xml:space="preserve">.  </w:t>
      </w:r>
      <w:r w:rsidR="007F47D5">
        <w:rPr>
          <w:rFonts w:cs="Times New Roman"/>
          <w:szCs w:val="24"/>
        </w:rPr>
        <w:t>The PUCO should adopt this change</w:t>
      </w:r>
      <w:r w:rsidRPr="00F03E6C">
        <w:rPr>
          <w:rFonts w:cs="Times New Roman"/>
          <w:szCs w:val="24"/>
        </w:rPr>
        <w:t>.</w:t>
      </w:r>
    </w:p>
    <w:p w:rsidR="00850177" w:rsidRPr="00850177" w:rsidP="005D182E">
      <w:pPr>
        <w:keepNext/>
        <w:spacing w:before="240" w:line="480" w:lineRule="auto"/>
        <w:outlineLvl w:val="0"/>
        <w:rPr>
          <w:rFonts w:cs="Times New Roman"/>
          <w:b/>
          <w:szCs w:val="24"/>
        </w:rPr>
      </w:pPr>
      <w:r>
        <w:rPr>
          <w:rFonts w:cs="Times New Roman"/>
          <w:b/>
          <w:szCs w:val="24"/>
        </w:rPr>
        <w:t>III.</w:t>
      </w:r>
      <w:r>
        <w:rPr>
          <w:rFonts w:cs="Times New Roman"/>
          <w:b/>
          <w:szCs w:val="24"/>
        </w:rPr>
        <w:tab/>
        <w:t>CONCLUSION</w:t>
      </w:r>
    </w:p>
    <w:p w:rsidR="00B30B6D" w:rsidP="00B30B6D">
      <w:pPr>
        <w:spacing w:line="480" w:lineRule="auto"/>
        <w:ind w:firstLine="720"/>
        <w:outlineLvl w:val="0"/>
      </w:pPr>
      <w:r>
        <w:t>Ohio law protects consumers by requiring that their natural gas company collect from them only prudently incurred infrastructure development expenses through the rider</w:t>
      </w:r>
      <w:r w:rsidR="009C4612">
        <w:t>.</w:t>
      </w:r>
      <w:r>
        <w:t xml:space="preserve">  OCC’s proposed changes to Ohio Adm. Code</w:t>
      </w:r>
      <w:r w:rsidRPr="00F03E6C">
        <w:t xml:space="preserve"> 4901:1-43-03(A)</w:t>
      </w:r>
      <w:r>
        <w:t xml:space="preserve"> would make </w:t>
      </w:r>
      <w:r w:rsidR="003D0424">
        <w:t xml:space="preserve">the rule consistent with Ohio law.  And OCC’s proposed changes to Ohio Adm. Code 4901:1-43-04(B) would ensure that the promised benefits of the </w:t>
      </w:r>
      <w:r>
        <w:t>projects consumers pay for actually accrue to consumers</w:t>
      </w:r>
      <w:r w:rsidR="003D0424">
        <w:t>.  The PUCO should adopt OCC’s proposed rule changes.</w:t>
      </w:r>
    </w:p>
    <w:p w:rsidR="00BF263A" w:rsidRPr="00BF263A" w:rsidP="00B30B6D">
      <w:pPr>
        <w:spacing w:line="480" w:lineRule="auto"/>
        <w:ind w:left="4320"/>
        <w:outlineLvl w:val="0"/>
        <w:rPr>
          <w:rFonts w:eastAsia="Times New Roman" w:cs="Times New Roman"/>
          <w:szCs w:val="24"/>
        </w:rPr>
      </w:pPr>
      <w:r w:rsidRPr="00BF263A">
        <w:rPr>
          <w:rFonts w:eastAsia="Times New Roman" w:cs="Times New Roman"/>
          <w:szCs w:val="24"/>
        </w:rPr>
        <w:t>Respectfully submitted,</w:t>
      </w:r>
    </w:p>
    <w:p w:rsidR="00BF263A" w:rsidRPr="00BF263A" w:rsidP="00BF263A">
      <w:pPr>
        <w:tabs>
          <w:tab w:val="left" w:pos="4320"/>
          <w:tab w:val="center" w:pos="4680"/>
          <w:tab w:val="right" w:pos="9360"/>
        </w:tabs>
        <w:ind w:left="4320"/>
        <w:rPr>
          <w:rFonts w:eastAsia="Times New Roman" w:cs="Times New Roman"/>
          <w:szCs w:val="24"/>
        </w:rPr>
      </w:pPr>
      <w:r>
        <w:rPr>
          <w:rFonts w:eastAsia="Times New Roman" w:cs="Times New Roman"/>
          <w:szCs w:val="24"/>
        </w:rPr>
        <w:tab/>
        <w:t xml:space="preserve">BRUCE </w:t>
      </w:r>
      <w:r w:rsidRPr="00BF263A">
        <w:rPr>
          <w:rFonts w:eastAsia="Times New Roman" w:cs="Times New Roman"/>
          <w:szCs w:val="24"/>
        </w:rPr>
        <w:t>WESTON (0016973)</w:t>
      </w:r>
    </w:p>
    <w:p w:rsidR="00BF263A" w:rsidRPr="00BF263A" w:rsidP="00BF263A">
      <w:pPr>
        <w:tabs>
          <w:tab w:val="left" w:pos="4320"/>
        </w:tabs>
        <w:ind w:left="4320"/>
        <w:rPr>
          <w:rFonts w:eastAsia="Times New Roman" w:cs="Times New Roman"/>
          <w:szCs w:val="24"/>
        </w:rPr>
      </w:pPr>
      <w:r w:rsidRPr="00BF263A">
        <w:rPr>
          <w:rFonts w:eastAsia="Times New Roman" w:cs="Times New Roman"/>
          <w:szCs w:val="24"/>
        </w:rPr>
        <w:t>OHIO CONSUMERS</w:t>
      </w:r>
      <w:r w:rsidR="00D47D04">
        <w:rPr>
          <w:rFonts w:eastAsia="Times New Roman" w:cs="Times New Roman"/>
          <w:szCs w:val="24"/>
        </w:rPr>
        <w:t>’</w:t>
      </w:r>
      <w:r w:rsidRPr="00BF263A">
        <w:rPr>
          <w:rFonts w:eastAsia="Times New Roman" w:cs="Times New Roman"/>
          <w:szCs w:val="24"/>
        </w:rPr>
        <w:t xml:space="preserve"> COUNSEL</w:t>
      </w:r>
    </w:p>
    <w:p w:rsidR="00BF263A" w:rsidRPr="00BF263A" w:rsidP="00BF263A">
      <w:pPr>
        <w:tabs>
          <w:tab w:val="left" w:pos="4320"/>
        </w:tabs>
        <w:ind w:left="4320"/>
        <w:rPr>
          <w:rFonts w:eastAsia="Times New Roman" w:cs="Times New Roman"/>
          <w:szCs w:val="24"/>
        </w:rPr>
      </w:pPr>
    </w:p>
    <w:p w:rsidR="00BF263A" w:rsidRPr="00BF263A" w:rsidP="00BF263A">
      <w:pPr>
        <w:tabs>
          <w:tab w:val="left" w:pos="4320"/>
        </w:tabs>
        <w:rPr>
          <w:rFonts w:eastAsia="Times New Roman" w:cs="Times New Roman"/>
          <w:szCs w:val="24"/>
          <w:u w:val="single"/>
        </w:rPr>
      </w:pPr>
      <w:r w:rsidRPr="00BF263A">
        <w:rPr>
          <w:rFonts w:eastAsia="Times New Roman" w:cs="Times New Roman"/>
          <w:szCs w:val="24"/>
        </w:rPr>
        <w:tab/>
      </w:r>
      <w:r w:rsidRPr="00BF263A">
        <w:rPr>
          <w:rFonts w:eastAsia="Times New Roman" w:cs="Times New Roman"/>
          <w:i/>
          <w:szCs w:val="24"/>
          <w:u w:val="single"/>
        </w:rPr>
        <w:t>/s/ Terry L. Etter</w:t>
      </w:r>
      <w:r w:rsidRPr="00BF263A">
        <w:rPr>
          <w:rFonts w:eastAsia="Times New Roman" w:cs="Times New Roman"/>
          <w:szCs w:val="24"/>
          <w:u w:val="single"/>
        </w:rPr>
        <w:t>                      </w:t>
      </w:r>
    </w:p>
    <w:p w:rsidR="00BF263A" w:rsidRPr="00BF263A" w:rsidP="00BF263A">
      <w:pPr>
        <w:tabs>
          <w:tab w:val="left" w:pos="4320"/>
        </w:tabs>
        <w:ind w:left="4320"/>
        <w:rPr>
          <w:rFonts w:eastAsia="Times New Roman" w:cs="Times New Roman"/>
          <w:szCs w:val="24"/>
        </w:rPr>
      </w:pPr>
      <w:r w:rsidRPr="00BF263A">
        <w:rPr>
          <w:rFonts w:eastAsia="Times New Roman" w:cs="Times New Roman"/>
          <w:szCs w:val="24"/>
        </w:rPr>
        <w:t>Terry L. Etter (0067445), Counsel of Record</w:t>
      </w:r>
    </w:p>
    <w:p w:rsidR="00BF263A" w:rsidRPr="00BF263A" w:rsidP="00BF263A">
      <w:pPr>
        <w:tabs>
          <w:tab w:val="left" w:pos="4320"/>
        </w:tabs>
        <w:ind w:left="4320"/>
        <w:rPr>
          <w:rFonts w:eastAsia="Times New Roman" w:cs="Times New Roman"/>
          <w:szCs w:val="24"/>
        </w:rPr>
      </w:pPr>
      <w:r w:rsidRPr="00BF263A">
        <w:rPr>
          <w:rFonts w:eastAsia="Times New Roman" w:cs="Times New Roman"/>
          <w:szCs w:val="24"/>
        </w:rPr>
        <w:t>Assistant Consumers</w:t>
      </w:r>
      <w:r w:rsidR="00D47D04">
        <w:rPr>
          <w:rFonts w:eastAsia="Times New Roman" w:cs="Times New Roman"/>
          <w:szCs w:val="24"/>
        </w:rPr>
        <w:t>’</w:t>
      </w:r>
      <w:r w:rsidRPr="00BF263A">
        <w:rPr>
          <w:rFonts w:eastAsia="Times New Roman" w:cs="Times New Roman"/>
          <w:szCs w:val="24"/>
        </w:rPr>
        <w:t xml:space="preserve"> Counsel</w:t>
      </w:r>
    </w:p>
    <w:p w:rsidR="00BF263A" w:rsidRPr="00BF263A" w:rsidP="00BF263A">
      <w:pPr>
        <w:tabs>
          <w:tab w:val="left" w:pos="4320"/>
        </w:tabs>
        <w:spacing w:before="120"/>
        <w:ind w:left="4320"/>
        <w:rPr>
          <w:rFonts w:eastAsia="Times New Roman" w:cs="Times New Roman"/>
          <w:szCs w:val="24"/>
        </w:rPr>
      </w:pPr>
      <w:r w:rsidRPr="00BF263A">
        <w:rPr>
          <w:rFonts w:eastAsia="Times New Roman" w:cs="Times New Roman"/>
          <w:b/>
          <w:szCs w:val="24"/>
        </w:rPr>
        <w:t>Office of the Ohio Consumers</w:t>
      </w:r>
      <w:r w:rsidR="00D47D04">
        <w:rPr>
          <w:rFonts w:eastAsia="Times New Roman" w:cs="Times New Roman"/>
          <w:b/>
          <w:szCs w:val="24"/>
        </w:rPr>
        <w:t>’</w:t>
      </w:r>
      <w:r w:rsidRPr="00BF263A">
        <w:rPr>
          <w:rFonts w:eastAsia="Times New Roman" w:cs="Times New Roman"/>
          <w:b/>
          <w:szCs w:val="24"/>
        </w:rPr>
        <w:t xml:space="preserve"> Counsel</w:t>
      </w:r>
    </w:p>
    <w:p w:rsidR="00BF263A" w:rsidRPr="00BF263A" w:rsidP="00BF263A">
      <w:pPr>
        <w:tabs>
          <w:tab w:val="left" w:pos="4320"/>
        </w:tabs>
        <w:ind w:left="4320"/>
        <w:rPr>
          <w:rFonts w:eastAsia="Times New Roman" w:cs="Times New Roman"/>
          <w:szCs w:val="24"/>
        </w:rPr>
      </w:pPr>
      <w:r>
        <w:rPr>
          <w:rFonts w:eastAsia="Times New Roman" w:cs="Times New Roman"/>
          <w:szCs w:val="24"/>
        </w:rPr>
        <w:t>65 East State Street, 7</w:t>
      </w:r>
      <w:r w:rsidRPr="003D0424">
        <w:rPr>
          <w:rFonts w:eastAsia="Times New Roman" w:cs="Times New Roman"/>
          <w:szCs w:val="24"/>
          <w:vertAlign w:val="superscript"/>
        </w:rPr>
        <w:t>th</w:t>
      </w:r>
      <w:r>
        <w:rPr>
          <w:rFonts w:eastAsia="Times New Roman" w:cs="Times New Roman"/>
          <w:szCs w:val="24"/>
        </w:rPr>
        <w:t xml:space="preserve"> Floor</w:t>
      </w:r>
    </w:p>
    <w:p w:rsidR="00BF263A" w:rsidRPr="00BF263A" w:rsidP="00BF263A">
      <w:pPr>
        <w:tabs>
          <w:tab w:val="left" w:pos="4320"/>
        </w:tabs>
        <w:ind w:left="4320"/>
        <w:rPr>
          <w:rFonts w:eastAsia="Times New Roman" w:cs="Times New Roman"/>
          <w:szCs w:val="24"/>
        </w:rPr>
      </w:pPr>
      <w:r w:rsidRPr="00BF263A">
        <w:rPr>
          <w:rFonts w:eastAsia="Times New Roman" w:cs="Times New Roman"/>
          <w:szCs w:val="24"/>
        </w:rPr>
        <w:t xml:space="preserve">Columbus, Ohio </w:t>
      </w:r>
      <w:r w:rsidR="003D0424">
        <w:rPr>
          <w:rFonts w:eastAsia="Times New Roman" w:cs="Times New Roman"/>
          <w:szCs w:val="24"/>
        </w:rPr>
        <w:t>43215</w:t>
      </w:r>
    </w:p>
    <w:p w:rsidR="00BF263A" w:rsidRPr="00BF263A" w:rsidP="00BF263A">
      <w:pPr>
        <w:autoSpaceDE w:val="0"/>
        <w:autoSpaceDN w:val="0"/>
        <w:adjustRightInd w:val="0"/>
        <w:ind w:left="3600" w:firstLine="720"/>
        <w:rPr>
          <w:rFonts w:eastAsia="Times New Roman" w:cs="Times New Roman"/>
          <w:szCs w:val="24"/>
        </w:rPr>
      </w:pPr>
      <w:r w:rsidRPr="00BF263A">
        <w:rPr>
          <w:rFonts w:eastAsia="Times New Roman" w:cs="Times New Roman"/>
          <w:szCs w:val="24"/>
        </w:rPr>
        <w:t>Telephone: 614-466-7964 (Etter Direct)</w:t>
      </w:r>
    </w:p>
    <w:p w:rsidR="00BF263A" w:rsidRPr="00BF263A" w:rsidP="00BF263A">
      <w:pPr>
        <w:autoSpaceDE w:val="0"/>
        <w:autoSpaceDN w:val="0"/>
        <w:adjustRightInd w:val="0"/>
        <w:ind w:left="3600" w:firstLine="720"/>
        <w:rPr>
          <w:rFonts w:eastAsia="Times New Roman" w:cs="Times New Roman"/>
          <w:szCs w:val="24"/>
        </w:rPr>
      </w:pPr>
      <w:r w:rsidRPr="00BF263A">
        <w:rPr>
          <w:rFonts w:eastAsia="Times New Roman" w:cs="Times New Roman"/>
          <w:color w:val="0000FF"/>
          <w:szCs w:val="24"/>
          <w:u w:val="single"/>
        </w:rPr>
        <w:t>Terry.etter@occ.ohio.gov</w:t>
      </w:r>
    </w:p>
    <w:p w:rsidR="005739D0" w:rsidP="00BF263A">
      <w:pPr>
        <w:autoSpaceDE w:val="0"/>
        <w:autoSpaceDN w:val="0"/>
        <w:adjustRightInd w:val="0"/>
        <w:ind w:left="3600" w:firstLine="720"/>
        <w:rPr>
          <w:rFonts w:eastAsia="Times New Roman" w:cs="Times New Roman"/>
          <w:szCs w:val="24"/>
        </w:rPr>
        <w:sectPr w:rsidSect="00642AA4">
          <w:pgSz w:w="12240" w:h="15840"/>
          <w:pgMar w:top="1440" w:right="1800" w:bottom="1440" w:left="1800" w:header="720" w:footer="720" w:gutter="0"/>
          <w:cols w:space="720"/>
          <w:titlePg/>
          <w:docGrid w:linePitch="360"/>
        </w:sectPr>
      </w:pPr>
      <w:r w:rsidRPr="00BF263A">
        <w:rPr>
          <w:rFonts w:eastAsia="Times New Roman" w:cs="Times New Roman"/>
          <w:szCs w:val="24"/>
        </w:rPr>
        <w:t>(willing to accept email service)</w:t>
      </w:r>
    </w:p>
    <w:p w:rsidR="00E8167F" w:rsidRPr="0080711A" w:rsidP="00E8167F">
      <w:pPr>
        <w:spacing w:line="480" w:lineRule="auto"/>
        <w:jc w:val="center"/>
        <w:rPr>
          <w:b/>
          <w:bCs/>
          <w:u w:val="single"/>
        </w:rPr>
      </w:pPr>
      <w:r w:rsidRPr="0080711A">
        <w:rPr>
          <w:b/>
          <w:bCs/>
          <w:u w:val="single"/>
        </w:rPr>
        <w:t>CERTIFICATE OF SERVICE</w:t>
      </w:r>
    </w:p>
    <w:p w:rsidR="00E8167F" w:rsidRPr="00484307" w:rsidP="00E8167F">
      <w:pPr>
        <w:suppressAutoHyphens/>
        <w:spacing w:line="480" w:lineRule="auto"/>
        <w:ind w:firstLine="720"/>
      </w:pPr>
      <w:r w:rsidRPr="00484307">
        <w:t xml:space="preserve">It is hereby certified that a true copy of the foregoing </w:t>
      </w:r>
      <w:r w:rsidR="00C47933">
        <w:t xml:space="preserve">Comments </w:t>
      </w:r>
      <w:r w:rsidRPr="00484307">
        <w:t xml:space="preserve">was served upon the persons listed below via electronic transmission this </w:t>
      </w:r>
      <w:r>
        <w:t>1</w:t>
      </w:r>
      <w:r w:rsidR="00A97558">
        <w:t>8</w:t>
      </w:r>
      <w:r w:rsidRPr="001B6D0E">
        <w:rPr>
          <w:vertAlign w:val="superscript"/>
        </w:rPr>
        <w:t>th</w:t>
      </w:r>
      <w:r>
        <w:t xml:space="preserve"> day of</w:t>
      </w:r>
      <w:r w:rsidR="00A97558">
        <w:t xml:space="preserve"> December</w:t>
      </w:r>
      <w:r>
        <w:t xml:space="preserve"> 2017</w:t>
      </w:r>
      <w:r w:rsidRPr="00484307">
        <w:t>.</w:t>
      </w:r>
    </w:p>
    <w:p w:rsidR="00E8167F" w:rsidRPr="0080711A" w:rsidP="00E8167F">
      <w:pPr>
        <w:pStyle w:val="EndnoteText"/>
        <w:widowControl/>
        <w:rPr>
          <w:rFonts w:ascii="Times New Roman" w:hAnsi="Times New Roman"/>
          <w:i/>
          <w:snapToGrid/>
          <w:szCs w:val="24"/>
        </w:rPr>
      </w:pPr>
      <w:r>
        <w:rPr>
          <w:rFonts w:ascii="Times New Roman" w:hAnsi="Times New Roman"/>
          <w:i/>
          <w:snapToGrid/>
          <w:szCs w:val="24"/>
        </w:rPr>
        <w:tab/>
      </w:r>
      <w:r>
        <w:rPr>
          <w:rFonts w:ascii="Times New Roman" w:hAnsi="Times New Roman"/>
          <w:i/>
          <w:snapToGrid/>
          <w:szCs w:val="24"/>
        </w:rPr>
        <w:tab/>
      </w:r>
      <w:r>
        <w:rPr>
          <w:rFonts w:ascii="Times New Roman" w:hAnsi="Times New Roman"/>
          <w:i/>
          <w:snapToGrid/>
          <w:szCs w:val="24"/>
        </w:rPr>
        <w:tab/>
      </w:r>
      <w:r>
        <w:rPr>
          <w:rFonts w:ascii="Times New Roman" w:hAnsi="Times New Roman"/>
          <w:i/>
          <w:snapToGrid/>
          <w:szCs w:val="24"/>
        </w:rPr>
        <w:tab/>
      </w:r>
      <w:r>
        <w:rPr>
          <w:rFonts w:ascii="Times New Roman" w:hAnsi="Times New Roman"/>
          <w:i/>
          <w:snapToGrid/>
          <w:szCs w:val="24"/>
        </w:rPr>
        <w:tab/>
      </w:r>
      <w:r>
        <w:rPr>
          <w:rFonts w:ascii="Times New Roman" w:hAnsi="Times New Roman"/>
          <w:i/>
          <w:snapToGrid/>
          <w:szCs w:val="24"/>
        </w:rPr>
        <w:tab/>
      </w:r>
      <w:r>
        <w:rPr>
          <w:rFonts w:ascii="Times New Roman" w:hAnsi="Times New Roman"/>
          <w:i/>
          <w:snapToGrid/>
          <w:szCs w:val="24"/>
        </w:rPr>
        <w:tab/>
      </w:r>
      <w:r w:rsidRPr="0080711A">
        <w:rPr>
          <w:rFonts w:ascii="Times New Roman" w:hAnsi="Times New Roman"/>
          <w:i/>
          <w:snapToGrid/>
          <w:szCs w:val="24"/>
          <w:u w:val="single"/>
        </w:rPr>
        <w:t xml:space="preserve">/s/ </w:t>
      </w:r>
      <w:r w:rsidR="00E66A5F">
        <w:rPr>
          <w:rFonts w:ascii="Times New Roman" w:hAnsi="Times New Roman"/>
          <w:i/>
          <w:snapToGrid/>
          <w:szCs w:val="24"/>
          <w:u w:val="single"/>
        </w:rPr>
        <w:t>Terry L. Etter</w:t>
      </w:r>
      <w:r w:rsidR="00A97558">
        <w:rPr>
          <w:rFonts w:ascii="Times New Roman" w:hAnsi="Times New Roman"/>
          <w:i/>
          <w:snapToGrid/>
          <w:szCs w:val="24"/>
          <w:u w:val="single"/>
        </w:rPr>
        <w:tab/>
      </w:r>
      <w:r w:rsidR="00A97558">
        <w:rPr>
          <w:rFonts w:ascii="Times New Roman" w:hAnsi="Times New Roman"/>
          <w:i/>
          <w:snapToGrid/>
          <w:szCs w:val="24"/>
          <w:u w:val="single"/>
        </w:rPr>
        <w:tab/>
      </w:r>
    </w:p>
    <w:p w:rsidR="00E8167F" w:rsidRPr="0080711A" w:rsidP="00E8167F">
      <w:pPr>
        <w:pStyle w:val="EndnoteText"/>
        <w:widowControl/>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sidR="00E66A5F">
        <w:rPr>
          <w:rFonts w:ascii="Times New Roman" w:hAnsi="Times New Roman"/>
          <w:snapToGrid/>
          <w:szCs w:val="24"/>
        </w:rPr>
        <w:t>Terry L. Etter</w:t>
      </w:r>
      <w:r w:rsidRPr="00914D6D">
        <w:rPr>
          <w:rFonts w:ascii="Times New Roman" w:hAnsi="Times New Roman"/>
          <w:snapToGrid/>
          <w:szCs w:val="24"/>
        </w:rPr>
        <w:t xml:space="preserve"> </w:t>
      </w:r>
    </w:p>
    <w:p w:rsidR="00E8167F" w:rsidP="00E8167F">
      <w:pPr>
        <w:pStyle w:val="EndnoteText"/>
        <w:widowControl/>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sidRPr="0080711A">
        <w:rPr>
          <w:rFonts w:ascii="Times New Roman" w:hAnsi="Times New Roman"/>
          <w:snapToGrid/>
          <w:szCs w:val="24"/>
        </w:rPr>
        <w:t>Assistant Consumers’ Counsel</w:t>
      </w:r>
    </w:p>
    <w:p w:rsidR="00E8167F" w:rsidRPr="0080711A" w:rsidP="00E8167F">
      <w:pPr>
        <w:pStyle w:val="EndnoteText"/>
        <w:widowControl/>
        <w:rPr>
          <w:rFonts w:ascii="Times New Roman" w:hAnsi="Times New Roman"/>
          <w:snapToGrid/>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4590"/>
      </w:tblGrid>
      <w:tr w:rsidTr="002743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18" w:type="dxa"/>
          </w:tcPr>
          <w:p w:rsidR="00E8167F" w:rsidP="00E8167F">
            <w:pPr>
              <w:pStyle w:val="EndnoteText"/>
              <w:widowControl/>
              <w:jc w:val="both"/>
              <w:rPr>
                <w:rFonts w:ascii="Times New Roman" w:hAnsi="Times New Roman"/>
                <w:snapToGrid/>
                <w:szCs w:val="24"/>
              </w:rPr>
            </w:pPr>
            <w:r w:rsidRPr="00BA347B" w:rsidR="009A3972">
              <w:rPr>
                <w:rStyle w:val="DefaultParagraphFont"/>
                <w:rFonts w:ascii="Times New Roman" w:hAnsi="Times New Roman"/>
                <w:snapToGrid/>
                <w:szCs w:val="24"/>
              </w:rPr>
              <w:t>William.wright@ohioattorneygeneral.gov</w:t>
            </w:r>
            <w:r w:rsidR="009A3972">
              <w:rPr>
                <w:rFonts w:ascii="Times New Roman" w:hAnsi="Times New Roman"/>
                <w:snapToGrid/>
                <w:szCs w:val="24"/>
              </w:rPr>
              <w:t xml:space="preserve"> </w:t>
            </w:r>
          </w:p>
          <w:p w:rsidR="00E8167F" w:rsidP="00E8167F">
            <w:pPr>
              <w:pStyle w:val="EndnoteText"/>
              <w:widowControl/>
              <w:jc w:val="both"/>
              <w:rPr>
                <w:rFonts w:ascii="Times New Roman" w:hAnsi="Times New Roman"/>
                <w:snapToGrid/>
                <w:szCs w:val="24"/>
              </w:rPr>
            </w:pPr>
          </w:p>
          <w:p w:rsidR="00E8167F" w:rsidP="00E8167F">
            <w:pPr>
              <w:pStyle w:val="EndnoteText"/>
              <w:widowControl/>
              <w:jc w:val="both"/>
              <w:rPr>
                <w:rFonts w:ascii="Times New Roman" w:hAnsi="Times New Roman"/>
                <w:snapToGrid/>
                <w:szCs w:val="24"/>
              </w:rPr>
            </w:pPr>
          </w:p>
          <w:p w:rsidR="00E8167F" w:rsidP="00E8167F">
            <w:pPr>
              <w:pStyle w:val="EndnoteText"/>
              <w:widowControl/>
              <w:jc w:val="both"/>
              <w:rPr>
                <w:rFonts w:ascii="Times New Roman" w:hAnsi="Times New Roman"/>
                <w:snapToGrid/>
                <w:szCs w:val="24"/>
              </w:rPr>
            </w:pPr>
            <w:r>
              <w:rPr>
                <w:rFonts w:ascii="Times New Roman" w:hAnsi="Times New Roman"/>
                <w:snapToGrid/>
                <w:szCs w:val="24"/>
              </w:rPr>
              <w:t>Attorney Examiner:</w:t>
            </w:r>
          </w:p>
          <w:p w:rsidR="00E8167F" w:rsidP="00E8167F">
            <w:pPr>
              <w:pStyle w:val="EndnoteText"/>
              <w:widowControl/>
              <w:jc w:val="both"/>
              <w:rPr>
                <w:rFonts w:ascii="Times New Roman" w:hAnsi="Times New Roman"/>
                <w:snapToGrid/>
                <w:szCs w:val="24"/>
              </w:rPr>
            </w:pPr>
            <w:r w:rsidRPr="00195EE0" w:rsidR="00A97558">
              <w:rPr>
                <w:rStyle w:val="DefaultParagraphFont"/>
                <w:rFonts w:ascii="Times New Roman" w:hAnsi="Times New Roman"/>
                <w:snapToGrid/>
                <w:szCs w:val="24"/>
              </w:rPr>
              <w:t>sarah.parrot@puc.state.oh.us</w:t>
            </w:r>
            <w:r>
              <w:rPr>
                <w:rFonts w:ascii="Times New Roman" w:hAnsi="Times New Roman"/>
                <w:snapToGrid/>
                <w:szCs w:val="24"/>
              </w:rPr>
              <w:t xml:space="preserve"> </w:t>
            </w:r>
          </w:p>
        </w:tc>
        <w:tc>
          <w:tcPr>
            <w:tcW w:w="4590" w:type="dxa"/>
          </w:tcPr>
          <w:p w:rsidR="00E8167F" w:rsidP="00E8167F">
            <w:pPr>
              <w:pStyle w:val="EndnoteText"/>
              <w:widowControl/>
              <w:rPr>
                <w:rFonts w:ascii="Times New Roman" w:hAnsi="Times New Roman"/>
                <w:snapToGrid/>
                <w:szCs w:val="24"/>
              </w:rPr>
            </w:pPr>
          </w:p>
        </w:tc>
      </w:tr>
    </w:tbl>
    <w:p w:rsidR="00E8167F" w:rsidRPr="00E8167F" w:rsidP="00E8167F">
      <w:pPr>
        <w:pStyle w:val="EndnoteText"/>
        <w:widowControl/>
        <w:ind w:left="4320" w:hanging="4320"/>
        <w:rPr>
          <w:rFonts w:ascii="Times New Roman" w:hAnsi="Times New Roman"/>
          <w:snapToGrid/>
          <w:szCs w:val="24"/>
        </w:rPr>
      </w:pPr>
    </w:p>
    <w:p w:rsidR="00BF263A" w:rsidRPr="00BF263A" w:rsidP="00BF263A">
      <w:pPr>
        <w:autoSpaceDE w:val="0"/>
        <w:autoSpaceDN w:val="0"/>
        <w:adjustRightInd w:val="0"/>
        <w:ind w:left="3600" w:firstLine="720"/>
        <w:rPr>
          <w:rFonts w:eastAsia="Times New Roman" w:cs="Times New Roman"/>
          <w:szCs w:val="24"/>
        </w:rPr>
      </w:pPr>
    </w:p>
    <w:sectPr w:rsidSect="000B6ACB">
      <w:headerReference w:type="even" r:id="rId8"/>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4308882"/>
      <w:docPartObj>
        <w:docPartGallery w:val="Page Numbers (Bottom of Page)"/>
        <w:docPartUnique/>
      </w:docPartObj>
    </w:sdtPr>
    <w:sdtEndPr>
      <w:rPr>
        <w:noProof/>
      </w:rPr>
    </w:sdtEndPr>
    <w:sdtContent>
      <w:p w:rsidR="00642AA4">
        <w:pPr>
          <w:pStyle w:val="Footer"/>
          <w:jc w:val="center"/>
        </w:pPr>
        <w:r>
          <w:fldChar w:fldCharType="begin"/>
        </w:r>
        <w:r>
          <w:instrText xml:space="preserve"> PAGE   \* MERGEFORMAT </w:instrText>
        </w:r>
        <w:r>
          <w:fldChar w:fldCharType="separate"/>
        </w:r>
        <w:r w:rsidR="00D9068B">
          <w:rPr>
            <w:noProof/>
          </w:rPr>
          <w:t>6</w:t>
        </w:r>
        <w:r>
          <w:rPr>
            <w:noProof/>
          </w:rPr>
          <w:fldChar w:fldCharType="end"/>
        </w:r>
      </w:p>
    </w:sdtContent>
  </w:sdt>
  <w:p w:rsidR="00642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0813576"/>
      <w:docPartObj>
        <w:docPartGallery w:val="Page Numbers (Bottom of Page)"/>
        <w:docPartUnique/>
      </w:docPartObj>
    </w:sdtPr>
    <w:sdtEndPr>
      <w:rPr>
        <w:noProof/>
      </w:rPr>
    </w:sdtEndPr>
    <w:sdtContent>
      <w:p w:rsidR="00F37062">
        <w:pPr>
          <w:pStyle w:val="Foote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2947816"/>
      <w:docPartObj>
        <w:docPartGallery w:val="Page Numbers (Bottom of Page)"/>
        <w:docPartUnique/>
      </w:docPartObj>
    </w:sdtPr>
    <w:sdtEndPr>
      <w:rPr>
        <w:noProof/>
      </w:rPr>
    </w:sdtEndPr>
    <w:sdtContent>
      <w:p w:rsidR="00F37062">
        <w:pPr>
          <w:pStyle w:val="Footer"/>
          <w:jc w:val="center"/>
        </w:pPr>
        <w:r>
          <w:fldChar w:fldCharType="begin"/>
        </w:r>
        <w:r>
          <w:instrText xml:space="preserve"> PAGE   \* MERGEFORMAT </w:instrText>
        </w:r>
        <w:r>
          <w:fldChar w:fldCharType="separate"/>
        </w:r>
        <w:r w:rsidR="0088065E">
          <w:rPr>
            <w:noProof/>
          </w:rPr>
          <w:t>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9D0">
    <w:pPr>
      <w:pStyle w:val="Footer"/>
      <w:jc w:val="center"/>
    </w:pPr>
  </w:p>
  <w:p w:rsidR="00573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0198" w:rsidP="0043576A">
      <w:r>
        <w:separator/>
      </w:r>
    </w:p>
  </w:footnote>
  <w:footnote w:type="continuationSeparator" w:id="1">
    <w:p w:rsidR="00510198" w:rsidP="0043576A">
      <w:r>
        <w:continuationSeparator/>
      </w:r>
    </w:p>
  </w:footnote>
  <w:footnote w:id="2">
    <w:p w:rsidR="003A2494" w:rsidP="003A2494">
      <w:pPr>
        <w:pStyle w:val="FootnoteText"/>
      </w:pPr>
      <w:r>
        <w:rPr>
          <w:rStyle w:val="FootnoteReference"/>
        </w:rPr>
        <w:footnoteRef/>
      </w:r>
      <w:r>
        <w:t xml:space="preserve"> R.C. 4929.162(A).</w:t>
      </w:r>
    </w:p>
  </w:footnote>
  <w:footnote w:id="3">
    <w:p w:rsidR="003A2494">
      <w:pPr>
        <w:pStyle w:val="FootnoteText"/>
      </w:pPr>
      <w:r>
        <w:rPr>
          <w:rStyle w:val="FootnoteReference"/>
        </w:rPr>
        <w:footnoteRef/>
      </w:r>
      <w:r>
        <w:t xml:space="preserve"> R.C. 4929.161.</w:t>
      </w:r>
    </w:p>
  </w:footnote>
  <w:footnote w:id="4">
    <w:p w:rsidR="005C4C72" w:rsidRPr="005C4C72">
      <w:pPr>
        <w:pStyle w:val="FootnoteText"/>
        <w:rPr>
          <w:i/>
        </w:rPr>
      </w:pPr>
      <w:r>
        <w:rPr>
          <w:rStyle w:val="FootnoteReference"/>
        </w:rPr>
        <w:footnoteRef/>
      </w:r>
      <w:r>
        <w:t xml:space="preserve"> </w:t>
      </w:r>
      <w:r>
        <w:rPr>
          <w:i/>
        </w:rPr>
        <w:t>Id.</w:t>
      </w:r>
    </w:p>
  </w:footnote>
  <w:footnote w:id="5">
    <w:p w:rsidR="0043576A" w:rsidP="00E8167F">
      <w:pPr>
        <w:pStyle w:val="FootnoteText"/>
      </w:pPr>
      <w:r>
        <w:rPr>
          <w:rStyle w:val="FootnoteReference"/>
        </w:rPr>
        <w:footnoteRef/>
      </w:r>
      <w:r>
        <w:t xml:space="preserve"> R.C. 111.15(B).</w:t>
      </w:r>
    </w:p>
  </w:footnote>
  <w:footnote w:id="6">
    <w:p w:rsidR="008042FA">
      <w:pPr>
        <w:pStyle w:val="FootnoteText"/>
      </w:pPr>
      <w:r>
        <w:rPr>
          <w:rStyle w:val="FootnoteReference"/>
        </w:rPr>
        <w:footnoteRef/>
      </w:r>
      <w:r>
        <w:t xml:space="preserve"> </w:t>
      </w:r>
      <w:r>
        <w:rPr>
          <w:i/>
        </w:rPr>
        <w:t xml:space="preserve">See </w:t>
      </w:r>
      <w:r>
        <w:t>Entry (November 21, 2017), ¶2.</w:t>
      </w:r>
    </w:p>
  </w:footnote>
  <w:footnote w:id="7">
    <w:p w:rsidR="008042FA" w:rsidRPr="008042FA">
      <w:pPr>
        <w:pStyle w:val="FootnoteText"/>
      </w:pPr>
      <w:r>
        <w:rPr>
          <w:rStyle w:val="FootnoteReference"/>
        </w:rPr>
        <w:footnoteRef/>
      </w:r>
      <w:r>
        <w:t xml:space="preserve"> </w:t>
      </w:r>
      <w:r>
        <w:rPr>
          <w:i/>
        </w:rPr>
        <w:t>See id.</w:t>
      </w:r>
    </w:p>
  </w:footnote>
  <w:footnote w:id="8">
    <w:p w:rsidR="008042FA" w:rsidRPr="008042FA">
      <w:pPr>
        <w:pStyle w:val="FootnoteText"/>
      </w:pPr>
      <w:r>
        <w:rPr>
          <w:rStyle w:val="FootnoteReference"/>
        </w:rPr>
        <w:footnoteRef/>
      </w:r>
      <w:r>
        <w:t xml:space="preserve"> </w:t>
      </w:r>
      <w:r>
        <w:rPr>
          <w:i/>
        </w:rPr>
        <w:t>See id.</w:t>
      </w:r>
      <w:r>
        <w:t>, ¶6.</w:t>
      </w:r>
    </w:p>
  </w:footnote>
  <w:footnote w:id="9">
    <w:p w:rsidR="0043576A" w:rsidP="00E8167F">
      <w:pPr>
        <w:pStyle w:val="FootnoteText"/>
      </w:pPr>
      <w:r>
        <w:rPr>
          <w:rStyle w:val="FootnoteReference"/>
        </w:rPr>
        <w:footnoteRef/>
      </w:r>
      <w:r>
        <w:t xml:space="preserve"> </w:t>
      </w:r>
      <w:r w:rsidR="00E35ABF">
        <w:rPr>
          <w:i/>
        </w:rPr>
        <w:t xml:space="preserve">See </w:t>
      </w:r>
      <w:r w:rsidR="008042FA">
        <w:rPr>
          <w:i/>
        </w:rPr>
        <w:t>id.</w:t>
      </w:r>
      <w:r w:rsidR="008042FA">
        <w:t>, ¶8</w:t>
      </w:r>
      <w:r>
        <w:t>.</w:t>
      </w:r>
    </w:p>
  </w:footnote>
  <w:footnote w:id="10">
    <w:p w:rsidR="002C7EE6">
      <w:pPr>
        <w:pStyle w:val="FootnoteText"/>
      </w:pPr>
      <w:r>
        <w:rPr>
          <w:rStyle w:val="FootnoteReference"/>
        </w:rPr>
        <w:footnoteRef/>
      </w:r>
      <w:r>
        <w:t xml:space="preserve"> Deletions to the rules are in red and additions in blue.</w:t>
      </w:r>
    </w:p>
  </w:footnote>
  <w:footnote w:id="11">
    <w:p w:rsidR="005C2814" w:rsidRPr="005C2814">
      <w:pPr>
        <w:pStyle w:val="FootnoteText"/>
      </w:pPr>
      <w:r>
        <w:rPr>
          <w:rStyle w:val="FootnoteReference"/>
        </w:rPr>
        <w:footnoteRef/>
      </w:r>
      <w:r>
        <w:t xml:space="preserve"> </w:t>
      </w:r>
      <w:r>
        <w:rPr>
          <w:i/>
        </w:rPr>
        <w:t>See also</w:t>
      </w:r>
      <w:r>
        <w:t xml:space="preserve"> R.C. 4929.163(C).</w:t>
      </w:r>
    </w:p>
  </w:footnote>
  <w:footnote w:id="12">
    <w:p w:rsidR="005C2814">
      <w:pPr>
        <w:pStyle w:val="FootnoteText"/>
      </w:pPr>
      <w:r>
        <w:rPr>
          <w:rStyle w:val="FootnoteReference"/>
        </w:rPr>
        <w:footnoteRef/>
      </w:r>
      <w:r>
        <w:t xml:space="preserve"> Entry, Attachment A at 3.  This is also required by R.C. 4929.163(C)(4).</w:t>
      </w:r>
    </w:p>
  </w:footnote>
  <w:footnote w:id="13">
    <w:p w:rsidR="00735BF3">
      <w:pPr>
        <w:pStyle w:val="FootnoteText"/>
      </w:pPr>
      <w:r>
        <w:rPr>
          <w:rStyle w:val="FootnoteReference"/>
        </w:rPr>
        <w:footnoteRef/>
      </w:r>
      <w:r>
        <w:t xml:space="preserve"> This is current Ohio Adm. Code 4901:1-43-01(G).</w:t>
      </w:r>
    </w:p>
  </w:footnote>
  <w:footnote w:id="14">
    <w:p w:rsidR="00735BF3">
      <w:pPr>
        <w:pStyle w:val="FootnoteText"/>
      </w:pPr>
      <w:r>
        <w:rPr>
          <w:rStyle w:val="FootnoteReference"/>
        </w:rPr>
        <w:footnoteRef/>
      </w:r>
      <w:r>
        <w:t xml:space="preserve"> Ohio Adm. Code 4901:1-43-04(B).</w:t>
      </w:r>
    </w:p>
  </w:footnote>
  <w:footnote w:id="15">
    <w:p w:rsidR="005D182E" w:rsidRPr="005D182E">
      <w:pPr>
        <w:pStyle w:val="FootnoteText"/>
      </w:pPr>
      <w:r>
        <w:rPr>
          <w:rStyle w:val="FootnoteReference"/>
        </w:rPr>
        <w:footnoteRef/>
      </w:r>
      <w:r>
        <w:t xml:space="preserve"> </w:t>
      </w:r>
      <w:r>
        <w:rPr>
          <w:i/>
        </w:rPr>
        <w:t>See</w:t>
      </w:r>
      <w:r>
        <w:t xml:space="preserve"> Entry, Attachment A at 6.</w:t>
      </w:r>
    </w:p>
  </w:footnote>
  <w:footnote w:id="16">
    <w:p w:rsidR="00B2744E">
      <w:pPr>
        <w:pStyle w:val="FootnoteText"/>
      </w:pPr>
      <w:r>
        <w:rPr>
          <w:rStyle w:val="FootnoteReference"/>
        </w:rPr>
        <w:footnoteRef/>
      </w:r>
      <w:r>
        <w:t xml:space="preserve"> Ohio Adm. Code 4901:1-43-01(A)(3) and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5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5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5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1269362"/>
    <w:lvl w:ilvl="0">
      <w:start w:val="1"/>
      <w:numFmt w:val="decimal"/>
      <w:lvlText w:val="%1."/>
      <w:lvlJc w:val="left"/>
      <w:pPr>
        <w:tabs>
          <w:tab w:val="num" w:pos="1800"/>
        </w:tabs>
        <w:ind w:left="1800" w:hanging="360"/>
      </w:pPr>
    </w:lvl>
  </w:abstractNum>
  <w:abstractNum w:abstractNumId="1">
    <w:nsid w:val="FFFFFF7D"/>
    <w:multiLevelType w:val="singleLevel"/>
    <w:tmpl w:val="995603C8"/>
    <w:lvl w:ilvl="0">
      <w:start w:val="1"/>
      <w:numFmt w:val="decimal"/>
      <w:lvlText w:val="%1."/>
      <w:lvlJc w:val="left"/>
      <w:pPr>
        <w:tabs>
          <w:tab w:val="num" w:pos="1440"/>
        </w:tabs>
        <w:ind w:left="1440" w:hanging="360"/>
      </w:pPr>
    </w:lvl>
  </w:abstractNum>
  <w:abstractNum w:abstractNumId="2">
    <w:nsid w:val="FFFFFF7E"/>
    <w:multiLevelType w:val="singleLevel"/>
    <w:tmpl w:val="50F42BEC"/>
    <w:lvl w:ilvl="0">
      <w:start w:val="1"/>
      <w:numFmt w:val="decimal"/>
      <w:lvlText w:val="%1."/>
      <w:lvlJc w:val="left"/>
      <w:pPr>
        <w:tabs>
          <w:tab w:val="num" w:pos="1080"/>
        </w:tabs>
        <w:ind w:left="1080" w:hanging="360"/>
      </w:pPr>
    </w:lvl>
  </w:abstractNum>
  <w:abstractNum w:abstractNumId="3">
    <w:nsid w:val="FFFFFF7F"/>
    <w:multiLevelType w:val="singleLevel"/>
    <w:tmpl w:val="8FB20F42"/>
    <w:lvl w:ilvl="0">
      <w:start w:val="1"/>
      <w:numFmt w:val="decimal"/>
      <w:lvlText w:val="%1."/>
      <w:lvlJc w:val="left"/>
      <w:pPr>
        <w:tabs>
          <w:tab w:val="num" w:pos="720"/>
        </w:tabs>
        <w:ind w:left="720" w:hanging="360"/>
      </w:pPr>
    </w:lvl>
  </w:abstractNum>
  <w:abstractNum w:abstractNumId="4">
    <w:nsid w:val="FFFFFF80"/>
    <w:multiLevelType w:val="singleLevel"/>
    <w:tmpl w:val="E52C8D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8063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7298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0AF7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66517C"/>
    <w:lvl w:ilvl="0">
      <w:start w:val="1"/>
      <w:numFmt w:val="decimal"/>
      <w:lvlText w:val="%1."/>
      <w:lvlJc w:val="left"/>
      <w:pPr>
        <w:tabs>
          <w:tab w:val="num" w:pos="360"/>
        </w:tabs>
        <w:ind w:left="360" w:hanging="360"/>
      </w:pPr>
    </w:lvl>
  </w:abstractNum>
  <w:abstractNum w:abstractNumId="9">
    <w:nsid w:val="FFFFFF89"/>
    <w:multiLevelType w:val="singleLevel"/>
    <w:tmpl w:val="53B00A32"/>
    <w:lvl w:ilvl="0">
      <w:start w:val="1"/>
      <w:numFmt w:val="bullet"/>
      <w:lvlText w:val=""/>
      <w:lvlJc w:val="left"/>
      <w:pPr>
        <w:tabs>
          <w:tab w:val="num" w:pos="360"/>
        </w:tabs>
        <w:ind w:left="360" w:hanging="360"/>
      </w:pPr>
      <w:rPr>
        <w:rFonts w:ascii="Symbol" w:hAnsi="Symbol" w:hint="default"/>
      </w:rPr>
    </w:lvl>
  </w:abstractNum>
  <w:abstractNum w:abstractNumId="10">
    <w:nsid w:val="5351179D"/>
    <w:multiLevelType w:val="hybridMultilevel"/>
    <w:tmpl w:val="460CC2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3FC2F9C"/>
    <w:multiLevelType w:val="hybridMultilevel"/>
    <w:tmpl w:val="70FCD6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94"/>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642AA4"/>
    <w:pPr>
      <w:keepNext/>
      <w:keepLines/>
      <w:spacing w:after="240"/>
      <w:ind w:left="1440" w:right="720" w:hanging="72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Footnote Text Char2,Footnote Text Char2 Char Char,Footnote Text Char2 Char1 Char1 Char Char,Footnote Text Char3 Char1 Char Char,Footnote Text Char3 Char1 Char Char Char Char,f,fn,fn Char2 Char"/>
    <w:basedOn w:val="Normal"/>
    <w:link w:val="FootnoteTextChar"/>
    <w:rsid w:val="003A2494"/>
    <w:pPr>
      <w:spacing w:after="120"/>
    </w:pPr>
    <w:rPr>
      <w:rFonts w:eastAsia="Times New Roman" w:cs="Times New Roman"/>
      <w:sz w:val="20"/>
      <w:szCs w:val="20"/>
    </w:rPr>
  </w:style>
  <w:style w:type="character" w:customStyle="1" w:styleId="FootnoteTextChar">
    <w:name w:val="Footnote Text Char"/>
    <w:aliases w:val="Footnote Text Char Char Char,Footnote Text Char1 Char,Footnote Text Char2 Char Char Char,Footnote Text Char2 Char1 Char1 Char Char Char,Footnote Text Char3 Char1 Char Char Char,Footnote Text Char3 Char1 Char Char Char Char Char,f Char"/>
    <w:basedOn w:val="DefaultParagraphFont"/>
    <w:link w:val="FootnoteText"/>
    <w:rsid w:val="003A2494"/>
    <w:rPr>
      <w:rFonts w:ascii="Times New Roman" w:eastAsia="Times New Roman" w:hAnsi="Times New Roman" w:cs="Times New Roman"/>
      <w:sz w:val="20"/>
      <w:szCs w:val="20"/>
    </w:rPr>
  </w:style>
  <w:style w:type="paragraph" w:customStyle="1" w:styleId="FootnoteText1">
    <w:name w:val="Footnote Text1"/>
    <w:basedOn w:val="Normal"/>
    <w:qFormat/>
    <w:rsid w:val="00F67600"/>
    <w:pPr>
      <w:spacing w:after="120"/>
    </w:pPr>
    <w:rPr>
      <w:rFonts w:eastAsia="Calibri" w:cs="Times New Roman"/>
      <w:sz w:val="20"/>
      <w:szCs w:val="20"/>
    </w:rPr>
  </w:style>
  <w:style w:type="table" w:styleId="TableGrid">
    <w:name w:val="Table Grid"/>
    <w:basedOn w:val="TableNormal"/>
    <w:uiPriority w:val="59"/>
    <w:rsid w:val="00FB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3576A"/>
    <w:rPr>
      <w:vertAlign w:val="superscript"/>
    </w:rPr>
  </w:style>
  <w:style w:type="paragraph" w:styleId="Header">
    <w:name w:val="header"/>
    <w:basedOn w:val="Normal"/>
    <w:link w:val="HeaderChar"/>
    <w:uiPriority w:val="99"/>
    <w:unhideWhenUsed/>
    <w:rsid w:val="000B6ACB"/>
    <w:pPr>
      <w:tabs>
        <w:tab w:val="center" w:pos="4680"/>
        <w:tab w:val="right" w:pos="9360"/>
      </w:tabs>
    </w:pPr>
  </w:style>
  <w:style w:type="character" w:customStyle="1" w:styleId="HeaderChar">
    <w:name w:val="Header Char"/>
    <w:basedOn w:val="DefaultParagraphFont"/>
    <w:link w:val="Header"/>
    <w:uiPriority w:val="99"/>
    <w:rsid w:val="000B6ACB"/>
    <w:rPr>
      <w:rFonts w:ascii="Times New Roman" w:hAnsi="Times New Roman"/>
      <w:sz w:val="24"/>
    </w:rPr>
  </w:style>
  <w:style w:type="paragraph" w:styleId="Footer">
    <w:name w:val="footer"/>
    <w:basedOn w:val="Normal"/>
    <w:link w:val="FooterChar"/>
    <w:uiPriority w:val="99"/>
    <w:unhideWhenUsed/>
    <w:rsid w:val="000B6ACB"/>
    <w:pPr>
      <w:tabs>
        <w:tab w:val="center" w:pos="4680"/>
        <w:tab w:val="right" w:pos="9360"/>
      </w:tabs>
    </w:pPr>
  </w:style>
  <w:style w:type="character" w:customStyle="1" w:styleId="FooterChar">
    <w:name w:val="Footer Char"/>
    <w:basedOn w:val="DefaultParagraphFont"/>
    <w:link w:val="Footer"/>
    <w:uiPriority w:val="99"/>
    <w:rsid w:val="000B6ACB"/>
    <w:rPr>
      <w:rFonts w:ascii="Times New Roman" w:hAnsi="Times New Roman"/>
      <w:sz w:val="24"/>
    </w:rPr>
  </w:style>
  <w:style w:type="character" w:styleId="Hyperlink">
    <w:name w:val="Hyperlink"/>
    <w:basedOn w:val="DefaultParagraphFont"/>
    <w:uiPriority w:val="99"/>
    <w:unhideWhenUsed/>
    <w:rsid w:val="00A93AFA"/>
    <w:rPr>
      <w:color w:val="0000FF" w:themeColor="hyperlink"/>
      <w:u w:val="single"/>
    </w:rPr>
  </w:style>
  <w:style w:type="paragraph" w:styleId="EndnoteText">
    <w:name w:val="endnote text"/>
    <w:basedOn w:val="Normal"/>
    <w:link w:val="EndnoteTextChar"/>
    <w:semiHidden/>
    <w:rsid w:val="00E8167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E8167F"/>
    <w:rPr>
      <w:rFonts w:ascii="Courier New" w:eastAsia="Times New Roman" w:hAnsi="Courier New" w:cs="Times New Roman"/>
      <w:snapToGrid w:val="0"/>
      <w:sz w:val="24"/>
      <w:szCs w:val="20"/>
    </w:rPr>
  </w:style>
  <w:style w:type="character" w:customStyle="1" w:styleId="Heading1Char">
    <w:name w:val="Heading 1 Char"/>
    <w:basedOn w:val="DefaultParagraphFont"/>
    <w:link w:val="Heading1"/>
    <w:uiPriority w:val="9"/>
    <w:rsid w:val="00642AA4"/>
    <w:rPr>
      <w:rFonts w:ascii="Times New Roman" w:hAnsi="Times New Roman"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Comments (17-1905).docx</vt:lpstr>
    </vt:vector>
  </TitlesOfParts>
  <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2017-12-18T21:06:29Z</dcterms:created>
  <dcterms:modified xsi:type="dcterms:W3CDTF">2017-12-18T21:06:29Z</dcterms:modified>
</cp:coreProperties>
</file>