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3C0FAE" w:rsidRPr="00C12D44" w:rsidP="003C0FAE" w14:paraId="74897173" w14:textId="77777777">
      <w:pPr>
        <w:pStyle w:val="BodyText"/>
        <w:jc w:val="right"/>
        <w:rPr>
          <w:b/>
          <w:i/>
          <w:sz w:val="24"/>
          <w:szCs w:val="24"/>
        </w:rPr>
      </w:pPr>
      <w:bookmarkStart w:id="0" w:name="_Toc249780366"/>
      <w:bookmarkStart w:id="1" w:name="_Toc249782093"/>
      <w:bookmarkStart w:id="2" w:name="_GoBack"/>
      <w:bookmarkEnd w:id="2"/>
      <w:r w:rsidRPr="00C12D44">
        <w:rPr>
          <w:b/>
          <w:i/>
          <w:sz w:val="24"/>
          <w:szCs w:val="24"/>
        </w:rPr>
        <w:t>OCC EXHIBIT NO. ______</w:t>
      </w:r>
      <w:bookmarkEnd w:id="0"/>
      <w:bookmarkEnd w:id="1"/>
    </w:p>
    <w:p w:rsidR="003C0FAE" w:rsidRPr="00C12D44" w:rsidP="003C0FAE" w14:paraId="57D24DEC" w14:textId="77777777">
      <w:pPr>
        <w:pStyle w:val="ANSWER"/>
        <w:spacing w:line="240" w:lineRule="auto"/>
        <w:ind w:left="0" w:firstLine="0"/>
        <w:jc w:val="center"/>
        <w:rPr>
          <w:b/>
          <w:szCs w:val="24"/>
        </w:rPr>
      </w:pPr>
    </w:p>
    <w:p w:rsidR="003C0FAE" w:rsidRPr="00C12D44" w:rsidP="003C0FAE" w14:paraId="3A044E65" w14:textId="77777777">
      <w:pPr>
        <w:pStyle w:val="ANSWER"/>
        <w:spacing w:line="240" w:lineRule="auto"/>
        <w:ind w:left="0" w:firstLine="0"/>
        <w:jc w:val="center"/>
        <w:rPr>
          <w:b/>
          <w:szCs w:val="24"/>
        </w:rPr>
      </w:pPr>
      <w:r>
        <w:rPr>
          <w:b/>
          <w:szCs w:val="24"/>
        </w:rPr>
        <w:t>BEFORE</w:t>
      </w:r>
    </w:p>
    <w:p w:rsidR="003C0FAE" w:rsidRPr="00C12D44" w:rsidP="003C0FAE" w14:paraId="5240559A" w14:textId="77777777">
      <w:pPr>
        <w:pStyle w:val="ANSWER"/>
        <w:spacing w:line="240" w:lineRule="auto"/>
        <w:ind w:left="0" w:firstLine="0"/>
        <w:jc w:val="center"/>
        <w:rPr>
          <w:b/>
          <w:szCs w:val="24"/>
        </w:rPr>
      </w:pPr>
      <w:r w:rsidRPr="00C12D44">
        <w:rPr>
          <w:b/>
          <w:szCs w:val="24"/>
        </w:rPr>
        <w:t>THE PUBLIC UTILITIES COMMISSION OF OHIO</w:t>
      </w:r>
    </w:p>
    <w:p w:rsidR="003C0FAE" w:rsidP="003C0FAE" w14:paraId="0920D7C8" w14:textId="77777777">
      <w:pPr>
        <w:pStyle w:val="PlainText"/>
        <w:jc w:val="center"/>
        <w:rPr>
          <w:rFonts w:ascii="Times New Roman" w:hAnsi="Times New Roman"/>
          <w:b/>
          <w:bCs/>
          <w:sz w:val="24"/>
          <w:szCs w:val="24"/>
        </w:rPr>
      </w:pPr>
    </w:p>
    <w:p w:rsidR="003C0FAE" w:rsidP="003C0FAE" w14:paraId="4C02B72C" w14:textId="77777777">
      <w:pPr>
        <w:pStyle w:val="PlainText"/>
        <w:jc w:val="center"/>
        <w:rPr>
          <w:rFonts w:ascii="Times New Roman" w:hAnsi="Times New Roman"/>
          <w:b/>
          <w:bCs/>
          <w:sz w:val="24"/>
          <w:szCs w:val="24"/>
        </w:rPr>
      </w:pPr>
    </w:p>
    <w:tbl>
      <w:tblPr>
        <w:tblW w:w="0" w:type="auto"/>
        <w:tblLayout w:type="fixed"/>
        <w:tblLook w:val="0000"/>
      </w:tblPr>
      <w:tblGrid>
        <w:gridCol w:w="4590"/>
        <w:gridCol w:w="270"/>
        <w:gridCol w:w="3996"/>
      </w:tblGrid>
      <w:tr w14:paraId="0D3D6071" w14:textId="77777777" w:rsidTr="0098498B">
        <w:tblPrEx>
          <w:tblW w:w="0" w:type="auto"/>
          <w:tblLayout w:type="fixed"/>
          <w:tblLook w:val="0000"/>
        </w:tblPrEx>
        <w:tc>
          <w:tcPr>
            <w:tcW w:w="4590" w:type="dxa"/>
            <w:shd w:val="clear" w:color="auto" w:fill="auto"/>
          </w:tcPr>
          <w:p w:rsidR="003C0FAE" w:rsidP="003C0FAE" w14:paraId="1F39F092" w14:textId="77777777">
            <w:pPr>
              <w:widowControl w:val="0"/>
              <w:tabs>
                <w:tab w:val="left" w:pos="5670"/>
                <w:tab w:val="right" w:pos="9936"/>
              </w:tabs>
              <w:rPr>
                <w:sz w:val="24"/>
                <w:szCs w:val="24"/>
              </w:rPr>
            </w:pPr>
            <w:r w:rsidRPr="00C12D44">
              <w:rPr>
                <w:rStyle w:val="StyleCourier12pt"/>
                <w:rFonts w:ascii="Times New Roman" w:hAnsi="Times New Roman"/>
                <w:szCs w:val="24"/>
              </w:rPr>
              <w:t xml:space="preserve">In the Matter of the Application of </w:t>
            </w:r>
            <w:r w:rsidR="00513849">
              <w:rPr>
                <w:rStyle w:val="StyleCourier12pt"/>
                <w:rFonts w:ascii="Times New Roman" w:hAnsi="Times New Roman"/>
                <w:szCs w:val="24"/>
              </w:rPr>
              <w:t>Vectren Energy Delivery of Ohio, Inc. for Approval of a Tax Savings Credit Rider</w:t>
            </w:r>
            <w:r w:rsidR="00DD0C4E">
              <w:rPr>
                <w:rStyle w:val="StyleCourier12pt"/>
                <w:rFonts w:ascii="Times New Roman" w:hAnsi="Times New Roman"/>
                <w:szCs w:val="24"/>
              </w:rPr>
              <w:t>.</w:t>
            </w:r>
          </w:p>
        </w:tc>
        <w:tc>
          <w:tcPr>
            <w:tcW w:w="270" w:type="dxa"/>
            <w:shd w:val="clear" w:color="auto" w:fill="auto"/>
          </w:tcPr>
          <w:p w:rsidR="003C0FAE" w:rsidP="003C0FAE" w14:paraId="0CCEE5DD" w14:textId="77777777">
            <w:pPr>
              <w:tabs>
                <w:tab w:val="left" w:pos="4320"/>
              </w:tabs>
              <w:snapToGrid w:val="0"/>
              <w:ind w:left="-18" w:hanging="18"/>
              <w:rPr>
                <w:sz w:val="24"/>
                <w:szCs w:val="24"/>
              </w:rPr>
            </w:pPr>
            <w:r>
              <w:rPr>
                <w:sz w:val="24"/>
                <w:szCs w:val="24"/>
              </w:rPr>
              <w:t>)</w:t>
            </w:r>
          </w:p>
          <w:p w:rsidR="003C0FAE" w:rsidP="003C0FAE" w14:paraId="7854F412" w14:textId="77777777">
            <w:pPr>
              <w:tabs>
                <w:tab w:val="left" w:pos="4320"/>
              </w:tabs>
              <w:ind w:left="-18" w:hanging="18"/>
              <w:rPr>
                <w:sz w:val="24"/>
                <w:szCs w:val="24"/>
              </w:rPr>
            </w:pPr>
            <w:r>
              <w:rPr>
                <w:sz w:val="24"/>
                <w:szCs w:val="24"/>
              </w:rPr>
              <w:t>)</w:t>
            </w:r>
          </w:p>
          <w:p w:rsidR="003C0FAE" w:rsidP="003C0FAE" w14:paraId="6E245DDB" w14:textId="77777777">
            <w:pPr>
              <w:tabs>
                <w:tab w:val="left" w:pos="4320"/>
              </w:tabs>
              <w:ind w:left="-18" w:hanging="18"/>
              <w:rPr>
                <w:sz w:val="24"/>
                <w:szCs w:val="24"/>
              </w:rPr>
            </w:pPr>
            <w:r>
              <w:rPr>
                <w:sz w:val="24"/>
                <w:szCs w:val="24"/>
              </w:rPr>
              <w:t>)</w:t>
            </w:r>
          </w:p>
          <w:p w:rsidR="003C0FAE" w:rsidP="003C0FAE" w14:paraId="04319C90" w14:textId="77777777">
            <w:pPr>
              <w:tabs>
                <w:tab w:val="left" w:pos="4320"/>
              </w:tabs>
              <w:ind w:left="-18" w:hanging="18"/>
              <w:rPr>
                <w:sz w:val="24"/>
                <w:szCs w:val="24"/>
              </w:rPr>
            </w:pPr>
          </w:p>
        </w:tc>
        <w:tc>
          <w:tcPr>
            <w:tcW w:w="3996" w:type="dxa"/>
            <w:shd w:val="clear" w:color="auto" w:fill="auto"/>
          </w:tcPr>
          <w:p w:rsidR="003C0FAE" w:rsidP="003C0FAE" w14:paraId="7E4FF97B" w14:textId="77777777">
            <w:pPr>
              <w:rPr>
                <w:sz w:val="24"/>
                <w:szCs w:val="24"/>
              </w:rPr>
            </w:pPr>
          </w:p>
          <w:p w:rsidR="003C0FAE" w:rsidP="003C0FAE" w14:paraId="5D22D439" w14:textId="77777777">
            <w:pPr>
              <w:rPr>
                <w:sz w:val="24"/>
                <w:szCs w:val="24"/>
              </w:rPr>
            </w:pPr>
            <w:r w:rsidRPr="00C12D44">
              <w:rPr>
                <w:rStyle w:val="StyleCourier12pt"/>
                <w:rFonts w:ascii="Times New Roman" w:hAnsi="Times New Roman"/>
                <w:szCs w:val="24"/>
              </w:rPr>
              <w:t>Case No. 1</w:t>
            </w:r>
            <w:r w:rsidR="00513849">
              <w:rPr>
                <w:rStyle w:val="StyleCourier12pt"/>
                <w:rFonts w:ascii="Times New Roman" w:hAnsi="Times New Roman"/>
                <w:szCs w:val="24"/>
              </w:rPr>
              <w:t>9</w:t>
            </w:r>
            <w:r w:rsidRPr="00C12D44">
              <w:rPr>
                <w:rStyle w:val="StyleCourier12pt"/>
                <w:rFonts w:ascii="Times New Roman" w:hAnsi="Times New Roman"/>
                <w:szCs w:val="24"/>
              </w:rPr>
              <w:t>-</w:t>
            </w:r>
            <w:r w:rsidR="00513849">
              <w:rPr>
                <w:rStyle w:val="StyleCourier12pt"/>
                <w:rFonts w:ascii="Times New Roman" w:hAnsi="Times New Roman"/>
                <w:szCs w:val="24"/>
              </w:rPr>
              <w:t>29</w:t>
            </w:r>
            <w:r>
              <w:rPr>
                <w:rStyle w:val="StyleCourier12pt"/>
                <w:rFonts w:ascii="Times New Roman" w:hAnsi="Times New Roman"/>
                <w:szCs w:val="24"/>
              </w:rPr>
              <w:t>-GA-</w:t>
            </w:r>
            <w:r w:rsidR="00513849">
              <w:rPr>
                <w:rStyle w:val="StyleCourier12pt"/>
                <w:rFonts w:ascii="Times New Roman" w:hAnsi="Times New Roman"/>
                <w:szCs w:val="24"/>
              </w:rPr>
              <w:t>ATA</w:t>
            </w:r>
            <w:r>
              <w:rPr>
                <w:sz w:val="24"/>
                <w:szCs w:val="24"/>
              </w:rPr>
              <w:t xml:space="preserve"> </w:t>
            </w:r>
          </w:p>
          <w:p w:rsidR="003C0FAE" w:rsidP="003C0FAE" w14:paraId="1C348851" w14:textId="77777777">
            <w:pPr>
              <w:rPr>
                <w:sz w:val="24"/>
                <w:szCs w:val="24"/>
              </w:rPr>
            </w:pPr>
          </w:p>
          <w:p w:rsidR="003C0FAE" w:rsidP="003C0FAE" w14:paraId="265E5DB3" w14:textId="77777777">
            <w:pPr>
              <w:rPr>
                <w:sz w:val="24"/>
                <w:szCs w:val="24"/>
              </w:rPr>
            </w:pPr>
          </w:p>
        </w:tc>
      </w:tr>
    </w:tbl>
    <w:p w:rsidR="003C0FAE" w:rsidRPr="00C12D44" w:rsidP="003C0FAE" w14:paraId="06A97C50" w14:textId="77777777">
      <w:pPr>
        <w:widowControl w:val="0"/>
        <w:tabs>
          <w:tab w:val="left" w:pos="6192"/>
          <w:tab w:val="right" w:pos="9936"/>
        </w:tabs>
        <w:jc w:val="center"/>
        <w:rPr>
          <w:rStyle w:val="StyleCourier12pt"/>
          <w:rFonts w:ascii="Times New Roman" w:hAnsi="Times New Roman"/>
          <w:szCs w:val="24"/>
        </w:rPr>
      </w:pPr>
    </w:p>
    <w:p w:rsidR="003C0FAE" w:rsidRPr="00C12D44" w:rsidP="003C0FAE" w14:paraId="2F12B173" w14:textId="77777777">
      <w:pPr>
        <w:widowControl w:val="0"/>
        <w:tabs>
          <w:tab w:val="left" w:pos="6192"/>
          <w:tab w:val="right" w:pos="9936"/>
        </w:tabs>
        <w:jc w:val="center"/>
        <w:rPr>
          <w:rStyle w:val="StyleCourier12pt"/>
          <w:rFonts w:ascii="Times New Roman" w:hAnsi="Times New Roman"/>
          <w:szCs w:val="24"/>
        </w:rPr>
      </w:pPr>
    </w:p>
    <w:p w:rsidR="003C0FAE" w:rsidRPr="00C12D44" w:rsidP="003C0FAE" w14:paraId="7B2E5EF1" w14:textId="77777777">
      <w:pPr>
        <w:widowControl w:val="0"/>
        <w:tabs>
          <w:tab w:val="left" w:pos="6192"/>
          <w:tab w:val="right" w:pos="9936"/>
        </w:tabs>
        <w:jc w:val="center"/>
        <w:rPr>
          <w:rStyle w:val="StyleCourier12pt"/>
          <w:rFonts w:ascii="Times New Roman" w:hAnsi="Times New Roman"/>
          <w:szCs w:val="24"/>
        </w:rPr>
      </w:pPr>
    </w:p>
    <w:p w:rsidR="003C0FAE" w:rsidRPr="00C12D44" w:rsidP="003C0FAE" w14:paraId="3CFD3F68" w14:textId="77777777">
      <w:pPr>
        <w:widowControl w:val="0"/>
        <w:tabs>
          <w:tab w:val="left" w:pos="6192"/>
          <w:tab w:val="right" w:pos="9936"/>
        </w:tabs>
        <w:jc w:val="center"/>
        <w:rPr>
          <w:rStyle w:val="StyleCourier12pt"/>
          <w:rFonts w:ascii="Times New Roman" w:hAnsi="Times New Roman"/>
          <w:szCs w:val="24"/>
        </w:rPr>
      </w:pPr>
    </w:p>
    <w:p w:rsidR="003C0FAE" w:rsidRPr="007B3B3F" w:rsidP="003C0FAE" w14:paraId="5A765C5C" w14:textId="77777777">
      <w:pPr>
        <w:widowControl w:val="0"/>
        <w:tabs>
          <w:tab w:val="left" w:pos="6192"/>
          <w:tab w:val="right" w:pos="9936"/>
        </w:tabs>
        <w:jc w:val="center"/>
        <w:rPr>
          <w:b/>
          <w:snapToGrid w:val="0"/>
          <w:sz w:val="24"/>
          <w:szCs w:val="24"/>
        </w:rPr>
      </w:pPr>
      <w:r>
        <w:rPr>
          <w:b/>
          <w:snapToGrid w:val="0"/>
          <w:sz w:val="24"/>
          <w:szCs w:val="24"/>
        </w:rPr>
        <w:t>SUPPL</w:t>
      </w:r>
      <w:r w:rsidR="009046F1">
        <w:rPr>
          <w:b/>
          <w:snapToGrid w:val="0"/>
          <w:sz w:val="24"/>
          <w:szCs w:val="24"/>
        </w:rPr>
        <w:t>E</w:t>
      </w:r>
      <w:r>
        <w:rPr>
          <w:b/>
          <w:snapToGrid w:val="0"/>
          <w:sz w:val="24"/>
          <w:szCs w:val="24"/>
        </w:rPr>
        <w:t xml:space="preserve">MENTAL </w:t>
      </w:r>
      <w:r w:rsidRPr="007B3B3F" w:rsidR="0028134A">
        <w:rPr>
          <w:b/>
          <w:snapToGrid w:val="0"/>
          <w:sz w:val="24"/>
          <w:szCs w:val="24"/>
        </w:rPr>
        <w:t>DIRECT TESTIMONY</w:t>
      </w:r>
    </w:p>
    <w:p w:rsidR="003C0FAE" w:rsidRPr="007B3B3F" w:rsidP="003C0FAE" w14:paraId="09C21EA0" w14:textId="77777777">
      <w:pPr>
        <w:widowControl w:val="0"/>
        <w:tabs>
          <w:tab w:val="left" w:pos="6192"/>
          <w:tab w:val="right" w:pos="9936"/>
        </w:tabs>
        <w:jc w:val="center"/>
        <w:rPr>
          <w:b/>
          <w:snapToGrid w:val="0"/>
          <w:sz w:val="24"/>
          <w:szCs w:val="24"/>
        </w:rPr>
      </w:pPr>
      <w:r w:rsidRPr="007B3B3F">
        <w:rPr>
          <w:b/>
          <w:snapToGrid w:val="0"/>
          <w:sz w:val="24"/>
          <w:szCs w:val="24"/>
        </w:rPr>
        <w:t>OF</w:t>
      </w:r>
    </w:p>
    <w:p w:rsidR="003C0FAE" w:rsidRPr="007B3B3F" w:rsidP="003C0FAE" w14:paraId="771D947F" w14:textId="77777777">
      <w:pPr>
        <w:widowControl w:val="0"/>
        <w:tabs>
          <w:tab w:val="left" w:pos="6192"/>
          <w:tab w:val="right" w:pos="9936"/>
        </w:tabs>
        <w:jc w:val="center"/>
        <w:rPr>
          <w:b/>
          <w:snapToGrid w:val="0"/>
          <w:sz w:val="24"/>
          <w:szCs w:val="24"/>
        </w:rPr>
      </w:pPr>
      <w:r w:rsidRPr="007B3B3F">
        <w:rPr>
          <w:b/>
          <w:snapToGrid w:val="0"/>
          <w:sz w:val="24"/>
          <w:szCs w:val="24"/>
        </w:rPr>
        <w:t>WM. ROSS WILLIS</w:t>
      </w:r>
    </w:p>
    <w:p w:rsidR="003C0FAE" w:rsidRPr="00C12D44" w:rsidP="003C0FAE" w14:paraId="44D6CB11" w14:textId="77777777">
      <w:pPr>
        <w:widowControl w:val="0"/>
        <w:tabs>
          <w:tab w:val="left" w:pos="6192"/>
          <w:tab w:val="right" w:pos="9936"/>
        </w:tabs>
        <w:jc w:val="center"/>
        <w:rPr>
          <w:rStyle w:val="StyleCourier12pt"/>
          <w:rFonts w:ascii="Times New Roman" w:hAnsi="Times New Roman"/>
          <w:szCs w:val="24"/>
        </w:rPr>
      </w:pPr>
    </w:p>
    <w:p w:rsidR="003C0FAE" w:rsidP="003C0FAE" w14:paraId="7F39199F" w14:textId="77777777">
      <w:pPr>
        <w:jc w:val="center"/>
        <w:rPr>
          <w:sz w:val="24"/>
          <w:szCs w:val="24"/>
        </w:rPr>
      </w:pPr>
    </w:p>
    <w:p w:rsidR="003C0FAE" w:rsidP="003C0FAE" w14:paraId="4C98EFC8" w14:textId="77777777">
      <w:pPr>
        <w:jc w:val="center"/>
        <w:rPr>
          <w:sz w:val="24"/>
          <w:szCs w:val="24"/>
        </w:rPr>
      </w:pPr>
    </w:p>
    <w:p w:rsidR="003C0FAE" w:rsidRPr="00C12D44" w:rsidP="003C0FAE" w14:paraId="2233B1C9" w14:textId="77777777">
      <w:pPr>
        <w:jc w:val="center"/>
        <w:rPr>
          <w:sz w:val="24"/>
          <w:szCs w:val="24"/>
        </w:rPr>
      </w:pPr>
    </w:p>
    <w:p w:rsidR="003C0FAE" w:rsidP="003C0FAE" w14:paraId="3438359A" w14:textId="77777777">
      <w:pPr>
        <w:pStyle w:val="List2"/>
        <w:ind w:left="540" w:hanging="540"/>
        <w:jc w:val="center"/>
        <w:rPr>
          <w:b/>
          <w:bCs/>
          <w:iCs/>
          <w:szCs w:val="24"/>
        </w:rPr>
      </w:pPr>
      <w:r>
        <w:rPr>
          <w:b/>
          <w:bCs/>
          <w:iCs/>
          <w:szCs w:val="24"/>
        </w:rPr>
        <w:t>On Behalf of</w:t>
      </w:r>
    </w:p>
    <w:p w:rsidR="003C0FAE" w:rsidP="003C0FAE" w14:paraId="6B6D16A8" w14:textId="77777777">
      <w:pPr>
        <w:pStyle w:val="List2"/>
        <w:ind w:left="540" w:hanging="540"/>
        <w:jc w:val="center"/>
        <w:rPr>
          <w:b/>
          <w:bCs/>
          <w:iCs/>
          <w:szCs w:val="24"/>
        </w:rPr>
      </w:pPr>
      <w:r>
        <w:rPr>
          <w:b/>
          <w:bCs/>
          <w:iCs/>
          <w:szCs w:val="24"/>
        </w:rPr>
        <w:t>The Office of the Ohio Consumers' Counsel</w:t>
      </w:r>
    </w:p>
    <w:p w:rsidR="003C0FAE" w:rsidP="003C0FAE" w14:paraId="530B1055" w14:textId="77777777">
      <w:pPr>
        <w:pStyle w:val="List2"/>
        <w:ind w:left="540" w:hanging="540"/>
        <w:jc w:val="center"/>
        <w:rPr>
          <w:bCs/>
          <w:i/>
          <w:iCs/>
          <w:szCs w:val="24"/>
        </w:rPr>
      </w:pPr>
      <w:r>
        <w:rPr>
          <w:bCs/>
          <w:i/>
          <w:iCs/>
          <w:szCs w:val="24"/>
        </w:rPr>
        <w:t>65 East State Street, 7th Floor</w:t>
      </w:r>
    </w:p>
    <w:p w:rsidR="003C0FAE" w:rsidP="003C0FAE" w14:paraId="6A7E7CE5" w14:textId="77777777">
      <w:pPr>
        <w:pStyle w:val="List2"/>
        <w:ind w:left="540" w:hanging="540"/>
        <w:jc w:val="center"/>
        <w:rPr>
          <w:bCs/>
          <w:i/>
          <w:iCs/>
          <w:szCs w:val="24"/>
        </w:rPr>
      </w:pPr>
      <w:r>
        <w:rPr>
          <w:bCs/>
          <w:i/>
          <w:iCs/>
          <w:szCs w:val="24"/>
        </w:rPr>
        <w:t>Columbus, Ohio 43215</w:t>
      </w:r>
    </w:p>
    <w:p w:rsidR="003C0FAE" w:rsidRPr="00C12D44" w:rsidP="003C0FAE" w14:paraId="118A4C3D" w14:textId="77777777">
      <w:pPr>
        <w:jc w:val="center"/>
        <w:rPr>
          <w:sz w:val="24"/>
          <w:szCs w:val="24"/>
        </w:rPr>
      </w:pPr>
    </w:p>
    <w:p w:rsidR="003C0FAE" w:rsidP="003C0FAE" w14:paraId="019B7AFC" w14:textId="77777777">
      <w:pPr>
        <w:jc w:val="center"/>
        <w:rPr>
          <w:sz w:val="24"/>
          <w:szCs w:val="24"/>
        </w:rPr>
      </w:pPr>
    </w:p>
    <w:p w:rsidR="003C0FAE" w:rsidRPr="00C12D44" w:rsidP="003C0FAE" w14:paraId="44C9B936" w14:textId="77777777">
      <w:pPr>
        <w:jc w:val="center"/>
        <w:rPr>
          <w:sz w:val="24"/>
          <w:szCs w:val="24"/>
        </w:rPr>
      </w:pPr>
    </w:p>
    <w:p w:rsidR="003C0FAE" w:rsidRPr="00C12D44" w:rsidP="003C0FAE" w14:paraId="09D33825" w14:textId="77777777">
      <w:pPr>
        <w:jc w:val="center"/>
        <w:rPr>
          <w:sz w:val="24"/>
          <w:szCs w:val="24"/>
        </w:rPr>
      </w:pPr>
    </w:p>
    <w:p w:rsidR="003C0FAE" w:rsidRPr="00DC7391" w:rsidP="00DE2F5B" w14:paraId="071D951F" w14:textId="77777777">
      <w:pPr>
        <w:ind w:firstLine="540"/>
        <w:jc w:val="center"/>
        <w:rPr>
          <w:rStyle w:val="StyleCourier12pt"/>
          <w:rFonts w:ascii="Times New Roman" w:hAnsi="Times New Roman"/>
          <w:b/>
          <w:szCs w:val="24"/>
        </w:rPr>
      </w:pPr>
      <w:r>
        <w:rPr>
          <w:rStyle w:val="StyleCourier12pt"/>
          <w:rFonts w:ascii="Times New Roman" w:hAnsi="Times New Roman"/>
          <w:b/>
          <w:szCs w:val="24"/>
        </w:rPr>
        <w:t>October</w:t>
      </w:r>
      <w:r w:rsidRPr="00DC7391" w:rsidR="004224D3">
        <w:rPr>
          <w:rStyle w:val="StyleCourier12pt"/>
          <w:rFonts w:ascii="Times New Roman" w:hAnsi="Times New Roman"/>
          <w:b/>
          <w:szCs w:val="24"/>
        </w:rPr>
        <w:t xml:space="preserve"> </w:t>
      </w:r>
      <w:r>
        <w:rPr>
          <w:rStyle w:val="StyleCourier12pt"/>
          <w:rFonts w:ascii="Times New Roman" w:hAnsi="Times New Roman"/>
          <w:b/>
          <w:szCs w:val="24"/>
        </w:rPr>
        <w:t>9</w:t>
      </w:r>
      <w:r w:rsidRPr="00DC7391" w:rsidR="004224D3">
        <w:rPr>
          <w:rStyle w:val="StyleCourier12pt"/>
          <w:rFonts w:ascii="Times New Roman" w:hAnsi="Times New Roman"/>
          <w:b/>
          <w:szCs w:val="24"/>
        </w:rPr>
        <w:t>, 20</w:t>
      </w:r>
      <w:r w:rsidR="0028134A">
        <w:rPr>
          <w:rStyle w:val="StyleCourier12pt"/>
          <w:rFonts w:ascii="Times New Roman" w:hAnsi="Times New Roman"/>
          <w:b/>
          <w:szCs w:val="24"/>
        </w:rPr>
        <w:t>20</w:t>
      </w:r>
    </w:p>
    <w:p w:rsidR="003C0FAE" w:rsidP="003C0FAE" w14:paraId="14EE8A26" w14:textId="77777777">
      <w:pPr>
        <w:jc w:val="center"/>
        <w:rPr>
          <w:rStyle w:val="StyleCourier12pt"/>
          <w:rFonts w:ascii="Times New Roman" w:hAnsi="Times New Roman"/>
          <w:szCs w:val="24"/>
        </w:rPr>
      </w:pPr>
    </w:p>
    <w:p w:rsidR="003C0FAE" w:rsidP="003C0FAE" w14:paraId="1E369D03" w14:textId="77777777">
      <w:pPr>
        <w:jc w:val="center"/>
        <w:rPr>
          <w:rStyle w:val="StyleCourier12pt"/>
          <w:rFonts w:ascii="Times New Roman" w:hAnsi="Times New Roman"/>
          <w:szCs w:val="24"/>
        </w:rPr>
        <w:sectPr w:rsidSect="00146771">
          <w:pgSz w:w="12240" w:h="15840"/>
          <w:pgMar w:top="1440" w:right="1440" w:bottom="1440" w:left="1440" w:header="720" w:footer="720" w:gutter="0"/>
          <w:pgNumType w:fmt="lowerRoman" w:start="1"/>
          <w:cols w:space="720"/>
          <w:docGrid w:linePitch="272"/>
        </w:sectPr>
      </w:pPr>
    </w:p>
    <w:p w:rsidR="003C0FAE" w:rsidP="003C0FAE" w14:paraId="30324153" w14:textId="77777777">
      <w:pPr>
        <w:jc w:val="center"/>
        <w:rPr>
          <w:rStyle w:val="StyleCourier12pt"/>
          <w:rFonts w:ascii="Times New Roman" w:hAnsi="Times New Roman"/>
          <w:b/>
          <w:szCs w:val="24"/>
          <w:u w:val="single"/>
        </w:rPr>
      </w:pPr>
      <w:r>
        <w:rPr>
          <w:rStyle w:val="StyleCourier12pt"/>
          <w:rFonts w:ascii="Times New Roman" w:hAnsi="Times New Roman"/>
          <w:b/>
          <w:szCs w:val="24"/>
          <w:u w:val="single"/>
        </w:rPr>
        <w:t>TABLE OF CONTENTS</w:t>
      </w:r>
    </w:p>
    <w:p w:rsidR="003C0FAE" w:rsidP="003C0FAE" w14:paraId="1300E0B3" w14:textId="77777777">
      <w:pPr>
        <w:jc w:val="right"/>
        <w:rPr>
          <w:rStyle w:val="StyleCourier12pt"/>
          <w:rFonts w:ascii="Times New Roman" w:hAnsi="Times New Roman"/>
          <w:b/>
          <w:szCs w:val="24"/>
        </w:rPr>
      </w:pPr>
      <w:r>
        <w:rPr>
          <w:rStyle w:val="StyleCourier12pt"/>
          <w:rFonts w:ascii="Times New Roman" w:hAnsi="Times New Roman"/>
          <w:b/>
          <w:szCs w:val="24"/>
        </w:rPr>
        <w:t>PAGE</w:t>
      </w:r>
    </w:p>
    <w:p w:rsidR="003C0FAE" w:rsidP="00DC3507" w14:paraId="23B8FAD0" w14:textId="77777777">
      <w:pPr>
        <w:spacing w:line="480" w:lineRule="auto"/>
        <w:jc w:val="right"/>
        <w:rPr>
          <w:rStyle w:val="StyleCourier12pt"/>
          <w:rFonts w:ascii="Times New Roman" w:hAnsi="Times New Roman"/>
          <w:b/>
          <w:szCs w:val="24"/>
        </w:rPr>
      </w:pPr>
    </w:p>
    <w:p w:rsidR="0098498B" w14:paraId="68469F72" w14:textId="4535CCE3">
      <w:pPr>
        <w:pStyle w:val="TOC1"/>
        <w:rPr>
          <w:rFonts w:asciiTheme="minorHAnsi" w:eastAsiaTheme="minorEastAsia" w:hAnsiTheme="minorHAnsi" w:cstheme="minorBidi"/>
          <w:caps w:val="0"/>
          <w:noProof/>
          <w:sz w:val="22"/>
          <w:szCs w:val="22"/>
        </w:rPr>
      </w:pPr>
      <w:r>
        <w:rPr>
          <w:rStyle w:val="StyleCourier12pt"/>
          <w:rFonts w:ascii="Times New Roman" w:hAnsi="Times New Roman"/>
          <w:b/>
          <w:caps w:val="0"/>
          <w:szCs w:val="24"/>
        </w:rPr>
        <w:fldChar w:fldCharType="begin"/>
      </w:r>
      <w:r w:rsidR="004224D3">
        <w:rPr>
          <w:rStyle w:val="StyleCourier12pt"/>
          <w:rFonts w:ascii="Times New Roman" w:hAnsi="Times New Roman"/>
          <w:b/>
          <w:caps w:val="0"/>
          <w:szCs w:val="24"/>
        </w:rPr>
        <w:instrText xml:space="preserve"> TOC \o "1-3" \h \z \u </w:instrText>
      </w:r>
      <w:r>
        <w:rPr>
          <w:rStyle w:val="StyleCourier12pt"/>
          <w:rFonts w:ascii="Times New Roman" w:hAnsi="Times New Roman"/>
          <w:b/>
          <w:caps w:val="0"/>
          <w:szCs w:val="24"/>
        </w:rPr>
        <w:fldChar w:fldCharType="separate"/>
      </w:r>
      <w:hyperlink w:anchor="_Toc53058462" w:history="1">
        <w:r w:rsidRPr="008E6DE2">
          <w:rPr>
            <w:rStyle w:val="Hyperlink"/>
            <w:noProof/>
          </w:rPr>
          <w:t>I.</w:t>
        </w:r>
        <w:r>
          <w:rPr>
            <w:rFonts w:asciiTheme="minorHAnsi" w:eastAsiaTheme="minorEastAsia" w:hAnsiTheme="minorHAnsi" w:cstheme="minorBidi"/>
            <w:caps w:val="0"/>
            <w:noProof/>
            <w:sz w:val="22"/>
            <w:szCs w:val="22"/>
          </w:rPr>
          <w:tab/>
        </w:r>
        <w:r w:rsidRPr="008E6DE2">
          <w:rPr>
            <w:rStyle w:val="Hyperlink"/>
            <w:noProof/>
          </w:rPr>
          <w:t>INTRODUCTION</w:t>
        </w:r>
        <w:r>
          <w:rPr>
            <w:noProof/>
            <w:webHidden/>
          </w:rPr>
          <w:tab/>
        </w:r>
        <w:r>
          <w:rPr>
            <w:noProof/>
            <w:webHidden/>
          </w:rPr>
          <w:fldChar w:fldCharType="begin"/>
        </w:r>
        <w:r>
          <w:rPr>
            <w:noProof/>
            <w:webHidden/>
          </w:rPr>
          <w:instrText xml:space="preserve"> PAGEREF _Toc53058462 \h </w:instrText>
        </w:r>
        <w:r>
          <w:rPr>
            <w:noProof/>
            <w:webHidden/>
          </w:rPr>
          <w:fldChar w:fldCharType="separate"/>
        </w:r>
        <w:r>
          <w:rPr>
            <w:noProof/>
            <w:webHidden/>
          </w:rPr>
          <w:t>1</w:t>
        </w:r>
        <w:r>
          <w:rPr>
            <w:noProof/>
            <w:webHidden/>
          </w:rPr>
          <w:fldChar w:fldCharType="end"/>
        </w:r>
      </w:hyperlink>
    </w:p>
    <w:p w:rsidR="0098498B" w14:paraId="785FDA09" w14:textId="6F304375">
      <w:pPr>
        <w:pStyle w:val="TOC1"/>
        <w:rPr>
          <w:rFonts w:asciiTheme="minorHAnsi" w:eastAsiaTheme="minorEastAsia" w:hAnsiTheme="minorHAnsi" w:cstheme="minorBidi"/>
          <w:caps w:val="0"/>
          <w:noProof/>
          <w:sz w:val="22"/>
          <w:szCs w:val="22"/>
        </w:rPr>
      </w:pPr>
      <w:hyperlink w:anchor="_Toc53058463" w:history="1">
        <w:r w:rsidRPr="008E6DE2" w:rsidR="00EE5E04">
          <w:rPr>
            <w:rStyle w:val="Hyperlink"/>
            <w:noProof/>
          </w:rPr>
          <w:t>II.</w:t>
        </w:r>
        <w:r w:rsidR="00EE5E04">
          <w:rPr>
            <w:rFonts w:asciiTheme="minorHAnsi" w:eastAsiaTheme="minorEastAsia" w:hAnsiTheme="minorHAnsi" w:cstheme="minorBidi"/>
            <w:caps w:val="0"/>
            <w:noProof/>
            <w:sz w:val="22"/>
            <w:szCs w:val="22"/>
          </w:rPr>
          <w:tab/>
        </w:r>
        <w:r w:rsidRPr="008E6DE2" w:rsidR="00EE5E04">
          <w:rPr>
            <w:rStyle w:val="Hyperlink"/>
            <w:noProof/>
          </w:rPr>
          <w:t>PURPOSE OF TESTIMONY</w:t>
        </w:r>
        <w:r w:rsidR="00EE5E04">
          <w:rPr>
            <w:noProof/>
            <w:webHidden/>
          </w:rPr>
          <w:tab/>
        </w:r>
        <w:r w:rsidR="00EE5E04">
          <w:rPr>
            <w:noProof/>
            <w:webHidden/>
          </w:rPr>
          <w:fldChar w:fldCharType="begin"/>
        </w:r>
        <w:r w:rsidR="00EE5E04">
          <w:rPr>
            <w:noProof/>
            <w:webHidden/>
          </w:rPr>
          <w:instrText xml:space="preserve"> PAGEREF _Toc53058463 \h </w:instrText>
        </w:r>
        <w:r w:rsidR="00EE5E04">
          <w:rPr>
            <w:noProof/>
            <w:webHidden/>
          </w:rPr>
          <w:fldChar w:fldCharType="separate"/>
        </w:r>
        <w:r w:rsidR="00EE5E04">
          <w:rPr>
            <w:noProof/>
            <w:webHidden/>
          </w:rPr>
          <w:t>3</w:t>
        </w:r>
        <w:r w:rsidR="00EE5E04">
          <w:rPr>
            <w:noProof/>
            <w:webHidden/>
          </w:rPr>
          <w:fldChar w:fldCharType="end"/>
        </w:r>
      </w:hyperlink>
    </w:p>
    <w:p w:rsidR="0098498B" w14:paraId="103C949E" w14:textId="61EC5042">
      <w:pPr>
        <w:pStyle w:val="TOC1"/>
        <w:rPr>
          <w:rFonts w:asciiTheme="minorHAnsi" w:eastAsiaTheme="minorEastAsia" w:hAnsiTheme="minorHAnsi" w:cstheme="minorBidi"/>
          <w:caps w:val="0"/>
          <w:noProof/>
          <w:sz w:val="22"/>
          <w:szCs w:val="22"/>
        </w:rPr>
      </w:pPr>
      <w:hyperlink w:anchor="_Toc53058464" w:history="1">
        <w:r w:rsidRPr="008E6DE2" w:rsidR="00EE5E04">
          <w:rPr>
            <w:rStyle w:val="Hyperlink"/>
            <w:noProof/>
          </w:rPr>
          <w:t>III.</w:t>
        </w:r>
        <w:r w:rsidR="00EE5E04">
          <w:rPr>
            <w:rFonts w:asciiTheme="minorHAnsi" w:eastAsiaTheme="minorEastAsia" w:hAnsiTheme="minorHAnsi" w:cstheme="minorBidi"/>
            <w:caps w:val="0"/>
            <w:noProof/>
            <w:sz w:val="22"/>
            <w:szCs w:val="22"/>
          </w:rPr>
          <w:tab/>
        </w:r>
        <w:r w:rsidRPr="008E6DE2" w:rsidR="00EE5E04">
          <w:rPr>
            <w:rStyle w:val="Hyperlink"/>
            <w:noProof/>
          </w:rPr>
          <w:t>CONCLUSION</w:t>
        </w:r>
        <w:r w:rsidR="00EE5E04">
          <w:rPr>
            <w:noProof/>
            <w:webHidden/>
          </w:rPr>
          <w:tab/>
        </w:r>
        <w:r w:rsidR="00EE5E04">
          <w:rPr>
            <w:noProof/>
            <w:webHidden/>
          </w:rPr>
          <w:fldChar w:fldCharType="begin"/>
        </w:r>
        <w:r w:rsidR="00EE5E04">
          <w:rPr>
            <w:noProof/>
            <w:webHidden/>
          </w:rPr>
          <w:instrText xml:space="preserve"> PAGEREF _Toc53058464 \h </w:instrText>
        </w:r>
        <w:r w:rsidR="00EE5E04">
          <w:rPr>
            <w:noProof/>
            <w:webHidden/>
          </w:rPr>
          <w:fldChar w:fldCharType="separate"/>
        </w:r>
        <w:r w:rsidR="00EE5E04">
          <w:rPr>
            <w:noProof/>
            <w:webHidden/>
          </w:rPr>
          <w:t>7</w:t>
        </w:r>
        <w:r w:rsidR="00EE5E04">
          <w:rPr>
            <w:noProof/>
            <w:webHidden/>
          </w:rPr>
          <w:fldChar w:fldCharType="end"/>
        </w:r>
      </w:hyperlink>
    </w:p>
    <w:p w:rsidR="003C0FAE" w:rsidRPr="001D0E78" w:rsidP="00DC3507" w14:paraId="5BEA6203" w14:textId="7F1E22EC">
      <w:pPr>
        <w:spacing w:line="480" w:lineRule="auto"/>
        <w:ind w:right="-90"/>
        <w:rPr>
          <w:rStyle w:val="StyleCourier12pt"/>
          <w:rFonts w:ascii="Times New Roman" w:hAnsi="Times New Roman"/>
          <w:szCs w:val="24"/>
        </w:rPr>
      </w:pPr>
      <w:r>
        <w:rPr>
          <w:rStyle w:val="StyleCourier12pt"/>
          <w:rFonts w:ascii="Times New Roman" w:hAnsi="Times New Roman"/>
          <w:b/>
          <w:caps/>
          <w:szCs w:val="24"/>
        </w:rPr>
        <w:fldChar w:fldCharType="end"/>
      </w:r>
    </w:p>
    <w:p w:rsidR="003C0FAE" w:rsidP="003C0FAE" w14:paraId="49BEEA14" w14:textId="77777777">
      <w:pPr>
        <w:ind w:firstLine="90"/>
        <w:rPr>
          <w:rStyle w:val="StyleCourier12pt"/>
          <w:rFonts w:ascii="Times New Roman" w:hAnsi="Times New Roman"/>
          <w:b/>
          <w:szCs w:val="24"/>
        </w:rPr>
      </w:pPr>
    </w:p>
    <w:p w:rsidR="003C0FAE" w:rsidP="003C0FAE" w14:paraId="3C26DBB4" w14:textId="77777777">
      <w:pPr>
        <w:ind w:firstLine="90"/>
        <w:rPr>
          <w:rStyle w:val="StyleCourier12pt"/>
          <w:rFonts w:ascii="Times New Roman" w:hAnsi="Times New Roman"/>
          <w:b/>
          <w:szCs w:val="24"/>
        </w:rPr>
      </w:pPr>
    </w:p>
    <w:p w:rsidR="003C0FAE" w:rsidRPr="00A868DE" w:rsidP="003C0FAE" w14:paraId="39C76B72" w14:textId="77777777">
      <w:pPr>
        <w:ind w:firstLine="90"/>
        <w:rPr>
          <w:rStyle w:val="StyleCourier12pt"/>
          <w:rFonts w:ascii="Times New Roman" w:hAnsi="Times New Roman"/>
          <w:szCs w:val="24"/>
        </w:rPr>
      </w:pPr>
    </w:p>
    <w:p w:rsidR="003C0FAE" w:rsidRPr="00ED620E" w:rsidP="003C0FAE" w14:paraId="3271D333" w14:textId="77777777">
      <w:pPr>
        <w:rPr>
          <w:rStyle w:val="StyleCourier12pt"/>
          <w:rFonts w:ascii="Times New Roman" w:hAnsi="Times New Roman"/>
          <w:szCs w:val="24"/>
        </w:rPr>
      </w:pPr>
      <w:r>
        <w:rPr>
          <w:rStyle w:val="StyleCourier12pt"/>
          <w:rFonts w:ascii="Times New Roman" w:hAnsi="Times New Roman"/>
          <w:szCs w:val="24"/>
        </w:rPr>
        <w:t>WRW Attachment A</w:t>
      </w:r>
    </w:p>
    <w:p w:rsidR="003C0FAE" w:rsidRPr="00C12D44" w:rsidP="003C0FAE" w14:paraId="53C01CC0" w14:textId="77777777">
      <w:pPr>
        <w:jc w:val="center"/>
        <w:rPr>
          <w:rStyle w:val="StyleCourier12pt"/>
          <w:rFonts w:ascii="Times New Roman" w:hAnsi="Times New Roman"/>
          <w:szCs w:val="24"/>
        </w:rPr>
      </w:pPr>
    </w:p>
    <w:p w:rsidR="003C0FAE" w:rsidP="003C0FAE" w14:paraId="0C1BC7B2" w14:textId="77777777">
      <w:pPr>
        <w:jc w:val="center"/>
        <w:rPr>
          <w:rStyle w:val="StyleCourier12pt"/>
          <w:rFonts w:ascii="Times New Roman" w:hAnsi="Times New Roman"/>
          <w:szCs w:val="24"/>
        </w:rPr>
        <w:sectPr w:rsidSect="00146771">
          <w:footerReference w:type="default" r:id="rId6"/>
          <w:pgSz w:w="12240" w:h="15840"/>
          <w:pgMar w:top="1440" w:right="1440" w:bottom="1440" w:left="1440" w:header="720" w:footer="720" w:gutter="0"/>
          <w:pgNumType w:fmt="lowerRoman" w:start="1"/>
          <w:cols w:space="720"/>
          <w:docGrid w:linePitch="272"/>
        </w:sectPr>
      </w:pPr>
    </w:p>
    <w:p w:rsidR="003C0FAE" w:rsidRPr="00A12F14" w:rsidP="003C0FAE" w14:paraId="20C8B841" w14:textId="77777777">
      <w:pPr>
        <w:pStyle w:val="Heading1"/>
        <w:rPr>
          <w:szCs w:val="24"/>
        </w:rPr>
      </w:pPr>
      <w:bookmarkStart w:id="3" w:name="_Toc317859570"/>
      <w:bookmarkStart w:id="4" w:name="_Toc386462073"/>
      <w:bookmarkStart w:id="5" w:name="_Toc398624429"/>
      <w:bookmarkStart w:id="6" w:name="_Toc407798625"/>
      <w:bookmarkStart w:id="7" w:name="_Toc467484770"/>
      <w:bookmarkStart w:id="8" w:name="_Toc517340402"/>
      <w:bookmarkStart w:id="9" w:name="_Toc5714112"/>
      <w:bookmarkStart w:id="10" w:name="_Toc53058462"/>
      <w:r w:rsidRPr="00A12F14">
        <w:rPr>
          <w:szCs w:val="24"/>
        </w:rPr>
        <w:t>I.</w:t>
      </w:r>
      <w:r w:rsidRPr="00A12F14">
        <w:rPr>
          <w:szCs w:val="24"/>
        </w:rPr>
        <w:tab/>
        <w:t>INTRODUCTION</w:t>
      </w:r>
      <w:bookmarkEnd w:id="3"/>
      <w:bookmarkEnd w:id="4"/>
      <w:bookmarkEnd w:id="5"/>
      <w:bookmarkEnd w:id="6"/>
      <w:bookmarkEnd w:id="7"/>
      <w:bookmarkEnd w:id="8"/>
      <w:bookmarkEnd w:id="9"/>
      <w:bookmarkEnd w:id="10"/>
    </w:p>
    <w:p w:rsidR="003C0FAE" w:rsidRPr="00A12F14" w:rsidP="003C0FAE" w14:paraId="4F515F1E" w14:textId="77777777">
      <w:pPr>
        <w:spacing w:line="480" w:lineRule="auto"/>
        <w:rPr>
          <w:sz w:val="24"/>
          <w:szCs w:val="24"/>
        </w:rPr>
      </w:pPr>
    </w:p>
    <w:p w:rsidR="003C0FAE" w:rsidRPr="00A12F14" w:rsidP="003C0FAE" w14:paraId="7FBAE300" w14:textId="77777777">
      <w:pPr>
        <w:spacing w:line="480" w:lineRule="auto"/>
        <w:ind w:left="720" w:hanging="720"/>
        <w:rPr>
          <w:rStyle w:val="StyleCourier12pt"/>
          <w:rFonts w:ascii="Times New Roman" w:hAnsi="Times New Roman"/>
          <w:b/>
          <w:i/>
          <w:szCs w:val="24"/>
        </w:rPr>
      </w:pPr>
      <w:r w:rsidRPr="00A12F14">
        <w:rPr>
          <w:b/>
          <w:bCs/>
          <w:i/>
          <w:iCs/>
          <w:sz w:val="24"/>
          <w:szCs w:val="24"/>
        </w:rPr>
        <w:t>Q1.</w:t>
      </w:r>
      <w:r w:rsidRPr="00A12F14">
        <w:rPr>
          <w:b/>
          <w:bCs/>
          <w:i/>
          <w:iCs/>
          <w:sz w:val="24"/>
          <w:szCs w:val="24"/>
        </w:rPr>
        <w:tab/>
      </w:r>
      <w:r w:rsidRPr="00A12F14">
        <w:rPr>
          <w:rStyle w:val="StyleCourier12pt"/>
          <w:rFonts w:ascii="Times New Roman" w:hAnsi="Times New Roman"/>
          <w:b/>
          <w:i/>
          <w:szCs w:val="24"/>
        </w:rPr>
        <w:t>PLEASE STATE YOUR NAME AND BUSINESS ADDRESS.</w:t>
      </w:r>
    </w:p>
    <w:p w:rsidR="003C0FAE" w:rsidRPr="00A12F14" w:rsidP="003C0FAE" w14:paraId="3FA386CA" w14:textId="77777777">
      <w:pPr>
        <w:spacing w:line="480" w:lineRule="auto"/>
        <w:ind w:left="720" w:hanging="720"/>
        <w:rPr>
          <w:sz w:val="24"/>
          <w:szCs w:val="24"/>
        </w:rPr>
      </w:pPr>
      <w:r w:rsidRPr="00A12F14">
        <w:rPr>
          <w:b/>
          <w:i/>
          <w:sz w:val="24"/>
          <w:szCs w:val="24"/>
        </w:rPr>
        <w:t>A1.</w:t>
      </w:r>
      <w:r w:rsidRPr="00A12F14">
        <w:rPr>
          <w:sz w:val="24"/>
          <w:szCs w:val="24"/>
        </w:rPr>
        <w:tab/>
        <w:t>My name is Wm Ross Willis. My business address is 65 East State Street, 7</w:t>
      </w:r>
      <w:r w:rsidRPr="00A12F14">
        <w:rPr>
          <w:sz w:val="24"/>
          <w:szCs w:val="24"/>
          <w:vertAlign w:val="superscript"/>
        </w:rPr>
        <w:t>th</w:t>
      </w:r>
      <w:r w:rsidRPr="00A12F14">
        <w:rPr>
          <w:sz w:val="24"/>
          <w:szCs w:val="24"/>
        </w:rPr>
        <w:t xml:space="preserve"> Floor, Columbus, Ohio 43215.</w:t>
      </w:r>
    </w:p>
    <w:p w:rsidR="003C0FAE" w:rsidRPr="00A12F14" w:rsidP="003C0FAE" w14:paraId="7F76BCBC" w14:textId="77777777">
      <w:pPr>
        <w:spacing w:line="480" w:lineRule="auto"/>
        <w:ind w:left="720" w:hanging="720"/>
        <w:rPr>
          <w:rStyle w:val="StyleCourier12pt"/>
          <w:rFonts w:ascii="Times New Roman" w:hAnsi="Times New Roman"/>
          <w:szCs w:val="24"/>
        </w:rPr>
      </w:pPr>
    </w:p>
    <w:p w:rsidR="003C0FAE" w:rsidRPr="00A12F14" w:rsidP="003C0FAE" w14:paraId="093371D6" w14:textId="77777777">
      <w:pPr>
        <w:spacing w:line="480" w:lineRule="auto"/>
        <w:ind w:left="720" w:hanging="720"/>
        <w:rPr>
          <w:rStyle w:val="StyleCourier12pt"/>
          <w:rFonts w:ascii="Times New Roman" w:hAnsi="Times New Roman"/>
          <w:b/>
          <w:i/>
          <w:szCs w:val="24"/>
        </w:rPr>
      </w:pPr>
      <w:r w:rsidRPr="00A12F14">
        <w:rPr>
          <w:rStyle w:val="StyleCourier12pt"/>
          <w:rFonts w:ascii="Times New Roman" w:hAnsi="Times New Roman"/>
          <w:b/>
          <w:i/>
          <w:szCs w:val="24"/>
        </w:rPr>
        <w:t>Q2.</w:t>
      </w:r>
      <w:r w:rsidRPr="00A12F14">
        <w:rPr>
          <w:rStyle w:val="StyleCourier12pt"/>
          <w:rFonts w:ascii="Times New Roman" w:hAnsi="Times New Roman"/>
          <w:b/>
          <w:i/>
          <w:szCs w:val="24"/>
        </w:rPr>
        <w:tab/>
        <w:t>BY WHOM ARE YOU EMPLOYED?</w:t>
      </w:r>
    </w:p>
    <w:p w:rsidR="003C0FAE" w:rsidRPr="00A12F14" w:rsidP="003C0FAE" w14:paraId="15A2C3D6" w14:textId="77777777">
      <w:pPr>
        <w:spacing w:line="480" w:lineRule="auto"/>
        <w:ind w:left="720" w:hanging="720"/>
        <w:rPr>
          <w:sz w:val="24"/>
          <w:szCs w:val="24"/>
        </w:rPr>
      </w:pPr>
      <w:r w:rsidRPr="00A12F14">
        <w:rPr>
          <w:b/>
          <w:i/>
          <w:sz w:val="24"/>
          <w:szCs w:val="24"/>
        </w:rPr>
        <w:t>A2.</w:t>
      </w:r>
      <w:r w:rsidRPr="00A12F14">
        <w:rPr>
          <w:sz w:val="24"/>
          <w:szCs w:val="24"/>
        </w:rPr>
        <w:tab/>
        <w:t>I am employed by the Office of the Ohio Consumers’ Counsel (“OCC”).</w:t>
      </w:r>
    </w:p>
    <w:p w:rsidR="003C0FAE" w:rsidRPr="00A12F14" w:rsidP="003C0FAE" w14:paraId="203F98D9" w14:textId="77777777">
      <w:pPr>
        <w:spacing w:line="480" w:lineRule="auto"/>
        <w:ind w:left="720" w:hanging="720"/>
        <w:rPr>
          <w:rStyle w:val="StyleCourier12pt"/>
          <w:rFonts w:ascii="Times New Roman" w:hAnsi="Times New Roman"/>
          <w:szCs w:val="24"/>
        </w:rPr>
      </w:pPr>
    </w:p>
    <w:p w:rsidR="003C0FAE" w:rsidRPr="00A12F14" w:rsidP="003C0FAE" w14:paraId="42D787D6" w14:textId="77777777">
      <w:pPr>
        <w:spacing w:line="480" w:lineRule="auto"/>
        <w:ind w:left="720" w:hanging="720"/>
        <w:rPr>
          <w:rStyle w:val="StyleCourier12pt"/>
          <w:rFonts w:ascii="Times New Roman" w:hAnsi="Times New Roman"/>
          <w:b/>
          <w:i/>
          <w:szCs w:val="24"/>
        </w:rPr>
      </w:pPr>
      <w:r w:rsidRPr="00A12F14">
        <w:rPr>
          <w:rStyle w:val="StyleCourier12pt"/>
          <w:rFonts w:ascii="Times New Roman" w:hAnsi="Times New Roman"/>
          <w:b/>
          <w:i/>
          <w:szCs w:val="24"/>
        </w:rPr>
        <w:t>Q3.</w:t>
      </w:r>
      <w:r w:rsidRPr="00A12F14">
        <w:rPr>
          <w:rStyle w:val="StyleCourier12pt"/>
          <w:rFonts w:ascii="Times New Roman" w:hAnsi="Times New Roman"/>
          <w:b/>
          <w:i/>
          <w:szCs w:val="24"/>
        </w:rPr>
        <w:tab/>
        <w:t xml:space="preserve">WHAT IS YOUR CURRENT POSITION WITH OCC AND WHAT ARE YOUR DUTIES? </w:t>
      </w:r>
    </w:p>
    <w:p w:rsidR="003C0FAE" w:rsidRPr="00A12F14" w:rsidP="003C0FAE" w14:paraId="6182EFC3" w14:textId="77777777">
      <w:pPr>
        <w:spacing w:line="480" w:lineRule="auto"/>
        <w:ind w:left="720" w:hanging="720"/>
        <w:rPr>
          <w:sz w:val="24"/>
          <w:szCs w:val="24"/>
        </w:rPr>
      </w:pPr>
      <w:r w:rsidRPr="00A12F14">
        <w:rPr>
          <w:b/>
          <w:i/>
          <w:sz w:val="24"/>
          <w:szCs w:val="24"/>
        </w:rPr>
        <w:t>A3.</w:t>
      </w:r>
      <w:r w:rsidRPr="00A12F14">
        <w:rPr>
          <w:sz w:val="24"/>
          <w:szCs w:val="24"/>
        </w:rPr>
        <w:tab/>
        <w:t>I am a Senior Regulatory Analyst and Electric Industry Team Leader within the Analytical Department. My duties include performing analysis of impacts on the utility bills of residential consumers with respect to utility filings before the Public Utilities Commission of Ohio (“PUCO”) and PUCO-initiated investigations. I examine utility financial and asset records to determine operating income, rate base, and the revenue requirement, on behalf of residential consumers.</w:t>
      </w:r>
    </w:p>
    <w:p w:rsidR="003C0FAE" w:rsidRPr="00A12F14" w:rsidP="003C0FAE" w14:paraId="7734EF91" w14:textId="77777777">
      <w:pPr>
        <w:spacing w:line="480" w:lineRule="auto"/>
        <w:ind w:left="720" w:hanging="720"/>
        <w:rPr>
          <w:rStyle w:val="StyleCourier12pt"/>
          <w:rFonts w:ascii="Times New Roman" w:hAnsi="Times New Roman"/>
          <w:szCs w:val="24"/>
        </w:rPr>
      </w:pPr>
    </w:p>
    <w:p w:rsidR="003C0FAE" w:rsidRPr="00A12F14" w:rsidP="003C0FAE" w14:paraId="44D784D0" w14:textId="77777777">
      <w:pPr>
        <w:spacing w:line="480" w:lineRule="auto"/>
        <w:ind w:left="720" w:hanging="720"/>
        <w:rPr>
          <w:rStyle w:val="StyleCourier12pt"/>
          <w:rFonts w:ascii="Times New Roman" w:hAnsi="Times New Roman"/>
          <w:b/>
          <w:i/>
          <w:szCs w:val="24"/>
        </w:rPr>
      </w:pPr>
      <w:r w:rsidRPr="00A12F14">
        <w:rPr>
          <w:rStyle w:val="StyleCourier12pt"/>
          <w:rFonts w:ascii="Times New Roman" w:hAnsi="Times New Roman"/>
          <w:b/>
          <w:i/>
          <w:szCs w:val="24"/>
        </w:rPr>
        <w:t>Q4.</w:t>
      </w:r>
      <w:r w:rsidRPr="00A12F14">
        <w:rPr>
          <w:rStyle w:val="StyleCourier12pt"/>
          <w:rFonts w:ascii="Times New Roman" w:hAnsi="Times New Roman"/>
          <w:b/>
          <w:i/>
          <w:szCs w:val="24"/>
        </w:rPr>
        <w:tab/>
        <w:t>WOULD YOU BRIEFLY STATE YOUR EDUCATIONAL BACKGROUND?</w:t>
      </w:r>
    </w:p>
    <w:p w:rsidR="003C0FAE" w:rsidRPr="00A12F14" w:rsidP="003C0FAE" w14:paraId="1B0EF236" w14:textId="77777777">
      <w:pPr>
        <w:spacing w:line="480" w:lineRule="auto"/>
        <w:ind w:left="720" w:hanging="720"/>
        <w:rPr>
          <w:sz w:val="24"/>
          <w:szCs w:val="24"/>
        </w:rPr>
      </w:pPr>
      <w:r w:rsidRPr="00A12F14">
        <w:rPr>
          <w:b/>
          <w:i/>
          <w:sz w:val="24"/>
          <w:szCs w:val="24"/>
        </w:rPr>
        <w:t>A4.</w:t>
      </w:r>
      <w:r w:rsidRPr="00A12F14">
        <w:rPr>
          <w:sz w:val="24"/>
          <w:szCs w:val="24"/>
        </w:rPr>
        <w:tab/>
        <w:t>I earned a Bachelor of Business Administration degree that included a major in finance and a minor in management from Ohio University in December 1983. In November 1986, I attended the Academy of Military Science and received a commission in the Air National Guard. I have also attended various seminars and rate case training programs sponsored by the PUCO.</w:t>
      </w:r>
    </w:p>
    <w:p w:rsidR="003C0FAE" w:rsidRPr="00A12F14" w:rsidP="003C0FAE" w14:paraId="276EC282" w14:textId="77777777">
      <w:pPr>
        <w:spacing w:line="480" w:lineRule="auto"/>
        <w:ind w:left="720" w:hanging="720"/>
        <w:rPr>
          <w:sz w:val="24"/>
          <w:szCs w:val="24"/>
        </w:rPr>
      </w:pPr>
    </w:p>
    <w:p w:rsidR="003C0FAE" w:rsidRPr="00A12F14" w:rsidP="003C0FAE" w14:paraId="5F28B43D" w14:textId="77777777">
      <w:pPr>
        <w:spacing w:line="480" w:lineRule="auto"/>
        <w:rPr>
          <w:b/>
          <w:i/>
          <w:sz w:val="24"/>
          <w:szCs w:val="24"/>
        </w:rPr>
      </w:pPr>
      <w:r w:rsidRPr="00A12F14">
        <w:rPr>
          <w:b/>
          <w:i/>
          <w:sz w:val="24"/>
          <w:szCs w:val="24"/>
        </w:rPr>
        <w:t>Q5.</w:t>
      </w:r>
      <w:r w:rsidRPr="00A12F14">
        <w:rPr>
          <w:b/>
          <w:i/>
          <w:sz w:val="24"/>
          <w:szCs w:val="24"/>
        </w:rPr>
        <w:tab/>
        <w:t>PLEASE OUTLINE YOUR WORK EXPERIENCE.</w:t>
      </w:r>
    </w:p>
    <w:p w:rsidR="003C0FAE" w:rsidP="003C0FAE" w14:paraId="37977F26" w14:textId="77777777">
      <w:pPr>
        <w:spacing w:line="480" w:lineRule="auto"/>
        <w:ind w:left="720" w:hanging="720"/>
        <w:rPr>
          <w:sz w:val="24"/>
          <w:szCs w:val="24"/>
        </w:rPr>
      </w:pPr>
      <w:r w:rsidRPr="00A12F14">
        <w:rPr>
          <w:rStyle w:val="StyleCourier12pt"/>
          <w:rFonts w:ascii="Times New Roman" w:hAnsi="Times New Roman"/>
          <w:b/>
          <w:i/>
          <w:szCs w:val="24"/>
        </w:rPr>
        <w:t>A5.</w:t>
      </w:r>
      <w:r w:rsidRPr="00A12F14">
        <w:rPr>
          <w:rStyle w:val="StyleCourier12pt"/>
          <w:rFonts w:ascii="Times New Roman" w:hAnsi="Times New Roman"/>
          <w:szCs w:val="24"/>
        </w:rPr>
        <w:tab/>
        <w:t>I joined the PUCO in February 1984 as a Utility Examiner in the Utilities Department. I held several technical and managerial positions with the PUCO over my 30-plus year career. I retired from the PUCO on December 1, 2014. My last position with the PUCO was Chief, Rates Division within the Rates and Analysis Department. In that position, my duties included developing, organizing, and directing the PUCO staff during rate case investigations and other financial audits of public utility companies subject to the jurisdiction of the PUCO. The determination of revenue requirements in connection with rate case investigations was under my purview. I joined OCC in October 2015</w:t>
      </w:r>
      <w:r w:rsidRPr="00A12F14">
        <w:rPr>
          <w:sz w:val="24"/>
          <w:szCs w:val="24"/>
        </w:rPr>
        <w:t xml:space="preserve">. </w:t>
      </w:r>
    </w:p>
    <w:p w:rsidR="003C0FAE" w:rsidP="003C0FAE" w14:paraId="49F5995D" w14:textId="77777777">
      <w:pPr>
        <w:spacing w:line="480" w:lineRule="auto"/>
        <w:ind w:left="720" w:hanging="720"/>
        <w:rPr>
          <w:sz w:val="24"/>
          <w:szCs w:val="24"/>
        </w:rPr>
      </w:pPr>
    </w:p>
    <w:p w:rsidR="003C0FAE" w:rsidRPr="007C602F" w:rsidP="003C0FAE" w14:paraId="6E096657" w14:textId="77777777">
      <w:pPr>
        <w:spacing w:line="480" w:lineRule="auto"/>
        <w:ind w:left="720"/>
        <w:rPr>
          <w:sz w:val="24"/>
          <w:szCs w:val="24"/>
        </w:rPr>
      </w:pPr>
      <w:r w:rsidRPr="007C602F">
        <w:rPr>
          <w:sz w:val="24"/>
          <w:szCs w:val="24"/>
        </w:rPr>
        <w:t>My military career spans 27 honorable years of service with the Ohio National Guard. I earned the rank of Lieutenant Colonel and I am a veteran of the war in Afghanistan. I retired from the Air National Guard in March 2006.</w:t>
      </w:r>
    </w:p>
    <w:p w:rsidR="003C0FAE" w:rsidRPr="007C602F" w:rsidP="003C0FAE" w14:paraId="79A80479" w14:textId="77777777">
      <w:pPr>
        <w:spacing w:line="480" w:lineRule="auto"/>
        <w:rPr>
          <w:sz w:val="24"/>
          <w:szCs w:val="24"/>
        </w:rPr>
      </w:pPr>
    </w:p>
    <w:p w:rsidR="003C0FAE" w:rsidRPr="007C602F" w:rsidP="003C0FAE" w14:paraId="3DC09350" w14:textId="77777777">
      <w:pPr>
        <w:spacing w:line="480" w:lineRule="auto"/>
        <w:rPr>
          <w:i/>
          <w:sz w:val="24"/>
          <w:szCs w:val="24"/>
        </w:rPr>
      </w:pPr>
      <w:r w:rsidRPr="007C602F">
        <w:rPr>
          <w:rStyle w:val="StyleCourier12pt"/>
          <w:rFonts w:ascii="Times New Roman" w:hAnsi="Times New Roman"/>
          <w:b/>
          <w:i/>
          <w:szCs w:val="24"/>
        </w:rPr>
        <w:t>Q6.</w:t>
      </w:r>
      <w:r w:rsidRPr="007C602F">
        <w:rPr>
          <w:rStyle w:val="StyleCourier12pt"/>
          <w:rFonts w:ascii="Times New Roman" w:hAnsi="Times New Roman"/>
          <w:b/>
          <w:i/>
          <w:szCs w:val="24"/>
        </w:rPr>
        <w:tab/>
        <w:t>HAVE YOU PREVIOUSLY TESTIFIED IN CASES BEFORE THE PUCO?</w:t>
      </w:r>
      <w:r w:rsidRPr="007C602F">
        <w:rPr>
          <w:i/>
          <w:sz w:val="24"/>
          <w:szCs w:val="24"/>
        </w:rPr>
        <w:t xml:space="preserve"> </w:t>
      </w:r>
    </w:p>
    <w:p w:rsidR="003C0FAE" w:rsidRPr="00A12F14" w:rsidP="004C50D0" w14:paraId="780CE016" w14:textId="46BA2ADF">
      <w:pPr>
        <w:pStyle w:val="Heading1"/>
      </w:pPr>
      <w:r w:rsidRPr="007C602F">
        <w:rPr>
          <w:i/>
        </w:rPr>
        <w:t>A6.</w:t>
      </w:r>
      <w:r w:rsidRPr="007C602F">
        <w:tab/>
      </w:r>
      <w:r w:rsidRPr="00EE5E04">
        <w:rPr>
          <w:b w:val="0"/>
          <w:bCs w:val="0"/>
        </w:rPr>
        <w:t>Yes,</w:t>
      </w:r>
      <w:r w:rsidRPr="00EE5E04" w:rsidR="008A4358">
        <w:rPr>
          <w:b w:val="0"/>
          <w:bCs w:val="0"/>
        </w:rPr>
        <w:t xml:space="preserve"> the cases in which I have presented testimony before the PUCO are listed on WRW Attachment A</w:t>
      </w:r>
      <w:r w:rsidRPr="007C602F">
        <w:t xml:space="preserve">. </w:t>
      </w:r>
      <w:r>
        <w:br w:type="page"/>
      </w:r>
      <w:bookmarkStart w:id="11" w:name="_Toc53058463"/>
      <w:r w:rsidRPr="00A12F14">
        <w:t>II.</w:t>
      </w:r>
      <w:r w:rsidRPr="00A12F14">
        <w:tab/>
        <w:t>PURPOSE OF TESTIMONY</w:t>
      </w:r>
      <w:bookmarkEnd w:id="11"/>
    </w:p>
    <w:p w:rsidR="003C0FAE" w:rsidP="003C0FAE" w14:paraId="20FDB497" w14:textId="77777777">
      <w:pPr>
        <w:spacing w:line="480" w:lineRule="auto"/>
        <w:ind w:left="720" w:hanging="720"/>
        <w:rPr>
          <w:b/>
          <w:i/>
          <w:sz w:val="24"/>
          <w:szCs w:val="24"/>
        </w:rPr>
      </w:pPr>
    </w:p>
    <w:p w:rsidR="003C0FAE" w:rsidRPr="00B96742" w:rsidP="003C0FAE" w14:paraId="4005BD6D" w14:textId="77777777">
      <w:pPr>
        <w:spacing w:line="480" w:lineRule="auto"/>
        <w:ind w:left="720" w:hanging="720"/>
        <w:rPr>
          <w:b/>
          <w:i/>
          <w:sz w:val="24"/>
          <w:szCs w:val="24"/>
        </w:rPr>
      </w:pPr>
      <w:r w:rsidRPr="00B96742">
        <w:rPr>
          <w:b/>
          <w:i/>
          <w:sz w:val="24"/>
          <w:szCs w:val="24"/>
        </w:rPr>
        <w:t>Q7.</w:t>
      </w:r>
      <w:r w:rsidRPr="00B96742">
        <w:rPr>
          <w:b/>
          <w:i/>
          <w:sz w:val="24"/>
          <w:szCs w:val="24"/>
        </w:rPr>
        <w:tab/>
        <w:t>WHAT IS THE PURPOSE OF YOUR TESTIMONY?</w:t>
      </w:r>
    </w:p>
    <w:p w:rsidR="003C0FAE" w:rsidRPr="00E803E1" w:rsidP="003C0FAE" w14:paraId="3740DDC2" w14:textId="3B2187DE">
      <w:pPr>
        <w:pStyle w:val="BodyA"/>
        <w:spacing w:line="480" w:lineRule="auto"/>
        <w:ind w:left="720" w:hanging="720"/>
        <w:rPr>
          <w:rFonts w:hAnsi="Times New Roman" w:cs="Times New Roman"/>
        </w:rPr>
      </w:pPr>
      <w:r w:rsidRPr="00B96742">
        <w:rPr>
          <w:b/>
          <w:i/>
        </w:rPr>
        <w:t>A7.</w:t>
      </w:r>
      <w:r w:rsidRPr="00BE69F4">
        <w:tab/>
      </w:r>
      <w:r w:rsidR="003B4A48">
        <w:rPr>
          <w:rFonts w:hAnsi="Times New Roman" w:cs="Times New Roman"/>
          <w:bCs/>
          <w:iCs/>
        </w:rPr>
        <w:t>The purpose of m</w:t>
      </w:r>
      <w:r w:rsidRPr="00FE75DA" w:rsidR="003B4A48">
        <w:rPr>
          <w:rFonts w:hAnsi="Times New Roman" w:cs="Times New Roman"/>
          <w:bCs/>
          <w:iCs/>
        </w:rPr>
        <w:t>y testimony</w:t>
      </w:r>
      <w:r w:rsidR="003B4A48">
        <w:rPr>
          <w:rFonts w:hAnsi="Times New Roman" w:cs="Times New Roman"/>
          <w:bCs/>
          <w:iCs/>
        </w:rPr>
        <w:t xml:space="preserve"> is to recommend</w:t>
      </w:r>
      <w:r w:rsidR="00514FB4">
        <w:rPr>
          <w:rFonts w:hAnsi="Times New Roman" w:cs="Times New Roman"/>
          <w:bCs/>
          <w:iCs/>
        </w:rPr>
        <w:t xml:space="preserve"> that</w:t>
      </w:r>
      <w:r w:rsidR="003B4A48">
        <w:rPr>
          <w:rFonts w:hAnsi="Times New Roman" w:cs="Times New Roman"/>
          <w:bCs/>
          <w:iCs/>
        </w:rPr>
        <w:t xml:space="preserve"> the PUCO </w:t>
      </w:r>
      <w:r w:rsidR="00774323">
        <w:rPr>
          <w:rFonts w:hAnsi="Times New Roman" w:cs="Times New Roman"/>
          <w:bCs/>
          <w:iCs/>
        </w:rPr>
        <w:t xml:space="preserve">reject Vectren’s </w:t>
      </w:r>
      <w:bookmarkStart w:id="12" w:name="_Hlk43108854"/>
      <w:r w:rsidR="00482991">
        <w:rPr>
          <w:rFonts w:hAnsi="Times New Roman" w:cs="Times New Roman"/>
          <w:bCs/>
          <w:iCs/>
        </w:rPr>
        <w:t>propos</w:t>
      </w:r>
      <w:r w:rsidR="004365D4">
        <w:rPr>
          <w:rFonts w:hAnsi="Times New Roman" w:cs="Times New Roman"/>
          <w:bCs/>
          <w:iCs/>
        </w:rPr>
        <w:t>al</w:t>
      </w:r>
      <w:r w:rsidR="00482991">
        <w:rPr>
          <w:rFonts w:hAnsi="Times New Roman" w:cs="Times New Roman"/>
          <w:bCs/>
          <w:iCs/>
        </w:rPr>
        <w:t xml:space="preserve"> to </w:t>
      </w:r>
      <w:r w:rsidR="00774323">
        <w:rPr>
          <w:rFonts w:hAnsi="Times New Roman" w:cs="Times New Roman"/>
          <w:bCs/>
          <w:iCs/>
        </w:rPr>
        <w:t>charge customers</w:t>
      </w:r>
      <w:r w:rsidR="002272B9">
        <w:rPr>
          <w:rFonts w:hAnsi="Times New Roman" w:cs="Times New Roman"/>
          <w:bCs/>
          <w:iCs/>
        </w:rPr>
        <w:t xml:space="preserve">, </w:t>
      </w:r>
      <w:r w:rsidR="00774323">
        <w:rPr>
          <w:rFonts w:hAnsi="Times New Roman" w:cs="Times New Roman"/>
          <w:bCs/>
          <w:iCs/>
        </w:rPr>
        <w:t>through its Tax Savings Credit Rider</w:t>
      </w:r>
      <w:r w:rsidR="00482991">
        <w:rPr>
          <w:rFonts w:hAnsi="Times New Roman" w:cs="Times New Roman"/>
          <w:bCs/>
          <w:iCs/>
        </w:rPr>
        <w:t xml:space="preserve"> </w:t>
      </w:r>
      <w:r w:rsidR="00774323">
        <w:rPr>
          <w:rFonts w:hAnsi="Times New Roman" w:cs="Times New Roman"/>
          <w:bCs/>
          <w:iCs/>
        </w:rPr>
        <w:t>(T</w:t>
      </w:r>
      <w:r w:rsidR="00BE0988">
        <w:rPr>
          <w:rFonts w:hAnsi="Times New Roman" w:cs="Times New Roman"/>
          <w:bCs/>
          <w:iCs/>
        </w:rPr>
        <w:t xml:space="preserve">ax </w:t>
      </w:r>
      <w:r w:rsidR="00774323">
        <w:rPr>
          <w:rFonts w:hAnsi="Times New Roman" w:cs="Times New Roman"/>
          <w:bCs/>
          <w:iCs/>
        </w:rPr>
        <w:t>C</w:t>
      </w:r>
      <w:r w:rsidR="00BE0988">
        <w:rPr>
          <w:rFonts w:hAnsi="Times New Roman" w:cs="Times New Roman"/>
          <w:bCs/>
          <w:iCs/>
        </w:rPr>
        <w:t>redit Rider</w:t>
      </w:r>
      <w:r w:rsidR="00774323">
        <w:rPr>
          <w:rFonts w:hAnsi="Times New Roman" w:cs="Times New Roman"/>
          <w:bCs/>
          <w:iCs/>
        </w:rPr>
        <w:t>)</w:t>
      </w:r>
      <w:r w:rsidR="002272B9">
        <w:rPr>
          <w:rFonts w:hAnsi="Times New Roman" w:cs="Times New Roman"/>
          <w:bCs/>
          <w:iCs/>
        </w:rPr>
        <w:t xml:space="preserve">, profits on </w:t>
      </w:r>
      <w:r w:rsidR="00482991">
        <w:rPr>
          <w:rFonts w:hAnsi="Times New Roman" w:cs="Times New Roman"/>
          <w:bCs/>
          <w:iCs/>
        </w:rPr>
        <w:t xml:space="preserve">rate base </w:t>
      </w:r>
      <w:r w:rsidR="00774323">
        <w:rPr>
          <w:rFonts w:hAnsi="Times New Roman" w:cs="Times New Roman"/>
          <w:bCs/>
          <w:iCs/>
        </w:rPr>
        <w:t>associated with its Normalized Excess Deferred Income Taxes (EDIT)</w:t>
      </w:r>
      <w:r w:rsidR="002272B9">
        <w:rPr>
          <w:rFonts w:hAnsi="Times New Roman" w:cs="Times New Roman"/>
          <w:bCs/>
          <w:iCs/>
        </w:rPr>
        <w:t>.</w:t>
      </w:r>
      <w:r w:rsidR="0001540E">
        <w:rPr>
          <w:rFonts w:hAnsi="Times New Roman" w:cs="Times New Roman"/>
          <w:bCs/>
          <w:iCs/>
        </w:rPr>
        <w:t xml:space="preserve"> </w:t>
      </w:r>
      <w:r w:rsidR="002272B9">
        <w:rPr>
          <w:rFonts w:hAnsi="Times New Roman" w:cs="Times New Roman"/>
          <w:bCs/>
          <w:iCs/>
        </w:rPr>
        <w:t>Instead</w:t>
      </w:r>
      <w:r w:rsidR="00C30384">
        <w:rPr>
          <w:rFonts w:hAnsi="Times New Roman" w:cs="Times New Roman"/>
          <w:bCs/>
          <w:iCs/>
        </w:rPr>
        <w:t>,</w:t>
      </w:r>
      <w:r w:rsidR="002272B9">
        <w:rPr>
          <w:rFonts w:hAnsi="Times New Roman" w:cs="Times New Roman"/>
          <w:bCs/>
          <w:iCs/>
        </w:rPr>
        <w:t xml:space="preserve"> any proposal to seek such profits</w:t>
      </w:r>
      <w:r w:rsidR="00C30384">
        <w:rPr>
          <w:rFonts w:hAnsi="Times New Roman" w:cs="Times New Roman"/>
          <w:bCs/>
          <w:iCs/>
        </w:rPr>
        <w:t xml:space="preserve"> at consumer expense</w:t>
      </w:r>
      <w:r w:rsidR="002272B9">
        <w:rPr>
          <w:rFonts w:hAnsi="Times New Roman" w:cs="Times New Roman"/>
          <w:bCs/>
          <w:iCs/>
        </w:rPr>
        <w:t xml:space="preserve"> should be considered within the context of a base </w:t>
      </w:r>
      <w:r w:rsidR="00482991">
        <w:rPr>
          <w:rFonts w:hAnsi="Times New Roman" w:cs="Times New Roman"/>
          <w:bCs/>
          <w:iCs/>
        </w:rPr>
        <w:t>distribution rate cas</w:t>
      </w:r>
      <w:bookmarkEnd w:id="12"/>
      <w:r w:rsidR="002272B9">
        <w:rPr>
          <w:rFonts w:hAnsi="Times New Roman" w:cs="Times New Roman"/>
          <w:bCs/>
          <w:iCs/>
        </w:rPr>
        <w:t>e</w:t>
      </w:r>
      <w:r w:rsidR="00E63BAB">
        <w:rPr>
          <w:rFonts w:hAnsi="Times New Roman" w:cs="Times New Roman"/>
          <w:bCs/>
          <w:iCs/>
        </w:rPr>
        <w:t xml:space="preserve"> (and not in a</w:t>
      </w:r>
      <w:r w:rsidR="008450EF">
        <w:rPr>
          <w:rFonts w:hAnsi="Times New Roman" w:cs="Times New Roman"/>
          <w:bCs/>
          <w:iCs/>
        </w:rPr>
        <w:t xml:space="preserve"> single-issue</w:t>
      </w:r>
      <w:r w:rsidR="00E63BAB">
        <w:rPr>
          <w:rFonts w:hAnsi="Times New Roman" w:cs="Times New Roman"/>
          <w:bCs/>
          <w:iCs/>
        </w:rPr>
        <w:t xml:space="preserve"> rider case)</w:t>
      </w:r>
      <w:r w:rsidR="002272B9">
        <w:rPr>
          <w:rFonts w:hAnsi="Times New Roman" w:cs="Times New Roman"/>
          <w:bCs/>
          <w:iCs/>
        </w:rPr>
        <w:t>.</w:t>
      </w:r>
    </w:p>
    <w:p w:rsidR="003C0FAE" w:rsidP="003C0FAE" w14:paraId="4E88292D" w14:textId="77777777">
      <w:pPr>
        <w:spacing w:line="480" w:lineRule="auto"/>
        <w:ind w:left="720" w:hanging="720"/>
        <w:rPr>
          <w:sz w:val="24"/>
          <w:szCs w:val="24"/>
        </w:rPr>
      </w:pPr>
    </w:p>
    <w:p w:rsidR="003C0FAE" w:rsidRPr="00360AB7" w:rsidP="003C0FAE" w14:paraId="58A08B0C" w14:textId="77777777">
      <w:pPr>
        <w:pStyle w:val="DirectQuestion"/>
        <w:ind w:left="720" w:hanging="720"/>
        <w:rPr>
          <w:rFonts w:hAnsi="Times New Roman" w:cs="Times New Roman"/>
        </w:rPr>
      </w:pPr>
      <w:r w:rsidRPr="00CA22F6">
        <w:rPr>
          <w:rFonts w:hAnsi="Times New Roman" w:cs="Times New Roman"/>
        </w:rPr>
        <w:t>Q</w:t>
      </w:r>
      <w:r>
        <w:rPr>
          <w:rFonts w:hAnsi="Times New Roman" w:cs="Times New Roman"/>
        </w:rPr>
        <w:t>8</w:t>
      </w:r>
      <w:r w:rsidRPr="00CA22F6">
        <w:rPr>
          <w:rFonts w:hAnsi="Times New Roman" w:cs="Times New Roman"/>
        </w:rPr>
        <w:t>.</w:t>
      </w:r>
      <w:r w:rsidRPr="00CA22F6">
        <w:rPr>
          <w:rFonts w:hAnsi="Times New Roman" w:cs="Times New Roman"/>
        </w:rPr>
        <w:tab/>
      </w:r>
      <w:r w:rsidR="00774323">
        <w:rPr>
          <w:rFonts w:hAnsi="Times New Roman" w:cs="Times New Roman"/>
        </w:rPr>
        <w:t>would you please provide some background regarding vectren’s tax savings credit rider</w:t>
      </w:r>
      <w:r w:rsidRPr="00CA22F6">
        <w:t>?</w:t>
      </w:r>
    </w:p>
    <w:p w:rsidR="008649A0" w:rsidP="00774323" w14:paraId="22033430" w14:textId="0A46ABD4">
      <w:pPr>
        <w:pStyle w:val="DirectAnswer"/>
        <w:rPr>
          <w:rFonts w:hAnsi="Times New Roman" w:cs="Times New Roman"/>
          <w:bCs/>
          <w:iCs/>
        </w:rPr>
      </w:pPr>
      <w:r w:rsidRPr="00360AB7">
        <w:rPr>
          <w:b/>
          <w:bCs/>
          <w:i/>
          <w:iCs/>
        </w:rPr>
        <w:t>A</w:t>
      </w:r>
      <w:r>
        <w:rPr>
          <w:b/>
          <w:bCs/>
          <w:i/>
          <w:iCs/>
        </w:rPr>
        <w:t>8</w:t>
      </w:r>
      <w:r w:rsidRPr="00D91403">
        <w:rPr>
          <w:b/>
          <w:bCs/>
          <w:i/>
          <w:iCs/>
        </w:rPr>
        <w:t>.</w:t>
      </w:r>
      <w:r w:rsidRPr="00D91403">
        <w:rPr>
          <w:b/>
          <w:bCs/>
          <w:i/>
          <w:iCs/>
        </w:rPr>
        <w:tab/>
      </w:r>
      <w:r w:rsidRPr="00E24CE3" w:rsidR="00E24CE3">
        <w:rPr>
          <w:rFonts w:hAnsi="Times New Roman" w:cs="Times New Roman"/>
          <w:bCs/>
          <w:iCs/>
        </w:rPr>
        <w:t>Yes.</w:t>
      </w:r>
      <w:r w:rsidR="0001540E">
        <w:rPr>
          <w:rFonts w:hAnsi="Times New Roman" w:cs="Times New Roman"/>
          <w:bCs/>
          <w:iCs/>
        </w:rPr>
        <w:t xml:space="preserve"> </w:t>
      </w:r>
      <w:r w:rsidR="00972BF9">
        <w:rPr>
          <w:rFonts w:hAnsi="Times New Roman" w:cs="Times New Roman"/>
          <w:bCs/>
          <w:iCs/>
        </w:rPr>
        <w:t xml:space="preserve">In December 2017, the President signed into law </w:t>
      </w:r>
      <w:r w:rsidRPr="00E24CE3" w:rsidR="00E24CE3">
        <w:rPr>
          <w:rFonts w:hAnsi="Times New Roman" w:cs="Times New Roman"/>
          <w:bCs/>
          <w:iCs/>
        </w:rPr>
        <w:t>the Tax Cuts and Jobs Act of 2017 (“</w:t>
      </w:r>
      <w:r w:rsidR="002272B9">
        <w:rPr>
          <w:rFonts w:hAnsi="Times New Roman" w:cs="Times New Roman"/>
          <w:bCs/>
          <w:iCs/>
        </w:rPr>
        <w:t>2017 Federal Tax Cut”</w:t>
      </w:r>
      <w:r w:rsidRPr="00E24CE3" w:rsidR="00E24CE3">
        <w:rPr>
          <w:rFonts w:hAnsi="Times New Roman" w:cs="Times New Roman"/>
          <w:bCs/>
          <w:iCs/>
        </w:rPr>
        <w:t>). That law reduced the corporate income tax rate (from 35</w:t>
      </w:r>
      <w:r w:rsidR="004E2E42">
        <w:rPr>
          <w:rFonts w:hAnsi="Times New Roman" w:cs="Times New Roman"/>
          <w:bCs/>
          <w:iCs/>
        </w:rPr>
        <w:t>%</w:t>
      </w:r>
      <w:r w:rsidRPr="00E24CE3" w:rsidR="00E24CE3">
        <w:rPr>
          <w:rFonts w:hAnsi="Times New Roman" w:cs="Times New Roman"/>
          <w:bCs/>
          <w:iCs/>
        </w:rPr>
        <w:t xml:space="preserve"> percent to 21</w:t>
      </w:r>
      <w:r w:rsidR="004E2E42">
        <w:rPr>
          <w:rFonts w:hAnsi="Times New Roman" w:cs="Times New Roman"/>
          <w:bCs/>
          <w:iCs/>
        </w:rPr>
        <w:t>%</w:t>
      </w:r>
      <w:r w:rsidRPr="00E24CE3" w:rsidR="00E24CE3">
        <w:rPr>
          <w:rFonts w:hAnsi="Times New Roman" w:cs="Times New Roman"/>
          <w:bCs/>
          <w:iCs/>
        </w:rPr>
        <w:t xml:space="preserve">) and thereby reduced the tax payments </w:t>
      </w:r>
      <w:r w:rsidR="002272B9">
        <w:rPr>
          <w:rFonts w:hAnsi="Times New Roman" w:cs="Times New Roman"/>
          <w:bCs/>
          <w:iCs/>
        </w:rPr>
        <w:t xml:space="preserve">made by </w:t>
      </w:r>
      <w:r w:rsidRPr="00E24CE3" w:rsidR="00E24CE3">
        <w:rPr>
          <w:rFonts w:hAnsi="Times New Roman" w:cs="Times New Roman"/>
          <w:bCs/>
          <w:iCs/>
        </w:rPr>
        <w:t>utilities like Vectren.</w:t>
      </w:r>
      <w:r w:rsidR="0001540E">
        <w:rPr>
          <w:rFonts w:hAnsi="Times New Roman" w:cs="Times New Roman"/>
          <w:bCs/>
          <w:iCs/>
        </w:rPr>
        <w:t xml:space="preserve"> </w:t>
      </w:r>
      <w:r w:rsidR="002272B9">
        <w:rPr>
          <w:rFonts w:hAnsi="Times New Roman" w:cs="Times New Roman"/>
          <w:bCs/>
          <w:iCs/>
        </w:rPr>
        <w:t>T</w:t>
      </w:r>
      <w:r w:rsidRPr="00E24CE3" w:rsidR="00E24CE3">
        <w:rPr>
          <w:rFonts w:hAnsi="Times New Roman" w:cs="Times New Roman"/>
          <w:bCs/>
          <w:iCs/>
        </w:rPr>
        <w:t xml:space="preserve">he PUCO </w:t>
      </w:r>
      <w:r w:rsidR="00AA7B70">
        <w:rPr>
          <w:rFonts w:hAnsi="Times New Roman" w:cs="Times New Roman"/>
          <w:bCs/>
          <w:iCs/>
        </w:rPr>
        <w:t>opened a Commission</w:t>
      </w:r>
      <w:r w:rsidR="004E2E42">
        <w:rPr>
          <w:rFonts w:hAnsi="Times New Roman" w:cs="Times New Roman"/>
          <w:bCs/>
          <w:iCs/>
        </w:rPr>
        <w:t>-</w:t>
      </w:r>
      <w:r w:rsidR="00AA7B70">
        <w:rPr>
          <w:rFonts w:hAnsi="Times New Roman" w:cs="Times New Roman"/>
          <w:bCs/>
          <w:iCs/>
        </w:rPr>
        <w:t>Ordered Investigation to “determine the appropriate course of action to pass benefits resulting from the legislation on to ratepayers.”</w:t>
      </w:r>
      <w:r>
        <w:rPr>
          <w:rStyle w:val="FootnoteReference"/>
          <w:rFonts w:hAnsi="Times New Roman" w:cs="Times New Roman"/>
          <w:bCs/>
          <w:iCs/>
        </w:rPr>
        <w:footnoteReference w:id="2"/>
      </w:r>
      <w:r w:rsidR="0001540E">
        <w:rPr>
          <w:rFonts w:hAnsi="Times New Roman" w:cs="Times New Roman"/>
          <w:bCs/>
          <w:iCs/>
        </w:rPr>
        <w:t xml:space="preserve"> </w:t>
      </w:r>
      <w:r w:rsidR="00277549">
        <w:rPr>
          <w:rFonts w:hAnsi="Times New Roman" w:cs="Times New Roman"/>
          <w:bCs/>
          <w:iCs/>
        </w:rPr>
        <w:t xml:space="preserve">The PUCO also found that </w:t>
      </w:r>
      <w:r w:rsidR="00960972">
        <w:rPr>
          <w:rFonts w:hAnsi="Times New Roman" w:cs="Times New Roman"/>
          <w:bCs/>
          <w:iCs/>
        </w:rPr>
        <w:t>“</w:t>
      </w:r>
      <w:r w:rsidR="00277549">
        <w:rPr>
          <w:rFonts w:hAnsi="Times New Roman" w:cs="Times New Roman"/>
          <w:bCs/>
          <w:iCs/>
        </w:rPr>
        <w:t xml:space="preserve">unless ordered otherwise, all Ohio rate-regulated utility companies should be directed to file applications </w:t>
      </w:r>
      <w:r w:rsidR="00960972">
        <w:rPr>
          <w:rFonts w:hAnsi="Times New Roman" w:cs="Times New Roman"/>
          <w:bCs/>
          <w:iCs/>
        </w:rPr>
        <w:t>‘</w:t>
      </w:r>
      <w:r w:rsidR="00277549">
        <w:rPr>
          <w:rFonts w:hAnsi="Times New Roman" w:cs="Times New Roman"/>
          <w:bCs/>
          <w:iCs/>
        </w:rPr>
        <w:t>not for an increase in rates</w:t>
      </w:r>
      <w:r w:rsidR="00960972">
        <w:rPr>
          <w:rFonts w:hAnsi="Times New Roman" w:cs="Times New Roman"/>
          <w:bCs/>
          <w:iCs/>
        </w:rPr>
        <w:t>’</w:t>
      </w:r>
      <w:r w:rsidR="00277549">
        <w:rPr>
          <w:rFonts w:hAnsi="Times New Roman" w:cs="Times New Roman"/>
          <w:bCs/>
          <w:iCs/>
        </w:rPr>
        <w:t xml:space="preserve">, pursuant to R.C. 4909.18, in a newly initiated proceeding, </w:t>
      </w:r>
      <w:r w:rsidR="00960972">
        <w:rPr>
          <w:rFonts w:hAnsi="Times New Roman" w:cs="Times New Roman"/>
          <w:bCs/>
          <w:iCs/>
        </w:rPr>
        <w:t xml:space="preserve">to pass along to consumers the tax savings resulting from the </w:t>
      </w:r>
      <w:r w:rsidR="00A20636">
        <w:rPr>
          <w:rFonts w:hAnsi="Times New Roman" w:cs="Times New Roman"/>
          <w:bCs/>
          <w:iCs/>
        </w:rPr>
        <w:t>2017 Federal Tax Cut</w:t>
      </w:r>
      <w:r w:rsidR="00960972">
        <w:rPr>
          <w:rFonts w:hAnsi="Times New Roman" w:cs="Times New Roman"/>
          <w:bCs/>
          <w:iCs/>
        </w:rPr>
        <w:t>.”</w:t>
      </w:r>
      <w:r>
        <w:rPr>
          <w:rStyle w:val="FootnoteReference"/>
          <w:rFonts w:hAnsi="Times New Roman" w:cs="Times New Roman"/>
          <w:bCs/>
          <w:iCs/>
        </w:rPr>
        <w:footnoteReference w:id="3"/>
      </w:r>
    </w:p>
    <w:p w:rsidR="002272B9" w:rsidP="00A20636" w14:paraId="6FF5CD55" w14:textId="7C592FD4">
      <w:pPr>
        <w:pStyle w:val="DirectNext"/>
        <w:ind w:hanging="720"/>
      </w:pPr>
      <w:r>
        <w:rPr>
          <w:b/>
          <w:bCs/>
          <w:i/>
          <w:iCs/>
        </w:rPr>
        <w:t>Q9.</w:t>
      </w:r>
      <w:r>
        <w:tab/>
      </w:r>
      <w:r>
        <w:rPr>
          <w:b/>
          <w:bCs/>
          <w:i/>
          <w:iCs/>
        </w:rPr>
        <w:t>DID VECTREN COMPLY WITH THE PUCO</w:t>
      </w:r>
      <w:r>
        <w:rPr>
          <w:b/>
          <w:bCs/>
          <w:i/>
          <w:iCs/>
        </w:rPr>
        <w:t>’</w:t>
      </w:r>
      <w:r w:rsidRPr="00144421" w:rsidR="00D33F24">
        <w:rPr>
          <w:b/>
          <w:bCs/>
          <w:i/>
          <w:iCs/>
        </w:rPr>
        <w:t>S</w:t>
      </w:r>
      <w:r>
        <w:rPr>
          <w:b/>
          <w:bCs/>
          <w:i/>
          <w:iCs/>
        </w:rPr>
        <w:t xml:space="preserve"> DIRECTIVE TO PASS ALONG TO CONSUMERS THE 2017 FEDERAL TAX CUST SAVINGS?</w:t>
      </w:r>
      <w:r w:rsidR="0001540E">
        <w:rPr>
          <w:b/>
          <w:bCs/>
          <w:i/>
          <w:iCs/>
        </w:rPr>
        <w:t xml:space="preserve"> </w:t>
      </w:r>
    </w:p>
    <w:p w:rsidR="00C9759A" w:rsidP="00A20636" w14:paraId="43D3230D" w14:textId="2F26FF66">
      <w:pPr>
        <w:pStyle w:val="DirectNext"/>
        <w:ind w:hanging="720"/>
      </w:pPr>
      <w:r>
        <w:rPr>
          <w:b/>
          <w:bCs/>
          <w:i/>
          <w:iCs/>
        </w:rPr>
        <w:t>A9</w:t>
      </w:r>
      <w:r w:rsidR="000F1C89">
        <w:t>.</w:t>
      </w:r>
      <w:r w:rsidR="002272B9">
        <w:tab/>
      </w:r>
      <w:r w:rsidR="00FA0154">
        <w:t>Yes, but Vectren is seeking an additional component that would charge consumers.</w:t>
      </w:r>
      <w:r w:rsidR="0098498B">
        <w:t xml:space="preserve"> </w:t>
      </w:r>
      <w:r w:rsidR="0015291F">
        <w:t>Vectren filed its application on January 7, 2019.</w:t>
      </w:r>
      <w:r>
        <w:rPr>
          <w:rStyle w:val="FootnoteReference"/>
        </w:rPr>
        <w:footnoteReference w:id="4"/>
      </w:r>
      <w:r w:rsidR="0001540E">
        <w:t xml:space="preserve"> </w:t>
      </w:r>
      <w:r>
        <w:t>Vectren</w:t>
      </w:r>
      <w:r>
        <w:t>’</w:t>
      </w:r>
      <w:r>
        <w:t>s application fundamentally consisted of four components. Components A through D are as follows:</w:t>
      </w:r>
    </w:p>
    <w:p w:rsidR="00C9759A" w:rsidP="009046F1" w14:paraId="15F4763A" w14:textId="77777777">
      <w:pPr>
        <w:pStyle w:val="DirectNext"/>
        <w:numPr>
          <w:ilvl w:val="0"/>
          <w:numId w:val="29"/>
        </w:numPr>
        <w:ind w:left="2160" w:hanging="720"/>
      </w:pPr>
      <w:r>
        <w:t xml:space="preserve">Component A represents the amortization of its normalized </w:t>
      </w:r>
      <w:r w:rsidR="004308E5">
        <w:t>EDIT according to the average rate assumption method (ARAM).</w:t>
      </w:r>
      <w:r w:rsidR="0001540E">
        <w:t xml:space="preserve"> </w:t>
      </w:r>
      <w:r w:rsidR="004308E5">
        <w:t xml:space="preserve">ARAM is </w:t>
      </w:r>
      <w:r w:rsidR="008A3D7C">
        <w:t xml:space="preserve">required by </w:t>
      </w:r>
      <w:r w:rsidR="004308E5">
        <w:t xml:space="preserve">federal </w:t>
      </w:r>
      <w:r w:rsidR="008A3D7C">
        <w:t>regulations</w:t>
      </w:r>
      <w:r w:rsidR="004308E5">
        <w:t>.</w:t>
      </w:r>
    </w:p>
    <w:p w:rsidR="004308E5" w:rsidP="009046F1" w14:paraId="5E685401" w14:textId="77777777">
      <w:pPr>
        <w:pStyle w:val="DirectNext"/>
        <w:numPr>
          <w:ilvl w:val="0"/>
          <w:numId w:val="29"/>
        </w:numPr>
        <w:ind w:left="2160" w:hanging="720"/>
      </w:pPr>
      <w:r>
        <w:t>Component B represents the amortization of the non-normalized EDIT.</w:t>
      </w:r>
      <w:r w:rsidR="0001540E">
        <w:t xml:space="preserve"> </w:t>
      </w:r>
      <w:r>
        <w:t xml:space="preserve">Vectren proposed to return the non-normalized EDIT </w:t>
      </w:r>
      <w:r w:rsidR="008A3D7C">
        <w:t xml:space="preserve">to customers </w:t>
      </w:r>
      <w:r>
        <w:t>over a period of six years</w:t>
      </w:r>
      <w:r w:rsidR="008A3D7C">
        <w:t>. T</w:t>
      </w:r>
      <w:r>
        <w:t>his type of EDIT is not subject to federal amortization requirements.</w:t>
      </w:r>
    </w:p>
    <w:p w:rsidR="004308E5" w:rsidP="009046F1" w14:paraId="636B8865" w14:textId="77777777">
      <w:pPr>
        <w:pStyle w:val="DirectNext"/>
        <w:numPr>
          <w:ilvl w:val="0"/>
          <w:numId w:val="29"/>
        </w:numPr>
        <w:ind w:left="2160" w:hanging="720"/>
      </w:pPr>
      <w:r>
        <w:t xml:space="preserve">Component C is the PUCO ordered deferred liability for the period January 1, 2018 until the period Vectren </w:t>
      </w:r>
      <w:r w:rsidR="00995A1A">
        <w:t>lowers its federal income tax rate from 35% to 21% through rates through its T</w:t>
      </w:r>
      <w:r w:rsidR="00BE0988">
        <w:t>ax Credit Rider</w:t>
      </w:r>
      <w:r w:rsidR="00995A1A">
        <w:t xml:space="preserve">, also known as the </w:t>
      </w:r>
      <w:r w:rsidR="00995A1A">
        <w:t>“</w:t>
      </w:r>
      <w:r w:rsidR="00995A1A">
        <w:t>Stub</w:t>
      </w:r>
      <w:r w:rsidR="008A3D7C">
        <w:t>.</w:t>
      </w:r>
      <w:r w:rsidR="00995A1A">
        <w:t>”</w:t>
      </w:r>
      <w:r w:rsidR="0001540E">
        <w:t xml:space="preserve"> </w:t>
      </w:r>
      <w:r w:rsidR="00995A1A">
        <w:t>Vectren proposed to return the stub over a 12-month period.</w:t>
      </w:r>
    </w:p>
    <w:p w:rsidR="009046F1" w:rsidRPr="009046F1" w:rsidP="009046F1" w14:paraId="2F5C8952" w14:textId="67B2E070">
      <w:pPr>
        <w:pStyle w:val="DirectNext"/>
        <w:numPr>
          <w:ilvl w:val="0"/>
          <w:numId w:val="29"/>
        </w:numPr>
        <w:ind w:left="2160" w:hanging="720"/>
      </w:pPr>
      <w:r>
        <w:t>Component D is an</w:t>
      </w:r>
      <w:r w:rsidR="00631EF0">
        <w:t xml:space="preserve"> </w:t>
      </w:r>
      <w:r>
        <w:t>incremental</w:t>
      </w:r>
      <w:r w:rsidR="00631EF0">
        <w:t xml:space="preserve"> annual</w:t>
      </w:r>
      <w:r>
        <w:t xml:space="preserve"> return on rate base</w:t>
      </w:r>
      <w:r w:rsidR="006E6B64">
        <w:t xml:space="preserve"> (that Vectren </w:t>
      </w:r>
      <w:r w:rsidR="0014388B">
        <w:t>wants to</w:t>
      </w:r>
      <w:r w:rsidR="006E6B64">
        <w:t xml:space="preserve"> charge to consumers)</w:t>
      </w:r>
      <w:r w:rsidR="00631EF0">
        <w:t xml:space="preserve"> associated with the accumulated amortization of component A calculated at the pre-tax weighted average cost of capital authorized in its most recent rate case (Case No. 18-298-GA-AIR).</w:t>
      </w:r>
      <w:r w:rsidR="000F1C89">
        <w:t xml:space="preserve"> </w:t>
      </w:r>
      <w:r>
        <w:br w:type="page"/>
      </w:r>
    </w:p>
    <w:p w:rsidR="008A0E07" w:rsidP="008A0E07" w14:paraId="03AC8B93" w14:textId="29F53C40">
      <w:pPr>
        <w:pStyle w:val="DirectNext"/>
        <w:spacing w:line="480" w:lineRule="auto"/>
        <w:ind w:left="90"/>
        <w:rPr>
          <w:rFonts w:hAnsi="Times New Roman" w:cs="Times New Roman"/>
          <w:b/>
          <w:bCs/>
          <w:i/>
          <w:iCs/>
        </w:rPr>
      </w:pPr>
      <w:r>
        <w:rPr>
          <w:rFonts w:hAnsi="Times New Roman" w:cs="Times New Roman"/>
          <w:b/>
          <w:bCs/>
          <w:i/>
          <w:iCs/>
        </w:rPr>
        <w:t>Q10.</w:t>
      </w:r>
      <w:r>
        <w:rPr>
          <w:rFonts w:hAnsi="Times New Roman" w:cs="Times New Roman"/>
          <w:b/>
          <w:bCs/>
          <w:i/>
          <w:iCs/>
        </w:rPr>
        <w:tab/>
        <w:t>IS COMPONENT D THE ISSUE THAT OCC CONTESTS IN THIS PROCEEDING?</w:t>
      </w:r>
    </w:p>
    <w:p w:rsidR="0015291F" w:rsidRPr="0015291F" w:rsidP="00FA2C1B" w14:paraId="0C0CE795" w14:textId="149C06AD">
      <w:pPr>
        <w:pStyle w:val="DirectNext"/>
        <w:spacing w:line="480" w:lineRule="auto"/>
        <w:ind w:hanging="630"/>
      </w:pPr>
      <w:r>
        <w:rPr>
          <w:rFonts w:hAnsi="Times New Roman" w:cs="Times New Roman"/>
          <w:b/>
          <w:bCs/>
          <w:i/>
          <w:iCs/>
        </w:rPr>
        <w:t>A10.</w:t>
      </w:r>
      <w:r>
        <w:rPr>
          <w:rFonts w:hAnsi="Times New Roman" w:cs="Times New Roman"/>
          <w:b/>
          <w:bCs/>
          <w:i/>
          <w:iCs/>
        </w:rPr>
        <w:tab/>
      </w:r>
      <w:r>
        <w:rPr>
          <w:rFonts w:hAnsi="Times New Roman" w:cs="Times New Roman"/>
        </w:rPr>
        <w:t>Yes.</w:t>
      </w:r>
      <w:r w:rsidR="0098498B">
        <w:rPr>
          <w:rFonts w:hAnsi="Times New Roman" w:cs="Times New Roman"/>
        </w:rPr>
        <w:t xml:space="preserve"> </w:t>
      </w:r>
      <w:r w:rsidRPr="0001540E" w:rsidR="00EA622F">
        <w:rPr>
          <w:rFonts w:hAnsi="Times New Roman" w:cs="Times New Roman"/>
        </w:rPr>
        <w:t xml:space="preserve">After extensive negotiations, Vectren, Staff, and OCC </w:t>
      </w:r>
      <w:r w:rsidRPr="0001540E" w:rsidR="006F11F2">
        <w:rPr>
          <w:rFonts w:hAnsi="Times New Roman" w:cs="Times New Roman"/>
        </w:rPr>
        <w:t>(</w:t>
      </w:r>
      <w:r w:rsidRPr="0001540E" w:rsidR="00631EF0">
        <w:rPr>
          <w:rFonts w:hAnsi="Times New Roman" w:cs="Times New Roman"/>
        </w:rPr>
        <w:t>“</w:t>
      </w:r>
      <w:r w:rsidR="006E6B64">
        <w:rPr>
          <w:rFonts w:hAnsi="Times New Roman" w:cs="Times New Roman"/>
        </w:rPr>
        <w:t>t</w:t>
      </w:r>
      <w:r w:rsidRPr="0001540E" w:rsidR="00631EF0">
        <w:rPr>
          <w:rFonts w:hAnsi="Times New Roman" w:cs="Times New Roman"/>
        </w:rPr>
        <w:t>he P</w:t>
      </w:r>
      <w:r w:rsidRPr="0001540E" w:rsidR="006F11F2">
        <w:rPr>
          <w:rFonts w:hAnsi="Times New Roman" w:cs="Times New Roman"/>
        </w:rPr>
        <w:t>arties</w:t>
      </w:r>
      <w:r w:rsidRPr="0001540E" w:rsidR="00631EF0">
        <w:rPr>
          <w:rFonts w:hAnsi="Times New Roman" w:cs="Times New Roman"/>
        </w:rPr>
        <w:t>”</w:t>
      </w:r>
      <w:r w:rsidRPr="0001540E" w:rsidR="006F11F2">
        <w:rPr>
          <w:rFonts w:hAnsi="Times New Roman" w:cs="Times New Roman"/>
        </w:rPr>
        <w:t xml:space="preserve">) </w:t>
      </w:r>
      <w:r w:rsidRPr="0001540E" w:rsidR="00EA622F">
        <w:rPr>
          <w:rFonts w:hAnsi="Times New Roman" w:cs="Times New Roman"/>
        </w:rPr>
        <w:t>filed a Settlement on May 28, 2020</w:t>
      </w:r>
      <w:r w:rsidR="006E6B64">
        <w:rPr>
          <w:rFonts w:hAnsi="Times New Roman" w:cs="Times New Roman"/>
        </w:rPr>
        <w:t>,</w:t>
      </w:r>
      <w:r w:rsidRPr="0001540E" w:rsidR="00EA622F">
        <w:rPr>
          <w:rFonts w:hAnsi="Times New Roman" w:cs="Times New Roman"/>
        </w:rPr>
        <w:t xml:space="preserve"> that resolved all issues</w:t>
      </w:r>
      <w:r w:rsidRPr="0001540E" w:rsidR="006F11F2">
        <w:rPr>
          <w:rFonts w:hAnsi="Times New Roman" w:cs="Times New Roman"/>
        </w:rPr>
        <w:t xml:space="preserve"> except for </w:t>
      </w:r>
      <w:r w:rsidRPr="0001540E" w:rsidR="00B267DD">
        <w:rPr>
          <w:rFonts w:hAnsi="Times New Roman" w:cs="Times New Roman"/>
        </w:rPr>
        <w:t>Component D</w:t>
      </w:r>
      <w:r w:rsidRPr="0001540E" w:rsidR="006F11F2">
        <w:rPr>
          <w:rFonts w:hAnsi="Times New Roman" w:cs="Times New Roman"/>
        </w:rPr>
        <w:t>.</w:t>
      </w:r>
      <w:r w:rsidRPr="0001540E" w:rsidR="0001540E">
        <w:rPr>
          <w:rFonts w:hAnsi="Times New Roman" w:cs="Times New Roman"/>
        </w:rPr>
        <w:t xml:space="preserve"> </w:t>
      </w:r>
      <w:r w:rsidRPr="0001540E" w:rsidR="004B2ED3">
        <w:rPr>
          <w:rFonts w:hAnsi="Times New Roman" w:cs="Times New Roman"/>
        </w:rPr>
        <w:t>As part of the</w:t>
      </w:r>
      <w:r w:rsidR="004B2ED3">
        <w:t xml:space="preserve"> Settlement, </w:t>
      </w:r>
      <w:r w:rsidR="000F1C89">
        <w:t>t</w:t>
      </w:r>
      <w:r w:rsidR="00631EF0">
        <w:t>he Parties</w:t>
      </w:r>
      <w:r w:rsidR="004B2ED3">
        <w:t xml:space="preserve"> agreed to </w:t>
      </w:r>
      <w:r w:rsidR="0099576B">
        <w:t xml:space="preserve">carve Component D out of the Settlement and to litigate </w:t>
      </w:r>
      <w:r w:rsidRPr="009046F1" w:rsidR="0099576B">
        <w:rPr>
          <w:rFonts w:hAnsi="Times New Roman" w:cs="Times New Roman"/>
        </w:rPr>
        <w:t>the issue before the PUCO later in 2020</w:t>
      </w:r>
      <w:r w:rsidRPr="009046F1" w:rsidR="004B2ED3">
        <w:rPr>
          <w:rFonts w:hAnsi="Times New Roman" w:cs="Times New Roman"/>
        </w:rPr>
        <w:t>.</w:t>
      </w:r>
      <w:r>
        <w:rPr>
          <w:rStyle w:val="FootnoteReference"/>
          <w:rFonts w:hAnsi="Times New Roman" w:cs="Times New Roman"/>
        </w:rPr>
        <w:footnoteReference w:id="5"/>
      </w:r>
      <w:r w:rsidRPr="009046F1" w:rsidR="008A3D7C">
        <w:rPr>
          <w:rFonts w:hAnsi="Times New Roman" w:cs="Times New Roman"/>
        </w:rPr>
        <w:t xml:space="preserve"> My testimony now addresses OCC’s opposition to </w:t>
      </w:r>
      <w:r w:rsidR="004E2E42">
        <w:rPr>
          <w:rFonts w:hAnsi="Times New Roman" w:cs="Times New Roman"/>
        </w:rPr>
        <w:t xml:space="preserve">Vectren’s </w:t>
      </w:r>
      <w:r w:rsidRPr="009046F1" w:rsidR="008A3D7C">
        <w:rPr>
          <w:rFonts w:hAnsi="Times New Roman" w:cs="Times New Roman"/>
        </w:rPr>
        <w:t>Component D</w:t>
      </w:r>
      <w:r w:rsidR="004E2E42">
        <w:rPr>
          <w:rFonts w:hAnsi="Times New Roman" w:cs="Times New Roman"/>
        </w:rPr>
        <w:t xml:space="preserve"> proposal</w:t>
      </w:r>
      <w:r w:rsidR="00EC2585">
        <w:rPr>
          <w:rFonts w:hAnsi="Times New Roman" w:cs="Times New Roman"/>
        </w:rPr>
        <w:t xml:space="preserve"> which would cost consumers more money.</w:t>
      </w:r>
    </w:p>
    <w:p w:rsidR="007557D4" w:rsidP="008649A0" w14:paraId="661CFBF8" w14:textId="77777777">
      <w:pPr>
        <w:pStyle w:val="DirectNext"/>
        <w:spacing w:line="480" w:lineRule="auto"/>
        <w:ind w:left="2160" w:right="720" w:hanging="720"/>
      </w:pPr>
    </w:p>
    <w:p w:rsidR="003C0FAE" w:rsidRPr="00764BB4" w:rsidP="003C0FAE" w14:paraId="00FB45D2" w14:textId="7D80D53B">
      <w:pPr>
        <w:pStyle w:val="BodyA"/>
        <w:spacing w:line="480" w:lineRule="auto"/>
        <w:ind w:left="720" w:hanging="720"/>
        <w:rPr>
          <w:rFonts w:hAnsi="Times New Roman" w:cs="Times New Roman"/>
          <w:b/>
          <w:i/>
        </w:rPr>
      </w:pPr>
      <w:r>
        <w:rPr>
          <w:rFonts w:hAnsi="Times New Roman" w:cs="Times New Roman"/>
          <w:b/>
          <w:i/>
        </w:rPr>
        <w:t>Q</w:t>
      </w:r>
      <w:r w:rsidR="009046F1">
        <w:rPr>
          <w:rFonts w:hAnsi="Times New Roman" w:cs="Times New Roman"/>
          <w:b/>
          <w:i/>
        </w:rPr>
        <w:t>1</w:t>
      </w:r>
      <w:r w:rsidR="008A0E07">
        <w:rPr>
          <w:rFonts w:hAnsi="Times New Roman" w:cs="Times New Roman"/>
          <w:b/>
          <w:i/>
        </w:rPr>
        <w:t>1</w:t>
      </w:r>
      <w:r>
        <w:rPr>
          <w:rFonts w:hAnsi="Times New Roman" w:cs="Times New Roman"/>
          <w:b/>
          <w:i/>
        </w:rPr>
        <w:t>.</w:t>
      </w:r>
      <w:r w:rsidRPr="00764BB4">
        <w:rPr>
          <w:rFonts w:hAnsi="Times New Roman" w:cs="Times New Roman"/>
          <w:b/>
          <w:i/>
        </w:rPr>
        <w:tab/>
      </w:r>
      <w:r w:rsidR="0099576B">
        <w:rPr>
          <w:rFonts w:hAnsi="Times New Roman" w:cs="Times New Roman"/>
          <w:b/>
          <w:i/>
        </w:rPr>
        <w:t>W</w:t>
      </w:r>
      <w:r w:rsidR="00D75E5A">
        <w:rPr>
          <w:rFonts w:hAnsi="Times New Roman" w:cs="Times New Roman"/>
          <w:b/>
          <w:i/>
        </w:rPr>
        <w:t>OULD YOU PLEASE EXPLAIN</w:t>
      </w:r>
      <w:r w:rsidR="00514FB4">
        <w:rPr>
          <w:rFonts w:hAnsi="Times New Roman" w:cs="Times New Roman"/>
          <w:b/>
          <w:i/>
        </w:rPr>
        <w:t xml:space="preserve"> HOW NORMALIZED EXCESS DEFERRED INCOME TAXES ARE CREATED</w:t>
      </w:r>
      <w:r w:rsidR="000F1C89">
        <w:rPr>
          <w:rFonts w:hAnsi="Times New Roman" w:cs="Times New Roman"/>
          <w:b/>
          <w:i/>
        </w:rPr>
        <w:t xml:space="preserve"> AND PAID FOR BY CUSTOMERS</w:t>
      </w:r>
      <w:r w:rsidR="0099576B">
        <w:rPr>
          <w:rFonts w:hAnsi="Times New Roman" w:cs="Times New Roman"/>
          <w:b/>
          <w:i/>
        </w:rPr>
        <w:t>?</w:t>
      </w:r>
    </w:p>
    <w:p w:rsidR="005B63A9" w:rsidP="0099576B" w14:paraId="42B22BE8" w14:textId="7215FEE0">
      <w:pPr>
        <w:pStyle w:val="BodyA"/>
        <w:spacing w:line="480" w:lineRule="auto"/>
        <w:ind w:left="720" w:hanging="720"/>
        <w:rPr>
          <w:rFonts w:hAnsi="Times New Roman" w:cs="Times New Roman"/>
        </w:rPr>
      </w:pPr>
      <w:r w:rsidRPr="00087115">
        <w:rPr>
          <w:b/>
          <w:i/>
        </w:rPr>
        <w:t>A</w:t>
      </w:r>
      <w:r w:rsidR="009046F1">
        <w:rPr>
          <w:b/>
          <w:i/>
        </w:rPr>
        <w:t>1</w:t>
      </w:r>
      <w:r w:rsidR="008A0E07">
        <w:rPr>
          <w:b/>
          <w:i/>
        </w:rPr>
        <w:t>1</w:t>
      </w:r>
      <w:r w:rsidRPr="00087115">
        <w:rPr>
          <w:b/>
          <w:i/>
        </w:rPr>
        <w:t>.</w:t>
      </w:r>
      <w:r w:rsidRPr="00F87C65">
        <w:tab/>
      </w:r>
      <w:r w:rsidR="00514FB4">
        <w:t>Yes.</w:t>
      </w:r>
      <w:r w:rsidR="0001540E">
        <w:t xml:space="preserve"> </w:t>
      </w:r>
      <w:r w:rsidR="00107443">
        <w:rPr>
          <w:rFonts w:hAnsi="Times New Roman" w:cs="Times New Roman"/>
        </w:rPr>
        <w:t xml:space="preserve">Normalized EDITs </w:t>
      </w:r>
      <w:r>
        <w:rPr>
          <w:rFonts w:hAnsi="Times New Roman" w:cs="Times New Roman"/>
        </w:rPr>
        <w:t xml:space="preserve">represent book to tax timing differences in federal income taxes (FIT) collected from customers at a 35% FIT rate that </w:t>
      </w:r>
      <w:r w:rsidR="00BA54AE">
        <w:rPr>
          <w:rFonts w:hAnsi="Times New Roman" w:cs="Times New Roman"/>
        </w:rPr>
        <w:t>is now</w:t>
      </w:r>
      <w:r>
        <w:rPr>
          <w:rFonts w:hAnsi="Times New Roman" w:cs="Times New Roman"/>
        </w:rPr>
        <w:t xml:space="preserve"> </w:t>
      </w:r>
      <w:r w:rsidR="00D75E5A">
        <w:rPr>
          <w:rFonts w:hAnsi="Times New Roman" w:cs="Times New Roman"/>
        </w:rPr>
        <w:t xml:space="preserve">payable at </w:t>
      </w:r>
      <w:r>
        <w:rPr>
          <w:rFonts w:hAnsi="Times New Roman" w:cs="Times New Roman"/>
        </w:rPr>
        <w:t>21%</w:t>
      </w:r>
      <w:r w:rsidR="00107443">
        <w:rPr>
          <w:rFonts w:hAnsi="Times New Roman" w:cs="Times New Roman"/>
        </w:rPr>
        <w:t>.</w:t>
      </w:r>
      <w:r w:rsidR="0001540E">
        <w:rPr>
          <w:rFonts w:hAnsi="Times New Roman" w:cs="Times New Roman"/>
        </w:rPr>
        <w:t xml:space="preserve"> </w:t>
      </w:r>
    </w:p>
    <w:p w:rsidR="005B63A9" w:rsidP="0099576B" w14:paraId="484B39F9" w14:textId="77777777">
      <w:pPr>
        <w:pStyle w:val="BodyA"/>
        <w:spacing w:line="480" w:lineRule="auto"/>
        <w:ind w:left="720" w:hanging="720"/>
        <w:rPr>
          <w:rFonts w:hAnsi="Times New Roman" w:cs="Times New Roman"/>
        </w:rPr>
      </w:pPr>
    </w:p>
    <w:p w:rsidR="000F1C89" w:rsidP="005B63A9" w14:paraId="08FBF0D5" w14:textId="0ABC23CE">
      <w:pPr>
        <w:pStyle w:val="BodyA"/>
        <w:spacing w:line="480" w:lineRule="auto"/>
        <w:ind w:left="720"/>
        <w:rPr>
          <w:rFonts w:hAnsi="Times New Roman" w:cs="Times New Roman"/>
        </w:rPr>
      </w:pPr>
      <w:r>
        <w:rPr>
          <w:rFonts w:hAnsi="Times New Roman" w:cs="Times New Roman"/>
        </w:rPr>
        <w:t xml:space="preserve">Investment in plant-in-service is collected </w:t>
      </w:r>
      <w:r w:rsidR="001A1EF1">
        <w:rPr>
          <w:rFonts w:hAnsi="Times New Roman" w:cs="Times New Roman"/>
        </w:rPr>
        <w:t xml:space="preserve">from customers in </w:t>
      </w:r>
      <w:r>
        <w:rPr>
          <w:rFonts w:hAnsi="Times New Roman" w:cs="Times New Roman"/>
        </w:rPr>
        <w:t>rates through depreciation expense calculated on a straight-line basis.</w:t>
      </w:r>
      <w:r w:rsidR="0001540E">
        <w:rPr>
          <w:rFonts w:hAnsi="Times New Roman" w:cs="Times New Roman"/>
        </w:rPr>
        <w:t xml:space="preserve"> </w:t>
      </w:r>
      <w:r>
        <w:rPr>
          <w:rFonts w:hAnsi="Times New Roman" w:cs="Times New Roman"/>
        </w:rPr>
        <w:t xml:space="preserve">The timing difference is created when the utility files its federal income taxes and takes advantage of </w:t>
      </w:r>
      <w:r w:rsidR="00360C12">
        <w:rPr>
          <w:rFonts w:hAnsi="Times New Roman" w:cs="Times New Roman"/>
        </w:rPr>
        <w:t xml:space="preserve">the </w:t>
      </w:r>
      <w:r>
        <w:rPr>
          <w:rFonts w:hAnsi="Times New Roman" w:cs="Times New Roman"/>
        </w:rPr>
        <w:t xml:space="preserve">accelerated </w:t>
      </w:r>
      <w:r w:rsidR="00360C12">
        <w:rPr>
          <w:rFonts w:hAnsi="Times New Roman" w:cs="Times New Roman"/>
        </w:rPr>
        <w:t>methods of depreciation under federal IRS rules</w:t>
      </w:r>
      <w:r w:rsidR="00AC6887">
        <w:rPr>
          <w:rFonts w:hAnsi="Times New Roman" w:cs="Times New Roman"/>
        </w:rPr>
        <w:t xml:space="preserve"> (that benefit utilities)</w:t>
      </w:r>
      <w:r w:rsidR="00360C12">
        <w:rPr>
          <w:rFonts w:hAnsi="Times New Roman" w:cs="Times New Roman"/>
        </w:rPr>
        <w:t>.</w:t>
      </w:r>
      <w:r w:rsidR="0001540E">
        <w:rPr>
          <w:rFonts w:hAnsi="Times New Roman" w:cs="Times New Roman"/>
        </w:rPr>
        <w:t xml:space="preserve"> </w:t>
      </w:r>
    </w:p>
    <w:p w:rsidR="000F1C89" w:rsidP="005B63A9" w14:paraId="4452DA05" w14:textId="77777777">
      <w:pPr>
        <w:pStyle w:val="BodyA"/>
        <w:spacing w:line="480" w:lineRule="auto"/>
        <w:ind w:left="720"/>
        <w:rPr>
          <w:rFonts w:hAnsi="Times New Roman" w:cs="Times New Roman"/>
        </w:rPr>
      </w:pPr>
    </w:p>
    <w:p w:rsidR="008A3D7C" w:rsidP="005B63A9" w14:paraId="68F14788" w14:textId="5BDF4161">
      <w:pPr>
        <w:pStyle w:val="BodyA"/>
        <w:spacing w:line="480" w:lineRule="auto"/>
        <w:ind w:left="720"/>
        <w:rPr>
          <w:rFonts w:hAnsi="Times New Roman" w:cs="Times New Roman"/>
        </w:rPr>
      </w:pPr>
      <w:r>
        <w:rPr>
          <w:rFonts w:hAnsi="Times New Roman" w:cs="Times New Roman"/>
        </w:rPr>
        <w:t>In early years of accelerated depreciation, the utility benefit</w:t>
      </w:r>
      <w:r w:rsidR="00514FB4">
        <w:rPr>
          <w:rFonts w:hAnsi="Times New Roman" w:cs="Times New Roman"/>
        </w:rPr>
        <w:t>s</w:t>
      </w:r>
      <w:r>
        <w:rPr>
          <w:rFonts w:hAnsi="Times New Roman" w:cs="Times New Roman"/>
        </w:rPr>
        <w:t xml:space="preserve"> by claiming a higher depreciation expense and lower taxable income.</w:t>
      </w:r>
      <w:r w:rsidR="0001540E">
        <w:rPr>
          <w:rFonts w:hAnsi="Times New Roman" w:cs="Times New Roman"/>
        </w:rPr>
        <w:t xml:space="preserve"> </w:t>
      </w:r>
      <w:r w:rsidR="005B63A9">
        <w:rPr>
          <w:rFonts w:hAnsi="Times New Roman" w:cs="Times New Roman"/>
        </w:rPr>
        <w:t>The utility</w:t>
      </w:r>
      <w:r w:rsidR="00F47558">
        <w:rPr>
          <w:rFonts w:hAnsi="Times New Roman" w:cs="Times New Roman"/>
        </w:rPr>
        <w:t xml:space="preserve"> </w:t>
      </w:r>
      <w:r w:rsidR="005B63A9">
        <w:rPr>
          <w:rFonts w:hAnsi="Times New Roman" w:cs="Times New Roman"/>
        </w:rPr>
        <w:t>realizes</w:t>
      </w:r>
      <w:r w:rsidR="001A1EF1">
        <w:rPr>
          <w:rFonts w:hAnsi="Times New Roman" w:cs="Times New Roman"/>
        </w:rPr>
        <w:t xml:space="preserve"> a temporary tax savings that </w:t>
      </w:r>
      <w:r w:rsidR="00F47558">
        <w:rPr>
          <w:rFonts w:hAnsi="Times New Roman" w:cs="Times New Roman"/>
        </w:rPr>
        <w:t>will reverse in later years</w:t>
      </w:r>
      <w:r>
        <w:rPr>
          <w:rFonts w:hAnsi="Times New Roman" w:cs="Times New Roman"/>
        </w:rPr>
        <w:t xml:space="preserve"> </w:t>
      </w:r>
      <w:r w:rsidR="00514FB4">
        <w:rPr>
          <w:rFonts w:hAnsi="Times New Roman" w:cs="Times New Roman"/>
        </w:rPr>
        <w:t>when</w:t>
      </w:r>
      <w:r>
        <w:rPr>
          <w:rFonts w:hAnsi="Times New Roman" w:cs="Times New Roman"/>
        </w:rPr>
        <w:t xml:space="preserve"> the utility will pay more in federal income taxes</w:t>
      </w:r>
      <w:r w:rsidR="004E2E42">
        <w:rPr>
          <w:rFonts w:hAnsi="Times New Roman" w:cs="Times New Roman"/>
        </w:rPr>
        <w:t xml:space="preserve"> on that plant</w:t>
      </w:r>
      <w:r w:rsidR="00C3717E">
        <w:rPr>
          <w:rFonts w:hAnsi="Times New Roman" w:cs="Times New Roman"/>
        </w:rPr>
        <w:t>.</w:t>
      </w:r>
      <w:r w:rsidR="0001540E">
        <w:rPr>
          <w:rFonts w:hAnsi="Times New Roman" w:cs="Times New Roman"/>
        </w:rPr>
        <w:t xml:space="preserve"> </w:t>
      </w:r>
      <w:r w:rsidR="000F1C89">
        <w:rPr>
          <w:rFonts w:hAnsi="Times New Roman" w:cs="Times New Roman"/>
        </w:rPr>
        <w:t>T</w:t>
      </w:r>
      <w:r>
        <w:rPr>
          <w:rFonts w:hAnsi="Times New Roman" w:cs="Times New Roman"/>
        </w:rPr>
        <w:t xml:space="preserve">hese </w:t>
      </w:r>
      <w:r w:rsidR="00BA54AE">
        <w:rPr>
          <w:rFonts w:hAnsi="Times New Roman" w:cs="Times New Roman"/>
        </w:rPr>
        <w:t xml:space="preserve">book to tax </w:t>
      </w:r>
      <w:r>
        <w:rPr>
          <w:rFonts w:hAnsi="Times New Roman" w:cs="Times New Roman"/>
        </w:rPr>
        <w:t>timing differences</w:t>
      </w:r>
      <w:r w:rsidR="00C3717E">
        <w:rPr>
          <w:rFonts w:hAnsi="Times New Roman" w:cs="Times New Roman"/>
        </w:rPr>
        <w:t xml:space="preserve">, </w:t>
      </w:r>
      <w:r>
        <w:rPr>
          <w:rFonts w:hAnsi="Times New Roman" w:cs="Times New Roman"/>
        </w:rPr>
        <w:t>create</w:t>
      </w:r>
      <w:r w:rsidR="00C3717E">
        <w:rPr>
          <w:rFonts w:hAnsi="Times New Roman" w:cs="Times New Roman"/>
        </w:rPr>
        <w:t xml:space="preserve">d by the depreciation </w:t>
      </w:r>
      <w:r w:rsidR="00514FB4">
        <w:rPr>
          <w:rFonts w:hAnsi="Times New Roman" w:cs="Times New Roman"/>
        </w:rPr>
        <w:t xml:space="preserve">expense </w:t>
      </w:r>
      <w:r w:rsidR="00C3717E">
        <w:rPr>
          <w:rFonts w:hAnsi="Times New Roman" w:cs="Times New Roman"/>
        </w:rPr>
        <w:t xml:space="preserve">collected </w:t>
      </w:r>
      <w:r w:rsidR="000F1C89">
        <w:rPr>
          <w:rFonts w:hAnsi="Times New Roman" w:cs="Times New Roman"/>
        </w:rPr>
        <w:t xml:space="preserve">from customers </w:t>
      </w:r>
      <w:r w:rsidR="00C3717E">
        <w:rPr>
          <w:rFonts w:hAnsi="Times New Roman" w:cs="Times New Roman"/>
        </w:rPr>
        <w:t xml:space="preserve">through rates and the accelerated method claimed on the </w:t>
      </w:r>
      <w:r w:rsidR="00514FB4">
        <w:rPr>
          <w:rFonts w:hAnsi="Times New Roman" w:cs="Times New Roman"/>
        </w:rPr>
        <w:t>FIT</w:t>
      </w:r>
      <w:r w:rsidR="000F1C89">
        <w:rPr>
          <w:rFonts w:hAnsi="Times New Roman" w:cs="Times New Roman"/>
        </w:rPr>
        <w:t>,</w:t>
      </w:r>
      <w:r w:rsidR="00C3717E">
        <w:rPr>
          <w:rFonts w:hAnsi="Times New Roman" w:cs="Times New Roman"/>
        </w:rPr>
        <w:t xml:space="preserve"> create </w:t>
      </w:r>
      <w:r>
        <w:rPr>
          <w:rFonts w:hAnsi="Times New Roman" w:cs="Times New Roman"/>
        </w:rPr>
        <w:t>Accumulated Deferred Income Taxes (ADIT)</w:t>
      </w:r>
      <w:r w:rsidR="000F1C89">
        <w:rPr>
          <w:rFonts w:hAnsi="Times New Roman" w:cs="Times New Roman"/>
        </w:rPr>
        <w:t>.</w:t>
      </w:r>
      <w:r w:rsidR="0001540E">
        <w:rPr>
          <w:rFonts w:hAnsi="Times New Roman" w:cs="Times New Roman"/>
        </w:rPr>
        <w:t xml:space="preserve"> </w:t>
      </w:r>
    </w:p>
    <w:p w:rsidR="008A3D7C" w:rsidP="005B63A9" w14:paraId="0B520C18" w14:textId="77777777">
      <w:pPr>
        <w:pStyle w:val="BodyA"/>
        <w:spacing w:line="480" w:lineRule="auto"/>
        <w:ind w:left="720"/>
        <w:rPr>
          <w:rFonts w:hAnsi="Times New Roman" w:cs="Times New Roman"/>
        </w:rPr>
      </w:pPr>
    </w:p>
    <w:p w:rsidR="00107443" w:rsidRPr="00631EF0" w:rsidP="005B63A9" w14:paraId="65A6A678" w14:textId="5CC7F179">
      <w:pPr>
        <w:pStyle w:val="BodyA"/>
        <w:spacing w:line="480" w:lineRule="auto"/>
        <w:ind w:left="720"/>
        <w:rPr>
          <w:rFonts w:hAnsi="Times New Roman" w:cs="Times New Roman"/>
        </w:rPr>
      </w:pPr>
      <w:r>
        <w:rPr>
          <w:rFonts w:hAnsi="Times New Roman" w:cs="Times New Roman"/>
        </w:rPr>
        <w:t xml:space="preserve">Vectren’s </w:t>
      </w:r>
      <w:r w:rsidR="000F1C89">
        <w:rPr>
          <w:rFonts w:hAnsi="Times New Roman" w:cs="Times New Roman"/>
        </w:rPr>
        <w:t xml:space="preserve">ADIT </w:t>
      </w:r>
      <w:r>
        <w:rPr>
          <w:rFonts w:hAnsi="Times New Roman" w:cs="Times New Roman"/>
        </w:rPr>
        <w:t xml:space="preserve">balance is based on </w:t>
      </w:r>
      <w:r w:rsidR="00652153">
        <w:rPr>
          <w:rFonts w:hAnsi="Times New Roman" w:cs="Times New Roman"/>
        </w:rPr>
        <w:t xml:space="preserve">higher </w:t>
      </w:r>
      <w:r>
        <w:rPr>
          <w:rFonts w:hAnsi="Times New Roman" w:cs="Times New Roman"/>
        </w:rPr>
        <w:t>rates that customers paid when</w:t>
      </w:r>
      <w:r w:rsidR="00BA54AE">
        <w:rPr>
          <w:rFonts w:hAnsi="Times New Roman" w:cs="Times New Roman"/>
        </w:rPr>
        <w:t xml:space="preserve"> </w:t>
      </w:r>
      <w:r w:rsidR="000F1C89">
        <w:rPr>
          <w:rFonts w:hAnsi="Times New Roman" w:cs="Times New Roman"/>
        </w:rPr>
        <w:t>federal income taxes</w:t>
      </w:r>
      <w:r w:rsidR="00BA54AE">
        <w:rPr>
          <w:rFonts w:hAnsi="Times New Roman" w:cs="Times New Roman"/>
        </w:rPr>
        <w:t xml:space="preserve"> </w:t>
      </w:r>
      <w:r>
        <w:rPr>
          <w:rFonts w:hAnsi="Times New Roman" w:cs="Times New Roman"/>
        </w:rPr>
        <w:t>were</w:t>
      </w:r>
      <w:r w:rsidR="00BA54AE">
        <w:rPr>
          <w:rFonts w:hAnsi="Times New Roman" w:cs="Times New Roman"/>
        </w:rPr>
        <w:t xml:space="preserve"> expected to be paid at 35%</w:t>
      </w:r>
      <w:r w:rsidR="00360C12">
        <w:rPr>
          <w:rFonts w:hAnsi="Times New Roman" w:cs="Times New Roman"/>
        </w:rPr>
        <w:t>.</w:t>
      </w:r>
      <w:r w:rsidR="0001540E">
        <w:rPr>
          <w:rFonts w:hAnsi="Times New Roman" w:cs="Times New Roman"/>
        </w:rPr>
        <w:t xml:space="preserve"> </w:t>
      </w:r>
      <w:r w:rsidR="00BA54AE">
        <w:rPr>
          <w:rFonts w:hAnsi="Times New Roman" w:cs="Times New Roman"/>
        </w:rPr>
        <w:t>As a result of the new tax law</w:t>
      </w:r>
      <w:r>
        <w:rPr>
          <w:rFonts w:hAnsi="Times New Roman" w:cs="Times New Roman"/>
        </w:rPr>
        <w:t xml:space="preserve"> lowering the federal income tax rate to 21%, Vectren will not need the entire ADIT balance</w:t>
      </w:r>
      <w:r w:rsidR="00652153">
        <w:rPr>
          <w:rFonts w:hAnsi="Times New Roman" w:cs="Times New Roman"/>
        </w:rPr>
        <w:t xml:space="preserve"> (it received from customers)</w:t>
      </w:r>
      <w:r>
        <w:rPr>
          <w:rFonts w:hAnsi="Times New Roman" w:cs="Times New Roman"/>
        </w:rPr>
        <w:t xml:space="preserve"> to pay its </w:t>
      </w:r>
      <w:r w:rsidR="001F1945">
        <w:rPr>
          <w:rFonts w:hAnsi="Times New Roman" w:cs="Times New Roman"/>
        </w:rPr>
        <w:t xml:space="preserve">future </w:t>
      </w:r>
      <w:r>
        <w:rPr>
          <w:rFonts w:hAnsi="Times New Roman" w:cs="Times New Roman"/>
        </w:rPr>
        <w:t xml:space="preserve">taxes. </w:t>
      </w:r>
      <w:r w:rsidR="00D75E5A">
        <w:rPr>
          <w:rFonts w:hAnsi="Times New Roman" w:cs="Times New Roman"/>
        </w:rPr>
        <w:t xml:space="preserve">This means that 40% of the ADIT is now excess </w:t>
      </w:r>
      <w:r w:rsidR="005360FA">
        <w:rPr>
          <w:rFonts w:hAnsi="Times New Roman" w:cs="Times New Roman"/>
        </w:rPr>
        <w:t>(</w:t>
      </w:r>
      <w:r w:rsidR="00D75E5A">
        <w:rPr>
          <w:rFonts w:hAnsi="Times New Roman" w:cs="Times New Roman"/>
        </w:rPr>
        <w:t>(35% -21%) /35%) and must be returned to customers.</w:t>
      </w:r>
    </w:p>
    <w:p w:rsidR="003C0FAE" w:rsidP="003C0FAE" w14:paraId="454D3ACF" w14:textId="77777777">
      <w:pPr>
        <w:pStyle w:val="BodyA"/>
        <w:spacing w:line="480" w:lineRule="auto"/>
      </w:pPr>
    </w:p>
    <w:p w:rsidR="0099576B" w:rsidRPr="00764BB4" w:rsidP="0099576B" w14:paraId="3ED602A6" w14:textId="5774D0F8">
      <w:pPr>
        <w:pStyle w:val="BodyA"/>
        <w:spacing w:line="480" w:lineRule="auto"/>
        <w:ind w:left="720" w:hanging="720"/>
        <w:rPr>
          <w:rFonts w:hAnsi="Times New Roman" w:cs="Times New Roman"/>
          <w:b/>
          <w:i/>
        </w:rPr>
      </w:pPr>
      <w:r w:rsidRPr="006A6D70">
        <w:rPr>
          <w:rFonts w:hAnsi="Times New Roman" w:cs="Times New Roman"/>
          <w:b/>
          <w:bCs/>
          <w:i/>
          <w:iCs/>
        </w:rPr>
        <w:t>Q1</w:t>
      </w:r>
      <w:r w:rsidR="0008288E">
        <w:rPr>
          <w:rFonts w:hAnsi="Times New Roman" w:cs="Times New Roman"/>
          <w:b/>
          <w:bCs/>
          <w:i/>
          <w:iCs/>
        </w:rPr>
        <w:t>2</w:t>
      </w:r>
      <w:r w:rsidRPr="002336BD">
        <w:rPr>
          <w:rFonts w:hAnsi="Times New Roman" w:cs="Times New Roman"/>
        </w:rPr>
        <w:t>.</w:t>
      </w:r>
      <w:r w:rsidRPr="002336BD">
        <w:rPr>
          <w:rFonts w:hAnsi="Times New Roman" w:cs="Times New Roman"/>
        </w:rPr>
        <w:tab/>
      </w:r>
      <w:r>
        <w:rPr>
          <w:rFonts w:hAnsi="Times New Roman" w:cs="Times New Roman"/>
          <w:b/>
          <w:i/>
        </w:rPr>
        <w:t>WHY SHOULD THE PUCO REJECT VECTREN’S PROPOS</w:t>
      </w:r>
      <w:r w:rsidR="007F1CEC">
        <w:rPr>
          <w:rFonts w:hAnsi="Times New Roman" w:cs="Times New Roman"/>
          <w:b/>
          <w:i/>
        </w:rPr>
        <w:t xml:space="preserve">AL TO CHARGE CUSTOMERS FOR AN </w:t>
      </w:r>
      <w:r>
        <w:rPr>
          <w:rFonts w:hAnsi="Times New Roman" w:cs="Times New Roman"/>
          <w:b/>
          <w:i/>
        </w:rPr>
        <w:t>INCREMENTAL RETURN ON RATE BASE?</w:t>
      </w:r>
    </w:p>
    <w:p w:rsidR="00514FB4" w:rsidP="00514FB4" w14:paraId="33305FEA" w14:textId="33460754">
      <w:pPr>
        <w:pStyle w:val="BodyA"/>
        <w:spacing w:line="480" w:lineRule="auto"/>
        <w:ind w:left="720" w:hanging="720"/>
        <w:rPr>
          <w:rFonts w:hAnsi="Times New Roman" w:cs="Times New Roman"/>
        </w:rPr>
      </w:pPr>
      <w:r w:rsidRPr="00470649">
        <w:rPr>
          <w:rFonts w:hAnsi="Times New Roman" w:cs="Times New Roman"/>
          <w:b/>
          <w:i/>
        </w:rPr>
        <w:t>A1</w:t>
      </w:r>
      <w:r w:rsidR="0008288E">
        <w:rPr>
          <w:rFonts w:hAnsi="Times New Roman" w:cs="Times New Roman"/>
          <w:b/>
          <w:i/>
        </w:rPr>
        <w:t>2</w:t>
      </w:r>
      <w:r w:rsidRPr="00470649">
        <w:rPr>
          <w:rFonts w:hAnsi="Times New Roman" w:cs="Times New Roman"/>
          <w:b/>
          <w:i/>
        </w:rPr>
        <w:t>.</w:t>
      </w:r>
      <w:r w:rsidRPr="00470649">
        <w:rPr>
          <w:rFonts w:hAnsi="Times New Roman" w:cs="Times New Roman"/>
          <w:b/>
          <w:i/>
        </w:rPr>
        <w:tab/>
      </w:r>
      <w:r w:rsidRPr="00631EF0">
        <w:rPr>
          <w:rFonts w:hAnsi="Times New Roman" w:cs="Times New Roman"/>
        </w:rPr>
        <w:t xml:space="preserve">Vectren’s proposed incremental return on rate base would allow Vectren to effectively increase </w:t>
      </w:r>
      <w:r w:rsidR="00652153">
        <w:rPr>
          <w:rFonts w:hAnsi="Times New Roman" w:cs="Times New Roman"/>
        </w:rPr>
        <w:t xml:space="preserve">the </w:t>
      </w:r>
      <w:r w:rsidRPr="00631EF0">
        <w:rPr>
          <w:rFonts w:hAnsi="Times New Roman" w:cs="Times New Roman"/>
        </w:rPr>
        <w:t xml:space="preserve">rates consumers pay </w:t>
      </w:r>
      <w:r w:rsidR="00652153">
        <w:rPr>
          <w:rFonts w:hAnsi="Times New Roman" w:cs="Times New Roman"/>
        </w:rPr>
        <w:t xml:space="preserve">and to do so </w:t>
      </w:r>
      <w:r w:rsidRPr="00631EF0">
        <w:rPr>
          <w:rFonts w:hAnsi="Times New Roman" w:cs="Times New Roman"/>
        </w:rPr>
        <w:t xml:space="preserve">outside </w:t>
      </w:r>
      <w:r w:rsidR="007F1CEC">
        <w:rPr>
          <w:rFonts w:hAnsi="Times New Roman" w:cs="Times New Roman"/>
        </w:rPr>
        <w:t xml:space="preserve">of </w:t>
      </w:r>
      <w:r w:rsidRPr="00631EF0">
        <w:rPr>
          <w:rFonts w:hAnsi="Times New Roman" w:cs="Times New Roman"/>
        </w:rPr>
        <w:t>a base rate case</w:t>
      </w:r>
      <w:r w:rsidR="00652153">
        <w:rPr>
          <w:rFonts w:hAnsi="Times New Roman" w:cs="Times New Roman"/>
        </w:rPr>
        <w:t>.</w:t>
      </w:r>
      <w:r w:rsidRPr="00631EF0">
        <w:rPr>
          <w:rFonts w:hAnsi="Times New Roman" w:cs="Times New Roman"/>
        </w:rPr>
        <w:t xml:space="preserve"> </w:t>
      </w:r>
      <w:r w:rsidR="00652153">
        <w:rPr>
          <w:rFonts w:hAnsi="Times New Roman" w:cs="Times New Roman"/>
        </w:rPr>
        <w:t>That would result from Vectren’s proposal to</w:t>
      </w:r>
      <w:r w:rsidRPr="00631EF0">
        <w:rPr>
          <w:rFonts w:hAnsi="Times New Roman" w:cs="Times New Roman"/>
        </w:rPr>
        <w:t xml:space="preserve"> provid</w:t>
      </w:r>
      <w:r w:rsidR="00652153">
        <w:rPr>
          <w:rFonts w:hAnsi="Times New Roman" w:cs="Times New Roman"/>
        </w:rPr>
        <w:t>e</w:t>
      </w:r>
      <w:r w:rsidRPr="00631EF0">
        <w:rPr>
          <w:rFonts w:hAnsi="Times New Roman" w:cs="Times New Roman"/>
        </w:rPr>
        <w:t xml:space="preserve"> </w:t>
      </w:r>
      <w:r w:rsidR="00652153">
        <w:rPr>
          <w:rFonts w:hAnsi="Times New Roman" w:cs="Times New Roman"/>
        </w:rPr>
        <w:t>it</w:t>
      </w:r>
      <w:r w:rsidRPr="00631EF0" w:rsidR="00652153">
        <w:rPr>
          <w:rFonts w:hAnsi="Times New Roman" w:cs="Times New Roman"/>
        </w:rPr>
        <w:t xml:space="preserve"> </w:t>
      </w:r>
      <w:r w:rsidRPr="00631EF0">
        <w:rPr>
          <w:rFonts w:hAnsi="Times New Roman" w:cs="Times New Roman"/>
        </w:rPr>
        <w:t>a return on rate base associated with the accumulated amortization of the Normalized EDIT</w:t>
      </w:r>
      <w:r w:rsidR="006C52E2">
        <w:rPr>
          <w:rFonts w:hAnsi="Times New Roman" w:cs="Times New Roman"/>
        </w:rPr>
        <w:t xml:space="preserve"> on an annual basis</w:t>
      </w:r>
      <w:r w:rsidRPr="00631EF0">
        <w:rPr>
          <w:rFonts w:hAnsi="Times New Roman" w:cs="Times New Roman"/>
        </w:rPr>
        <w:t>.</w:t>
      </w:r>
    </w:p>
    <w:p w:rsidR="006A6D70" w:rsidP="00514FB4" w14:paraId="61DC6408" w14:textId="77777777">
      <w:pPr>
        <w:pStyle w:val="BodyA"/>
        <w:spacing w:line="480" w:lineRule="auto"/>
        <w:ind w:left="720" w:hanging="720"/>
        <w:rPr>
          <w:rFonts w:hAnsi="Times New Roman" w:cs="Times New Roman"/>
        </w:rPr>
      </w:pPr>
    </w:p>
    <w:p w:rsidR="0001540E" w:rsidP="0001540E" w14:paraId="5EF66072" w14:textId="3422C1EC">
      <w:pPr>
        <w:pStyle w:val="BodyA"/>
        <w:spacing w:line="480" w:lineRule="auto"/>
        <w:ind w:left="720" w:hanging="720"/>
      </w:pPr>
      <w:r>
        <w:rPr>
          <w:rFonts w:hAnsi="Times New Roman" w:cs="Times New Roman"/>
        </w:rPr>
        <w:tab/>
        <w:t xml:space="preserve">ADIT is treated as a rate base reduction when establishing </w:t>
      </w:r>
      <w:r w:rsidR="00031B9B">
        <w:rPr>
          <w:rFonts w:hAnsi="Times New Roman" w:cs="Times New Roman"/>
        </w:rPr>
        <w:t xml:space="preserve">base </w:t>
      </w:r>
      <w:r>
        <w:rPr>
          <w:rFonts w:hAnsi="Times New Roman" w:cs="Times New Roman"/>
        </w:rPr>
        <w:t>rate</w:t>
      </w:r>
      <w:r w:rsidR="00031B9B">
        <w:rPr>
          <w:rFonts w:hAnsi="Times New Roman" w:cs="Times New Roman"/>
        </w:rPr>
        <w:t>s</w:t>
      </w:r>
      <w:r>
        <w:rPr>
          <w:rFonts w:hAnsi="Times New Roman" w:cs="Times New Roman"/>
        </w:rPr>
        <w:t xml:space="preserve"> to be charged to consumers. It is treated as such because the utility has taken full advantage of the tax savings provided by </w:t>
      </w:r>
      <w:r w:rsidR="00031B9B">
        <w:rPr>
          <w:rFonts w:hAnsi="Times New Roman" w:cs="Times New Roman"/>
        </w:rPr>
        <w:t>the consumers</w:t>
      </w:r>
      <w:r w:rsidR="004E2E42">
        <w:rPr>
          <w:rFonts w:hAnsi="Times New Roman" w:cs="Times New Roman"/>
        </w:rPr>
        <w:t xml:space="preserve">, which results </w:t>
      </w:r>
      <w:r w:rsidR="00652153">
        <w:rPr>
          <w:rFonts w:hAnsi="Times New Roman" w:cs="Times New Roman"/>
        </w:rPr>
        <w:t xml:space="preserve">in </w:t>
      </w:r>
      <w:r w:rsidR="006C52E2">
        <w:rPr>
          <w:rFonts w:hAnsi="Times New Roman" w:cs="Times New Roman"/>
        </w:rPr>
        <w:t>an interest free loan provided by consumers</w:t>
      </w:r>
      <w:r w:rsidR="00031B9B">
        <w:rPr>
          <w:rFonts w:hAnsi="Times New Roman" w:cs="Times New Roman"/>
        </w:rPr>
        <w:t>.</w:t>
      </w:r>
      <w:r>
        <w:rPr>
          <w:rFonts w:hAnsi="Times New Roman" w:cs="Times New Roman"/>
        </w:rPr>
        <w:t xml:space="preserve"> </w:t>
      </w:r>
      <w:r w:rsidR="009016A6">
        <w:rPr>
          <w:rFonts w:hAnsi="Times New Roman" w:cs="Times New Roman"/>
        </w:rPr>
        <w:t>It gets revalued when the utility files its next base rate case.</w:t>
      </w:r>
      <w:r>
        <w:rPr>
          <w:rFonts w:hAnsi="Times New Roman" w:cs="Times New Roman"/>
        </w:rPr>
        <w:br w:type="page"/>
      </w:r>
    </w:p>
    <w:p w:rsidR="00514FB4" w:rsidP="007F1CEC" w14:paraId="2CDED194" w14:textId="5946866B">
      <w:pPr>
        <w:pStyle w:val="BodyA"/>
        <w:spacing w:line="480" w:lineRule="auto"/>
        <w:ind w:left="720" w:hanging="720"/>
        <w:rPr>
          <w:rFonts w:hAnsi="Times New Roman" w:cs="Times New Roman"/>
          <w:bCs/>
          <w:iCs/>
        </w:rPr>
      </w:pPr>
      <w:r>
        <w:rPr>
          <w:rFonts w:hAnsi="Times New Roman" w:cs="Times New Roman"/>
          <w:b/>
          <w:i/>
        </w:rPr>
        <w:tab/>
      </w:r>
      <w:r>
        <w:rPr>
          <w:rFonts w:hAnsi="Times New Roman" w:cs="Times New Roman"/>
          <w:bCs/>
          <w:iCs/>
        </w:rPr>
        <w:t>The proper time to re-establish rate base is when the utility files its next base rate case.</w:t>
      </w:r>
      <w:r w:rsidR="0001540E">
        <w:rPr>
          <w:rFonts w:hAnsi="Times New Roman" w:cs="Times New Roman"/>
          <w:bCs/>
          <w:iCs/>
        </w:rPr>
        <w:t xml:space="preserve"> </w:t>
      </w:r>
      <w:r>
        <w:rPr>
          <w:rFonts w:hAnsi="Times New Roman" w:cs="Times New Roman"/>
          <w:bCs/>
          <w:iCs/>
        </w:rPr>
        <w:t xml:space="preserve">To take one portion of rate base and change its value </w:t>
      </w:r>
      <w:r w:rsidR="007F1CEC">
        <w:rPr>
          <w:rFonts w:hAnsi="Times New Roman" w:cs="Times New Roman"/>
          <w:bCs/>
          <w:iCs/>
        </w:rPr>
        <w:t xml:space="preserve">through a single-issue rider, </w:t>
      </w:r>
      <w:r>
        <w:rPr>
          <w:rFonts w:hAnsi="Times New Roman" w:cs="Times New Roman"/>
          <w:bCs/>
          <w:iCs/>
        </w:rPr>
        <w:t>on an annual basis</w:t>
      </w:r>
      <w:r w:rsidR="007F1CEC">
        <w:rPr>
          <w:rFonts w:hAnsi="Times New Roman" w:cs="Times New Roman"/>
          <w:bCs/>
          <w:iCs/>
        </w:rPr>
        <w:t>,</w:t>
      </w:r>
      <w:r>
        <w:rPr>
          <w:rFonts w:hAnsi="Times New Roman" w:cs="Times New Roman"/>
          <w:bCs/>
          <w:iCs/>
        </w:rPr>
        <w:t xml:space="preserve"> is inappropriate.</w:t>
      </w:r>
      <w:r w:rsidR="0001540E">
        <w:rPr>
          <w:rFonts w:hAnsi="Times New Roman" w:cs="Times New Roman"/>
          <w:bCs/>
          <w:iCs/>
        </w:rPr>
        <w:t xml:space="preserve"> </w:t>
      </w:r>
      <w:r>
        <w:rPr>
          <w:rFonts w:hAnsi="Times New Roman" w:cs="Times New Roman"/>
          <w:bCs/>
          <w:iCs/>
        </w:rPr>
        <w:t>That would be re</w:t>
      </w:r>
      <w:r w:rsidR="007F1CEC">
        <w:rPr>
          <w:rFonts w:hAnsi="Times New Roman" w:cs="Times New Roman"/>
          <w:bCs/>
          <w:iCs/>
        </w:rPr>
        <w:t xml:space="preserve">valuing rate base </w:t>
      </w:r>
      <w:r>
        <w:rPr>
          <w:rFonts w:hAnsi="Times New Roman" w:cs="Times New Roman"/>
          <w:bCs/>
          <w:iCs/>
        </w:rPr>
        <w:t>outside of a rate case for a single item like plant-in service every year</w:t>
      </w:r>
      <w:r w:rsidR="007F1CEC">
        <w:rPr>
          <w:rFonts w:hAnsi="Times New Roman" w:cs="Times New Roman"/>
          <w:bCs/>
          <w:iCs/>
        </w:rPr>
        <w:t>.</w:t>
      </w:r>
      <w:r w:rsidR="0001540E">
        <w:rPr>
          <w:rFonts w:hAnsi="Times New Roman" w:cs="Times New Roman"/>
          <w:bCs/>
          <w:iCs/>
        </w:rPr>
        <w:t xml:space="preserve"> </w:t>
      </w:r>
      <w:r w:rsidR="007F1CEC">
        <w:rPr>
          <w:rFonts w:hAnsi="Times New Roman" w:cs="Times New Roman"/>
          <w:bCs/>
          <w:iCs/>
        </w:rPr>
        <w:t xml:space="preserve">Under Vectren’s approach, there would be no </w:t>
      </w:r>
      <w:r>
        <w:rPr>
          <w:rFonts w:hAnsi="Times New Roman" w:cs="Times New Roman"/>
          <w:bCs/>
          <w:iCs/>
        </w:rPr>
        <w:t xml:space="preserve">opportunity to review the utility’s income statement or balance sheet to see if </w:t>
      </w:r>
      <w:r w:rsidR="00652153">
        <w:rPr>
          <w:rFonts w:hAnsi="Times New Roman" w:cs="Times New Roman"/>
          <w:bCs/>
          <w:iCs/>
        </w:rPr>
        <w:t xml:space="preserve">other </w:t>
      </w:r>
      <w:r>
        <w:rPr>
          <w:rFonts w:hAnsi="Times New Roman" w:cs="Times New Roman"/>
          <w:bCs/>
          <w:iCs/>
        </w:rPr>
        <w:t>expense</w:t>
      </w:r>
      <w:r w:rsidR="007F1CEC">
        <w:rPr>
          <w:rFonts w:hAnsi="Times New Roman" w:cs="Times New Roman"/>
          <w:bCs/>
          <w:iCs/>
        </w:rPr>
        <w:t>s</w:t>
      </w:r>
      <w:r>
        <w:rPr>
          <w:rFonts w:hAnsi="Times New Roman" w:cs="Times New Roman"/>
          <w:bCs/>
          <w:iCs/>
        </w:rPr>
        <w:t xml:space="preserve"> have decreased, or revenue</w:t>
      </w:r>
      <w:r w:rsidR="007F1CEC">
        <w:rPr>
          <w:rFonts w:hAnsi="Times New Roman" w:cs="Times New Roman"/>
          <w:bCs/>
          <w:iCs/>
        </w:rPr>
        <w:t>s</w:t>
      </w:r>
      <w:r>
        <w:rPr>
          <w:rFonts w:hAnsi="Times New Roman" w:cs="Times New Roman"/>
          <w:bCs/>
          <w:iCs/>
        </w:rPr>
        <w:t xml:space="preserve"> ha</w:t>
      </w:r>
      <w:r w:rsidR="007F1CEC">
        <w:rPr>
          <w:rFonts w:hAnsi="Times New Roman" w:cs="Times New Roman"/>
          <w:bCs/>
          <w:iCs/>
        </w:rPr>
        <w:t>ve</w:t>
      </w:r>
      <w:r>
        <w:rPr>
          <w:rFonts w:hAnsi="Times New Roman" w:cs="Times New Roman"/>
          <w:bCs/>
          <w:iCs/>
        </w:rPr>
        <w:t xml:space="preserve"> increased, or if </w:t>
      </w:r>
      <w:r w:rsidR="009016A6">
        <w:rPr>
          <w:rFonts w:hAnsi="Times New Roman" w:cs="Times New Roman"/>
          <w:bCs/>
          <w:iCs/>
        </w:rPr>
        <w:t>plant has been retired.</w:t>
      </w:r>
      <w:r w:rsidR="0001540E">
        <w:rPr>
          <w:rFonts w:hAnsi="Times New Roman" w:cs="Times New Roman"/>
          <w:bCs/>
          <w:iCs/>
        </w:rPr>
        <w:t xml:space="preserve"> </w:t>
      </w:r>
      <w:r w:rsidR="007F1CEC">
        <w:rPr>
          <w:rFonts w:hAnsi="Times New Roman" w:cs="Times New Roman"/>
          <w:bCs/>
          <w:iCs/>
        </w:rPr>
        <w:t xml:space="preserve">This cherry picking benefits the utility, not </w:t>
      </w:r>
      <w:r w:rsidR="004E2E42">
        <w:rPr>
          <w:rFonts w:hAnsi="Times New Roman" w:cs="Times New Roman"/>
          <w:bCs/>
          <w:iCs/>
        </w:rPr>
        <w:t xml:space="preserve">its </w:t>
      </w:r>
      <w:r w:rsidR="007F1CEC">
        <w:rPr>
          <w:rFonts w:hAnsi="Times New Roman" w:cs="Times New Roman"/>
          <w:bCs/>
          <w:iCs/>
        </w:rPr>
        <w:t>consumers.</w:t>
      </w:r>
      <w:r w:rsidR="0001540E">
        <w:rPr>
          <w:rFonts w:hAnsi="Times New Roman" w:cs="Times New Roman"/>
          <w:bCs/>
          <w:iCs/>
        </w:rPr>
        <w:t xml:space="preserve"> </w:t>
      </w:r>
    </w:p>
    <w:p w:rsidR="009016A6" w:rsidP="003C0FAE" w14:paraId="7B1ADE46" w14:textId="77777777">
      <w:pPr>
        <w:pStyle w:val="BodyA"/>
        <w:spacing w:line="480" w:lineRule="auto"/>
        <w:ind w:left="720" w:hanging="720"/>
        <w:rPr>
          <w:rFonts w:hAnsi="Times New Roman" w:cs="Times New Roman"/>
          <w:bCs/>
          <w:iCs/>
        </w:rPr>
      </w:pPr>
    </w:p>
    <w:p w:rsidR="009016A6" w:rsidP="009016A6" w14:paraId="50CE1685" w14:textId="2C4F534C">
      <w:pPr>
        <w:pStyle w:val="BodyA"/>
        <w:spacing w:line="480" w:lineRule="auto"/>
        <w:ind w:left="720"/>
      </w:pPr>
      <w:r>
        <w:rPr>
          <w:rFonts w:hAnsi="Times New Roman" w:cs="Times New Roman"/>
          <w:bCs/>
          <w:iCs/>
        </w:rPr>
        <w:t xml:space="preserve">Furthermore, there is no other utility under the jurisdiction of the PUCO that has </w:t>
      </w:r>
      <w:r w:rsidR="007F1CEC">
        <w:rPr>
          <w:rFonts w:hAnsi="Times New Roman" w:cs="Times New Roman"/>
          <w:bCs/>
          <w:iCs/>
        </w:rPr>
        <w:t>been allowed this treatment.</w:t>
      </w:r>
      <w:r w:rsidR="0001540E">
        <w:rPr>
          <w:rFonts w:hAnsi="Times New Roman" w:cs="Times New Roman"/>
          <w:bCs/>
          <w:iCs/>
        </w:rPr>
        <w:t xml:space="preserve"> </w:t>
      </w:r>
      <w:r>
        <w:rPr>
          <w:rFonts w:hAnsi="Times New Roman" w:cs="Times New Roman"/>
          <w:bCs/>
          <w:iCs/>
        </w:rPr>
        <w:t>I urge the PUCO not to permit this now.</w:t>
      </w:r>
      <w:r w:rsidR="0001540E">
        <w:rPr>
          <w:rFonts w:hAnsi="Times New Roman" w:cs="Times New Roman"/>
          <w:bCs/>
          <w:iCs/>
        </w:rPr>
        <w:t xml:space="preserve"> </w:t>
      </w:r>
      <w:r>
        <w:rPr>
          <w:rFonts w:hAnsi="Times New Roman" w:cs="Times New Roman"/>
        </w:rPr>
        <w:t>I recommend that the PUCO act promptly and deny Vectren’s component D</w:t>
      </w:r>
      <w:r w:rsidR="00652153">
        <w:rPr>
          <w:rFonts w:hAnsi="Times New Roman" w:cs="Times New Roman"/>
        </w:rPr>
        <w:t xml:space="preserve"> which would cost consumers more money for no good reason</w:t>
      </w:r>
      <w:r>
        <w:rPr>
          <w:rFonts w:hAnsi="Times New Roman" w:cs="Times New Roman"/>
        </w:rPr>
        <w:t>.</w:t>
      </w:r>
      <w:r w:rsidR="0001540E">
        <w:rPr>
          <w:rFonts w:hAnsi="Times New Roman" w:cs="Times New Roman"/>
        </w:rPr>
        <w:t xml:space="preserve"> </w:t>
      </w:r>
    </w:p>
    <w:p w:rsidR="009016A6" w:rsidRPr="00031B9B" w:rsidP="003C0FAE" w14:paraId="0D42C629" w14:textId="77777777">
      <w:pPr>
        <w:pStyle w:val="BodyA"/>
        <w:spacing w:line="480" w:lineRule="auto"/>
        <w:ind w:left="720" w:hanging="720"/>
        <w:rPr>
          <w:rFonts w:hAnsi="Times New Roman" w:cs="Times New Roman"/>
          <w:bCs/>
          <w:iCs/>
        </w:rPr>
      </w:pPr>
    </w:p>
    <w:p w:rsidR="00146771" w:rsidP="003C0FAE" w14:paraId="55B8BE34" w14:textId="2BF0A208">
      <w:pPr>
        <w:pStyle w:val="MediumShading1-Accent11"/>
        <w:spacing w:line="480" w:lineRule="auto"/>
        <w:ind w:left="720"/>
      </w:pPr>
      <w:r>
        <w:t>In these times of the health pandemic and economic crisis, consumers need money. Vectren consumers</w:t>
      </w:r>
      <w:r w:rsidR="00652153">
        <w:t xml:space="preserve"> </w:t>
      </w:r>
      <w:r>
        <w:t xml:space="preserve">especially need money </w:t>
      </w:r>
      <w:r w:rsidR="00652153">
        <w:t xml:space="preserve">in the Dayton area </w:t>
      </w:r>
      <w:r>
        <w:t xml:space="preserve">where </w:t>
      </w:r>
      <w:r w:rsidR="0007756E">
        <w:t xml:space="preserve">the </w:t>
      </w:r>
      <w:r>
        <w:t>poverty</w:t>
      </w:r>
      <w:r w:rsidR="0007756E">
        <w:t xml:space="preserve"> level</w:t>
      </w:r>
      <w:r>
        <w:t xml:space="preserve"> is above </w:t>
      </w:r>
      <w:r w:rsidR="00DF4CC2">
        <w:t>32.7</w:t>
      </w:r>
      <w:r>
        <w:t xml:space="preserve"> % in </w:t>
      </w:r>
      <w:r w:rsidR="00652153">
        <w:t xml:space="preserve">the city </w:t>
      </w:r>
      <w:r>
        <w:t xml:space="preserve">and food insecurity is above </w:t>
      </w:r>
      <w:r w:rsidR="00DF4CC2">
        <w:t>17</w:t>
      </w:r>
      <w:r>
        <w:t>% in Montgomery County.</w:t>
      </w:r>
    </w:p>
    <w:p w:rsidR="00146771" w:rsidP="003C0FAE" w14:paraId="2B65AA48" w14:textId="77777777">
      <w:pPr>
        <w:pStyle w:val="MediumShading1-Accent11"/>
        <w:spacing w:line="480" w:lineRule="auto"/>
        <w:ind w:left="720"/>
      </w:pPr>
    </w:p>
    <w:p w:rsidR="003C0FAE" w:rsidRPr="00711988" w:rsidP="003C0FAE" w14:paraId="76425A61" w14:textId="77777777">
      <w:pPr>
        <w:pStyle w:val="Heading1"/>
        <w:rPr>
          <w:rFonts w:cs="Times New Roman"/>
        </w:rPr>
      </w:pPr>
      <w:bookmarkStart w:id="13" w:name="_Toc461534456"/>
      <w:bookmarkStart w:id="14" w:name="_Toc504663473"/>
      <w:bookmarkStart w:id="15" w:name="_Toc53058464"/>
      <w:r>
        <w:t>I</w:t>
      </w:r>
      <w:r w:rsidR="00BE0988">
        <w:t>II</w:t>
      </w:r>
      <w:r>
        <w:t>.</w:t>
      </w:r>
      <w:r>
        <w:tab/>
      </w:r>
      <w:r w:rsidRPr="007D50A4">
        <w:t>C</w:t>
      </w:r>
      <w:r>
        <w:t>ONCLUSION</w:t>
      </w:r>
      <w:bookmarkEnd w:id="13"/>
      <w:bookmarkEnd w:id="14"/>
      <w:bookmarkEnd w:id="15"/>
      <w:r w:rsidR="0001540E">
        <w:t xml:space="preserve"> </w:t>
      </w:r>
    </w:p>
    <w:p w:rsidR="003C0FAE" w:rsidP="003C0FAE" w14:paraId="6A922D5A" w14:textId="77777777">
      <w:pPr>
        <w:pStyle w:val="BodyA"/>
        <w:spacing w:line="480" w:lineRule="auto"/>
        <w:ind w:left="720" w:hanging="720"/>
        <w:rPr>
          <w:rFonts w:hAnsi="Times New Roman" w:cs="Times New Roman"/>
        </w:rPr>
      </w:pPr>
    </w:p>
    <w:p w:rsidR="003C0FAE" w:rsidRPr="002336BD" w:rsidP="003C0FAE" w14:paraId="04E2C81D" w14:textId="03E0C94C">
      <w:pPr>
        <w:pStyle w:val="DirectQuestion"/>
        <w:ind w:left="720" w:hanging="720"/>
        <w:rPr>
          <w:rFonts w:hAnsi="Times New Roman" w:cs="Times New Roman"/>
        </w:rPr>
      </w:pPr>
      <w:r w:rsidRPr="002336BD">
        <w:rPr>
          <w:rFonts w:hAnsi="Times New Roman" w:cs="Times New Roman"/>
        </w:rPr>
        <w:t>Q</w:t>
      </w:r>
      <w:r>
        <w:rPr>
          <w:rFonts w:hAnsi="Times New Roman" w:cs="Times New Roman"/>
        </w:rPr>
        <w:t>1</w:t>
      </w:r>
      <w:r w:rsidR="0008288E">
        <w:rPr>
          <w:rFonts w:hAnsi="Times New Roman" w:cs="Times New Roman"/>
        </w:rPr>
        <w:t>3</w:t>
      </w:r>
      <w:r w:rsidRPr="002336BD">
        <w:rPr>
          <w:rFonts w:hAnsi="Times New Roman" w:cs="Times New Roman"/>
        </w:rPr>
        <w:t>.</w:t>
      </w:r>
      <w:r w:rsidRPr="002336BD">
        <w:rPr>
          <w:rFonts w:hAnsi="Times New Roman" w:cs="Times New Roman"/>
        </w:rPr>
        <w:tab/>
      </w:r>
      <w:r>
        <w:t>Does this conclude your testimony?</w:t>
      </w:r>
    </w:p>
    <w:p w:rsidR="00582944" w:rsidP="00271B56" w14:paraId="0B23C207" w14:textId="6197254D">
      <w:pPr>
        <w:pStyle w:val="BodyA"/>
        <w:spacing w:line="480" w:lineRule="auto"/>
        <w:ind w:left="720" w:hanging="720"/>
      </w:pPr>
      <w:r w:rsidRPr="002336BD">
        <w:rPr>
          <w:rFonts w:hAnsi="Times New Roman" w:cs="Times New Roman"/>
          <w:b/>
          <w:bCs/>
          <w:i/>
          <w:iCs/>
        </w:rPr>
        <w:t>A</w:t>
      </w:r>
      <w:r>
        <w:rPr>
          <w:rFonts w:hAnsi="Times New Roman" w:cs="Times New Roman"/>
          <w:b/>
          <w:bCs/>
          <w:i/>
          <w:iCs/>
        </w:rPr>
        <w:t>1</w:t>
      </w:r>
      <w:r w:rsidR="0008288E">
        <w:rPr>
          <w:rFonts w:hAnsi="Times New Roman" w:cs="Times New Roman"/>
          <w:b/>
          <w:bCs/>
          <w:i/>
          <w:iCs/>
        </w:rPr>
        <w:t>3</w:t>
      </w:r>
      <w:r w:rsidRPr="002336BD">
        <w:rPr>
          <w:rFonts w:hAnsi="Times New Roman" w:cs="Times New Roman"/>
          <w:b/>
          <w:bCs/>
          <w:i/>
          <w:iCs/>
        </w:rPr>
        <w:t>.</w:t>
      </w:r>
      <w:r w:rsidRPr="002336BD">
        <w:rPr>
          <w:rFonts w:hAnsi="Times New Roman" w:cs="Times New Roman"/>
          <w:b/>
          <w:bCs/>
          <w:i/>
          <w:iCs/>
        </w:rPr>
        <w:tab/>
      </w:r>
      <w:r>
        <w:t xml:space="preserve">Yes. However, I reserve the right to submit </w:t>
      </w:r>
      <w:r w:rsidR="001F1945">
        <w:t xml:space="preserve">additional </w:t>
      </w:r>
      <w:r>
        <w:t>supplemental testimony as new information becomes available or in response to positions taken by other parties.</w:t>
      </w:r>
      <w:r>
        <w:br w:type="page"/>
      </w:r>
    </w:p>
    <w:p w:rsidR="00271B56" w:rsidP="00C70786" w14:paraId="75D73093" w14:textId="77777777">
      <w:pPr>
        <w:autoSpaceDE/>
        <w:autoSpaceDN/>
        <w:rPr>
          <w:sz w:val="24"/>
          <w:szCs w:val="24"/>
        </w:rPr>
        <w:sectPr w:rsidSect="00146771">
          <w:headerReference w:type="default" r:id="rId7"/>
          <w:footerReference w:type="default" r:id="rId8"/>
          <w:pgSz w:w="12240" w:h="15840"/>
          <w:pgMar w:top="1440" w:right="1440" w:bottom="1440" w:left="1440" w:header="720" w:footer="720" w:gutter="0"/>
          <w:lnNumType w:countBy="1"/>
          <w:pgNumType w:start="1"/>
          <w:cols w:space="720"/>
          <w:docGrid w:linePitch="272"/>
        </w:sectPr>
      </w:pPr>
    </w:p>
    <w:p w:rsidR="003C0FAE" w:rsidRPr="009B27D0" w:rsidP="003C0FAE" w14:paraId="5B6F73C8" w14:textId="77777777">
      <w:pPr>
        <w:pStyle w:val="ANSWER"/>
        <w:ind w:left="720"/>
        <w:jc w:val="center"/>
        <w:rPr>
          <w:b/>
          <w:szCs w:val="24"/>
          <w:u w:val="single"/>
        </w:rPr>
      </w:pPr>
      <w:r w:rsidRPr="009B27D0">
        <w:rPr>
          <w:b/>
          <w:szCs w:val="24"/>
          <w:u w:val="single"/>
        </w:rPr>
        <w:t>CERTIFICATE OF SERVICE</w:t>
      </w:r>
    </w:p>
    <w:p w:rsidR="003C0FAE" w:rsidP="003C0FAE" w14:paraId="5DB9AD93" w14:textId="77777777">
      <w:pPr>
        <w:spacing w:line="480" w:lineRule="auto"/>
        <w:rPr>
          <w:sz w:val="24"/>
          <w:szCs w:val="24"/>
        </w:rPr>
      </w:pPr>
      <w:r w:rsidRPr="009B27D0">
        <w:rPr>
          <w:sz w:val="24"/>
          <w:szCs w:val="24"/>
        </w:rPr>
        <w:tab/>
        <w:t xml:space="preserve">I hereby certify that a copy of the foregoing </w:t>
      </w:r>
      <w:r w:rsidRPr="00BE0988" w:rsidR="00BE0988">
        <w:rPr>
          <w:i/>
          <w:iCs/>
          <w:sz w:val="24"/>
          <w:szCs w:val="24"/>
        </w:rPr>
        <w:t>Supplemental</w:t>
      </w:r>
      <w:r w:rsidR="00BE0988">
        <w:rPr>
          <w:sz w:val="24"/>
          <w:szCs w:val="24"/>
        </w:rPr>
        <w:t xml:space="preserve"> </w:t>
      </w:r>
      <w:r>
        <w:rPr>
          <w:i/>
          <w:sz w:val="24"/>
          <w:szCs w:val="24"/>
        </w:rPr>
        <w:t xml:space="preserve">Direct Testimony of Wm. Ross Willis </w:t>
      </w:r>
      <w:r w:rsidRPr="004174AE">
        <w:rPr>
          <w:i/>
          <w:sz w:val="24"/>
          <w:szCs w:val="24"/>
        </w:rPr>
        <w:t xml:space="preserve">on behalf of </w:t>
      </w:r>
      <w:r w:rsidR="002F7EEB">
        <w:rPr>
          <w:i/>
          <w:sz w:val="24"/>
          <w:szCs w:val="24"/>
        </w:rPr>
        <w:t>T</w:t>
      </w:r>
      <w:r w:rsidRPr="004174AE">
        <w:rPr>
          <w:i/>
          <w:sz w:val="24"/>
          <w:szCs w:val="24"/>
        </w:rPr>
        <w:t>he Office of</w:t>
      </w:r>
      <w:r w:rsidR="002F7EEB">
        <w:rPr>
          <w:i/>
          <w:sz w:val="24"/>
          <w:szCs w:val="24"/>
        </w:rPr>
        <w:t xml:space="preserve"> T</w:t>
      </w:r>
      <w:r w:rsidRPr="004174AE">
        <w:rPr>
          <w:i/>
          <w:sz w:val="24"/>
          <w:szCs w:val="24"/>
        </w:rPr>
        <w:t>he Ohio Consumers’ Counsel</w:t>
      </w:r>
      <w:r w:rsidRPr="009B27D0">
        <w:rPr>
          <w:sz w:val="24"/>
          <w:szCs w:val="24"/>
        </w:rPr>
        <w:t xml:space="preserve"> has been served upon those persons listed bel</w:t>
      </w:r>
      <w:r>
        <w:rPr>
          <w:sz w:val="24"/>
          <w:szCs w:val="24"/>
        </w:rPr>
        <w:t xml:space="preserve">ow via electronic service this </w:t>
      </w:r>
      <w:r w:rsidR="00BE0988">
        <w:rPr>
          <w:sz w:val="24"/>
          <w:szCs w:val="24"/>
        </w:rPr>
        <w:t>9</w:t>
      </w:r>
      <w:r>
        <w:rPr>
          <w:sz w:val="24"/>
          <w:szCs w:val="24"/>
        </w:rPr>
        <w:t xml:space="preserve">th </w:t>
      </w:r>
      <w:r w:rsidRPr="009B27D0">
        <w:rPr>
          <w:sz w:val="24"/>
          <w:szCs w:val="24"/>
        </w:rPr>
        <w:t>day of</w:t>
      </w:r>
      <w:r>
        <w:rPr>
          <w:sz w:val="24"/>
          <w:szCs w:val="24"/>
        </w:rPr>
        <w:t xml:space="preserve"> </w:t>
      </w:r>
      <w:r w:rsidR="00BE0988">
        <w:rPr>
          <w:sz w:val="24"/>
          <w:szCs w:val="24"/>
        </w:rPr>
        <w:t>October</w:t>
      </w:r>
      <w:r>
        <w:rPr>
          <w:sz w:val="24"/>
          <w:szCs w:val="24"/>
        </w:rPr>
        <w:t xml:space="preserve"> 20</w:t>
      </w:r>
      <w:r w:rsidR="0054782E">
        <w:rPr>
          <w:sz w:val="24"/>
          <w:szCs w:val="24"/>
        </w:rPr>
        <w:t>20</w:t>
      </w:r>
      <w:r w:rsidRPr="009B27D0">
        <w:rPr>
          <w:sz w:val="24"/>
          <w:szCs w:val="24"/>
        </w:rPr>
        <w:t>.</w:t>
      </w:r>
    </w:p>
    <w:p w:rsidR="003C0FAE" w:rsidRPr="009B27D0" w:rsidP="003C0FAE" w14:paraId="3744CC26" w14:textId="77777777">
      <w:pPr>
        <w:spacing w:line="480" w:lineRule="auto"/>
        <w:rPr>
          <w:sz w:val="24"/>
          <w:szCs w:val="24"/>
        </w:rPr>
      </w:pPr>
    </w:p>
    <w:p w:rsidR="003C0FAE" w:rsidRPr="009B27D0" w:rsidP="003C0FAE" w14:paraId="6558AF49" w14:textId="77777777">
      <w:pPr>
        <w:tabs>
          <w:tab w:val="left" w:pos="5040"/>
        </w:tabs>
        <w:rPr>
          <w:sz w:val="24"/>
          <w:szCs w:val="24"/>
        </w:rPr>
      </w:pPr>
      <w:r w:rsidRPr="009B27D0">
        <w:rPr>
          <w:sz w:val="24"/>
          <w:szCs w:val="24"/>
        </w:rPr>
        <w:tab/>
      </w:r>
      <w:r>
        <w:rPr>
          <w:i/>
          <w:sz w:val="24"/>
          <w:szCs w:val="24"/>
          <w:u w:val="single"/>
        </w:rPr>
        <w:t>/s/ Christopher Healey</w:t>
      </w:r>
      <w:r>
        <w:rPr>
          <w:i/>
          <w:sz w:val="24"/>
          <w:szCs w:val="24"/>
          <w:u w:val="single"/>
        </w:rPr>
        <w:tab/>
      </w:r>
      <w:r>
        <w:rPr>
          <w:i/>
          <w:sz w:val="24"/>
          <w:szCs w:val="24"/>
          <w:u w:val="single"/>
        </w:rPr>
        <w:tab/>
      </w:r>
    </w:p>
    <w:p w:rsidR="003C0FAE" w:rsidP="003C0FAE" w14:paraId="1649696D" w14:textId="77777777">
      <w:pPr>
        <w:pStyle w:val="EndnoteText"/>
        <w:tabs>
          <w:tab w:val="left" w:pos="5040"/>
        </w:tabs>
        <w:suppressAutoHyphens/>
        <w:rPr>
          <w:rFonts w:ascii="Times New Roman" w:hAnsi="Times New Roman" w:cs="Times New Roman"/>
        </w:rPr>
      </w:pPr>
      <w:r w:rsidRPr="009B27D0">
        <w:tab/>
      </w:r>
      <w:r w:rsidRPr="00FF68ED">
        <w:rPr>
          <w:rFonts w:ascii="Times New Roman" w:eastAsia="Times New Roman" w:hAnsi="Times New Roman" w:cs="Times New Roman"/>
        </w:rPr>
        <w:t>Assistant Consumers</w:t>
      </w:r>
      <w:r w:rsidRPr="00FF68ED">
        <w:rPr>
          <w:rFonts w:ascii="Times New Roman" w:hAnsi="Times New Roman" w:cs="Times New Roman"/>
        </w:rPr>
        <w:t>’ Counsel</w:t>
      </w:r>
    </w:p>
    <w:p w:rsidR="008649A0" w:rsidRPr="00FF68ED" w:rsidP="003C0FAE" w14:paraId="195E2F46" w14:textId="77777777">
      <w:pPr>
        <w:pStyle w:val="EndnoteText"/>
        <w:tabs>
          <w:tab w:val="left" w:pos="5040"/>
        </w:tabs>
        <w:suppressAutoHyphens/>
        <w:rPr>
          <w:rFonts w:ascii="Times New Roman" w:eastAsia="Times New Roman" w:hAnsi="Times New Roman" w:cs="Times New Roman"/>
        </w:rPr>
      </w:pPr>
    </w:p>
    <w:p w:rsidR="008649A0" w:rsidRPr="008649A0" w:rsidP="008649A0" w14:paraId="4D485E81" w14:textId="77777777">
      <w:pPr>
        <w:rPr>
          <w:sz w:val="24"/>
          <w:szCs w:val="24"/>
        </w:rPr>
      </w:pPr>
      <w:r w:rsidRPr="008649A0">
        <w:rPr>
          <w:sz w:val="24"/>
          <w:szCs w:val="24"/>
        </w:rPr>
        <w:t>The PUCO’s e-filing system will electronically serve notice of the filing of this document on the following parties:</w:t>
      </w:r>
    </w:p>
    <w:p w:rsidR="003C0FAE" w:rsidRPr="002336BD" w:rsidP="003C0FAE" w14:paraId="6C5E5F0A" w14:textId="77777777">
      <w:pPr>
        <w:pStyle w:val="EndnoteText"/>
        <w:widowControl/>
        <w:rPr>
          <w:rFonts w:ascii="Times New Roman" w:eastAsia="Times New Roman" w:hAnsi="Times New Roman" w:cs="Times New Roman"/>
        </w:rPr>
      </w:pPr>
    </w:p>
    <w:p w:rsidR="008649A0" w:rsidRPr="008649A0" w:rsidP="008649A0" w14:paraId="7B70FD36" w14:textId="77777777">
      <w:pPr>
        <w:autoSpaceDE/>
        <w:autoSpaceDN/>
        <w:jc w:val="center"/>
        <w:rPr>
          <w:b/>
          <w:sz w:val="24"/>
          <w:szCs w:val="24"/>
          <w:u w:val="single"/>
        </w:rPr>
      </w:pPr>
      <w:r w:rsidRPr="008649A0">
        <w:rPr>
          <w:b/>
          <w:sz w:val="24"/>
          <w:szCs w:val="24"/>
          <w:u w:val="single"/>
        </w:rPr>
        <w:t>SERVICE LIST</w:t>
      </w:r>
    </w:p>
    <w:p w:rsidR="008649A0" w:rsidRPr="008649A0" w:rsidP="008649A0" w14:paraId="38AF071D" w14:textId="77777777">
      <w:pPr>
        <w:autoSpaceDE/>
        <w:autoSpaceDN/>
        <w:jc w:val="center"/>
        <w:rPr>
          <w:b/>
          <w:sz w:val="24"/>
          <w:szCs w:val="24"/>
          <w:u w:val="single"/>
        </w:rPr>
      </w:pPr>
    </w:p>
    <w:p w:rsidR="008649A0" w:rsidRPr="008649A0" w:rsidP="008649A0" w14:paraId="2DB0BF2D" w14:textId="77777777">
      <w:pPr>
        <w:autoSpaceDE/>
        <w:autoSpaceDN/>
        <w:jc w:val="both"/>
        <w:rPr>
          <w:b/>
          <w:bCs/>
          <w:sz w:val="24"/>
        </w:rPr>
      </w:pPr>
    </w:p>
    <w:tbl>
      <w:tblPr>
        <w:tblW w:w="0" w:type="auto"/>
        <w:tblLook w:val="04A0"/>
      </w:tblPr>
      <w:tblGrid>
        <w:gridCol w:w="4428"/>
        <w:gridCol w:w="4428"/>
      </w:tblGrid>
      <w:tr w14:paraId="14FD6E1F" w14:textId="77777777" w:rsidTr="002A419B">
        <w:tblPrEx>
          <w:tblW w:w="0" w:type="auto"/>
          <w:tblLook w:val="04A0"/>
        </w:tblPrEx>
        <w:tc>
          <w:tcPr>
            <w:tcW w:w="4428" w:type="dxa"/>
            <w:shd w:val="clear" w:color="auto" w:fill="auto"/>
          </w:tcPr>
          <w:p w:rsidR="008649A0" w:rsidRPr="008649A0" w:rsidP="008649A0" w14:paraId="70A2DA71" w14:textId="77777777">
            <w:pPr>
              <w:autoSpaceDE/>
              <w:autoSpaceDN/>
              <w:jc w:val="both"/>
              <w:rPr>
                <w:sz w:val="24"/>
              </w:rPr>
            </w:pPr>
            <w:hyperlink r:id="rId9" w:history="1">
              <w:r w:rsidRPr="00A451D5" w:rsidR="00603A9A">
                <w:rPr>
                  <w:rStyle w:val="Hyperlink"/>
                  <w:sz w:val="24"/>
                </w:rPr>
                <w:t>thomas.lindgren@ohioattorneygeneral.gov</w:t>
              </w:r>
            </w:hyperlink>
          </w:p>
          <w:p w:rsidR="008649A0" w:rsidRPr="008649A0" w:rsidP="008649A0" w14:paraId="32A30AA0" w14:textId="77777777">
            <w:pPr>
              <w:autoSpaceDE/>
              <w:autoSpaceDN/>
              <w:jc w:val="both"/>
              <w:rPr>
                <w:sz w:val="24"/>
              </w:rPr>
            </w:pPr>
          </w:p>
          <w:p w:rsidR="008649A0" w:rsidRPr="008649A0" w:rsidP="008649A0" w14:paraId="33DB736B" w14:textId="77777777">
            <w:pPr>
              <w:autoSpaceDE/>
              <w:autoSpaceDN/>
              <w:jc w:val="both"/>
              <w:rPr>
                <w:sz w:val="24"/>
              </w:rPr>
            </w:pPr>
            <w:r w:rsidRPr="008649A0">
              <w:rPr>
                <w:sz w:val="24"/>
              </w:rPr>
              <w:t>Attorney Examiner:</w:t>
            </w:r>
          </w:p>
          <w:p w:rsidR="008649A0" w:rsidRPr="008649A0" w:rsidP="008649A0" w14:paraId="04E79ACE" w14:textId="77777777">
            <w:pPr>
              <w:autoSpaceDE/>
              <w:autoSpaceDN/>
              <w:jc w:val="both"/>
              <w:rPr>
                <w:sz w:val="24"/>
              </w:rPr>
            </w:pPr>
          </w:p>
          <w:p w:rsidR="008649A0" w:rsidRPr="008649A0" w:rsidP="008649A0" w14:paraId="442A7686" w14:textId="77777777">
            <w:pPr>
              <w:autoSpaceDE/>
              <w:autoSpaceDN/>
              <w:jc w:val="both"/>
              <w:rPr>
                <w:sz w:val="24"/>
              </w:rPr>
            </w:pPr>
            <w:hyperlink r:id="rId10" w:history="1">
              <w:r w:rsidRPr="00603A9A" w:rsidR="0001540E">
                <w:rPr>
                  <w:rStyle w:val="Hyperlink"/>
                  <w:sz w:val="24"/>
                  <w:szCs w:val="24"/>
                </w:rPr>
                <w:t>g</w:t>
              </w:r>
              <w:r w:rsidRPr="00A451D5" w:rsidR="0001540E">
                <w:rPr>
                  <w:rStyle w:val="Hyperlink"/>
                  <w:sz w:val="24"/>
                </w:rPr>
                <w:t>regory.price@puco.ohio.gov</w:t>
              </w:r>
            </w:hyperlink>
          </w:p>
          <w:p w:rsidR="008649A0" w:rsidRPr="00603A9A" w:rsidP="008649A0" w14:paraId="2C11DA88" w14:textId="77777777">
            <w:pPr>
              <w:autoSpaceDE/>
              <w:autoSpaceDN/>
              <w:jc w:val="both"/>
              <w:rPr>
                <w:rStyle w:val="Hyperlink"/>
                <w:sz w:val="24"/>
                <w:szCs w:val="24"/>
              </w:rPr>
            </w:pPr>
            <w:r w:rsidRPr="00603A9A">
              <w:rPr>
                <w:rStyle w:val="Hyperlink"/>
                <w:sz w:val="24"/>
                <w:szCs w:val="24"/>
              </w:rPr>
              <w:t>p</w:t>
            </w:r>
            <w:hyperlink r:id="rId11" w:history="1">
              <w:r w:rsidRPr="00603A9A">
                <w:rPr>
                  <w:rStyle w:val="Hyperlink"/>
                  <w:sz w:val="24"/>
                  <w:szCs w:val="24"/>
                </w:rPr>
                <w:t>atricia.schabo@puco.ohio.gov</w:t>
              </w:r>
            </w:hyperlink>
          </w:p>
          <w:p w:rsidR="008649A0" w:rsidRPr="008649A0" w:rsidP="008649A0" w14:paraId="43F963CE" w14:textId="77777777">
            <w:pPr>
              <w:autoSpaceDE/>
              <w:autoSpaceDN/>
              <w:jc w:val="both"/>
              <w:rPr>
                <w:sz w:val="24"/>
              </w:rPr>
            </w:pPr>
            <w:r w:rsidRPr="008649A0">
              <w:rPr>
                <w:sz w:val="24"/>
              </w:rPr>
              <w:t xml:space="preserve"> </w:t>
            </w:r>
          </w:p>
        </w:tc>
        <w:tc>
          <w:tcPr>
            <w:tcW w:w="4428" w:type="dxa"/>
            <w:shd w:val="clear" w:color="auto" w:fill="auto"/>
          </w:tcPr>
          <w:p w:rsidR="008649A0" w:rsidRPr="008649A0" w:rsidP="008649A0" w14:paraId="5176ABDA" w14:textId="77777777">
            <w:pPr>
              <w:autoSpaceDE/>
              <w:autoSpaceDN/>
              <w:ind w:left="608"/>
              <w:jc w:val="both"/>
              <w:rPr>
                <w:sz w:val="24"/>
              </w:rPr>
            </w:pPr>
            <w:hyperlink r:id="rId12" w:history="1">
              <w:r w:rsidRPr="008649A0" w:rsidR="0028134A">
                <w:rPr>
                  <w:rStyle w:val="Hyperlink"/>
                  <w:sz w:val="24"/>
                </w:rPr>
                <w:t>fdarr@mwncmh.com</w:t>
              </w:r>
            </w:hyperlink>
          </w:p>
          <w:p w:rsidR="008649A0" w:rsidRPr="008649A0" w:rsidP="008649A0" w14:paraId="50ABB81D" w14:textId="77777777">
            <w:pPr>
              <w:autoSpaceDE/>
              <w:autoSpaceDN/>
              <w:ind w:left="608"/>
              <w:jc w:val="both"/>
              <w:rPr>
                <w:sz w:val="24"/>
              </w:rPr>
            </w:pPr>
            <w:hyperlink r:id="rId13" w:history="1">
              <w:r w:rsidRPr="008649A0" w:rsidR="0028134A">
                <w:rPr>
                  <w:rStyle w:val="Hyperlink"/>
                  <w:sz w:val="24"/>
                </w:rPr>
                <w:t>mpritchard@mwncmh.com</w:t>
              </w:r>
            </w:hyperlink>
          </w:p>
          <w:p w:rsidR="008649A0" w:rsidRPr="008649A0" w:rsidP="008649A0" w14:paraId="66C31C48" w14:textId="77777777">
            <w:pPr>
              <w:autoSpaceDE/>
              <w:autoSpaceDN/>
              <w:jc w:val="both"/>
              <w:rPr>
                <w:sz w:val="24"/>
              </w:rPr>
            </w:pPr>
          </w:p>
          <w:p w:rsidR="008649A0" w:rsidRPr="008649A0" w:rsidP="008649A0" w14:paraId="6620D7A3" w14:textId="77777777">
            <w:pPr>
              <w:autoSpaceDE/>
              <w:autoSpaceDN/>
              <w:jc w:val="both"/>
              <w:rPr>
                <w:sz w:val="24"/>
              </w:rPr>
            </w:pPr>
          </w:p>
        </w:tc>
      </w:tr>
    </w:tbl>
    <w:p w:rsidR="008649A0" w:rsidRPr="008649A0" w:rsidP="008649A0" w14:paraId="59764FEF" w14:textId="77777777">
      <w:pPr>
        <w:autoSpaceDE/>
        <w:autoSpaceDN/>
        <w:jc w:val="both"/>
        <w:rPr>
          <w:b/>
          <w:bCs/>
          <w:sz w:val="24"/>
        </w:rPr>
      </w:pPr>
    </w:p>
    <w:p w:rsidR="005C085D" w:rsidP="008649A0" w14:paraId="1A642FDF" w14:textId="77777777">
      <w:pPr>
        <w:pStyle w:val="CommentText"/>
        <w:jc w:val="center"/>
        <w:rPr>
          <w:b/>
          <w:sz w:val="24"/>
          <w:szCs w:val="24"/>
        </w:rPr>
        <w:sectPr w:rsidSect="00684A1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8"/>
          <w:cols w:space="720"/>
          <w:docGrid w:linePitch="360"/>
        </w:sectPr>
      </w:pPr>
    </w:p>
    <w:p w:rsidR="005C085D" w:rsidP="005C085D" w14:paraId="3A16127F" w14:textId="77777777">
      <w:pPr>
        <w:rPr>
          <w:b/>
          <w:i/>
          <w:sz w:val="28"/>
          <w:szCs w:val="28"/>
        </w:rPr>
      </w:pPr>
    </w:p>
    <w:p w:rsidR="005C085D" w:rsidRPr="005C085D" w:rsidP="005C085D" w14:paraId="7BD06827" w14:textId="77777777">
      <w:pPr>
        <w:jc w:val="center"/>
        <w:rPr>
          <w:rFonts w:ascii="Calibri" w:hAnsi="Calibri" w:cs="Calibri"/>
          <w:b/>
          <w:i/>
          <w:sz w:val="28"/>
          <w:szCs w:val="28"/>
        </w:rPr>
      </w:pPr>
    </w:p>
    <w:p w:rsidR="005C085D" w:rsidRPr="005C085D" w:rsidP="005C085D" w14:paraId="05388E17" w14:textId="77777777">
      <w:pPr>
        <w:jc w:val="center"/>
        <w:rPr>
          <w:rFonts w:ascii="Calibri" w:hAnsi="Calibri" w:cs="Calibri"/>
          <w:b/>
          <w:i/>
          <w:sz w:val="28"/>
          <w:szCs w:val="28"/>
        </w:rPr>
      </w:pPr>
      <w:r w:rsidRPr="005C085D">
        <w:rPr>
          <w:rFonts w:ascii="Calibri" w:hAnsi="Calibri" w:cs="Calibri"/>
          <w:b/>
          <w:i/>
          <w:sz w:val="28"/>
          <w:szCs w:val="28"/>
        </w:rPr>
        <w:t>Testimony before The Public Utilities Commission of Ohio</w:t>
      </w:r>
    </w:p>
    <w:p w:rsidR="005C085D" w:rsidP="005C085D" w14:paraId="65AFCDD0" w14:textId="77777777">
      <w:pPr>
        <w:rPr>
          <w:i/>
          <w:sz w:val="24"/>
          <w:szCs w:val="24"/>
        </w:rPr>
      </w:pPr>
    </w:p>
    <w:p w:rsidR="005C085D" w:rsidRPr="005C085D" w:rsidP="005C085D" w14:paraId="24778D04" w14:textId="77777777">
      <w:pPr>
        <w:spacing w:line="480" w:lineRule="auto"/>
        <w:rPr>
          <w:rFonts w:asciiTheme="minorHAnsi" w:hAnsiTheme="minorHAnsi" w:cstheme="minorHAnsi"/>
          <w:i/>
          <w:sz w:val="24"/>
          <w:szCs w:val="24"/>
        </w:rPr>
      </w:pPr>
      <w:r w:rsidRPr="005C085D">
        <w:rPr>
          <w:rFonts w:asciiTheme="minorHAnsi" w:hAnsiTheme="minorHAnsi" w:cstheme="minorHAnsi"/>
          <w:i/>
          <w:sz w:val="24"/>
          <w:szCs w:val="24"/>
        </w:rPr>
        <w:t>Vectren Energy Delivery of Ohio, Inc. - Case No. 19-29-GA-ATA</w:t>
      </w:r>
    </w:p>
    <w:p w:rsidR="005C085D" w:rsidRPr="005C085D" w:rsidP="005C085D" w14:paraId="19698DE0" w14:textId="77777777">
      <w:pPr>
        <w:spacing w:line="480" w:lineRule="auto"/>
        <w:rPr>
          <w:rFonts w:asciiTheme="minorHAnsi" w:hAnsiTheme="minorHAnsi" w:cstheme="minorHAnsi"/>
          <w:i/>
          <w:sz w:val="24"/>
          <w:szCs w:val="24"/>
        </w:rPr>
      </w:pPr>
      <w:r w:rsidRPr="005C085D">
        <w:rPr>
          <w:rFonts w:asciiTheme="minorHAnsi" w:hAnsiTheme="minorHAnsi" w:cstheme="minorHAnsi"/>
          <w:i/>
          <w:sz w:val="24"/>
          <w:szCs w:val="24"/>
        </w:rPr>
        <w:t>East Ohio Gas Company d/b/a Dominion Energy Ohio – Case No. 18-1908-GA-UNC, et al.</w:t>
      </w:r>
    </w:p>
    <w:p w:rsidR="005C085D" w:rsidRPr="005C085D" w:rsidP="005C085D" w14:paraId="01747F6E" w14:textId="77777777">
      <w:pPr>
        <w:spacing w:line="480" w:lineRule="auto"/>
        <w:rPr>
          <w:rFonts w:asciiTheme="minorHAnsi" w:hAnsiTheme="minorHAnsi" w:cstheme="minorHAnsi"/>
          <w:i/>
          <w:sz w:val="24"/>
          <w:szCs w:val="24"/>
        </w:rPr>
      </w:pPr>
      <w:r w:rsidRPr="005C085D">
        <w:rPr>
          <w:rFonts w:asciiTheme="minorHAnsi" w:hAnsiTheme="minorHAnsi" w:cstheme="minorHAnsi"/>
          <w:i/>
          <w:sz w:val="24"/>
          <w:szCs w:val="24"/>
        </w:rPr>
        <w:t>Ohio Gas Company – Case No. 18-1903-GA-WVR</w:t>
      </w:r>
    </w:p>
    <w:p w:rsidR="005C085D" w:rsidRPr="005C085D" w:rsidP="005C085D" w14:paraId="6D494326" w14:textId="77777777">
      <w:pPr>
        <w:spacing w:line="480" w:lineRule="auto"/>
        <w:rPr>
          <w:rFonts w:asciiTheme="minorHAnsi" w:hAnsiTheme="minorHAnsi" w:cstheme="minorHAnsi"/>
          <w:i/>
          <w:sz w:val="24"/>
          <w:szCs w:val="24"/>
        </w:rPr>
      </w:pPr>
      <w:r w:rsidRPr="005C085D">
        <w:rPr>
          <w:rFonts w:asciiTheme="minorHAnsi" w:hAnsiTheme="minorHAnsi" w:cstheme="minorHAnsi"/>
          <w:i/>
          <w:sz w:val="24"/>
          <w:szCs w:val="24"/>
        </w:rPr>
        <w:t>Dayton Power &amp; Light Company – Case No. 16-395-EL-SSO, et al.</w:t>
      </w:r>
    </w:p>
    <w:p w:rsidR="005C085D" w:rsidRPr="005C085D" w:rsidP="005C085D" w14:paraId="2EA1FEBF" w14:textId="77777777">
      <w:pPr>
        <w:spacing w:line="480" w:lineRule="auto"/>
        <w:rPr>
          <w:rFonts w:asciiTheme="minorHAnsi" w:hAnsiTheme="minorHAnsi" w:cstheme="minorHAnsi"/>
          <w:i/>
          <w:sz w:val="24"/>
          <w:szCs w:val="24"/>
        </w:rPr>
      </w:pPr>
      <w:r w:rsidRPr="005C085D">
        <w:rPr>
          <w:rFonts w:asciiTheme="minorHAnsi" w:hAnsiTheme="minorHAnsi" w:cstheme="minorHAnsi"/>
          <w:i/>
          <w:sz w:val="24"/>
          <w:szCs w:val="24"/>
        </w:rPr>
        <w:t>Suburban Natural Gas – Case No. 18-1205-GA-AIR</w:t>
      </w:r>
    </w:p>
    <w:p w:rsidR="005C085D" w:rsidRPr="005C085D" w:rsidP="005C085D" w14:paraId="17B6A0A8" w14:textId="77777777">
      <w:pPr>
        <w:rPr>
          <w:rFonts w:asciiTheme="minorHAnsi" w:hAnsiTheme="minorHAnsi" w:cstheme="minorHAnsi"/>
          <w:i/>
          <w:sz w:val="24"/>
          <w:szCs w:val="24"/>
        </w:rPr>
      </w:pPr>
      <w:r w:rsidRPr="005C085D">
        <w:rPr>
          <w:rFonts w:asciiTheme="minorHAnsi" w:hAnsiTheme="minorHAnsi" w:cstheme="minorHAnsi"/>
          <w:i/>
          <w:sz w:val="24"/>
          <w:szCs w:val="24"/>
        </w:rPr>
        <w:t>Ohio Edison Company, The Cleveland Electric Illuminating Company</w:t>
      </w:r>
    </w:p>
    <w:p w:rsidR="005C085D" w:rsidRPr="005C085D" w:rsidP="005C085D" w14:paraId="543E1A82" w14:textId="77777777">
      <w:pPr>
        <w:rPr>
          <w:rFonts w:asciiTheme="minorHAnsi" w:hAnsiTheme="minorHAnsi" w:cstheme="minorHAnsi"/>
          <w:i/>
          <w:sz w:val="24"/>
          <w:szCs w:val="24"/>
        </w:rPr>
      </w:pPr>
      <w:r w:rsidRPr="005C085D">
        <w:rPr>
          <w:rFonts w:asciiTheme="minorHAnsi" w:hAnsiTheme="minorHAnsi" w:cstheme="minorHAnsi"/>
          <w:i/>
          <w:sz w:val="24"/>
          <w:szCs w:val="24"/>
        </w:rPr>
        <w:t>and The Toledo Edison Company - Case No. 16-481-EL-UNC, et al.</w:t>
      </w:r>
    </w:p>
    <w:p w:rsidR="005C085D" w:rsidRPr="005C085D" w:rsidP="005C085D" w14:paraId="6D8BC005" w14:textId="77777777">
      <w:pPr>
        <w:rPr>
          <w:rFonts w:asciiTheme="minorHAnsi" w:hAnsiTheme="minorHAnsi" w:cstheme="minorHAnsi"/>
          <w:i/>
          <w:sz w:val="24"/>
          <w:szCs w:val="24"/>
        </w:rPr>
      </w:pPr>
    </w:p>
    <w:p w:rsidR="005C085D" w:rsidRPr="005C085D" w:rsidP="005C085D" w14:paraId="25527502" w14:textId="77777777">
      <w:pPr>
        <w:spacing w:line="480" w:lineRule="auto"/>
        <w:rPr>
          <w:rFonts w:asciiTheme="minorHAnsi" w:hAnsiTheme="minorHAnsi" w:cstheme="minorHAnsi"/>
          <w:i/>
          <w:sz w:val="24"/>
          <w:szCs w:val="24"/>
        </w:rPr>
      </w:pPr>
      <w:r w:rsidRPr="005C085D">
        <w:rPr>
          <w:rFonts w:asciiTheme="minorHAnsi" w:hAnsiTheme="minorHAnsi" w:cstheme="minorHAnsi"/>
          <w:i/>
          <w:sz w:val="24"/>
          <w:szCs w:val="24"/>
        </w:rPr>
        <w:t>Aqua Ohio, Inc. – Case No. 18-337-WW-SIC</w:t>
      </w:r>
    </w:p>
    <w:p w:rsidR="005C085D" w:rsidRPr="005C085D" w:rsidP="005C085D" w14:paraId="675F847F" w14:textId="77777777">
      <w:pPr>
        <w:spacing w:line="480" w:lineRule="auto"/>
        <w:rPr>
          <w:rFonts w:asciiTheme="minorHAnsi" w:hAnsiTheme="minorHAnsi" w:cstheme="minorHAnsi"/>
          <w:i/>
          <w:sz w:val="24"/>
          <w:szCs w:val="24"/>
        </w:rPr>
      </w:pPr>
      <w:r w:rsidRPr="005C085D">
        <w:rPr>
          <w:rFonts w:asciiTheme="minorHAnsi" w:hAnsiTheme="minorHAnsi" w:cstheme="minorHAnsi"/>
          <w:i/>
          <w:sz w:val="24"/>
          <w:szCs w:val="24"/>
        </w:rPr>
        <w:t>Columbia Gas of Ohio, Inc. – Case No. 17-2202-GA-ALT</w:t>
      </w:r>
    </w:p>
    <w:p w:rsidR="005C085D" w:rsidRPr="005C085D" w:rsidP="005C085D" w14:paraId="566AF3DF" w14:textId="77777777">
      <w:pPr>
        <w:spacing w:line="480" w:lineRule="auto"/>
        <w:rPr>
          <w:rFonts w:asciiTheme="minorHAnsi" w:hAnsiTheme="minorHAnsi" w:cstheme="minorHAnsi"/>
          <w:i/>
          <w:sz w:val="24"/>
          <w:szCs w:val="24"/>
        </w:rPr>
      </w:pPr>
      <w:r w:rsidRPr="005C085D">
        <w:rPr>
          <w:rFonts w:asciiTheme="minorHAnsi" w:hAnsiTheme="minorHAnsi" w:cstheme="minorHAnsi"/>
          <w:i/>
          <w:sz w:val="24"/>
          <w:szCs w:val="24"/>
        </w:rPr>
        <w:t>Ohio Power Company – Case No. 18-1007-EL-UNC</w:t>
      </w:r>
    </w:p>
    <w:p w:rsidR="005C085D" w:rsidRPr="005C085D" w:rsidP="005C085D" w14:paraId="601A95E4" w14:textId="77777777">
      <w:pPr>
        <w:spacing w:line="480" w:lineRule="auto"/>
        <w:rPr>
          <w:rFonts w:asciiTheme="minorHAnsi" w:hAnsiTheme="minorHAnsi" w:cstheme="minorHAnsi"/>
          <w:i/>
          <w:sz w:val="24"/>
          <w:szCs w:val="24"/>
        </w:rPr>
      </w:pPr>
      <w:r w:rsidRPr="005C085D">
        <w:rPr>
          <w:rFonts w:asciiTheme="minorHAnsi" w:hAnsiTheme="minorHAnsi" w:cstheme="minorHAnsi"/>
          <w:i/>
          <w:sz w:val="24"/>
          <w:szCs w:val="24"/>
        </w:rPr>
        <w:t>Dayton Power &amp; Light Company – Case No. 15-1830-EL-AIR</w:t>
      </w:r>
    </w:p>
    <w:p w:rsidR="005C085D" w:rsidRPr="005C085D" w:rsidP="005C085D" w14:paraId="76F52A89" w14:textId="77777777">
      <w:pPr>
        <w:spacing w:line="480" w:lineRule="auto"/>
        <w:rPr>
          <w:rFonts w:asciiTheme="minorHAnsi" w:hAnsiTheme="minorHAnsi" w:cstheme="minorHAnsi"/>
          <w:i/>
          <w:sz w:val="24"/>
          <w:szCs w:val="24"/>
        </w:rPr>
      </w:pPr>
      <w:r w:rsidRPr="005C085D">
        <w:rPr>
          <w:rFonts w:asciiTheme="minorHAnsi" w:hAnsiTheme="minorHAnsi" w:cstheme="minorHAnsi"/>
          <w:i/>
          <w:sz w:val="24"/>
          <w:szCs w:val="24"/>
        </w:rPr>
        <w:t>Commission Ordered Investigation (TCJA) – Case No. 18-47-AU-COI</w:t>
      </w:r>
    </w:p>
    <w:p w:rsidR="005C085D" w:rsidRPr="005C085D" w:rsidP="005C085D" w14:paraId="366DBA63" w14:textId="77777777">
      <w:pPr>
        <w:spacing w:line="480" w:lineRule="auto"/>
        <w:rPr>
          <w:rFonts w:asciiTheme="minorHAnsi" w:hAnsiTheme="minorHAnsi" w:cstheme="minorHAnsi"/>
          <w:i/>
          <w:sz w:val="24"/>
          <w:szCs w:val="24"/>
        </w:rPr>
      </w:pPr>
      <w:r w:rsidRPr="005C085D">
        <w:rPr>
          <w:rFonts w:asciiTheme="minorHAnsi" w:hAnsiTheme="minorHAnsi" w:cstheme="minorHAnsi"/>
          <w:i/>
          <w:sz w:val="24"/>
          <w:szCs w:val="24"/>
        </w:rPr>
        <w:t>Ohio Gas Company – Case No. 17-1139-GA-AIR</w:t>
      </w:r>
    </w:p>
    <w:p w:rsidR="005C085D" w:rsidRPr="005C085D" w:rsidP="005C085D" w14:paraId="2A94421B" w14:textId="77777777">
      <w:pPr>
        <w:spacing w:line="480" w:lineRule="auto"/>
        <w:rPr>
          <w:rFonts w:asciiTheme="minorHAnsi" w:hAnsiTheme="minorHAnsi" w:cstheme="minorHAnsi"/>
          <w:i/>
          <w:sz w:val="24"/>
          <w:szCs w:val="24"/>
        </w:rPr>
      </w:pPr>
      <w:r w:rsidRPr="005C085D">
        <w:rPr>
          <w:rFonts w:asciiTheme="minorHAnsi" w:hAnsiTheme="minorHAnsi" w:cstheme="minorHAnsi"/>
          <w:i/>
          <w:sz w:val="24"/>
          <w:szCs w:val="24"/>
        </w:rPr>
        <w:t>Aqua Ohio, Inc. – Case No. 16-907-WW-AIR</w:t>
      </w:r>
    </w:p>
    <w:p w:rsidR="005C085D" w:rsidRPr="005C085D" w:rsidP="005C085D" w14:paraId="14B8CCFE" w14:textId="77777777">
      <w:pPr>
        <w:spacing w:line="480" w:lineRule="auto"/>
        <w:rPr>
          <w:rFonts w:asciiTheme="minorHAnsi" w:hAnsiTheme="minorHAnsi" w:cstheme="minorHAnsi"/>
          <w:i/>
          <w:sz w:val="24"/>
          <w:szCs w:val="24"/>
        </w:rPr>
      </w:pPr>
      <w:r w:rsidRPr="005C085D">
        <w:rPr>
          <w:rFonts w:asciiTheme="minorHAnsi" w:hAnsiTheme="minorHAnsi" w:cstheme="minorHAnsi"/>
          <w:i/>
          <w:sz w:val="24"/>
          <w:szCs w:val="24"/>
        </w:rPr>
        <w:t>Globe Metallurgical, Inc. - Case No. 16-737-EL-AEC</w:t>
      </w:r>
    </w:p>
    <w:p w:rsidR="005C085D" w:rsidRPr="005C085D" w:rsidP="005C085D" w14:paraId="109CF52F" w14:textId="77777777">
      <w:pPr>
        <w:spacing w:line="480" w:lineRule="auto"/>
        <w:rPr>
          <w:rFonts w:asciiTheme="minorHAnsi" w:hAnsiTheme="minorHAnsi" w:cstheme="minorHAnsi"/>
          <w:i/>
          <w:sz w:val="24"/>
          <w:szCs w:val="24"/>
        </w:rPr>
      </w:pPr>
      <w:r w:rsidRPr="005C085D">
        <w:rPr>
          <w:rFonts w:asciiTheme="minorHAnsi" w:hAnsiTheme="minorHAnsi" w:cstheme="minorHAnsi"/>
          <w:i/>
          <w:sz w:val="24"/>
          <w:szCs w:val="24"/>
        </w:rPr>
        <w:t>Ohio Power Company - Case No. 13-2385-EL-SSO</w:t>
      </w:r>
    </w:p>
    <w:p w:rsidR="005C085D" w:rsidRPr="005C085D" w:rsidP="005C085D" w14:paraId="7076B56F" w14:textId="77777777">
      <w:pPr>
        <w:spacing w:line="480" w:lineRule="auto"/>
        <w:rPr>
          <w:rFonts w:asciiTheme="minorHAnsi" w:hAnsiTheme="minorHAnsi" w:cstheme="minorHAnsi"/>
          <w:i/>
          <w:sz w:val="24"/>
          <w:szCs w:val="24"/>
        </w:rPr>
      </w:pPr>
      <w:r w:rsidRPr="005C085D">
        <w:rPr>
          <w:rFonts w:asciiTheme="minorHAnsi" w:hAnsiTheme="minorHAnsi" w:cstheme="minorHAnsi"/>
          <w:i/>
          <w:sz w:val="24"/>
          <w:szCs w:val="24"/>
        </w:rPr>
        <w:t>Aqua Ohio, Inc. – Case No. 13-2124-WW-AIR</w:t>
      </w:r>
    </w:p>
    <w:p w:rsidR="005C085D" w:rsidRPr="005C085D" w:rsidP="005C085D" w14:paraId="151B475B" w14:textId="77777777">
      <w:pPr>
        <w:spacing w:line="480" w:lineRule="auto"/>
        <w:rPr>
          <w:rFonts w:asciiTheme="minorHAnsi" w:hAnsiTheme="minorHAnsi" w:cstheme="minorHAnsi"/>
          <w:i/>
          <w:sz w:val="24"/>
          <w:szCs w:val="24"/>
        </w:rPr>
      </w:pPr>
      <w:r w:rsidRPr="005C085D">
        <w:rPr>
          <w:rFonts w:asciiTheme="minorHAnsi" w:hAnsiTheme="minorHAnsi" w:cstheme="minorHAnsi"/>
          <w:i/>
          <w:sz w:val="24"/>
          <w:szCs w:val="24"/>
        </w:rPr>
        <w:t>Camplands Water LLC. -  Case No. 13-1690-WW-AIR</w:t>
      </w:r>
    </w:p>
    <w:p w:rsidR="005C085D" w:rsidRPr="005C085D" w:rsidP="005C085D" w14:paraId="528D346A" w14:textId="77777777">
      <w:pPr>
        <w:spacing w:line="480" w:lineRule="auto"/>
        <w:rPr>
          <w:rFonts w:asciiTheme="minorHAnsi" w:hAnsiTheme="minorHAnsi" w:cstheme="minorHAnsi"/>
          <w:i/>
          <w:sz w:val="24"/>
          <w:szCs w:val="24"/>
        </w:rPr>
      </w:pPr>
      <w:r w:rsidRPr="005C085D">
        <w:rPr>
          <w:rFonts w:asciiTheme="minorHAnsi" w:hAnsiTheme="minorHAnsi" w:cstheme="minorHAnsi"/>
          <w:i/>
          <w:sz w:val="24"/>
          <w:szCs w:val="24"/>
        </w:rPr>
        <w:t>Duke Energy Ohio, Inc. - Case No. 12-1685-GA-AIR</w:t>
      </w:r>
    </w:p>
    <w:p w:rsidR="005C085D" w:rsidP="005C085D" w14:paraId="56CD4177" w14:textId="77777777">
      <w:pPr>
        <w:spacing w:line="480" w:lineRule="auto"/>
        <w:rPr>
          <w:rFonts w:asciiTheme="minorHAnsi" w:hAnsiTheme="minorHAnsi" w:cstheme="minorHAnsi"/>
          <w:i/>
          <w:sz w:val="24"/>
          <w:szCs w:val="24"/>
        </w:rPr>
        <w:sectPr w:rsidSect="00415456">
          <w:headerReference w:type="default" r:id="rId20"/>
          <w:footerReference w:type="default" r:id="rId21"/>
          <w:pgSz w:w="12240" w:h="15840"/>
          <w:pgMar w:top="1440" w:right="1440" w:bottom="1440" w:left="1440" w:header="720" w:footer="720" w:gutter="0"/>
          <w:cols w:space="720"/>
          <w:docGrid w:linePitch="360"/>
        </w:sectPr>
      </w:pPr>
      <w:r w:rsidRPr="005C085D">
        <w:rPr>
          <w:rFonts w:asciiTheme="minorHAnsi" w:hAnsiTheme="minorHAnsi" w:cstheme="minorHAnsi"/>
          <w:i/>
          <w:sz w:val="24"/>
          <w:szCs w:val="24"/>
        </w:rPr>
        <w:t>Duke Energy Ohio, Inc. - Case No. 12-1682-EL-AIR</w:t>
      </w:r>
    </w:p>
    <w:p w:rsidR="005C085D" w:rsidRPr="005C085D" w:rsidP="005C085D" w14:paraId="042BDE61" w14:textId="77777777">
      <w:pPr>
        <w:spacing w:line="480" w:lineRule="auto"/>
        <w:rPr>
          <w:rFonts w:asciiTheme="minorHAnsi" w:hAnsiTheme="minorHAnsi" w:cstheme="minorHAnsi"/>
          <w:i/>
          <w:sz w:val="24"/>
          <w:szCs w:val="24"/>
        </w:rPr>
      </w:pPr>
      <w:r w:rsidRPr="005C085D">
        <w:rPr>
          <w:rFonts w:asciiTheme="minorHAnsi" w:hAnsiTheme="minorHAnsi" w:cstheme="minorHAnsi"/>
          <w:i/>
          <w:sz w:val="24"/>
          <w:szCs w:val="24"/>
        </w:rPr>
        <w:t>Ohio American Water Company - Case No. 11-4161-WS-AIR</w:t>
      </w:r>
    </w:p>
    <w:p w:rsidR="005C085D" w:rsidRPr="005C085D" w:rsidP="005C085D" w14:paraId="21FECF89" w14:textId="15094288">
      <w:pPr>
        <w:spacing w:line="480" w:lineRule="auto"/>
        <w:rPr>
          <w:rFonts w:asciiTheme="minorHAnsi" w:hAnsiTheme="minorHAnsi" w:cstheme="minorHAnsi"/>
          <w:i/>
          <w:sz w:val="24"/>
          <w:szCs w:val="24"/>
        </w:rPr>
      </w:pPr>
      <w:r w:rsidRPr="005C085D">
        <w:rPr>
          <w:rFonts w:asciiTheme="minorHAnsi" w:hAnsiTheme="minorHAnsi" w:cstheme="minorHAnsi"/>
          <w:i/>
          <w:sz w:val="24"/>
          <w:szCs w:val="24"/>
        </w:rPr>
        <w:t>Water and Sewer LLC. -  Case No. 11-4509-ST-AIR</w:t>
      </w:r>
    </w:p>
    <w:p w:rsidR="005C085D" w:rsidRPr="005C085D" w:rsidP="005C085D" w14:paraId="476C7942" w14:textId="77777777">
      <w:pPr>
        <w:spacing w:line="480" w:lineRule="auto"/>
        <w:rPr>
          <w:rFonts w:asciiTheme="minorHAnsi" w:hAnsiTheme="minorHAnsi" w:cstheme="minorHAnsi"/>
          <w:i/>
          <w:sz w:val="24"/>
          <w:szCs w:val="24"/>
        </w:rPr>
      </w:pPr>
      <w:r w:rsidRPr="005C085D">
        <w:rPr>
          <w:rFonts w:asciiTheme="minorHAnsi" w:hAnsiTheme="minorHAnsi" w:cstheme="minorHAnsi"/>
          <w:i/>
          <w:sz w:val="24"/>
          <w:szCs w:val="24"/>
        </w:rPr>
        <w:t>Aqua Ohio, Inc. - Case No. 09-1044-WW-AIR</w:t>
      </w:r>
    </w:p>
    <w:p w:rsidR="005C085D" w:rsidRPr="005C085D" w:rsidP="005C085D" w14:paraId="2774C58D" w14:textId="77777777">
      <w:pPr>
        <w:spacing w:line="480" w:lineRule="auto"/>
        <w:rPr>
          <w:rFonts w:asciiTheme="minorHAnsi" w:hAnsiTheme="minorHAnsi" w:cstheme="minorHAnsi"/>
          <w:i/>
          <w:sz w:val="24"/>
          <w:szCs w:val="24"/>
        </w:rPr>
      </w:pPr>
      <w:r w:rsidRPr="005C085D">
        <w:rPr>
          <w:rFonts w:asciiTheme="minorHAnsi" w:hAnsiTheme="minorHAnsi" w:cstheme="minorHAnsi"/>
          <w:i/>
          <w:sz w:val="24"/>
          <w:szCs w:val="24"/>
        </w:rPr>
        <w:t>Ohio American Water Company – Case No. 09-391-WS-AIR</w:t>
      </w:r>
    </w:p>
    <w:p w:rsidR="005C085D" w:rsidRPr="005C085D" w:rsidP="005C085D" w14:paraId="45CB6D44" w14:textId="77777777">
      <w:pPr>
        <w:spacing w:line="480" w:lineRule="auto"/>
        <w:rPr>
          <w:rFonts w:asciiTheme="minorHAnsi" w:hAnsiTheme="minorHAnsi" w:cstheme="minorHAnsi"/>
          <w:i/>
          <w:sz w:val="24"/>
          <w:szCs w:val="24"/>
        </w:rPr>
      </w:pPr>
      <w:r w:rsidRPr="005C085D">
        <w:rPr>
          <w:rFonts w:asciiTheme="minorHAnsi" w:hAnsiTheme="minorHAnsi" w:cstheme="minorHAnsi"/>
          <w:i/>
          <w:sz w:val="24"/>
          <w:szCs w:val="24"/>
        </w:rPr>
        <w:t>Duke Energy Ohio, Inc. - Case No. 08-709-EL-AIR</w:t>
      </w:r>
    </w:p>
    <w:p w:rsidR="005C085D" w:rsidRPr="005C085D" w:rsidP="005C085D" w14:paraId="282BA8A4" w14:textId="77777777">
      <w:pPr>
        <w:rPr>
          <w:rFonts w:asciiTheme="minorHAnsi" w:hAnsiTheme="minorHAnsi" w:cstheme="minorHAnsi"/>
          <w:i/>
          <w:sz w:val="24"/>
          <w:szCs w:val="24"/>
        </w:rPr>
      </w:pPr>
      <w:r w:rsidRPr="005C085D">
        <w:rPr>
          <w:rFonts w:asciiTheme="minorHAnsi" w:hAnsiTheme="minorHAnsi" w:cstheme="minorHAnsi"/>
          <w:i/>
          <w:sz w:val="24"/>
          <w:szCs w:val="24"/>
        </w:rPr>
        <w:t>Ohio Edison Company, The Cleveland Electric Illuminating Company</w:t>
      </w:r>
    </w:p>
    <w:p w:rsidR="005C085D" w:rsidRPr="005C085D" w:rsidP="005C085D" w14:paraId="2DF15460" w14:textId="77777777">
      <w:pPr>
        <w:rPr>
          <w:rFonts w:asciiTheme="minorHAnsi" w:hAnsiTheme="minorHAnsi" w:cstheme="minorHAnsi"/>
          <w:i/>
          <w:sz w:val="24"/>
          <w:szCs w:val="24"/>
        </w:rPr>
      </w:pPr>
      <w:r w:rsidRPr="005C085D">
        <w:rPr>
          <w:rFonts w:asciiTheme="minorHAnsi" w:hAnsiTheme="minorHAnsi" w:cstheme="minorHAnsi"/>
          <w:i/>
          <w:sz w:val="24"/>
          <w:szCs w:val="24"/>
        </w:rPr>
        <w:t>and The Toledo Edison Company - Case No. 07-551-EL-AIR</w:t>
      </w:r>
    </w:p>
    <w:p w:rsidR="005C085D" w:rsidRPr="005C085D" w:rsidP="005C085D" w14:paraId="1E3EB494" w14:textId="77777777">
      <w:pPr>
        <w:rPr>
          <w:rFonts w:asciiTheme="minorHAnsi" w:hAnsiTheme="minorHAnsi" w:cstheme="minorHAnsi"/>
          <w:i/>
          <w:sz w:val="24"/>
          <w:szCs w:val="24"/>
        </w:rPr>
      </w:pPr>
    </w:p>
    <w:p w:rsidR="005C085D" w:rsidRPr="005C085D" w:rsidP="005C085D" w14:paraId="66A2531A" w14:textId="77777777">
      <w:pPr>
        <w:spacing w:line="480" w:lineRule="auto"/>
        <w:rPr>
          <w:rFonts w:asciiTheme="minorHAnsi" w:hAnsiTheme="minorHAnsi" w:cstheme="minorHAnsi"/>
          <w:i/>
          <w:sz w:val="24"/>
          <w:szCs w:val="24"/>
        </w:rPr>
      </w:pPr>
      <w:r w:rsidRPr="005C085D">
        <w:rPr>
          <w:rFonts w:asciiTheme="minorHAnsi" w:hAnsiTheme="minorHAnsi" w:cstheme="minorHAnsi"/>
          <w:i/>
          <w:sz w:val="24"/>
          <w:szCs w:val="24"/>
        </w:rPr>
        <w:t>Northeast Ohio Natural Gas Corp. - Case No. 03-2170-GA-AIR</w:t>
      </w:r>
    </w:p>
    <w:p w:rsidR="005C085D" w:rsidRPr="005C085D" w:rsidP="005C085D" w14:paraId="7C5AF544" w14:textId="77777777">
      <w:pPr>
        <w:spacing w:line="480" w:lineRule="auto"/>
        <w:rPr>
          <w:rFonts w:asciiTheme="minorHAnsi" w:hAnsiTheme="minorHAnsi" w:cstheme="minorHAnsi"/>
          <w:i/>
          <w:sz w:val="24"/>
          <w:szCs w:val="24"/>
        </w:rPr>
      </w:pPr>
      <w:r w:rsidRPr="005C085D">
        <w:rPr>
          <w:rFonts w:asciiTheme="minorHAnsi" w:hAnsiTheme="minorHAnsi" w:cstheme="minorHAnsi"/>
          <w:i/>
          <w:sz w:val="24"/>
          <w:szCs w:val="24"/>
        </w:rPr>
        <w:t>Water and Sewer LLC. – Case No. 03-318-WS-AIR</w:t>
      </w:r>
    </w:p>
    <w:p w:rsidR="005C085D" w:rsidRPr="005C085D" w:rsidP="005C085D" w14:paraId="48803653" w14:textId="77777777">
      <w:pPr>
        <w:spacing w:line="480" w:lineRule="auto"/>
        <w:rPr>
          <w:rFonts w:asciiTheme="minorHAnsi" w:hAnsiTheme="minorHAnsi" w:cstheme="minorHAnsi"/>
          <w:i/>
          <w:sz w:val="24"/>
          <w:szCs w:val="24"/>
        </w:rPr>
      </w:pPr>
      <w:r w:rsidRPr="005C085D">
        <w:rPr>
          <w:rFonts w:asciiTheme="minorHAnsi" w:hAnsiTheme="minorHAnsi" w:cstheme="minorHAnsi"/>
          <w:i/>
          <w:sz w:val="24"/>
          <w:szCs w:val="24"/>
        </w:rPr>
        <w:t>Southeast Natural Gas Company – Case No. 01-140-GA-AEM</w:t>
      </w:r>
    </w:p>
    <w:p w:rsidR="005C085D" w:rsidRPr="005C085D" w:rsidP="005C085D" w14:paraId="79B0FB78" w14:textId="77777777">
      <w:pPr>
        <w:spacing w:line="480" w:lineRule="auto"/>
        <w:rPr>
          <w:rFonts w:asciiTheme="minorHAnsi" w:hAnsiTheme="minorHAnsi" w:cstheme="minorHAnsi"/>
          <w:i/>
          <w:sz w:val="24"/>
          <w:szCs w:val="24"/>
        </w:rPr>
      </w:pPr>
      <w:r w:rsidRPr="005C085D">
        <w:rPr>
          <w:rFonts w:asciiTheme="minorHAnsi" w:hAnsiTheme="minorHAnsi" w:cstheme="minorHAnsi"/>
          <w:i/>
          <w:sz w:val="24"/>
          <w:szCs w:val="24"/>
        </w:rPr>
        <w:t>Masury Water Company - Case No. 00-713-WW-AIR</w:t>
      </w:r>
    </w:p>
    <w:p w:rsidR="005C085D" w:rsidRPr="005C085D" w:rsidP="005C085D" w14:paraId="15AC2B53" w14:textId="1773388E">
      <w:pPr>
        <w:spacing w:line="480" w:lineRule="auto"/>
        <w:rPr>
          <w:rFonts w:asciiTheme="minorHAnsi" w:hAnsiTheme="minorHAnsi" w:cstheme="minorHAnsi"/>
          <w:i/>
          <w:sz w:val="24"/>
          <w:szCs w:val="24"/>
        </w:rPr>
      </w:pPr>
      <w:r w:rsidRPr="005C085D">
        <w:rPr>
          <w:rFonts w:asciiTheme="minorHAnsi" w:hAnsiTheme="minorHAnsi" w:cstheme="minorHAnsi"/>
          <w:i/>
          <w:sz w:val="24"/>
          <w:szCs w:val="24"/>
        </w:rPr>
        <w:t>Akron Thermal, Limited Partnership - Case No. 00-2260-HT-AEM</w:t>
      </w:r>
    </w:p>
    <w:p w:rsidR="005C085D" w:rsidRPr="005C085D" w:rsidP="005C085D" w14:paraId="0906C508" w14:textId="3A4D50AA">
      <w:pPr>
        <w:spacing w:line="480" w:lineRule="auto"/>
        <w:rPr>
          <w:rFonts w:asciiTheme="minorHAnsi" w:hAnsiTheme="minorHAnsi" w:cstheme="minorHAnsi"/>
          <w:i/>
          <w:sz w:val="24"/>
          <w:szCs w:val="24"/>
        </w:rPr>
      </w:pPr>
      <w:r w:rsidRPr="005C085D">
        <w:rPr>
          <w:rFonts w:asciiTheme="minorHAnsi" w:hAnsiTheme="minorHAnsi" w:cstheme="minorHAnsi"/>
          <w:i/>
          <w:sz w:val="24"/>
          <w:szCs w:val="24"/>
        </w:rPr>
        <w:t>GTE North, Inc. - Case No. 87-1307-TP-AIR</w:t>
      </w:r>
    </w:p>
    <w:p w:rsidR="005C085D" w:rsidRPr="005C085D" w:rsidP="005C085D" w14:paraId="63C16805" w14:textId="77777777">
      <w:pPr>
        <w:spacing w:line="480" w:lineRule="auto"/>
        <w:rPr>
          <w:rFonts w:asciiTheme="minorHAnsi" w:hAnsiTheme="minorHAnsi" w:cstheme="minorHAnsi"/>
          <w:sz w:val="24"/>
          <w:szCs w:val="24"/>
        </w:rPr>
      </w:pPr>
      <w:r w:rsidRPr="005C085D">
        <w:rPr>
          <w:rFonts w:asciiTheme="minorHAnsi" w:hAnsiTheme="minorHAnsi" w:cstheme="minorHAnsi"/>
          <w:i/>
          <w:sz w:val="24"/>
          <w:szCs w:val="24"/>
        </w:rPr>
        <w:t>The Cleveland Electric Illuminating Company - Case No. 85-675-EL-AIR</w:t>
      </w:r>
    </w:p>
    <w:p w:rsidR="003C0FAE" w:rsidRPr="005C085D" w:rsidP="008649A0" w14:paraId="2AE57844" w14:textId="233098D7">
      <w:pPr>
        <w:pStyle w:val="CommentText"/>
        <w:jc w:val="center"/>
        <w:rPr>
          <w:rFonts w:asciiTheme="minorHAnsi" w:hAnsiTheme="minorHAnsi" w:cstheme="minorHAnsi"/>
          <w:b/>
          <w:sz w:val="28"/>
          <w:szCs w:val="28"/>
        </w:rPr>
      </w:pPr>
    </w:p>
    <w:sectPr w:rsidSect="00415456">
      <w:headerReference w:type="default" r:id="rI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4D"/>
    <w:family w:val="auto"/>
    <w:notTrueType/>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16A6" w:rsidP="003C0FAE" w14:paraId="26D840E6" w14:textId="77777777">
    <w:pPr>
      <w:pStyle w:val="Footer"/>
      <w:jc w:val="center"/>
    </w:pPr>
    <w:r w:rsidRPr="00A6043C">
      <w:rPr>
        <w:sz w:val="24"/>
        <w:szCs w:val="24"/>
      </w:rPr>
      <w:fldChar w:fldCharType="begin"/>
    </w:r>
    <w:r w:rsidRPr="00A6043C">
      <w:rPr>
        <w:sz w:val="24"/>
        <w:szCs w:val="24"/>
      </w:rPr>
      <w:instrText xml:space="preserve"> PAGE   \* MERGEFORMAT </w:instrText>
    </w:r>
    <w:r w:rsidRPr="00A6043C">
      <w:rPr>
        <w:sz w:val="24"/>
        <w:szCs w:val="24"/>
      </w:rPr>
      <w:fldChar w:fldCharType="separate"/>
    </w:r>
    <w:r w:rsidR="00726BD7">
      <w:rPr>
        <w:noProof/>
        <w:sz w:val="24"/>
        <w:szCs w:val="24"/>
      </w:rPr>
      <w:t>i</w:t>
    </w:r>
    <w:r w:rsidRPr="00A6043C">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16A6" w:rsidRPr="00076E69" w:rsidP="003C0FAE" w14:paraId="53A995C3" w14:textId="77777777">
    <w:pPr>
      <w:pStyle w:val="Footer"/>
      <w:jc w:val="center"/>
    </w:pPr>
    <w:r w:rsidRPr="00A6043C">
      <w:rPr>
        <w:sz w:val="24"/>
        <w:szCs w:val="24"/>
      </w:rPr>
      <w:fldChar w:fldCharType="begin"/>
    </w:r>
    <w:r w:rsidRPr="00A6043C">
      <w:rPr>
        <w:sz w:val="24"/>
        <w:szCs w:val="24"/>
      </w:rPr>
      <w:instrText xml:space="preserve"> PAGE   \* MERGEFORMAT </w:instrText>
    </w:r>
    <w:r w:rsidRPr="00A6043C">
      <w:rPr>
        <w:sz w:val="24"/>
        <w:szCs w:val="24"/>
      </w:rPr>
      <w:fldChar w:fldCharType="separate"/>
    </w:r>
    <w:r w:rsidR="00726BD7">
      <w:rPr>
        <w:noProof/>
        <w:sz w:val="24"/>
        <w:szCs w:val="24"/>
      </w:rPr>
      <w:t>7</w:t>
    </w:r>
    <w:r w:rsidRPr="00A6043C">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16A6" w14:paraId="56C3C2E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szCs w:val="24"/>
      </w:rPr>
      <w:id w:val="403337580"/>
      <w:docPartObj>
        <w:docPartGallery w:val="Page Numbers (Bottom of Page)"/>
        <w:docPartUnique/>
      </w:docPartObj>
    </w:sdtPr>
    <w:sdtEndPr>
      <w:rPr>
        <w:noProof/>
      </w:rPr>
    </w:sdtEndPr>
    <w:sdtContent>
      <w:p w:rsidR="009016A6" w:rsidRPr="00AA7339" w14:paraId="5EAB3F26" w14:textId="77777777">
        <w:pPr>
          <w:pStyle w:val="Footer"/>
          <w:jc w:val="center"/>
          <w:rPr>
            <w:sz w:val="24"/>
            <w:szCs w:val="24"/>
          </w:rPr>
        </w:pPr>
        <w:r w:rsidRPr="00AA7339">
          <w:rPr>
            <w:sz w:val="24"/>
            <w:szCs w:val="24"/>
          </w:rPr>
          <w:t>8</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16A6" w14:paraId="563F4668"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0619" w14:paraId="66C2BD0F" w14:textId="77777777">
    <w:pPr>
      <w:pStyle w:val="Footer"/>
      <w:pBdr>
        <w:top w:val="thinThickSmallGap" w:sz="24" w:space="1" w:color="823B0B" w:themeColor="accent2" w:themeShade="7F"/>
      </w:pBdr>
      <w:rPr>
        <w:rFonts w:asciiTheme="majorHAnsi" w:eastAsiaTheme="majorEastAsia" w:hAnsiTheme="majorHAnsi" w:cstheme="majorBidi"/>
      </w:rPr>
    </w:pPr>
  </w:p>
  <w:p w:rsidR="00A21811" w14:paraId="57DBDEE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0147C" w:rsidP="003C0FAE" w14:paraId="7F256358" w14:textId="77777777">
      <w:r>
        <w:separator/>
      </w:r>
    </w:p>
  </w:footnote>
  <w:footnote w:type="continuationSeparator" w:id="1">
    <w:p w:rsidR="0060147C" w:rsidP="003C0FAE" w14:paraId="2416FE7D" w14:textId="77777777">
      <w:r>
        <w:continuationSeparator/>
      </w:r>
    </w:p>
  </w:footnote>
  <w:footnote w:id="2">
    <w:p w:rsidR="009016A6" w:rsidP="00AA7339" w14:paraId="16499B83" w14:textId="77777777">
      <w:pPr>
        <w:pStyle w:val="FootnoteText"/>
        <w:spacing w:after="120"/>
      </w:pPr>
      <w:r>
        <w:rPr>
          <w:rStyle w:val="FootnoteReference"/>
        </w:rPr>
        <w:footnoteRef/>
      </w:r>
      <w:r>
        <w:t xml:space="preserve"> </w:t>
      </w:r>
      <w:r w:rsidRPr="00960972">
        <w:rPr>
          <w:i/>
          <w:iCs/>
        </w:rPr>
        <w:t xml:space="preserve">In </w:t>
      </w:r>
      <w:r w:rsidR="008A3D7C">
        <w:rPr>
          <w:i/>
          <w:iCs/>
        </w:rPr>
        <w:t>re the Commission’s Investigation of the</w:t>
      </w:r>
      <w:r w:rsidRPr="00960972">
        <w:rPr>
          <w:i/>
          <w:iCs/>
        </w:rPr>
        <w:t xml:space="preserve"> </w:t>
      </w:r>
      <w:r w:rsidR="008A3D7C">
        <w:rPr>
          <w:i/>
          <w:iCs/>
        </w:rPr>
        <w:t>F</w:t>
      </w:r>
      <w:r w:rsidRPr="00960972">
        <w:rPr>
          <w:i/>
          <w:iCs/>
        </w:rPr>
        <w:t xml:space="preserve">inancial </w:t>
      </w:r>
      <w:r w:rsidR="008A3D7C">
        <w:rPr>
          <w:i/>
          <w:iCs/>
        </w:rPr>
        <w:t>I</w:t>
      </w:r>
      <w:r w:rsidRPr="00960972">
        <w:rPr>
          <w:i/>
          <w:iCs/>
        </w:rPr>
        <w:t xml:space="preserve">mpact of the </w:t>
      </w:r>
      <w:r w:rsidR="008A3D7C">
        <w:rPr>
          <w:i/>
          <w:iCs/>
        </w:rPr>
        <w:t>T</w:t>
      </w:r>
      <w:r w:rsidRPr="00960972">
        <w:rPr>
          <w:i/>
          <w:iCs/>
        </w:rPr>
        <w:t xml:space="preserve">ax </w:t>
      </w:r>
      <w:r w:rsidR="008A3D7C">
        <w:rPr>
          <w:i/>
          <w:iCs/>
        </w:rPr>
        <w:t>C</w:t>
      </w:r>
      <w:r w:rsidRPr="00960972">
        <w:rPr>
          <w:i/>
          <w:iCs/>
        </w:rPr>
        <w:t xml:space="preserve">uts and </w:t>
      </w:r>
      <w:r w:rsidR="008A3D7C">
        <w:rPr>
          <w:i/>
          <w:iCs/>
        </w:rPr>
        <w:t>J</w:t>
      </w:r>
      <w:r w:rsidRPr="00960972">
        <w:rPr>
          <w:i/>
          <w:iCs/>
        </w:rPr>
        <w:t xml:space="preserve">obs </w:t>
      </w:r>
      <w:r w:rsidR="008A3D7C">
        <w:rPr>
          <w:i/>
          <w:iCs/>
        </w:rPr>
        <w:t>A</w:t>
      </w:r>
      <w:r w:rsidRPr="00960972">
        <w:rPr>
          <w:i/>
          <w:iCs/>
        </w:rPr>
        <w:t xml:space="preserve">ct of 2017 on </w:t>
      </w:r>
      <w:r w:rsidR="008A3D7C">
        <w:rPr>
          <w:i/>
          <w:iCs/>
        </w:rPr>
        <w:t>R</w:t>
      </w:r>
      <w:r w:rsidRPr="00960972">
        <w:rPr>
          <w:i/>
          <w:iCs/>
        </w:rPr>
        <w:t xml:space="preserve">egulated </w:t>
      </w:r>
      <w:r w:rsidR="008A3D7C">
        <w:rPr>
          <w:i/>
          <w:iCs/>
        </w:rPr>
        <w:t>O</w:t>
      </w:r>
      <w:r w:rsidRPr="00960972">
        <w:rPr>
          <w:i/>
          <w:iCs/>
        </w:rPr>
        <w:t xml:space="preserve">hio </w:t>
      </w:r>
      <w:r w:rsidR="008A3D7C">
        <w:rPr>
          <w:i/>
          <w:iCs/>
        </w:rPr>
        <w:t>U</w:t>
      </w:r>
      <w:r w:rsidRPr="00960972">
        <w:rPr>
          <w:i/>
          <w:iCs/>
        </w:rPr>
        <w:t xml:space="preserve">tility </w:t>
      </w:r>
      <w:r w:rsidR="008A3D7C">
        <w:rPr>
          <w:i/>
          <w:iCs/>
        </w:rPr>
        <w:t>C</w:t>
      </w:r>
      <w:r w:rsidRPr="00960972">
        <w:rPr>
          <w:i/>
          <w:iCs/>
        </w:rPr>
        <w:t>ompanies</w:t>
      </w:r>
      <w:r>
        <w:t>, Case No. 18-47-AU-COI, Entry at 1 (Jan</w:t>
      </w:r>
      <w:r w:rsidR="008A3D7C">
        <w:t>.</w:t>
      </w:r>
      <w:r>
        <w:t xml:space="preserve"> 10, 2018).</w:t>
      </w:r>
    </w:p>
  </w:footnote>
  <w:footnote w:id="3">
    <w:p w:rsidR="009016A6" w:rsidP="00AA7339" w14:paraId="20DFB5FA" w14:textId="77777777">
      <w:pPr>
        <w:pStyle w:val="FootnoteText"/>
        <w:spacing w:after="120"/>
      </w:pPr>
      <w:r>
        <w:rPr>
          <w:rStyle w:val="FootnoteReference"/>
        </w:rPr>
        <w:footnoteRef/>
      </w:r>
      <w:r>
        <w:t xml:space="preserve"> </w:t>
      </w:r>
      <w:r w:rsidRPr="00960972">
        <w:rPr>
          <w:i/>
          <w:iCs/>
        </w:rPr>
        <w:t>Id</w:t>
      </w:r>
      <w:r w:rsidR="008A3D7C">
        <w:rPr>
          <w:i/>
          <w:iCs/>
        </w:rPr>
        <w:t>.</w:t>
      </w:r>
      <w:r>
        <w:t xml:space="preserve">, Finding </w:t>
      </w:r>
      <w:r w:rsidR="008A3D7C">
        <w:t xml:space="preserve">&amp; </w:t>
      </w:r>
      <w:r>
        <w:t>Order at 18 (Oct</w:t>
      </w:r>
      <w:r w:rsidR="008A3D7C">
        <w:t>.</w:t>
      </w:r>
      <w:r>
        <w:t xml:space="preserve"> 24, 2018).</w:t>
      </w:r>
    </w:p>
  </w:footnote>
  <w:footnote w:id="4">
    <w:p w:rsidR="009016A6" w:rsidRPr="0015291F" w:rsidP="00AA7339" w14:paraId="4154F2F0" w14:textId="77777777">
      <w:pPr>
        <w:pStyle w:val="FootnoteText"/>
        <w:spacing w:after="120"/>
        <w:rPr>
          <w:i/>
          <w:iCs/>
        </w:rPr>
      </w:pPr>
      <w:r>
        <w:rPr>
          <w:rStyle w:val="FootnoteReference"/>
        </w:rPr>
        <w:footnoteRef/>
      </w:r>
      <w:r>
        <w:t xml:space="preserve"> </w:t>
      </w:r>
      <w:r>
        <w:rPr>
          <w:i/>
          <w:iCs/>
        </w:rPr>
        <w:t>In the matter of the application of Vectren energy delivery of ohio, for approval of a tax savings credit rider, Case No. 19-29-GA-ATA.</w:t>
      </w:r>
    </w:p>
  </w:footnote>
  <w:footnote w:id="5">
    <w:p w:rsidR="009016A6" w:rsidP="00AA7339" w14:paraId="72F8C716" w14:textId="77777777">
      <w:pPr>
        <w:pStyle w:val="FootnoteText"/>
        <w:spacing w:after="120"/>
      </w:pPr>
      <w:r>
        <w:rPr>
          <w:rStyle w:val="FootnoteReference"/>
        </w:rPr>
        <w:footnoteRef/>
      </w:r>
      <w:r>
        <w:t xml:space="preserve"> </w:t>
      </w:r>
      <w:r w:rsidRPr="0099576B">
        <w:rPr>
          <w:i/>
          <w:iCs/>
        </w:rPr>
        <w:t>Settlement</w:t>
      </w:r>
      <w:r>
        <w:t xml:space="preserve"> at 6 (May 28,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16A6" w:rsidRPr="001E1D70" w:rsidP="003C0FAE" w14:paraId="677C6B73" w14:textId="77777777">
    <w:pPr>
      <w:pStyle w:val="Header"/>
      <w:tabs>
        <w:tab w:val="left" w:pos="6937"/>
      </w:tabs>
      <w:jc w:val="center"/>
      <w:rPr>
        <w:b/>
        <w:i/>
        <w:iCs/>
        <w:sz w:val="24"/>
        <w:szCs w:val="24"/>
      </w:rPr>
    </w:pPr>
    <w:r>
      <w:rPr>
        <w:i/>
        <w:iCs/>
        <w:sz w:val="24"/>
        <w:szCs w:val="24"/>
      </w:rPr>
      <w:t xml:space="preserve">Supplemental </w:t>
    </w:r>
    <w:r w:rsidRPr="001E1D70">
      <w:rPr>
        <w:i/>
        <w:iCs/>
        <w:sz w:val="24"/>
        <w:szCs w:val="24"/>
      </w:rPr>
      <w:t>Direct Testimony of Wm. Ross Willis</w:t>
    </w:r>
  </w:p>
  <w:p w:rsidR="009016A6" w:rsidRPr="001E1D70" w:rsidP="003C0FAE" w14:paraId="2B3302B4" w14:textId="77777777">
    <w:pPr>
      <w:pStyle w:val="Header"/>
      <w:tabs>
        <w:tab w:val="left" w:pos="6937"/>
      </w:tabs>
      <w:jc w:val="center"/>
      <w:rPr>
        <w:i/>
        <w:iCs/>
        <w:sz w:val="24"/>
        <w:szCs w:val="24"/>
      </w:rPr>
    </w:pPr>
    <w:r w:rsidRPr="001E1D70">
      <w:rPr>
        <w:i/>
        <w:iCs/>
        <w:sz w:val="24"/>
        <w:szCs w:val="24"/>
      </w:rPr>
      <w:t xml:space="preserve">On Behalf of the Office </w:t>
    </w:r>
    <w:r>
      <w:rPr>
        <w:i/>
        <w:iCs/>
        <w:sz w:val="24"/>
        <w:szCs w:val="24"/>
      </w:rPr>
      <w:t xml:space="preserve">of </w:t>
    </w:r>
    <w:r w:rsidR="0001540E">
      <w:rPr>
        <w:i/>
        <w:iCs/>
        <w:sz w:val="24"/>
        <w:szCs w:val="24"/>
      </w:rPr>
      <w:t>T</w:t>
    </w:r>
    <w:r>
      <w:rPr>
        <w:i/>
        <w:iCs/>
        <w:sz w:val="24"/>
        <w:szCs w:val="24"/>
      </w:rPr>
      <w:t>he Ohio Consumers’ Counsel</w:t>
    </w:r>
  </w:p>
  <w:p w:rsidR="009016A6" w:rsidP="003C0FAE" w14:paraId="5EFB8AC1" w14:textId="77777777">
    <w:pPr>
      <w:pStyle w:val="Header"/>
      <w:tabs>
        <w:tab w:val="left" w:pos="6937"/>
      </w:tabs>
      <w:jc w:val="center"/>
      <w:rPr>
        <w:i/>
        <w:iCs/>
        <w:sz w:val="24"/>
        <w:szCs w:val="24"/>
      </w:rPr>
    </w:pPr>
    <w:r w:rsidRPr="001E1D70">
      <w:rPr>
        <w:i/>
        <w:iCs/>
        <w:sz w:val="24"/>
        <w:szCs w:val="24"/>
      </w:rPr>
      <w:t>PUCO Case No. 1</w:t>
    </w:r>
    <w:r>
      <w:rPr>
        <w:i/>
        <w:iCs/>
        <w:sz w:val="24"/>
        <w:szCs w:val="24"/>
      </w:rPr>
      <w:t>9</w:t>
    </w:r>
    <w:r w:rsidRPr="001E1D70">
      <w:rPr>
        <w:i/>
        <w:iCs/>
        <w:sz w:val="24"/>
        <w:szCs w:val="24"/>
      </w:rPr>
      <w:t>-</w:t>
    </w:r>
    <w:r>
      <w:rPr>
        <w:i/>
        <w:iCs/>
        <w:sz w:val="24"/>
        <w:szCs w:val="24"/>
      </w:rPr>
      <w:t>29-GA</w:t>
    </w:r>
    <w:r w:rsidRPr="001E1D70">
      <w:rPr>
        <w:i/>
        <w:iCs/>
        <w:sz w:val="24"/>
        <w:szCs w:val="24"/>
      </w:rPr>
      <w:t>-</w:t>
    </w:r>
    <w:r>
      <w:rPr>
        <w:i/>
        <w:iCs/>
        <w:sz w:val="24"/>
        <w:szCs w:val="24"/>
      </w:rPr>
      <w:t>ATA</w:t>
    </w:r>
    <w:r w:rsidRPr="001E1D70">
      <w:rPr>
        <w:i/>
        <w:iCs/>
        <w:sz w:val="24"/>
        <w:szCs w:val="24"/>
      </w:rPr>
      <w:t xml:space="preserve"> </w:t>
    </w:r>
  </w:p>
  <w:p w:rsidR="009016A6" w:rsidP="003C0FAE" w14:paraId="7307065F" w14:textId="77777777">
    <w:pPr>
      <w:pStyle w:val="Header"/>
      <w:tabs>
        <w:tab w:val="left" w:pos="6937"/>
      </w:tabs>
      <w:jc w:val="center"/>
      <w:rPr>
        <w:i/>
        <w:iCs/>
      </w:rPr>
    </w:pPr>
  </w:p>
  <w:p w:rsidR="009016A6" w14:paraId="6F8C58C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16A6" w14:paraId="496747A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16A6" w:rsidRPr="00672A37" w:rsidP="003C0FAE" w14:paraId="0DDEE6C7"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16A6" w14:paraId="741F85C0"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B35" w:rsidP="00415456" w14:paraId="0DC076CA" w14:textId="77777777">
    <w:pPr>
      <w:pStyle w:val="Header"/>
      <w:pBdr>
        <w:bottom w:val="thickThinSmallGap" w:sz="24" w:space="0" w:color="823B0B" w:themeColor="accent2" w:themeShade="7F"/>
      </w:pBdr>
      <w:jc w:val="right"/>
      <w:rPr>
        <w:rFonts w:asciiTheme="majorHAnsi" w:eastAsiaTheme="majorEastAsia" w:hAnsiTheme="majorHAnsi" w:cstheme="majorBidi"/>
        <w:b/>
        <w:i/>
        <w:sz w:val="28"/>
        <w:szCs w:val="28"/>
      </w:rPr>
    </w:pPr>
    <w:r w:rsidRPr="00EF20DD">
      <w:rPr>
        <w:rFonts w:asciiTheme="majorHAnsi" w:eastAsiaTheme="majorEastAsia" w:hAnsiTheme="majorHAnsi" w:cstheme="majorBidi"/>
        <w:b/>
        <w:i/>
        <w:sz w:val="28"/>
        <w:szCs w:val="28"/>
      </w:rPr>
      <w:t>WRW Attachment A</w:t>
    </w:r>
  </w:p>
  <w:p w:rsidR="00361B35" w:rsidP="00415456" w14:paraId="2B99D73C" w14:textId="71BD83CC">
    <w:pPr>
      <w:pStyle w:val="Header"/>
      <w:pBdr>
        <w:bottom w:val="thickThinSmallGap" w:sz="24" w:space="0" w:color="823B0B" w:themeColor="accent2" w:themeShade="7F"/>
      </w:pBdr>
      <w:jc w:val="right"/>
      <w:rPr>
        <w:rFonts w:asciiTheme="majorHAnsi" w:eastAsiaTheme="majorEastAsia" w:hAnsiTheme="majorHAnsi" w:cstheme="majorBidi"/>
        <w:b/>
        <w:i/>
        <w:sz w:val="28"/>
        <w:szCs w:val="28"/>
      </w:rPr>
    </w:pPr>
    <w:r w:rsidRPr="00361B35">
      <w:rPr>
        <w:rFonts w:asciiTheme="majorHAnsi" w:eastAsiaTheme="majorEastAsia" w:hAnsiTheme="majorHAnsi" w:cstheme="majorBidi"/>
        <w:b/>
        <w:i/>
        <w:sz w:val="28"/>
        <w:szCs w:val="28"/>
      </w:rPr>
      <w:t xml:space="preserve">Page </w:t>
    </w:r>
    <w:r>
      <w:rPr>
        <w:rFonts w:asciiTheme="majorHAnsi" w:eastAsiaTheme="majorEastAsia" w:hAnsiTheme="majorHAnsi" w:cstheme="majorBidi"/>
        <w:b/>
        <w:i/>
        <w:sz w:val="28"/>
        <w:szCs w:val="28"/>
      </w:rPr>
      <w:t>1</w:t>
    </w:r>
    <w:r w:rsidRPr="00361B35">
      <w:rPr>
        <w:rFonts w:asciiTheme="majorHAnsi" w:eastAsiaTheme="majorEastAsia" w:hAnsiTheme="majorHAnsi" w:cstheme="majorBidi"/>
        <w:b/>
        <w:i/>
        <w:sz w:val="28"/>
        <w:szCs w:val="28"/>
      </w:rPr>
      <w:t xml:space="preserve"> of </w:t>
    </w:r>
    <w:r>
      <w:rPr>
        <w:rFonts w:asciiTheme="majorHAnsi" w:eastAsiaTheme="majorEastAsia" w:hAnsiTheme="majorHAnsi" w:cstheme="majorBidi"/>
        <w:b/>
        <w:i/>
        <w:sz w:val="28"/>
        <w:szCs w:val="28"/>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085D" w:rsidP="00415456" w14:paraId="4394B240" w14:textId="77777777">
    <w:pPr>
      <w:pStyle w:val="Header"/>
      <w:pBdr>
        <w:bottom w:val="thickThinSmallGap" w:sz="24" w:space="0" w:color="823B0B" w:themeColor="accent2" w:themeShade="7F"/>
      </w:pBdr>
      <w:jc w:val="right"/>
      <w:rPr>
        <w:rFonts w:asciiTheme="majorHAnsi" w:eastAsiaTheme="majorEastAsia" w:hAnsiTheme="majorHAnsi" w:cstheme="majorBidi"/>
        <w:b/>
        <w:i/>
        <w:sz w:val="28"/>
        <w:szCs w:val="28"/>
      </w:rPr>
    </w:pPr>
    <w:r w:rsidRPr="00EF20DD">
      <w:rPr>
        <w:rFonts w:asciiTheme="majorHAnsi" w:eastAsiaTheme="majorEastAsia" w:hAnsiTheme="majorHAnsi" w:cstheme="majorBidi"/>
        <w:b/>
        <w:i/>
        <w:sz w:val="28"/>
        <w:szCs w:val="28"/>
      </w:rPr>
      <w:t>WRW Attachment A</w:t>
    </w:r>
  </w:p>
  <w:p w:rsidR="005C085D" w:rsidP="00415456" w14:paraId="3A872667" w14:textId="3D9A426C">
    <w:pPr>
      <w:pStyle w:val="Header"/>
      <w:pBdr>
        <w:bottom w:val="thickThinSmallGap" w:sz="24" w:space="0" w:color="823B0B" w:themeColor="accent2" w:themeShade="7F"/>
      </w:pBdr>
      <w:jc w:val="right"/>
      <w:rPr>
        <w:rFonts w:asciiTheme="majorHAnsi" w:eastAsiaTheme="majorEastAsia" w:hAnsiTheme="majorHAnsi" w:cstheme="majorBidi"/>
        <w:b/>
        <w:i/>
        <w:sz w:val="28"/>
        <w:szCs w:val="28"/>
      </w:rPr>
    </w:pPr>
    <w:r w:rsidRPr="00361B35">
      <w:rPr>
        <w:rFonts w:asciiTheme="majorHAnsi" w:eastAsiaTheme="majorEastAsia" w:hAnsiTheme="majorHAnsi" w:cstheme="majorBidi"/>
        <w:b/>
        <w:i/>
        <w:sz w:val="28"/>
        <w:szCs w:val="28"/>
      </w:rPr>
      <w:t xml:space="preserve">Page </w:t>
    </w:r>
    <w:r>
      <w:rPr>
        <w:rFonts w:asciiTheme="majorHAnsi" w:eastAsiaTheme="majorEastAsia" w:hAnsiTheme="majorHAnsi" w:cstheme="majorBidi"/>
        <w:b/>
        <w:i/>
        <w:sz w:val="28"/>
        <w:szCs w:val="28"/>
      </w:rPr>
      <w:t>2</w:t>
    </w:r>
    <w:r w:rsidRPr="00361B35">
      <w:rPr>
        <w:rFonts w:asciiTheme="majorHAnsi" w:eastAsiaTheme="majorEastAsia" w:hAnsiTheme="majorHAnsi" w:cstheme="majorBidi"/>
        <w:b/>
        <w:i/>
        <w:sz w:val="28"/>
        <w:szCs w:val="28"/>
      </w:rPr>
      <w:t xml:space="preserve"> of </w:t>
    </w:r>
    <w:r>
      <w:rPr>
        <w:rFonts w:asciiTheme="majorHAnsi" w:eastAsiaTheme="majorEastAsia" w:hAnsiTheme="majorHAnsi" w:cstheme="majorBidi"/>
        <w:b/>
        <w:i/>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CF79BF"/>
    <w:multiLevelType w:val="hybridMultilevel"/>
    <w:tmpl w:val="46E093B6"/>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55834F4"/>
    <w:multiLevelType w:val="hybridMultilevel"/>
    <w:tmpl w:val="0178B7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8E7A11"/>
    <w:multiLevelType w:val="hybridMultilevel"/>
    <w:tmpl w:val="4E043D6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E8A091A"/>
    <w:multiLevelType w:val="hybridMultilevel"/>
    <w:tmpl w:val="733C22B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18D0DA8"/>
    <w:multiLevelType w:val="hybridMultilevel"/>
    <w:tmpl w:val="E1BA180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41778C7"/>
    <w:multiLevelType w:val="hybridMultilevel"/>
    <w:tmpl w:val="224C12F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16852F47"/>
    <w:multiLevelType w:val="hybridMultilevel"/>
    <w:tmpl w:val="D868950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1A16757C"/>
    <w:multiLevelType w:val="hybridMultilevel"/>
    <w:tmpl w:val="DE529108"/>
    <w:lvl w:ilvl="0">
      <w:start w:val="1"/>
      <w:numFmt w:val="upperLetter"/>
      <w:lvlText w:val="%1."/>
      <w:lvlJc w:val="left"/>
      <w:pPr>
        <w:ind w:left="1260"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8">
    <w:nsid w:val="20BB6E39"/>
    <w:multiLevelType w:val="hybridMultilevel"/>
    <w:tmpl w:val="930CCAF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23F405EB"/>
    <w:multiLevelType w:val="hybridMultilevel"/>
    <w:tmpl w:val="66AC546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287E1D95"/>
    <w:multiLevelType w:val="hybridMultilevel"/>
    <w:tmpl w:val="6E88F514"/>
    <w:lvl w:ilvl="0">
      <w:start w:val="1"/>
      <w:numFmt w:val="bullet"/>
      <w:lvlText w:val=""/>
      <w:lvlJc w:val="left"/>
      <w:pPr>
        <w:ind w:left="1446" w:hanging="360"/>
      </w:pPr>
      <w:rPr>
        <w:rFonts w:ascii="Symbol" w:hAnsi="Symbol" w:hint="default"/>
      </w:rPr>
    </w:lvl>
    <w:lvl w:ilvl="1">
      <w:start w:val="1"/>
      <w:numFmt w:val="bullet"/>
      <w:lvlText w:val="o"/>
      <w:lvlJc w:val="left"/>
      <w:pPr>
        <w:ind w:left="2166" w:hanging="360"/>
      </w:pPr>
      <w:rPr>
        <w:rFonts w:ascii="Courier New" w:hAnsi="Courier New" w:cs="Courier New" w:hint="default"/>
      </w:rPr>
    </w:lvl>
    <w:lvl w:ilvl="2" w:tentative="1">
      <w:start w:val="1"/>
      <w:numFmt w:val="bullet"/>
      <w:lvlText w:val=""/>
      <w:lvlJc w:val="left"/>
      <w:pPr>
        <w:ind w:left="2886" w:hanging="360"/>
      </w:pPr>
      <w:rPr>
        <w:rFonts w:ascii="Wingdings" w:hAnsi="Wingdings" w:hint="default"/>
      </w:rPr>
    </w:lvl>
    <w:lvl w:ilvl="3" w:tentative="1">
      <w:start w:val="1"/>
      <w:numFmt w:val="bullet"/>
      <w:lvlText w:val=""/>
      <w:lvlJc w:val="left"/>
      <w:pPr>
        <w:ind w:left="3606" w:hanging="360"/>
      </w:pPr>
      <w:rPr>
        <w:rFonts w:ascii="Symbol" w:hAnsi="Symbol" w:hint="default"/>
      </w:rPr>
    </w:lvl>
    <w:lvl w:ilvl="4" w:tentative="1">
      <w:start w:val="1"/>
      <w:numFmt w:val="bullet"/>
      <w:lvlText w:val="o"/>
      <w:lvlJc w:val="left"/>
      <w:pPr>
        <w:ind w:left="4326" w:hanging="360"/>
      </w:pPr>
      <w:rPr>
        <w:rFonts w:ascii="Courier New" w:hAnsi="Courier New" w:cs="Courier New" w:hint="default"/>
      </w:rPr>
    </w:lvl>
    <w:lvl w:ilvl="5" w:tentative="1">
      <w:start w:val="1"/>
      <w:numFmt w:val="bullet"/>
      <w:lvlText w:val=""/>
      <w:lvlJc w:val="left"/>
      <w:pPr>
        <w:ind w:left="5046" w:hanging="360"/>
      </w:pPr>
      <w:rPr>
        <w:rFonts w:ascii="Wingdings" w:hAnsi="Wingdings" w:hint="default"/>
      </w:rPr>
    </w:lvl>
    <w:lvl w:ilvl="6" w:tentative="1">
      <w:start w:val="1"/>
      <w:numFmt w:val="bullet"/>
      <w:lvlText w:val=""/>
      <w:lvlJc w:val="left"/>
      <w:pPr>
        <w:ind w:left="5766" w:hanging="360"/>
      </w:pPr>
      <w:rPr>
        <w:rFonts w:ascii="Symbol" w:hAnsi="Symbol" w:hint="default"/>
      </w:rPr>
    </w:lvl>
    <w:lvl w:ilvl="7" w:tentative="1">
      <w:start w:val="1"/>
      <w:numFmt w:val="bullet"/>
      <w:lvlText w:val="o"/>
      <w:lvlJc w:val="left"/>
      <w:pPr>
        <w:ind w:left="6486" w:hanging="360"/>
      </w:pPr>
      <w:rPr>
        <w:rFonts w:ascii="Courier New" w:hAnsi="Courier New" w:cs="Courier New" w:hint="default"/>
      </w:rPr>
    </w:lvl>
    <w:lvl w:ilvl="8" w:tentative="1">
      <w:start w:val="1"/>
      <w:numFmt w:val="bullet"/>
      <w:lvlText w:val=""/>
      <w:lvlJc w:val="left"/>
      <w:pPr>
        <w:ind w:left="7206" w:hanging="360"/>
      </w:pPr>
      <w:rPr>
        <w:rFonts w:ascii="Wingdings" w:hAnsi="Wingdings" w:hint="default"/>
      </w:rPr>
    </w:lvl>
  </w:abstractNum>
  <w:abstractNum w:abstractNumId="11">
    <w:nsid w:val="2BDC6334"/>
    <w:multiLevelType w:val="hybridMultilevel"/>
    <w:tmpl w:val="EA3A586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0142590"/>
    <w:multiLevelType w:val="hybridMultilevel"/>
    <w:tmpl w:val="0C6035EE"/>
    <w:lvl w:ilvl="0">
      <w:start w:val="1"/>
      <w:numFmt w:val="upperLetter"/>
      <w:lvlText w:val="%1."/>
      <w:lvlJc w:val="left"/>
      <w:pPr>
        <w:ind w:left="1290" w:hanging="360"/>
      </w:pPr>
      <w:rPr>
        <w:rFonts w:hint="default"/>
      </w:rPr>
    </w:lvl>
    <w:lvl w:ilvl="1" w:tentative="1">
      <w:start w:val="1"/>
      <w:numFmt w:val="lowerLetter"/>
      <w:lvlText w:val="%2."/>
      <w:lvlJc w:val="left"/>
      <w:pPr>
        <w:ind w:left="2010" w:hanging="360"/>
      </w:pPr>
    </w:lvl>
    <w:lvl w:ilvl="2" w:tentative="1">
      <w:start w:val="1"/>
      <w:numFmt w:val="lowerRoman"/>
      <w:lvlText w:val="%3."/>
      <w:lvlJc w:val="right"/>
      <w:pPr>
        <w:ind w:left="2730" w:hanging="180"/>
      </w:pPr>
    </w:lvl>
    <w:lvl w:ilvl="3" w:tentative="1">
      <w:start w:val="1"/>
      <w:numFmt w:val="decimal"/>
      <w:lvlText w:val="%4."/>
      <w:lvlJc w:val="left"/>
      <w:pPr>
        <w:ind w:left="3450" w:hanging="360"/>
      </w:pPr>
    </w:lvl>
    <w:lvl w:ilvl="4" w:tentative="1">
      <w:start w:val="1"/>
      <w:numFmt w:val="lowerLetter"/>
      <w:lvlText w:val="%5."/>
      <w:lvlJc w:val="left"/>
      <w:pPr>
        <w:ind w:left="4170" w:hanging="360"/>
      </w:pPr>
    </w:lvl>
    <w:lvl w:ilvl="5" w:tentative="1">
      <w:start w:val="1"/>
      <w:numFmt w:val="lowerRoman"/>
      <w:lvlText w:val="%6."/>
      <w:lvlJc w:val="right"/>
      <w:pPr>
        <w:ind w:left="4890" w:hanging="180"/>
      </w:pPr>
    </w:lvl>
    <w:lvl w:ilvl="6" w:tentative="1">
      <w:start w:val="1"/>
      <w:numFmt w:val="decimal"/>
      <w:lvlText w:val="%7."/>
      <w:lvlJc w:val="left"/>
      <w:pPr>
        <w:ind w:left="5610" w:hanging="360"/>
      </w:pPr>
    </w:lvl>
    <w:lvl w:ilvl="7" w:tentative="1">
      <w:start w:val="1"/>
      <w:numFmt w:val="lowerLetter"/>
      <w:lvlText w:val="%8."/>
      <w:lvlJc w:val="left"/>
      <w:pPr>
        <w:ind w:left="6330" w:hanging="360"/>
      </w:pPr>
    </w:lvl>
    <w:lvl w:ilvl="8" w:tentative="1">
      <w:start w:val="1"/>
      <w:numFmt w:val="lowerRoman"/>
      <w:lvlText w:val="%9."/>
      <w:lvlJc w:val="right"/>
      <w:pPr>
        <w:ind w:left="7050" w:hanging="180"/>
      </w:pPr>
    </w:lvl>
  </w:abstractNum>
  <w:abstractNum w:abstractNumId="13">
    <w:nsid w:val="309C0692"/>
    <w:multiLevelType w:val="hybridMultilevel"/>
    <w:tmpl w:val="4C8E3DD4"/>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36621BFA"/>
    <w:multiLevelType w:val="hybridMultilevel"/>
    <w:tmpl w:val="BDB2EA8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3978638C"/>
    <w:multiLevelType w:val="hybridMultilevel"/>
    <w:tmpl w:val="301E7F4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CB2304F"/>
    <w:multiLevelType w:val="hybridMultilevel"/>
    <w:tmpl w:val="104EBE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3D523FAE"/>
    <w:multiLevelType w:val="hybridMultilevel"/>
    <w:tmpl w:val="65DC353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40274D28"/>
    <w:multiLevelType w:val="hybridMultilevel"/>
    <w:tmpl w:val="9F58839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18544DF"/>
    <w:multiLevelType w:val="hybridMultilevel"/>
    <w:tmpl w:val="5B0C5838"/>
    <w:lvl w:ilvl="0">
      <w:start w:val="1"/>
      <w:numFmt w:val="upperLetter"/>
      <w:lvlText w:val="%1."/>
      <w:lvlJc w:val="left"/>
      <w:pPr>
        <w:ind w:left="1170" w:hanging="360"/>
      </w:pPr>
      <w:rPr>
        <w:rFonts w:ascii="Palatino" w:hAnsi="Palatino" w:hint="default"/>
        <w:sz w:val="24"/>
        <w:szCs w:val="24"/>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20">
    <w:nsid w:val="435A11C0"/>
    <w:multiLevelType w:val="hybridMultilevel"/>
    <w:tmpl w:val="4CD85F7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1">
    <w:nsid w:val="47204BA4"/>
    <w:multiLevelType w:val="singleLevel"/>
    <w:tmpl w:val="39B07EA4"/>
    <w:lvl w:ilvl="0">
      <w:start w:val="1"/>
      <w:numFmt w:val="upperLetter"/>
      <w:lvlText w:val="%1."/>
      <w:lvlJc w:val="left"/>
      <w:pPr>
        <w:tabs>
          <w:tab w:val="num" w:pos="1440"/>
        </w:tabs>
        <w:ind w:left="1440" w:hanging="720"/>
      </w:pPr>
      <w:rPr>
        <w:rFonts w:hint="default"/>
      </w:rPr>
    </w:lvl>
  </w:abstractNum>
  <w:abstractNum w:abstractNumId="22">
    <w:nsid w:val="4A6268A9"/>
    <w:multiLevelType w:val="hybridMultilevel"/>
    <w:tmpl w:val="C6CC25E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3">
    <w:nsid w:val="51E57684"/>
    <w:multiLevelType w:val="hybridMultilevel"/>
    <w:tmpl w:val="EE6C5EF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522403D4"/>
    <w:multiLevelType w:val="hybridMultilevel"/>
    <w:tmpl w:val="E50EDB3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523D2C94"/>
    <w:multiLevelType w:val="hybridMultilevel"/>
    <w:tmpl w:val="C1F20E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3476852"/>
    <w:multiLevelType w:val="hybridMultilevel"/>
    <w:tmpl w:val="A40CF6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6ABC6BF5"/>
    <w:multiLevelType w:val="hybridMultilevel"/>
    <w:tmpl w:val="B5202D6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7B69488E"/>
    <w:multiLevelType w:val="hybridMultilevel"/>
    <w:tmpl w:val="76AC1A1C"/>
    <w:lvl w:ilvl="0">
      <w:start w:val="1"/>
      <w:numFmt w:val="upperLetter"/>
      <w:lvlText w:val="%1."/>
      <w:lvlJc w:val="left"/>
      <w:pPr>
        <w:ind w:left="1140" w:hanging="360"/>
      </w:pPr>
      <w:rPr>
        <w:rFonts w:hint="default"/>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num w:numId="1">
    <w:abstractNumId w:val="21"/>
  </w:num>
  <w:num w:numId="2">
    <w:abstractNumId w:val="13"/>
  </w:num>
  <w:num w:numId="3">
    <w:abstractNumId w:val="4"/>
  </w:num>
  <w:num w:numId="4">
    <w:abstractNumId w:val="27"/>
  </w:num>
  <w:num w:numId="5">
    <w:abstractNumId w:val="24"/>
  </w:num>
  <w:num w:numId="6">
    <w:abstractNumId w:val="11"/>
  </w:num>
  <w:num w:numId="7">
    <w:abstractNumId w:val="5"/>
  </w:num>
  <w:num w:numId="8">
    <w:abstractNumId w:val="15"/>
  </w:num>
  <w:num w:numId="9">
    <w:abstractNumId w:val="19"/>
  </w:num>
  <w:num w:numId="10">
    <w:abstractNumId w:val="8"/>
  </w:num>
  <w:num w:numId="11">
    <w:abstractNumId w:val="9"/>
  </w:num>
  <w:num w:numId="12">
    <w:abstractNumId w:val="3"/>
  </w:num>
  <w:num w:numId="13">
    <w:abstractNumId w:val="0"/>
  </w:num>
  <w:num w:numId="14">
    <w:abstractNumId w:val="22"/>
  </w:num>
  <w:num w:numId="15">
    <w:abstractNumId w:val="28"/>
  </w:num>
  <w:num w:numId="16">
    <w:abstractNumId w:val="14"/>
  </w:num>
  <w:num w:numId="17">
    <w:abstractNumId w:val="23"/>
  </w:num>
  <w:num w:numId="18">
    <w:abstractNumId w:val="7"/>
  </w:num>
  <w:num w:numId="19">
    <w:abstractNumId w:val="12"/>
  </w:num>
  <w:num w:numId="20">
    <w:abstractNumId w:val="1"/>
  </w:num>
  <w:num w:numId="21">
    <w:abstractNumId w:val="16"/>
  </w:num>
  <w:num w:numId="22">
    <w:abstractNumId w:val="18"/>
  </w:num>
  <w:num w:numId="23">
    <w:abstractNumId w:val="25"/>
  </w:num>
  <w:num w:numId="24">
    <w:abstractNumId w:val="10"/>
  </w:num>
  <w:num w:numId="25">
    <w:abstractNumId w:val="6"/>
  </w:num>
  <w:num w:numId="26">
    <w:abstractNumId w:val="2"/>
  </w:num>
  <w:num w:numId="27">
    <w:abstractNumId w:val="26"/>
  </w:num>
  <w:num w:numId="28">
    <w:abstractNumId w:val="2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0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5B9"/>
    <w:rsid w:val="00007BDA"/>
    <w:rsid w:val="0001540E"/>
    <w:rsid w:val="0002084B"/>
    <w:rsid w:val="00030067"/>
    <w:rsid w:val="00031B9B"/>
    <w:rsid w:val="00042CE2"/>
    <w:rsid w:val="00076E69"/>
    <w:rsid w:val="0007756E"/>
    <w:rsid w:val="0008288E"/>
    <w:rsid w:val="000847C7"/>
    <w:rsid w:val="00087115"/>
    <w:rsid w:val="000B118D"/>
    <w:rsid w:val="000F1C89"/>
    <w:rsid w:val="00107443"/>
    <w:rsid w:val="00107524"/>
    <w:rsid w:val="0014388B"/>
    <w:rsid w:val="00144421"/>
    <w:rsid w:val="00145CBE"/>
    <w:rsid w:val="00146771"/>
    <w:rsid w:val="0015291F"/>
    <w:rsid w:val="0019475B"/>
    <w:rsid w:val="001A1EF1"/>
    <w:rsid w:val="001C11B6"/>
    <w:rsid w:val="001C1976"/>
    <w:rsid w:val="001C5FE6"/>
    <w:rsid w:val="001D0E78"/>
    <w:rsid w:val="001E0135"/>
    <w:rsid w:val="001E1D70"/>
    <w:rsid w:val="001E7DF5"/>
    <w:rsid w:val="001F1945"/>
    <w:rsid w:val="002272B9"/>
    <w:rsid w:val="002336BD"/>
    <w:rsid w:val="00243F01"/>
    <w:rsid w:val="00250636"/>
    <w:rsid w:val="002669A6"/>
    <w:rsid w:val="00271B56"/>
    <w:rsid w:val="00277549"/>
    <w:rsid w:val="0028134A"/>
    <w:rsid w:val="00290619"/>
    <w:rsid w:val="0029371A"/>
    <w:rsid w:val="002A419B"/>
    <w:rsid w:val="002B20FB"/>
    <w:rsid w:val="002D6EDA"/>
    <w:rsid w:val="002F7EEB"/>
    <w:rsid w:val="003164C7"/>
    <w:rsid w:val="003525B9"/>
    <w:rsid w:val="00360AB7"/>
    <w:rsid w:val="00360C12"/>
    <w:rsid w:val="00361B35"/>
    <w:rsid w:val="003710EE"/>
    <w:rsid w:val="003A006B"/>
    <w:rsid w:val="003B4A48"/>
    <w:rsid w:val="003C0FAE"/>
    <w:rsid w:val="003E6F04"/>
    <w:rsid w:val="003F155D"/>
    <w:rsid w:val="003F1795"/>
    <w:rsid w:val="00415456"/>
    <w:rsid w:val="00416230"/>
    <w:rsid w:val="004174AE"/>
    <w:rsid w:val="004224D3"/>
    <w:rsid w:val="004308E5"/>
    <w:rsid w:val="00436164"/>
    <w:rsid w:val="004365D4"/>
    <w:rsid w:val="00441993"/>
    <w:rsid w:val="00465E63"/>
    <w:rsid w:val="00466009"/>
    <w:rsid w:val="00470649"/>
    <w:rsid w:val="00475319"/>
    <w:rsid w:val="00476738"/>
    <w:rsid w:val="00482991"/>
    <w:rsid w:val="004B2ED3"/>
    <w:rsid w:val="004C50D0"/>
    <w:rsid w:val="004E2E42"/>
    <w:rsid w:val="00513849"/>
    <w:rsid w:val="00514FB4"/>
    <w:rsid w:val="00523C31"/>
    <w:rsid w:val="005360FA"/>
    <w:rsid w:val="0054782E"/>
    <w:rsid w:val="0055265C"/>
    <w:rsid w:val="005719C6"/>
    <w:rsid w:val="00571EC5"/>
    <w:rsid w:val="00582944"/>
    <w:rsid w:val="005B0027"/>
    <w:rsid w:val="005B63A9"/>
    <w:rsid w:val="005C085D"/>
    <w:rsid w:val="005C1AFE"/>
    <w:rsid w:val="005D34E5"/>
    <w:rsid w:val="005D4C97"/>
    <w:rsid w:val="0060147C"/>
    <w:rsid w:val="00603A9A"/>
    <w:rsid w:val="00620F94"/>
    <w:rsid w:val="00622A79"/>
    <w:rsid w:val="00631EF0"/>
    <w:rsid w:val="00641DDA"/>
    <w:rsid w:val="00652153"/>
    <w:rsid w:val="00672A37"/>
    <w:rsid w:val="00684A19"/>
    <w:rsid w:val="00691ADE"/>
    <w:rsid w:val="006A6D70"/>
    <w:rsid w:val="006B793D"/>
    <w:rsid w:val="006C52E2"/>
    <w:rsid w:val="006E6B64"/>
    <w:rsid w:val="006F11F2"/>
    <w:rsid w:val="006F50B3"/>
    <w:rsid w:val="00711988"/>
    <w:rsid w:val="00726BD7"/>
    <w:rsid w:val="00752B00"/>
    <w:rsid w:val="007557D4"/>
    <w:rsid w:val="00764BB4"/>
    <w:rsid w:val="00774203"/>
    <w:rsid w:val="00774323"/>
    <w:rsid w:val="00774A3D"/>
    <w:rsid w:val="007B3B3F"/>
    <w:rsid w:val="007C602F"/>
    <w:rsid w:val="007D50A4"/>
    <w:rsid w:val="007F1CEC"/>
    <w:rsid w:val="00804064"/>
    <w:rsid w:val="008247E7"/>
    <w:rsid w:val="00841429"/>
    <w:rsid w:val="008450EF"/>
    <w:rsid w:val="008649A0"/>
    <w:rsid w:val="008718B1"/>
    <w:rsid w:val="008A0E07"/>
    <w:rsid w:val="008A3D7C"/>
    <w:rsid w:val="008A4358"/>
    <w:rsid w:val="008C31BE"/>
    <w:rsid w:val="008E6DE2"/>
    <w:rsid w:val="008E71EA"/>
    <w:rsid w:val="009016A6"/>
    <w:rsid w:val="009046F1"/>
    <w:rsid w:val="00904D05"/>
    <w:rsid w:val="00940BCA"/>
    <w:rsid w:val="00960972"/>
    <w:rsid w:val="00960CEC"/>
    <w:rsid w:val="00972BF9"/>
    <w:rsid w:val="0098498B"/>
    <w:rsid w:val="0099576B"/>
    <w:rsid w:val="00995A1A"/>
    <w:rsid w:val="009A418A"/>
    <w:rsid w:val="009B27D0"/>
    <w:rsid w:val="009C1C06"/>
    <w:rsid w:val="009D689A"/>
    <w:rsid w:val="00A12F14"/>
    <w:rsid w:val="00A20636"/>
    <w:rsid w:val="00A21811"/>
    <w:rsid w:val="00A451D5"/>
    <w:rsid w:val="00A6043C"/>
    <w:rsid w:val="00A71C9C"/>
    <w:rsid w:val="00A83640"/>
    <w:rsid w:val="00A868DE"/>
    <w:rsid w:val="00A904A2"/>
    <w:rsid w:val="00A92031"/>
    <w:rsid w:val="00A96C16"/>
    <w:rsid w:val="00AA7339"/>
    <w:rsid w:val="00AA7B70"/>
    <w:rsid w:val="00AC358B"/>
    <w:rsid w:val="00AC6887"/>
    <w:rsid w:val="00AC6A73"/>
    <w:rsid w:val="00AC6D79"/>
    <w:rsid w:val="00AD152D"/>
    <w:rsid w:val="00B201B7"/>
    <w:rsid w:val="00B267DD"/>
    <w:rsid w:val="00B77FC4"/>
    <w:rsid w:val="00B96742"/>
    <w:rsid w:val="00BA54AE"/>
    <w:rsid w:val="00BE0988"/>
    <w:rsid w:val="00BE4FF8"/>
    <w:rsid w:val="00BE69F4"/>
    <w:rsid w:val="00C12D44"/>
    <w:rsid w:val="00C30384"/>
    <w:rsid w:val="00C3717E"/>
    <w:rsid w:val="00C65E8B"/>
    <w:rsid w:val="00C70786"/>
    <w:rsid w:val="00C71239"/>
    <w:rsid w:val="00C75057"/>
    <w:rsid w:val="00C778C3"/>
    <w:rsid w:val="00C86300"/>
    <w:rsid w:val="00C9759A"/>
    <w:rsid w:val="00CA22F6"/>
    <w:rsid w:val="00CE4539"/>
    <w:rsid w:val="00D06B6E"/>
    <w:rsid w:val="00D33F24"/>
    <w:rsid w:val="00D75E5A"/>
    <w:rsid w:val="00D82913"/>
    <w:rsid w:val="00D91403"/>
    <w:rsid w:val="00DB59E2"/>
    <w:rsid w:val="00DC0C9A"/>
    <w:rsid w:val="00DC3507"/>
    <w:rsid w:val="00DC7391"/>
    <w:rsid w:val="00DC7E65"/>
    <w:rsid w:val="00DD0C4E"/>
    <w:rsid w:val="00DE2F5B"/>
    <w:rsid w:val="00DF4CC2"/>
    <w:rsid w:val="00E16ECC"/>
    <w:rsid w:val="00E24CE3"/>
    <w:rsid w:val="00E35361"/>
    <w:rsid w:val="00E505D1"/>
    <w:rsid w:val="00E63BAB"/>
    <w:rsid w:val="00E72BE0"/>
    <w:rsid w:val="00E72E7E"/>
    <w:rsid w:val="00E803E1"/>
    <w:rsid w:val="00EA2C4E"/>
    <w:rsid w:val="00EA622F"/>
    <w:rsid w:val="00EC2585"/>
    <w:rsid w:val="00ED620E"/>
    <w:rsid w:val="00EE5E04"/>
    <w:rsid w:val="00EF20DD"/>
    <w:rsid w:val="00F327C1"/>
    <w:rsid w:val="00F47558"/>
    <w:rsid w:val="00F50033"/>
    <w:rsid w:val="00F80215"/>
    <w:rsid w:val="00F87C65"/>
    <w:rsid w:val="00FA0154"/>
    <w:rsid w:val="00FA2C1B"/>
    <w:rsid w:val="00FB1449"/>
    <w:rsid w:val="00FC35B5"/>
    <w:rsid w:val="00FE6F39"/>
    <w:rsid w:val="00FE75DA"/>
    <w:rsid w:val="00FF68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43C"/>
    <w:pPr>
      <w:autoSpaceDE w:val="0"/>
      <w:autoSpaceDN w:val="0"/>
    </w:pPr>
  </w:style>
  <w:style w:type="paragraph" w:styleId="Heading1">
    <w:name w:val="heading 1"/>
    <w:basedOn w:val="Normal"/>
    <w:next w:val="Normal"/>
    <w:qFormat/>
    <w:rsid w:val="002E253F"/>
    <w:pPr>
      <w:keepNext/>
      <w:spacing w:line="480" w:lineRule="auto"/>
      <w:outlineLvl w:val="0"/>
    </w:pPr>
    <w:rPr>
      <w:rFonts w:cs="Arial"/>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349C6"/>
    <w:pPr>
      <w:autoSpaceDE/>
      <w:autoSpaceDN/>
      <w:ind w:left="720" w:hanging="720"/>
    </w:pPr>
    <w:rPr>
      <w:rFonts w:ascii="Palatino" w:hAnsi="Palatino"/>
      <w:sz w:val="24"/>
    </w:rPr>
  </w:style>
  <w:style w:type="paragraph" w:styleId="Title">
    <w:name w:val="Title"/>
    <w:basedOn w:val="Normal"/>
    <w:qFormat/>
    <w:rsid w:val="007349C6"/>
    <w:pPr>
      <w:spacing w:before="240" w:after="60"/>
      <w:jc w:val="center"/>
      <w:outlineLvl w:val="0"/>
    </w:pPr>
    <w:rPr>
      <w:rFonts w:ascii="Arial" w:hAnsi="Arial" w:cs="Arial"/>
      <w:b/>
      <w:bCs/>
      <w:kern w:val="28"/>
      <w:sz w:val="32"/>
      <w:szCs w:val="32"/>
    </w:rPr>
  </w:style>
  <w:style w:type="paragraph" w:styleId="Subtitle">
    <w:name w:val="Subtitle"/>
    <w:basedOn w:val="Normal"/>
    <w:qFormat/>
    <w:rsid w:val="007349C6"/>
    <w:pPr>
      <w:spacing w:after="60"/>
      <w:jc w:val="center"/>
      <w:outlineLvl w:val="1"/>
    </w:pPr>
    <w:rPr>
      <w:rFonts w:ascii="Arial" w:hAnsi="Arial" w:cs="Arial"/>
      <w:sz w:val="24"/>
      <w:szCs w:val="24"/>
    </w:rPr>
  </w:style>
  <w:style w:type="character" w:customStyle="1" w:styleId="StyleCourier12pt">
    <w:name w:val="Style Courier 12 pt"/>
    <w:rsid w:val="007349C6"/>
    <w:rPr>
      <w:rFonts w:ascii="Courier" w:hAnsi="Courier"/>
      <w:sz w:val="24"/>
    </w:rPr>
  </w:style>
  <w:style w:type="paragraph" w:customStyle="1" w:styleId="MediumShading1-Accent11">
    <w:name w:val="Medium Shading 1 - Accent 11"/>
    <w:uiPriority w:val="1"/>
    <w:qFormat/>
    <w:rsid w:val="00AF0EEF"/>
    <w:pPr>
      <w:pBdr>
        <w:top w:val="nil"/>
        <w:left w:val="nil"/>
        <w:bottom w:val="nil"/>
        <w:right w:val="nil"/>
        <w:between w:val="nil"/>
      </w:pBdr>
    </w:pPr>
    <w:rPr>
      <w:rFonts w:eastAsia="Arial Unicode MS"/>
      <w:sz w:val="24"/>
      <w:szCs w:val="24"/>
      <w:bdr w:val="nil"/>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rsid w:val="00EA6C92"/>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
    <w:uiPriority w:val="99"/>
    <w:rsid w:val="00EA6C92"/>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uiPriority w:val="99"/>
    <w:rsid w:val="00EA6C92"/>
    <w:rPr>
      <w:vertAlign w:val="superscript"/>
    </w:rPr>
  </w:style>
  <w:style w:type="paragraph" w:styleId="Header">
    <w:name w:val="header"/>
    <w:basedOn w:val="Normal"/>
    <w:link w:val="HeaderChar"/>
    <w:uiPriority w:val="99"/>
    <w:rsid w:val="006467A4"/>
    <w:pPr>
      <w:tabs>
        <w:tab w:val="center" w:pos="4680"/>
        <w:tab w:val="right" w:pos="9360"/>
      </w:tabs>
    </w:pPr>
  </w:style>
  <w:style w:type="character" w:customStyle="1" w:styleId="HeaderChar">
    <w:name w:val="Header Char"/>
    <w:basedOn w:val="DefaultParagraphFont"/>
    <w:link w:val="Header"/>
    <w:uiPriority w:val="99"/>
    <w:rsid w:val="006467A4"/>
  </w:style>
  <w:style w:type="paragraph" w:styleId="Footer">
    <w:name w:val="footer"/>
    <w:basedOn w:val="Normal"/>
    <w:link w:val="FooterChar"/>
    <w:uiPriority w:val="99"/>
    <w:rsid w:val="006467A4"/>
    <w:pPr>
      <w:tabs>
        <w:tab w:val="center" w:pos="4680"/>
        <w:tab w:val="right" w:pos="9360"/>
      </w:tabs>
    </w:pPr>
  </w:style>
  <w:style w:type="character" w:customStyle="1" w:styleId="FooterChar">
    <w:name w:val="Footer Char"/>
    <w:basedOn w:val="DefaultParagraphFont"/>
    <w:link w:val="Footer"/>
    <w:uiPriority w:val="99"/>
    <w:rsid w:val="006467A4"/>
  </w:style>
  <w:style w:type="paragraph" w:styleId="BalloonText">
    <w:name w:val="Balloon Text"/>
    <w:basedOn w:val="Normal"/>
    <w:link w:val="BalloonTextChar"/>
    <w:rsid w:val="00C12D44"/>
    <w:rPr>
      <w:rFonts w:ascii="Tahoma" w:hAnsi="Tahoma" w:cs="Tahoma"/>
      <w:sz w:val="16"/>
      <w:szCs w:val="16"/>
    </w:rPr>
  </w:style>
  <w:style w:type="character" w:customStyle="1" w:styleId="BalloonTextChar">
    <w:name w:val="Balloon Text Char"/>
    <w:link w:val="BalloonText"/>
    <w:rsid w:val="00C12D44"/>
    <w:rPr>
      <w:rFonts w:ascii="Tahoma" w:hAnsi="Tahoma" w:cs="Tahoma"/>
      <w:sz w:val="16"/>
      <w:szCs w:val="16"/>
    </w:rPr>
  </w:style>
  <w:style w:type="paragraph" w:styleId="BodyText">
    <w:name w:val="Body Text"/>
    <w:basedOn w:val="Normal"/>
    <w:link w:val="BodyTextChar"/>
    <w:rsid w:val="00C12D44"/>
    <w:pPr>
      <w:suppressAutoHyphens/>
      <w:autoSpaceDE/>
      <w:autoSpaceDN/>
      <w:spacing w:after="120"/>
    </w:pPr>
    <w:rPr>
      <w:lang w:eastAsia="ar-SA"/>
    </w:rPr>
  </w:style>
  <w:style w:type="character" w:customStyle="1" w:styleId="BodyTextChar">
    <w:name w:val="Body Text Char"/>
    <w:link w:val="BodyText"/>
    <w:rsid w:val="00C12D44"/>
    <w:rPr>
      <w:lang w:eastAsia="ar-SA"/>
    </w:rPr>
  </w:style>
  <w:style w:type="paragraph" w:styleId="PlainText">
    <w:name w:val="Plain Text"/>
    <w:basedOn w:val="Normal"/>
    <w:link w:val="PlainTextChar"/>
    <w:rsid w:val="00C12D44"/>
    <w:pPr>
      <w:suppressAutoHyphens/>
      <w:autoSpaceDE/>
      <w:autoSpaceDN/>
    </w:pPr>
    <w:rPr>
      <w:rFonts w:ascii="Courier New" w:hAnsi="Courier New"/>
      <w:lang w:eastAsia="ar-SA"/>
    </w:rPr>
  </w:style>
  <w:style w:type="character" w:customStyle="1" w:styleId="PlainTextChar">
    <w:name w:val="Plain Text Char"/>
    <w:link w:val="PlainText"/>
    <w:rsid w:val="00C12D44"/>
    <w:rPr>
      <w:rFonts w:ascii="Courier New" w:hAnsi="Courier New"/>
      <w:lang w:eastAsia="ar-SA"/>
    </w:rPr>
  </w:style>
  <w:style w:type="paragraph" w:customStyle="1" w:styleId="ANSWER">
    <w:name w:val="ANSWER"/>
    <w:basedOn w:val="Normal"/>
    <w:rsid w:val="00C12D44"/>
    <w:pPr>
      <w:suppressAutoHyphens/>
      <w:autoSpaceDE/>
      <w:autoSpaceDN/>
      <w:spacing w:line="480" w:lineRule="auto"/>
      <w:ind w:left="1008" w:hanging="720"/>
    </w:pPr>
    <w:rPr>
      <w:sz w:val="24"/>
      <w:lang w:eastAsia="ar-SA"/>
    </w:rPr>
  </w:style>
  <w:style w:type="paragraph" w:styleId="List2">
    <w:name w:val="List 2"/>
    <w:basedOn w:val="Normal"/>
    <w:rsid w:val="00C12D44"/>
    <w:pPr>
      <w:suppressAutoHyphens/>
      <w:autoSpaceDE/>
      <w:autoSpaceDN/>
      <w:ind w:left="720" w:hanging="360"/>
    </w:pPr>
    <w:rPr>
      <w:sz w:val="24"/>
      <w:lang w:eastAsia="ar-SA"/>
    </w:rPr>
  </w:style>
  <w:style w:type="character" w:styleId="LineNumber">
    <w:name w:val="line number"/>
    <w:rsid w:val="00A6043C"/>
    <w:rPr>
      <w:rFonts w:ascii="Times New Roman" w:hAnsi="Times New Roman"/>
      <w:sz w:val="24"/>
    </w:rPr>
  </w:style>
  <w:style w:type="paragraph" w:customStyle="1" w:styleId="QuestionAnswerFormat">
    <w:name w:val="Question Answer Format"/>
    <w:basedOn w:val="Normal"/>
    <w:link w:val="QuestionAnswerFormatChar"/>
    <w:qFormat/>
    <w:rsid w:val="00B96742"/>
    <w:pPr>
      <w:spacing w:line="480" w:lineRule="auto"/>
      <w:ind w:left="720" w:hanging="720"/>
    </w:pPr>
    <w:rPr>
      <w:b/>
      <w:i/>
      <w:sz w:val="24"/>
      <w:szCs w:val="24"/>
    </w:rPr>
  </w:style>
  <w:style w:type="paragraph" w:styleId="EndnoteText">
    <w:name w:val="endnote text"/>
    <w:link w:val="EndnoteTextChar"/>
    <w:rsid w:val="007B3B3F"/>
    <w:pPr>
      <w:widowControl w:val="0"/>
      <w:pBdr>
        <w:top w:val="nil"/>
        <w:left w:val="nil"/>
        <w:bottom w:val="nil"/>
        <w:right w:val="nil"/>
        <w:between w:val="nil"/>
      </w:pBdr>
    </w:pPr>
    <w:rPr>
      <w:rFonts w:ascii="Courier New" w:eastAsia="Courier New" w:hAnsi="Courier New" w:cs="Courier New"/>
      <w:color w:val="000000"/>
      <w:sz w:val="24"/>
      <w:szCs w:val="24"/>
      <w:u w:color="000000"/>
      <w:bdr w:val="nil"/>
    </w:rPr>
  </w:style>
  <w:style w:type="character" w:customStyle="1" w:styleId="QuestionAnswerFormatChar">
    <w:name w:val="Question Answer Format Char"/>
    <w:link w:val="QuestionAnswerFormat"/>
    <w:rsid w:val="00B96742"/>
    <w:rPr>
      <w:b/>
      <w:i/>
      <w:sz w:val="24"/>
      <w:szCs w:val="24"/>
    </w:rPr>
  </w:style>
  <w:style w:type="character" w:customStyle="1" w:styleId="EndnoteTextChar">
    <w:name w:val="Endnote Text Char"/>
    <w:link w:val="EndnoteText"/>
    <w:rsid w:val="007B3B3F"/>
    <w:rPr>
      <w:rFonts w:ascii="Courier New" w:eastAsia="Courier New" w:hAnsi="Courier New" w:cs="Courier New"/>
      <w:color w:val="000000"/>
      <w:sz w:val="24"/>
      <w:szCs w:val="24"/>
      <w:u w:color="000000"/>
      <w:bdr w:val="nil"/>
    </w:rPr>
  </w:style>
  <w:style w:type="character" w:styleId="CommentReference">
    <w:name w:val="annotation reference"/>
    <w:rsid w:val="009F6900"/>
    <w:rPr>
      <w:sz w:val="16"/>
      <w:szCs w:val="16"/>
    </w:rPr>
  </w:style>
  <w:style w:type="paragraph" w:styleId="CommentText">
    <w:name w:val="annotation text"/>
    <w:basedOn w:val="Normal"/>
    <w:link w:val="CommentTextChar"/>
    <w:rsid w:val="009F6900"/>
  </w:style>
  <w:style w:type="character" w:customStyle="1" w:styleId="CommentTextChar">
    <w:name w:val="Comment Text Char"/>
    <w:basedOn w:val="DefaultParagraphFont"/>
    <w:link w:val="CommentText"/>
    <w:rsid w:val="009F6900"/>
  </w:style>
  <w:style w:type="paragraph" w:styleId="CommentSubject">
    <w:name w:val="annotation subject"/>
    <w:basedOn w:val="CommentText"/>
    <w:next w:val="CommentText"/>
    <w:link w:val="CommentSubjectChar"/>
    <w:rsid w:val="009F6900"/>
    <w:rPr>
      <w:b/>
      <w:bCs/>
    </w:rPr>
  </w:style>
  <w:style w:type="character" w:customStyle="1" w:styleId="CommentSubjectChar">
    <w:name w:val="Comment Subject Char"/>
    <w:link w:val="CommentSubject"/>
    <w:rsid w:val="009F6900"/>
    <w:rPr>
      <w:b/>
      <w:bCs/>
    </w:rPr>
  </w:style>
  <w:style w:type="character" w:styleId="Hyperlink">
    <w:name w:val="Hyperlink"/>
    <w:uiPriority w:val="99"/>
    <w:rsid w:val="00E06127"/>
    <w:rPr>
      <w:color w:val="0000FF"/>
      <w:u w:val="single"/>
    </w:rPr>
  </w:style>
  <w:style w:type="paragraph" w:styleId="TOC1">
    <w:name w:val="toc 1"/>
    <w:basedOn w:val="Normal"/>
    <w:next w:val="Normal"/>
    <w:autoRedefine/>
    <w:uiPriority w:val="39"/>
    <w:rsid w:val="0001540E"/>
    <w:pPr>
      <w:tabs>
        <w:tab w:val="left" w:pos="720"/>
        <w:tab w:val="right" w:leader="dot" w:pos="9360"/>
      </w:tabs>
      <w:spacing w:after="120"/>
      <w:ind w:left="720" w:hanging="720"/>
    </w:pPr>
    <w:rPr>
      <w:caps/>
      <w:sz w:val="24"/>
    </w:rPr>
  </w:style>
  <w:style w:type="paragraph" w:customStyle="1" w:styleId="MediumGrid1-Accent21">
    <w:name w:val="Medium Grid 1 - Accent 21"/>
    <w:basedOn w:val="Normal"/>
    <w:uiPriority w:val="34"/>
    <w:qFormat/>
    <w:rsid w:val="0094184C"/>
    <w:pPr>
      <w:autoSpaceDE/>
      <w:autoSpaceDN/>
      <w:spacing w:after="200" w:line="276" w:lineRule="auto"/>
      <w:ind w:left="720"/>
      <w:contextualSpacing/>
    </w:pPr>
    <w:rPr>
      <w:rFonts w:ascii="Calibri" w:eastAsia="Calibri" w:hAnsi="Calibri"/>
      <w:sz w:val="22"/>
      <w:szCs w:val="22"/>
    </w:rPr>
  </w:style>
  <w:style w:type="table" w:styleId="TableGrid">
    <w:name w:val="Table Grid"/>
    <w:basedOn w:val="TableNormal"/>
    <w:rsid w:val="00BB550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2D2218"/>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DirectQuestion">
    <w:name w:val="Direct Question"/>
    <w:next w:val="BodyA"/>
    <w:rsid w:val="00A334F7"/>
    <w:pPr>
      <w:pBdr>
        <w:top w:val="nil"/>
        <w:left w:val="nil"/>
        <w:bottom w:val="nil"/>
        <w:right w:val="nil"/>
        <w:between w:val="nil"/>
        <w:bar w:val="nil"/>
      </w:pBdr>
      <w:tabs>
        <w:tab w:val="left" w:pos="1440"/>
      </w:tabs>
      <w:spacing w:line="480" w:lineRule="auto"/>
      <w:ind w:left="1440" w:hanging="1440"/>
    </w:pPr>
    <w:rPr>
      <w:rFonts w:eastAsia="Arial Unicode MS" w:hAnsi="Arial Unicode MS" w:cs="Arial Unicode MS"/>
      <w:b/>
      <w:bCs/>
      <w:i/>
      <w:iCs/>
      <w:caps/>
      <w:color w:val="000000"/>
      <w:sz w:val="24"/>
      <w:szCs w:val="24"/>
      <w:u w:color="000000"/>
      <w:bdr w:val="nil"/>
    </w:rPr>
  </w:style>
  <w:style w:type="paragraph" w:customStyle="1" w:styleId="DirectAnswer">
    <w:name w:val="Direct Answer"/>
    <w:next w:val="DirectNext"/>
    <w:rsid w:val="00A334F7"/>
    <w:pPr>
      <w:pBdr>
        <w:top w:val="nil"/>
        <w:left w:val="nil"/>
        <w:bottom w:val="nil"/>
        <w:right w:val="nil"/>
        <w:between w:val="nil"/>
        <w:bar w:val="nil"/>
      </w:pBdr>
      <w:spacing w:line="480" w:lineRule="auto"/>
      <w:ind w:left="720" w:hanging="720"/>
    </w:pPr>
    <w:rPr>
      <w:rFonts w:eastAsia="Arial Unicode MS" w:hAnsi="Arial Unicode MS" w:cs="Arial Unicode MS"/>
      <w:color w:val="000000"/>
      <w:sz w:val="24"/>
      <w:szCs w:val="24"/>
      <w:u w:color="000000"/>
      <w:bdr w:val="nil"/>
    </w:rPr>
  </w:style>
  <w:style w:type="paragraph" w:customStyle="1" w:styleId="DirectNext">
    <w:name w:val="Direct Next"/>
    <w:rsid w:val="00A334F7"/>
    <w:pPr>
      <w:pBdr>
        <w:top w:val="nil"/>
        <w:left w:val="nil"/>
        <w:bottom w:val="nil"/>
        <w:right w:val="nil"/>
        <w:between w:val="nil"/>
        <w:bar w:val="nil"/>
      </w:pBdr>
      <w:spacing w:line="504" w:lineRule="exact"/>
      <w:ind w:left="720"/>
    </w:pPr>
    <w:rPr>
      <w:rFonts w:eastAsia="Arial Unicode MS" w:hAnsi="Arial Unicode MS" w:cs="Arial Unicode MS"/>
      <w:color w:val="000000"/>
      <w:sz w:val="24"/>
      <w:szCs w:val="24"/>
      <w:u w:color="000000"/>
      <w:bdr w:val="nil"/>
    </w:rPr>
  </w:style>
  <w:style w:type="character" w:customStyle="1" w:styleId="UnresolvedMention1">
    <w:name w:val="Unresolved Mention1"/>
    <w:uiPriority w:val="99"/>
    <w:semiHidden/>
    <w:unhideWhenUsed/>
    <w:rsid w:val="007C602F"/>
    <w:rPr>
      <w:color w:val="605E5C"/>
      <w:shd w:val="clear" w:color="auto" w:fill="E1DFDD"/>
    </w:rPr>
  </w:style>
  <w:style w:type="character" w:customStyle="1" w:styleId="UnresolvedMention2">
    <w:name w:val="Unresolved Mention2"/>
    <w:basedOn w:val="DefaultParagraphFont"/>
    <w:uiPriority w:val="99"/>
    <w:semiHidden/>
    <w:unhideWhenUsed/>
    <w:rsid w:val="008649A0"/>
    <w:rPr>
      <w:color w:val="605E5C"/>
      <w:shd w:val="clear" w:color="auto" w:fill="E1DFDD"/>
    </w:rPr>
  </w:style>
  <w:style w:type="character" w:customStyle="1" w:styleId="UnresolvedMention3">
    <w:name w:val="Unresolved Mention3"/>
    <w:basedOn w:val="DefaultParagraphFont"/>
    <w:uiPriority w:val="99"/>
    <w:semiHidden/>
    <w:unhideWhenUsed/>
    <w:rsid w:val="00015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gregory.price@puco.ohio.gov" TargetMode="External" /><Relationship Id="rId11" Type="http://schemas.openxmlformats.org/officeDocument/2006/relationships/hyperlink" Target="mailto:atricia.schabo@puco.ohio.gov" TargetMode="External" /><Relationship Id="rId12" Type="http://schemas.openxmlformats.org/officeDocument/2006/relationships/hyperlink" Target="mailto:fdarr@mwncmh.com" TargetMode="External" /><Relationship Id="rId13" Type="http://schemas.openxmlformats.org/officeDocument/2006/relationships/hyperlink" Target="mailto:mpritchard@mwncmh.com" TargetMode="External" /><Relationship Id="rId14" Type="http://schemas.openxmlformats.org/officeDocument/2006/relationships/header" Target="head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oter" Target="footer4.xml" /><Relationship Id="rId18" Type="http://schemas.openxmlformats.org/officeDocument/2006/relationships/header" Target="header4.xml" /><Relationship Id="rId19" Type="http://schemas.openxmlformats.org/officeDocument/2006/relationships/footer" Target="footer5.xml" /><Relationship Id="rId2" Type="http://schemas.openxmlformats.org/officeDocument/2006/relationships/settings" Target="settings.xml" /><Relationship Id="rId20" Type="http://schemas.openxmlformats.org/officeDocument/2006/relationships/header" Target="header5.xml" /><Relationship Id="rId21" Type="http://schemas.openxmlformats.org/officeDocument/2006/relationships/footer" Target="footer6.xml" /><Relationship Id="rId22" Type="http://schemas.openxmlformats.org/officeDocument/2006/relationships/header" Target="header6.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hyperlink" Target="mailto:thomas.lindgren@ohioattorneygeneral.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4BE99-35DF-4151-A10C-B26EA03C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VEDO 19-29 Willis Supplemental Testimony 9-25-20 w/dfs  (00146969.DOCX;1)</vt:lpstr>
    </vt:vector>
  </TitlesOfParts>
  <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2020-10-09T17:58:30Z</dcterms:created>
  <dcterms:modified xsi:type="dcterms:W3CDTF">2020-10-09T17:58:30Z</dcterms:modified>
</cp:coreProperties>
</file>