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4DA9" w14:textId="77777777" w:rsidR="00261E12" w:rsidRDefault="008705D9">
      <w:pPr>
        <w:pStyle w:val="BodyText"/>
        <w:spacing w:before="81" w:line="230" w:lineRule="exact"/>
        <w:ind w:left="780"/>
      </w:pPr>
      <w:r>
        <w:rPr>
          <w:spacing w:val="-4"/>
        </w:rPr>
        <w:t xml:space="preserve">VECTREN ENERGY </w:t>
      </w:r>
      <w:r>
        <w:rPr>
          <w:spacing w:val="-3"/>
        </w:rPr>
        <w:t xml:space="preserve">DELIVERY </w:t>
      </w:r>
      <w:r>
        <w:t xml:space="preserve">OF OHIO, </w:t>
      </w:r>
      <w:r>
        <w:rPr>
          <w:spacing w:val="-3"/>
        </w:rPr>
        <w:t>INC.</w:t>
      </w:r>
    </w:p>
    <w:p w14:paraId="7B024E64" w14:textId="77777777" w:rsidR="00261E12" w:rsidRDefault="008705D9">
      <w:pPr>
        <w:pStyle w:val="BodyText"/>
        <w:spacing w:line="230" w:lineRule="exact"/>
        <w:ind w:left="780"/>
      </w:pPr>
      <w:r>
        <w:t>Tariff for Gas Service</w:t>
      </w:r>
    </w:p>
    <w:p w14:paraId="2286583A" w14:textId="77777777" w:rsidR="00261E12" w:rsidRDefault="008705D9">
      <w:pPr>
        <w:pStyle w:val="BodyText"/>
        <w:ind w:left="780"/>
      </w:pPr>
      <w:r>
        <w:t>P.U.C.O. No. 4</w:t>
      </w:r>
    </w:p>
    <w:p w14:paraId="16F37354" w14:textId="77777777" w:rsidR="00261E12" w:rsidRDefault="008705D9">
      <w:pPr>
        <w:pStyle w:val="BodyText"/>
        <w:spacing w:before="81" w:line="230" w:lineRule="exact"/>
        <w:ind w:left="780"/>
      </w:pPr>
      <w:r>
        <w:br w:type="column"/>
      </w:r>
      <w:r>
        <w:t>Sheet No. 45</w:t>
      </w:r>
    </w:p>
    <w:p w14:paraId="149C1138" w14:textId="77777777" w:rsidR="00261E12" w:rsidRDefault="008705D9">
      <w:pPr>
        <w:pStyle w:val="BodyText"/>
        <w:spacing w:line="230" w:lineRule="exact"/>
        <w:ind w:left="780"/>
      </w:pPr>
      <w:r>
        <w:t>Second Revised Page 1 of 1</w:t>
      </w:r>
    </w:p>
    <w:p w14:paraId="424D518F" w14:textId="77777777" w:rsidR="00261E12" w:rsidRDefault="008705D9">
      <w:pPr>
        <w:pStyle w:val="BodyText"/>
        <w:spacing w:line="230" w:lineRule="exact"/>
        <w:ind w:left="780"/>
      </w:pPr>
      <w:r>
        <w:t>Cancels First Revised Page 1 of 1</w:t>
      </w:r>
    </w:p>
    <w:p w14:paraId="2B3EA7FA" w14:textId="77777777" w:rsidR="00261E12" w:rsidRDefault="00261E12">
      <w:pPr>
        <w:spacing w:line="230" w:lineRule="exact"/>
        <w:sectPr w:rsidR="00261E12">
          <w:pgSz w:w="12240" w:h="15840"/>
          <w:pgMar w:top="640" w:right="0" w:bottom="280" w:left="660" w:header="720" w:footer="720" w:gutter="0"/>
          <w:cols w:num="2" w:space="720" w:equalWidth="0">
            <w:col w:w="5040" w:space="720"/>
            <w:col w:w="5820"/>
          </w:cols>
        </w:sectPr>
      </w:pPr>
    </w:p>
    <w:p w14:paraId="1DBEF12C" w14:textId="77777777" w:rsidR="00261E12" w:rsidRDefault="00261E12">
      <w:pPr>
        <w:pStyle w:val="BodyText"/>
        <w:spacing w:before="1"/>
        <w:rPr>
          <w:sz w:val="12"/>
        </w:rPr>
      </w:pPr>
    </w:p>
    <w:p w14:paraId="4136E62C" w14:textId="77777777" w:rsidR="00261E12" w:rsidRDefault="008705D9">
      <w:pPr>
        <w:spacing w:before="90"/>
        <w:ind w:left="2642" w:right="3012"/>
        <w:jc w:val="center"/>
        <w:rPr>
          <w:b/>
          <w:sz w:val="32"/>
        </w:rPr>
      </w:pPr>
      <w:r>
        <w:rPr>
          <w:b/>
          <w:sz w:val="32"/>
          <w:u w:val="thick"/>
        </w:rPr>
        <w:t>DISTRIBUTION REPLACEMENT RIDER</w:t>
      </w:r>
    </w:p>
    <w:p w14:paraId="722900DF" w14:textId="77777777" w:rsidR="00261E12" w:rsidRDefault="00261E12">
      <w:pPr>
        <w:pStyle w:val="BodyText"/>
        <w:spacing w:before="11"/>
        <w:rPr>
          <w:b/>
          <w:sz w:val="11"/>
        </w:rPr>
      </w:pPr>
    </w:p>
    <w:p w14:paraId="2A135184" w14:textId="77777777" w:rsidR="00261E12" w:rsidRDefault="008705D9">
      <w:pPr>
        <w:pStyle w:val="Heading2"/>
        <w:spacing w:before="94" w:line="230" w:lineRule="exact"/>
        <w:rPr>
          <w:u w:val="none"/>
        </w:rPr>
      </w:pPr>
      <w:r>
        <w:rPr>
          <w:u w:val="thick"/>
        </w:rPr>
        <w:t>APPLICABILITY</w:t>
      </w:r>
    </w:p>
    <w:p w14:paraId="422AFB03" w14:textId="77777777" w:rsidR="00261E12" w:rsidRDefault="008705D9">
      <w:pPr>
        <w:pStyle w:val="BodyText"/>
        <w:ind w:left="1500" w:right="1253"/>
      </w:pPr>
      <w:r>
        <w:t>The Distribution Replacement Rider (“DRR”) is applicable to any Customer served under the Rate Schedules identified below.</w:t>
      </w:r>
    </w:p>
    <w:p w14:paraId="05EC7590" w14:textId="77777777" w:rsidR="00261E12" w:rsidRDefault="008705D9">
      <w:pPr>
        <w:pStyle w:val="ListParagraph"/>
        <w:numPr>
          <w:ilvl w:val="3"/>
          <w:numId w:val="1"/>
        </w:numPr>
        <w:tabs>
          <w:tab w:val="left" w:pos="2077"/>
        </w:tabs>
        <w:ind w:hanging="290"/>
        <w:rPr>
          <w:sz w:val="20"/>
        </w:rPr>
      </w:pPr>
      <w:r>
        <w:rPr>
          <w:sz w:val="20"/>
        </w:rPr>
        <w:t>Rate 310 - Residential Default Sales</w:t>
      </w:r>
      <w:r>
        <w:rPr>
          <w:spacing w:val="-7"/>
          <w:sz w:val="20"/>
        </w:rPr>
        <w:t xml:space="preserve"> </w:t>
      </w:r>
      <w:r>
        <w:rPr>
          <w:sz w:val="20"/>
        </w:rPr>
        <w:t>Service</w:t>
      </w:r>
    </w:p>
    <w:p w14:paraId="5B66D620" w14:textId="77777777" w:rsidR="00261E12" w:rsidRDefault="008705D9">
      <w:pPr>
        <w:pStyle w:val="ListParagraph"/>
        <w:numPr>
          <w:ilvl w:val="3"/>
          <w:numId w:val="1"/>
        </w:numPr>
        <w:tabs>
          <w:tab w:val="left" w:pos="2077"/>
        </w:tabs>
        <w:spacing w:line="243" w:lineRule="exact"/>
        <w:ind w:hanging="290"/>
        <w:rPr>
          <w:sz w:val="20"/>
        </w:rPr>
      </w:pPr>
      <w:r>
        <w:rPr>
          <w:sz w:val="20"/>
        </w:rPr>
        <w:t>Rate 311 - Residential Standard Choice Offer</w:t>
      </w:r>
      <w:r>
        <w:rPr>
          <w:spacing w:val="-11"/>
          <w:sz w:val="20"/>
        </w:rPr>
        <w:t xml:space="preserve"> </w:t>
      </w:r>
      <w:r>
        <w:rPr>
          <w:sz w:val="20"/>
        </w:rPr>
        <w:t>Service</w:t>
      </w:r>
    </w:p>
    <w:p w14:paraId="1331680A" w14:textId="77777777" w:rsidR="00261E12" w:rsidRDefault="008705D9">
      <w:pPr>
        <w:pStyle w:val="ListParagraph"/>
        <w:numPr>
          <w:ilvl w:val="3"/>
          <w:numId w:val="1"/>
        </w:numPr>
        <w:tabs>
          <w:tab w:val="left" w:pos="2077"/>
        </w:tabs>
        <w:spacing w:line="243" w:lineRule="exact"/>
        <w:ind w:hanging="290"/>
        <w:rPr>
          <w:sz w:val="20"/>
        </w:rPr>
      </w:pPr>
      <w:r>
        <w:rPr>
          <w:sz w:val="20"/>
        </w:rPr>
        <w:t>Rate 315 - Residential Transportation</w:t>
      </w:r>
      <w:r>
        <w:rPr>
          <w:spacing w:val="-6"/>
          <w:sz w:val="20"/>
        </w:rPr>
        <w:t xml:space="preserve"> </w:t>
      </w:r>
      <w:r>
        <w:rPr>
          <w:sz w:val="20"/>
        </w:rPr>
        <w:t>Service</w:t>
      </w:r>
    </w:p>
    <w:p w14:paraId="6970F603" w14:textId="77777777" w:rsidR="00261E12" w:rsidRDefault="008705D9">
      <w:pPr>
        <w:pStyle w:val="ListParagraph"/>
        <w:numPr>
          <w:ilvl w:val="3"/>
          <w:numId w:val="1"/>
        </w:numPr>
        <w:tabs>
          <w:tab w:val="left" w:pos="2077"/>
        </w:tabs>
        <w:ind w:hanging="290"/>
        <w:rPr>
          <w:sz w:val="20"/>
        </w:rPr>
      </w:pPr>
      <w:r>
        <w:rPr>
          <w:sz w:val="20"/>
        </w:rPr>
        <w:t>Rate 320 - General Default Sales</w:t>
      </w:r>
      <w:r>
        <w:rPr>
          <w:spacing w:val="-8"/>
          <w:sz w:val="20"/>
        </w:rPr>
        <w:t xml:space="preserve"> </w:t>
      </w:r>
      <w:r>
        <w:rPr>
          <w:sz w:val="20"/>
        </w:rPr>
        <w:t>Service</w:t>
      </w:r>
    </w:p>
    <w:p w14:paraId="2D9ABBA4" w14:textId="77777777" w:rsidR="00261E12" w:rsidRDefault="008705D9">
      <w:pPr>
        <w:pStyle w:val="ListParagraph"/>
        <w:numPr>
          <w:ilvl w:val="3"/>
          <w:numId w:val="1"/>
        </w:numPr>
        <w:tabs>
          <w:tab w:val="left" w:pos="2077"/>
        </w:tabs>
        <w:ind w:hanging="290"/>
        <w:rPr>
          <w:sz w:val="20"/>
        </w:rPr>
      </w:pPr>
      <w:r>
        <w:rPr>
          <w:sz w:val="20"/>
        </w:rPr>
        <w:t>Rate 321 - General Standard Choice Offer</w:t>
      </w:r>
      <w:r>
        <w:rPr>
          <w:spacing w:val="-8"/>
          <w:sz w:val="20"/>
        </w:rPr>
        <w:t xml:space="preserve"> </w:t>
      </w:r>
      <w:r>
        <w:rPr>
          <w:sz w:val="20"/>
        </w:rPr>
        <w:t>Service</w:t>
      </w:r>
    </w:p>
    <w:p w14:paraId="241D414C" w14:textId="77777777" w:rsidR="00261E12" w:rsidRDefault="008705D9">
      <w:pPr>
        <w:pStyle w:val="ListParagraph"/>
        <w:numPr>
          <w:ilvl w:val="3"/>
          <w:numId w:val="1"/>
        </w:numPr>
        <w:tabs>
          <w:tab w:val="left" w:pos="2077"/>
        </w:tabs>
        <w:ind w:hanging="290"/>
        <w:rPr>
          <w:sz w:val="20"/>
        </w:rPr>
      </w:pPr>
      <w:r>
        <w:rPr>
          <w:sz w:val="20"/>
        </w:rPr>
        <w:t>Rate 325 - General Transportation</w:t>
      </w:r>
      <w:r>
        <w:rPr>
          <w:spacing w:val="-7"/>
          <w:sz w:val="20"/>
        </w:rPr>
        <w:t xml:space="preserve"> </w:t>
      </w:r>
      <w:r>
        <w:rPr>
          <w:sz w:val="20"/>
        </w:rPr>
        <w:t>Service</w:t>
      </w:r>
    </w:p>
    <w:p w14:paraId="115EB55D" w14:textId="77777777" w:rsidR="00261E12" w:rsidRDefault="008705D9">
      <w:pPr>
        <w:pStyle w:val="ListParagraph"/>
        <w:numPr>
          <w:ilvl w:val="3"/>
          <w:numId w:val="1"/>
        </w:numPr>
        <w:tabs>
          <w:tab w:val="left" w:pos="2077"/>
        </w:tabs>
        <w:ind w:hanging="290"/>
        <w:rPr>
          <w:sz w:val="20"/>
        </w:rPr>
      </w:pPr>
      <w:r>
        <w:rPr>
          <w:sz w:val="20"/>
        </w:rPr>
        <w:t>Rate 345 - Large General Transportation</w:t>
      </w:r>
      <w:r>
        <w:rPr>
          <w:spacing w:val="-14"/>
          <w:sz w:val="20"/>
        </w:rPr>
        <w:t xml:space="preserve"> </w:t>
      </w:r>
      <w:r>
        <w:rPr>
          <w:sz w:val="20"/>
        </w:rPr>
        <w:t>Service</w:t>
      </w:r>
    </w:p>
    <w:p w14:paraId="79605F76" w14:textId="77777777" w:rsidR="00261E12" w:rsidRDefault="008705D9">
      <w:pPr>
        <w:pStyle w:val="ListParagraph"/>
        <w:numPr>
          <w:ilvl w:val="3"/>
          <w:numId w:val="1"/>
        </w:numPr>
        <w:tabs>
          <w:tab w:val="left" w:pos="2077"/>
        </w:tabs>
        <w:ind w:hanging="290"/>
        <w:rPr>
          <w:sz w:val="20"/>
        </w:rPr>
      </w:pPr>
      <w:r>
        <w:rPr>
          <w:sz w:val="20"/>
        </w:rPr>
        <w:t>Rate 360 - Large Volume Transportation</w:t>
      </w:r>
      <w:r>
        <w:rPr>
          <w:spacing w:val="-12"/>
          <w:sz w:val="20"/>
        </w:rPr>
        <w:t xml:space="preserve"> </w:t>
      </w:r>
      <w:r>
        <w:rPr>
          <w:sz w:val="20"/>
        </w:rPr>
        <w:t>Service</w:t>
      </w:r>
    </w:p>
    <w:p w14:paraId="013B384B" w14:textId="77777777" w:rsidR="00261E12" w:rsidRDefault="00261E12">
      <w:pPr>
        <w:pStyle w:val="BodyText"/>
        <w:spacing w:before="9"/>
        <w:rPr>
          <w:sz w:val="19"/>
        </w:rPr>
      </w:pPr>
    </w:p>
    <w:p w14:paraId="57EB43A0" w14:textId="77777777" w:rsidR="00261E12" w:rsidRDefault="008705D9">
      <w:pPr>
        <w:pStyle w:val="Heading2"/>
        <w:rPr>
          <w:u w:val="none"/>
        </w:rPr>
      </w:pPr>
      <w:r>
        <w:rPr>
          <w:u w:val="thick"/>
        </w:rPr>
        <w:t>DESCRIPTION</w:t>
      </w:r>
    </w:p>
    <w:p w14:paraId="778E3BAC" w14:textId="77777777" w:rsidR="00261E12" w:rsidRDefault="008705D9">
      <w:pPr>
        <w:pStyle w:val="BodyText"/>
        <w:ind w:left="1499" w:right="1145"/>
        <w:jc w:val="both"/>
      </w:pPr>
      <w:r>
        <w:t xml:space="preserve">The DRR will be effective through August 31, 2025 or until new rates become effective </w:t>
      </w:r>
      <w:proofErr w:type="gramStart"/>
      <w:r>
        <w:t>as a result of</w:t>
      </w:r>
      <w:proofErr w:type="gramEnd"/>
      <w:r>
        <w:t xml:space="preserve"> the filing by Company of an application for an increase in rates pursuant to Section 4909.18, Revised Code, or a proposal to establish base rates pursuant to an alternative method of regulation under Section 4929.05, Revised Code, whichever comes first.</w:t>
      </w:r>
    </w:p>
    <w:p w14:paraId="26942607" w14:textId="77777777" w:rsidR="00261E12" w:rsidRDefault="00261E12">
      <w:pPr>
        <w:pStyle w:val="BodyText"/>
      </w:pPr>
    </w:p>
    <w:p w14:paraId="1C83ADCA" w14:textId="77777777" w:rsidR="00261E12" w:rsidRDefault="008705D9">
      <w:pPr>
        <w:pStyle w:val="BodyText"/>
        <w:ind w:left="1499" w:right="1148"/>
        <w:jc w:val="both"/>
      </w:pPr>
      <w:r>
        <w:t>The DRR will recover costs associated with Company’s accelerated infrastructure replacement program approved by the Commission in Case No. 18-0299-GA-ALT. All applicable Customers shall be assessed either (a) a monthly charge in addition to the Monthly Charge or Customer Charge component</w:t>
      </w:r>
      <w:r>
        <w:rPr>
          <w:spacing w:val="-5"/>
        </w:rPr>
        <w:t xml:space="preserve"> </w:t>
      </w:r>
      <w:r>
        <w:t>of</w:t>
      </w:r>
      <w:r>
        <w:rPr>
          <w:spacing w:val="-4"/>
        </w:rPr>
        <w:t xml:space="preserve"> </w:t>
      </w:r>
      <w:r>
        <w:t>their</w:t>
      </w:r>
      <w:r>
        <w:rPr>
          <w:spacing w:val="-5"/>
        </w:rPr>
        <w:t xml:space="preserve"> </w:t>
      </w:r>
      <w:r>
        <w:t>applicable</w:t>
      </w:r>
      <w:r>
        <w:rPr>
          <w:spacing w:val="-4"/>
        </w:rPr>
        <w:t xml:space="preserve"> </w:t>
      </w:r>
      <w:r>
        <w:t>Rate</w:t>
      </w:r>
      <w:r>
        <w:rPr>
          <w:spacing w:val="-5"/>
        </w:rPr>
        <w:t xml:space="preserve"> </w:t>
      </w:r>
      <w:r>
        <w:t>Schedule,</w:t>
      </w:r>
      <w:r>
        <w:rPr>
          <w:spacing w:val="-4"/>
        </w:rPr>
        <w:t xml:space="preserve"> </w:t>
      </w:r>
      <w:r>
        <w:t>or</w:t>
      </w:r>
      <w:r>
        <w:rPr>
          <w:spacing w:val="-7"/>
        </w:rPr>
        <w:t xml:space="preserve"> </w:t>
      </w:r>
      <w:r>
        <w:t>(b)</w:t>
      </w:r>
      <w:r>
        <w:rPr>
          <w:spacing w:val="-4"/>
        </w:rPr>
        <w:t xml:space="preserve"> </w:t>
      </w:r>
      <w:r>
        <w:t>a</w:t>
      </w:r>
      <w:r>
        <w:rPr>
          <w:spacing w:val="-5"/>
        </w:rPr>
        <w:t xml:space="preserve"> </w:t>
      </w:r>
      <w:r>
        <w:t>volumetric</w:t>
      </w:r>
      <w:r>
        <w:rPr>
          <w:spacing w:val="-4"/>
        </w:rPr>
        <w:t xml:space="preserve"> </w:t>
      </w:r>
      <w:r>
        <w:t>charge</w:t>
      </w:r>
      <w:r>
        <w:rPr>
          <w:spacing w:val="-5"/>
        </w:rPr>
        <w:t xml:space="preserve"> </w:t>
      </w:r>
      <w:r>
        <w:t>applicable</w:t>
      </w:r>
      <w:r>
        <w:rPr>
          <w:spacing w:val="-4"/>
        </w:rPr>
        <w:t xml:space="preserve"> </w:t>
      </w:r>
      <w:r>
        <w:t>to</w:t>
      </w:r>
      <w:r>
        <w:rPr>
          <w:spacing w:val="-5"/>
        </w:rPr>
        <w:t xml:space="preserve"> </w:t>
      </w:r>
      <w:r>
        <w:t>each</w:t>
      </w:r>
      <w:r>
        <w:rPr>
          <w:spacing w:val="-4"/>
        </w:rPr>
        <w:t xml:space="preserve"> </w:t>
      </w:r>
      <w:r>
        <w:t>Billing</w:t>
      </w:r>
      <w:r>
        <w:rPr>
          <w:spacing w:val="-5"/>
        </w:rPr>
        <w:t xml:space="preserve"> </w:t>
      </w:r>
      <w:r>
        <w:t>Ccf of metered gas usage each</w:t>
      </w:r>
      <w:r>
        <w:rPr>
          <w:spacing w:val="-6"/>
        </w:rPr>
        <w:t xml:space="preserve"> </w:t>
      </w:r>
      <w:r>
        <w:t>month.</w:t>
      </w:r>
    </w:p>
    <w:p w14:paraId="02AEF0A8" w14:textId="77777777" w:rsidR="00261E12" w:rsidRDefault="00261E12">
      <w:pPr>
        <w:pStyle w:val="BodyText"/>
      </w:pPr>
    </w:p>
    <w:p w14:paraId="0C532172" w14:textId="77777777" w:rsidR="00261E12" w:rsidRDefault="008705D9">
      <w:pPr>
        <w:pStyle w:val="BodyText"/>
        <w:ind w:left="1500" w:right="1150"/>
        <w:jc w:val="both"/>
      </w:pPr>
      <w:r>
        <w:t>Actual</w:t>
      </w:r>
      <w:r>
        <w:rPr>
          <w:spacing w:val="-11"/>
        </w:rPr>
        <w:t xml:space="preserve"> </w:t>
      </w:r>
      <w:r>
        <w:t>costs</w:t>
      </w:r>
      <w:r>
        <w:rPr>
          <w:spacing w:val="-11"/>
        </w:rPr>
        <w:t xml:space="preserve"> </w:t>
      </w:r>
      <w:r>
        <w:t>and</w:t>
      </w:r>
      <w:r>
        <w:rPr>
          <w:spacing w:val="-10"/>
        </w:rPr>
        <w:t xml:space="preserve"> </w:t>
      </w:r>
      <w:r>
        <w:t>actual</w:t>
      </w:r>
      <w:r>
        <w:rPr>
          <w:spacing w:val="-11"/>
        </w:rPr>
        <w:t xml:space="preserve"> </w:t>
      </w:r>
      <w:r>
        <w:t>recoveries</w:t>
      </w:r>
      <w:r>
        <w:rPr>
          <w:spacing w:val="-10"/>
        </w:rPr>
        <w:t xml:space="preserve"> </w:t>
      </w:r>
      <w:r>
        <w:t>are</w:t>
      </w:r>
      <w:r>
        <w:rPr>
          <w:spacing w:val="-11"/>
        </w:rPr>
        <w:t xml:space="preserve"> </w:t>
      </w:r>
      <w:r>
        <w:t>reconciled</w:t>
      </w:r>
      <w:r>
        <w:rPr>
          <w:spacing w:val="-11"/>
        </w:rPr>
        <w:t xml:space="preserve"> </w:t>
      </w:r>
      <w:r>
        <w:t>in</w:t>
      </w:r>
      <w:r>
        <w:rPr>
          <w:spacing w:val="-11"/>
        </w:rPr>
        <w:t xml:space="preserve"> </w:t>
      </w:r>
      <w:r>
        <w:t>each</w:t>
      </w:r>
      <w:r>
        <w:rPr>
          <w:spacing w:val="-10"/>
        </w:rPr>
        <w:t xml:space="preserve"> </w:t>
      </w:r>
      <w:r>
        <w:t>annual</w:t>
      </w:r>
      <w:r>
        <w:rPr>
          <w:spacing w:val="-13"/>
        </w:rPr>
        <w:t xml:space="preserve"> </w:t>
      </w:r>
      <w:r>
        <w:t>DRR</w:t>
      </w:r>
      <w:r>
        <w:rPr>
          <w:spacing w:val="-11"/>
        </w:rPr>
        <w:t xml:space="preserve"> </w:t>
      </w:r>
      <w:r>
        <w:t>update,</w:t>
      </w:r>
      <w:r>
        <w:rPr>
          <w:spacing w:val="-11"/>
        </w:rPr>
        <w:t xml:space="preserve"> </w:t>
      </w:r>
      <w:r>
        <w:t>with</w:t>
      </w:r>
      <w:r>
        <w:rPr>
          <w:spacing w:val="-11"/>
        </w:rPr>
        <w:t xml:space="preserve"> </w:t>
      </w:r>
      <w:r>
        <w:t>any</w:t>
      </w:r>
      <w:r>
        <w:rPr>
          <w:spacing w:val="-10"/>
        </w:rPr>
        <w:t xml:space="preserve"> </w:t>
      </w:r>
      <w:r>
        <w:t>under-</w:t>
      </w:r>
      <w:r>
        <w:rPr>
          <w:spacing w:val="-13"/>
        </w:rPr>
        <w:t xml:space="preserve"> </w:t>
      </w:r>
      <w:r>
        <w:t>or</w:t>
      </w:r>
      <w:r>
        <w:rPr>
          <w:spacing w:val="-10"/>
        </w:rPr>
        <w:t xml:space="preserve"> </w:t>
      </w:r>
      <w:r>
        <w:t>over- recovery being recovered or returned over the next twelve (12) month</w:t>
      </w:r>
      <w:r>
        <w:rPr>
          <w:spacing w:val="-20"/>
        </w:rPr>
        <w:t xml:space="preserve"> </w:t>
      </w:r>
      <w:r>
        <w:t>period.</w:t>
      </w:r>
    </w:p>
    <w:p w14:paraId="6C36BFAC" w14:textId="77777777" w:rsidR="00261E12" w:rsidRDefault="00261E12">
      <w:pPr>
        <w:pStyle w:val="BodyText"/>
        <w:spacing w:before="2"/>
        <w:rPr>
          <w:sz w:val="25"/>
        </w:rPr>
      </w:pPr>
    </w:p>
    <w:p w14:paraId="0B640F3B" w14:textId="77777777" w:rsidR="00261E12" w:rsidRDefault="008705D9">
      <w:pPr>
        <w:pStyle w:val="BodyText"/>
        <w:ind w:left="1500" w:right="1150"/>
        <w:jc w:val="both"/>
      </w:pPr>
      <w:r>
        <w:t>The monthly DRR charge applicable to Rate 310, 311, 315, 320 (Group 1), 321 (Group 1) and 325 (Group 1) customers shall be subject to caps approved by the Commission in Case No. 18-0299-GA- ALT.</w:t>
      </w:r>
    </w:p>
    <w:p w14:paraId="18A90867" w14:textId="77777777" w:rsidR="00261E12" w:rsidRDefault="00261E12">
      <w:pPr>
        <w:pStyle w:val="BodyText"/>
        <w:spacing w:before="3"/>
        <w:rPr>
          <w:sz w:val="25"/>
        </w:rPr>
      </w:pPr>
    </w:p>
    <w:p w14:paraId="27B41336" w14:textId="77777777" w:rsidR="00261E12" w:rsidRDefault="008705D9">
      <w:pPr>
        <w:pStyle w:val="Heading2"/>
        <w:spacing w:before="0"/>
        <w:rPr>
          <w:u w:val="none"/>
        </w:rPr>
      </w:pPr>
      <w:r>
        <w:rPr>
          <w:u w:val="thick"/>
        </w:rPr>
        <w:t>RECONCILIATION</w:t>
      </w:r>
    </w:p>
    <w:p w14:paraId="4251D682" w14:textId="77777777" w:rsidR="00261E12" w:rsidRDefault="008705D9">
      <w:pPr>
        <w:pStyle w:val="BodyText"/>
        <w:spacing w:before="60"/>
        <w:ind w:left="1500" w:right="1149"/>
        <w:jc w:val="both"/>
      </w:pPr>
      <w:r>
        <w:t>The DRR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w:t>
      </w:r>
      <w:r>
        <w:rPr>
          <w:spacing w:val="-6"/>
        </w:rPr>
        <w:t xml:space="preserve"> </w:t>
      </w:r>
      <w:r>
        <w:t>by</w:t>
      </w:r>
      <w:r>
        <w:rPr>
          <w:spacing w:val="-8"/>
        </w:rPr>
        <w:t xml:space="preserve"> </w:t>
      </w:r>
      <w:r>
        <w:t>the</w:t>
      </w:r>
      <w:r>
        <w:rPr>
          <w:spacing w:val="-6"/>
        </w:rPr>
        <w:t xml:space="preserve"> </w:t>
      </w:r>
      <w:r>
        <w:t>Commission</w:t>
      </w:r>
      <w:r>
        <w:rPr>
          <w:spacing w:val="-6"/>
        </w:rPr>
        <w:t xml:space="preserve"> </w:t>
      </w:r>
      <w:r>
        <w:t>in</w:t>
      </w:r>
      <w:r>
        <w:rPr>
          <w:spacing w:val="-6"/>
        </w:rPr>
        <w:t xml:space="preserve"> </w:t>
      </w:r>
      <w:r>
        <w:t>the</w:t>
      </w:r>
      <w:r>
        <w:rPr>
          <w:spacing w:val="-7"/>
        </w:rPr>
        <w:t xml:space="preserve"> </w:t>
      </w:r>
      <w:r>
        <w:t>docket</w:t>
      </w:r>
      <w:r>
        <w:rPr>
          <w:spacing w:val="-6"/>
        </w:rPr>
        <w:t xml:space="preserve"> </w:t>
      </w:r>
      <w:r>
        <w:t>those</w:t>
      </w:r>
      <w:r>
        <w:rPr>
          <w:spacing w:val="-8"/>
        </w:rPr>
        <w:t xml:space="preserve"> </w:t>
      </w:r>
      <w:r>
        <w:t>rates</w:t>
      </w:r>
      <w:r>
        <w:rPr>
          <w:spacing w:val="-6"/>
        </w:rPr>
        <w:t xml:space="preserve"> </w:t>
      </w:r>
      <w:r>
        <w:t>were</w:t>
      </w:r>
      <w:r>
        <w:rPr>
          <w:spacing w:val="-6"/>
        </w:rPr>
        <w:t xml:space="preserve"> </w:t>
      </w:r>
      <w:r>
        <w:t>approved</w:t>
      </w:r>
      <w:r>
        <w:rPr>
          <w:spacing w:val="-6"/>
        </w:rPr>
        <w:t xml:space="preserve"> </w:t>
      </w:r>
      <w:r>
        <w:t>or</w:t>
      </w:r>
      <w:r>
        <w:rPr>
          <w:spacing w:val="-6"/>
        </w:rPr>
        <w:t xml:space="preserve"> </w:t>
      </w:r>
      <w:r>
        <w:t>the</w:t>
      </w:r>
      <w:r>
        <w:rPr>
          <w:spacing w:val="-6"/>
        </w:rPr>
        <w:t xml:space="preserve"> </w:t>
      </w:r>
      <w:r>
        <w:t>Supreme</w:t>
      </w:r>
      <w:r>
        <w:rPr>
          <w:spacing w:val="-6"/>
        </w:rPr>
        <w:t xml:space="preserve"> </w:t>
      </w:r>
      <w:r>
        <w:t>Court</w:t>
      </w:r>
      <w:r>
        <w:rPr>
          <w:spacing w:val="-8"/>
        </w:rPr>
        <w:t xml:space="preserve"> </w:t>
      </w:r>
      <w:r>
        <w:t>of</w:t>
      </w:r>
      <w:r>
        <w:rPr>
          <w:spacing w:val="-6"/>
        </w:rPr>
        <w:t xml:space="preserve"> </w:t>
      </w:r>
      <w:proofErr w:type="gramStart"/>
      <w:r>
        <w:t>Ohio;</w:t>
      </w:r>
      <w:proofErr w:type="gramEnd"/>
    </w:p>
    <w:p w14:paraId="589F1589" w14:textId="77777777" w:rsidR="00261E12" w:rsidRDefault="008705D9">
      <w:pPr>
        <w:pStyle w:val="BodyText"/>
        <w:ind w:left="1500" w:right="1151"/>
        <w:jc w:val="both"/>
      </w:pPr>
      <w:r>
        <w:t>(2) the Commission’s orders in Case No. 18-47-AU-COI or any case ordered by the Commission to address tax reform changes.</w:t>
      </w:r>
    </w:p>
    <w:p w14:paraId="6A0A2094" w14:textId="77777777" w:rsidR="00261E12" w:rsidRDefault="00261E12">
      <w:pPr>
        <w:pStyle w:val="BodyText"/>
        <w:spacing w:before="2"/>
        <w:rPr>
          <w:sz w:val="25"/>
        </w:rPr>
      </w:pPr>
    </w:p>
    <w:p w14:paraId="2190B89E" w14:textId="77777777" w:rsidR="00261E12" w:rsidRDefault="008705D9">
      <w:pPr>
        <w:pStyle w:val="Heading2"/>
        <w:spacing w:line="230" w:lineRule="exact"/>
        <w:rPr>
          <w:u w:val="none"/>
        </w:rPr>
      </w:pPr>
      <w:r>
        <w:rPr>
          <w:u w:val="thick"/>
        </w:rPr>
        <w:t>DISTRIBUTION REPLACEMENT RIDER CHARGE</w:t>
      </w:r>
    </w:p>
    <w:p w14:paraId="480739A0" w14:textId="77777777" w:rsidR="00261E12" w:rsidRDefault="008705D9">
      <w:pPr>
        <w:pStyle w:val="BodyText"/>
        <w:spacing w:after="7" w:line="230" w:lineRule="exact"/>
        <w:ind w:left="1500"/>
        <w:jc w:val="both"/>
      </w:pPr>
      <w:r>
        <w:t>The charges for the respective Rate Schedules are:</w:t>
      </w:r>
    </w:p>
    <w:tbl>
      <w:tblPr>
        <w:tblW w:w="0" w:type="auto"/>
        <w:tblInd w:w="1967" w:type="dxa"/>
        <w:tblLayout w:type="fixed"/>
        <w:tblCellMar>
          <w:left w:w="0" w:type="dxa"/>
          <w:right w:w="0" w:type="dxa"/>
        </w:tblCellMar>
        <w:tblLook w:val="01E0" w:firstRow="1" w:lastRow="1" w:firstColumn="1" w:lastColumn="1" w:noHBand="0" w:noVBand="0"/>
      </w:tblPr>
      <w:tblGrid>
        <w:gridCol w:w="3445"/>
        <w:gridCol w:w="1861"/>
        <w:gridCol w:w="1927"/>
      </w:tblGrid>
      <w:tr w:rsidR="00261E12" w14:paraId="24644744" w14:textId="77777777">
        <w:trPr>
          <w:trHeight w:val="227"/>
        </w:trPr>
        <w:tc>
          <w:tcPr>
            <w:tcW w:w="3445" w:type="dxa"/>
          </w:tcPr>
          <w:p w14:paraId="583A79C1" w14:textId="77777777" w:rsidR="00261E12" w:rsidRDefault="008705D9">
            <w:pPr>
              <w:pStyle w:val="TableParagraph"/>
              <w:spacing w:line="207" w:lineRule="exact"/>
              <w:rPr>
                <w:b/>
                <w:sz w:val="20"/>
              </w:rPr>
            </w:pPr>
            <w:r>
              <w:rPr>
                <w:b/>
                <w:sz w:val="20"/>
                <w:u w:val="thick"/>
              </w:rPr>
              <w:t>Rate Schedule</w:t>
            </w:r>
          </w:p>
        </w:tc>
        <w:tc>
          <w:tcPr>
            <w:tcW w:w="1861" w:type="dxa"/>
          </w:tcPr>
          <w:p w14:paraId="565DB7A8" w14:textId="77777777" w:rsidR="00261E12" w:rsidRDefault="008705D9">
            <w:pPr>
              <w:pStyle w:val="TableParagraph"/>
              <w:spacing w:line="207" w:lineRule="exact"/>
              <w:ind w:left="352" w:right="324"/>
              <w:jc w:val="center"/>
              <w:rPr>
                <w:b/>
                <w:sz w:val="20"/>
              </w:rPr>
            </w:pPr>
            <w:r>
              <w:rPr>
                <w:b/>
                <w:sz w:val="20"/>
                <w:u w:val="thick"/>
              </w:rPr>
              <w:t>$ Per Month</w:t>
            </w:r>
          </w:p>
        </w:tc>
        <w:tc>
          <w:tcPr>
            <w:tcW w:w="1927" w:type="dxa"/>
          </w:tcPr>
          <w:p w14:paraId="645B7A00" w14:textId="77777777" w:rsidR="00261E12" w:rsidRDefault="008705D9">
            <w:pPr>
              <w:pStyle w:val="TableParagraph"/>
              <w:spacing w:line="207" w:lineRule="exact"/>
              <w:ind w:left="323" w:right="30"/>
              <w:jc w:val="center"/>
              <w:rPr>
                <w:b/>
                <w:sz w:val="20"/>
              </w:rPr>
            </w:pPr>
            <w:r>
              <w:rPr>
                <w:b/>
                <w:sz w:val="20"/>
                <w:u w:val="thick"/>
              </w:rPr>
              <w:t>$ Per Billing Ccf</w:t>
            </w:r>
          </w:p>
        </w:tc>
      </w:tr>
      <w:tr w:rsidR="00261E12" w14:paraId="2C13836E" w14:textId="77777777">
        <w:trPr>
          <w:trHeight w:val="242"/>
        </w:trPr>
        <w:tc>
          <w:tcPr>
            <w:tcW w:w="3445" w:type="dxa"/>
          </w:tcPr>
          <w:p w14:paraId="360EB972" w14:textId="77777777" w:rsidR="00261E12" w:rsidRDefault="008705D9">
            <w:pPr>
              <w:pStyle w:val="TableParagraph"/>
              <w:spacing w:line="223" w:lineRule="exact"/>
              <w:rPr>
                <w:sz w:val="20"/>
              </w:rPr>
            </w:pPr>
            <w:r>
              <w:rPr>
                <w:sz w:val="20"/>
              </w:rPr>
              <w:t>310, 311 and 315</w:t>
            </w:r>
          </w:p>
        </w:tc>
        <w:tc>
          <w:tcPr>
            <w:tcW w:w="1861" w:type="dxa"/>
          </w:tcPr>
          <w:p w14:paraId="6DED17AA" w14:textId="671604A3" w:rsidR="00261E12" w:rsidRDefault="008705D9">
            <w:pPr>
              <w:pStyle w:val="TableParagraph"/>
              <w:spacing w:line="223" w:lineRule="exact"/>
              <w:ind w:left="352" w:right="324"/>
              <w:jc w:val="center"/>
              <w:rPr>
                <w:sz w:val="20"/>
              </w:rPr>
            </w:pPr>
            <w:r>
              <w:rPr>
                <w:sz w:val="20"/>
              </w:rPr>
              <w:t>$7.5</w:t>
            </w:r>
            <w:r w:rsidR="00F20CDA">
              <w:rPr>
                <w:sz w:val="20"/>
              </w:rPr>
              <w:t>8</w:t>
            </w:r>
          </w:p>
        </w:tc>
        <w:tc>
          <w:tcPr>
            <w:tcW w:w="1927" w:type="dxa"/>
          </w:tcPr>
          <w:p w14:paraId="3BB1B903" w14:textId="77777777" w:rsidR="00261E12" w:rsidRDefault="00261E12">
            <w:pPr>
              <w:pStyle w:val="TableParagraph"/>
              <w:ind w:left="0"/>
              <w:rPr>
                <w:rFonts w:ascii="Times New Roman"/>
                <w:sz w:val="16"/>
              </w:rPr>
            </w:pPr>
          </w:p>
        </w:tc>
      </w:tr>
      <w:tr w:rsidR="00261E12" w14:paraId="7ED8F761" w14:textId="77777777">
        <w:trPr>
          <w:trHeight w:val="255"/>
        </w:trPr>
        <w:tc>
          <w:tcPr>
            <w:tcW w:w="3445" w:type="dxa"/>
          </w:tcPr>
          <w:p w14:paraId="03A5D68D" w14:textId="77777777" w:rsidR="00261E12" w:rsidRDefault="008705D9">
            <w:pPr>
              <w:pStyle w:val="TableParagraph"/>
              <w:spacing w:before="9" w:line="226" w:lineRule="exact"/>
              <w:rPr>
                <w:sz w:val="20"/>
              </w:rPr>
            </w:pPr>
            <w:r>
              <w:rPr>
                <w:sz w:val="20"/>
              </w:rPr>
              <w:t>320, 321 and 325 (Group 1)</w:t>
            </w:r>
          </w:p>
        </w:tc>
        <w:tc>
          <w:tcPr>
            <w:tcW w:w="1861" w:type="dxa"/>
          </w:tcPr>
          <w:p w14:paraId="0C248C8F" w14:textId="2E524EE5" w:rsidR="00261E12" w:rsidRDefault="008705D9">
            <w:pPr>
              <w:pStyle w:val="TableParagraph"/>
              <w:spacing w:before="9" w:line="226" w:lineRule="exact"/>
              <w:ind w:left="352" w:right="324"/>
              <w:jc w:val="center"/>
              <w:rPr>
                <w:sz w:val="20"/>
              </w:rPr>
            </w:pPr>
            <w:r>
              <w:rPr>
                <w:sz w:val="20"/>
              </w:rPr>
              <w:t>$9.8</w:t>
            </w:r>
            <w:r w:rsidR="00F20CDA">
              <w:rPr>
                <w:sz w:val="20"/>
              </w:rPr>
              <w:t>5</w:t>
            </w:r>
          </w:p>
        </w:tc>
        <w:tc>
          <w:tcPr>
            <w:tcW w:w="1927" w:type="dxa"/>
          </w:tcPr>
          <w:p w14:paraId="7130F94D" w14:textId="77777777" w:rsidR="00261E12" w:rsidRDefault="00261E12">
            <w:pPr>
              <w:pStyle w:val="TableParagraph"/>
              <w:ind w:left="0"/>
              <w:rPr>
                <w:rFonts w:ascii="Times New Roman"/>
                <w:sz w:val="18"/>
              </w:rPr>
            </w:pPr>
          </w:p>
        </w:tc>
      </w:tr>
      <w:tr w:rsidR="00261E12" w14:paraId="7282F927" w14:textId="77777777">
        <w:trPr>
          <w:trHeight w:val="254"/>
        </w:trPr>
        <w:tc>
          <w:tcPr>
            <w:tcW w:w="3445" w:type="dxa"/>
          </w:tcPr>
          <w:p w14:paraId="6497408B" w14:textId="77777777" w:rsidR="00261E12" w:rsidRDefault="008705D9">
            <w:pPr>
              <w:pStyle w:val="TableParagraph"/>
              <w:spacing w:before="9" w:line="225" w:lineRule="exact"/>
              <w:rPr>
                <w:sz w:val="20"/>
              </w:rPr>
            </w:pPr>
            <w:r>
              <w:rPr>
                <w:sz w:val="20"/>
              </w:rPr>
              <w:t>320, 321 and 325 (Group 2 and 3)</w:t>
            </w:r>
          </w:p>
        </w:tc>
        <w:tc>
          <w:tcPr>
            <w:tcW w:w="1861" w:type="dxa"/>
          </w:tcPr>
          <w:p w14:paraId="1993FB86" w14:textId="77777777" w:rsidR="00261E12" w:rsidRDefault="00261E12">
            <w:pPr>
              <w:pStyle w:val="TableParagraph"/>
              <w:ind w:left="0"/>
              <w:rPr>
                <w:rFonts w:ascii="Times New Roman"/>
                <w:sz w:val="18"/>
              </w:rPr>
            </w:pPr>
          </w:p>
        </w:tc>
        <w:tc>
          <w:tcPr>
            <w:tcW w:w="1927" w:type="dxa"/>
          </w:tcPr>
          <w:p w14:paraId="5D251427" w14:textId="4F9423E8" w:rsidR="00261E12" w:rsidRDefault="008705D9">
            <w:pPr>
              <w:pStyle w:val="TableParagraph"/>
              <w:spacing w:before="9" w:line="225" w:lineRule="exact"/>
              <w:ind w:left="323" w:right="29"/>
              <w:jc w:val="center"/>
              <w:rPr>
                <w:sz w:val="20"/>
              </w:rPr>
            </w:pPr>
            <w:r>
              <w:rPr>
                <w:sz w:val="20"/>
              </w:rPr>
              <w:t>$0.0300</w:t>
            </w:r>
            <w:r w:rsidR="00F20CDA">
              <w:rPr>
                <w:sz w:val="20"/>
              </w:rPr>
              <w:t>3</w:t>
            </w:r>
          </w:p>
        </w:tc>
      </w:tr>
      <w:tr w:rsidR="00261E12" w14:paraId="55DD49D4" w14:textId="77777777">
        <w:trPr>
          <w:trHeight w:val="254"/>
        </w:trPr>
        <w:tc>
          <w:tcPr>
            <w:tcW w:w="3445" w:type="dxa"/>
          </w:tcPr>
          <w:p w14:paraId="259D36F8" w14:textId="77777777" w:rsidR="00261E12" w:rsidRDefault="008705D9">
            <w:pPr>
              <w:pStyle w:val="TableParagraph"/>
              <w:spacing w:before="9" w:line="225" w:lineRule="exact"/>
              <w:rPr>
                <w:sz w:val="20"/>
              </w:rPr>
            </w:pPr>
            <w:r>
              <w:rPr>
                <w:sz w:val="20"/>
              </w:rPr>
              <w:t>345</w:t>
            </w:r>
          </w:p>
        </w:tc>
        <w:tc>
          <w:tcPr>
            <w:tcW w:w="1861" w:type="dxa"/>
          </w:tcPr>
          <w:p w14:paraId="1B528DDB" w14:textId="77777777" w:rsidR="00261E12" w:rsidRDefault="00261E12">
            <w:pPr>
              <w:pStyle w:val="TableParagraph"/>
              <w:ind w:left="0"/>
              <w:rPr>
                <w:rFonts w:ascii="Times New Roman"/>
                <w:sz w:val="18"/>
              </w:rPr>
            </w:pPr>
          </w:p>
        </w:tc>
        <w:tc>
          <w:tcPr>
            <w:tcW w:w="1927" w:type="dxa"/>
          </w:tcPr>
          <w:p w14:paraId="4918C228" w14:textId="02855D1C" w:rsidR="00261E12" w:rsidRDefault="008705D9">
            <w:pPr>
              <w:pStyle w:val="TableParagraph"/>
              <w:spacing w:before="9" w:line="225" w:lineRule="exact"/>
              <w:ind w:left="323" w:right="28"/>
              <w:jc w:val="center"/>
              <w:rPr>
                <w:sz w:val="20"/>
              </w:rPr>
            </w:pPr>
            <w:r>
              <w:rPr>
                <w:sz w:val="20"/>
              </w:rPr>
              <w:t>$0.0126</w:t>
            </w:r>
            <w:r w:rsidR="00F20CDA">
              <w:rPr>
                <w:sz w:val="20"/>
              </w:rPr>
              <w:t>0</w:t>
            </w:r>
          </w:p>
        </w:tc>
      </w:tr>
      <w:tr w:rsidR="00261E12" w14:paraId="35E8DF31" w14:textId="77777777">
        <w:trPr>
          <w:trHeight w:val="239"/>
        </w:trPr>
        <w:tc>
          <w:tcPr>
            <w:tcW w:w="3445" w:type="dxa"/>
          </w:tcPr>
          <w:p w14:paraId="256626EE" w14:textId="77777777" w:rsidR="00261E12" w:rsidRDefault="008705D9">
            <w:pPr>
              <w:pStyle w:val="TableParagraph"/>
              <w:spacing w:before="9" w:line="210" w:lineRule="exact"/>
              <w:rPr>
                <w:sz w:val="20"/>
              </w:rPr>
            </w:pPr>
            <w:r>
              <w:rPr>
                <w:sz w:val="20"/>
              </w:rPr>
              <w:t>360</w:t>
            </w:r>
          </w:p>
        </w:tc>
        <w:tc>
          <w:tcPr>
            <w:tcW w:w="1861" w:type="dxa"/>
          </w:tcPr>
          <w:p w14:paraId="5AF034ED" w14:textId="77777777" w:rsidR="00261E12" w:rsidRDefault="00261E12">
            <w:pPr>
              <w:pStyle w:val="TableParagraph"/>
              <w:ind w:left="0"/>
              <w:rPr>
                <w:rFonts w:ascii="Times New Roman"/>
                <w:sz w:val="16"/>
              </w:rPr>
            </w:pPr>
          </w:p>
        </w:tc>
        <w:tc>
          <w:tcPr>
            <w:tcW w:w="1927" w:type="dxa"/>
          </w:tcPr>
          <w:p w14:paraId="4C2B5857" w14:textId="4749A098" w:rsidR="00261E12" w:rsidRDefault="008705D9">
            <w:pPr>
              <w:pStyle w:val="TableParagraph"/>
              <w:spacing w:before="9" w:line="210" w:lineRule="exact"/>
              <w:ind w:left="323" w:right="28"/>
              <w:jc w:val="center"/>
              <w:rPr>
                <w:sz w:val="20"/>
              </w:rPr>
            </w:pPr>
            <w:r>
              <w:rPr>
                <w:sz w:val="20"/>
              </w:rPr>
              <w:t>$0.0053</w:t>
            </w:r>
            <w:r w:rsidR="00F20CDA">
              <w:rPr>
                <w:sz w:val="20"/>
              </w:rPr>
              <w:t>8</w:t>
            </w:r>
          </w:p>
        </w:tc>
      </w:tr>
    </w:tbl>
    <w:p w14:paraId="41C72F9F" w14:textId="77777777" w:rsidR="00261E12" w:rsidRDefault="00261E12">
      <w:pPr>
        <w:pStyle w:val="BodyText"/>
      </w:pPr>
    </w:p>
    <w:p w14:paraId="117AB1EB" w14:textId="77777777" w:rsidR="00261E12" w:rsidRDefault="008705D9">
      <w:pPr>
        <w:pStyle w:val="BodyText"/>
        <w:spacing w:before="9"/>
        <w:rPr>
          <w:sz w:val="11"/>
        </w:rPr>
      </w:pPr>
      <w:r>
        <w:rPr>
          <w:noProof/>
        </w:rPr>
        <mc:AlternateContent>
          <mc:Choice Requires="wps">
            <w:drawing>
              <wp:anchor distT="0" distB="0" distL="0" distR="0" simplePos="0" relativeHeight="251659264" behindDoc="1" locked="0" layoutInCell="1" allowOverlap="1" wp14:anchorId="06249E1B" wp14:editId="45D221EA">
                <wp:simplePos x="0" y="0"/>
                <wp:positionH relativeFrom="page">
                  <wp:posOffset>914400</wp:posOffset>
                </wp:positionH>
                <wp:positionV relativeFrom="paragraph">
                  <wp:posOffset>120650</wp:posOffset>
                </wp:positionV>
                <wp:extent cx="6492240" cy="1270"/>
                <wp:effectExtent l="9525" t="16510" r="13335" b="1079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1440 1440"/>
                            <a:gd name="T1" fmla="*/ T0 w 10224"/>
                            <a:gd name="T2" fmla="+- 0 11664 1440"/>
                            <a:gd name="T3" fmla="*/ T2 w 10224"/>
                          </a:gdLst>
                          <a:ahLst/>
                          <a:cxnLst>
                            <a:cxn ang="0">
                              <a:pos x="T1" y="0"/>
                            </a:cxn>
                            <a:cxn ang="0">
                              <a:pos x="T3" y="0"/>
                            </a:cxn>
                          </a:cxnLst>
                          <a:rect l="0" t="0" r="r" b="b"/>
                          <a:pathLst>
                            <a:path w="10224">
                              <a:moveTo>
                                <a:pt x="0" y="0"/>
                              </a:moveTo>
                              <a:lnTo>
                                <a:pt x="10224"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6A721" id="Freeform: Shape 1" o:spid="_x0000_s1026" style="position:absolute;margin-left:1in;margin-top:9.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" path="m,l10224,e" filled="f" strokeweight="1.5pt">
                <v:path arrowok="t" o:connecttype="custom" o:connectlocs="0,0;6492240,0" o:connectangles="0,0"/>
                <w10:wrap type="topAndBottom" anchorx="page"/>
              </v:shape>
            </w:pict>
          </mc:Fallback>
        </mc:AlternateContent>
      </w:r>
    </w:p>
    <w:p w14:paraId="2B083EF7" w14:textId="2041BA16" w:rsidR="00261E12" w:rsidRDefault="008705D9">
      <w:pPr>
        <w:pStyle w:val="BodyText"/>
        <w:spacing w:before="22"/>
        <w:ind w:left="779" w:right="1253"/>
      </w:pPr>
      <w:r>
        <w:t xml:space="preserve">Filed pursuant to the </w:t>
      </w:r>
      <w:r w:rsidR="00255050" w:rsidRPr="00255050">
        <w:t>Finding</w:t>
      </w:r>
      <w:r w:rsidRPr="00255050">
        <w:t xml:space="preserve"> and Order dated </w:t>
      </w:r>
      <w:r w:rsidR="00C04CCE" w:rsidRPr="00255050">
        <w:t xml:space="preserve">August 25, 2021 </w:t>
      </w:r>
      <w:r w:rsidRPr="00255050">
        <w:t>in Case No. 2</w:t>
      </w:r>
      <w:r w:rsidR="00C04CCE" w:rsidRPr="00255050">
        <w:t>1</w:t>
      </w:r>
      <w:r w:rsidRPr="00255050">
        <w:t>-</w:t>
      </w:r>
      <w:r w:rsidR="00C04CCE" w:rsidRPr="00255050">
        <w:t>0491</w:t>
      </w:r>
      <w:r w:rsidRPr="00255050">
        <w:t>-GA-RDR of The Public</w:t>
      </w:r>
      <w:r>
        <w:t xml:space="preserve"> Utilities Commission of Ohio.</w:t>
      </w:r>
    </w:p>
    <w:p w14:paraId="76646537" w14:textId="77777777" w:rsidR="00261E12" w:rsidRDefault="00261E12">
      <w:pPr>
        <w:pStyle w:val="BodyText"/>
        <w:spacing w:before="10"/>
        <w:rPr>
          <w:sz w:val="18"/>
        </w:rPr>
      </w:pPr>
    </w:p>
    <w:p w14:paraId="048BE6DF" w14:textId="72F7A5CB" w:rsidR="00261E12" w:rsidRDefault="008705D9">
      <w:pPr>
        <w:tabs>
          <w:tab w:val="left" w:pos="3515"/>
          <w:tab w:val="left" w:pos="7547"/>
        </w:tabs>
        <w:ind w:left="780"/>
      </w:pPr>
      <w:r>
        <w:rPr>
          <w:position w:val="1"/>
          <w:sz w:val="19"/>
        </w:rPr>
        <w:t xml:space="preserve">Issued </w:t>
      </w:r>
      <w:r w:rsidR="00C04CCE">
        <w:rPr>
          <w:position w:val="1"/>
          <w:sz w:val="19"/>
        </w:rPr>
        <w:t>August 25, 2021</w:t>
      </w:r>
      <w:r>
        <w:rPr>
          <w:position w:val="1"/>
          <w:sz w:val="19"/>
        </w:rPr>
        <w:tab/>
      </w:r>
      <w:r>
        <w:rPr>
          <w:sz w:val="19"/>
        </w:rPr>
        <w:t xml:space="preserve">Issued by </w:t>
      </w:r>
      <w:r>
        <w:rPr>
          <w:sz w:val="20"/>
        </w:rPr>
        <w:t>Katie J Tieken,</w:t>
      </w:r>
      <w:r>
        <w:rPr>
          <w:spacing w:val="-2"/>
          <w:sz w:val="20"/>
        </w:rPr>
        <w:t xml:space="preserve"> </w:t>
      </w:r>
      <w:r>
        <w:rPr>
          <w:sz w:val="20"/>
        </w:rPr>
        <w:t>Director</w:t>
      </w:r>
      <w:r>
        <w:rPr>
          <w:sz w:val="20"/>
        </w:rPr>
        <w:tab/>
      </w:r>
      <w:r>
        <w:rPr>
          <w:spacing w:val="-3"/>
          <w:position w:val="1"/>
          <w:sz w:val="19"/>
        </w:rPr>
        <w:t>Effective September 1, 2021</w:t>
      </w:r>
    </w:p>
    <w:sectPr w:rsidR="00261E12">
      <w:type w:val="continuous"/>
      <w:pgSz w:w="12240" w:h="15840"/>
      <w:pgMar w:top="60" w:right="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644F3"/>
    <w:multiLevelType w:val="multilevel"/>
    <w:tmpl w:val="6BF8946C"/>
    <w:lvl w:ilvl="0">
      <w:start w:val="16"/>
      <w:numFmt w:val="upperLetter"/>
      <w:lvlText w:val="%1"/>
      <w:lvlJc w:val="left"/>
      <w:pPr>
        <w:ind w:left="1609" w:hanging="830"/>
        <w:jc w:val="left"/>
      </w:pPr>
      <w:rPr>
        <w:rFonts w:hint="default"/>
      </w:rPr>
    </w:lvl>
    <w:lvl w:ilvl="1">
      <w:start w:val="21"/>
      <w:numFmt w:val="upperLetter"/>
      <w:lvlText w:val="%1.%2"/>
      <w:lvlJc w:val="left"/>
      <w:pPr>
        <w:ind w:left="1609" w:hanging="830"/>
        <w:jc w:val="left"/>
      </w:pPr>
      <w:rPr>
        <w:rFonts w:hint="default"/>
      </w:rPr>
    </w:lvl>
    <w:lvl w:ilvl="2">
      <w:start w:val="3"/>
      <w:numFmt w:val="upperLetter"/>
      <w:lvlText w:val="%1.%2.%3"/>
      <w:lvlJc w:val="left"/>
      <w:pPr>
        <w:ind w:left="1609" w:hanging="830"/>
        <w:jc w:val="left"/>
      </w:pPr>
      <w:rPr>
        <w:rFonts w:hint="default"/>
      </w:rPr>
    </w:lvl>
    <w:lvl w:ilvl="3">
      <w:numFmt w:val="bullet"/>
      <w:lvlText w:val=""/>
      <w:lvlJc w:val="left"/>
      <w:pPr>
        <w:ind w:left="2076" w:hanging="289"/>
      </w:pPr>
      <w:rPr>
        <w:rFonts w:ascii="Symbol" w:eastAsia="Symbol" w:hAnsi="Symbol" w:cs="Symbol" w:hint="default"/>
        <w:w w:val="100"/>
        <w:sz w:val="20"/>
        <w:szCs w:val="20"/>
      </w:rPr>
    </w:lvl>
    <w:lvl w:ilvl="4">
      <w:numFmt w:val="bullet"/>
      <w:lvlText w:val="•"/>
      <w:lvlJc w:val="left"/>
      <w:pPr>
        <w:ind w:left="3066" w:hanging="289"/>
      </w:pPr>
      <w:rPr>
        <w:rFonts w:hint="default"/>
      </w:rPr>
    </w:lvl>
    <w:lvl w:ilvl="5">
      <w:numFmt w:val="bullet"/>
      <w:lvlText w:val="•"/>
      <w:lvlJc w:val="left"/>
      <w:pPr>
        <w:ind w:left="3395" w:hanging="289"/>
      </w:pPr>
      <w:rPr>
        <w:rFonts w:hint="default"/>
      </w:rPr>
    </w:lvl>
    <w:lvl w:ilvl="6">
      <w:numFmt w:val="bullet"/>
      <w:lvlText w:val="•"/>
      <w:lvlJc w:val="left"/>
      <w:pPr>
        <w:ind w:left="3724" w:hanging="289"/>
      </w:pPr>
      <w:rPr>
        <w:rFonts w:hint="default"/>
      </w:rPr>
    </w:lvl>
    <w:lvl w:ilvl="7">
      <w:numFmt w:val="bullet"/>
      <w:lvlText w:val="•"/>
      <w:lvlJc w:val="left"/>
      <w:pPr>
        <w:ind w:left="4052" w:hanging="289"/>
      </w:pPr>
      <w:rPr>
        <w:rFonts w:hint="default"/>
      </w:rPr>
    </w:lvl>
    <w:lvl w:ilvl="8">
      <w:numFmt w:val="bullet"/>
      <w:lvlText w:val="•"/>
      <w:lvlJc w:val="left"/>
      <w:pPr>
        <w:ind w:left="4381" w:hanging="2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12"/>
    <w:rsid w:val="00255050"/>
    <w:rsid w:val="00261E12"/>
    <w:rsid w:val="008705D9"/>
    <w:rsid w:val="00C04CCE"/>
    <w:rsid w:val="00F2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1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pPr>
      <w:spacing w:before="1"/>
      <w:ind w:left="78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b/>
      <w:bCs/>
      <w:sz w:val="20"/>
      <w:szCs w:val="20"/>
      <w:u w:val="single" w:color="000000"/>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ListParagraph">
    <w:name w:val="List Paragraph"/>
    <w:basedOn w:val="Normal"/>
    <w:uiPriority w:val="1"/>
    <w:qFormat/>
    <w:pPr>
      <w:spacing w:line="244" w:lineRule="exact"/>
      <w:ind w:left="2076" w:hanging="290"/>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2021-08-25T16:53:00Z</dcterms:created>
  <dcterms:modified xsi:type="dcterms:W3CDTF">2021-08-25T21:04:00Z</dcterms:modified>
</cp:coreProperties>
</file>