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u w:val="thick"/>
        </w:rPr>
        <w:t>STANDARD CHOICE OFFER RIDER</w:t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thick"/>
        </w:rPr>
        <w:t>APPLICABILITY</w:t>
      </w:r>
    </w:p>
    <w:p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Standard Choice Offer (“SCO”) Rider is applicable to Rate 310, 311, 320 and 321 Customers.</w:t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thick"/>
        </w:rPr>
        <w:t>DESCRIPTION</w:t>
      </w:r>
    </w:p>
    <w:p>
      <w:pPr>
        <w:rPr>
          <w:rFonts w:ascii="Arial" w:hAnsi="Arial" w:cs="Arial"/>
          <w:sz w:val="20"/>
          <w:szCs w:val="20"/>
        </w:rPr>
      </w:pPr>
    </w:p>
    <w:p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Standard Choice Offer charge shall be the product of the Billing Ccf and the SCO Rider Rate.</w:t>
      </w:r>
    </w:p>
    <w:p>
      <w:pPr>
        <w:ind w:left="720" w:right="576"/>
        <w:jc w:val="both"/>
        <w:rPr>
          <w:rFonts w:ascii="Arial" w:hAnsi="Arial" w:cs="Arial"/>
          <w:sz w:val="20"/>
          <w:szCs w:val="20"/>
        </w:rPr>
      </w:pPr>
    </w:p>
    <w:p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SCO Rider Rate each month will be the NYMEX settlement price for such month converted to a price per Mcf using a standard Btu value of 1.070, plus the Retail Price Adjustment determined in the SCO auction. The resulting rate per Mcf will be converted to a rate per Ccf for billing purposes.</w:t>
      </w:r>
    </w:p>
    <w:p>
      <w:pPr>
        <w:ind w:left="720" w:right="576"/>
        <w:jc w:val="both"/>
        <w:rPr>
          <w:rFonts w:ascii="Arial" w:hAnsi="Arial" w:cs="Arial"/>
          <w:sz w:val="20"/>
          <w:szCs w:val="20"/>
        </w:rPr>
      </w:pPr>
    </w:p>
    <w:p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Retail Price Adjustment effective April 1, 2020 through March 31, 2021 is $0.75 per Mcf.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thick"/>
        </w:rPr>
        <w:t>SCO RIDER RATE</w:t>
      </w:r>
    </w:p>
    <w:p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SCO Rider Rate for November 2020 is $0.39557 per Billing Ccf.</w:t>
      </w:r>
    </w:p>
    <w:p>
      <w:pPr>
        <w:ind w:left="72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>
      <w:headerReference w:type="default" r:id="rId6"/>
      <w:footerReference w:type="default" r:id="rId7"/>
      <w:pgSz w:w="12240" w:h="15840"/>
      <w:pgMar w:top="1440" w:right="57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rPr>
        <w:sz w:val="20"/>
        <w:szCs w:val="20"/>
      </w:rPr>
    </w:pPr>
  </w:p>
  <w:p>
    <w:pPr>
      <w:pStyle w:val="Footer"/>
      <w:rPr>
        <w:sz w:val="20"/>
        <w:szCs w:val="20"/>
      </w:rPr>
    </w:pPr>
    <w:r>
      <w:rPr>
        <w:sz w:val="20"/>
        <w:szCs w:val="20"/>
      </w:rPr>
      <w:pict>
        <v:rect id="_x0000_i1025" style="width:468pt;height:1.5pt" o:hralign="center" o:hrstd="t" o:hrnoshade="t" o:hr="t" fillcolor="black" stroked="f"/>
      </w:pict>
    </w:r>
  </w:p>
  <w:p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Filed pursuant to the Opinion and Order dated August 28, 2019 in Case No. 18-0298-GA-AIR and the Entry dated January 13, 2010 in Case No. 07-1285-GA-EXM of The Public Utilities Commission of Ohio.</w:t>
    </w:r>
  </w:p>
  <w:p>
    <w:pPr>
      <w:widowControl w:val="0"/>
      <w:autoSpaceDE w:val="0"/>
      <w:autoSpaceDN w:val="0"/>
      <w:rPr>
        <w:rFonts w:ascii="Arial" w:eastAsia="Arial" w:hAnsi="Arial" w:cs="Arial"/>
        <w:sz w:val="19"/>
        <w:szCs w:val="20"/>
      </w:rPr>
    </w:pPr>
  </w:p>
  <w:tbl>
    <w:tblPr>
      <w:tblStyle w:val="TableGrid"/>
      <w:tblW w:w="9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80"/>
      <w:gridCol w:w="4032"/>
      <w:gridCol w:w="2628"/>
    </w:tblGrid>
    <w:tr>
      <w:tc>
        <w:tcPr>
          <w:tcW w:w="2880" w:type="dxa"/>
        </w:tcPr>
        <w:p>
          <w:pPr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Issued </w:t>
          </w:r>
          <w:r>
            <w:rPr>
              <w:rFonts w:ascii="Arial" w:hAnsi="Arial" w:cs="Arial"/>
              <w:sz w:val="20"/>
              <w:szCs w:val="20"/>
            </w:rPr>
            <w:t>October 28, 2020</w:t>
          </w:r>
        </w:p>
      </w:tc>
      <w:tc>
        <w:tcPr>
          <w:tcW w:w="4032" w:type="dxa"/>
        </w:tcPr>
        <w:p>
          <w:pPr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sz w:val="19"/>
              <w:szCs w:val="19"/>
            </w:rPr>
            <w:t xml:space="preserve">Issued by </w:t>
          </w:r>
          <w:r>
            <w:rPr>
              <w:rFonts w:ascii="Arial" w:hAnsi="Arial" w:cs="Arial"/>
              <w:sz w:val="20"/>
              <w:szCs w:val="20"/>
            </w:rPr>
            <w:t>J. Cas Swiz, Director</w:t>
          </w:r>
        </w:p>
      </w:tc>
      <w:tc>
        <w:tcPr>
          <w:tcW w:w="2628" w:type="dxa"/>
        </w:tcPr>
        <w:p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 xml:space="preserve">Effective </w:t>
          </w:r>
          <w:r>
            <w:rPr>
              <w:rFonts w:ascii="Arial" w:hAnsi="Arial" w:cs="Arial"/>
              <w:sz w:val="20"/>
              <w:szCs w:val="20"/>
            </w:rPr>
            <w:t>November 1, 2020</w:t>
          </w:r>
        </w:p>
      </w:tc>
    </w:tr>
  </w:tbl>
  <w:p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60"/>
      <w:gridCol w:w="4680"/>
    </w:tblGrid>
    <w:tr>
      <w:trPr>
        <w:trHeight w:val="90"/>
      </w:trPr>
      <w:tc>
        <w:tcPr>
          <w:tcW w:w="5760" w:type="dxa"/>
        </w:tcPr>
        <w:p>
          <w:pPr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 xml:space="preserve">VECTREN ENERGY DELIVERY </w:t>
          </w:r>
          <w:r>
            <w:rPr>
              <w:rFonts w:ascii="Arial" w:eastAsia="Arial" w:hAnsi="Arial" w:cs="Arial"/>
              <w:sz w:val="20"/>
              <w:szCs w:val="20"/>
            </w:rPr>
            <w:t>OF</w:t>
          </w:r>
          <w:r>
            <w:rPr>
              <w:rFonts w:ascii="Arial" w:eastAsia="Arial" w:hAnsi="Arial" w:cs="Arial"/>
              <w:spacing w:val="-6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</w:rPr>
            <w:t>OHIO,</w:t>
          </w:r>
          <w:r>
            <w:rPr>
              <w:rFonts w:ascii="Arial" w:eastAsia="Arial" w:hAnsi="Arial" w:cs="Arial"/>
              <w:spacing w:val="-4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spacing w:val="-3"/>
              <w:sz w:val="20"/>
              <w:szCs w:val="20"/>
            </w:rPr>
            <w:t>INC.</w:t>
          </w:r>
        </w:p>
        <w:p>
          <w:pPr>
            <w:tabs>
              <w:tab w:val="left" w:pos="6480"/>
            </w:tabs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Tariff for</w:t>
          </w:r>
          <w:r>
            <w:rPr>
              <w:rFonts w:ascii="Arial" w:eastAsia="Arial" w:hAnsi="Arial" w:cs="Arial"/>
              <w:spacing w:val="-19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</w:rPr>
            <w:t>Gas</w:t>
          </w:r>
          <w:r>
            <w:rPr>
              <w:rFonts w:ascii="Arial" w:eastAsia="Arial" w:hAnsi="Arial" w:cs="Arial"/>
              <w:spacing w:val="-10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</w:rPr>
            <w:t>Service</w:t>
          </w:r>
        </w:p>
        <w:p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>P.U.C.O. No. 4</w:t>
          </w:r>
        </w:p>
      </w:tc>
      <w:tc>
        <w:tcPr>
          <w:tcW w:w="4680" w:type="dxa"/>
        </w:tcPr>
        <w:p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>Sheet No. 44</w:t>
          </w:r>
        </w:p>
        <w:p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Fourteenth Revised Page 1 of 1</w:t>
          </w:r>
        </w:p>
        <w:p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Cancels </w:t>
          </w:r>
          <w:r>
            <w:rPr>
              <w:rFonts w:ascii="Arial" w:hAnsi="Arial" w:cs="Arial"/>
              <w:sz w:val="20"/>
              <w:szCs w:val="20"/>
            </w:rPr>
            <w:t>Thirteenth</w:t>
          </w:r>
          <w:r>
            <w:rPr>
              <w:rFonts w:ascii="Arial" w:hAnsi="Arial" w:cs="Arial"/>
              <w:sz w:val="20"/>
              <w:szCs w:val="20"/>
            </w:rPr>
            <w:t xml:space="preserve"> Revised Page 1 of 1</w:t>
          </w:r>
        </w:p>
        <w:p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</w:p>
      </w:tc>
    </w:tr>
  </w:tbl>
  <w:p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024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."/>
  <w:listSeparator w:val=","/>
  <w15:docId w15:val="{939E4E05-111B-4365-92EE-88E25405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Vectren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Killion, Scott A.</dc:creator>
  <cp:lastModifiedBy>Ramming, Waylon</cp:lastModifiedBy>
  <cp:revision>2</cp:revision>
  <cp:lastPrinted>2020-08-27T19:25:00Z</cp:lastPrinted>
  <dcterms:created xsi:type="dcterms:W3CDTF">2020-10-28T19:14:00Z</dcterms:created>
  <dcterms:modified xsi:type="dcterms:W3CDTF">2020-10-28T19:14:00Z</dcterms:modified>
</cp:coreProperties>
</file>