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4A1" w:rsidRDefault="00F014A1">
      <w:pPr>
        <w:rPr>
          <w:b/>
          <w:sz w:val="24"/>
          <w:u w:val="single"/>
        </w:rPr>
      </w:pPr>
    </w:p>
    <w:p w:rsidR="00B54B55" w:rsidRPr="00B54B55" w:rsidRDefault="00B54B55" w:rsidP="00B54B55">
      <w:pPr>
        <w:widowControl w:val="0"/>
        <w:jc w:val="center"/>
        <w:rPr>
          <w:rFonts w:eastAsia="Times New Roman"/>
          <w:b/>
          <w:sz w:val="24"/>
        </w:rPr>
      </w:pPr>
      <w:r w:rsidRPr="00B54B55">
        <w:rPr>
          <w:rFonts w:eastAsia="Times New Roman"/>
          <w:b/>
          <w:sz w:val="24"/>
        </w:rPr>
        <w:t>BEFORE</w:t>
      </w:r>
    </w:p>
    <w:p w:rsidR="00B54B55" w:rsidRPr="00B54B55" w:rsidRDefault="00B54B55" w:rsidP="00B54B55">
      <w:pPr>
        <w:widowControl w:val="0"/>
        <w:spacing w:after="200" w:line="276" w:lineRule="auto"/>
        <w:jc w:val="center"/>
        <w:rPr>
          <w:rFonts w:eastAsia="Calibri"/>
          <w:b/>
          <w:sz w:val="24"/>
        </w:rPr>
      </w:pPr>
      <w:r w:rsidRPr="00B54B55">
        <w:rPr>
          <w:rFonts w:eastAsia="Calibri"/>
          <w:b/>
          <w:sz w:val="24"/>
        </w:rPr>
        <w:t>THE PUBLIC UTILITIES COMMISSION OF OHIO</w:t>
      </w:r>
    </w:p>
    <w:tbl>
      <w:tblPr>
        <w:tblW w:w="0" w:type="auto"/>
        <w:jc w:val="center"/>
        <w:tblLook w:val="01E0" w:firstRow="1" w:lastRow="1" w:firstColumn="1" w:lastColumn="1" w:noHBand="0" w:noVBand="0"/>
      </w:tblPr>
      <w:tblGrid>
        <w:gridCol w:w="4739"/>
        <w:gridCol w:w="630"/>
        <w:gridCol w:w="3928"/>
      </w:tblGrid>
      <w:tr w:rsidR="00B54B55" w:rsidRPr="00B54B55" w:rsidTr="00F406B6">
        <w:trPr>
          <w:trHeight w:val="873"/>
          <w:jc w:val="center"/>
        </w:trPr>
        <w:tc>
          <w:tcPr>
            <w:tcW w:w="4739" w:type="dxa"/>
          </w:tcPr>
          <w:p w:rsidR="00B54B55" w:rsidRPr="00B54B55" w:rsidRDefault="00B54B55" w:rsidP="00FF2284">
            <w:pPr>
              <w:autoSpaceDE w:val="0"/>
              <w:autoSpaceDN w:val="0"/>
              <w:adjustRightInd w:val="0"/>
              <w:rPr>
                <w:rFonts w:eastAsia="Calibri"/>
                <w:sz w:val="24"/>
              </w:rPr>
            </w:pPr>
            <w:r w:rsidRPr="00B54B55">
              <w:rPr>
                <w:rFonts w:eastAsia="Calibri"/>
                <w:sz w:val="24"/>
              </w:rPr>
              <w:t>In the Matter of the Application of Ohio</w:t>
            </w:r>
          </w:p>
          <w:p w:rsidR="00B54B55" w:rsidRPr="00B54B55" w:rsidRDefault="00B54B55" w:rsidP="00FF2284">
            <w:pPr>
              <w:autoSpaceDE w:val="0"/>
              <w:autoSpaceDN w:val="0"/>
              <w:adjustRightInd w:val="0"/>
              <w:rPr>
                <w:rFonts w:eastAsia="Calibri"/>
                <w:sz w:val="24"/>
              </w:rPr>
            </w:pPr>
            <w:r w:rsidRPr="00B54B55">
              <w:rPr>
                <w:rFonts w:eastAsia="Calibri"/>
                <w:sz w:val="24"/>
              </w:rPr>
              <w:t>Edison Company, The Cleveland Electric</w:t>
            </w:r>
          </w:p>
          <w:p w:rsidR="00B54B55" w:rsidRPr="00B54B55" w:rsidRDefault="00B54B55" w:rsidP="00FF2284">
            <w:pPr>
              <w:autoSpaceDE w:val="0"/>
              <w:autoSpaceDN w:val="0"/>
              <w:adjustRightInd w:val="0"/>
              <w:rPr>
                <w:rFonts w:eastAsia="Calibri"/>
                <w:sz w:val="24"/>
              </w:rPr>
            </w:pPr>
            <w:r w:rsidRPr="00B54B55">
              <w:rPr>
                <w:rFonts w:eastAsia="Calibri"/>
                <w:sz w:val="24"/>
              </w:rPr>
              <w:t>Illuminating Company and The Toledo</w:t>
            </w:r>
          </w:p>
          <w:p w:rsidR="00B54B55" w:rsidRPr="00B54B55" w:rsidRDefault="00B54B55" w:rsidP="00FF2284">
            <w:pPr>
              <w:autoSpaceDE w:val="0"/>
              <w:autoSpaceDN w:val="0"/>
              <w:adjustRightInd w:val="0"/>
              <w:rPr>
                <w:rFonts w:eastAsia="Calibri"/>
                <w:sz w:val="24"/>
              </w:rPr>
            </w:pPr>
            <w:r w:rsidRPr="00B54B55">
              <w:rPr>
                <w:rFonts w:eastAsia="Calibri"/>
                <w:sz w:val="24"/>
              </w:rPr>
              <w:t>Edison Company for Authority to Provide</w:t>
            </w:r>
          </w:p>
          <w:p w:rsidR="00B54B55" w:rsidRPr="00B54B55" w:rsidRDefault="00B54B55" w:rsidP="00FF2284">
            <w:pPr>
              <w:autoSpaceDE w:val="0"/>
              <w:autoSpaceDN w:val="0"/>
              <w:adjustRightInd w:val="0"/>
              <w:rPr>
                <w:rFonts w:eastAsia="Calibri"/>
                <w:sz w:val="24"/>
              </w:rPr>
            </w:pPr>
            <w:r w:rsidRPr="00B54B55">
              <w:rPr>
                <w:rFonts w:eastAsia="Calibri"/>
                <w:sz w:val="24"/>
              </w:rPr>
              <w:t>for a Standard Service Offer Pursuant to R.C. 4928.143 in the Form of an Electric Security Plan</w:t>
            </w:r>
          </w:p>
        </w:tc>
        <w:tc>
          <w:tcPr>
            <w:tcW w:w="630" w:type="dxa"/>
          </w:tcPr>
          <w:p w:rsidR="00B54B55" w:rsidRPr="00B54B55" w:rsidRDefault="00B54B55" w:rsidP="00B54B55">
            <w:pPr>
              <w:widowControl w:val="0"/>
              <w:jc w:val="center"/>
              <w:rPr>
                <w:rFonts w:eastAsia="Calibri"/>
                <w:sz w:val="24"/>
              </w:rPr>
            </w:pPr>
            <w:r w:rsidRPr="00B54B55">
              <w:rPr>
                <w:rFonts w:eastAsia="Calibri"/>
                <w:sz w:val="24"/>
              </w:rPr>
              <w:t>)</w:t>
            </w:r>
          </w:p>
          <w:p w:rsidR="00B54B55" w:rsidRPr="00B54B55" w:rsidRDefault="00B54B55" w:rsidP="00B54B55">
            <w:pPr>
              <w:widowControl w:val="0"/>
              <w:jc w:val="center"/>
              <w:rPr>
                <w:rFonts w:eastAsia="Calibri"/>
                <w:sz w:val="24"/>
              </w:rPr>
            </w:pPr>
            <w:r w:rsidRPr="00B54B55">
              <w:rPr>
                <w:rFonts w:eastAsia="Calibri"/>
                <w:sz w:val="24"/>
              </w:rPr>
              <w:t>)</w:t>
            </w:r>
          </w:p>
          <w:p w:rsidR="00B54B55" w:rsidRPr="00B54B55" w:rsidRDefault="00B54B55" w:rsidP="00B54B55">
            <w:pPr>
              <w:widowControl w:val="0"/>
              <w:jc w:val="center"/>
              <w:rPr>
                <w:rFonts w:eastAsia="Calibri"/>
                <w:sz w:val="24"/>
              </w:rPr>
            </w:pPr>
            <w:r w:rsidRPr="00B54B55">
              <w:rPr>
                <w:rFonts w:eastAsia="Calibri"/>
                <w:sz w:val="24"/>
              </w:rPr>
              <w:t>)</w:t>
            </w:r>
          </w:p>
          <w:p w:rsidR="00B54B55" w:rsidRPr="00B54B55" w:rsidRDefault="00B54B55" w:rsidP="00B54B55">
            <w:pPr>
              <w:widowControl w:val="0"/>
              <w:jc w:val="center"/>
              <w:rPr>
                <w:rFonts w:eastAsia="Calibri"/>
                <w:sz w:val="24"/>
              </w:rPr>
            </w:pPr>
            <w:r w:rsidRPr="00B54B55">
              <w:rPr>
                <w:rFonts w:eastAsia="Calibri"/>
                <w:sz w:val="24"/>
              </w:rPr>
              <w:t>)</w:t>
            </w:r>
          </w:p>
          <w:p w:rsidR="00B54B55" w:rsidRPr="00B54B55" w:rsidRDefault="00B54B55" w:rsidP="00B54B55">
            <w:pPr>
              <w:widowControl w:val="0"/>
              <w:jc w:val="center"/>
              <w:rPr>
                <w:rFonts w:eastAsia="Calibri"/>
                <w:sz w:val="24"/>
              </w:rPr>
            </w:pPr>
            <w:r w:rsidRPr="00B54B55">
              <w:rPr>
                <w:rFonts w:eastAsia="Calibri"/>
                <w:sz w:val="24"/>
              </w:rPr>
              <w:t>)</w:t>
            </w:r>
          </w:p>
          <w:p w:rsidR="00B54B55" w:rsidRPr="00B54B55" w:rsidRDefault="00B54B55" w:rsidP="00B54B55">
            <w:pPr>
              <w:widowControl w:val="0"/>
              <w:jc w:val="center"/>
              <w:rPr>
                <w:rFonts w:eastAsia="Calibri"/>
                <w:sz w:val="24"/>
              </w:rPr>
            </w:pPr>
            <w:r w:rsidRPr="00B54B55">
              <w:rPr>
                <w:rFonts w:eastAsia="Calibri"/>
                <w:sz w:val="24"/>
              </w:rPr>
              <w:t>)</w:t>
            </w:r>
          </w:p>
          <w:p w:rsidR="00B54B55" w:rsidRPr="00B54B55" w:rsidRDefault="00B54B55" w:rsidP="00B54B55">
            <w:pPr>
              <w:widowControl w:val="0"/>
              <w:jc w:val="center"/>
              <w:rPr>
                <w:rFonts w:eastAsia="Calibri"/>
                <w:sz w:val="24"/>
              </w:rPr>
            </w:pPr>
            <w:r w:rsidRPr="00B54B55">
              <w:rPr>
                <w:rFonts w:eastAsia="Calibri"/>
                <w:sz w:val="24"/>
              </w:rPr>
              <w:t>)</w:t>
            </w:r>
          </w:p>
          <w:p w:rsidR="00B54B55" w:rsidRPr="00B54B55" w:rsidRDefault="00B54B55" w:rsidP="00B54B55">
            <w:pPr>
              <w:widowControl w:val="0"/>
              <w:jc w:val="left"/>
              <w:rPr>
                <w:rFonts w:eastAsia="Calibri"/>
                <w:sz w:val="24"/>
              </w:rPr>
            </w:pPr>
          </w:p>
        </w:tc>
        <w:tc>
          <w:tcPr>
            <w:tcW w:w="3928" w:type="dxa"/>
          </w:tcPr>
          <w:p w:rsidR="00B54B55" w:rsidRPr="00B54B55" w:rsidRDefault="00B54B55" w:rsidP="00B54B55">
            <w:pPr>
              <w:widowControl w:val="0"/>
              <w:jc w:val="left"/>
              <w:rPr>
                <w:rFonts w:eastAsia="Calibri"/>
                <w:sz w:val="24"/>
              </w:rPr>
            </w:pPr>
          </w:p>
          <w:p w:rsidR="00B54B55" w:rsidRPr="00B54B55" w:rsidRDefault="00B54B55" w:rsidP="00B54B55">
            <w:pPr>
              <w:widowControl w:val="0"/>
              <w:jc w:val="left"/>
              <w:rPr>
                <w:rFonts w:eastAsia="Calibri"/>
                <w:sz w:val="24"/>
              </w:rPr>
            </w:pPr>
          </w:p>
          <w:p w:rsidR="00B54B55" w:rsidRPr="00B54B55" w:rsidRDefault="00B54B55" w:rsidP="00B54B55">
            <w:pPr>
              <w:widowControl w:val="0"/>
              <w:jc w:val="left"/>
              <w:rPr>
                <w:rFonts w:eastAsia="Calibri"/>
                <w:sz w:val="24"/>
              </w:rPr>
            </w:pPr>
            <w:r w:rsidRPr="00B54B55">
              <w:rPr>
                <w:rFonts w:eastAsia="Calibri"/>
                <w:sz w:val="24"/>
              </w:rPr>
              <w:t>Case No. 14-1297-EL-SSO</w:t>
            </w:r>
          </w:p>
          <w:p w:rsidR="00B54B55" w:rsidRPr="00B54B55" w:rsidRDefault="00B54B55" w:rsidP="00B54B55">
            <w:pPr>
              <w:widowControl w:val="0"/>
              <w:jc w:val="left"/>
              <w:rPr>
                <w:rFonts w:eastAsia="Calibri"/>
                <w:sz w:val="24"/>
              </w:rPr>
            </w:pPr>
          </w:p>
          <w:p w:rsidR="00B54B55" w:rsidRPr="00B54B55" w:rsidRDefault="00B54B55" w:rsidP="00B54B55">
            <w:pPr>
              <w:widowControl w:val="0"/>
              <w:jc w:val="left"/>
              <w:rPr>
                <w:rFonts w:eastAsia="Calibri"/>
                <w:sz w:val="24"/>
              </w:rPr>
            </w:pPr>
          </w:p>
          <w:p w:rsidR="00B54B55" w:rsidRPr="00B54B55" w:rsidRDefault="00B54B55" w:rsidP="00B54B55">
            <w:pPr>
              <w:widowControl w:val="0"/>
              <w:jc w:val="left"/>
              <w:rPr>
                <w:rFonts w:eastAsia="Calibri"/>
                <w:sz w:val="24"/>
              </w:rPr>
            </w:pPr>
          </w:p>
          <w:p w:rsidR="00B54B55" w:rsidRPr="00B54B55" w:rsidRDefault="00B54B55" w:rsidP="00B54B55">
            <w:pPr>
              <w:widowControl w:val="0"/>
              <w:jc w:val="left"/>
              <w:rPr>
                <w:rFonts w:eastAsia="Calibri"/>
                <w:sz w:val="24"/>
              </w:rPr>
            </w:pPr>
          </w:p>
          <w:p w:rsidR="00B54B55" w:rsidRPr="00B54B55" w:rsidRDefault="00B54B55" w:rsidP="00B54B55">
            <w:pPr>
              <w:widowControl w:val="0"/>
              <w:jc w:val="left"/>
              <w:rPr>
                <w:rFonts w:eastAsia="Calibri"/>
                <w:sz w:val="24"/>
              </w:rPr>
            </w:pPr>
          </w:p>
        </w:tc>
      </w:tr>
    </w:tbl>
    <w:p w:rsidR="00B54B55" w:rsidRPr="00B54B55" w:rsidRDefault="00B54B55" w:rsidP="00963246">
      <w:pPr>
        <w:spacing w:after="200" w:line="276" w:lineRule="auto"/>
        <w:jc w:val="center"/>
        <w:rPr>
          <w:rFonts w:eastAsia="Calibri"/>
          <w:b/>
          <w:bCs/>
          <w:sz w:val="24"/>
        </w:rPr>
      </w:pPr>
      <w:r w:rsidRPr="00B54B55">
        <w:rPr>
          <w:rFonts w:eastAsia="Calibri"/>
          <w:b/>
          <w:bCs/>
          <w:sz w:val="24"/>
        </w:rPr>
        <w:t>______________________________________</w:t>
      </w:r>
    </w:p>
    <w:p w:rsidR="00B54B55" w:rsidRPr="00B54B55" w:rsidRDefault="00A46DC8" w:rsidP="00B54B55">
      <w:pPr>
        <w:spacing w:after="200" w:line="276" w:lineRule="auto"/>
        <w:jc w:val="center"/>
        <w:rPr>
          <w:rFonts w:eastAsia="Calibri"/>
          <w:b/>
          <w:bCs/>
          <w:sz w:val="24"/>
        </w:rPr>
      </w:pPr>
      <w:r>
        <w:rPr>
          <w:rFonts w:eastAsia="Calibri"/>
          <w:b/>
          <w:bCs/>
          <w:sz w:val="24"/>
        </w:rPr>
        <w:t>APPLICATION FOR REHEARING</w:t>
      </w:r>
      <w:r w:rsidR="00B54B55">
        <w:rPr>
          <w:rFonts w:eastAsia="Calibri"/>
          <w:b/>
          <w:bCs/>
          <w:sz w:val="24"/>
        </w:rPr>
        <w:t xml:space="preserve"> </w:t>
      </w:r>
      <w:r>
        <w:rPr>
          <w:rFonts w:eastAsia="Calibri"/>
          <w:b/>
          <w:bCs/>
          <w:sz w:val="24"/>
        </w:rPr>
        <w:t xml:space="preserve">AND MEMORANDUM IN SUPPORT </w:t>
      </w:r>
      <w:r w:rsidR="00B54B55">
        <w:rPr>
          <w:rFonts w:eastAsia="Calibri"/>
          <w:b/>
          <w:bCs/>
          <w:sz w:val="24"/>
        </w:rPr>
        <w:t>OF INTERSTATE GAS SUPPLY, INC.</w:t>
      </w:r>
    </w:p>
    <w:p w:rsidR="00B54B55" w:rsidRPr="00B54B55" w:rsidRDefault="00B54B55" w:rsidP="00B54B55">
      <w:pPr>
        <w:spacing w:after="200" w:line="276" w:lineRule="auto"/>
        <w:jc w:val="center"/>
        <w:rPr>
          <w:rFonts w:eastAsia="Calibri"/>
          <w:b/>
          <w:bCs/>
          <w:sz w:val="24"/>
        </w:rPr>
      </w:pPr>
      <w:r w:rsidRPr="00B54B55">
        <w:rPr>
          <w:rFonts w:eastAsia="Calibri"/>
          <w:b/>
          <w:bCs/>
          <w:sz w:val="24"/>
        </w:rPr>
        <w:t>______________________________________</w:t>
      </w:r>
    </w:p>
    <w:p w:rsidR="00B54B55" w:rsidRPr="00B54B55" w:rsidRDefault="00B54B55" w:rsidP="00B54B55">
      <w:pPr>
        <w:spacing w:after="200" w:line="276" w:lineRule="auto"/>
        <w:rPr>
          <w:rFonts w:eastAsia="Calibri"/>
          <w:b/>
          <w:bCs/>
          <w:sz w:val="24"/>
        </w:rPr>
      </w:pPr>
    </w:p>
    <w:p w:rsidR="00B54B55" w:rsidRDefault="00B54B55">
      <w:pPr>
        <w:rPr>
          <w:b/>
          <w:sz w:val="24"/>
          <w:u w:val="single"/>
        </w:rPr>
      </w:pPr>
    </w:p>
    <w:p w:rsidR="00B54B55" w:rsidRDefault="00B54B55">
      <w:pPr>
        <w:rPr>
          <w:b/>
          <w:sz w:val="24"/>
          <w:u w:val="single"/>
        </w:rPr>
      </w:pPr>
    </w:p>
    <w:p w:rsidR="00B54B55" w:rsidRDefault="00B54B55">
      <w:pPr>
        <w:rPr>
          <w:b/>
          <w:sz w:val="24"/>
          <w:u w:val="single"/>
        </w:rPr>
      </w:pPr>
    </w:p>
    <w:p w:rsidR="00B54B55" w:rsidRDefault="00B54B55">
      <w:pPr>
        <w:rPr>
          <w:b/>
          <w:sz w:val="24"/>
          <w:u w:val="single"/>
        </w:rPr>
      </w:pPr>
    </w:p>
    <w:p w:rsidR="00B54B55" w:rsidRDefault="00B54B55">
      <w:pPr>
        <w:rPr>
          <w:b/>
          <w:sz w:val="24"/>
          <w:u w:val="single"/>
        </w:rPr>
      </w:pPr>
    </w:p>
    <w:p w:rsidR="00B54B55" w:rsidRDefault="00B54B55">
      <w:pPr>
        <w:rPr>
          <w:b/>
          <w:sz w:val="24"/>
          <w:u w:val="single"/>
        </w:rPr>
      </w:pPr>
    </w:p>
    <w:p w:rsidR="00B54B55" w:rsidRDefault="00B54B55">
      <w:pPr>
        <w:rPr>
          <w:b/>
          <w:sz w:val="24"/>
          <w:u w:val="single"/>
        </w:rPr>
      </w:pPr>
    </w:p>
    <w:p w:rsidR="00FA18B2" w:rsidRDefault="00FA18B2">
      <w:pPr>
        <w:rPr>
          <w:b/>
          <w:sz w:val="24"/>
          <w:u w:val="single"/>
        </w:rPr>
      </w:pPr>
    </w:p>
    <w:p w:rsidR="00FA18B2" w:rsidRDefault="00FA18B2">
      <w:pPr>
        <w:rPr>
          <w:b/>
          <w:sz w:val="24"/>
          <w:u w:val="single"/>
        </w:rPr>
      </w:pPr>
    </w:p>
    <w:p w:rsidR="00FA18B2" w:rsidRDefault="00FA18B2">
      <w:pPr>
        <w:rPr>
          <w:b/>
          <w:sz w:val="24"/>
          <w:u w:val="single"/>
        </w:rPr>
      </w:pPr>
    </w:p>
    <w:p w:rsidR="00FA18B2" w:rsidRDefault="00FA18B2">
      <w:pPr>
        <w:rPr>
          <w:b/>
          <w:sz w:val="24"/>
          <w:u w:val="single"/>
        </w:rPr>
      </w:pPr>
    </w:p>
    <w:p w:rsidR="00FA18B2" w:rsidRDefault="00FA18B2">
      <w:pPr>
        <w:rPr>
          <w:b/>
          <w:sz w:val="24"/>
          <w:u w:val="single"/>
        </w:rPr>
      </w:pPr>
    </w:p>
    <w:p w:rsidR="00B54B55" w:rsidRDefault="00B54B55">
      <w:pPr>
        <w:rPr>
          <w:b/>
          <w:sz w:val="24"/>
          <w:u w:val="single"/>
        </w:rPr>
      </w:pPr>
    </w:p>
    <w:p w:rsidR="00FA18B2" w:rsidRPr="007B3399" w:rsidRDefault="00FA18B2" w:rsidP="00FA18B2">
      <w:pPr>
        <w:ind w:left="5040"/>
        <w:rPr>
          <w:sz w:val="24"/>
        </w:rPr>
      </w:pPr>
      <w:r>
        <w:rPr>
          <w:rFonts w:eastAsia="Arial"/>
          <w:sz w:val="24"/>
        </w:rPr>
        <w:t xml:space="preserve">Joseph Oliker </w:t>
      </w:r>
      <w:r>
        <w:rPr>
          <w:sz w:val="24"/>
        </w:rPr>
        <w:t>(0086088)</w:t>
      </w:r>
    </w:p>
    <w:p w:rsidR="00FA18B2" w:rsidRDefault="00FA18B2" w:rsidP="00FA18B2">
      <w:pPr>
        <w:ind w:left="5040"/>
        <w:rPr>
          <w:rFonts w:eastAsia="Calibri"/>
          <w:sz w:val="24"/>
          <w:u w:val="single"/>
        </w:rPr>
      </w:pPr>
      <w:r>
        <w:rPr>
          <w:rFonts w:eastAsia="Arial"/>
          <w:sz w:val="24"/>
        </w:rPr>
        <w:t xml:space="preserve">Counsel of Record </w:t>
      </w:r>
    </w:p>
    <w:p w:rsidR="00FA18B2" w:rsidRDefault="00FA18B2" w:rsidP="00FA18B2">
      <w:pPr>
        <w:ind w:left="5040"/>
        <w:rPr>
          <w:sz w:val="24"/>
        </w:rPr>
      </w:pPr>
      <w:r>
        <w:rPr>
          <w:sz w:val="24"/>
        </w:rPr>
        <w:t>Email:  joliker@igsenergy.com</w:t>
      </w:r>
    </w:p>
    <w:p w:rsidR="00FA18B2" w:rsidRDefault="00FA18B2" w:rsidP="00FA18B2">
      <w:pPr>
        <w:ind w:left="5040"/>
        <w:rPr>
          <w:sz w:val="24"/>
        </w:rPr>
      </w:pPr>
      <w:r>
        <w:rPr>
          <w:sz w:val="24"/>
        </w:rPr>
        <w:t>IGS Energy</w:t>
      </w:r>
    </w:p>
    <w:p w:rsidR="00FA18B2" w:rsidRDefault="00FA18B2" w:rsidP="00FA18B2">
      <w:pPr>
        <w:ind w:left="5040"/>
        <w:rPr>
          <w:sz w:val="24"/>
        </w:rPr>
      </w:pPr>
      <w:r>
        <w:rPr>
          <w:sz w:val="24"/>
        </w:rPr>
        <w:t>6100 Emerald Parkway</w:t>
      </w:r>
    </w:p>
    <w:p w:rsidR="00FA18B2" w:rsidRDefault="00FA18B2" w:rsidP="00FA18B2">
      <w:pPr>
        <w:ind w:left="5040"/>
        <w:rPr>
          <w:sz w:val="24"/>
        </w:rPr>
      </w:pPr>
      <w:r>
        <w:rPr>
          <w:sz w:val="24"/>
        </w:rPr>
        <w:t>Dublin, Ohio 43016</w:t>
      </w:r>
    </w:p>
    <w:p w:rsidR="00FA18B2" w:rsidRDefault="00FA18B2" w:rsidP="00FA18B2">
      <w:pPr>
        <w:ind w:left="5040"/>
        <w:rPr>
          <w:sz w:val="24"/>
        </w:rPr>
      </w:pPr>
      <w:r>
        <w:rPr>
          <w:sz w:val="24"/>
        </w:rPr>
        <w:t>Telephone:</w:t>
      </w:r>
      <w:r>
        <w:rPr>
          <w:sz w:val="24"/>
        </w:rPr>
        <w:tab/>
        <w:t>(614) 659-5000</w:t>
      </w:r>
    </w:p>
    <w:p w:rsidR="00FA18B2" w:rsidRDefault="00FA18B2" w:rsidP="00FA18B2">
      <w:pPr>
        <w:ind w:left="5040"/>
        <w:rPr>
          <w:sz w:val="24"/>
        </w:rPr>
      </w:pPr>
      <w:r>
        <w:rPr>
          <w:sz w:val="24"/>
        </w:rPr>
        <w:t>Facsimile:</w:t>
      </w:r>
      <w:r>
        <w:rPr>
          <w:sz w:val="24"/>
        </w:rPr>
        <w:tab/>
        <w:t>(614) 659-5073</w:t>
      </w:r>
    </w:p>
    <w:p w:rsidR="00FA18B2" w:rsidRDefault="00FA18B2" w:rsidP="00FA18B2">
      <w:pPr>
        <w:ind w:left="5040"/>
        <w:rPr>
          <w:sz w:val="24"/>
        </w:rPr>
      </w:pPr>
    </w:p>
    <w:p w:rsidR="00B54B55" w:rsidRPr="00FA18B2" w:rsidRDefault="00FA18B2" w:rsidP="00FA18B2">
      <w:pPr>
        <w:spacing w:line="480" w:lineRule="auto"/>
        <w:ind w:left="5040"/>
        <w:rPr>
          <w:b/>
          <w:i/>
          <w:sz w:val="22"/>
          <w:szCs w:val="22"/>
        </w:rPr>
      </w:pPr>
      <w:r w:rsidRPr="00B54B55">
        <w:rPr>
          <w:b/>
          <w:i/>
          <w:sz w:val="22"/>
          <w:szCs w:val="22"/>
        </w:rPr>
        <w:t>Attorney</w:t>
      </w:r>
      <w:r w:rsidR="005B0359">
        <w:rPr>
          <w:b/>
          <w:i/>
          <w:sz w:val="22"/>
          <w:szCs w:val="22"/>
        </w:rPr>
        <w:t xml:space="preserve"> for Interstate Gas Supply, Inc.</w:t>
      </w:r>
    </w:p>
    <w:p w:rsidR="00F40E07" w:rsidRDefault="00F40E07">
      <w:pPr>
        <w:rPr>
          <w:b/>
          <w:sz w:val="24"/>
          <w:u w:val="single"/>
        </w:rPr>
      </w:pPr>
    </w:p>
    <w:p w:rsidR="00963246" w:rsidRDefault="00963246">
      <w:pPr>
        <w:rPr>
          <w:b/>
          <w:sz w:val="24"/>
          <w:u w:val="single"/>
        </w:rPr>
      </w:pPr>
    </w:p>
    <w:p w:rsidR="00602FF8" w:rsidRPr="00B54B55" w:rsidRDefault="00602FF8" w:rsidP="00602FF8">
      <w:pPr>
        <w:widowControl w:val="0"/>
        <w:jc w:val="center"/>
        <w:rPr>
          <w:rFonts w:eastAsia="Times New Roman"/>
          <w:b/>
          <w:sz w:val="24"/>
        </w:rPr>
      </w:pPr>
      <w:r w:rsidRPr="00B54B55">
        <w:rPr>
          <w:rFonts w:eastAsia="Times New Roman"/>
          <w:b/>
          <w:sz w:val="24"/>
        </w:rPr>
        <w:lastRenderedPageBreak/>
        <w:t>BEFORE</w:t>
      </w:r>
    </w:p>
    <w:p w:rsidR="00602FF8" w:rsidRPr="00B54B55" w:rsidRDefault="00602FF8" w:rsidP="00602FF8">
      <w:pPr>
        <w:widowControl w:val="0"/>
        <w:spacing w:after="200" w:line="276" w:lineRule="auto"/>
        <w:jc w:val="center"/>
        <w:rPr>
          <w:rFonts w:eastAsia="Calibri"/>
          <w:b/>
          <w:sz w:val="24"/>
        </w:rPr>
      </w:pPr>
      <w:r w:rsidRPr="00B54B55">
        <w:rPr>
          <w:rFonts w:eastAsia="Calibri"/>
          <w:b/>
          <w:sz w:val="24"/>
        </w:rPr>
        <w:t>THE PUBLIC UTILITIES COMMISSION OF OHIO</w:t>
      </w:r>
    </w:p>
    <w:tbl>
      <w:tblPr>
        <w:tblW w:w="0" w:type="auto"/>
        <w:jc w:val="center"/>
        <w:tblLook w:val="01E0" w:firstRow="1" w:lastRow="1" w:firstColumn="1" w:lastColumn="1" w:noHBand="0" w:noVBand="0"/>
      </w:tblPr>
      <w:tblGrid>
        <w:gridCol w:w="4739"/>
        <w:gridCol w:w="630"/>
        <w:gridCol w:w="3928"/>
      </w:tblGrid>
      <w:tr w:rsidR="00602FF8" w:rsidRPr="00B54B55" w:rsidTr="00F406B6">
        <w:trPr>
          <w:trHeight w:val="873"/>
          <w:jc w:val="center"/>
        </w:trPr>
        <w:tc>
          <w:tcPr>
            <w:tcW w:w="4739" w:type="dxa"/>
          </w:tcPr>
          <w:p w:rsidR="00602FF8" w:rsidRPr="00B54B55" w:rsidRDefault="00602FF8" w:rsidP="00F406B6">
            <w:pPr>
              <w:autoSpaceDE w:val="0"/>
              <w:autoSpaceDN w:val="0"/>
              <w:adjustRightInd w:val="0"/>
              <w:jc w:val="left"/>
              <w:rPr>
                <w:rFonts w:eastAsia="Calibri"/>
                <w:sz w:val="24"/>
              </w:rPr>
            </w:pPr>
            <w:r w:rsidRPr="00B54B55">
              <w:rPr>
                <w:rFonts w:eastAsia="Calibri"/>
                <w:sz w:val="24"/>
              </w:rPr>
              <w:t>In the Matter of the Application of Ohio</w:t>
            </w:r>
          </w:p>
          <w:p w:rsidR="00602FF8" w:rsidRPr="00B54B55" w:rsidRDefault="00602FF8" w:rsidP="00F406B6">
            <w:pPr>
              <w:autoSpaceDE w:val="0"/>
              <w:autoSpaceDN w:val="0"/>
              <w:adjustRightInd w:val="0"/>
              <w:jc w:val="left"/>
              <w:rPr>
                <w:rFonts w:eastAsia="Calibri"/>
                <w:sz w:val="24"/>
              </w:rPr>
            </w:pPr>
            <w:r w:rsidRPr="00B54B55">
              <w:rPr>
                <w:rFonts w:eastAsia="Calibri"/>
                <w:sz w:val="24"/>
              </w:rPr>
              <w:t>Edison Company, The Cleveland Electric</w:t>
            </w:r>
          </w:p>
          <w:p w:rsidR="00602FF8" w:rsidRPr="00B54B55" w:rsidRDefault="00602FF8" w:rsidP="00F406B6">
            <w:pPr>
              <w:autoSpaceDE w:val="0"/>
              <w:autoSpaceDN w:val="0"/>
              <w:adjustRightInd w:val="0"/>
              <w:jc w:val="left"/>
              <w:rPr>
                <w:rFonts w:eastAsia="Calibri"/>
                <w:sz w:val="24"/>
              </w:rPr>
            </w:pPr>
            <w:r w:rsidRPr="00B54B55">
              <w:rPr>
                <w:rFonts w:eastAsia="Calibri"/>
                <w:sz w:val="24"/>
              </w:rPr>
              <w:t>Illuminating Company and The Toledo</w:t>
            </w:r>
          </w:p>
          <w:p w:rsidR="00602FF8" w:rsidRPr="00B54B55" w:rsidRDefault="00602FF8" w:rsidP="00F406B6">
            <w:pPr>
              <w:autoSpaceDE w:val="0"/>
              <w:autoSpaceDN w:val="0"/>
              <w:adjustRightInd w:val="0"/>
              <w:jc w:val="left"/>
              <w:rPr>
                <w:rFonts w:eastAsia="Calibri"/>
                <w:sz w:val="24"/>
              </w:rPr>
            </w:pPr>
            <w:r w:rsidRPr="00B54B55">
              <w:rPr>
                <w:rFonts w:eastAsia="Calibri"/>
                <w:sz w:val="24"/>
              </w:rPr>
              <w:t>Edison Company for Authority to Provide</w:t>
            </w:r>
          </w:p>
          <w:p w:rsidR="00602FF8" w:rsidRPr="00B54B55" w:rsidRDefault="00602FF8" w:rsidP="00F406B6">
            <w:pPr>
              <w:autoSpaceDE w:val="0"/>
              <w:autoSpaceDN w:val="0"/>
              <w:adjustRightInd w:val="0"/>
              <w:jc w:val="left"/>
              <w:rPr>
                <w:rFonts w:eastAsia="Calibri"/>
                <w:sz w:val="24"/>
              </w:rPr>
            </w:pPr>
            <w:r w:rsidRPr="00B54B55">
              <w:rPr>
                <w:rFonts w:eastAsia="Calibri"/>
                <w:sz w:val="24"/>
              </w:rPr>
              <w:t>for a Standard Service Offer Pursuant to R.C. 4928.143 in the Form of an Electric Security Plan</w:t>
            </w:r>
          </w:p>
        </w:tc>
        <w:tc>
          <w:tcPr>
            <w:tcW w:w="630" w:type="dxa"/>
          </w:tcPr>
          <w:p w:rsidR="00602FF8" w:rsidRPr="00B54B55" w:rsidRDefault="00602FF8" w:rsidP="00F406B6">
            <w:pPr>
              <w:widowControl w:val="0"/>
              <w:jc w:val="center"/>
              <w:rPr>
                <w:rFonts w:eastAsia="Calibri"/>
                <w:sz w:val="24"/>
              </w:rPr>
            </w:pPr>
            <w:r w:rsidRPr="00B54B55">
              <w:rPr>
                <w:rFonts w:eastAsia="Calibri"/>
                <w:sz w:val="24"/>
              </w:rPr>
              <w:t>)</w:t>
            </w:r>
          </w:p>
          <w:p w:rsidR="00602FF8" w:rsidRPr="00B54B55" w:rsidRDefault="00602FF8" w:rsidP="00F406B6">
            <w:pPr>
              <w:widowControl w:val="0"/>
              <w:jc w:val="center"/>
              <w:rPr>
                <w:rFonts w:eastAsia="Calibri"/>
                <w:sz w:val="24"/>
              </w:rPr>
            </w:pPr>
            <w:r w:rsidRPr="00B54B55">
              <w:rPr>
                <w:rFonts w:eastAsia="Calibri"/>
                <w:sz w:val="24"/>
              </w:rPr>
              <w:t>)</w:t>
            </w:r>
          </w:p>
          <w:p w:rsidR="00602FF8" w:rsidRPr="00B54B55" w:rsidRDefault="00602FF8" w:rsidP="00F406B6">
            <w:pPr>
              <w:widowControl w:val="0"/>
              <w:jc w:val="center"/>
              <w:rPr>
                <w:rFonts w:eastAsia="Calibri"/>
                <w:sz w:val="24"/>
              </w:rPr>
            </w:pPr>
            <w:r w:rsidRPr="00B54B55">
              <w:rPr>
                <w:rFonts w:eastAsia="Calibri"/>
                <w:sz w:val="24"/>
              </w:rPr>
              <w:t>)</w:t>
            </w:r>
          </w:p>
          <w:p w:rsidR="00602FF8" w:rsidRPr="00B54B55" w:rsidRDefault="00602FF8" w:rsidP="00F406B6">
            <w:pPr>
              <w:widowControl w:val="0"/>
              <w:jc w:val="center"/>
              <w:rPr>
                <w:rFonts w:eastAsia="Calibri"/>
                <w:sz w:val="24"/>
              </w:rPr>
            </w:pPr>
            <w:r w:rsidRPr="00B54B55">
              <w:rPr>
                <w:rFonts w:eastAsia="Calibri"/>
                <w:sz w:val="24"/>
              </w:rPr>
              <w:t>)</w:t>
            </w:r>
          </w:p>
          <w:p w:rsidR="00602FF8" w:rsidRPr="00B54B55" w:rsidRDefault="00602FF8" w:rsidP="00F406B6">
            <w:pPr>
              <w:widowControl w:val="0"/>
              <w:jc w:val="center"/>
              <w:rPr>
                <w:rFonts w:eastAsia="Calibri"/>
                <w:sz w:val="24"/>
              </w:rPr>
            </w:pPr>
            <w:r w:rsidRPr="00B54B55">
              <w:rPr>
                <w:rFonts w:eastAsia="Calibri"/>
                <w:sz w:val="24"/>
              </w:rPr>
              <w:t>)</w:t>
            </w:r>
          </w:p>
          <w:p w:rsidR="00602FF8" w:rsidRPr="00B54B55" w:rsidRDefault="00602FF8" w:rsidP="00F406B6">
            <w:pPr>
              <w:widowControl w:val="0"/>
              <w:jc w:val="center"/>
              <w:rPr>
                <w:rFonts w:eastAsia="Calibri"/>
                <w:sz w:val="24"/>
              </w:rPr>
            </w:pPr>
            <w:r w:rsidRPr="00B54B55">
              <w:rPr>
                <w:rFonts w:eastAsia="Calibri"/>
                <w:sz w:val="24"/>
              </w:rPr>
              <w:t>)</w:t>
            </w:r>
          </w:p>
          <w:p w:rsidR="00602FF8" w:rsidRPr="00B54B55" w:rsidRDefault="00602FF8" w:rsidP="00F406B6">
            <w:pPr>
              <w:widowControl w:val="0"/>
              <w:jc w:val="center"/>
              <w:rPr>
                <w:rFonts w:eastAsia="Calibri"/>
                <w:sz w:val="24"/>
              </w:rPr>
            </w:pPr>
            <w:r w:rsidRPr="00B54B55">
              <w:rPr>
                <w:rFonts w:eastAsia="Calibri"/>
                <w:sz w:val="24"/>
              </w:rPr>
              <w:t>)</w:t>
            </w:r>
          </w:p>
          <w:p w:rsidR="00602FF8" w:rsidRPr="00B54B55" w:rsidRDefault="00602FF8" w:rsidP="00F406B6">
            <w:pPr>
              <w:widowControl w:val="0"/>
              <w:jc w:val="left"/>
              <w:rPr>
                <w:rFonts w:eastAsia="Calibri"/>
                <w:sz w:val="24"/>
              </w:rPr>
            </w:pPr>
          </w:p>
        </w:tc>
        <w:tc>
          <w:tcPr>
            <w:tcW w:w="3928" w:type="dxa"/>
          </w:tcPr>
          <w:p w:rsidR="00602FF8" w:rsidRPr="00B54B55" w:rsidRDefault="00602FF8" w:rsidP="00F406B6">
            <w:pPr>
              <w:widowControl w:val="0"/>
              <w:jc w:val="left"/>
              <w:rPr>
                <w:rFonts w:eastAsia="Calibri"/>
                <w:sz w:val="24"/>
              </w:rPr>
            </w:pPr>
          </w:p>
          <w:p w:rsidR="00602FF8" w:rsidRPr="00B54B55" w:rsidRDefault="00602FF8" w:rsidP="00F406B6">
            <w:pPr>
              <w:widowControl w:val="0"/>
              <w:jc w:val="left"/>
              <w:rPr>
                <w:rFonts w:eastAsia="Calibri"/>
                <w:sz w:val="24"/>
              </w:rPr>
            </w:pPr>
          </w:p>
          <w:p w:rsidR="00602FF8" w:rsidRPr="00B54B55" w:rsidRDefault="00602FF8" w:rsidP="00F406B6">
            <w:pPr>
              <w:widowControl w:val="0"/>
              <w:jc w:val="left"/>
              <w:rPr>
                <w:rFonts w:eastAsia="Calibri"/>
                <w:sz w:val="24"/>
              </w:rPr>
            </w:pPr>
            <w:r w:rsidRPr="00B54B55">
              <w:rPr>
                <w:rFonts w:eastAsia="Calibri"/>
                <w:sz w:val="24"/>
              </w:rPr>
              <w:t>Case No. 14-1297-EL-SSO</w:t>
            </w:r>
          </w:p>
          <w:p w:rsidR="00602FF8" w:rsidRPr="00B54B55" w:rsidRDefault="00602FF8" w:rsidP="00F406B6">
            <w:pPr>
              <w:widowControl w:val="0"/>
              <w:jc w:val="left"/>
              <w:rPr>
                <w:rFonts w:eastAsia="Calibri"/>
                <w:sz w:val="24"/>
              </w:rPr>
            </w:pPr>
          </w:p>
          <w:p w:rsidR="00602FF8" w:rsidRPr="00B54B55" w:rsidRDefault="00602FF8" w:rsidP="00F406B6">
            <w:pPr>
              <w:widowControl w:val="0"/>
              <w:jc w:val="left"/>
              <w:rPr>
                <w:rFonts w:eastAsia="Calibri"/>
                <w:sz w:val="24"/>
              </w:rPr>
            </w:pPr>
          </w:p>
          <w:p w:rsidR="00602FF8" w:rsidRPr="00B54B55" w:rsidRDefault="00602FF8" w:rsidP="00F406B6">
            <w:pPr>
              <w:widowControl w:val="0"/>
              <w:jc w:val="left"/>
              <w:rPr>
                <w:rFonts w:eastAsia="Calibri"/>
                <w:sz w:val="24"/>
              </w:rPr>
            </w:pPr>
          </w:p>
          <w:p w:rsidR="00602FF8" w:rsidRPr="00B54B55" w:rsidRDefault="00602FF8" w:rsidP="00F406B6">
            <w:pPr>
              <w:widowControl w:val="0"/>
              <w:jc w:val="left"/>
              <w:rPr>
                <w:rFonts w:eastAsia="Calibri"/>
                <w:sz w:val="24"/>
              </w:rPr>
            </w:pPr>
          </w:p>
          <w:p w:rsidR="00602FF8" w:rsidRPr="00B54B55" w:rsidRDefault="00602FF8" w:rsidP="00F406B6">
            <w:pPr>
              <w:widowControl w:val="0"/>
              <w:jc w:val="left"/>
              <w:rPr>
                <w:rFonts w:eastAsia="Calibri"/>
                <w:sz w:val="24"/>
              </w:rPr>
            </w:pPr>
          </w:p>
        </w:tc>
      </w:tr>
    </w:tbl>
    <w:p w:rsidR="00602FF8" w:rsidRPr="00B54B55" w:rsidRDefault="00602FF8" w:rsidP="00963246">
      <w:pPr>
        <w:spacing w:after="200" w:line="276" w:lineRule="auto"/>
        <w:jc w:val="center"/>
        <w:rPr>
          <w:rFonts w:eastAsia="Calibri"/>
          <w:b/>
          <w:bCs/>
          <w:sz w:val="24"/>
        </w:rPr>
      </w:pPr>
      <w:r w:rsidRPr="00B54B55">
        <w:rPr>
          <w:rFonts w:eastAsia="Calibri"/>
          <w:b/>
          <w:bCs/>
          <w:sz w:val="24"/>
        </w:rPr>
        <w:t>______________________________________</w:t>
      </w:r>
    </w:p>
    <w:p w:rsidR="00602FF8" w:rsidRPr="00B54B55" w:rsidRDefault="00A46DC8" w:rsidP="00602FF8">
      <w:pPr>
        <w:spacing w:after="200" w:line="276" w:lineRule="auto"/>
        <w:jc w:val="center"/>
        <w:rPr>
          <w:rFonts w:eastAsia="Calibri"/>
          <w:b/>
          <w:bCs/>
          <w:sz w:val="24"/>
        </w:rPr>
      </w:pPr>
      <w:r>
        <w:rPr>
          <w:rFonts w:eastAsia="Calibri"/>
          <w:b/>
          <w:bCs/>
          <w:sz w:val="24"/>
        </w:rPr>
        <w:t>APPLICATION FOR REHEARING</w:t>
      </w:r>
    </w:p>
    <w:p w:rsidR="00602FF8" w:rsidRPr="00B54B55" w:rsidRDefault="00602FF8" w:rsidP="00602FF8">
      <w:pPr>
        <w:spacing w:after="200" w:line="276" w:lineRule="auto"/>
        <w:jc w:val="center"/>
        <w:rPr>
          <w:rFonts w:eastAsia="Calibri"/>
          <w:b/>
          <w:bCs/>
          <w:sz w:val="24"/>
        </w:rPr>
      </w:pPr>
      <w:r w:rsidRPr="00B54B55">
        <w:rPr>
          <w:rFonts w:eastAsia="Calibri"/>
          <w:b/>
          <w:bCs/>
          <w:sz w:val="24"/>
        </w:rPr>
        <w:t>______________________________________</w:t>
      </w:r>
    </w:p>
    <w:p w:rsidR="00602FF8" w:rsidRDefault="00602FF8">
      <w:pPr>
        <w:rPr>
          <w:b/>
          <w:sz w:val="24"/>
        </w:rPr>
      </w:pPr>
    </w:p>
    <w:p w:rsidR="00BF2F4D" w:rsidRDefault="00BF2F4D" w:rsidP="0089781A">
      <w:pPr>
        <w:autoSpaceDE w:val="0"/>
        <w:autoSpaceDN w:val="0"/>
        <w:adjustRightInd w:val="0"/>
        <w:spacing w:line="480" w:lineRule="auto"/>
        <w:ind w:firstLine="720"/>
        <w:rPr>
          <w:sz w:val="24"/>
        </w:rPr>
      </w:pPr>
      <w:r>
        <w:rPr>
          <w:sz w:val="24"/>
        </w:rPr>
        <w:t>Pursuant to Section 4903.10, Revised Code, and Rule 4901-1-35, Ohio Administrative Code (“O.A.C.”), Interstate Gas Supply, Inc. (“IGS Energy” or “IGS”) respectfully submits this Application for Rehearing of the Fifth Entry on Rehearing (“Entry”) issued by the Public Utilities Commission of Ohio (“Commission”) on November 12, 201</w:t>
      </w:r>
      <w:r w:rsidR="00067C49">
        <w:rPr>
          <w:sz w:val="24"/>
        </w:rPr>
        <w:t>6</w:t>
      </w:r>
      <w:r w:rsidR="00FA1823">
        <w:rPr>
          <w:sz w:val="24"/>
        </w:rPr>
        <w:t>,</w:t>
      </w:r>
      <w:r w:rsidR="0089781A">
        <w:rPr>
          <w:sz w:val="24"/>
        </w:rPr>
        <w:t xml:space="preserve"> modifying and approving an electric security plan (“ESP”) for Ohio </w:t>
      </w:r>
      <w:r w:rsidR="0089781A" w:rsidRPr="0089781A">
        <w:rPr>
          <w:sz w:val="24"/>
        </w:rPr>
        <w:t xml:space="preserve">Edison </w:t>
      </w:r>
      <w:r w:rsidR="0089781A">
        <w:rPr>
          <w:sz w:val="24"/>
        </w:rPr>
        <w:t xml:space="preserve">Company, The Cleveland Electric </w:t>
      </w:r>
      <w:r w:rsidR="0089781A" w:rsidRPr="0089781A">
        <w:rPr>
          <w:sz w:val="24"/>
        </w:rPr>
        <w:t>Illumin</w:t>
      </w:r>
      <w:r w:rsidR="0089781A">
        <w:rPr>
          <w:sz w:val="24"/>
        </w:rPr>
        <w:t xml:space="preserve">ating Company, and The Toledo </w:t>
      </w:r>
      <w:r w:rsidR="0089781A" w:rsidRPr="0089781A">
        <w:rPr>
          <w:sz w:val="24"/>
        </w:rPr>
        <w:t>Edison Company</w:t>
      </w:r>
      <w:r w:rsidR="0089781A">
        <w:rPr>
          <w:sz w:val="24"/>
        </w:rPr>
        <w:t xml:space="preserve"> (collectively, “FirstEnergy”)</w:t>
      </w:r>
      <w:r w:rsidR="0089781A" w:rsidRPr="0089781A">
        <w:rPr>
          <w:sz w:val="24"/>
        </w:rPr>
        <w:t xml:space="preserve"> </w:t>
      </w:r>
      <w:r w:rsidR="00FA1823">
        <w:rPr>
          <w:sz w:val="24"/>
        </w:rPr>
        <w:t>for the following reason</w:t>
      </w:r>
      <w:r>
        <w:rPr>
          <w:sz w:val="24"/>
        </w:rPr>
        <w:t>:</w:t>
      </w:r>
    </w:p>
    <w:p w:rsidR="0078102A" w:rsidRDefault="001E3FA8" w:rsidP="001E3FA8">
      <w:pPr>
        <w:pStyle w:val="ListParagraph"/>
        <w:numPr>
          <w:ilvl w:val="0"/>
          <w:numId w:val="10"/>
        </w:numPr>
        <w:rPr>
          <w:b/>
          <w:sz w:val="24"/>
        </w:rPr>
      </w:pPr>
      <w:r w:rsidRPr="001E3FA8">
        <w:rPr>
          <w:b/>
          <w:sz w:val="24"/>
        </w:rPr>
        <w:t>The Entry unlawfully and unreasonably determined that the record eviden</w:t>
      </w:r>
      <w:r>
        <w:rPr>
          <w:b/>
          <w:sz w:val="24"/>
        </w:rPr>
        <w:t>ce does not support the authorization</w:t>
      </w:r>
      <w:r w:rsidRPr="001E3FA8">
        <w:rPr>
          <w:b/>
          <w:sz w:val="24"/>
        </w:rPr>
        <w:t xml:space="preserve"> of a placeholder</w:t>
      </w:r>
      <w:r w:rsidR="009950AD">
        <w:rPr>
          <w:b/>
          <w:sz w:val="24"/>
        </w:rPr>
        <w:t xml:space="preserve"> Retail Competition Enhancement Rider (“RCE Rider”)</w:t>
      </w:r>
      <w:r w:rsidRPr="001E3FA8">
        <w:rPr>
          <w:b/>
          <w:sz w:val="24"/>
        </w:rPr>
        <w:t xml:space="preserve">.  </w:t>
      </w:r>
      <w:r>
        <w:rPr>
          <w:b/>
          <w:sz w:val="24"/>
        </w:rPr>
        <w:t>Because t</w:t>
      </w:r>
      <w:r w:rsidRPr="001E3FA8">
        <w:rPr>
          <w:b/>
          <w:sz w:val="24"/>
        </w:rPr>
        <w:t xml:space="preserve">he record evidence suggests that additional customer engagement is necessary to maximize the </w:t>
      </w:r>
      <w:r>
        <w:rPr>
          <w:b/>
          <w:sz w:val="24"/>
        </w:rPr>
        <w:t>potentia</w:t>
      </w:r>
      <w:r w:rsidR="00112ADA">
        <w:rPr>
          <w:b/>
          <w:sz w:val="24"/>
        </w:rPr>
        <w:t>l of smart grid, the Commission on rehearing</w:t>
      </w:r>
      <w:r>
        <w:rPr>
          <w:b/>
          <w:sz w:val="24"/>
        </w:rPr>
        <w:t xml:space="preserve"> should authorize a</w:t>
      </w:r>
      <w:r w:rsidRPr="001E3FA8">
        <w:rPr>
          <w:b/>
          <w:sz w:val="24"/>
        </w:rPr>
        <w:t xml:space="preserve"> pla</w:t>
      </w:r>
      <w:r>
        <w:rPr>
          <w:b/>
          <w:sz w:val="24"/>
        </w:rPr>
        <w:t>ceholder RCE Rider to incentivize customer engagement and evaluate the reasonableness of the ride</w:t>
      </w:r>
      <w:r w:rsidR="00112ADA">
        <w:rPr>
          <w:b/>
          <w:sz w:val="24"/>
        </w:rPr>
        <w:t>r rate in a separate proceeding.</w:t>
      </w:r>
      <w:r>
        <w:rPr>
          <w:b/>
          <w:sz w:val="24"/>
        </w:rPr>
        <w:t xml:space="preserve"> </w:t>
      </w:r>
    </w:p>
    <w:p w:rsidR="001E3FA8" w:rsidRPr="001E3FA8" w:rsidRDefault="001E3FA8" w:rsidP="001E3FA8">
      <w:pPr>
        <w:pStyle w:val="ListParagraph"/>
        <w:rPr>
          <w:b/>
          <w:sz w:val="24"/>
        </w:rPr>
      </w:pPr>
    </w:p>
    <w:p w:rsidR="0078102A" w:rsidRDefault="0078102A" w:rsidP="0078102A">
      <w:pPr>
        <w:autoSpaceDE w:val="0"/>
        <w:autoSpaceDN w:val="0"/>
        <w:adjustRightInd w:val="0"/>
        <w:spacing w:line="480" w:lineRule="auto"/>
        <w:rPr>
          <w:sz w:val="24"/>
        </w:rPr>
      </w:pPr>
      <w:r>
        <w:rPr>
          <w:sz w:val="24"/>
        </w:rPr>
        <w:t>As discussed in the Memorandum in Support attached hereto, IGS respectfully requests that the Commission grant this Application for Rehearing and correct the errors identified herein.</w:t>
      </w:r>
    </w:p>
    <w:p w:rsidR="0078102A" w:rsidRDefault="0078102A" w:rsidP="0078102A">
      <w:pPr>
        <w:autoSpaceDE w:val="0"/>
        <w:autoSpaceDN w:val="0"/>
        <w:adjustRightInd w:val="0"/>
        <w:spacing w:line="480" w:lineRule="auto"/>
        <w:ind w:firstLine="720"/>
        <w:rPr>
          <w:sz w:val="24"/>
        </w:rPr>
      </w:pPr>
    </w:p>
    <w:p w:rsidR="0078102A" w:rsidRDefault="0078102A" w:rsidP="0078102A">
      <w:pPr>
        <w:ind w:left="5040"/>
        <w:rPr>
          <w:rFonts w:eastAsia="Calibri"/>
          <w:sz w:val="24"/>
        </w:rPr>
      </w:pPr>
      <w:r>
        <w:rPr>
          <w:rFonts w:eastAsia="Calibri"/>
          <w:sz w:val="24"/>
        </w:rPr>
        <w:lastRenderedPageBreak/>
        <w:t>Respectfully submitted,</w:t>
      </w:r>
    </w:p>
    <w:p w:rsidR="0078102A" w:rsidRDefault="0078102A" w:rsidP="0078102A">
      <w:pPr>
        <w:ind w:left="5040"/>
        <w:rPr>
          <w:rFonts w:eastAsia="Calibri"/>
          <w:sz w:val="24"/>
        </w:rPr>
      </w:pPr>
    </w:p>
    <w:p w:rsidR="0078102A" w:rsidRDefault="0078102A" w:rsidP="0078102A">
      <w:pPr>
        <w:rPr>
          <w:rFonts w:eastAsia="Calibri"/>
          <w:sz w:val="24"/>
          <w:u w:val="single"/>
        </w:rPr>
      </w:pPr>
    </w:p>
    <w:p w:rsidR="0078102A" w:rsidRPr="00FD4530" w:rsidRDefault="0078102A" w:rsidP="0078102A">
      <w:pPr>
        <w:ind w:left="5040"/>
        <w:rPr>
          <w:rFonts w:eastAsia="Arial"/>
          <w:b/>
          <w:i/>
          <w:sz w:val="24"/>
          <w:u w:val="single"/>
        </w:rPr>
      </w:pPr>
      <w:r w:rsidRPr="00FD4530">
        <w:rPr>
          <w:rFonts w:eastAsia="Arial"/>
          <w:b/>
          <w:i/>
          <w:sz w:val="24"/>
          <w:u w:val="single"/>
        </w:rPr>
        <w:t>/s/ Joseph Oliker</w:t>
      </w:r>
    </w:p>
    <w:p w:rsidR="0078102A" w:rsidRDefault="0078102A" w:rsidP="0078102A">
      <w:pPr>
        <w:ind w:left="5040"/>
        <w:rPr>
          <w:rFonts w:eastAsia="Arial"/>
          <w:sz w:val="24"/>
        </w:rPr>
      </w:pPr>
      <w:r>
        <w:rPr>
          <w:rFonts w:eastAsia="Arial"/>
          <w:sz w:val="24"/>
        </w:rPr>
        <w:t>Joseph Oliker</w:t>
      </w:r>
    </w:p>
    <w:p w:rsidR="0078102A" w:rsidRDefault="0078102A" w:rsidP="0078102A">
      <w:pPr>
        <w:ind w:left="5040"/>
        <w:rPr>
          <w:rFonts w:eastAsia="Calibri"/>
          <w:sz w:val="24"/>
          <w:u w:val="single"/>
        </w:rPr>
      </w:pPr>
      <w:r>
        <w:rPr>
          <w:rFonts w:eastAsia="Arial"/>
          <w:sz w:val="24"/>
        </w:rPr>
        <w:t xml:space="preserve">Counsel of Record </w:t>
      </w:r>
    </w:p>
    <w:p w:rsidR="0078102A" w:rsidRDefault="0078102A" w:rsidP="0078102A">
      <w:pPr>
        <w:ind w:left="5040"/>
        <w:rPr>
          <w:sz w:val="24"/>
        </w:rPr>
      </w:pPr>
      <w:r>
        <w:rPr>
          <w:sz w:val="24"/>
        </w:rPr>
        <w:t>Email:  joliker@igsenergy.com</w:t>
      </w:r>
    </w:p>
    <w:p w:rsidR="0078102A" w:rsidRDefault="0078102A" w:rsidP="0078102A">
      <w:pPr>
        <w:ind w:left="5040"/>
        <w:rPr>
          <w:sz w:val="24"/>
        </w:rPr>
      </w:pPr>
      <w:r>
        <w:rPr>
          <w:sz w:val="24"/>
        </w:rPr>
        <w:t>IGS Energy</w:t>
      </w:r>
    </w:p>
    <w:p w:rsidR="0078102A" w:rsidRDefault="0078102A" w:rsidP="0078102A">
      <w:pPr>
        <w:ind w:left="5040"/>
        <w:rPr>
          <w:sz w:val="24"/>
        </w:rPr>
      </w:pPr>
      <w:r>
        <w:rPr>
          <w:sz w:val="24"/>
        </w:rPr>
        <w:t>6100 Emerald Parkway</w:t>
      </w:r>
    </w:p>
    <w:p w:rsidR="0078102A" w:rsidRDefault="0078102A" w:rsidP="0078102A">
      <w:pPr>
        <w:ind w:left="5040"/>
        <w:rPr>
          <w:sz w:val="24"/>
        </w:rPr>
      </w:pPr>
      <w:r>
        <w:rPr>
          <w:sz w:val="24"/>
        </w:rPr>
        <w:t>Dublin, Ohio 43016</w:t>
      </w:r>
    </w:p>
    <w:p w:rsidR="0078102A" w:rsidRDefault="0078102A" w:rsidP="0078102A">
      <w:pPr>
        <w:ind w:left="5040"/>
        <w:rPr>
          <w:sz w:val="24"/>
        </w:rPr>
      </w:pPr>
      <w:r>
        <w:rPr>
          <w:sz w:val="24"/>
        </w:rPr>
        <w:t>Telephone:</w:t>
      </w:r>
      <w:r>
        <w:rPr>
          <w:sz w:val="24"/>
        </w:rPr>
        <w:tab/>
        <w:t>(614) 659-5000</w:t>
      </w:r>
    </w:p>
    <w:p w:rsidR="0078102A" w:rsidRDefault="0078102A" w:rsidP="0078102A">
      <w:pPr>
        <w:ind w:left="5040"/>
        <w:rPr>
          <w:sz w:val="24"/>
        </w:rPr>
      </w:pPr>
      <w:r>
        <w:rPr>
          <w:sz w:val="24"/>
        </w:rPr>
        <w:t>Facsimile:</w:t>
      </w:r>
      <w:r>
        <w:rPr>
          <w:sz w:val="24"/>
        </w:rPr>
        <w:tab/>
        <w:t>(614) 659-5073</w:t>
      </w:r>
    </w:p>
    <w:p w:rsidR="0078102A" w:rsidRDefault="0078102A" w:rsidP="0078102A">
      <w:pPr>
        <w:ind w:left="5040"/>
        <w:rPr>
          <w:sz w:val="24"/>
        </w:rPr>
      </w:pPr>
    </w:p>
    <w:p w:rsidR="0078102A" w:rsidRDefault="000D1FE4" w:rsidP="0078102A">
      <w:pPr>
        <w:autoSpaceDE w:val="0"/>
        <w:autoSpaceDN w:val="0"/>
        <w:adjustRightInd w:val="0"/>
        <w:spacing w:line="480" w:lineRule="auto"/>
        <w:ind w:left="4320" w:firstLine="720"/>
        <w:rPr>
          <w:sz w:val="24"/>
        </w:rPr>
      </w:pPr>
      <w:r>
        <w:rPr>
          <w:b/>
          <w:i/>
          <w:sz w:val="24"/>
        </w:rPr>
        <w:t>Attorney</w:t>
      </w:r>
      <w:r w:rsidR="0078102A">
        <w:rPr>
          <w:b/>
          <w:i/>
          <w:sz w:val="24"/>
        </w:rPr>
        <w:t xml:space="preserve"> for IGS Energy</w:t>
      </w:r>
    </w:p>
    <w:p w:rsidR="0089781A" w:rsidRDefault="0089781A">
      <w:pPr>
        <w:rPr>
          <w:b/>
          <w:sz w:val="24"/>
        </w:rPr>
      </w:pPr>
    </w:p>
    <w:p w:rsidR="00EE4CBD" w:rsidRDefault="00EE4CBD">
      <w:pPr>
        <w:rPr>
          <w:b/>
          <w:sz w:val="24"/>
        </w:rPr>
      </w:pPr>
    </w:p>
    <w:p w:rsidR="00EE4CBD" w:rsidRDefault="00EE4CBD">
      <w:pPr>
        <w:rPr>
          <w:b/>
          <w:sz w:val="24"/>
        </w:rPr>
      </w:pPr>
    </w:p>
    <w:p w:rsidR="00EE4CBD" w:rsidRDefault="00EE4CBD">
      <w:pPr>
        <w:rPr>
          <w:b/>
          <w:sz w:val="24"/>
        </w:rPr>
      </w:pPr>
    </w:p>
    <w:p w:rsidR="00EE4CBD" w:rsidRDefault="00EE4CBD">
      <w:pPr>
        <w:rPr>
          <w:b/>
          <w:sz w:val="24"/>
        </w:rPr>
      </w:pPr>
    </w:p>
    <w:p w:rsidR="00EE4CBD" w:rsidRDefault="00EE4CBD">
      <w:pPr>
        <w:rPr>
          <w:b/>
          <w:sz w:val="24"/>
        </w:rPr>
      </w:pPr>
    </w:p>
    <w:p w:rsidR="00EE4CBD" w:rsidRDefault="00EE4CBD">
      <w:pPr>
        <w:rPr>
          <w:b/>
          <w:sz w:val="24"/>
        </w:rPr>
      </w:pPr>
    </w:p>
    <w:p w:rsidR="00EE4CBD" w:rsidRDefault="00EE4CBD">
      <w:pPr>
        <w:rPr>
          <w:b/>
          <w:sz w:val="24"/>
        </w:rPr>
      </w:pPr>
    </w:p>
    <w:p w:rsidR="00EE4CBD" w:rsidRDefault="00EE4CBD">
      <w:pPr>
        <w:rPr>
          <w:b/>
          <w:sz w:val="24"/>
        </w:rPr>
      </w:pPr>
    </w:p>
    <w:p w:rsidR="00EE4CBD" w:rsidRDefault="00EE4CBD">
      <w:pPr>
        <w:rPr>
          <w:b/>
          <w:sz w:val="24"/>
        </w:rPr>
      </w:pPr>
    </w:p>
    <w:p w:rsidR="00EE4CBD" w:rsidRDefault="00EE4CBD">
      <w:pPr>
        <w:rPr>
          <w:b/>
          <w:sz w:val="24"/>
        </w:rPr>
      </w:pPr>
    </w:p>
    <w:p w:rsidR="00EE4CBD" w:rsidRDefault="00EE4CBD">
      <w:pPr>
        <w:rPr>
          <w:b/>
          <w:sz w:val="24"/>
        </w:rPr>
      </w:pPr>
    </w:p>
    <w:p w:rsidR="00EE4CBD" w:rsidRDefault="00EE4CBD">
      <w:pPr>
        <w:rPr>
          <w:b/>
          <w:sz w:val="24"/>
        </w:rPr>
      </w:pPr>
    </w:p>
    <w:p w:rsidR="00EE4CBD" w:rsidRDefault="00EE4CBD">
      <w:pPr>
        <w:rPr>
          <w:b/>
          <w:sz w:val="24"/>
        </w:rPr>
      </w:pPr>
    </w:p>
    <w:p w:rsidR="00980E10" w:rsidRDefault="00980E10">
      <w:pPr>
        <w:rPr>
          <w:b/>
          <w:sz w:val="24"/>
        </w:rPr>
      </w:pPr>
    </w:p>
    <w:p w:rsidR="00980E10" w:rsidRDefault="00980E10">
      <w:pPr>
        <w:rPr>
          <w:b/>
          <w:sz w:val="24"/>
        </w:rPr>
      </w:pPr>
    </w:p>
    <w:p w:rsidR="00980E10" w:rsidRDefault="00980E10">
      <w:pPr>
        <w:rPr>
          <w:b/>
          <w:sz w:val="24"/>
        </w:rPr>
      </w:pPr>
    </w:p>
    <w:p w:rsidR="00980E10" w:rsidRDefault="00980E10">
      <w:pPr>
        <w:rPr>
          <w:b/>
          <w:sz w:val="24"/>
        </w:rPr>
      </w:pPr>
    </w:p>
    <w:p w:rsidR="00980E10" w:rsidRDefault="00980E10">
      <w:pPr>
        <w:rPr>
          <w:b/>
          <w:sz w:val="24"/>
        </w:rPr>
      </w:pPr>
    </w:p>
    <w:p w:rsidR="00980E10" w:rsidRDefault="00980E10">
      <w:pPr>
        <w:rPr>
          <w:b/>
          <w:sz w:val="24"/>
        </w:rPr>
      </w:pPr>
    </w:p>
    <w:p w:rsidR="00EE4CBD" w:rsidRDefault="00EE4CBD">
      <w:pPr>
        <w:rPr>
          <w:b/>
          <w:sz w:val="24"/>
        </w:rPr>
      </w:pPr>
    </w:p>
    <w:p w:rsidR="00EE4CBD" w:rsidRDefault="00EE4CBD">
      <w:pPr>
        <w:rPr>
          <w:b/>
          <w:sz w:val="24"/>
        </w:rPr>
      </w:pPr>
    </w:p>
    <w:p w:rsidR="00EE4CBD" w:rsidRDefault="00EE4CBD">
      <w:pPr>
        <w:rPr>
          <w:b/>
          <w:sz w:val="24"/>
        </w:rPr>
      </w:pPr>
    </w:p>
    <w:p w:rsidR="00EE4CBD" w:rsidRDefault="00EE4CBD">
      <w:pPr>
        <w:rPr>
          <w:b/>
          <w:sz w:val="24"/>
        </w:rPr>
      </w:pPr>
    </w:p>
    <w:p w:rsidR="000D1FE4" w:rsidRDefault="000D1FE4">
      <w:pPr>
        <w:rPr>
          <w:b/>
          <w:sz w:val="24"/>
        </w:rPr>
      </w:pPr>
    </w:p>
    <w:p w:rsidR="000D1FE4" w:rsidRDefault="000D1FE4">
      <w:pPr>
        <w:rPr>
          <w:b/>
          <w:sz w:val="24"/>
        </w:rPr>
      </w:pPr>
    </w:p>
    <w:p w:rsidR="00955F30" w:rsidRDefault="00955F30">
      <w:pPr>
        <w:rPr>
          <w:b/>
          <w:sz w:val="24"/>
        </w:rPr>
      </w:pPr>
    </w:p>
    <w:p w:rsidR="00955F30" w:rsidRDefault="00955F30">
      <w:pPr>
        <w:rPr>
          <w:b/>
          <w:sz w:val="24"/>
        </w:rPr>
      </w:pPr>
    </w:p>
    <w:p w:rsidR="00EE4CBD" w:rsidRDefault="00EE4CBD">
      <w:pPr>
        <w:rPr>
          <w:b/>
          <w:sz w:val="24"/>
        </w:rPr>
      </w:pPr>
    </w:p>
    <w:p w:rsidR="00EE4CBD" w:rsidRDefault="00EE4CBD">
      <w:pPr>
        <w:rPr>
          <w:b/>
          <w:sz w:val="24"/>
        </w:rPr>
      </w:pPr>
    </w:p>
    <w:p w:rsidR="00EE4CBD" w:rsidRDefault="00EE4CBD" w:rsidP="00EE4CBD">
      <w:pPr>
        <w:rPr>
          <w:b/>
          <w:sz w:val="24"/>
          <w:u w:val="single"/>
        </w:rPr>
      </w:pPr>
    </w:p>
    <w:p w:rsidR="00EE4CBD" w:rsidRPr="00B54B55" w:rsidRDefault="00EE4CBD" w:rsidP="00EE4CBD">
      <w:pPr>
        <w:widowControl w:val="0"/>
        <w:jc w:val="center"/>
        <w:rPr>
          <w:rFonts w:eastAsia="Times New Roman"/>
          <w:b/>
          <w:sz w:val="24"/>
        </w:rPr>
      </w:pPr>
      <w:r w:rsidRPr="00B54B55">
        <w:rPr>
          <w:rFonts w:eastAsia="Times New Roman"/>
          <w:b/>
          <w:sz w:val="24"/>
        </w:rPr>
        <w:lastRenderedPageBreak/>
        <w:t>BEFORE</w:t>
      </w:r>
    </w:p>
    <w:p w:rsidR="00EE4CBD" w:rsidRPr="00B54B55" w:rsidRDefault="00EE4CBD" w:rsidP="00EE4CBD">
      <w:pPr>
        <w:widowControl w:val="0"/>
        <w:spacing w:after="200" w:line="276" w:lineRule="auto"/>
        <w:jc w:val="center"/>
        <w:rPr>
          <w:rFonts w:eastAsia="Calibri"/>
          <w:b/>
          <w:sz w:val="24"/>
        </w:rPr>
      </w:pPr>
      <w:r w:rsidRPr="00B54B55">
        <w:rPr>
          <w:rFonts w:eastAsia="Calibri"/>
          <w:b/>
          <w:sz w:val="24"/>
        </w:rPr>
        <w:t>THE PUBLIC UTILITIES COMMISSION OF OHIO</w:t>
      </w:r>
    </w:p>
    <w:tbl>
      <w:tblPr>
        <w:tblW w:w="0" w:type="auto"/>
        <w:jc w:val="center"/>
        <w:tblLook w:val="01E0" w:firstRow="1" w:lastRow="1" w:firstColumn="1" w:lastColumn="1" w:noHBand="0" w:noVBand="0"/>
      </w:tblPr>
      <w:tblGrid>
        <w:gridCol w:w="4739"/>
        <w:gridCol w:w="630"/>
        <w:gridCol w:w="3928"/>
      </w:tblGrid>
      <w:tr w:rsidR="00EE4CBD" w:rsidRPr="00B54B55" w:rsidTr="00F406B6">
        <w:trPr>
          <w:trHeight w:val="873"/>
          <w:jc w:val="center"/>
        </w:trPr>
        <w:tc>
          <w:tcPr>
            <w:tcW w:w="4739" w:type="dxa"/>
          </w:tcPr>
          <w:p w:rsidR="00EE4CBD" w:rsidRPr="00B54B55" w:rsidRDefault="00EE4CBD" w:rsidP="00F406B6">
            <w:pPr>
              <w:autoSpaceDE w:val="0"/>
              <w:autoSpaceDN w:val="0"/>
              <w:adjustRightInd w:val="0"/>
              <w:jc w:val="left"/>
              <w:rPr>
                <w:rFonts w:eastAsia="Calibri"/>
                <w:sz w:val="24"/>
              </w:rPr>
            </w:pPr>
            <w:r w:rsidRPr="00B54B55">
              <w:rPr>
                <w:rFonts w:eastAsia="Calibri"/>
                <w:sz w:val="24"/>
              </w:rPr>
              <w:t>In the Matter of the Application of Ohio</w:t>
            </w:r>
          </w:p>
          <w:p w:rsidR="00EE4CBD" w:rsidRPr="00B54B55" w:rsidRDefault="00EE4CBD" w:rsidP="00F406B6">
            <w:pPr>
              <w:autoSpaceDE w:val="0"/>
              <w:autoSpaceDN w:val="0"/>
              <w:adjustRightInd w:val="0"/>
              <w:jc w:val="left"/>
              <w:rPr>
                <w:rFonts w:eastAsia="Calibri"/>
                <w:sz w:val="24"/>
              </w:rPr>
            </w:pPr>
            <w:r w:rsidRPr="00B54B55">
              <w:rPr>
                <w:rFonts w:eastAsia="Calibri"/>
                <w:sz w:val="24"/>
              </w:rPr>
              <w:t>Edison Company, The Cleveland Electric</w:t>
            </w:r>
          </w:p>
          <w:p w:rsidR="00EE4CBD" w:rsidRPr="00B54B55" w:rsidRDefault="00EE4CBD" w:rsidP="00F406B6">
            <w:pPr>
              <w:autoSpaceDE w:val="0"/>
              <w:autoSpaceDN w:val="0"/>
              <w:adjustRightInd w:val="0"/>
              <w:jc w:val="left"/>
              <w:rPr>
                <w:rFonts w:eastAsia="Calibri"/>
                <w:sz w:val="24"/>
              </w:rPr>
            </w:pPr>
            <w:r w:rsidRPr="00B54B55">
              <w:rPr>
                <w:rFonts w:eastAsia="Calibri"/>
                <w:sz w:val="24"/>
              </w:rPr>
              <w:t>Illuminating Company and The Toledo</w:t>
            </w:r>
          </w:p>
          <w:p w:rsidR="00EE4CBD" w:rsidRPr="00B54B55" w:rsidRDefault="00EE4CBD" w:rsidP="00F406B6">
            <w:pPr>
              <w:autoSpaceDE w:val="0"/>
              <w:autoSpaceDN w:val="0"/>
              <w:adjustRightInd w:val="0"/>
              <w:jc w:val="left"/>
              <w:rPr>
                <w:rFonts w:eastAsia="Calibri"/>
                <w:sz w:val="24"/>
              </w:rPr>
            </w:pPr>
            <w:r w:rsidRPr="00B54B55">
              <w:rPr>
                <w:rFonts w:eastAsia="Calibri"/>
                <w:sz w:val="24"/>
              </w:rPr>
              <w:t>Edison Company for Authority to Provide</w:t>
            </w:r>
          </w:p>
          <w:p w:rsidR="00EE4CBD" w:rsidRPr="00B54B55" w:rsidRDefault="00EE4CBD" w:rsidP="00F406B6">
            <w:pPr>
              <w:autoSpaceDE w:val="0"/>
              <w:autoSpaceDN w:val="0"/>
              <w:adjustRightInd w:val="0"/>
              <w:jc w:val="left"/>
              <w:rPr>
                <w:rFonts w:eastAsia="Calibri"/>
                <w:sz w:val="24"/>
              </w:rPr>
            </w:pPr>
            <w:r w:rsidRPr="00B54B55">
              <w:rPr>
                <w:rFonts w:eastAsia="Calibri"/>
                <w:sz w:val="24"/>
              </w:rPr>
              <w:t>for a Standard Service Offer Pursuant to R.C. 4928.143 in the Form of an Electric Security Plan</w:t>
            </w:r>
          </w:p>
        </w:tc>
        <w:tc>
          <w:tcPr>
            <w:tcW w:w="630" w:type="dxa"/>
          </w:tcPr>
          <w:p w:rsidR="00EE4CBD" w:rsidRPr="00B54B55" w:rsidRDefault="00EE4CBD" w:rsidP="00F406B6">
            <w:pPr>
              <w:widowControl w:val="0"/>
              <w:jc w:val="center"/>
              <w:rPr>
                <w:rFonts w:eastAsia="Calibri"/>
                <w:sz w:val="24"/>
              </w:rPr>
            </w:pPr>
            <w:r w:rsidRPr="00B54B55">
              <w:rPr>
                <w:rFonts w:eastAsia="Calibri"/>
                <w:sz w:val="24"/>
              </w:rPr>
              <w:t>)</w:t>
            </w:r>
          </w:p>
          <w:p w:rsidR="00EE4CBD" w:rsidRPr="00B54B55" w:rsidRDefault="00EE4CBD" w:rsidP="00F406B6">
            <w:pPr>
              <w:widowControl w:val="0"/>
              <w:jc w:val="center"/>
              <w:rPr>
                <w:rFonts w:eastAsia="Calibri"/>
                <w:sz w:val="24"/>
              </w:rPr>
            </w:pPr>
            <w:r w:rsidRPr="00B54B55">
              <w:rPr>
                <w:rFonts w:eastAsia="Calibri"/>
                <w:sz w:val="24"/>
              </w:rPr>
              <w:t>)</w:t>
            </w:r>
          </w:p>
          <w:p w:rsidR="00EE4CBD" w:rsidRPr="00B54B55" w:rsidRDefault="00EE4CBD" w:rsidP="00F406B6">
            <w:pPr>
              <w:widowControl w:val="0"/>
              <w:jc w:val="center"/>
              <w:rPr>
                <w:rFonts w:eastAsia="Calibri"/>
                <w:sz w:val="24"/>
              </w:rPr>
            </w:pPr>
            <w:r w:rsidRPr="00B54B55">
              <w:rPr>
                <w:rFonts w:eastAsia="Calibri"/>
                <w:sz w:val="24"/>
              </w:rPr>
              <w:t>)</w:t>
            </w:r>
          </w:p>
          <w:p w:rsidR="00EE4CBD" w:rsidRPr="00B54B55" w:rsidRDefault="00EE4CBD" w:rsidP="00F406B6">
            <w:pPr>
              <w:widowControl w:val="0"/>
              <w:jc w:val="center"/>
              <w:rPr>
                <w:rFonts w:eastAsia="Calibri"/>
                <w:sz w:val="24"/>
              </w:rPr>
            </w:pPr>
            <w:r w:rsidRPr="00B54B55">
              <w:rPr>
                <w:rFonts w:eastAsia="Calibri"/>
                <w:sz w:val="24"/>
              </w:rPr>
              <w:t>)</w:t>
            </w:r>
          </w:p>
          <w:p w:rsidR="00EE4CBD" w:rsidRPr="00B54B55" w:rsidRDefault="00EE4CBD" w:rsidP="00F406B6">
            <w:pPr>
              <w:widowControl w:val="0"/>
              <w:jc w:val="center"/>
              <w:rPr>
                <w:rFonts w:eastAsia="Calibri"/>
                <w:sz w:val="24"/>
              </w:rPr>
            </w:pPr>
            <w:r w:rsidRPr="00B54B55">
              <w:rPr>
                <w:rFonts w:eastAsia="Calibri"/>
                <w:sz w:val="24"/>
              </w:rPr>
              <w:t>)</w:t>
            </w:r>
          </w:p>
          <w:p w:rsidR="00EE4CBD" w:rsidRPr="00B54B55" w:rsidRDefault="00EE4CBD" w:rsidP="00F406B6">
            <w:pPr>
              <w:widowControl w:val="0"/>
              <w:jc w:val="center"/>
              <w:rPr>
                <w:rFonts w:eastAsia="Calibri"/>
                <w:sz w:val="24"/>
              </w:rPr>
            </w:pPr>
            <w:r w:rsidRPr="00B54B55">
              <w:rPr>
                <w:rFonts w:eastAsia="Calibri"/>
                <w:sz w:val="24"/>
              </w:rPr>
              <w:t>)</w:t>
            </w:r>
          </w:p>
          <w:p w:rsidR="00EE4CBD" w:rsidRPr="00B54B55" w:rsidRDefault="00EE4CBD" w:rsidP="00F406B6">
            <w:pPr>
              <w:widowControl w:val="0"/>
              <w:jc w:val="center"/>
              <w:rPr>
                <w:rFonts w:eastAsia="Calibri"/>
                <w:sz w:val="24"/>
              </w:rPr>
            </w:pPr>
            <w:r w:rsidRPr="00B54B55">
              <w:rPr>
                <w:rFonts w:eastAsia="Calibri"/>
                <w:sz w:val="24"/>
              </w:rPr>
              <w:t>)</w:t>
            </w:r>
          </w:p>
          <w:p w:rsidR="00EE4CBD" w:rsidRPr="00B54B55" w:rsidRDefault="00EE4CBD" w:rsidP="00F406B6">
            <w:pPr>
              <w:widowControl w:val="0"/>
              <w:jc w:val="left"/>
              <w:rPr>
                <w:rFonts w:eastAsia="Calibri"/>
                <w:sz w:val="24"/>
              </w:rPr>
            </w:pPr>
          </w:p>
        </w:tc>
        <w:tc>
          <w:tcPr>
            <w:tcW w:w="3928" w:type="dxa"/>
          </w:tcPr>
          <w:p w:rsidR="00EE4CBD" w:rsidRPr="00B54B55" w:rsidRDefault="00EE4CBD" w:rsidP="00F406B6">
            <w:pPr>
              <w:widowControl w:val="0"/>
              <w:jc w:val="left"/>
              <w:rPr>
                <w:rFonts w:eastAsia="Calibri"/>
                <w:sz w:val="24"/>
              </w:rPr>
            </w:pPr>
          </w:p>
          <w:p w:rsidR="00EE4CBD" w:rsidRPr="00B54B55" w:rsidRDefault="00EE4CBD" w:rsidP="00F406B6">
            <w:pPr>
              <w:widowControl w:val="0"/>
              <w:jc w:val="left"/>
              <w:rPr>
                <w:rFonts w:eastAsia="Calibri"/>
                <w:sz w:val="24"/>
              </w:rPr>
            </w:pPr>
          </w:p>
          <w:p w:rsidR="00EE4CBD" w:rsidRPr="00B54B55" w:rsidRDefault="00EE4CBD" w:rsidP="00F406B6">
            <w:pPr>
              <w:widowControl w:val="0"/>
              <w:jc w:val="left"/>
              <w:rPr>
                <w:rFonts w:eastAsia="Calibri"/>
                <w:sz w:val="24"/>
              </w:rPr>
            </w:pPr>
            <w:r w:rsidRPr="00B54B55">
              <w:rPr>
                <w:rFonts w:eastAsia="Calibri"/>
                <w:sz w:val="24"/>
              </w:rPr>
              <w:t>Case No. 14-1297-EL-SSO</w:t>
            </w:r>
          </w:p>
          <w:p w:rsidR="00EE4CBD" w:rsidRPr="00B54B55" w:rsidRDefault="00EE4CBD" w:rsidP="00F406B6">
            <w:pPr>
              <w:widowControl w:val="0"/>
              <w:jc w:val="left"/>
              <w:rPr>
                <w:rFonts w:eastAsia="Calibri"/>
                <w:sz w:val="24"/>
              </w:rPr>
            </w:pPr>
          </w:p>
          <w:p w:rsidR="00EE4CBD" w:rsidRPr="00B54B55" w:rsidRDefault="00EE4CBD" w:rsidP="00F406B6">
            <w:pPr>
              <w:widowControl w:val="0"/>
              <w:jc w:val="left"/>
              <w:rPr>
                <w:rFonts w:eastAsia="Calibri"/>
                <w:sz w:val="24"/>
              </w:rPr>
            </w:pPr>
          </w:p>
          <w:p w:rsidR="00EE4CBD" w:rsidRPr="00B54B55" w:rsidRDefault="00EE4CBD" w:rsidP="00F406B6">
            <w:pPr>
              <w:widowControl w:val="0"/>
              <w:jc w:val="left"/>
              <w:rPr>
                <w:rFonts w:eastAsia="Calibri"/>
                <w:sz w:val="24"/>
              </w:rPr>
            </w:pPr>
          </w:p>
          <w:p w:rsidR="00EE4CBD" w:rsidRPr="00B54B55" w:rsidRDefault="00EE4CBD" w:rsidP="00F406B6">
            <w:pPr>
              <w:widowControl w:val="0"/>
              <w:jc w:val="left"/>
              <w:rPr>
                <w:rFonts w:eastAsia="Calibri"/>
                <w:sz w:val="24"/>
              </w:rPr>
            </w:pPr>
          </w:p>
          <w:p w:rsidR="00EE4CBD" w:rsidRPr="00B54B55" w:rsidRDefault="00EE4CBD" w:rsidP="00F406B6">
            <w:pPr>
              <w:widowControl w:val="0"/>
              <w:jc w:val="left"/>
              <w:rPr>
                <w:rFonts w:eastAsia="Calibri"/>
                <w:sz w:val="24"/>
              </w:rPr>
            </w:pPr>
          </w:p>
        </w:tc>
      </w:tr>
    </w:tbl>
    <w:p w:rsidR="00EE4CBD" w:rsidRPr="00B54B55" w:rsidRDefault="00EE4CBD" w:rsidP="00EE4CBD">
      <w:pPr>
        <w:spacing w:after="200" w:line="276" w:lineRule="auto"/>
        <w:jc w:val="center"/>
        <w:rPr>
          <w:rFonts w:eastAsia="Calibri"/>
          <w:b/>
          <w:bCs/>
          <w:sz w:val="24"/>
        </w:rPr>
      </w:pPr>
      <w:r w:rsidRPr="00B54B55">
        <w:rPr>
          <w:rFonts w:eastAsia="Calibri"/>
          <w:b/>
          <w:bCs/>
          <w:sz w:val="24"/>
        </w:rPr>
        <w:t>______________________________________</w:t>
      </w:r>
    </w:p>
    <w:p w:rsidR="00EE4CBD" w:rsidRPr="00B54B55" w:rsidRDefault="00EE4CBD" w:rsidP="00EE4CBD">
      <w:pPr>
        <w:spacing w:after="200" w:line="276" w:lineRule="auto"/>
        <w:jc w:val="center"/>
        <w:rPr>
          <w:rFonts w:eastAsia="Calibri"/>
          <w:b/>
          <w:bCs/>
          <w:sz w:val="24"/>
        </w:rPr>
      </w:pPr>
      <w:r>
        <w:rPr>
          <w:rFonts w:eastAsia="Calibri"/>
          <w:b/>
          <w:bCs/>
          <w:sz w:val="24"/>
        </w:rPr>
        <w:t>MEMORANDUM IN SUPPORT</w:t>
      </w:r>
    </w:p>
    <w:p w:rsidR="0089781A" w:rsidRPr="00955F30" w:rsidRDefault="00EE4CBD" w:rsidP="00955F30">
      <w:pPr>
        <w:spacing w:after="200" w:line="276" w:lineRule="auto"/>
        <w:jc w:val="center"/>
        <w:rPr>
          <w:rFonts w:eastAsia="Calibri"/>
          <w:b/>
          <w:bCs/>
          <w:sz w:val="24"/>
        </w:rPr>
      </w:pPr>
      <w:r w:rsidRPr="00B54B55">
        <w:rPr>
          <w:rFonts w:eastAsia="Calibri"/>
          <w:b/>
          <w:bCs/>
          <w:sz w:val="24"/>
        </w:rPr>
        <w:t>______________________________________</w:t>
      </w:r>
    </w:p>
    <w:p w:rsidR="0089781A" w:rsidRDefault="0089781A">
      <w:pPr>
        <w:rPr>
          <w:b/>
          <w:sz w:val="24"/>
        </w:rPr>
      </w:pPr>
    </w:p>
    <w:p w:rsidR="00EE1363" w:rsidRPr="00FA1823" w:rsidRDefault="000D1FE4" w:rsidP="000D1FE4">
      <w:pPr>
        <w:pStyle w:val="ListParagraph"/>
        <w:numPr>
          <w:ilvl w:val="0"/>
          <w:numId w:val="8"/>
        </w:numPr>
        <w:rPr>
          <w:b/>
          <w:sz w:val="24"/>
          <w:u w:val="single"/>
        </w:rPr>
      </w:pPr>
      <w:r w:rsidRPr="00FA1823">
        <w:rPr>
          <w:b/>
          <w:sz w:val="24"/>
        </w:rPr>
        <w:t>INTRODUCTION</w:t>
      </w:r>
    </w:p>
    <w:p w:rsidR="00EE1363" w:rsidRDefault="00EE1363">
      <w:pPr>
        <w:rPr>
          <w:b/>
          <w:sz w:val="24"/>
        </w:rPr>
      </w:pPr>
    </w:p>
    <w:p w:rsidR="00FE63B3" w:rsidRDefault="00F135F3" w:rsidP="00F135F3">
      <w:pPr>
        <w:spacing w:line="480" w:lineRule="auto"/>
        <w:rPr>
          <w:sz w:val="24"/>
        </w:rPr>
      </w:pPr>
      <w:r>
        <w:rPr>
          <w:sz w:val="24"/>
        </w:rPr>
        <w:tab/>
      </w:r>
      <w:r w:rsidR="000D1FE4">
        <w:rPr>
          <w:sz w:val="24"/>
        </w:rPr>
        <w:t>After more than two years of litigation related to</w:t>
      </w:r>
      <w:r w:rsidR="000D1FE4" w:rsidRPr="000D1FE4">
        <w:rPr>
          <w:sz w:val="24"/>
        </w:rPr>
        <w:t xml:space="preserve"> </w:t>
      </w:r>
      <w:r w:rsidR="00980E10">
        <w:rPr>
          <w:sz w:val="24"/>
        </w:rPr>
        <w:t>FirstEnergy’s</w:t>
      </w:r>
      <w:r w:rsidR="000D1FE4">
        <w:rPr>
          <w:sz w:val="24"/>
        </w:rPr>
        <w:t xml:space="preserve"> application to est</w:t>
      </w:r>
      <w:r w:rsidR="00980E10">
        <w:rPr>
          <w:sz w:val="24"/>
        </w:rPr>
        <w:t>ablish an ESP</w:t>
      </w:r>
      <w:r w:rsidR="000D1FE4">
        <w:rPr>
          <w:sz w:val="24"/>
        </w:rPr>
        <w:t>, the Commission issued its Fifth Entry on Rehearing</w:t>
      </w:r>
      <w:r w:rsidR="009A686D">
        <w:rPr>
          <w:sz w:val="24"/>
        </w:rPr>
        <w:t>.  While the Commission’s lengthy Entry add</w:t>
      </w:r>
      <w:r w:rsidR="00980E10">
        <w:rPr>
          <w:sz w:val="24"/>
        </w:rPr>
        <w:t>ressed</w:t>
      </w:r>
      <w:r w:rsidR="009A686D">
        <w:rPr>
          <w:sz w:val="24"/>
        </w:rPr>
        <w:t xml:space="preserve"> a host of i</w:t>
      </w:r>
      <w:r w:rsidR="00980E10">
        <w:rPr>
          <w:sz w:val="24"/>
        </w:rPr>
        <w:t>ssues, the Entry largely focused</w:t>
      </w:r>
      <w:r w:rsidR="009A686D">
        <w:rPr>
          <w:sz w:val="24"/>
        </w:rPr>
        <w:t xml:space="preserve"> on enabling FirstEnergy to invest in smart grid.</w:t>
      </w:r>
      <w:r w:rsidR="00067C49">
        <w:rPr>
          <w:rStyle w:val="FootnoteReference"/>
          <w:sz w:val="24"/>
        </w:rPr>
        <w:footnoteReference w:id="1"/>
      </w:r>
      <w:r w:rsidR="009A686D">
        <w:rPr>
          <w:sz w:val="24"/>
        </w:rPr>
        <w:t xml:space="preserve">  By laying that technological foundational investme</w:t>
      </w:r>
      <w:r w:rsidR="00980E10">
        <w:rPr>
          <w:sz w:val="24"/>
        </w:rPr>
        <w:t xml:space="preserve">nt, the Entry indicates that the Commission </w:t>
      </w:r>
      <w:r w:rsidR="009A686D">
        <w:rPr>
          <w:sz w:val="24"/>
        </w:rPr>
        <w:t xml:space="preserve">hopes </w:t>
      </w:r>
      <w:r w:rsidR="00493327">
        <w:rPr>
          <w:sz w:val="24"/>
        </w:rPr>
        <w:t xml:space="preserve">to </w:t>
      </w:r>
      <w:r w:rsidR="009A686D">
        <w:rPr>
          <w:sz w:val="24"/>
        </w:rPr>
        <w:t>transform the electric sector in FirstEnergy’s service territory by reducing outages and deploying innovative products and services for the betterment of society and the economy.</w:t>
      </w:r>
      <w:r w:rsidR="00067C49">
        <w:rPr>
          <w:rStyle w:val="FootnoteReference"/>
          <w:sz w:val="24"/>
        </w:rPr>
        <w:footnoteReference w:id="2"/>
      </w:r>
      <w:r w:rsidR="009A686D">
        <w:rPr>
          <w:sz w:val="24"/>
        </w:rPr>
        <w:t xml:space="preserve">  IGS supports the Entry’s </w:t>
      </w:r>
      <w:r w:rsidR="00FA1823">
        <w:rPr>
          <w:sz w:val="24"/>
        </w:rPr>
        <w:t>stated end goal;</w:t>
      </w:r>
      <w:r w:rsidR="009A686D">
        <w:rPr>
          <w:sz w:val="24"/>
        </w:rPr>
        <w:t xml:space="preserve"> however, the Entry </w:t>
      </w:r>
      <w:r w:rsidR="00FE63B3">
        <w:rPr>
          <w:sz w:val="24"/>
        </w:rPr>
        <w:t>missed an important opp</w:t>
      </w:r>
      <w:r w:rsidR="00980E10">
        <w:rPr>
          <w:sz w:val="24"/>
        </w:rPr>
        <w:t xml:space="preserve">ortunity to take immediate, needed steps </w:t>
      </w:r>
      <w:r w:rsidR="00FE63B3">
        <w:rPr>
          <w:sz w:val="24"/>
        </w:rPr>
        <w:t xml:space="preserve">when it reversed authorization of </w:t>
      </w:r>
      <w:r w:rsidR="009950AD">
        <w:rPr>
          <w:sz w:val="24"/>
        </w:rPr>
        <w:t>the placeholder</w:t>
      </w:r>
      <w:r w:rsidR="00FE63B3">
        <w:rPr>
          <w:sz w:val="24"/>
        </w:rPr>
        <w:t xml:space="preserve"> RCE Rider.</w:t>
      </w:r>
    </w:p>
    <w:p w:rsidR="00CC5D3A" w:rsidRDefault="00CC5D3A" w:rsidP="00CC5D3A">
      <w:pPr>
        <w:spacing w:line="480" w:lineRule="auto"/>
        <w:ind w:firstLine="360"/>
        <w:rPr>
          <w:sz w:val="24"/>
        </w:rPr>
      </w:pPr>
      <w:r>
        <w:rPr>
          <w:sz w:val="24"/>
        </w:rPr>
        <w:tab/>
        <w:t>In the Opinion and Order approving the Stipulati</w:t>
      </w:r>
      <w:r w:rsidR="009950AD">
        <w:rPr>
          <w:sz w:val="24"/>
        </w:rPr>
        <w:t>on in this proceeding</w:t>
      </w:r>
      <w:r w:rsidR="00112ADA">
        <w:rPr>
          <w:sz w:val="24"/>
        </w:rPr>
        <w:t>,</w:t>
      </w:r>
      <w:r w:rsidR="009950AD">
        <w:rPr>
          <w:sz w:val="24"/>
        </w:rPr>
        <w:t xml:space="preserve"> </w:t>
      </w:r>
      <w:r>
        <w:rPr>
          <w:sz w:val="24"/>
        </w:rPr>
        <w:t>Rider RCE was approved as a placeholder rider for purposes</w:t>
      </w:r>
      <w:r w:rsidR="00112ADA">
        <w:rPr>
          <w:sz w:val="24"/>
        </w:rPr>
        <w:t xml:space="preserve"> of unbundling costs incurred to</w:t>
      </w:r>
      <w:r>
        <w:rPr>
          <w:sz w:val="24"/>
        </w:rPr>
        <w:t xml:space="preserve"> </w:t>
      </w:r>
      <w:r w:rsidR="00112ADA">
        <w:rPr>
          <w:sz w:val="24"/>
        </w:rPr>
        <w:t xml:space="preserve">support </w:t>
      </w:r>
      <w:r w:rsidR="00112ADA">
        <w:rPr>
          <w:sz w:val="24"/>
        </w:rPr>
        <w:lastRenderedPageBreak/>
        <w:t>Standard Service Offer</w:t>
      </w:r>
      <w:r>
        <w:rPr>
          <w:sz w:val="24"/>
        </w:rPr>
        <w:t xml:space="preserve"> (“SSO”)</w:t>
      </w:r>
      <w:r w:rsidR="00112ADA">
        <w:rPr>
          <w:sz w:val="24"/>
        </w:rPr>
        <w:t xml:space="preserve"> service</w:t>
      </w:r>
      <w:r>
        <w:rPr>
          <w:sz w:val="24"/>
        </w:rPr>
        <w:t>.</w:t>
      </w:r>
      <w:r w:rsidR="009950AD">
        <w:rPr>
          <w:rStyle w:val="FootnoteReference"/>
          <w:sz w:val="24"/>
        </w:rPr>
        <w:footnoteReference w:id="3"/>
      </w:r>
      <w:r w:rsidR="009950AD">
        <w:rPr>
          <w:sz w:val="24"/>
        </w:rPr>
        <w:t xml:space="preserve"> </w:t>
      </w:r>
      <w:r w:rsidR="00112ADA">
        <w:rPr>
          <w:sz w:val="24"/>
        </w:rPr>
        <w:t xml:space="preserve"> </w:t>
      </w:r>
      <w:r w:rsidR="009950AD">
        <w:rPr>
          <w:sz w:val="24"/>
        </w:rPr>
        <w:t>In order to</w:t>
      </w:r>
      <w:r>
        <w:rPr>
          <w:sz w:val="24"/>
        </w:rPr>
        <w:t xml:space="preserve"> more accurately reflect an agreement entered into between IGS and FirstEnergy, FirstEnergy filed an application for rehearing of the</w:t>
      </w:r>
      <w:r w:rsidR="009950AD">
        <w:rPr>
          <w:sz w:val="24"/>
        </w:rPr>
        <w:t xml:space="preserve"> Order—</w:t>
      </w:r>
      <w:r>
        <w:rPr>
          <w:sz w:val="24"/>
        </w:rPr>
        <w:t>not requesting</w:t>
      </w:r>
      <w:r w:rsidR="009950AD">
        <w:rPr>
          <w:sz w:val="24"/>
        </w:rPr>
        <w:t xml:space="preserve"> that Rider RCE be overturned, </w:t>
      </w:r>
      <w:r>
        <w:rPr>
          <w:sz w:val="24"/>
        </w:rPr>
        <w:t xml:space="preserve">but rather that the Order be modified to indicate that the placeholder RCE Rider should be approved for purposes of incentivizing shopping. </w:t>
      </w:r>
    </w:p>
    <w:p w:rsidR="00CC5D3A" w:rsidRDefault="00980E10" w:rsidP="00F135F3">
      <w:pPr>
        <w:spacing w:line="480" w:lineRule="auto"/>
        <w:rPr>
          <w:sz w:val="24"/>
        </w:rPr>
      </w:pPr>
      <w:r>
        <w:rPr>
          <w:sz w:val="24"/>
        </w:rPr>
        <w:tab/>
      </w:r>
      <w:r w:rsidR="00AB0916">
        <w:rPr>
          <w:sz w:val="24"/>
        </w:rPr>
        <w:t>In its</w:t>
      </w:r>
      <w:r w:rsidR="009950AD">
        <w:rPr>
          <w:sz w:val="24"/>
        </w:rPr>
        <w:t xml:space="preserve"> Entry ruling on FirstEnergy’s application for rehearing,</w:t>
      </w:r>
      <w:r w:rsidR="00CC5D3A">
        <w:rPr>
          <w:sz w:val="24"/>
        </w:rPr>
        <w:t xml:space="preserve"> the Commission incorrectly overturned Rider RCE </w:t>
      </w:r>
      <w:r w:rsidR="00112ADA">
        <w:rPr>
          <w:sz w:val="24"/>
        </w:rPr>
        <w:t xml:space="preserve">on the basis that the record </w:t>
      </w:r>
      <w:r w:rsidR="00CC5D3A">
        <w:rPr>
          <w:sz w:val="24"/>
        </w:rPr>
        <w:t xml:space="preserve">evidence only supported a rider for purposes of </w:t>
      </w:r>
      <w:r w:rsidR="009950AD">
        <w:rPr>
          <w:sz w:val="24"/>
        </w:rPr>
        <w:t>“</w:t>
      </w:r>
      <w:r w:rsidR="00CC5D3A">
        <w:rPr>
          <w:sz w:val="24"/>
        </w:rPr>
        <w:t>unbundling</w:t>
      </w:r>
      <w:r w:rsidR="00112ADA">
        <w:rPr>
          <w:sz w:val="24"/>
        </w:rPr>
        <w:t>.”</w:t>
      </w:r>
      <w:r w:rsidR="00112ADA">
        <w:rPr>
          <w:rStyle w:val="FootnoteReference"/>
          <w:sz w:val="24"/>
        </w:rPr>
        <w:footnoteReference w:id="4"/>
      </w:r>
      <w:r w:rsidR="009950AD">
        <w:rPr>
          <w:sz w:val="24"/>
        </w:rPr>
        <w:t xml:space="preserve">  The Entry, however,</w:t>
      </w:r>
      <w:r w:rsidR="00CC5D3A">
        <w:rPr>
          <w:sz w:val="24"/>
        </w:rPr>
        <w:t xml:space="preserve"> ignores a record that indicates incentives for shopping are necessary because</w:t>
      </w:r>
      <w:r w:rsidR="00A51804">
        <w:rPr>
          <w:sz w:val="24"/>
        </w:rPr>
        <w:t xml:space="preserve"> direct residential retail electric competition has lagged behind the commercial and industrial classes.  Instead, competition has largely resulted from opt-out aggregation, which requ</w:t>
      </w:r>
      <w:r w:rsidR="00FA1823">
        <w:rPr>
          <w:sz w:val="24"/>
        </w:rPr>
        <w:t>ires zero customer engagement</w:t>
      </w:r>
      <w:r w:rsidR="00A51804">
        <w:rPr>
          <w:sz w:val="24"/>
        </w:rPr>
        <w:t xml:space="preserve"> with the competitive marketplace.  In the absence of dir</w:t>
      </w:r>
      <w:r>
        <w:rPr>
          <w:sz w:val="24"/>
        </w:rPr>
        <w:t xml:space="preserve">ect customer engagement with the retail electric market, smart grid deployment </w:t>
      </w:r>
      <w:r w:rsidR="00CC5D3A">
        <w:rPr>
          <w:sz w:val="24"/>
        </w:rPr>
        <w:t xml:space="preserve">is unlikely to </w:t>
      </w:r>
      <w:r>
        <w:rPr>
          <w:sz w:val="24"/>
        </w:rPr>
        <w:t>provide an effective platform for innovative products and services</w:t>
      </w:r>
      <w:r w:rsidR="00A51804">
        <w:rPr>
          <w:sz w:val="24"/>
        </w:rPr>
        <w:t xml:space="preserve">.  To increase participation in the competitive market, IGS and FirstEnergy agreed to file an application for approval </w:t>
      </w:r>
      <w:r w:rsidR="00744D5A">
        <w:rPr>
          <w:sz w:val="24"/>
        </w:rPr>
        <w:t>of a rider to incentivize shopping.</w:t>
      </w:r>
      <w:r w:rsidR="00744D5A">
        <w:rPr>
          <w:rStyle w:val="FootnoteReference"/>
          <w:sz w:val="24"/>
        </w:rPr>
        <w:footnoteReference w:id="5"/>
      </w:r>
      <w:r w:rsidR="00744D5A">
        <w:rPr>
          <w:sz w:val="24"/>
        </w:rPr>
        <w:t xml:space="preserve">  </w:t>
      </w:r>
      <w:r w:rsidR="00CC5D3A">
        <w:rPr>
          <w:sz w:val="24"/>
        </w:rPr>
        <w:t>As discussed further below, there is sufficient evidence in the record to support the</w:t>
      </w:r>
      <w:r w:rsidR="00744D5A">
        <w:rPr>
          <w:sz w:val="24"/>
        </w:rPr>
        <w:t xml:space="preserve"> RCE Rider</w:t>
      </w:r>
      <w:r w:rsidR="00CC5D3A">
        <w:rPr>
          <w:sz w:val="24"/>
        </w:rPr>
        <w:t xml:space="preserve"> on a placeholder basis</w:t>
      </w:r>
      <w:r w:rsidR="00744D5A">
        <w:rPr>
          <w:sz w:val="24"/>
        </w:rPr>
        <w:t>.</w:t>
      </w:r>
    </w:p>
    <w:p w:rsidR="00CC5D3A" w:rsidRDefault="00CC5D3A" w:rsidP="00CC5D3A">
      <w:pPr>
        <w:spacing w:line="480" w:lineRule="auto"/>
        <w:ind w:firstLine="720"/>
        <w:rPr>
          <w:sz w:val="24"/>
        </w:rPr>
      </w:pPr>
      <w:r>
        <w:rPr>
          <w:sz w:val="24"/>
        </w:rPr>
        <w:t xml:space="preserve">Further, IGS and FirstEnergy are not asking the Commission to approve a dollar amount to be included in Rider RCE in this proceeding. </w:t>
      </w:r>
      <w:r w:rsidR="00744D5A">
        <w:rPr>
          <w:sz w:val="24"/>
        </w:rPr>
        <w:t xml:space="preserve"> An amount</w:t>
      </w:r>
      <w:r>
        <w:rPr>
          <w:sz w:val="24"/>
        </w:rPr>
        <w:t xml:space="preserve"> to be included in R</w:t>
      </w:r>
      <w:r w:rsidR="00112ADA">
        <w:rPr>
          <w:sz w:val="24"/>
        </w:rPr>
        <w:t>ider RCE will be determined in a separate case</w:t>
      </w:r>
      <w:r>
        <w:rPr>
          <w:sz w:val="24"/>
        </w:rPr>
        <w:t xml:space="preserve">, where parties will have an opportunity </w:t>
      </w:r>
      <w:r>
        <w:rPr>
          <w:sz w:val="24"/>
        </w:rPr>
        <w:lastRenderedPageBreak/>
        <w:t xml:space="preserve">to present evidence on an amount to be included in Rider RCE. Therefore, approving Rider RCE will have no immediate impact on customers at this time. To the extent there is an application to populate </w:t>
      </w:r>
      <w:r w:rsidR="00744D5A">
        <w:rPr>
          <w:sz w:val="24"/>
        </w:rPr>
        <w:t xml:space="preserve">Rider RCE that will have an </w:t>
      </w:r>
      <w:r>
        <w:rPr>
          <w:sz w:val="24"/>
        </w:rPr>
        <w:t xml:space="preserve">impact on customers, there will be ample opportunity to support such application with the record in that future proceeding.  </w:t>
      </w:r>
    </w:p>
    <w:p w:rsidR="00CC5D3A" w:rsidRDefault="00CC5D3A" w:rsidP="00CC5D3A">
      <w:pPr>
        <w:spacing w:line="480" w:lineRule="auto"/>
        <w:ind w:firstLine="720"/>
        <w:rPr>
          <w:sz w:val="24"/>
        </w:rPr>
      </w:pPr>
      <w:r>
        <w:rPr>
          <w:sz w:val="24"/>
        </w:rPr>
        <w:t>For these reasons, IGS urges the Commission to reverse its Entry and take this necessary step to further support the effectiveness of smart grid rollout and the competitive market.</w:t>
      </w:r>
    </w:p>
    <w:p w:rsidR="00A51804" w:rsidRDefault="00EF19DE" w:rsidP="00CC5D3A">
      <w:pPr>
        <w:pStyle w:val="ListParagraph"/>
        <w:numPr>
          <w:ilvl w:val="0"/>
          <w:numId w:val="8"/>
        </w:numPr>
        <w:spacing w:line="480" w:lineRule="auto"/>
        <w:rPr>
          <w:b/>
          <w:sz w:val="24"/>
        </w:rPr>
      </w:pPr>
      <w:r>
        <w:rPr>
          <w:b/>
          <w:sz w:val="24"/>
        </w:rPr>
        <w:t>BACKGROUND</w:t>
      </w:r>
    </w:p>
    <w:p w:rsidR="00145150" w:rsidRDefault="00B059E6" w:rsidP="000C601C">
      <w:pPr>
        <w:spacing w:line="480" w:lineRule="auto"/>
        <w:ind w:firstLine="720"/>
        <w:rPr>
          <w:sz w:val="24"/>
        </w:rPr>
      </w:pPr>
      <w:r>
        <w:rPr>
          <w:sz w:val="24"/>
        </w:rPr>
        <w:t>On August 4, 2014, FirstEnergy filed an application to es</w:t>
      </w:r>
      <w:r w:rsidR="00112ADA">
        <w:rPr>
          <w:sz w:val="24"/>
        </w:rPr>
        <w:t>tablish an SSO</w:t>
      </w:r>
      <w:r>
        <w:rPr>
          <w:sz w:val="24"/>
        </w:rPr>
        <w:t xml:space="preserve"> in the form of an ESP.  Although the application raised several unique and complicated issues</w:t>
      </w:r>
      <w:r w:rsidR="00145150">
        <w:rPr>
          <w:sz w:val="24"/>
        </w:rPr>
        <w:t xml:space="preserve">, as is relevant to this pleading, IGS initially submitted testimony </w:t>
      </w:r>
      <w:r w:rsidR="00B166A7">
        <w:rPr>
          <w:sz w:val="24"/>
        </w:rPr>
        <w:t xml:space="preserve">identifying that the application failed to address underlying shortcomings with respect to retail competition and direct customer engagement, especially in the residential sector. </w:t>
      </w:r>
      <w:r w:rsidR="00145150">
        <w:rPr>
          <w:sz w:val="24"/>
        </w:rPr>
        <w:t>Specifically,</w:t>
      </w:r>
      <w:r w:rsidR="00B166A7">
        <w:rPr>
          <w:sz w:val="24"/>
        </w:rPr>
        <w:t xml:space="preserve"> </w:t>
      </w:r>
      <w:r w:rsidR="00B166A7" w:rsidRPr="00B166A7">
        <w:rPr>
          <w:b/>
          <w:sz w:val="24"/>
          <w:u w:val="single"/>
        </w:rPr>
        <w:t>based upon concrete data</w:t>
      </w:r>
      <w:r w:rsidR="00B166A7">
        <w:rPr>
          <w:sz w:val="24"/>
        </w:rPr>
        <w:t>,</w:t>
      </w:r>
      <w:r w:rsidR="00145150">
        <w:rPr>
          <w:sz w:val="24"/>
        </w:rPr>
        <w:t xml:space="preserve"> the Supplemental Direct T</w:t>
      </w:r>
      <w:r w:rsidR="00B166A7">
        <w:rPr>
          <w:sz w:val="24"/>
        </w:rPr>
        <w:t>estimony of Matthew White stated,</w:t>
      </w:r>
      <w:r w:rsidR="00145150">
        <w:rPr>
          <w:sz w:val="24"/>
        </w:rPr>
        <w:t xml:space="preserve"> “</w:t>
      </w:r>
      <w:r w:rsidR="00B166A7">
        <w:rPr>
          <w:sz w:val="24"/>
        </w:rPr>
        <w:t>I conclude that retail competition in FirstEnergy’s service territory is not robust.”</w:t>
      </w:r>
      <w:r w:rsidR="00B166A7">
        <w:rPr>
          <w:rStyle w:val="FootnoteReference"/>
          <w:sz w:val="24"/>
        </w:rPr>
        <w:footnoteReference w:id="6"/>
      </w:r>
      <w:r w:rsidR="00B166A7">
        <w:rPr>
          <w:sz w:val="24"/>
        </w:rPr>
        <w:t xml:space="preserve"> Mr. White identified that “[i]t</w:t>
      </w:r>
      <w:r w:rsidR="00145150" w:rsidRPr="00A928B9">
        <w:rPr>
          <w:sz w:val="24"/>
        </w:rPr>
        <w:t xml:space="preserve"> can be concluded that the Ohio competitive el</w:t>
      </w:r>
      <w:r w:rsidR="00145150">
        <w:rPr>
          <w:sz w:val="24"/>
        </w:rPr>
        <w:t xml:space="preserve">ectric markets have done a good </w:t>
      </w:r>
      <w:r w:rsidR="00145150" w:rsidRPr="00A928B9">
        <w:rPr>
          <w:sz w:val="24"/>
        </w:rPr>
        <w:t>job encouraging opt-out aggregation in the FirstEne</w:t>
      </w:r>
      <w:r w:rsidR="00145150">
        <w:rPr>
          <w:sz w:val="24"/>
        </w:rPr>
        <w:t xml:space="preserve">rgy service territory, but have </w:t>
      </w:r>
      <w:r w:rsidR="00145150" w:rsidRPr="00A928B9">
        <w:rPr>
          <w:sz w:val="24"/>
        </w:rPr>
        <w:t>done a poor job at encouraging customers to affirm</w:t>
      </w:r>
      <w:r w:rsidR="00145150">
        <w:rPr>
          <w:sz w:val="24"/>
        </w:rPr>
        <w:t xml:space="preserve">atively enroll in a competitive </w:t>
      </w:r>
      <w:r w:rsidR="00145150" w:rsidRPr="00A928B9">
        <w:rPr>
          <w:sz w:val="24"/>
        </w:rPr>
        <w:t>product or otherwise engage in the competitive market.</w:t>
      </w:r>
      <w:r w:rsidR="00145150">
        <w:rPr>
          <w:sz w:val="24"/>
        </w:rPr>
        <w:t>”</w:t>
      </w:r>
      <w:r w:rsidR="00145150">
        <w:rPr>
          <w:rStyle w:val="FootnoteReference"/>
          <w:sz w:val="24"/>
        </w:rPr>
        <w:footnoteReference w:id="7"/>
      </w:r>
      <w:r w:rsidR="000C601C">
        <w:rPr>
          <w:sz w:val="24"/>
        </w:rPr>
        <w:t xml:space="preserve">  Mr. White further testified that customer engagement in the retail electric market is a prerequisite for customers to utilize innovative products and services that will enable more efficient energy usage:</w:t>
      </w:r>
      <w:r w:rsidR="00145150">
        <w:rPr>
          <w:sz w:val="24"/>
        </w:rPr>
        <w:t xml:space="preserve">  </w:t>
      </w:r>
    </w:p>
    <w:p w:rsidR="000C601C" w:rsidRDefault="00145150" w:rsidP="000C601C">
      <w:pPr>
        <w:spacing w:before="120"/>
        <w:ind w:left="720" w:right="720"/>
        <w:rPr>
          <w:sz w:val="24"/>
        </w:rPr>
      </w:pPr>
      <w:r w:rsidRPr="00CA7BDC">
        <w:rPr>
          <w:sz w:val="24"/>
        </w:rPr>
        <w:lastRenderedPageBreak/>
        <w:t>IGS continues to advocate for moving Ohio</w:t>
      </w:r>
      <w:r>
        <w:rPr>
          <w:sz w:val="24"/>
        </w:rPr>
        <w:t xml:space="preserve">'s competitive retail electric </w:t>
      </w:r>
      <w:r w:rsidRPr="00CA7BDC">
        <w:rPr>
          <w:sz w:val="24"/>
        </w:rPr>
        <w:t>markets fo</w:t>
      </w:r>
      <w:r w:rsidR="00B166A7">
        <w:rPr>
          <w:sz w:val="24"/>
        </w:rPr>
        <w:t>r</w:t>
      </w:r>
      <w:r w:rsidRPr="00CA7BDC">
        <w:rPr>
          <w:sz w:val="24"/>
        </w:rPr>
        <w:t>ward in a way that encourages cus</w:t>
      </w:r>
      <w:r>
        <w:rPr>
          <w:sz w:val="24"/>
        </w:rPr>
        <w:t xml:space="preserve">tomer engagement. </w:t>
      </w:r>
      <w:r w:rsidRPr="000C601C">
        <w:rPr>
          <w:b/>
          <w:sz w:val="24"/>
          <w:u w:val="single"/>
        </w:rPr>
        <w:t>In order for customers to be more willing to adopt value added products and services that enable them to use and consume energy more efficiently, customers must be engaged in the competitive retail electric market</w:t>
      </w:r>
      <w:r w:rsidRPr="00744D5A">
        <w:rPr>
          <w:sz w:val="24"/>
        </w:rPr>
        <w:t>.</w:t>
      </w:r>
      <w:r w:rsidRPr="000C601C">
        <w:rPr>
          <w:b/>
          <w:sz w:val="24"/>
          <w:u w:val="single"/>
        </w:rPr>
        <w:t xml:space="preserve"> </w:t>
      </w:r>
      <w:r>
        <w:rPr>
          <w:sz w:val="24"/>
        </w:rPr>
        <w:t xml:space="preserve">Unfortunately, the current SSO </w:t>
      </w:r>
      <w:r w:rsidRPr="00CA7BDC">
        <w:rPr>
          <w:sz w:val="24"/>
        </w:rPr>
        <w:t>service discourages customer engagement and encourages customers to view</w:t>
      </w:r>
      <w:r>
        <w:rPr>
          <w:sz w:val="24"/>
        </w:rPr>
        <w:t xml:space="preserve"> </w:t>
      </w:r>
      <w:r w:rsidRPr="00CA7BDC">
        <w:rPr>
          <w:sz w:val="24"/>
        </w:rPr>
        <w:t xml:space="preserve">electric service as a commodity only product over </w:t>
      </w:r>
      <w:r>
        <w:rPr>
          <w:sz w:val="24"/>
        </w:rPr>
        <w:t xml:space="preserve">which they have no control. As </w:t>
      </w:r>
      <w:r w:rsidRPr="00CA7BDC">
        <w:rPr>
          <w:sz w:val="24"/>
        </w:rPr>
        <w:t xml:space="preserve">such, IGS has made a number of proposals over </w:t>
      </w:r>
      <w:r>
        <w:rPr>
          <w:sz w:val="24"/>
        </w:rPr>
        <w:t xml:space="preserve">the years that would encourage </w:t>
      </w:r>
      <w:r w:rsidRPr="00CA7BDC">
        <w:rPr>
          <w:sz w:val="24"/>
        </w:rPr>
        <w:t>customers to affirmatively choose a retail</w:t>
      </w:r>
      <w:r>
        <w:rPr>
          <w:sz w:val="24"/>
        </w:rPr>
        <w:t xml:space="preserve"> electric product based on the</w:t>
      </w:r>
      <w:r w:rsidRPr="00CA7BDC">
        <w:rPr>
          <w:sz w:val="24"/>
        </w:rPr>
        <w:t xml:space="preserve"> preferences of the custome</w:t>
      </w:r>
      <w:r>
        <w:rPr>
          <w:sz w:val="24"/>
        </w:rPr>
        <w:t>rs</w:t>
      </w:r>
      <w:r w:rsidR="00980E10">
        <w:rPr>
          <w:sz w:val="24"/>
        </w:rPr>
        <w:t>.</w:t>
      </w:r>
      <w:r w:rsidR="00FA1823">
        <w:rPr>
          <w:rStyle w:val="FootnoteReference"/>
          <w:sz w:val="24"/>
        </w:rPr>
        <w:footnoteReference w:id="8"/>
      </w:r>
    </w:p>
    <w:p w:rsidR="000C601C" w:rsidRDefault="000C601C" w:rsidP="000C601C">
      <w:pPr>
        <w:spacing w:before="120"/>
        <w:ind w:left="720" w:right="720"/>
        <w:rPr>
          <w:sz w:val="24"/>
        </w:rPr>
      </w:pPr>
    </w:p>
    <w:p w:rsidR="00CC5D3A" w:rsidRDefault="00CC5D3A" w:rsidP="00CC5D3A">
      <w:pPr>
        <w:spacing w:line="480" w:lineRule="auto"/>
        <w:rPr>
          <w:sz w:val="24"/>
        </w:rPr>
      </w:pPr>
      <w:r>
        <w:rPr>
          <w:sz w:val="24"/>
        </w:rPr>
        <w:t>Mr. White further testified that, over the years, IGS has proposed several different mechanisms through which the Commission may enhance the retail electric market.</w:t>
      </w:r>
    </w:p>
    <w:p w:rsidR="000F6857" w:rsidRDefault="00980E10" w:rsidP="000F6857">
      <w:pPr>
        <w:spacing w:line="480" w:lineRule="auto"/>
        <w:ind w:firstLine="720"/>
        <w:rPr>
          <w:sz w:val="24"/>
        </w:rPr>
      </w:pPr>
      <w:r>
        <w:rPr>
          <w:sz w:val="24"/>
        </w:rPr>
        <w:t>On December 1, 2015, a diverse group of parties</w:t>
      </w:r>
      <w:r w:rsidR="00043FE1">
        <w:rPr>
          <w:sz w:val="24"/>
        </w:rPr>
        <w:t xml:space="preserve"> submitted a </w:t>
      </w:r>
      <w:r w:rsidR="000F6857">
        <w:rPr>
          <w:sz w:val="24"/>
        </w:rPr>
        <w:t xml:space="preserve">Third Supplemental </w:t>
      </w:r>
      <w:r w:rsidR="00043FE1">
        <w:rPr>
          <w:sz w:val="24"/>
        </w:rPr>
        <w:t>Stipulation and Recommendation (“Stipulation”) to resolve the outstanding issues presented in this proceeding.</w:t>
      </w:r>
      <w:r w:rsidR="00043FE1">
        <w:rPr>
          <w:rStyle w:val="FootnoteReference"/>
          <w:sz w:val="24"/>
        </w:rPr>
        <w:footnoteReference w:id="9"/>
      </w:r>
      <w:r w:rsidR="000F6857">
        <w:rPr>
          <w:sz w:val="24"/>
        </w:rPr>
        <w:t xml:space="preserve">  The Stipulation provided</w:t>
      </w:r>
      <w:r w:rsidR="000C601C">
        <w:rPr>
          <w:sz w:val="24"/>
        </w:rPr>
        <w:t xml:space="preserve"> </w:t>
      </w:r>
      <w:r w:rsidR="000F6857">
        <w:rPr>
          <w:sz w:val="24"/>
        </w:rPr>
        <w:t>that Firs</w:t>
      </w:r>
      <w:r>
        <w:rPr>
          <w:sz w:val="24"/>
        </w:rPr>
        <w:t>tEnergy shall transform the electric sector</w:t>
      </w:r>
      <w:r w:rsidR="00112ADA">
        <w:rPr>
          <w:sz w:val="24"/>
        </w:rPr>
        <w:t xml:space="preserve"> through the roll</w:t>
      </w:r>
      <w:r w:rsidR="000F6857">
        <w:rPr>
          <w:sz w:val="24"/>
        </w:rPr>
        <w:t>out of smart grid technologies, which among other things, are</w:t>
      </w:r>
      <w:r w:rsidR="00C646F8">
        <w:rPr>
          <w:sz w:val="24"/>
        </w:rPr>
        <w:t xml:space="preserve"> ultimately</w:t>
      </w:r>
      <w:r w:rsidR="000F6857">
        <w:rPr>
          <w:sz w:val="24"/>
        </w:rPr>
        <w:t xml:space="preserve"> intended to</w:t>
      </w:r>
      <w:r w:rsidR="00C646F8">
        <w:rPr>
          <w:sz w:val="24"/>
        </w:rPr>
        <w:t xml:space="preserve"> enhance </w:t>
      </w:r>
      <w:r w:rsidR="000F6857">
        <w:rPr>
          <w:sz w:val="24"/>
        </w:rPr>
        <w:t>customer engagement</w:t>
      </w:r>
      <w:r w:rsidR="00C646F8">
        <w:rPr>
          <w:sz w:val="24"/>
        </w:rPr>
        <w:t xml:space="preserve"> and retail competition</w:t>
      </w:r>
      <w:r w:rsidR="000F6857">
        <w:rPr>
          <w:sz w:val="24"/>
        </w:rPr>
        <w:t xml:space="preserve">: </w:t>
      </w:r>
    </w:p>
    <w:p w:rsidR="000F6857" w:rsidRDefault="000F6857" w:rsidP="000F6857">
      <w:pPr>
        <w:ind w:left="720" w:right="720"/>
        <w:rPr>
          <w:sz w:val="24"/>
        </w:rPr>
      </w:pPr>
      <w:r>
        <w:rPr>
          <w:sz w:val="24"/>
        </w:rPr>
        <w:t xml:space="preserve">The Signatory Parties, </w:t>
      </w:r>
      <w:r w:rsidRPr="000F6857">
        <w:rPr>
          <w:sz w:val="24"/>
        </w:rPr>
        <w:t xml:space="preserve">including the Staff, believe that </w:t>
      </w:r>
      <w:r w:rsidRPr="000F6857">
        <w:rPr>
          <w:b/>
          <w:sz w:val="24"/>
          <w:u w:val="single"/>
        </w:rPr>
        <w:t>now is the time for the Companies to implement groundbreaking efforts to actively engage with retail customers</w:t>
      </w:r>
      <w:r w:rsidRPr="000F6857">
        <w:rPr>
          <w:sz w:val="24"/>
        </w:rPr>
        <w:t xml:space="preserve"> to modernize and expand the electric</w:t>
      </w:r>
      <w:r>
        <w:rPr>
          <w:sz w:val="24"/>
        </w:rPr>
        <w:t xml:space="preserve"> </w:t>
      </w:r>
      <w:r w:rsidRPr="000F6857">
        <w:rPr>
          <w:sz w:val="24"/>
        </w:rPr>
        <w:t>distribution grid to ensure that the State's long-term resource adequacy needs continue to be</w:t>
      </w:r>
      <w:r>
        <w:rPr>
          <w:sz w:val="24"/>
        </w:rPr>
        <w:t xml:space="preserve"> </w:t>
      </w:r>
      <w:r w:rsidRPr="000F6857">
        <w:rPr>
          <w:sz w:val="24"/>
        </w:rPr>
        <w:t>met in a responsible manner. In particular, the Companies, Staff, and the Signatory Parties are</w:t>
      </w:r>
      <w:r>
        <w:rPr>
          <w:sz w:val="24"/>
        </w:rPr>
        <w:t xml:space="preserve"> </w:t>
      </w:r>
      <w:r w:rsidRPr="000F6857">
        <w:rPr>
          <w:sz w:val="24"/>
        </w:rPr>
        <w:t xml:space="preserve">confident that' their </w:t>
      </w:r>
      <w:r w:rsidRPr="000F6857">
        <w:rPr>
          <w:b/>
          <w:sz w:val="24"/>
          <w:u w:val="single"/>
        </w:rPr>
        <w:t>grid modernization initiatives should not only provide savings from advance metering infrastructure, Distribution Automation, circuit reconfiguration, and VOLT VAR, but also enhance retail competition in the State of Ohio through the full deployment of advanced smart meters</w:t>
      </w:r>
      <w:r w:rsidRPr="000F6857">
        <w:rPr>
          <w:sz w:val="24"/>
        </w:rPr>
        <w:t>.</w:t>
      </w:r>
      <w:r>
        <w:rPr>
          <w:rStyle w:val="FootnoteReference"/>
          <w:sz w:val="24"/>
        </w:rPr>
        <w:footnoteReference w:id="10"/>
      </w:r>
    </w:p>
    <w:p w:rsidR="000F6857" w:rsidRDefault="000F6857" w:rsidP="000F6857">
      <w:pPr>
        <w:ind w:right="720"/>
        <w:rPr>
          <w:sz w:val="24"/>
        </w:rPr>
      </w:pPr>
    </w:p>
    <w:p w:rsidR="000F6857" w:rsidRDefault="00AD46C8" w:rsidP="00AD46C8">
      <w:pPr>
        <w:spacing w:line="480" w:lineRule="auto"/>
        <w:ind w:firstLine="720"/>
        <w:rPr>
          <w:sz w:val="24"/>
        </w:rPr>
      </w:pPr>
      <w:r>
        <w:rPr>
          <w:sz w:val="24"/>
        </w:rPr>
        <w:t>In partial opposition</w:t>
      </w:r>
      <w:r w:rsidR="00334C75">
        <w:rPr>
          <w:sz w:val="24"/>
        </w:rPr>
        <w:t xml:space="preserve"> to </w:t>
      </w:r>
      <w:r>
        <w:rPr>
          <w:sz w:val="24"/>
        </w:rPr>
        <w:t>the Stipulation, the Retail Energy Supply Association submitted the testimony of witness Brenda Crockett-</w:t>
      </w:r>
      <w:proofErr w:type="spellStart"/>
      <w:r>
        <w:rPr>
          <w:sz w:val="24"/>
        </w:rPr>
        <w:t>McNew</w:t>
      </w:r>
      <w:proofErr w:type="spellEnd"/>
      <w:r>
        <w:rPr>
          <w:sz w:val="24"/>
        </w:rPr>
        <w:t>.  In her testimony, Ms. Crockett-</w:t>
      </w:r>
      <w:proofErr w:type="spellStart"/>
      <w:r>
        <w:rPr>
          <w:sz w:val="24"/>
        </w:rPr>
        <w:t>McNew</w:t>
      </w:r>
      <w:proofErr w:type="spellEnd"/>
      <w:r>
        <w:rPr>
          <w:sz w:val="24"/>
        </w:rPr>
        <w:t xml:space="preserve"> agreed that smart grid deployment may enable suppliers to offer customers innovative products and services:</w:t>
      </w:r>
    </w:p>
    <w:p w:rsidR="00AD46C8" w:rsidRDefault="00AD46C8" w:rsidP="00AD46C8">
      <w:pPr>
        <w:ind w:left="720" w:right="720"/>
        <w:rPr>
          <w:sz w:val="24"/>
        </w:rPr>
      </w:pPr>
      <w:r>
        <w:rPr>
          <w:sz w:val="24"/>
        </w:rPr>
        <w:t>Customers currently without smart meters would further benefit from</w:t>
      </w:r>
      <w:r w:rsidRPr="00AD46C8">
        <w:rPr>
          <w:sz w:val="24"/>
        </w:rPr>
        <w:t xml:space="preserve"> greater product options, such a</w:t>
      </w:r>
      <w:r>
        <w:rPr>
          <w:sz w:val="24"/>
        </w:rPr>
        <w:t xml:space="preserve">s time-of-use or peak-shaving </w:t>
      </w:r>
      <w:r w:rsidRPr="00AD46C8">
        <w:rPr>
          <w:sz w:val="24"/>
        </w:rPr>
        <w:t>products. There are companies who use the meters within</w:t>
      </w:r>
      <w:r>
        <w:rPr>
          <w:sz w:val="24"/>
        </w:rPr>
        <w:t xml:space="preserve"> homes and businesses (through </w:t>
      </w:r>
      <w:r w:rsidRPr="00AD46C8">
        <w:rPr>
          <w:sz w:val="24"/>
        </w:rPr>
        <w:t>device-level analytics) to allow customers to make bet</w:t>
      </w:r>
      <w:r>
        <w:rPr>
          <w:sz w:val="24"/>
        </w:rPr>
        <w:t xml:space="preserve">ter-informed energy decisions. </w:t>
      </w:r>
      <w:r w:rsidRPr="00AD46C8">
        <w:rPr>
          <w:sz w:val="24"/>
        </w:rPr>
        <w:t>This type of grid modernization is changing the face of utili</w:t>
      </w:r>
      <w:r>
        <w:rPr>
          <w:sz w:val="24"/>
        </w:rPr>
        <w:t xml:space="preserve">ty and electricity services to </w:t>
      </w:r>
      <w:r w:rsidRPr="00AD46C8">
        <w:rPr>
          <w:sz w:val="24"/>
        </w:rPr>
        <w:t>the benefit of all customers</w:t>
      </w:r>
      <w:r w:rsidR="00FA1823">
        <w:rPr>
          <w:sz w:val="24"/>
        </w:rPr>
        <w:t>.</w:t>
      </w:r>
      <w:r>
        <w:rPr>
          <w:rStyle w:val="FootnoteReference"/>
          <w:sz w:val="24"/>
        </w:rPr>
        <w:footnoteReference w:id="11"/>
      </w:r>
    </w:p>
    <w:p w:rsidR="00EE63FA" w:rsidRDefault="00EE63FA" w:rsidP="00EE63FA">
      <w:pPr>
        <w:ind w:right="720"/>
        <w:rPr>
          <w:sz w:val="24"/>
        </w:rPr>
      </w:pPr>
    </w:p>
    <w:p w:rsidR="00F406B6" w:rsidRDefault="00980E10" w:rsidP="00FA1823">
      <w:pPr>
        <w:spacing w:line="480" w:lineRule="auto"/>
        <w:rPr>
          <w:sz w:val="24"/>
        </w:rPr>
      </w:pPr>
      <w:r>
        <w:rPr>
          <w:sz w:val="24"/>
        </w:rPr>
        <w:t>The Commission relied upon Ms. Crockett-</w:t>
      </w:r>
      <w:proofErr w:type="spellStart"/>
      <w:r>
        <w:rPr>
          <w:sz w:val="24"/>
        </w:rPr>
        <w:t>McNew’s</w:t>
      </w:r>
      <w:proofErr w:type="spellEnd"/>
      <w:r>
        <w:rPr>
          <w:sz w:val="24"/>
        </w:rPr>
        <w:t xml:space="preserve"> testimony in the Entry</w:t>
      </w:r>
      <w:r w:rsidR="00FA1823">
        <w:rPr>
          <w:sz w:val="24"/>
        </w:rPr>
        <w:t xml:space="preserve"> to support its conclusion that smart grid will promote the development of innovative products and services</w:t>
      </w:r>
      <w:r>
        <w:rPr>
          <w:sz w:val="24"/>
        </w:rPr>
        <w:t>.</w:t>
      </w:r>
      <w:r w:rsidR="00B812DD">
        <w:rPr>
          <w:rStyle w:val="FootnoteReference"/>
          <w:sz w:val="24"/>
        </w:rPr>
        <w:footnoteReference w:id="12"/>
      </w:r>
      <w:r>
        <w:rPr>
          <w:sz w:val="24"/>
        </w:rPr>
        <w:t xml:space="preserve"> </w:t>
      </w:r>
      <w:r w:rsidR="00F406B6">
        <w:rPr>
          <w:sz w:val="24"/>
        </w:rPr>
        <w:t>D</w:t>
      </w:r>
      <w:r w:rsidR="00EE63FA">
        <w:rPr>
          <w:sz w:val="24"/>
        </w:rPr>
        <w:t>uring cross-examination,</w:t>
      </w:r>
      <w:r w:rsidR="00F406B6">
        <w:rPr>
          <w:sz w:val="24"/>
        </w:rPr>
        <w:t xml:space="preserve"> however,</w:t>
      </w:r>
      <w:r w:rsidR="00EE63FA">
        <w:rPr>
          <w:sz w:val="24"/>
        </w:rPr>
        <w:t xml:space="preserve"> Ms. Crockett-</w:t>
      </w:r>
      <w:proofErr w:type="spellStart"/>
      <w:r w:rsidR="00EE63FA">
        <w:rPr>
          <w:sz w:val="24"/>
        </w:rPr>
        <w:t>McNew</w:t>
      </w:r>
      <w:proofErr w:type="spellEnd"/>
      <w:r w:rsidR="00EE63FA">
        <w:rPr>
          <w:sz w:val="24"/>
        </w:rPr>
        <w:t xml:space="preserve"> testified that her testimony is based upon her experience in Texas.</w:t>
      </w:r>
      <w:r w:rsidR="00EE63FA">
        <w:rPr>
          <w:rStyle w:val="FootnoteReference"/>
          <w:sz w:val="24"/>
        </w:rPr>
        <w:footnoteReference w:id="13"/>
      </w:r>
      <w:r w:rsidR="00EE63FA">
        <w:rPr>
          <w:sz w:val="24"/>
        </w:rPr>
        <w:t xml:space="preserve">  </w:t>
      </w:r>
      <w:r w:rsidR="00F406B6">
        <w:rPr>
          <w:sz w:val="24"/>
        </w:rPr>
        <w:t>While IGS has a great deal of respect for Ms. Crockett-</w:t>
      </w:r>
      <w:proofErr w:type="spellStart"/>
      <w:r w:rsidR="00F406B6">
        <w:rPr>
          <w:sz w:val="24"/>
        </w:rPr>
        <w:t>McNew</w:t>
      </w:r>
      <w:proofErr w:type="spellEnd"/>
      <w:r w:rsidR="00F406B6">
        <w:rPr>
          <w:sz w:val="24"/>
        </w:rPr>
        <w:t>, it is commonly known that the Tex</w:t>
      </w:r>
      <w:r>
        <w:rPr>
          <w:sz w:val="24"/>
        </w:rPr>
        <w:t>as retail electric market is structurally different from</w:t>
      </w:r>
      <w:r w:rsidR="00F406B6">
        <w:rPr>
          <w:sz w:val="24"/>
        </w:rPr>
        <w:t xml:space="preserve"> Ohio.  </w:t>
      </w:r>
      <w:r w:rsidR="00F406B6" w:rsidRPr="00B812DD">
        <w:rPr>
          <w:sz w:val="24"/>
        </w:rPr>
        <w:t>A</w:t>
      </w:r>
      <w:r w:rsidR="00EE63FA" w:rsidRPr="00B812DD">
        <w:rPr>
          <w:sz w:val="24"/>
        </w:rPr>
        <w:t>ll customers in Texas are required to engage directly wi</w:t>
      </w:r>
      <w:r w:rsidR="00286A25" w:rsidRPr="00B812DD">
        <w:rPr>
          <w:sz w:val="24"/>
        </w:rPr>
        <w:t>th the retail electric market</w:t>
      </w:r>
      <w:r w:rsidR="00286A25">
        <w:rPr>
          <w:sz w:val="24"/>
        </w:rPr>
        <w:t>—default service</w:t>
      </w:r>
      <w:r w:rsidR="00823BE2">
        <w:rPr>
          <w:sz w:val="24"/>
        </w:rPr>
        <w:t xml:space="preserve"> does not exist</w:t>
      </w:r>
      <w:r w:rsidR="00286A25">
        <w:rPr>
          <w:sz w:val="24"/>
        </w:rPr>
        <w:t xml:space="preserve">; customers </w:t>
      </w:r>
      <w:r w:rsidR="00EE63FA" w:rsidRPr="00286A25">
        <w:rPr>
          <w:sz w:val="24"/>
        </w:rPr>
        <w:t xml:space="preserve">must </w:t>
      </w:r>
      <w:r w:rsidR="00286A25">
        <w:rPr>
          <w:sz w:val="24"/>
        </w:rPr>
        <w:t xml:space="preserve">evaluate between competing offers, products and services and </w:t>
      </w:r>
      <w:r w:rsidR="00EE63FA" w:rsidRPr="00286A25">
        <w:rPr>
          <w:sz w:val="24"/>
        </w:rPr>
        <w:t>choose an electric supplier</w:t>
      </w:r>
      <w:r w:rsidR="00286A25">
        <w:rPr>
          <w:sz w:val="24"/>
        </w:rPr>
        <w:t xml:space="preserve"> that fits their individual needs</w:t>
      </w:r>
      <w:r w:rsidR="00286A25">
        <w:rPr>
          <w:i/>
          <w:sz w:val="24"/>
        </w:rPr>
        <w:t>.</w:t>
      </w:r>
      <w:r w:rsidR="00B812DD">
        <w:rPr>
          <w:rStyle w:val="FootnoteReference"/>
          <w:i/>
          <w:sz w:val="24"/>
        </w:rPr>
        <w:footnoteReference w:id="14"/>
      </w:r>
      <w:r w:rsidR="00286A25">
        <w:rPr>
          <w:sz w:val="24"/>
        </w:rPr>
        <w:t xml:space="preserve"> </w:t>
      </w:r>
      <w:r w:rsidR="00F406B6">
        <w:rPr>
          <w:sz w:val="24"/>
        </w:rPr>
        <w:t xml:space="preserve"> As identified by Mr. White, smart grid will not enhance the retail electric market without direct customer engagement.</w:t>
      </w:r>
      <w:r w:rsidR="007555EB">
        <w:rPr>
          <w:sz w:val="24"/>
        </w:rPr>
        <w:t xml:space="preserve">  Fortunately, IGS and FirstEnergy </w:t>
      </w:r>
      <w:r w:rsidR="007555EB">
        <w:rPr>
          <w:sz w:val="24"/>
        </w:rPr>
        <w:lastRenderedPageBreak/>
        <w:t>have presented to the Commission a potential solution for future evaluation in a separate proceeding.</w:t>
      </w:r>
    </w:p>
    <w:p w:rsidR="00F406B6" w:rsidRDefault="00F406B6" w:rsidP="007D583C">
      <w:pPr>
        <w:spacing w:line="480" w:lineRule="auto"/>
        <w:ind w:firstLine="720"/>
        <w:rPr>
          <w:sz w:val="24"/>
        </w:rPr>
      </w:pPr>
      <w:r>
        <w:rPr>
          <w:sz w:val="24"/>
        </w:rPr>
        <w:t>To address the shortcomings in residential customer engagement, o</w:t>
      </w:r>
      <w:r w:rsidR="00043FE1">
        <w:rPr>
          <w:sz w:val="24"/>
        </w:rPr>
        <w:t>n January 14, 2016</w:t>
      </w:r>
      <w:r>
        <w:rPr>
          <w:sz w:val="24"/>
        </w:rPr>
        <w:t>, IGS</w:t>
      </w:r>
      <w:r w:rsidR="00043FE1">
        <w:rPr>
          <w:sz w:val="24"/>
        </w:rPr>
        <w:t xml:space="preserve"> entered into a </w:t>
      </w:r>
      <w:r w:rsidR="00043FE1" w:rsidRPr="00975934">
        <w:rPr>
          <w:sz w:val="24"/>
        </w:rPr>
        <w:t>Competitive Market Enhancement Agreement</w:t>
      </w:r>
      <w:r w:rsidR="00043FE1">
        <w:rPr>
          <w:sz w:val="24"/>
        </w:rPr>
        <w:t xml:space="preserve"> (“Enhancement Agreement”) with FirstEnergy and joined the Stipulation as a signatory party.  Pursuant to the E</w:t>
      </w:r>
      <w:r w:rsidR="007D583C">
        <w:rPr>
          <w:sz w:val="24"/>
        </w:rPr>
        <w:t xml:space="preserve">nhancement Agreement, </w:t>
      </w:r>
      <w:r w:rsidR="00043FE1">
        <w:rPr>
          <w:sz w:val="24"/>
        </w:rPr>
        <w:t>“</w:t>
      </w:r>
      <w:r w:rsidR="00744D5A">
        <w:rPr>
          <w:sz w:val="24"/>
        </w:rPr>
        <w:t>[i]</w:t>
      </w:r>
      <w:r w:rsidR="007D583C" w:rsidRPr="007D583C">
        <w:rPr>
          <w:sz w:val="24"/>
        </w:rPr>
        <w:t>n an effort to demonstrate continued support for the competitive</w:t>
      </w:r>
      <w:r w:rsidR="007D583C">
        <w:rPr>
          <w:sz w:val="24"/>
        </w:rPr>
        <w:t xml:space="preserve"> market, the Companies agree[d] to </w:t>
      </w:r>
      <w:r w:rsidR="007D583C" w:rsidRPr="007D583C">
        <w:rPr>
          <w:sz w:val="24"/>
        </w:rPr>
        <w:t>make a filing that requests the Commission</w:t>
      </w:r>
      <w:r w:rsidR="007D583C">
        <w:rPr>
          <w:sz w:val="24"/>
        </w:rPr>
        <w:t xml:space="preserve"> </w:t>
      </w:r>
      <w:r w:rsidR="00043FE1">
        <w:rPr>
          <w:sz w:val="24"/>
        </w:rPr>
        <w:t>to</w:t>
      </w:r>
      <w:r w:rsidR="00043FE1" w:rsidRPr="00975934">
        <w:rPr>
          <w:sz w:val="24"/>
        </w:rPr>
        <w:t xml:space="preserve"> establish a retail competition incentive mechanism</w:t>
      </w:r>
      <w:r w:rsidR="00FA1823">
        <w:rPr>
          <w:sz w:val="24"/>
        </w:rPr>
        <w:t xml:space="preserve"> [RCE</w:t>
      </w:r>
      <w:r w:rsidR="00043FE1">
        <w:rPr>
          <w:sz w:val="24"/>
        </w:rPr>
        <w:t xml:space="preserve"> Rider]</w:t>
      </w:r>
      <w:r w:rsidR="00043FE1" w:rsidRPr="00975934">
        <w:rPr>
          <w:sz w:val="24"/>
        </w:rPr>
        <w:t xml:space="preserve"> in addition to the </w:t>
      </w:r>
      <w:proofErr w:type="spellStart"/>
      <w:r w:rsidR="00043FE1" w:rsidRPr="00975934">
        <w:rPr>
          <w:sz w:val="24"/>
        </w:rPr>
        <w:t>bypassable</w:t>
      </w:r>
      <w:proofErr w:type="spellEnd"/>
      <w:r w:rsidR="00043FE1" w:rsidRPr="00975934">
        <w:rPr>
          <w:sz w:val="24"/>
        </w:rPr>
        <w:t xml:space="preserve"> charges applied to non-shopping customers with the purpose of incenting shopping</w:t>
      </w:r>
      <w:r w:rsidR="00043FE1">
        <w:rPr>
          <w:sz w:val="24"/>
        </w:rPr>
        <w:t>.”</w:t>
      </w:r>
      <w:r w:rsidR="00043FE1">
        <w:rPr>
          <w:rStyle w:val="FootnoteReference"/>
          <w:sz w:val="24"/>
        </w:rPr>
        <w:footnoteReference w:id="15"/>
      </w:r>
      <w:r w:rsidR="007D583C">
        <w:rPr>
          <w:sz w:val="24"/>
        </w:rPr>
        <w:t xml:space="preserve">  Thus, the RCE Rider was intended to </w:t>
      </w:r>
      <w:r w:rsidR="003173E9">
        <w:rPr>
          <w:sz w:val="24"/>
        </w:rPr>
        <w:t xml:space="preserve">enhance </w:t>
      </w:r>
      <w:r w:rsidR="007D583C">
        <w:rPr>
          <w:sz w:val="24"/>
        </w:rPr>
        <w:t>customer engagement with the competitive retail electric market and to provide financial incentives to encourage shopping.</w:t>
      </w:r>
      <w:r>
        <w:rPr>
          <w:sz w:val="24"/>
        </w:rPr>
        <w:t xml:space="preserve">  </w:t>
      </w:r>
    </w:p>
    <w:p w:rsidR="00043FE1" w:rsidRDefault="00F406B6" w:rsidP="00F406B6">
      <w:pPr>
        <w:spacing w:line="480" w:lineRule="auto"/>
        <w:ind w:firstLine="720"/>
        <w:rPr>
          <w:sz w:val="24"/>
        </w:rPr>
      </w:pPr>
      <w:r>
        <w:rPr>
          <w:sz w:val="24"/>
        </w:rPr>
        <w:t>Following the submission of briefs, o</w:t>
      </w:r>
      <w:r w:rsidR="00043FE1">
        <w:rPr>
          <w:sz w:val="24"/>
        </w:rPr>
        <w:t xml:space="preserve">n March 31, 2016, </w:t>
      </w:r>
      <w:r>
        <w:rPr>
          <w:sz w:val="24"/>
        </w:rPr>
        <w:t xml:space="preserve">the Commission </w:t>
      </w:r>
      <w:r w:rsidR="00744D5A">
        <w:rPr>
          <w:sz w:val="24"/>
        </w:rPr>
        <w:t>issued an Order</w:t>
      </w:r>
      <w:r w:rsidR="00043FE1">
        <w:rPr>
          <w:sz w:val="24"/>
        </w:rPr>
        <w:t xml:space="preserve"> modifying and approving the Stipulation.  Among other things, the Commission authorized FirstEnergy to establish a placeholder </w:t>
      </w:r>
      <w:r>
        <w:rPr>
          <w:sz w:val="24"/>
        </w:rPr>
        <w:t xml:space="preserve">RCE Rider </w:t>
      </w:r>
      <w:r w:rsidR="00043FE1">
        <w:rPr>
          <w:sz w:val="24"/>
        </w:rPr>
        <w:t>set at zero, which shall be the subject of a future application.</w:t>
      </w:r>
      <w:r w:rsidR="00744D5A">
        <w:rPr>
          <w:rStyle w:val="FootnoteReference"/>
          <w:sz w:val="24"/>
        </w:rPr>
        <w:footnoteReference w:id="16"/>
      </w:r>
      <w:r w:rsidR="00043FE1">
        <w:rPr>
          <w:sz w:val="24"/>
        </w:rPr>
        <w:t xml:space="preserve">  Although the Enhancement Agreement did not </w:t>
      </w:r>
      <w:r w:rsidR="00CC5D3A">
        <w:rPr>
          <w:sz w:val="24"/>
        </w:rPr>
        <w:t>contemplate</w:t>
      </w:r>
      <w:r w:rsidR="00AC38F3">
        <w:rPr>
          <w:sz w:val="24"/>
        </w:rPr>
        <w:t xml:space="preserve"> “unbundling” of distribution rates</w:t>
      </w:r>
      <w:r w:rsidR="00043FE1">
        <w:rPr>
          <w:sz w:val="24"/>
        </w:rPr>
        <w:t xml:space="preserve">, the Order </w:t>
      </w:r>
      <w:r w:rsidR="00AC38F3">
        <w:rPr>
          <w:sz w:val="24"/>
        </w:rPr>
        <w:t>contemplate</w:t>
      </w:r>
      <w:r w:rsidR="00CC5D3A">
        <w:rPr>
          <w:sz w:val="24"/>
        </w:rPr>
        <w:t>d</w:t>
      </w:r>
      <w:r w:rsidR="00AC38F3">
        <w:rPr>
          <w:sz w:val="24"/>
        </w:rPr>
        <w:t xml:space="preserve"> that</w:t>
      </w:r>
      <w:r w:rsidR="00CC5D3A">
        <w:rPr>
          <w:sz w:val="24"/>
        </w:rPr>
        <w:t xml:space="preserve"> FirstEnergy would explore</w:t>
      </w:r>
      <w:r w:rsidR="00AC38F3">
        <w:rPr>
          <w:sz w:val="24"/>
        </w:rPr>
        <w:t xml:space="preserve"> the concept of “unbundling” </w:t>
      </w:r>
      <w:r w:rsidR="00CC5D3A">
        <w:rPr>
          <w:sz w:val="24"/>
        </w:rPr>
        <w:t>in a future application</w:t>
      </w:r>
      <w:r w:rsidR="00043FE1">
        <w:rPr>
          <w:sz w:val="24"/>
        </w:rPr>
        <w:t>.</w:t>
      </w:r>
      <w:r w:rsidR="00744D5A">
        <w:rPr>
          <w:rStyle w:val="FootnoteReference"/>
          <w:sz w:val="24"/>
        </w:rPr>
        <w:footnoteReference w:id="17"/>
      </w:r>
      <w:r w:rsidR="00043FE1">
        <w:rPr>
          <w:sz w:val="24"/>
        </w:rPr>
        <w:t xml:space="preserve">  FirstEnergy filed an application for rehearing requesting that the Commission clarify that </w:t>
      </w:r>
      <w:r w:rsidR="00AC38F3">
        <w:rPr>
          <w:sz w:val="24"/>
        </w:rPr>
        <w:t xml:space="preserve">the Commission did not intend for the Companies to explore an exercise of </w:t>
      </w:r>
      <w:r w:rsidR="00043FE1">
        <w:rPr>
          <w:sz w:val="24"/>
        </w:rPr>
        <w:t>unbundl</w:t>
      </w:r>
      <w:r w:rsidR="00AC38F3">
        <w:rPr>
          <w:sz w:val="24"/>
        </w:rPr>
        <w:t>ing</w:t>
      </w:r>
      <w:r w:rsidR="00043FE1">
        <w:rPr>
          <w:sz w:val="24"/>
        </w:rPr>
        <w:t xml:space="preserve"> distribution rates in </w:t>
      </w:r>
      <w:r w:rsidR="00043FE1">
        <w:rPr>
          <w:sz w:val="24"/>
        </w:rPr>
        <w:lastRenderedPageBreak/>
        <w:t>order to satisfy the objective of the Enhancement Agreement.  IGS represented in a letter submitted on May 2, 2016 that while</w:t>
      </w:r>
      <w:r w:rsidR="00043FE1" w:rsidRPr="00BA6E63">
        <w:rPr>
          <w:sz w:val="24"/>
        </w:rPr>
        <w:t xml:space="preserve"> IGS continues to su</w:t>
      </w:r>
      <w:r w:rsidR="00043FE1">
        <w:rPr>
          <w:sz w:val="24"/>
        </w:rPr>
        <w:t>pport the concept of unbundling,</w:t>
      </w:r>
      <w:r w:rsidR="00043FE1" w:rsidRPr="00BA6E63">
        <w:rPr>
          <w:sz w:val="24"/>
        </w:rPr>
        <w:t xml:space="preserve"> </w:t>
      </w:r>
      <w:r w:rsidR="00043FE1">
        <w:rPr>
          <w:sz w:val="24"/>
        </w:rPr>
        <w:t>“</w:t>
      </w:r>
      <w:r w:rsidR="00043FE1" w:rsidRPr="00BA6E63">
        <w:rPr>
          <w:sz w:val="24"/>
        </w:rPr>
        <w:t>to the extent that FirstEnergy’s application for rehearing is consistent with the intent of the Enhancement Agreement, IGS is supportive of FirstEnergy’s requested modification to the Order</w:t>
      </w:r>
      <w:r w:rsidR="00043FE1">
        <w:rPr>
          <w:sz w:val="24"/>
        </w:rPr>
        <w:t>.”</w:t>
      </w:r>
      <w:r w:rsidR="00744D5A">
        <w:rPr>
          <w:rStyle w:val="FootnoteReference"/>
          <w:sz w:val="24"/>
        </w:rPr>
        <w:footnoteReference w:id="18"/>
      </w:r>
      <w:r w:rsidR="00AC38F3">
        <w:rPr>
          <w:sz w:val="24"/>
        </w:rPr>
        <w:t xml:space="preserve">  To be clear, IGS </w:t>
      </w:r>
      <w:r w:rsidR="00CC5D3A">
        <w:rPr>
          <w:sz w:val="24"/>
        </w:rPr>
        <w:t xml:space="preserve">is not requesting that the Commission direct FirstEnergy </w:t>
      </w:r>
      <w:r w:rsidR="00702E23">
        <w:rPr>
          <w:sz w:val="24"/>
        </w:rPr>
        <w:t xml:space="preserve">to </w:t>
      </w:r>
      <w:r w:rsidR="00AC38F3">
        <w:rPr>
          <w:sz w:val="24"/>
        </w:rPr>
        <w:t>unbundle distribution rates to implement and effectuate the Enhancement Agreement.</w:t>
      </w:r>
    </w:p>
    <w:p w:rsidR="000C601C" w:rsidRDefault="00F406B6" w:rsidP="00043FE1">
      <w:pPr>
        <w:spacing w:line="480" w:lineRule="auto"/>
        <w:ind w:firstLine="720"/>
        <w:rPr>
          <w:sz w:val="24"/>
        </w:rPr>
      </w:pPr>
      <w:r>
        <w:rPr>
          <w:sz w:val="24"/>
        </w:rPr>
        <w:t>In the Entry that is the subject of this application for rehearing, the Commission granted FirstEnergy’s application for rehearing, but also determined that IGS and FirstEnergy had failed to submit sufficient evidence to support thei</w:t>
      </w:r>
      <w:r w:rsidR="0034266E">
        <w:rPr>
          <w:sz w:val="24"/>
        </w:rPr>
        <w:t>r alternative proposal for</w:t>
      </w:r>
      <w:r>
        <w:rPr>
          <w:sz w:val="24"/>
        </w:rPr>
        <w:t xml:space="preserve"> RCE</w:t>
      </w:r>
      <w:r w:rsidR="0034266E">
        <w:rPr>
          <w:sz w:val="24"/>
        </w:rPr>
        <w:t xml:space="preserve"> Rider even on a placeholder basis, stating</w:t>
      </w:r>
      <w:r>
        <w:rPr>
          <w:sz w:val="24"/>
        </w:rPr>
        <w:t>:</w:t>
      </w:r>
    </w:p>
    <w:p w:rsidR="00F406B6" w:rsidRDefault="00F406B6" w:rsidP="00B17E89">
      <w:pPr>
        <w:ind w:left="720" w:right="720"/>
        <w:rPr>
          <w:sz w:val="24"/>
        </w:rPr>
      </w:pPr>
      <w:r>
        <w:rPr>
          <w:sz w:val="24"/>
        </w:rPr>
        <w:t xml:space="preserve">The Commission </w:t>
      </w:r>
      <w:r w:rsidRPr="00F406B6">
        <w:rPr>
          <w:sz w:val="24"/>
        </w:rPr>
        <w:t>notes that, altho</w:t>
      </w:r>
      <w:r>
        <w:rPr>
          <w:sz w:val="24"/>
        </w:rPr>
        <w:t xml:space="preserve">ugh FirstEnergy may dispute the </w:t>
      </w:r>
      <w:r w:rsidRPr="00F406B6">
        <w:rPr>
          <w:sz w:val="24"/>
        </w:rPr>
        <w:t>characterization. Rider RCE would effectively "unbundle" distribution rates by assessing a</w:t>
      </w:r>
      <w:r>
        <w:rPr>
          <w:sz w:val="24"/>
        </w:rPr>
        <w:t xml:space="preserve"> </w:t>
      </w:r>
      <w:r w:rsidRPr="00F406B6">
        <w:rPr>
          <w:sz w:val="24"/>
        </w:rPr>
        <w:t>charge on standard service customers and distributing the</w:t>
      </w:r>
      <w:r w:rsidR="00B17E89">
        <w:rPr>
          <w:sz w:val="24"/>
        </w:rPr>
        <w:t xml:space="preserve"> proceeds of that charge to all </w:t>
      </w:r>
      <w:r w:rsidRPr="00F406B6">
        <w:rPr>
          <w:sz w:val="24"/>
        </w:rPr>
        <w:t>non-Rate GT customers</w:t>
      </w:r>
      <w:r w:rsidR="00B17E89">
        <w:rPr>
          <w:sz w:val="24"/>
        </w:rPr>
        <w:t>.</w:t>
      </w:r>
      <w:r w:rsidRPr="00F406B6">
        <w:rPr>
          <w:sz w:val="24"/>
        </w:rPr>
        <w:t xml:space="preserve"> Nonetheless, we will accept the</w:t>
      </w:r>
      <w:r w:rsidR="00B17E89">
        <w:rPr>
          <w:sz w:val="24"/>
        </w:rPr>
        <w:t xml:space="preserve"> </w:t>
      </w:r>
      <w:r w:rsidRPr="00F406B6">
        <w:rPr>
          <w:sz w:val="24"/>
        </w:rPr>
        <w:t xml:space="preserve">claims by FirstEnergy and IGS that the testimony by IGS </w:t>
      </w:r>
      <w:r w:rsidR="00B17E89">
        <w:rPr>
          <w:sz w:val="24"/>
        </w:rPr>
        <w:t>witness White</w:t>
      </w:r>
      <w:r w:rsidRPr="00F406B6">
        <w:rPr>
          <w:sz w:val="24"/>
        </w:rPr>
        <w:t xml:space="preserve"> does not support the creation of Rider RCE. However, absent the testimony of IGS</w:t>
      </w:r>
      <w:r w:rsidR="00B17E89">
        <w:rPr>
          <w:sz w:val="24"/>
        </w:rPr>
        <w:t xml:space="preserve"> </w:t>
      </w:r>
      <w:r w:rsidRPr="00F406B6">
        <w:rPr>
          <w:sz w:val="24"/>
        </w:rPr>
        <w:t>witness White in support of Rider RCE, we find that there is insufficient evidence to</w:t>
      </w:r>
      <w:r w:rsidR="00B17E89">
        <w:rPr>
          <w:sz w:val="24"/>
        </w:rPr>
        <w:t xml:space="preserve"> </w:t>
      </w:r>
      <w:r w:rsidRPr="00F406B6">
        <w:rPr>
          <w:sz w:val="24"/>
        </w:rPr>
        <w:t>support the creation of Rider RCE, even on a placeh</w:t>
      </w:r>
      <w:r w:rsidR="00B17E89">
        <w:rPr>
          <w:sz w:val="24"/>
        </w:rPr>
        <w:t xml:space="preserve">older, zero-cost basis. Neither </w:t>
      </w:r>
      <w:r w:rsidRPr="00F406B6">
        <w:rPr>
          <w:sz w:val="24"/>
        </w:rPr>
        <w:t>FirstEnergy nor IGS presented any testimony in support of Rider RCE, and we find that</w:t>
      </w:r>
      <w:r w:rsidR="00B17E89">
        <w:rPr>
          <w:sz w:val="24"/>
        </w:rPr>
        <w:t xml:space="preserve"> the limited comm</w:t>
      </w:r>
      <w:r w:rsidRPr="00F406B6">
        <w:rPr>
          <w:sz w:val="24"/>
        </w:rPr>
        <w:t>entary of FirstEnergy witness Mi</w:t>
      </w:r>
      <w:r w:rsidR="00B17E89">
        <w:rPr>
          <w:sz w:val="24"/>
        </w:rPr>
        <w:t xml:space="preserve">kkelsen on cross-examination is </w:t>
      </w:r>
      <w:r w:rsidRPr="00F406B6">
        <w:rPr>
          <w:sz w:val="24"/>
        </w:rPr>
        <w:t>insufficient by itself to supp</w:t>
      </w:r>
      <w:r w:rsidR="00B17E89">
        <w:rPr>
          <w:sz w:val="24"/>
        </w:rPr>
        <w:t>ort the creation of the rider</w:t>
      </w:r>
      <w:r w:rsidRPr="00F406B6">
        <w:rPr>
          <w:sz w:val="24"/>
        </w:rPr>
        <w:t>.</w:t>
      </w:r>
      <w:r w:rsidR="00B17E89">
        <w:rPr>
          <w:rStyle w:val="FootnoteReference"/>
          <w:sz w:val="24"/>
        </w:rPr>
        <w:footnoteReference w:id="19"/>
      </w:r>
    </w:p>
    <w:p w:rsidR="00043FE1" w:rsidRDefault="00043FE1" w:rsidP="0034266E">
      <w:pPr>
        <w:ind w:right="720"/>
        <w:rPr>
          <w:sz w:val="24"/>
        </w:rPr>
      </w:pPr>
    </w:p>
    <w:p w:rsidR="0034266E" w:rsidRDefault="0034266E" w:rsidP="0034266E">
      <w:pPr>
        <w:spacing w:line="480" w:lineRule="auto"/>
        <w:rPr>
          <w:sz w:val="24"/>
        </w:rPr>
      </w:pPr>
      <w:r>
        <w:rPr>
          <w:sz w:val="24"/>
        </w:rPr>
        <w:t>IGS respectfully disagrees with the Commission’s Entry and urges the Commission to reverse its decision on rehearing</w:t>
      </w:r>
      <w:r w:rsidR="001E3FA8">
        <w:rPr>
          <w:sz w:val="24"/>
        </w:rPr>
        <w:t xml:space="preserve"> to ensure that customer engagement in FirstEnergy’s service territory improves.</w:t>
      </w:r>
      <w:r>
        <w:rPr>
          <w:sz w:val="24"/>
        </w:rPr>
        <w:t xml:space="preserve"> </w:t>
      </w:r>
    </w:p>
    <w:p w:rsidR="00270108" w:rsidRDefault="00270108" w:rsidP="0034266E">
      <w:pPr>
        <w:spacing w:line="480" w:lineRule="auto"/>
        <w:rPr>
          <w:sz w:val="24"/>
        </w:rPr>
      </w:pPr>
    </w:p>
    <w:p w:rsidR="00270108" w:rsidRDefault="00270108" w:rsidP="0034266E">
      <w:pPr>
        <w:spacing w:line="480" w:lineRule="auto"/>
        <w:rPr>
          <w:sz w:val="24"/>
        </w:rPr>
      </w:pPr>
    </w:p>
    <w:p w:rsidR="00270108" w:rsidRDefault="00270108" w:rsidP="0034266E">
      <w:pPr>
        <w:spacing w:line="480" w:lineRule="auto"/>
        <w:rPr>
          <w:sz w:val="24"/>
        </w:rPr>
      </w:pPr>
    </w:p>
    <w:p w:rsidR="00043FE1" w:rsidRDefault="0034266E" w:rsidP="0034266E">
      <w:pPr>
        <w:pStyle w:val="ListParagraph"/>
        <w:numPr>
          <w:ilvl w:val="0"/>
          <w:numId w:val="8"/>
        </w:numPr>
        <w:spacing w:line="480" w:lineRule="auto"/>
        <w:rPr>
          <w:b/>
          <w:sz w:val="24"/>
        </w:rPr>
      </w:pPr>
      <w:r>
        <w:rPr>
          <w:b/>
          <w:sz w:val="24"/>
        </w:rPr>
        <w:t>ARGUMENT</w:t>
      </w:r>
    </w:p>
    <w:p w:rsidR="0034266E" w:rsidRDefault="001E3FA8" w:rsidP="001E3FA8">
      <w:pPr>
        <w:pStyle w:val="ListParagraph"/>
        <w:numPr>
          <w:ilvl w:val="0"/>
          <w:numId w:val="12"/>
        </w:numPr>
        <w:rPr>
          <w:b/>
          <w:sz w:val="24"/>
        </w:rPr>
      </w:pPr>
      <w:r w:rsidRPr="001E3FA8">
        <w:rPr>
          <w:b/>
          <w:sz w:val="24"/>
        </w:rPr>
        <w:t>The Entry unlawfully and unreasonably determined that the record evidence does not support the authorization of a placeholder RCE Rider.  Because the record evidence suggests that additional customer engagement is necessary to maximize the potential of smart gri</w:t>
      </w:r>
      <w:r w:rsidR="00112ADA">
        <w:rPr>
          <w:b/>
          <w:sz w:val="24"/>
        </w:rPr>
        <w:t>d, the Commission on rehearing</w:t>
      </w:r>
      <w:r w:rsidRPr="001E3FA8">
        <w:rPr>
          <w:b/>
          <w:sz w:val="24"/>
        </w:rPr>
        <w:t xml:space="preserve"> should authorize a placeholder RCE Rider to incentivize customer engagement and evaluate the reasonableness of the ride</w:t>
      </w:r>
      <w:r w:rsidR="00112ADA">
        <w:rPr>
          <w:b/>
          <w:sz w:val="24"/>
        </w:rPr>
        <w:t>r rate in a separate proceeding</w:t>
      </w:r>
      <w:r w:rsidR="00955F30">
        <w:rPr>
          <w:b/>
          <w:sz w:val="24"/>
        </w:rPr>
        <w:t>.</w:t>
      </w:r>
      <w:r w:rsidRPr="001E3FA8">
        <w:rPr>
          <w:b/>
          <w:sz w:val="24"/>
        </w:rPr>
        <w:t xml:space="preserve"> </w:t>
      </w:r>
    </w:p>
    <w:p w:rsidR="001E3FA8" w:rsidRPr="001E3FA8" w:rsidRDefault="001E3FA8" w:rsidP="001E3FA8">
      <w:pPr>
        <w:pStyle w:val="ListParagraph"/>
        <w:ind w:left="1080"/>
        <w:rPr>
          <w:b/>
          <w:sz w:val="24"/>
        </w:rPr>
      </w:pPr>
    </w:p>
    <w:p w:rsidR="007555EB" w:rsidRDefault="001E3FA8" w:rsidP="005E228F">
      <w:pPr>
        <w:spacing w:line="480" w:lineRule="auto"/>
        <w:ind w:firstLine="720"/>
        <w:rPr>
          <w:sz w:val="24"/>
        </w:rPr>
      </w:pPr>
      <w:r>
        <w:rPr>
          <w:sz w:val="24"/>
        </w:rPr>
        <w:t xml:space="preserve">The Entry determined that neither IGS’ testimony nor Ms. </w:t>
      </w:r>
      <w:proofErr w:type="spellStart"/>
      <w:r>
        <w:rPr>
          <w:sz w:val="24"/>
        </w:rPr>
        <w:t>Mikkelsen’s</w:t>
      </w:r>
      <w:proofErr w:type="spellEnd"/>
      <w:r>
        <w:rPr>
          <w:sz w:val="24"/>
        </w:rPr>
        <w:t xml:space="preserve"> commentar</w:t>
      </w:r>
      <w:r w:rsidR="00C159E6">
        <w:rPr>
          <w:sz w:val="24"/>
        </w:rPr>
        <w:t xml:space="preserve">y on cross-examination provided evidentiary support for the </w:t>
      </w:r>
      <w:r w:rsidR="00A8257F">
        <w:rPr>
          <w:sz w:val="24"/>
        </w:rPr>
        <w:t xml:space="preserve">placeholder </w:t>
      </w:r>
      <w:r w:rsidR="00C159E6">
        <w:rPr>
          <w:sz w:val="24"/>
        </w:rPr>
        <w:t>RCE Rider.  The Entry, howeve</w:t>
      </w:r>
      <w:r w:rsidR="007D583C">
        <w:rPr>
          <w:sz w:val="24"/>
        </w:rPr>
        <w:t>r, failed to recognize i</w:t>
      </w:r>
      <w:r w:rsidR="00C159E6">
        <w:rPr>
          <w:sz w:val="24"/>
        </w:rPr>
        <w:t>mport</w:t>
      </w:r>
      <w:r w:rsidR="007D583C">
        <w:rPr>
          <w:sz w:val="24"/>
        </w:rPr>
        <w:t>ant policy testimony, factual statements, and statistics</w:t>
      </w:r>
      <w:r w:rsidR="00C159E6">
        <w:rPr>
          <w:sz w:val="24"/>
        </w:rPr>
        <w:t xml:space="preserve"> contained in the record</w:t>
      </w:r>
      <w:r w:rsidR="007555EB">
        <w:rPr>
          <w:sz w:val="24"/>
        </w:rPr>
        <w:t xml:space="preserve">, which support the </w:t>
      </w:r>
      <w:r w:rsidR="00A8257F">
        <w:rPr>
          <w:sz w:val="24"/>
        </w:rPr>
        <w:t xml:space="preserve">creation of the </w:t>
      </w:r>
      <w:r w:rsidR="007555EB">
        <w:rPr>
          <w:sz w:val="24"/>
        </w:rPr>
        <w:t>rider</w:t>
      </w:r>
      <w:r w:rsidR="00C159E6">
        <w:rPr>
          <w:sz w:val="24"/>
        </w:rPr>
        <w:t>.  Although the Commission has identified that the end goal of smart grid deployment is to enhance the retail electric market through the deployment of innovative products and services, Mr. White unequivocally identified in his Supplemental Direct Testimony that “</w:t>
      </w:r>
      <w:r w:rsidR="00FD4530">
        <w:rPr>
          <w:b/>
          <w:sz w:val="24"/>
          <w:u w:val="single"/>
        </w:rPr>
        <w:t>[i]</w:t>
      </w:r>
      <w:r w:rsidR="00C159E6" w:rsidRPr="000C601C">
        <w:rPr>
          <w:b/>
          <w:sz w:val="24"/>
          <w:u w:val="single"/>
        </w:rPr>
        <w:t>n order for customers to be more willing to adopt value added products and services that enable them to use and consume energy more efficiently, customers must be engaged in the competitive retail electric market</w:t>
      </w:r>
      <w:r w:rsidR="00C159E6" w:rsidRPr="00112ADA">
        <w:rPr>
          <w:sz w:val="24"/>
        </w:rPr>
        <w:t>.”</w:t>
      </w:r>
      <w:r w:rsidR="00702E23" w:rsidRPr="00112ADA">
        <w:rPr>
          <w:rStyle w:val="FootnoteReference"/>
          <w:sz w:val="24"/>
        </w:rPr>
        <w:footnoteReference w:id="20"/>
      </w:r>
      <w:r w:rsidR="00C159E6">
        <w:rPr>
          <w:b/>
          <w:sz w:val="24"/>
        </w:rPr>
        <w:t xml:space="preserve">  </w:t>
      </w:r>
      <w:r w:rsidR="00C159E6" w:rsidRPr="00C159E6">
        <w:rPr>
          <w:sz w:val="24"/>
        </w:rPr>
        <w:t xml:space="preserve">Mr. White also concluded that </w:t>
      </w:r>
      <w:r w:rsidR="00A8257F">
        <w:rPr>
          <w:sz w:val="24"/>
        </w:rPr>
        <w:t xml:space="preserve">unfortunately </w:t>
      </w:r>
      <w:r w:rsidR="00C159E6" w:rsidRPr="00C159E6">
        <w:rPr>
          <w:sz w:val="24"/>
        </w:rPr>
        <w:t>customers are not currently engage</w:t>
      </w:r>
      <w:r w:rsidR="00C159E6">
        <w:rPr>
          <w:sz w:val="24"/>
        </w:rPr>
        <w:t>d in the retail electric market.</w:t>
      </w:r>
      <w:r w:rsidR="00702E23">
        <w:rPr>
          <w:rStyle w:val="FootnoteReference"/>
          <w:sz w:val="24"/>
        </w:rPr>
        <w:footnoteReference w:id="21"/>
      </w:r>
      <w:r w:rsidR="00C159E6">
        <w:rPr>
          <w:sz w:val="24"/>
        </w:rPr>
        <w:t xml:space="preserve">  Thus, there is clearly record evidence to support a conclusion that </w:t>
      </w:r>
      <w:r w:rsidR="00C159E6" w:rsidRPr="00C159E6">
        <w:rPr>
          <w:sz w:val="24"/>
        </w:rPr>
        <w:t>there is in fact a deficiency in retail competition and customer engagement that should be addressed in order to unlock the full potential of smart grid.</w:t>
      </w:r>
      <w:r w:rsidR="005E228F">
        <w:rPr>
          <w:sz w:val="24"/>
        </w:rPr>
        <w:t xml:space="preserve">  </w:t>
      </w:r>
    </w:p>
    <w:p w:rsidR="005E228F" w:rsidRDefault="00A52BF8" w:rsidP="005E228F">
      <w:pPr>
        <w:spacing w:line="480" w:lineRule="auto"/>
        <w:ind w:firstLine="720"/>
        <w:rPr>
          <w:sz w:val="24"/>
        </w:rPr>
      </w:pPr>
      <w:r>
        <w:rPr>
          <w:sz w:val="24"/>
        </w:rPr>
        <w:lastRenderedPageBreak/>
        <w:t xml:space="preserve">In support of the a solution to this shortcoming, Ms. </w:t>
      </w:r>
      <w:proofErr w:type="spellStart"/>
      <w:r>
        <w:rPr>
          <w:sz w:val="24"/>
        </w:rPr>
        <w:t>Mikkelsen’s</w:t>
      </w:r>
      <w:proofErr w:type="spellEnd"/>
      <w:r>
        <w:rPr>
          <w:sz w:val="24"/>
        </w:rPr>
        <w:t xml:space="preserve"> testified that the RCE Rider </w:t>
      </w:r>
      <w:r w:rsidR="00A8257F">
        <w:rPr>
          <w:sz w:val="24"/>
        </w:rPr>
        <w:t xml:space="preserve">placeholder </w:t>
      </w:r>
      <w:r>
        <w:rPr>
          <w:sz w:val="24"/>
        </w:rPr>
        <w:t xml:space="preserve">may encourage additional customer engagement and switching: it “would </w:t>
      </w:r>
      <w:r w:rsidRPr="009065BA">
        <w:rPr>
          <w:sz w:val="24"/>
        </w:rPr>
        <w:t>potentially create greater supplier interest in</w:t>
      </w:r>
      <w:r>
        <w:rPr>
          <w:sz w:val="24"/>
        </w:rPr>
        <w:t xml:space="preserve"> </w:t>
      </w:r>
      <w:r w:rsidRPr="009065BA">
        <w:rPr>
          <w:sz w:val="24"/>
        </w:rPr>
        <w:t>participating in</w:t>
      </w:r>
      <w:r>
        <w:rPr>
          <w:sz w:val="24"/>
        </w:rPr>
        <w:t xml:space="preserve"> the competitive market for the </w:t>
      </w:r>
      <w:r w:rsidRPr="009065BA">
        <w:rPr>
          <w:sz w:val="24"/>
        </w:rPr>
        <w:t>c</w:t>
      </w:r>
      <w:r>
        <w:rPr>
          <w:sz w:val="24"/>
        </w:rPr>
        <w:t xml:space="preserve">ompanies and, in turn, provide . . . </w:t>
      </w:r>
      <w:r w:rsidRPr="009065BA">
        <w:rPr>
          <w:sz w:val="24"/>
        </w:rPr>
        <w:t>a more</w:t>
      </w:r>
      <w:r>
        <w:rPr>
          <w:sz w:val="24"/>
        </w:rPr>
        <w:t xml:space="preserve"> </w:t>
      </w:r>
      <w:r w:rsidRPr="009065BA">
        <w:rPr>
          <w:sz w:val="24"/>
        </w:rPr>
        <w:t>robust competitive e</w:t>
      </w:r>
      <w:r>
        <w:rPr>
          <w:sz w:val="24"/>
        </w:rPr>
        <w:t xml:space="preserve">nvironment for the customers of </w:t>
      </w:r>
      <w:r w:rsidRPr="009065BA">
        <w:rPr>
          <w:sz w:val="24"/>
        </w:rPr>
        <w:t>the companies.</w:t>
      </w:r>
      <w:r>
        <w:rPr>
          <w:sz w:val="24"/>
        </w:rPr>
        <w:t>”</w:t>
      </w:r>
      <w:r>
        <w:rPr>
          <w:rStyle w:val="FootnoteReference"/>
          <w:sz w:val="24"/>
        </w:rPr>
        <w:footnoteReference w:id="22"/>
      </w:r>
      <w:r>
        <w:rPr>
          <w:sz w:val="24"/>
        </w:rPr>
        <w:t xml:space="preserve">  </w:t>
      </w:r>
      <w:r w:rsidR="005E228F">
        <w:rPr>
          <w:sz w:val="24"/>
        </w:rPr>
        <w:t>The</w:t>
      </w:r>
      <w:r w:rsidR="007555EB">
        <w:rPr>
          <w:sz w:val="24"/>
        </w:rPr>
        <w:t xml:space="preserve"> concept of the</w:t>
      </w:r>
      <w:r w:rsidR="005E228F">
        <w:rPr>
          <w:sz w:val="24"/>
        </w:rPr>
        <w:t xml:space="preserve"> Rider </w:t>
      </w:r>
      <w:r w:rsidR="007555EB">
        <w:rPr>
          <w:sz w:val="24"/>
        </w:rPr>
        <w:t xml:space="preserve">RCE is the recommended solution to </w:t>
      </w:r>
      <w:r w:rsidR="00A8257F">
        <w:rPr>
          <w:sz w:val="24"/>
        </w:rPr>
        <w:t xml:space="preserve">enhance </w:t>
      </w:r>
      <w:r w:rsidR="007555EB">
        <w:rPr>
          <w:sz w:val="24"/>
        </w:rPr>
        <w:t>customer engagement and competition in FirstEnergy’s service territory.  The specific details related to the proposal can be refined in a future proceeding.</w:t>
      </w:r>
    </w:p>
    <w:p w:rsidR="007F6008" w:rsidRDefault="007555EB" w:rsidP="00A52BF8">
      <w:pPr>
        <w:spacing w:line="480" w:lineRule="auto"/>
        <w:ind w:firstLine="720"/>
        <w:rPr>
          <w:sz w:val="24"/>
        </w:rPr>
      </w:pPr>
      <w:r>
        <w:rPr>
          <w:sz w:val="24"/>
        </w:rPr>
        <w:t>The bas</w:t>
      </w:r>
      <w:r w:rsidR="007D583C">
        <w:rPr>
          <w:sz w:val="24"/>
        </w:rPr>
        <w:t xml:space="preserve">ic structure of the </w:t>
      </w:r>
      <w:r>
        <w:rPr>
          <w:sz w:val="24"/>
        </w:rPr>
        <w:t>RCE</w:t>
      </w:r>
      <w:r w:rsidR="007D583C">
        <w:rPr>
          <w:sz w:val="24"/>
        </w:rPr>
        <w:t xml:space="preserve"> Rider</w:t>
      </w:r>
      <w:r>
        <w:rPr>
          <w:sz w:val="24"/>
        </w:rPr>
        <w:t xml:space="preserve"> was discussed in the record sufficiently to provide the Commission with a factual basis to authorize the rider on a placeholder basis.</w:t>
      </w:r>
      <w:r w:rsidR="00A52BF8">
        <w:rPr>
          <w:sz w:val="24"/>
        </w:rPr>
        <w:t xml:space="preserve">  Indeed, the structure of the rider was set forth in the Competitive Market Enhancement Agreement, which was admitted into evidence and supported by Ms. Mikkelsen during cross-examination. </w:t>
      </w:r>
      <w:r w:rsidR="00A52BF8" w:rsidRPr="00A52BF8">
        <w:rPr>
          <w:sz w:val="24"/>
        </w:rPr>
        <w:t xml:space="preserve">Ms. Mikkelsen further identified how the mechanics of the rider would work, and indicated that the Commission may consider the specifics of the rider in a separate proceeding.  </w:t>
      </w:r>
      <w:r w:rsidR="00A52BF8">
        <w:rPr>
          <w:sz w:val="24"/>
        </w:rPr>
        <w:t xml:space="preserve"> </w:t>
      </w:r>
      <w:r>
        <w:rPr>
          <w:sz w:val="24"/>
        </w:rPr>
        <w:t xml:space="preserve">Ms. Mikkelsen testified that </w:t>
      </w:r>
      <w:r w:rsidR="00A52BF8">
        <w:rPr>
          <w:sz w:val="24"/>
        </w:rPr>
        <w:t xml:space="preserve">“as contemplated here with </w:t>
      </w:r>
      <w:r w:rsidR="00A52BF8" w:rsidRPr="00A52BF8">
        <w:rPr>
          <w:sz w:val="24"/>
        </w:rPr>
        <w:t>respect to the filing</w:t>
      </w:r>
      <w:r w:rsidR="00A52BF8">
        <w:rPr>
          <w:sz w:val="24"/>
        </w:rPr>
        <w:t xml:space="preserve">, the filing would propose that </w:t>
      </w:r>
      <w:r w:rsidR="00A52BF8" w:rsidRPr="00A52BF8">
        <w:rPr>
          <w:sz w:val="24"/>
        </w:rPr>
        <w:t xml:space="preserve">it apply as a </w:t>
      </w:r>
      <w:proofErr w:type="spellStart"/>
      <w:r w:rsidR="00A52BF8" w:rsidRPr="00A52BF8">
        <w:rPr>
          <w:sz w:val="24"/>
        </w:rPr>
        <w:t>bypassable</w:t>
      </w:r>
      <w:proofErr w:type="spellEnd"/>
      <w:r w:rsidR="00A52BF8" w:rsidRPr="00A52BF8">
        <w:rPr>
          <w:sz w:val="24"/>
        </w:rPr>
        <w:t xml:space="preserve"> charge to all non-GT</w:t>
      </w:r>
      <w:r w:rsidR="00A52BF8">
        <w:rPr>
          <w:sz w:val="24"/>
        </w:rPr>
        <w:t xml:space="preserve"> </w:t>
      </w:r>
      <w:r w:rsidR="00A52BF8" w:rsidRPr="00A52BF8">
        <w:rPr>
          <w:sz w:val="24"/>
        </w:rPr>
        <w:t>customers served by the companies.</w:t>
      </w:r>
      <w:r w:rsidR="00A52BF8">
        <w:rPr>
          <w:sz w:val="24"/>
        </w:rPr>
        <w:t>”</w:t>
      </w:r>
      <w:r w:rsidR="00702E23">
        <w:rPr>
          <w:rStyle w:val="FootnoteReference"/>
          <w:sz w:val="24"/>
        </w:rPr>
        <w:footnoteReference w:id="23"/>
      </w:r>
      <w:r w:rsidR="00A52BF8">
        <w:rPr>
          <w:sz w:val="24"/>
        </w:rPr>
        <w:t xml:space="preserve"> She further agreed that “</w:t>
      </w:r>
      <w:r w:rsidR="00A52BF8" w:rsidRPr="00A52BF8">
        <w:rPr>
          <w:sz w:val="24"/>
        </w:rPr>
        <w:t>the credit would</w:t>
      </w:r>
      <w:r w:rsidR="00A52BF8">
        <w:rPr>
          <w:sz w:val="24"/>
        </w:rPr>
        <w:t xml:space="preserve"> be given both to non-GT SSO</w:t>
      </w:r>
      <w:r w:rsidR="00A52BF8" w:rsidRPr="00A52BF8">
        <w:rPr>
          <w:sz w:val="24"/>
        </w:rPr>
        <w:t xml:space="preserve"> customers, and non-GT shopping customers</w:t>
      </w:r>
      <w:r w:rsidR="00A52BF8">
        <w:rPr>
          <w:sz w:val="24"/>
        </w:rPr>
        <w:t>.”</w:t>
      </w:r>
      <w:r w:rsidR="00702E23">
        <w:rPr>
          <w:rStyle w:val="FootnoteReference"/>
          <w:sz w:val="24"/>
        </w:rPr>
        <w:footnoteReference w:id="24"/>
      </w:r>
      <w:r w:rsidR="00A52BF8">
        <w:rPr>
          <w:sz w:val="24"/>
        </w:rPr>
        <w:t xml:space="preserve"> </w:t>
      </w:r>
      <w:r w:rsidR="007F6008">
        <w:rPr>
          <w:sz w:val="24"/>
        </w:rPr>
        <w:t xml:space="preserve"> Thus, the Order is properly supported by the evidence in the record.</w:t>
      </w:r>
    </w:p>
    <w:p w:rsidR="00CC5D3A" w:rsidRDefault="00CC5D3A" w:rsidP="00CC5D3A">
      <w:pPr>
        <w:spacing w:line="480" w:lineRule="auto"/>
        <w:ind w:firstLine="720"/>
        <w:rPr>
          <w:sz w:val="24"/>
        </w:rPr>
      </w:pPr>
      <w:r>
        <w:rPr>
          <w:sz w:val="24"/>
        </w:rPr>
        <w:lastRenderedPageBreak/>
        <w:t>Moreover, the goal of the RCE—incentivizing shopping to develop the competitive retail electric market—is fully supported by the state policy enumerated in R.C. 4928.02 and the mandate set forth by the General Assembly when it restructured Ohio’s electric market.</w:t>
      </w:r>
      <w:r>
        <w:rPr>
          <w:rStyle w:val="FootnoteReference"/>
          <w:sz w:val="24"/>
        </w:rPr>
        <w:footnoteReference w:id="25"/>
      </w:r>
      <w:r>
        <w:rPr>
          <w:sz w:val="24"/>
        </w:rPr>
        <w:t xml:space="preserve">  In furtherance of these goals, the Commission has previously approved various mechanisms to incentivize customers to directly engage with the retail electric market through choice of a competitive electric supplier.</w:t>
      </w:r>
      <w:r>
        <w:rPr>
          <w:rStyle w:val="FootnoteReference"/>
          <w:sz w:val="24"/>
        </w:rPr>
        <w:footnoteReference w:id="26"/>
      </w:r>
      <w:r>
        <w:rPr>
          <w:sz w:val="24"/>
        </w:rPr>
        <w:t xml:space="preserve">  The Commission should follow that precedent and authorize the placeholder RCE Rider.  The rider will allow the Commission to address the shortcomings in the competitive retail electric mark</w:t>
      </w:r>
      <w:r w:rsidR="00702E23">
        <w:rPr>
          <w:sz w:val="24"/>
        </w:rPr>
        <w:t>et identified by Mr. White, which—if unaddressed—</w:t>
      </w:r>
      <w:r>
        <w:rPr>
          <w:sz w:val="24"/>
        </w:rPr>
        <w:t xml:space="preserve">may provide a barrier to unlocking the full potential of FirstEnergy’s pending smart grid deployment.    </w:t>
      </w:r>
    </w:p>
    <w:p w:rsidR="00955F30" w:rsidRDefault="007F6008" w:rsidP="00FD4530">
      <w:pPr>
        <w:spacing w:line="480" w:lineRule="auto"/>
        <w:ind w:firstLine="720"/>
        <w:rPr>
          <w:sz w:val="24"/>
        </w:rPr>
      </w:pPr>
      <w:r>
        <w:rPr>
          <w:sz w:val="24"/>
        </w:rPr>
        <w:t>Again, IGS and FirstEnergy are not seeking to populate a rate in the rider in this proceeding—those details would be addressed in a separate application subject to due process.  T</w:t>
      </w:r>
      <w:r w:rsidR="003E1A14">
        <w:rPr>
          <w:sz w:val="24"/>
        </w:rPr>
        <w:t>he Commission is permitted to authorize a placeholder rider and has done so in several prior cases.</w:t>
      </w:r>
      <w:r w:rsidR="003E1A14">
        <w:rPr>
          <w:rStyle w:val="FootnoteReference"/>
          <w:sz w:val="24"/>
        </w:rPr>
        <w:footnoteReference w:id="27"/>
      </w:r>
      <w:r w:rsidR="003E1A14">
        <w:rPr>
          <w:sz w:val="24"/>
        </w:rPr>
        <w:t xml:space="preserve"> </w:t>
      </w:r>
      <w:r>
        <w:rPr>
          <w:sz w:val="24"/>
        </w:rPr>
        <w:t xml:space="preserve"> This case </w:t>
      </w:r>
      <w:r w:rsidR="00F028E6">
        <w:rPr>
          <w:sz w:val="24"/>
        </w:rPr>
        <w:t>should not be treated differently</w:t>
      </w:r>
      <w:r>
        <w:rPr>
          <w:sz w:val="24"/>
        </w:rPr>
        <w:t>.</w:t>
      </w:r>
      <w:r w:rsidR="00744C40">
        <w:rPr>
          <w:sz w:val="24"/>
        </w:rPr>
        <w:t xml:space="preserve">  Therefore, IGS urges </w:t>
      </w:r>
      <w:r w:rsidR="00744C40">
        <w:rPr>
          <w:sz w:val="24"/>
        </w:rPr>
        <w:lastRenderedPageBreak/>
        <w:t>the Commission to grant this Application for Rehearing and authorize the placeholder RCE Rider.</w:t>
      </w:r>
    </w:p>
    <w:p w:rsidR="00230354" w:rsidRDefault="00FD4530" w:rsidP="007F6008">
      <w:pPr>
        <w:spacing w:line="480" w:lineRule="auto"/>
        <w:ind w:firstLine="720"/>
        <w:rPr>
          <w:b/>
          <w:sz w:val="24"/>
        </w:rPr>
      </w:pPr>
      <w:r>
        <w:rPr>
          <w:b/>
          <w:sz w:val="24"/>
        </w:rPr>
        <w:t xml:space="preserve">IV. </w:t>
      </w:r>
      <w:r>
        <w:rPr>
          <w:b/>
          <w:sz w:val="24"/>
        </w:rPr>
        <w:tab/>
      </w:r>
      <w:r w:rsidR="00230354">
        <w:rPr>
          <w:b/>
          <w:sz w:val="24"/>
        </w:rPr>
        <w:t>CONCLUSION</w:t>
      </w:r>
    </w:p>
    <w:p w:rsidR="00E57A67" w:rsidRPr="00270108" w:rsidRDefault="00230354" w:rsidP="00270108">
      <w:pPr>
        <w:pStyle w:val="PlainText"/>
        <w:spacing w:line="480" w:lineRule="auto"/>
        <w:ind w:firstLine="720"/>
        <w:jc w:val="both"/>
        <w:rPr>
          <w:rFonts w:ascii="Arial" w:hAnsi="Arial" w:cs="Arial"/>
          <w:sz w:val="24"/>
          <w:szCs w:val="24"/>
        </w:rPr>
      </w:pPr>
      <w:r>
        <w:rPr>
          <w:rFonts w:ascii="Arial" w:hAnsi="Arial" w:cs="Arial"/>
          <w:sz w:val="24"/>
          <w:szCs w:val="24"/>
        </w:rPr>
        <w:t>While total customer switching has been a success in FirstEnergy’s service territory, it has largely been the product of municipal aggregation as opposed to direct customer engagement in the competitive market.  The former type of passive participation may provide a rou</w:t>
      </w:r>
      <w:r w:rsidR="00911D54">
        <w:rPr>
          <w:rFonts w:ascii="Arial" w:hAnsi="Arial" w:cs="Arial"/>
          <w:sz w:val="24"/>
          <w:szCs w:val="24"/>
        </w:rPr>
        <w:t>te to smart grid investment without innovation</w:t>
      </w:r>
      <w:r>
        <w:rPr>
          <w:rFonts w:ascii="Arial" w:hAnsi="Arial" w:cs="Arial"/>
          <w:sz w:val="24"/>
          <w:szCs w:val="24"/>
        </w:rPr>
        <w:t>, whereas the latter may provide a launching pad to revolutionizing the manner in which customers use energy.    Therefore, IGS recommends that the Commission</w:t>
      </w:r>
      <w:r w:rsidR="00955F30">
        <w:rPr>
          <w:rFonts w:ascii="Arial" w:hAnsi="Arial" w:cs="Arial"/>
          <w:sz w:val="24"/>
          <w:szCs w:val="24"/>
        </w:rPr>
        <w:t xml:space="preserve"> grant this Application for Rehearing and reverse the October 12, 2016 Entry to</w:t>
      </w:r>
      <w:r>
        <w:rPr>
          <w:rFonts w:ascii="Arial" w:hAnsi="Arial" w:cs="Arial"/>
          <w:sz w:val="24"/>
          <w:szCs w:val="24"/>
        </w:rPr>
        <w:t xml:space="preserve"> authorize a placeholder RCE Rider and allow FirstEnergy to file a subsequent application that will incentivize retail electric choice, customer engagement, and unlock the potential of smart grid.</w:t>
      </w:r>
    </w:p>
    <w:p w:rsidR="00F135F3" w:rsidRDefault="00F135F3" w:rsidP="00073C1A">
      <w:pPr>
        <w:rPr>
          <w:sz w:val="24"/>
        </w:rPr>
      </w:pPr>
    </w:p>
    <w:p w:rsidR="00B54B55" w:rsidRDefault="00B54B55" w:rsidP="00B54B55">
      <w:pPr>
        <w:ind w:left="5040"/>
        <w:rPr>
          <w:rFonts w:eastAsia="Calibri"/>
          <w:sz w:val="24"/>
        </w:rPr>
      </w:pPr>
      <w:r>
        <w:rPr>
          <w:rFonts w:eastAsia="Calibri"/>
          <w:sz w:val="24"/>
        </w:rPr>
        <w:t>Respectfully submitted,</w:t>
      </w:r>
    </w:p>
    <w:p w:rsidR="00B54B55" w:rsidRDefault="00B54B55" w:rsidP="00B54B55">
      <w:pPr>
        <w:rPr>
          <w:rFonts w:eastAsia="Calibri"/>
          <w:sz w:val="24"/>
        </w:rPr>
      </w:pPr>
    </w:p>
    <w:p w:rsidR="00B54B55" w:rsidRDefault="00B54B55" w:rsidP="00B54B55">
      <w:pPr>
        <w:ind w:left="5040"/>
        <w:rPr>
          <w:rFonts w:eastAsia="Calibri"/>
          <w:sz w:val="24"/>
        </w:rPr>
      </w:pPr>
      <w:r>
        <w:rPr>
          <w:rFonts w:eastAsia="Calibri"/>
          <w:sz w:val="24"/>
        </w:rPr>
        <w:tab/>
      </w:r>
      <w:r>
        <w:rPr>
          <w:rFonts w:eastAsia="Calibri"/>
          <w:sz w:val="24"/>
        </w:rPr>
        <w:tab/>
      </w:r>
      <w:r>
        <w:rPr>
          <w:rFonts w:eastAsia="Calibri"/>
          <w:sz w:val="24"/>
        </w:rPr>
        <w:tab/>
      </w:r>
      <w:r>
        <w:rPr>
          <w:rFonts w:eastAsia="Calibri"/>
          <w:sz w:val="24"/>
        </w:rPr>
        <w:tab/>
      </w:r>
      <w:r>
        <w:rPr>
          <w:rFonts w:eastAsia="Calibri"/>
          <w:sz w:val="24"/>
        </w:rPr>
        <w:tab/>
      </w:r>
    </w:p>
    <w:p w:rsidR="00B54B55" w:rsidRPr="00FD4530" w:rsidRDefault="00B54B55" w:rsidP="00B54B55">
      <w:pPr>
        <w:ind w:left="5040"/>
        <w:rPr>
          <w:rFonts w:eastAsia="Arial"/>
          <w:b/>
          <w:i/>
          <w:sz w:val="24"/>
          <w:u w:val="single"/>
        </w:rPr>
      </w:pPr>
      <w:r w:rsidRPr="00FD4530">
        <w:rPr>
          <w:rFonts w:eastAsia="Arial"/>
          <w:b/>
          <w:i/>
          <w:sz w:val="24"/>
          <w:u w:val="single"/>
        </w:rPr>
        <w:t>/s/ Joseph Oliker</w:t>
      </w:r>
    </w:p>
    <w:p w:rsidR="00B54B55" w:rsidRPr="007B3399" w:rsidRDefault="00B54B55" w:rsidP="00B54B55">
      <w:pPr>
        <w:ind w:left="5040"/>
        <w:rPr>
          <w:sz w:val="24"/>
        </w:rPr>
      </w:pPr>
      <w:r>
        <w:rPr>
          <w:rFonts w:eastAsia="Arial"/>
          <w:sz w:val="24"/>
        </w:rPr>
        <w:t xml:space="preserve">Joseph Oliker </w:t>
      </w:r>
      <w:r>
        <w:rPr>
          <w:sz w:val="24"/>
        </w:rPr>
        <w:t>(0086088)</w:t>
      </w:r>
    </w:p>
    <w:p w:rsidR="00B54B55" w:rsidRDefault="00B54B55" w:rsidP="00B54B55">
      <w:pPr>
        <w:ind w:left="5040"/>
        <w:rPr>
          <w:rFonts w:eastAsia="Calibri"/>
          <w:sz w:val="24"/>
          <w:u w:val="single"/>
        </w:rPr>
      </w:pPr>
      <w:r>
        <w:rPr>
          <w:rFonts w:eastAsia="Arial"/>
          <w:sz w:val="24"/>
        </w:rPr>
        <w:t xml:space="preserve">Counsel of Record </w:t>
      </w:r>
    </w:p>
    <w:p w:rsidR="00B54B55" w:rsidRDefault="00B54B55" w:rsidP="00B54B55">
      <w:pPr>
        <w:ind w:left="5040"/>
        <w:rPr>
          <w:sz w:val="24"/>
        </w:rPr>
      </w:pPr>
      <w:r>
        <w:rPr>
          <w:sz w:val="24"/>
        </w:rPr>
        <w:t>Email:  joliker@igsenergy.com</w:t>
      </w:r>
    </w:p>
    <w:p w:rsidR="00B54B55" w:rsidRDefault="00B54B55" w:rsidP="00B54B55">
      <w:pPr>
        <w:ind w:left="5040"/>
        <w:rPr>
          <w:sz w:val="24"/>
        </w:rPr>
      </w:pPr>
      <w:r>
        <w:rPr>
          <w:sz w:val="24"/>
        </w:rPr>
        <w:t>IGS Energy</w:t>
      </w:r>
    </w:p>
    <w:p w:rsidR="00B54B55" w:rsidRDefault="00B54B55" w:rsidP="00B54B55">
      <w:pPr>
        <w:ind w:left="5040"/>
        <w:rPr>
          <w:sz w:val="24"/>
        </w:rPr>
      </w:pPr>
      <w:r>
        <w:rPr>
          <w:sz w:val="24"/>
        </w:rPr>
        <w:t>6100 Emerald Parkway</w:t>
      </w:r>
    </w:p>
    <w:p w:rsidR="00B54B55" w:rsidRDefault="00B54B55" w:rsidP="00B54B55">
      <w:pPr>
        <w:ind w:left="5040"/>
        <w:rPr>
          <w:sz w:val="24"/>
        </w:rPr>
      </w:pPr>
      <w:r>
        <w:rPr>
          <w:sz w:val="24"/>
        </w:rPr>
        <w:t>Dublin, Ohio 43016</w:t>
      </w:r>
    </w:p>
    <w:p w:rsidR="00B54B55" w:rsidRDefault="00B54B55" w:rsidP="00B54B55">
      <w:pPr>
        <w:ind w:left="5040"/>
        <w:rPr>
          <w:sz w:val="24"/>
        </w:rPr>
      </w:pPr>
      <w:r>
        <w:rPr>
          <w:sz w:val="24"/>
        </w:rPr>
        <w:t>Telephone:</w:t>
      </w:r>
      <w:r>
        <w:rPr>
          <w:sz w:val="24"/>
        </w:rPr>
        <w:tab/>
        <w:t>(614) 659-5000</w:t>
      </w:r>
    </w:p>
    <w:p w:rsidR="00B54B55" w:rsidRDefault="00B54B55" w:rsidP="00B54B55">
      <w:pPr>
        <w:ind w:left="5040"/>
        <w:rPr>
          <w:sz w:val="24"/>
        </w:rPr>
      </w:pPr>
      <w:r>
        <w:rPr>
          <w:sz w:val="24"/>
        </w:rPr>
        <w:t>Facsimile:</w:t>
      </w:r>
      <w:r>
        <w:rPr>
          <w:sz w:val="24"/>
        </w:rPr>
        <w:tab/>
        <w:t>(614) 659-5073</w:t>
      </w:r>
    </w:p>
    <w:p w:rsidR="00B54B55" w:rsidRDefault="00B54B55" w:rsidP="00B54B55">
      <w:pPr>
        <w:ind w:left="5040"/>
        <w:rPr>
          <w:sz w:val="24"/>
        </w:rPr>
      </w:pPr>
    </w:p>
    <w:p w:rsidR="00270108" w:rsidRDefault="00B54B55" w:rsidP="00952E4A">
      <w:pPr>
        <w:spacing w:line="480" w:lineRule="auto"/>
        <w:ind w:left="5040"/>
        <w:rPr>
          <w:b/>
          <w:i/>
          <w:sz w:val="22"/>
          <w:szCs w:val="22"/>
        </w:rPr>
      </w:pPr>
      <w:r w:rsidRPr="00B54B55">
        <w:rPr>
          <w:b/>
          <w:i/>
          <w:sz w:val="22"/>
          <w:szCs w:val="22"/>
        </w:rPr>
        <w:t>Attorney</w:t>
      </w:r>
      <w:r w:rsidR="00BA64F2">
        <w:rPr>
          <w:b/>
          <w:i/>
          <w:sz w:val="22"/>
          <w:szCs w:val="22"/>
        </w:rPr>
        <w:t xml:space="preserve"> for Interstate Gas Supply, Inc.</w:t>
      </w:r>
      <w:bookmarkStart w:id="0" w:name="_GoBack"/>
      <w:bookmarkEnd w:id="0"/>
    </w:p>
    <w:p w:rsidR="00B54B55" w:rsidRPr="009D71F6" w:rsidRDefault="00B54B55" w:rsidP="00B54B55">
      <w:pPr>
        <w:suppressLineNumbers/>
        <w:jc w:val="center"/>
        <w:rPr>
          <w:rFonts w:eastAsia="Arial"/>
          <w:b/>
          <w:sz w:val="24"/>
          <w:u w:val="single"/>
        </w:rPr>
      </w:pPr>
      <w:r w:rsidRPr="009D71F6">
        <w:rPr>
          <w:rFonts w:eastAsia="Arial"/>
          <w:b/>
          <w:sz w:val="24"/>
          <w:u w:val="single"/>
        </w:rPr>
        <w:lastRenderedPageBreak/>
        <w:t>CERTIFICATE OF SERVICE</w:t>
      </w:r>
    </w:p>
    <w:p w:rsidR="00B54B55" w:rsidRPr="009D71F6" w:rsidRDefault="00B54B55" w:rsidP="00B54B55">
      <w:pPr>
        <w:suppressLineNumbers/>
        <w:jc w:val="center"/>
        <w:rPr>
          <w:rFonts w:eastAsia="Arial"/>
          <w:b/>
          <w:sz w:val="24"/>
          <w:u w:val="single"/>
        </w:rPr>
      </w:pPr>
    </w:p>
    <w:p w:rsidR="00B54B55" w:rsidRPr="009D71F6" w:rsidRDefault="00B54B55" w:rsidP="00B54B55">
      <w:pPr>
        <w:suppressLineNumbers/>
        <w:rPr>
          <w:rFonts w:eastAsia="Calibri"/>
          <w:sz w:val="24"/>
        </w:rPr>
      </w:pPr>
      <w:r w:rsidRPr="009D71F6">
        <w:rPr>
          <w:rFonts w:eastAsia="Arial"/>
          <w:sz w:val="24"/>
        </w:rPr>
        <w:tab/>
      </w:r>
      <w:r>
        <w:rPr>
          <w:rFonts w:eastAsia="Calibri"/>
          <w:sz w:val="24"/>
        </w:rPr>
        <w:t>The unders</w:t>
      </w:r>
      <w:r w:rsidRPr="009D71F6">
        <w:rPr>
          <w:rFonts w:eastAsia="Calibri"/>
          <w:sz w:val="24"/>
        </w:rPr>
        <w:t>igned hereby certifies that a copy of the foregoing</w:t>
      </w:r>
      <w:r>
        <w:rPr>
          <w:rFonts w:eastAsia="Calibri"/>
          <w:sz w:val="24"/>
        </w:rPr>
        <w:t xml:space="preserve"> </w:t>
      </w:r>
      <w:r w:rsidR="00757BE9">
        <w:rPr>
          <w:rFonts w:eastAsia="Calibri"/>
          <w:i/>
          <w:sz w:val="24"/>
        </w:rPr>
        <w:t xml:space="preserve">Application for Rehearing and Memorandum in Support of </w:t>
      </w:r>
      <w:r>
        <w:rPr>
          <w:rFonts w:eastAsia="Calibri"/>
          <w:i/>
          <w:sz w:val="24"/>
        </w:rPr>
        <w:t xml:space="preserve">Interstate Gas Supply, Inc. </w:t>
      </w:r>
      <w:r w:rsidRPr="009D71F6">
        <w:rPr>
          <w:rFonts w:eastAsia="Calibri"/>
          <w:sz w:val="24"/>
        </w:rPr>
        <w:t xml:space="preserve">was served this </w:t>
      </w:r>
      <w:r w:rsidR="00757BE9">
        <w:rPr>
          <w:rFonts w:eastAsia="Calibri"/>
          <w:sz w:val="24"/>
        </w:rPr>
        <w:t>the 14</w:t>
      </w:r>
      <w:r w:rsidR="00B60829">
        <w:rPr>
          <w:rFonts w:eastAsia="Calibri"/>
          <w:sz w:val="24"/>
        </w:rPr>
        <w:t xml:space="preserve">th day </w:t>
      </w:r>
      <w:r w:rsidR="00757BE9">
        <w:rPr>
          <w:rFonts w:eastAsia="Calibri"/>
          <w:sz w:val="24"/>
        </w:rPr>
        <w:t>of November</w:t>
      </w:r>
      <w:r w:rsidR="00BA64F2">
        <w:rPr>
          <w:rFonts w:eastAsia="Calibri"/>
          <w:sz w:val="24"/>
        </w:rPr>
        <w:t xml:space="preserve"> 2016</w:t>
      </w:r>
      <w:r w:rsidRPr="009D71F6">
        <w:rPr>
          <w:rFonts w:eastAsia="Calibri"/>
          <w:sz w:val="24"/>
        </w:rPr>
        <w:t xml:space="preserve"> via electronic mail upon the following:</w:t>
      </w:r>
    </w:p>
    <w:p w:rsidR="006E13EC" w:rsidRDefault="006E13EC" w:rsidP="006E13EC">
      <w:pPr>
        <w:suppressLineNumbers/>
        <w:rPr>
          <w:rFonts w:eastAsia="Calibri"/>
          <w:sz w:val="24"/>
        </w:rPr>
      </w:pPr>
    </w:p>
    <w:p w:rsidR="006E13EC" w:rsidRPr="00F46354" w:rsidRDefault="006E13EC" w:rsidP="006E13EC">
      <w:pPr>
        <w:suppressLineNumbers/>
        <w:rPr>
          <w:sz w:val="16"/>
          <w:szCs w:val="16"/>
        </w:rPr>
      </w:pPr>
    </w:p>
    <w:tbl>
      <w:tblPr>
        <w:tblStyle w:val="TableGrid"/>
        <w:tblW w:w="0" w:type="auto"/>
        <w:tblLook w:val="04A0" w:firstRow="1" w:lastRow="0" w:firstColumn="1" w:lastColumn="0" w:noHBand="0" w:noVBand="1"/>
      </w:tblPr>
      <w:tblGrid>
        <w:gridCol w:w="4743"/>
        <w:gridCol w:w="4607"/>
      </w:tblGrid>
      <w:tr w:rsidR="006E13EC" w:rsidRPr="0004430E" w:rsidTr="00F406B6">
        <w:tc>
          <w:tcPr>
            <w:tcW w:w="4788" w:type="dxa"/>
          </w:tcPr>
          <w:p w:rsidR="006E13EC" w:rsidRPr="006E13EC" w:rsidRDefault="006E13EC" w:rsidP="00F406B6">
            <w:pPr>
              <w:jc w:val="both"/>
              <w:rPr>
                <w:rFonts w:ascii="Arial" w:hAnsi="Arial" w:cs="Arial"/>
              </w:rPr>
            </w:pPr>
            <w:r w:rsidRPr="006E13EC">
              <w:rPr>
                <w:rFonts w:ascii="Arial" w:hAnsi="Arial" w:cs="Arial"/>
              </w:rPr>
              <w:t xml:space="preserve">Thomas.mcnamee@puc.state.oh.us Thomas.lindgren@puc.state.oh.us Ryan.orourke@puc.state.oh.us </w:t>
            </w:r>
          </w:p>
          <w:p w:rsidR="006E13EC" w:rsidRPr="006E13EC" w:rsidRDefault="006E13EC" w:rsidP="00F406B6">
            <w:pPr>
              <w:jc w:val="both"/>
              <w:rPr>
                <w:rFonts w:ascii="Arial" w:hAnsi="Arial" w:cs="Arial"/>
              </w:rPr>
            </w:pPr>
            <w:r w:rsidRPr="006E13EC">
              <w:rPr>
                <w:rFonts w:ascii="Arial" w:hAnsi="Arial" w:cs="Arial"/>
              </w:rPr>
              <w:t xml:space="preserve">mkurtz@BKLlawfirm.com kboehm@BKLlawfirm.com jkylercohn@BKLlawfirm.com stnourse@aep.com </w:t>
            </w:r>
          </w:p>
          <w:p w:rsidR="006E13EC" w:rsidRPr="006E13EC" w:rsidRDefault="00952E4A" w:rsidP="00F406B6">
            <w:pPr>
              <w:jc w:val="both"/>
              <w:rPr>
                <w:rFonts w:ascii="Arial" w:hAnsi="Arial" w:cs="Arial"/>
              </w:rPr>
            </w:pPr>
            <w:hyperlink r:id="rId8" w:history="1">
              <w:r w:rsidR="006E13EC" w:rsidRPr="006E13EC">
                <w:rPr>
                  <w:rStyle w:val="Hyperlink"/>
                  <w:rFonts w:ascii="Arial" w:hAnsi="Arial" w:cs="Arial"/>
                  <w:color w:val="auto"/>
                  <w:u w:val="none"/>
                </w:rPr>
                <w:t>mjsatterwhite@aep.com</w:t>
              </w:r>
            </w:hyperlink>
            <w:r w:rsidR="006E13EC" w:rsidRPr="006E13EC">
              <w:rPr>
                <w:rFonts w:ascii="Arial" w:hAnsi="Arial" w:cs="Arial"/>
              </w:rPr>
              <w:t xml:space="preserve"> </w:t>
            </w:r>
          </w:p>
          <w:p w:rsidR="006E13EC" w:rsidRPr="006E13EC" w:rsidRDefault="006E13EC" w:rsidP="00F406B6">
            <w:pPr>
              <w:jc w:val="both"/>
              <w:rPr>
                <w:rFonts w:ascii="Arial" w:hAnsi="Arial" w:cs="Arial"/>
              </w:rPr>
            </w:pPr>
            <w:r w:rsidRPr="006E13EC">
              <w:rPr>
                <w:rFonts w:ascii="Arial" w:hAnsi="Arial" w:cs="Arial"/>
              </w:rPr>
              <w:t xml:space="preserve">yalami@aep.com joseph.clark@directenergy.com ghull@eckertseamans.com </w:t>
            </w:r>
          </w:p>
          <w:p w:rsidR="006E13EC" w:rsidRPr="006E13EC" w:rsidRDefault="006E13EC" w:rsidP="00F406B6">
            <w:pPr>
              <w:jc w:val="both"/>
              <w:rPr>
                <w:rFonts w:ascii="Arial" w:hAnsi="Arial" w:cs="Arial"/>
              </w:rPr>
            </w:pPr>
            <w:r w:rsidRPr="006E13EC">
              <w:rPr>
                <w:rFonts w:ascii="Arial" w:hAnsi="Arial" w:cs="Arial"/>
              </w:rPr>
              <w:t xml:space="preserve">myurick@taftlaw.com zkravitz@taftlaw.com </w:t>
            </w:r>
            <w:hyperlink r:id="rId9" w:history="1">
              <w:r w:rsidRPr="006E13EC">
                <w:rPr>
                  <w:rStyle w:val="Hyperlink"/>
                  <w:rFonts w:ascii="Arial" w:hAnsi="Arial" w:cs="Arial"/>
                  <w:color w:val="auto"/>
                  <w:u w:val="none"/>
                </w:rPr>
                <w:t>Schmidt@sppgrp.com</w:t>
              </w:r>
            </w:hyperlink>
            <w:r w:rsidRPr="006E13EC">
              <w:rPr>
                <w:rFonts w:ascii="Arial" w:hAnsi="Arial" w:cs="Arial"/>
              </w:rPr>
              <w:t xml:space="preserve"> </w:t>
            </w:r>
          </w:p>
          <w:p w:rsidR="006E13EC" w:rsidRPr="006E13EC" w:rsidRDefault="00952E4A" w:rsidP="00F406B6">
            <w:pPr>
              <w:jc w:val="both"/>
              <w:rPr>
                <w:rFonts w:ascii="Arial" w:hAnsi="Arial" w:cs="Arial"/>
              </w:rPr>
            </w:pPr>
            <w:hyperlink r:id="rId10" w:history="1">
              <w:r w:rsidR="006E13EC" w:rsidRPr="006E13EC">
                <w:rPr>
                  <w:rStyle w:val="Hyperlink"/>
                  <w:rFonts w:ascii="Arial" w:hAnsi="Arial" w:cs="Arial"/>
                  <w:color w:val="auto"/>
                  <w:u w:val="none"/>
                </w:rPr>
                <w:t>ricks@ohanet.org</w:t>
              </w:r>
            </w:hyperlink>
            <w:r w:rsidR="006E13EC" w:rsidRPr="006E13EC">
              <w:rPr>
                <w:rFonts w:ascii="Arial" w:hAnsi="Arial" w:cs="Arial"/>
              </w:rPr>
              <w:t xml:space="preserve"> </w:t>
            </w:r>
          </w:p>
          <w:p w:rsidR="006E13EC" w:rsidRPr="006E13EC" w:rsidRDefault="00952E4A" w:rsidP="00F406B6">
            <w:pPr>
              <w:jc w:val="both"/>
              <w:rPr>
                <w:rFonts w:ascii="Arial" w:hAnsi="Arial" w:cs="Arial"/>
              </w:rPr>
            </w:pPr>
            <w:hyperlink r:id="rId11" w:history="1">
              <w:r w:rsidR="006E13EC" w:rsidRPr="006E13EC">
                <w:rPr>
                  <w:rStyle w:val="Hyperlink"/>
                  <w:rFonts w:ascii="Arial" w:hAnsi="Arial" w:cs="Arial"/>
                  <w:color w:val="auto"/>
                  <w:u w:val="none"/>
                </w:rPr>
                <w:t>mkl@bbrslaw.com</w:t>
              </w:r>
            </w:hyperlink>
            <w:r w:rsidR="006E13EC" w:rsidRPr="006E13EC">
              <w:rPr>
                <w:rFonts w:ascii="Arial" w:hAnsi="Arial" w:cs="Arial"/>
              </w:rPr>
              <w:t xml:space="preserve"> </w:t>
            </w:r>
          </w:p>
          <w:p w:rsidR="006E13EC" w:rsidRPr="006E13EC" w:rsidRDefault="006E13EC" w:rsidP="00F406B6">
            <w:pPr>
              <w:jc w:val="both"/>
              <w:rPr>
                <w:rFonts w:ascii="Arial" w:hAnsi="Arial" w:cs="Arial"/>
              </w:rPr>
            </w:pPr>
            <w:r w:rsidRPr="006E13EC">
              <w:rPr>
                <w:rFonts w:ascii="Arial" w:hAnsi="Arial" w:cs="Arial"/>
              </w:rPr>
              <w:t xml:space="preserve">gas@bbrslaw.com </w:t>
            </w:r>
          </w:p>
          <w:p w:rsidR="006E13EC" w:rsidRPr="006E13EC" w:rsidRDefault="00952E4A" w:rsidP="00F406B6">
            <w:pPr>
              <w:jc w:val="both"/>
              <w:rPr>
                <w:rFonts w:ascii="Arial" w:hAnsi="Arial" w:cs="Arial"/>
              </w:rPr>
            </w:pPr>
            <w:hyperlink r:id="rId12" w:history="1">
              <w:r w:rsidR="006E13EC" w:rsidRPr="006E13EC">
                <w:rPr>
                  <w:rStyle w:val="Hyperlink"/>
                  <w:rFonts w:ascii="Arial" w:hAnsi="Arial" w:cs="Arial"/>
                  <w:color w:val="auto"/>
                  <w:u w:val="none"/>
                </w:rPr>
                <w:t>ojk@bbrslaw.com</w:t>
              </w:r>
            </w:hyperlink>
            <w:r w:rsidR="006E13EC" w:rsidRPr="006E13EC">
              <w:rPr>
                <w:rFonts w:ascii="Arial" w:hAnsi="Arial" w:cs="Arial"/>
              </w:rPr>
              <w:t xml:space="preserve"> </w:t>
            </w:r>
          </w:p>
          <w:p w:rsidR="006E13EC" w:rsidRPr="006E13EC" w:rsidRDefault="006E13EC" w:rsidP="00F406B6">
            <w:pPr>
              <w:jc w:val="both"/>
              <w:rPr>
                <w:rFonts w:ascii="Arial" w:hAnsi="Arial" w:cs="Arial"/>
              </w:rPr>
            </w:pPr>
            <w:r w:rsidRPr="006E13EC">
              <w:rPr>
                <w:rFonts w:ascii="Arial" w:hAnsi="Arial" w:cs="Arial"/>
              </w:rPr>
              <w:t xml:space="preserve">wttpmlc@aol.com lhawrot@spilmanlaw.com </w:t>
            </w:r>
          </w:p>
          <w:p w:rsidR="006E13EC" w:rsidRPr="006E13EC" w:rsidRDefault="006E13EC" w:rsidP="00F406B6">
            <w:pPr>
              <w:jc w:val="both"/>
              <w:rPr>
                <w:rFonts w:ascii="Arial" w:hAnsi="Arial" w:cs="Arial"/>
              </w:rPr>
            </w:pPr>
            <w:r w:rsidRPr="006E13EC">
              <w:rPr>
                <w:rFonts w:ascii="Arial" w:hAnsi="Arial" w:cs="Arial"/>
              </w:rPr>
              <w:t xml:space="preserve">dwilliamson@spilmanlaw.com blanghenry@city.cleveland.oh.us hmadorsky@city.cleveland.oh.us </w:t>
            </w:r>
          </w:p>
          <w:p w:rsidR="006E13EC" w:rsidRPr="006E13EC" w:rsidRDefault="006E13EC" w:rsidP="00F406B6">
            <w:pPr>
              <w:jc w:val="both"/>
              <w:rPr>
                <w:rFonts w:ascii="Arial" w:hAnsi="Arial" w:cs="Arial"/>
              </w:rPr>
            </w:pPr>
            <w:r w:rsidRPr="006E13EC">
              <w:rPr>
                <w:rFonts w:ascii="Arial" w:hAnsi="Arial" w:cs="Arial"/>
              </w:rPr>
              <w:t xml:space="preserve">kryan@city.cleveland.oh.us jscheaf@mcdonaldhopkins.com gkrassen@bricker.com dstinson@bricker.com </w:t>
            </w:r>
          </w:p>
          <w:p w:rsidR="006E13EC" w:rsidRPr="006E13EC" w:rsidRDefault="006E13EC" w:rsidP="00F406B6">
            <w:pPr>
              <w:jc w:val="both"/>
              <w:rPr>
                <w:rFonts w:ascii="Arial" w:hAnsi="Arial" w:cs="Arial"/>
              </w:rPr>
            </w:pPr>
            <w:r w:rsidRPr="006E13EC">
              <w:rPr>
                <w:rFonts w:ascii="Arial" w:hAnsi="Arial" w:cs="Arial"/>
              </w:rPr>
              <w:t>dborchers@bricker.com</w:t>
            </w:r>
          </w:p>
          <w:p w:rsidR="006E13EC" w:rsidRPr="006E13EC" w:rsidRDefault="006E13EC" w:rsidP="00F406B6">
            <w:pPr>
              <w:jc w:val="both"/>
              <w:rPr>
                <w:rFonts w:ascii="Arial" w:hAnsi="Arial" w:cs="Arial"/>
              </w:rPr>
            </w:pPr>
            <w:r w:rsidRPr="006E13EC">
              <w:rPr>
                <w:rFonts w:ascii="Arial" w:hAnsi="Arial" w:cs="Arial"/>
              </w:rPr>
              <w:t xml:space="preserve">drinebolt@ohiopartners.org meissnerjoseph@yahoo.com LeslieKovacik@toledo.oh.gov trhayslaw@gmail.com </w:t>
            </w:r>
          </w:p>
          <w:p w:rsidR="006E13EC" w:rsidRPr="006E13EC" w:rsidRDefault="006E13EC" w:rsidP="00F406B6">
            <w:pPr>
              <w:jc w:val="both"/>
              <w:rPr>
                <w:rFonts w:ascii="Arial" w:hAnsi="Arial" w:cs="Arial"/>
              </w:rPr>
            </w:pPr>
            <w:r w:rsidRPr="006E13EC">
              <w:rPr>
                <w:rFonts w:ascii="Arial" w:hAnsi="Arial" w:cs="Arial"/>
              </w:rPr>
              <w:t xml:space="preserve">Jeffrey.mayes@monitoringanalytics.com mhpetricoff@vorys.com mjsettineri@vorys.com </w:t>
            </w:r>
          </w:p>
          <w:p w:rsidR="006E13EC" w:rsidRPr="006E13EC" w:rsidRDefault="006E13EC" w:rsidP="00F406B6">
            <w:pPr>
              <w:jc w:val="both"/>
              <w:rPr>
                <w:rFonts w:ascii="Arial" w:hAnsi="Arial" w:cs="Arial"/>
              </w:rPr>
            </w:pPr>
            <w:r w:rsidRPr="006E13EC">
              <w:rPr>
                <w:rFonts w:ascii="Arial" w:hAnsi="Arial" w:cs="Arial"/>
              </w:rPr>
              <w:t xml:space="preserve">glpetrucci@vorys.com msoules@earthjustice.org </w:t>
            </w:r>
            <w:hyperlink r:id="rId13" w:history="1">
              <w:r w:rsidRPr="006E13EC">
                <w:rPr>
                  <w:rStyle w:val="Hyperlink"/>
                  <w:rFonts w:ascii="Arial" w:hAnsi="Arial" w:cs="Arial"/>
                  <w:color w:val="auto"/>
                  <w:u w:val="none"/>
                </w:rPr>
                <w:t>sfisk@earthjustice.org</w:t>
              </w:r>
            </w:hyperlink>
          </w:p>
          <w:p w:rsidR="006E13EC" w:rsidRPr="006E13EC" w:rsidRDefault="006E13EC" w:rsidP="00F406B6">
            <w:pPr>
              <w:jc w:val="both"/>
              <w:rPr>
                <w:rFonts w:ascii="Arial" w:hAnsi="Arial" w:cs="Arial"/>
              </w:rPr>
            </w:pPr>
            <w:r w:rsidRPr="006E13EC">
              <w:rPr>
                <w:rFonts w:ascii="Arial" w:hAnsi="Arial" w:cs="Arial"/>
              </w:rPr>
              <w:t>Larry.sauer@occ.ohio.gov</w:t>
            </w:r>
          </w:p>
          <w:p w:rsidR="006E13EC" w:rsidRPr="006E13EC" w:rsidRDefault="006E13EC" w:rsidP="00F406B6">
            <w:pPr>
              <w:jc w:val="both"/>
              <w:rPr>
                <w:rFonts w:ascii="Arial" w:hAnsi="Arial" w:cs="Arial"/>
              </w:rPr>
            </w:pPr>
            <w:r w:rsidRPr="006E13EC">
              <w:rPr>
                <w:rFonts w:ascii="Arial" w:hAnsi="Arial" w:cs="Arial"/>
              </w:rPr>
              <w:t>Michael.schuler@occ.ohio.gov</w:t>
            </w:r>
          </w:p>
          <w:p w:rsidR="006E13EC" w:rsidRPr="006E13EC" w:rsidRDefault="006E13EC" w:rsidP="00F406B6">
            <w:pPr>
              <w:jc w:val="both"/>
              <w:rPr>
                <w:rFonts w:ascii="Arial" w:hAnsi="Arial" w:cs="Arial"/>
              </w:rPr>
            </w:pPr>
          </w:p>
        </w:tc>
        <w:tc>
          <w:tcPr>
            <w:tcW w:w="4788" w:type="dxa"/>
          </w:tcPr>
          <w:p w:rsidR="006E13EC" w:rsidRPr="006E13EC" w:rsidRDefault="006E13EC" w:rsidP="00F406B6">
            <w:pPr>
              <w:jc w:val="both"/>
              <w:rPr>
                <w:rFonts w:ascii="Arial" w:hAnsi="Arial" w:cs="Arial"/>
              </w:rPr>
            </w:pPr>
            <w:r w:rsidRPr="006E13EC">
              <w:rPr>
                <w:rFonts w:ascii="Arial" w:hAnsi="Arial" w:cs="Arial"/>
              </w:rPr>
              <w:lastRenderedPageBreak/>
              <w:t xml:space="preserve">burkj@firstenergycorp.com cdunn@firstenergycorp.com </w:t>
            </w:r>
            <w:hyperlink r:id="rId14" w:history="1">
              <w:r w:rsidRPr="006E13EC">
                <w:rPr>
                  <w:rStyle w:val="Hyperlink"/>
                  <w:rFonts w:ascii="Arial" w:hAnsi="Arial" w:cs="Arial"/>
                  <w:color w:val="auto"/>
                  <w:u w:val="none"/>
                </w:rPr>
                <w:t>jlang@calfee.com</w:t>
              </w:r>
            </w:hyperlink>
            <w:r w:rsidRPr="006E13EC">
              <w:rPr>
                <w:rFonts w:ascii="Arial" w:hAnsi="Arial" w:cs="Arial"/>
              </w:rPr>
              <w:t xml:space="preserve"> </w:t>
            </w:r>
          </w:p>
          <w:p w:rsidR="006E13EC" w:rsidRPr="006E13EC" w:rsidRDefault="006E13EC" w:rsidP="00F406B6">
            <w:pPr>
              <w:jc w:val="both"/>
              <w:rPr>
                <w:rFonts w:ascii="Arial" w:hAnsi="Arial" w:cs="Arial"/>
              </w:rPr>
            </w:pPr>
            <w:r w:rsidRPr="006E13EC">
              <w:rPr>
                <w:rFonts w:ascii="Arial" w:hAnsi="Arial" w:cs="Arial"/>
              </w:rPr>
              <w:t xml:space="preserve">talexander@calfee.com </w:t>
            </w:r>
          </w:p>
          <w:p w:rsidR="006E13EC" w:rsidRPr="006E13EC" w:rsidRDefault="006E13EC" w:rsidP="00F406B6">
            <w:pPr>
              <w:jc w:val="both"/>
              <w:rPr>
                <w:rFonts w:ascii="Arial" w:hAnsi="Arial" w:cs="Arial"/>
              </w:rPr>
            </w:pPr>
            <w:r w:rsidRPr="006E13EC">
              <w:rPr>
                <w:rFonts w:ascii="Arial" w:hAnsi="Arial" w:cs="Arial"/>
              </w:rPr>
              <w:t xml:space="preserve">dakutik@jonesday.com sam@mwncmh.com </w:t>
            </w:r>
          </w:p>
          <w:p w:rsidR="006E13EC" w:rsidRPr="006E13EC" w:rsidRDefault="006E13EC" w:rsidP="00F406B6">
            <w:pPr>
              <w:jc w:val="both"/>
              <w:rPr>
                <w:rFonts w:ascii="Arial" w:hAnsi="Arial" w:cs="Arial"/>
              </w:rPr>
            </w:pPr>
            <w:r w:rsidRPr="006E13EC">
              <w:rPr>
                <w:rFonts w:ascii="Arial" w:hAnsi="Arial" w:cs="Arial"/>
              </w:rPr>
              <w:t xml:space="preserve">fdarr@mwncmh.com mpritchard@mwncmh.com cmooney@ohiopartners.org </w:t>
            </w:r>
          </w:p>
          <w:p w:rsidR="006E13EC" w:rsidRPr="006E13EC" w:rsidRDefault="006E13EC" w:rsidP="00F406B6">
            <w:pPr>
              <w:jc w:val="both"/>
              <w:rPr>
                <w:rFonts w:ascii="Arial" w:hAnsi="Arial" w:cs="Arial"/>
              </w:rPr>
            </w:pPr>
            <w:r w:rsidRPr="006E13EC">
              <w:rPr>
                <w:rFonts w:ascii="Arial" w:hAnsi="Arial" w:cs="Arial"/>
              </w:rPr>
              <w:t xml:space="preserve">callwein@wamenergylaw.com mswhite@igsenergy.com Bojko@carpenterlipps.com </w:t>
            </w:r>
          </w:p>
          <w:p w:rsidR="006E13EC" w:rsidRPr="006E13EC" w:rsidRDefault="006E13EC" w:rsidP="00F406B6">
            <w:pPr>
              <w:jc w:val="both"/>
              <w:rPr>
                <w:rFonts w:ascii="Arial" w:hAnsi="Arial" w:cs="Arial"/>
              </w:rPr>
            </w:pPr>
            <w:r w:rsidRPr="006E13EC">
              <w:rPr>
                <w:rFonts w:ascii="Arial" w:hAnsi="Arial" w:cs="Arial"/>
              </w:rPr>
              <w:t xml:space="preserve">Allison@carpenterlipps.com hussey@carpenterlipps.com barthroyer@aol.com athompson@taftlaw.com </w:t>
            </w:r>
          </w:p>
          <w:p w:rsidR="006E13EC" w:rsidRPr="006E13EC" w:rsidRDefault="006E13EC" w:rsidP="00F406B6">
            <w:pPr>
              <w:jc w:val="both"/>
              <w:rPr>
                <w:rFonts w:ascii="Arial" w:hAnsi="Arial" w:cs="Arial"/>
              </w:rPr>
            </w:pPr>
            <w:r w:rsidRPr="006E13EC">
              <w:rPr>
                <w:rFonts w:ascii="Arial" w:hAnsi="Arial" w:cs="Arial"/>
              </w:rPr>
              <w:t xml:space="preserve">Christopher.miller@icemiller.com Gregory.dunn@icemiller.com Jeremy.grayem@icemiller.com </w:t>
            </w:r>
          </w:p>
          <w:p w:rsidR="006E13EC" w:rsidRPr="006E13EC" w:rsidRDefault="006E13EC" w:rsidP="00F406B6">
            <w:pPr>
              <w:jc w:val="both"/>
              <w:rPr>
                <w:rFonts w:ascii="Arial" w:hAnsi="Arial" w:cs="Arial"/>
              </w:rPr>
            </w:pPr>
            <w:r w:rsidRPr="006E13EC">
              <w:rPr>
                <w:rFonts w:ascii="Arial" w:hAnsi="Arial" w:cs="Arial"/>
              </w:rPr>
              <w:t xml:space="preserve">blanghenry@city.cleveland.oh.us hmadorsky@city.cleveland.oh.us kryan@city.cleveland.oh.us </w:t>
            </w:r>
          </w:p>
          <w:p w:rsidR="006E13EC" w:rsidRPr="006E13EC" w:rsidRDefault="00952E4A" w:rsidP="00F406B6">
            <w:pPr>
              <w:jc w:val="both"/>
              <w:rPr>
                <w:rFonts w:ascii="Arial" w:hAnsi="Arial" w:cs="Arial"/>
              </w:rPr>
            </w:pPr>
            <w:hyperlink r:id="rId15" w:history="1">
              <w:r w:rsidR="006E13EC" w:rsidRPr="006E13EC">
                <w:rPr>
                  <w:rStyle w:val="Hyperlink"/>
                  <w:rFonts w:ascii="Arial" w:hAnsi="Arial" w:cs="Arial"/>
                  <w:color w:val="auto"/>
                  <w:u w:val="none"/>
                </w:rPr>
                <w:t>tdougherty@theOEC.org</w:t>
              </w:r>
            </w:hyperlink>
          </w:p>
          <w:p w:rsidR="006E13EC" w:rsidRPr="006E13EC" w:rsidRDefault="00952E4A" w:rsidP="00F406B6">
            <w:pPr>
              <w:jc w:val="both"/>
              <w:rPr>
                <w:rFonts w:ascii="Arial" w:hAnsi="Arial" w:cs="Arial"/>
              </w:rPr>
            </w:pPr>
            <w:hyperlink r:id="rId16" w:history="1">
              <w:r w:rsidR="006E13EC" w:rsidRPr="006E13EC">
                <w:rPr>
                  <w:rStyle w:val="Hyperlink"/>
                  <w:rFonts w:ascii="Arial" w:hAnsi="Arial" w:cs="Arial"/>
                  <w:color w:val="auto"/>
                  <w:u w:val="none"/>
                </w:rPr>
                <w:t>finnigan@edf.org</w:t>
              </w:r>
            </w:hyperlink>
            <w:r w:rsidR="006E13EC" w:rsidRPr="006E13EC">
              <w:rPr>
                <w:rFonts w:ascii="Arial" w:hAnsi="Arial" w:cs="Arial"/>
              </w:rPr>
              <w:t xml:space="preserve"> </w:t>
            </w:r>
          </w:p>
          <w:p w:rsidR="006E13EC" w:rsidRPr="006E13EC" w:rsidRDefault="006E13EC" w:rsidP="00F406B6">
            <w:pPr>
              <w:jc w:val="both"/>
              <w:rPr>
                <w:rFonts w:ascii="Arial" w:hAnsi="Arial" w:cs="Arial"/>
              </w:rPr>
            </w:pPr>
            <w:r w:rsidRPr="006E13EC">
              <w:rPr>
                <w:rFonts w:ascii="Arial" w:hAnsi="Arial" w:cs="Arial"/>
              </w:rPr>
              <w:t xml:space="preserve">Marilyn@wflawfirm.com todonnell@dickinsonwright.com </w:t>
            </w:r>
          </w:p>
          <w:p w:rsidR="006E13EC" w:rsidRPr="006E13EC" w:rsidRDefault="006E13EC" w:rsidP="00F406B6">
            <w:pPr>
              <w:jc w:val="both"/>
              <w:rPr>
                <w:rFonts w:ascii="Arial" w:hAnsi="Arial" w:cs="Arial"/>
              </w:rPr>
            </w:pPr>
            <w:r w:rsidRPr="006E13EC">
              <w:rPr>
                <w:rFonts w:ascii="Arial" w:hAnsi="Arial" w:cs="Arial"/>
              </w:rPr>
              <w:t xml:space="preserve">matt@matthewcoxlaw.com </w:t>
            </w:r>
            <w:hyperlink r:id="rId17" w:history="1">
              <w:r w:rsidRPr="006E13EC">
                <w:rPr>
                  <w:rStyle w:val="Hyperlink"/>
                  <w:rFonts w:ascii="Arial" w:hAnsi="Arial" w:cs="Arial"/>
                  <w:color w:val="auto"/>
                  <w:u w:val="none"/>
                </w:rPr>
                <w:t>mfleisher@elpc.org</w:t>
              </w:r>
            </w:hyperlink>
          </w:p>
          <w:p w:rsidR="006E13EC" w:rsidRPr="006E13EC" w:rsidRDefault="006E13EC" w:rsidP="00F406B6">
            <w:pPr>
              <w:jc w:val="both"/>
              <w:rPr>
                <w:rFonts w:ascii="Arial" w:hAnsi="Arial" w:cs="Arial"/>
              </w:rPr>
            </w:pPr>
            <w:r w:rsidRPr="006E13EC">
              <w:rPr>
                <w:rFonts w:ascii="Arial" w:hAnsi="Arial" w:cs="Arial"/>
              </w:rPr>
              <w:t xml:space="preserve">mitch.dutton@fpl.com selisar@mwncmh.com ccunningham@akronohio.gov asonderman@keglerbrown.com </w:t>
            </w:r>
          </w:p>
          <w:p w:rsidR="006E13EC" w:rsidRPr="006E13EC" w:rsidRDefault="006E13EC" w:rsidP="00F406B6">
            <w:pPr>
              <w:jc w:val="both"/>
              <w:rPr>
                <w:rFonts w:ascii="Arial" w:hAnsi="Arial" w:cs="Arial"/>
              </w:rPr>
            </w:pPr>
            <w:r w:rsidRPr="006E13EC">
              <w:rPr>
                <w:rFonts w:ascii="Arial" w:hAnsi="Arial" w:cs="Arial"/>
              </w:rPr>
              <w:t xml:space="preserve">sechler@carpenterlipps.com gpoulos@enernoc.com toddm@wamenergylaw.com amy.spiller@duke-energy.com </w:t>
            </w:r>
          </w:p>
          <w:p w:rsidR="006E13EC" w:rsidRPr="006E13EC" w:rsidRDefault="006E13EC" w:rsidP="00F406B6">
            <w:pPr>
              <w:jc w:val="both"/>
              <w:rPr>
                <w:rFonts w:ascii="Arial" w:hAnsi="Arial" w:cs="Arial"/>
              </w:rPr>
            </w:pPr>
            <w:r w:rsidRPr="006E13EC">
              <w:rPr>
                <w:rFonts w:ascii="Arial" w:hAnsi="Arial" w:cs="Arial"/>
              </w:rPr>
              <w:t>Jeanne.kingery@duke-energy.com dwilliamson@spilmanlaw.com lhawrot@spilmanlaw.com</w:t>
            </w:r>
          </w:p>
          <w:p w:rsidR="006E13EC" w:rsidRPr="006E13EC" w:rsidRDefault="006E13EC" w:rsidP="00F406B6">
            <w:pPr>
              <w:jc w:val="both"/>
              <w:rPr>
                <w:rFonts w:ascii="Arial" w:hAnsi="Arial" w:cs="Arial"/>
              </w:rPr>
            </w:pPr>
            <w:r w:rsidRPr="006E13EC">
              <w:rPr>
                <w:rFonts w:ascii="Arial" w:hAnsi="Arial" w:cs="Arial"/>
              </w:rPr>
              <w:t>Kevin.moore@occ.ohio.gov</w:t>
            </w:r>
          </w:p>
          <w:p w:rsidR="006E13EC" w:rsidRPr="006E13EC" w:rsidRDefault="006E13EC" w:rsidP="00F406B6">
            <w:pPr>
              <w:jc w:val="both"/>
              <w:rPr>
                <w:rFonts w:ascii="Arial" w:hAnsi="Arial" w:cs="Arial"/>
              </w:rPr>
            </w:pPr>
          </w:p>
          <w:p w:rsidR="006E13EC" w:rsidRPr="006E13EC" w:rsidRDefault="006E13EC" w:rsidP="00F406B6">
            <w:pPr>
              <w:jc w:val="both"/>
              <w:rPr>
                <w:rFonts w:ascii="Arial" w:hAnsi="Arial" w:cs="Arial"/>
              </w:rPr>
            </w:pPr>
          </w:p>
        </w:tc>
      </w:tr>
    </w:tbl>
    <w:p w:rsidR="00B54B55" w:rsidRDefault="00B54B55" w:rsidP="00B54B55">
      <w:pPr>
        <w:suppressLineNumbers/>
        <w:rPr>
          <w:rFonts w:eastAsia="Calibri"/>
          <w:sz w:val="24"/>
        </w:rPr>
      </w:pPr>
    </w:p>
    <w:p w:rsidR="00B54B55" w:rsidRDefault="00B54B55" w:rsidP="00B54B55">
      <w:pPr>
        <w:suppressLineNumbers/>
        <w:rPr>
          <w:rFonts w:eastAsia="Calibri"/>
          <w:sz w:val="24"/>
        </w:rPr>
      </w:pPr>
    </w:p>
    <w:p w:rsidR="00B54B55" w:rsidRPr="006E13EC" w:rsidRDefault="00B54B55" w:rsidP="00B54B55">
      <w:pPr>
        <w:suppressLineNumbers/>
        <w:jc w:val="center"/>
        <w:rPr>
          <w:b/>
          <w:i/>
          <w:sz w:val="24"/>
          <w:u w:val="single"/>
        </w:rPr>
      </w:pPr>
      <w:r>
        <w:rPr>
          <w:rFonts w:ascii="Times New Roman" w:hAnsi="Times New Roman" w:cs="Times New Roman"/>
          <w:sz w:val="24"/>
        </w:rPr>
        <w:tab/>
      </w:r>
      <w:r>
        <w:rPr>
          <w:rFonts w:ascii="Times New Roman" w:hAnsi="Times New Roman" w:cs="Times New Roman"/>
          <w:sz w:val="24"/>
        </w:rPr>
        <w:tab/>
      </w:r>
      <w:r w:rsidRPr="00CF174E">
        <w:rPr>
          <w:sz w:val="24"/>
        </w:rPr>
        <w:tab/>
      </w:r>
      <w:r w:rsidRPr="006E13EC">
        <w:rPr>
          <w:b/>
          <w:i/>
          <w:sz w:val="24"/>
          <w:u w:val="single"/>
        </w:rPr>
        <w:t>/s/Joseph Oliker</w:t>
      </w:r>
    </w:p>
    <w:p w:rsidR="00B54B55" w:rsidRDefault="00B54B55" w:rsidP="00B54B55">
      <w:pPr>
        <w:ind w:left="4320"/>
      </w:pPr>
      <w:r>
        <w:rPr>
          <w:sz w:val="24"/>
        </w:rPr>
        <w:t xml:space="preserve">        </w:t>
      </w:r>
      <w:r w:rsidR="00E43CDE">
        <w:rPr>
          <w:sz w:val="24"/>
        </w:rPr>
        <w:t>Counsel for Interstate Gas Supply, Inc.</w:t>
      </w:r>
    </w:p>
    <w:p w:rsidR="00B54B55" w:rsidRDefault="00B54B55" w:rsidP="00D91257"/>
    <w:p w:rsidR="00B54B55" w:rsidRDefault="00B54B55" w:rsidP="00D91257"/>
    <w:p w:rsidR="00B54B55" w:rsidRDefault="00B54B55" w:rsidP="00D91257"/>
    <w:sectPr w:rsidR="00B54B55">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30A" w:rsidRDefault="0033230A" w:rsidP="00567136">
      <w:r>
        <w:separator/>
      </w:r>
    </w:p>
  </w:endnote>
  <w:endnote w:type="continuationSeparator" w:id="0">
    <w:p w:rsidR="0033230A" w:rsidRDefault="0033230A" w:rsidP="0056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6B6" w:rsidRDefault="00F406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285012"/>
      <w:docPartObj>
        <w:docPartGallery w:val="Page Numbers (Bottom of Page)"/>
        <w:docPartUnique/>
      </w:docPartObj>
    </w:sdtPr>
    <w:sdtEndPr>
      <w:rPr>
        <w:noProof/>
      </w:rPr>
    </w:sdtEndPr>
    <w:sdtContent>
      <w:p w:rsidR="00F406B6" w:rsidRDefault="00F406B6">
        <w:pPr>
          <w:pStyle w:val="Footer"/>
          <w:jc w:val="center"/>
        </w:pPr>
        <w:r>
          <w:fldChar w:fldCharType="begin"/>
        </w:r>
        <w:r>
          <w:instrText xml:space="preserve"> PAGE   \* MERGEFORMAT </w:instrText>
        </w:r>
        <w:r>
          <w:fldChar w:fldCharType="separate"/>
        </w:r>
        <w:r w:rsidR="00952E4A">
          <w:rPr>
            <w:noProof/>
          </w:rPr>
          <w:t>16</w:t>
        </w:r>
        <w:r>
          <w:rPr>
            <w:noProof/>
          </w:rPr>
          <w:fldChar w:fldCharType="end"/>
        </w:r>
      </w:p>
    </w:sdtContent>
  </w:sdt>
  <w:p w:rsidR="00F406B6" w:rsidRDefault="00F406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6B6" w:rsidRDefault="00F406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30A" w:rsidRDefault="0033230A" w:rsidP="00567136">
      <w:r>
        <w:separator/>
      </w:r>
    </w:p>
  </w:footnote>
  <w:footnote w:type="continuationSeparator" w:id="0">
    <w:p w:rsidR="0033230A" w:rsidRDefault="0033230A" w:rsidP="00567136">
      <w:r>
        <w:continuationSeparator/>
      </w:r>
    </w:p>
  </w:footnote>
  <w:footnote w:id="1">
    <w:p w:rsidR="00067C49" w:rsidRDefault="00067C49">
      <w:pPr>
        <w:pStyle w:val="FootnoteText"/>
      </w:pPr>
      <w:r>
        <w:rPr>
          <w:rStyle w:val="FootnoteReference"/>
        </w:rPr>
        <w:footnoteRef/>
      </w:r>
      <w:r>
        <w:t xml:space="preserve"> </w:t>
      </w:r>
      <w:r>
        <w:rPr>
          <w:i/>
        </w:rPr>
        <w:t xml:space="preserve">See </w:t>
      </w:r>
      <w:r>
        <w:t xml:space="preserve">Concurring Opinion of Chairman </w:t>
      </w:r>
      <w:proofErr w:type="spellStart"/>
      <w:r>
        <w:t>Haque</w:t>
      </w:r>
      <w:proofErr w:type="spellEnd"/>
      <w:r>
        <w:t xml:space="preserve"> at 1-3 (summarizing Fifth Entry on Rehearing) (Oct. 12, 2016).</w:t>
      </w:r>
    </w:p>
    <w:p w:rsidR="00067C49" w:rsidRPr="00067C49" w:rsidRDefault="00067C49">
      <w:pPr>
        <w:pStyle w:val="FootnoteText"/>
      </w:pPr>
    </w:p>
  </w:footnote>
  <w:footnote w:id="2">
    <w:p w:rsidR="00067C49" w:rsidRPr="00067C49" w:rsidRDefault="00067C49">
      <w:pPr>
        <w:pStyle w:val="FootnoteText"/>
      </w:pPr>
      <w:r>
        <w:rPr>
          <w:rStyle w:val="FootnoteReference"/>
        </w:rPr>
        <w:footnoteRef/>
      </w:r>
      <w:r>
        <w:t xml:space="preserve"> </w:t>
      </w:r>
      <w:r>
        <w:rPr>
          <w:i/>
        </w:rPr>
        <w:t>Id.</w:t>
      </w:r>
      <w:r>
        <w:t xml:space="preserve">; </w:t>
      </w:r>
      <w:r>
        <w:rPr>
          <w:i/>
        </w:rPr>
        <w:t xml:space="preserve">see also </w:t>
      </w:r>
      <w:r>
        <w:t>Entry at 50-51; 88-89</w:t>
      </w:r>
      <w:r w:rsidR="00955F30">
        <w:t xml:space="preserve"> (Oct. 12, 2016)</w:t>
      </w:r>
      <w:r>
        <w:t xml:space="preserve">. </w:t>
      </w:r>
    </w:p>
  </w:footnote>
  <w:footnote w:id="3">
    <w:p w:rsidR="009950AD" w:rsidRDefault="009950AD">
      <w:pPr>
        <w:pStyle w:val="FootnoteText"/>
      </w:pPr>
      <w:r>
        <w:rPr>
          <w:rStyle w:val="FootnoteReference"/>
        </w:rPr>
        <w:footnoteRef/>
      </w:r>
      <w:r>
        <w:t xml:space="preserve"> Opinion and Order at 98 (Mar. 31, 2016) (hereinafter “Order”).</w:t>
      </w:r>
    </w:p>
    <w:p w:rsidR="00744D5A" w:rsidRDefault="00744D5A">
      <w:pPr>
        <w:pStyle w:val="FootnoteText"/>
      </w:pPr>
    </w:p>
  </w:footnote>
  <w:footnote w:id="4">
    <w:p w:rsidR="00112ADA" w:rsidRDefault="00112ADA">
      <w:pPr>
        <w:pStyle w:val="FootnoteText"/>
      </w:pPr>
      <w:r>
        <w:rPr>
          <w:rStyle w:val="FootnoteReference"/>
        </w:rPr>
        <w:footnoteRef/>
      </w:r>
      <w:r>
        <w:t xml:space="preserve"> Entry at 135</w:t>
      </w:r>
      <w:r w:rsidR="00955F30">
        <w:t xml:space="preserve"> (Oct. 12, 2016)</w:t>
      </w:r>
      <w:r>
        <w:t>.</w:t>
      </w:r>
    </w:p>
    <w:p w:rsidR="00112ADA" w:rsidRDefault="00112ADA">
      <w:pPr>
        <w:pStyle w:val="FootnoteText"/>
      </w:pPr>
    </w:p>
  </w:footnote>
  <w:footnote w:id="5">
    <w:p w:rsidR="00744D5A" w:rsidRDefault="00744D5A" w:rsidP="00744D5A">
      <w:pPr>
        <w:pStyle w:val="FootnoteText"/>
      </w:pPr>
      <w:r>
        <w:rPr>
          <w:rStyle w:val="FootnoteReference"/>
        </w:rPr>
        <w:footnoteRef/>
      </w:r>
      <w:r>
        <w:t xml:space="preserve"> Ohio Manufacturers’ Association Energy Group (“OMAEG”) Ex. 24.</w:t>
      </w:r>
    </w:p>
    <w:p w:rsidR="00744D5A" w:rsidRDefault="00744D5A">
      <w:pPr>
        <w:pStyle w:val="FootnoteText"/>
      </w:pPr>
    </w:p>
  </w:footnote>
  <w:footnote w:id="6">
    <w:p w:rsidR="00F406B6" w:rsidRDefault="00F406B6">
      <w:pPr>
        <w:pStyle w:val="FootnoteText"/>
      </w:pPr>
      <w:r>
        <w:rPr>
          <w:rStyle w:val="FootnoteReference"/>
        </w:rPr>
        <w:footnoteRef/>
      </w:r>
      <w:r>
        <w:t xml:space="preserve"> IGS Ex. 11 at 4. </w:t>
      </w:r>
      <w:r w:rsidR="000300F8">
        <w:rPr>
          <w:i/>
        </w:rPr>
        <w:t>See also</w:t>
      </w:r>
      <w:r w:rsidRPr="00B166A7">
        <w:t xml:space="preserve"> </w:t>
      </w:r>
      <w:r>
        <w:t>Ex. MW-4.</w:t>
      </w:r>
    </w:p>
    <w:p w:rsidR="00F406B6" w:rsidRDefault="00F406B6">
      <w:pPr>
        <w:pStyle w:val="FootnoteText"/>
      </w:pPr>
    </w:p>
  </w:footnote>
  <w:footnote w:id="7">
    <w:p w:rsidR="00F406B6" w:rsidRDefault="00F406B6" w:rsidP="00145150">
      <w:pPr>
        <w:pStyle w:val="FootnoteText"/>
      </w:pPr>
      <w:r>
        <w:rPr>
          <w:rStyle w:val="FootnoteReference"/>
        </w:rPr>
        <w:footnoteRef/>
      </w:r>
      <w:r>
        <w:t xml:space="preserve"> IGS Ex. 11 at 17-18 and Ex. MW-4.</w:t>
      </w:r>
    </w:p>
    <w:p w:rsidR="00F406B6" w:rsidRDefault="00F406B6" w:rsidP="00145150">
      <w:pPr>
        <w:pStyle w:val="FootnoteText"/>
      </w:pPr>
    </w:p>
  </w:footnote>
  <w:footnote w:id="8">
    <w:p w:rsidR="00FA1823" w:rsidRDefault="00FA1823">
      <w:pPr>
        <w:pStyle w:val="FootnoteText"/>
      </w:pPr>
      <w:r>
        <w:rPr>
          <w:rStyle w:val="FootnoteReference"/>
        </w:rPr>
        <w:footnoteRef/>
      </w:r>
      <w:r>
        <w:t xml:space="preserve"> IGS Ex. 11 at 17</w:t>
      </w:r>
      <w:r w:rsidR="00744D5A">
        <w:t xml:space="preserve"> (emphasis added)</w:t>
      </w:r>
      <w:r>
        <w:t xml:space="preserve">.  </w:t>
      </w:r>
      <w:r w:rsidRPr="00FA1823">
        <w:t>Mr. White further stated that “[b]y encouraging customers to remain on SSO service, the Commission is effectively adopting a policy that discourages engagement in the retail electric markets. In the long run, a disengaged market wi</w:t>
      </w:r>
      <w:r w:rsidR="003173E9">
        <w:t>ll</w:t>
      </w:r>
      <w:r w:rsidRPr="00FA1823">
        <w:t xml:space="preserve"> miss out on the multitude of innovative products and technologies that will enhance Ohio's electric reliability and enable customers to use energy more efficiently.”  </w:t>
      </w:r>
      <w:r w:rsidRPr="00744D5A">
        <w:rPr>
          <w:i/>
        </w:rPr>
        <w:t>Id.</w:t>
      </w:r>
      <w:r w:rsidRPr="00FA1823">
        <w:t xml:space="preserve"> at 20-21.</w:t>
      </w:r>
    </w:p>
    <w:p w:rsidR="00FA1823" w:rsidRDefault="00FA1823">
      <w:pPr>
        <w:pStyle w:val="FootnoteText"/>
      </w:pPr>
    </w:p>
  </w:footnote>
  <w:footnote w:id="9">
    <w:p w:rsidR="00F406B6" w:rsidRDefault="00F406B6">
      <w:pPr>
        <w:pStyle w:val="FootnoteText"/>
      </w:pPr>
      <w:r>
        <w:rPr>
          <w:rStyle w:val="FootnoteReference"/>
        </w:rPr>
        <w:footnoteRef/>
      </w:r>
      <w:r>
        <w:t xml:space="preserve"> This Stipulation was the last of four submitted in this proceeding.</w:t>
      </w:r>
      <w:r w:rsidR="00FA1823">
        <w:t xml:space="preserve"> </w:t>
      </w:r>
    </w:p>
    <w:p w:rsidR="00744D5A" w:rsidRPr="00FA1823" w:rsidRDefault="00744D5A">
      <w:pPr>
        <w:pStyle w:val="FootnoteText"/>
      </w:pPr>
    </w:p>
  </w:footnote>
  <w:footnote w:id="10">
    <w:p w:rsidR="00F406B6" w:rsidRDefault="00F406B6" w:rsidP="00FA1823">
      <w:pPr>
        <w:pStyle w:val="FootnoteText"/>
      </w:pPr>
      <w:r>
        <w:rPr>
          <w:rStyle w:val="FootnoteReference"/>
        </w:rPr>
        <w:footnoteRef/>
      </w:r>
      <w:r>
        <w:t xml:space="preserve"> FirstEnergy Ex. 154 at 2 (Third Supplemental Stipulation</w:t>
      </w:r>
      <w:proofErr w:type="gramStart"/>
      <w:r>
        <w:t>)</w:t>
      </w:r>
      <w:r w:rsidR="00FA1823">
        <w:t>(</w:t>
      </w:r>
      <w:proofErr w:type="gramEnd"/>
      <w:r w:rsidR="00FA1823">
        <w:t>emphasis added)</w:t>
      </w:r>
      <w:r>
        <w:t>. The Stipulation is further supported by the Fifth Supplemental Testimony of Eileen Mikkelsen</w:t>
      </w:r>
      <w:r>
        <w:rPr>
          <w:i/>
        </w:rPr>
        <w:t xml:space="preserve">. </w:t>
      </w:r>
      <w:r>
        <w:t xml:space="preserve"> FirstEnergy Ex. 155 at 3-4, 10 (Fifth Supplemental Testimony of Eileen Mikkelsen).</w:t>
      </w:r>
      <w:r w:rsidR="00FA1823">
        <w:t xml:space="preserve">  </w:t>
      </w:r>
    </w:p>
    <w:p w:rsidR="00F406B6" w:rsidRPr="00C646F8" w:rsidRDefault="00F406B6">
      <w:pPr>
        <w:pStyle w:val="FootnoteText"/>
      </w:pPr>
    </w:p>
  </w:footnote>
  <w:footnote w:id="11">
    <w:p w:rsidR="00F406B6" w:rsidRDefault="00F406B6" w:rsidP="00AD46C8">
      <w:pPr>
        <w:pStyle w:val="FootnoteText"/>
      </w:pPr>
      <w:r>
        <w:rPr>
          <w:rStyle w:val="FootnoteReference"/>
        </w:rPr>
        <w:footnoteRef/>
      </w:r>
      <w:r>
        <w:t xml:space="preserve"> RESA Ex. 7 at 7; </w:t>
      </w:r>
      <w:r>
        <w:rPr>
          <w:i/>
        </w:rPr>
        <w:t xml:space="preserve">see also </w:t>
      </w:r>
      <w:r>
        <w:t>Rehearing Tr. Vol. IV at 844-46.</w:t>
      </w:r>
    </w:p>
    <w:p w:rsidR="00F406B6" w:rsidRDefault="00F406B6" w:rsidP="00AD46C8">
      <w:pPr>
        <w:pStyle w:val="FootnoteText"/>
      </w:pPr>
    </w:p>
  </w:footnote>
  <w:footnote w:id="12">
    <w:p w:rsidR="00B812DD" w:rsidRDefault="00B812DD">
      <w:pPr>
        <w:pStyle w:val="FootnoteText"/>
      </w:pPr>
      <w:r>
        <w:rPr>
          <w:rStyle w:val="FootnoteReference"/>
        </w:rPr>
        <w:footnoteRef/>
      </w:r>
      <w:r>
        <w:t xml:space="preserve"> Entry at 50-51, 88-89, 123, 163 (Oct. 12, 2016).</w:t>
      </w:r>
    </w:p>
    <w:p w:rsidR="00B812DD" w:rsidRDefault="00B812DD">
      <w:pPr>
        <w:pStyle w:val="FootnoteText"/>
      </w:pPr>
    </w:p>
  </w:footnote>
  <w:footnote w:id="13">
    <w:p w:rsidR="00F406B6" w:rsidRDefault="00F406B6">
      <w:pPr>
        <w:pStyle w:val="FootnoteText"/>
      </w:pPr>
      <w:r>
        <w:rPr>
          <w:rStyle w:val="FootnoteReference"/>
        </w:rPr>
        <w:footnoteRef/>
      </w:r>
      <w:r>
        <w:t xml:space="preserve"> </w:t>
      </w:r>
      <w:r w:rsidRPr="00EE63FA">
        <w:t>“I can speak to my experience in Texas and I believe that that would be the case. With the advent of more smart meters and that technology, more products can be developed and offered to customers in Ohio</w:t>
      </w:r>
      <w:r>
        <w:t xml:space="preserve">.”  Rehearing Tr. at IV at 844. </w:t>
      </w:r>
    </w:p>
    <w:p w:rsidR="00F406B6" w:rsidRDefault="00F406B6">
      <w:pPr>
        <w:pStyle w:val="FootnoteText"/>
      </w:pPr>
    </w:p>
  </w:footnote>
  <w:footnote w:id="14">
    <w:p w:rsidR="00B812DD" w:rsidRDefault="00B812DD">
      <w:pPr>
        <w:pStyle w:val="FootnoteText"/>
      </w:pPr>
      <w:r>
        <w:rPr>
          <w:rStyle w:val="FootnoteReference"/>
        </w:rPr>
        <w:footnoteRef/>
      </w:r>
      <w:r>
        <w:t xml:space="preserve"> </w:t>
      </w:r>
      <w:r>
        <w:rPr>
          <w:i/>
        </w:rPr>
        <w:t>See</w:t>
      </w:r>
      <w:r>
        <w:t xml:space="preserve"> FirstEnergy Ex. 120 at 30.</w:t>
      </w:r>
    </w:p>
    <w:p w:rsidR="00744D5A" w:rsidRPr="00B812DD" w:rsidRDefault="00744D5A">
      <w:pPr>
        <w:pStyle w:val="FootnoteText"/>
      </w:pPr>
    </w:p>
  </w:footnote>
  <w:footnote w:id="15">
    <w:p w:rsidR="00F406B6" w:rsidRDefault="00F406B6" w:rsidP="00043FE1">
      <w:pPr>
        <w:pStyle w:val="FootnoteText"/>
      </w:pPr>
      <w:r>
        <w:rPr>
          <w:rStyle w:val="FootnoteReference"/>
        </w:rPr>
        <w:footnoteRef/>
      </w:r>
      <w:r w:rsidR="00744D5A">
        <w:t xml:space="preserve"> OMAEG</w:t>
      </w:r>
      <w:r>
        <w:t xml:space="preserve"> Ex. 24.</w:t>
      </w:r>
    </w:p>
    <w:p w:rsidR="00744D5A" w:rsidRDefault="00744D5A" w:rsidP="00043FE1">
      <w:pPr>
        <w:pStyle w:val="FootnoteText"/>
      </w:pPr>
    </w:p>
  </w:footnote>
  <w:footnote w:id="16">
    <w:p w:rsidR="00744D5A" w:rsidRDefault="00744D5A">
      <w:pPr>
        <w:pStyle w:val="FootnoteText"/>
      </w:pPr>
      <w:r>
        <w:rPr>
          <w:rStyle w:val="FootnoteReference"/>
        </w:rPr>
        <w:footnoteRef/>
      </w:r>
      <w:r>
        <w:t xml:space="preserve"> Order at 98</w:t>
      </w:r>
      <w:r w:rsidR="00955F30">
        <w:t xml:space="preserve"> (Mar. 31, 2016)</w:t>
      </w:r>
      <w:r>
        <w:t>.</w:t>
      </w:r>
    </w:p>
    <w:p w:rsidR="00744D5A" w:rsidRDefault="00744D5A">
      <w:pPr>
        <w:pStyle w:val="FootnoteText"/>
      </w:pPr>
    </w:p>
  </w:footnote>
  <w:footnote w:id="17">
    <w:p w:rsidR="00744D5A" w:rsidRPr="00744D5A" w:rsidRDefault="00744D5A">
      <w:pPr>
        <w:pStyle w:val="FootnoteText"/>
        <w:rPr>
          <w:i/>
        </w:rPr>
      </w:pPr>
      <w:r>
        <w:rPr>
          <w:rStyle w:val="FootnoteReference"/>
        </w:rPr>
        <w:footnoteRef/>
      </w:r>
      <w:r>
        <w:t xml:space="preserve"> </w:t>
      </w:r>
      <w:r>
        <w:rPr>
          <w:i/>
        </w:rPr>
        <w:t>Id.</w:t>
      </w:r>
    </w:p>
  </w:footnote>
  <w:footnote w:id="18">
    <w:p w:rsidR="00744D5A" w:rsidRDefault="00744D5A">
      <w:pPr>
        <w:pStyle w:val="FootnoteText"/>
      </w:pPr>
      <w:r>
        <w:rPr>
          <w:rStyle w:val="FootnoteReference"/>
        </w:rPr>
        <w:footnoteRef/>
      </w:r>
      <w:r>
        <w:t xml:space="preserve"> Correspondence of IGS Energy (May 2, 2016).</w:t>
      </w:r>
    </w:p>
    <w:p w:rsidR="00744D5A" w:rsidRDefault="00744D5A">
      <w:pPr>
        <w:pStyle w:val="FootnoteText"/>
      </w:pPr>
    </w:p>
  </w:footnote>
  <w:footnote w:id="19">
    <w:p w:rsidR="00B17E89" w:rsidRDefault="00B17E89">
      <w:pPr>
        <w:pStyle w:val="FootnoteText"/>
      </w:pPr>
      <w:r>
        <w:rPr>
          <w:rStyle w:val="FootnoteReference"/>
        </w:rPr>
        <w:footnoteRef/>
      </w:r>
      <w:r>
        <w:t xml:space="preserve"> Entry at 135 (Oct. 12, 2016) (citations omitted).</w:t>
      </w:r>
    </w:p>
  </w:footnote>
  <w:footnote w:id="20">
    <w:p w:rsidR="00702E23" w:rsidRDefault="00702E23">
      <w:pPr>
        <w:pStyle w:val="FootnoteText"/>
      </w:pPr>
      <w:r>
        <w:rPr>
          <w:rStyle w:val="FootnoteReference"/>
        </w:rPr>
        <w:footnoteRef/>
      </w:r>
      <w:r>
        <w:t xml:space="preserve"> IGS Ex. 11 at 17</w:t>
      </w:r>
      <w:r w:rsidR="00FD4530">
        <w:t xml:space="preserve"> (emphasis added)</w:t>
      </w:r>
      <w:r>
        <w:t xml:space="preserve">.  </w:t>
      </w:r>
      <w:r>
        <w:rPr>
          <w:i/>
        </w:rPr>
        <w:t xml:space="preserve">See also id. </w:t>
      </w:r>
      <w:proofErr w:type="gramStart"/>
      <w:r>
        <w:t>at</w:t>
      </w:r>
      <w:proofErr w:type="gramEnd"/>
      <w:r>
        <w:t xml:space="preserve"> 20-21.</w:t>
      </w:r>
    </w:p>
    <w:p w:rsidR="00112ADA" w:rsidRPr="00702E23" w:rsidRDefault="00112ADA">
      <w:pPr>
        <w:pStyle w:val="FootnoteText"/>
      </w:pPr>
    </w:p>
  </w:footnote>
  <w:footnote w:id="21">
    <w:p w:rsidR="00702E23" w:rsidRPr="00702E23" w:rsidRDefault="00702E23">
      <w:pPr>
        <w:pStyle w:val="FootnoteText"/>
      </w:pPr>
      <w:r>
        <w:rPr>
          <w:rStyle w:val="FootnoteReference"/>
        </w:rPr>
        <w:footnoteRef/>
      </w:r>
      <w:r>
        <w:t xml:space="preserve"> </w:t>
      </w:r>
      <w:r>
        <w:rPr>
          <w:i/>
        </w:rPr>
        <w:t xml:space="preserve">Id. </w:t>
      </w:r>
      <w:r>
        <w:t>at</w:t>
      </w:r>
      <w:r w:rsidRPr="00702E23">
        <w:t xml:space="preserve"> </w:t>
      </w:r>
      <w:r>
        <w:t xml:space="preserve">4, </w:t>
      </w:r>
      <w:r w:rsidRPr="00702E23">
        <w:t>17-18 and Ex. MW-4.</w:t>
      </w:r>
    </w:p>
  </w:footnote>
  <w:footnote w:id="22">
    <w:p w:rsidR="00A52BF8" w:rsidRDefault="00A52BF8" w:rsidP="00A52BF8">
      <w:pPr>
        <w:pStyle w:val="FootnoteText"/>
      </w:pPr>
      <w:r w:rsidRPr="004C64A0">
        <w:rPr>
          <w:rStyle w:val="FootnoteReference"/>
        </w:rPr>
        <w:footnoteRef/>
      </w:r>
      <w:r w:rsidRPr="004C64A0">
        <w:t xml:space="preserve"> Tr. Vol. XXXVII at 7927-28.  </w:t>
      </w:r>
    </w:p>
    <w:p w:rsidR="00A52BF8" w:rsidRDefault="00A52BF8" w:rsidP="00A52BF8">
      <w:pPr>
        <w:pStyle w:val="FootnoteText"/>
      </w:pPr>
    </w:p>
  </w:footnote>
  <w:footnote w:id="23">
    <w:p w:rsidR="00702E23" w:rsidRDefault="00702E23">
      <w:pPr>
        <w:pStyle w:val="FootnoteText"/>
      </w:pPr>
      <w:r>
        <w:rPr>
          <w:rStyle w:val="FootnoteReference"/>
        </w:rPr>
        <w:footnoteRef/>
      </w:r>
      <w:r>
        <w:t xml:space="preserve"> </w:t>
      </w:r>
      <w:r>
        <w:rPr>
          <w:i/>
        </w:rPr>
        <w:t xml:space="preserve">Id. </w:t>
      </w:r>
      <w:r>
        <w:t>at 7925-26.</w:t>
      </w:r>
    </w:p>
    <w:p w:rsidR="00702E23" w:rsidRPr="00702E23" w:rsidRDefault="00702E23">
      <w:pPr>
        <w:pStyle w:val="FootnoteText"/>
      </w:pPr>
    </w:p>
  </w:footnote>
  <w:footnote w:id="24">
    <w:p w:rsidR="00702E23" w:rsidRDefault="00702E23">
      <w:pPr>
        <w:pStyle w:val="FootnoteText"/>
      </w:pPr>
      <w:r>
        <w:rPr>
          <w:rStyle w:val="FootnoteReference"/>
        </w:rPr>
        <w:footnoteRef/>
      </w:r>
      <w:r>
        <w:t xml:space="preserve"> </w:t>
      </w:r>
      <w:r>
        <w:rPr>
          <w:i/>
        </w:rPr>
        <w:t xml:space="preserve">Id. </w:t>
      </w:r>
      <w:r>
        <w:t xml:space="preserve">at 7913. </w:t>
      </w:r>
    </w:p>
    <w:p w:rsidR="00702E23" w:rsidRPr="00702E23" w:rsidRDefault="00702E23">
      <w:pPr>
        <w:pStyle w:val="FootnoteText"/>
      </w:pPr>
    </w:p>
  </w:footnote>
  <w:footnote w:id="25">
    <w:p w:rsidR="00CC5D3A" w:rsidRDefault="00CC5D3A" w:rsidP="00CC5D3A">
      <w:pPr>
        <w:pStyle w:val="FootnoteText"/>
        <w:rPr>
          <w:i/>
        </w:rPr>
      </w:pPr>
      <w:r>
        <w:rPr>
          <w:rStyle w:val="FootnoteReference"/>
        </w:rPr>
        <w:footnoteRef/>
      </w:r>
      <w:r>
        <w:t xml:space="preserve"> </w:t>
      </w:r>
      <w:r>
        <w:rPr>
          <w:i/>
        </w:rPr>
        <w:t xml:space="preserve">See </w:t>
      </w:r>
      <w:r w:rsidR="00955F30">
        <w:t>R.C. 4928.31</w:t>
      </w:r>
      <w:r w:rsidR="00702E23">
        <w:t>-40</w:t>
      </w:r>
      <w:r>
        <w:rPr>
          <w:i/>
        </w:rPr>
        <w:t xml:space="preserve"> </w:t>
      </w:r>
      <w:proofErr w:type="gramStart"/>
      <w:r>
        <w:rPr>
          <w:i/>
        </w:rPr>
        <w:t>et</w:t>
      </w:r>
      <w:proofErr w:type="gramEnd"/>
      <w:r>
        <w:rPr>
          <w:i/>
        </w:rPr>
        <w:t xml:space="preserve"> sec. </w:t>
      </w:r>
    </w:p>
    <w:p w:rsidR="00CC5D3A" w:rsidRPr="00F163DA" w:rsidRDefault="00CC5D3A" w:rsidP="00CC5D3A">
      <w:pPr>
        <w:pStyle w:val="FootnoteText"/>
      </w:pPr>
    </w:p>
  </w:footnote>
  <w:footnote w:id="26">
    <w:p w:rsidR="00CC5D3A" w:rsidRDefault="00CC5D3A" w:rsidP="00CC5D3A">
      <w:pPr>
        <w:pStyle w:val="FootnoteText"/>
      </w:pPr>
      <w:r>
        <w:rPr>
          <w:rStyle w:val="FootnoteReference"/>
        </w:rPr>
        <w:footnoteRef/>
      </w:r>
      <w:r>
        <w:t xml:space="preserve"> </w:t>
      </w:r>
      <w:r w:rsidRPr="00A110D3">
        <w:rPr>
          <w:i/>
        </w:rPr>
        <w:t>In the Matter of the Application of FirstEnergy Corp. on Behalf of Ohio Edison Company, The Cleveland Electric Illuminating Company, and The Toledo Edison Company for Approval of Their Transition Plans and for Authorization to Collect Transition Revenues</w:t>
      </w:r>
      <w:r>
        <w:t xml:space="preserve">, Case No. 99-1212-EL-ETP, Opinion and Order at 16-18 (Jul. 19, 2000); </w:t>
      </w:r>
      <w:r w:rsidRPr="00A110D3">
        <w:rPr>
          <w:i/>
        </w:rPr>
        <w:t>In the Matter of the Commission Review of the Capacity Charges of Ohio Power Company and Columbus Southern Power Company</w:t>
      </w:r>
      <w:r>
        <w:t>, Case No. 10-2929-EL-UNC, Opinion and Order at 21-24 (Jul. 2, 2012).</w:t>
      </w:r>
    </w:p>
    <w:p w:rsidR="00230354" w:rsidRDefault="00230354" w:rsidP="00CC5D3A">
      <w:pPr>
        <w:pStyle w:val="FootnoteText"/>
      </w:pPr>
    </w:p>
  </w:footnote>
  <w:footnote w:id="27">
    <w:p w:rsidR="00F406B6" w:rsidRDefault="00F406B6" w:rsidP="003E1A14">
      <w:pPr>
        <w:autoSpaceDE w:val="0"/>
        <w:autoSpaceDN w:val="0"/>
        <w:adjustRightInd w:val="0"/>
        <w:rPr>
          <w:szCs w:val="20"/>
        </w:rPr>
      </w:pPr>
      <w:r>
        <w:rPr>
          <w:rStyle w:val="FootnoteReference"/>
        </w:rPr>
        <w:footnoteRef/>
      </w:r>
      <w:r>
        <w:t xml:space="preserve"> </w:t>
      </w:r>
      <w:r w:rsidRPr="00F440CD">
        <w:rPr>
          <w:i/>
        </w:rPr>
        <w:t>I</w:t>
      </w:r>
      <w:r w:rsidRPr="009741B6">
        <w:rPr>
          <w:i/>
          <w:szCs w:val="20"/>
        </w:rPr>
        <w:t xml:space="preserve">n the Matter of the Application of Ohio Power Company for Authority to Establish a Standard Service Offer Pursuant to R.C. 4928.143, in the Form of an Electric Security Plan, </w:t>
      </w:r>
      <w:r w:rsidRPr="009741B6">
        <w:rPr>
          <w:szCs w:val="20"/>
        </w:rPr>
        <w:t>Case Nos. 13-2385-EL-SSO,</w:t>
      </w:r>
      <w:r w:rsidRPr="009741B6">
        <w:rPr>
          <w:i/>
          <w:szCs w:val="20"/>
        </w:rPr>
        <w:t xml:space="preserve"> et al.</w:t>
      </w:r>
      <w:r w:rsidRPr="009741B6">
        <w:rPr>
          <w:szCs w:val="20"/>
        </w:rPr>
        <w:t>, Opinion and Order at 25 (Feb. 25, 2015)</w:t>
      </w:r>
      <w:r>
        <w:rPr>
          <w:szCs w:val="20"/>
        </w:rPr>
        <w:t xml:space="preserve"> (hereinafter “</w:t>
      </w:r>
      <w:r>
        <w:rPr>
          <w:i/>
          <w:szCs w:val="20"/>
        </w:rPr>
        <w:t>AEP ESP III Case</w:t>
      </w:r>
      <w:r>
        <w:rPr>
          <w:szCs w:val="20"/>
        </w:rPr>
        <w:t>”)</w:t>
      </w:r>
      <w:r w:rsidRPr="009741B6">
        <w:rPr>
          <w:szCs w:val="20"/>
        </w:rPr>
        <w:t xml:space="preserve">; </w:t>
      </w:r>
      <w:r w:rsidRPr="009741B6">
        <w:rPr>
          <w:i/>
          <w:szCs w:val="20"/>
        </w:rPr>
        <w:t xml:space="preserve">id. </w:t>
      </w:r>
      <w:proofErr w:type="gramStart"/>
      <w:r>
        <w:rPr>
          <w:szCs w:val="20"/>
        </w:rPr>
        <w:t>at</w:t>
      </w:r>
      <w:proofErr w:type="gramEnd"/>
      <w:r>
        <w:rPr>
          <w:szCs w:val="20"/>
        </w:rPr>
        <w:t xml:space="preserve"> </w:t>
      </w:r>
      <w:r w:rsidRPr="009741B6">
        <w:rPr>
          <w:szCs w:val="20"/>
        </w:rPr>
        <w:t xml:space="preserve">25, 81. 87 (establishing three placeholder riders). </w:t>
      </w:r>
      <w:r w:rsidRPr="009741B6">
        <w:rPr>
          <w:i/>
          <w:szCs w:val="20"/>
        </w:rPr>
        <w:t>In t</w:t>
      </w:r>
      <w:r>
        <w:rPr>
          <w:i/>
          <w:szCs w:val="20"/>
        </w:rPr>
        <w:t xml:space="preserve">he Matter of the Application of </w:t>
      </w:r>
      <w:r w:rsidRPr="009741B6">
        <w:rPr>
          <w:i/>
          <w:szCs w:val="20"/>
        </w:rPr>
        <w:t>Duke</w:t>
      </w:r>
      <w:r>
        <w:rPr>
          <w:i/>
          <w:szCs w:val="20"/>
        </w:rPr>
        <w:t xml:space="preserve"> Energy Ohio for Approval of an </w:t>
      </w:r>
      <w:r w:rsidRPr="009741B6">
        <w:rPr>
          <w:i/>
          <w:szCs w:val="20"/>
        </w:rPr>
        <w:t>Electric Security Plan</w:t>
      </w:r>
      <w:r w:rsidRPr="009741B6">
        <w:rPr>
          <w:szCs w:val="20"/>
        </w:rPr>
        <w:t>, Case No</w:t>
      </w:r>
      <w:r>
        <w:t>s.</w:t>
      </w:r>
      <w:r w:rsidRPr="009741B6">
        <w:rPr>
          <w:szCs w:val="20"/>
        </w:rPr>
        <w:t xml:space="preserve"> 08-920-EL-SSO, </w:t>
      </w:r>
      <w:r>
        <w:rPr>
          <w:i/>
          <w:szCs w:val="20"/>
        </w:rPr>
        <w:t>et al.</w:t>
      </w:r>
      <w:r>
        <w:rPr>
          <w:szCs w:val="20"/>
        </w:rPr>
        <w:t>,</w:t>
      </w:r>
      <w:r w:rsidRPr="009741B6">
        <w:rPr>
          <w:i/>
          <w:szCs w:val="20"/>
        </w:rPr>
        <w:t xml:space="preserve"> </w:t>
      </w:r>
      <w:r w:rsidRPr="009741B6">
        <w:rPr>
          <w:szCs w:val="20"/>
        </w:rPr>
        <w:t>Opinion and Order (De</w:t>
      </w:r>
      <w:r w:rsidRPr="00602FF8">
        <w:rPr>
          <w:szCs w:val="20"/>
        </w:rPr>
        <w:t>c. 17, 2008) at 17;</w:t>
      </w:r>
      <w:r w:rsidRPr="00602FF8">
        <w:rPr>
          <w:i/>
          <w:szCs w:val="20"/>
        </w:rPr>
        <w:t xml:space="preserve"> In the Matter of the Application of Ohio Edison Company, The Cleveland Electric Illuminating Company and The Toledo Edison Company for Authority to Establish a Standard Service Offer Pursuant to R.C. § 4928.143 in the Form of an Electric Security Plan</w:t>
      </w:r>
      <w:r w:rsidRPr="00602FF8">
        <w:rPr>
          <w:szCs w:val="20"/>
        </w:rPr>
        <w:t>,</w:t>
      </w:r>
      <w:r w:rsidRPr="009741B6">
        <w:rPr>
          <w:szCs w:val="20"/>
        </w:rPr>
        <w:t xml:space="preserve"> Case No. 08-935-EL-SSO, </w:t>
      </w:r>
      <w:r w:rsidRPr="009741B6">
        <w:rPr>
          <w:i/>
          <w:szCs w:val="20"/>
        </w:rPr>
        <w:t>et al.</w:t>
      </w:r>
      <w:r w:rsidRPr="009741B6">
        <w:rPr>
          <w:szCs w:val="20"/>
        </w:rPr>
        <w:t xml:space="preserve">, Second Opinion and Order (Mar. 25, 2009) at 15; </w:t>
      </w:r>
      <w:r w:rsidRPr="009741B6">
        <w:rPr>
          <w:i/>
          <w:szCs w:val="20"/>
        </w:rPr>
        <w:t>In the Matter of the Application of Columbus Southern Power Company and Ohio Power Company for Authority to Establish a Standard Service Offer Pursuant to Section 4928.143, Revised Code, in the Form of an Electric Security Plan</w:t>
      </w:r>
      <w:r w:rsidRPr="009741B6">
        <w:rPr>
          <w:szCs w:val="20"/>
        </w:rPr>
        <w:t xml:space="preserve">. Case Nos. 11-346-EL-SSO, </w:t>
      </w:r>
      <w:r w:rsidRPr="009741B6">
        <w:rPr>
          <w:i/>
          <w:szCs w:val="20"/>
        </w:rPr>
        <w:t>et al.</w:t>
      </w:r>
      <w:r w:rsidRPr="009741B6">
        <w:rPr>
          <w:szCs w:val="20"/>
        </w:rPr>
        <w:t>, Opinion and Order at 39-40, 50, 56 (Dec. 14, 2011) (approving three placeholder riders to be the subject of potential later applications) (hereinafter “</w:t>
      </w:r>
      <w:r w:rsidRPr="009741B6">
        <w:rPr>
          <w:i/>
          <w:szCs w:val="20"/>
        </w:rPr>
        <w:t>AEP ESP II</w:t>
      </w:r>
      <w:r w:rsidRPr="009741B6">
        <w:rPr>
          <w:szCs w:val="20"/>
        </w:rPr>
        <w:t xml:space="preserve"> </w:t>
      </w:r>
      <w:r w:rsidRPr="009741B6">
        <w:rPr>
          <w:i/>
          <w:szCs w:val="20"/>
        </w:rPr>
        <w:t>Case</w:t>
      </w:r>
      <w:r w:rsidRPr="009741B6">
        <w:rPr>
          <w:szCs w:val="20"/>
        </w:rPr>
        <w:t xml:space="preserve">”); </w:t>
      </w:r>
      <w:r w:rsidRPr="009741B6">
        <w:rPr>
          <w:i/>
          <w:szCs w:val="20"/>
        </w:rPr>
        <w:t>AEP ESP II Case</w:t>
      </w:r>
      <w:r w:rsidRPr="009741B6">
        <w:rPr>
          <w:szCs w:val="20"/>
        </w:rPr>
        <w:t xml:space="preserve">, Opinion and Order at 24-25,49 (Aug. 8, 2012) (approving two placeholder riders);  </w:t>
      </w:r>
      <w:r w:rsidRPr="009741B6">
        <w:rPr>
          <w:i/>
          <w:szCs w:val="20"/>
        </w:rPr>
        <w:t>See also In the Matter of the Application of Columbus Southern Power Company for Approval of an Electric Security Plan; an Amendment to its Corporate Separation Plan; and the Sale or Transfer of Certain Generating Assets</w:t>
      </w:r>
      <w:r w:rsidRPr="009741B6">
        <w:rPr>
          <w:szCs w:val="20"/>
        </w:rPr>
        <w:t xml:space="preserve">, Case Nos. 08-917-EL-SSO, </w:t>
      </w:r>
      <w:r w:rsidRPr="009741B6">
        <w:rPr>
          <w:i/>
          <w:szCs w:val="20"/>
        </w:rPr>
        <w:t>et al.</w:t>
      </w:r>
      <w:r w:rsidRPr="009741B6">
        <w:rPr>
          <w:szCs w:val="20"/>
        </w:rPr>
        <w:t>,</w:t>
      </w:r>
      <w:r w:rsidRPr="009741B6">
        <w:rPr>
          <w:i/>
          <w:szCs w:val="20"/>
        </w:rPr>
        <w:t xml:space="preserve"> </w:t>
      </w:r>
      <w:r w:rsidRPr="009741B6">
        <w:rPr>
          <w:szCs w:val="20"/>
        </w:rPr>
        <w:t>Opinion and Order at 52,64 (Mar. 23, 2009) (permitting Ohio Power Company to file additional applications based upon additional information not present in existing ESP application).</w:t>
      </w:r>
    </w:p>
    <w:p w:rsidR="00F406B6" w:rsidRDefault="00F406B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6B6" w:rsidRDefault="00F406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6B6" w:rsidRDefault="00F406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6B6" w:rsidRDefault="00F406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D173F"/>
    <w:multiLevelType w:val="hybridMultilevel"/>
    <w:tmpl w:val="3E62BD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5C32BC"/>
    <w:multiLevelType w:val="hybridMultilevel"/>
    <w:tmpl w:val="AD123B88"/>
    <w:lvl w:ilvl="0" w:tplc="15C8033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623E09"/>
    <w:multiLevelType w:val="hybridMultilevel"/>
    <w:tmpl w:val="644E7B54"/>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3">
    <w:nsid w:val="3CC22EB1"/>
    <w:multiLevelType w:val="hybridMultilevel"/>
    <w:tmpl w:val="CC0ED7C2"/>
    <w:lvl w:ilvl="0" w:tplc="333AAA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75B4072"/>
    <w:multiLevelType w:val="hybridMultilevel"/>
    <w:tmpl w:val="184EE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D126377"/>
    <w:multiLevelType w:val="hybridMultilevel"/>
    <w:tmpl w:val="A8461AB6"/>
    <w:lvl w:ilvl="0" w:tplc="8848C9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573941"/>
    <w:multiLevelType w:val="hybridMultilevel"/>
    <w:tmpl w:val="33966788"/>
    <w:lvl w:ilvl="0" w:tplc="ABEC0E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8A45D6F"/>
    <w:multiLevelType w:val="hybridMultilevel"/>
    <w:tmpl w:val="3150295C"/>
    <w:lvl w:ilvl="0" w:tplc="60C6E31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0032E42"/>
    <w:multiLevelType w:val="hybridMultilevel"/>
    <w:tmpl w:val="01F0CE4A"/>
    <w:lvl w:ilvl="0" w:tplc="63763DF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E15556"/>
    <w:multiLevelType w:val="hybridMultilevel"/>
    <w:tmpl w:val="F8F2F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EFB6AE3"/>
    <w:multiLevelType w:val="hybridMultilevel"/>
    <w:tmpl w:val="6FB29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757148"/>
    <w:multiLevelType w:val="hybridMultilevel"/>
    <w:tmpl w:val="FC70EB10"/>
    <w:lvl w:ilvl="0" w:tplc="038C6C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4"/>
  </w:num>
  <w:num w:numId="3">
    <w:abstractNumId w:val="6"/>
  </w:num>
  <w:num w:numId="4">
    <w:abstractNumId w:val="2"/>
  </w:num>
  <w:num w:numId="5">
    <w:abstractNumId w:val="5"/>
  </w:num>
  <w:num w:numId="6">
    <w:abstractNumId w:val="11"/>
  </w:num>
  <w:num w:numId="7">
    <w:abstractNumId w:val="7"/>
  </w:num>
  <w:num w:numId="8">
    <w:abstractNumId w:val="1"/>
  </w:num>
  <w:num w:numId="9">
    <w:abstractNumId w:val="0"/>
  </w:num>
  <w:num w:numId="10">
    <w:abstractNumId w:val="10"/>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ADC"/>
    <w:rsid w:val="00025C03"/>
    <w:rsid w:val="000300F8"/>
    <w:rsid w:val="0004003B"/>
    <w:rsid w:val="000402F2"/>
    <w:rsid w:val="00043FE1"/>
    <w:rsid w:val="00067C49"/>
    <w:rsid w:val="00073C1A"/>
    <w:rsid w:val="00076B77"/>
    <w:rsid w:val="00083FDD"/>
    <w:rsid w:val="0008567F"/>
    <w:rsid w:val="0009538C"/>
    <w:rsid w:val="00095576"/>
    <w:rsid w:val="000C128D"/>
    <w:rsid w:val="000C2072"/>
    <w:rsid w:val="000C3CC7"/>
    <w:rsid w:val="000C421F"/>
    <w:rsid w:val="000C601C"/>
    <w:rsid w:val="000D1FE4"/>
    <w:rsid w:val="000F3DDA"/>
    <w:rsid w:val="000F6857"/>
    <w:rsid w:val="0011253C"/>
    <w:rsid w:val="00112ADA"/>
    <w:rsid w:val="001241E7"/>
    <w:rsid w:val="001301EA"/>
    <w:rsid w:val="00145150"/>
    <w:rsid w:val="00152A59"/>
    <w:rsid w:val="00166C76"/>
    <w:rsid w:val="00191549"/>
    <w:rsid w:val="001939A7"/>
    <w:rsid w:val="00195971"/>
    <w:rsid w:val="001C30FB"/>
    <w:rsid w:val="001D34D3"/>
    <w:rsid w:val="001D41F2"/>
    <w:rsid w:val="001D79D3"/>
    <w:rsid w:val="001E0936"/>
    <w:rsid w:val="001E3FA8"/>
    <w:rsid w:val="001E7147"/>
    <w:rsid w:val="001F2CB8"/>
    <w:rsid w:val="002049B8"/>
    <w:rsid w:val="00230354"/>
    <w:rsid w:val="00231A2E"/>
    <w:rsid w:val="0023378D"/>
    <w:rsid w:val="00233D14"/>
    <w:rsid w:val="00237EF0"/>
    <w:rsid w:val="00242778"/>
    <w:rsid w:val="00257587"/>
    <w:rsid w:val="00270108"/>
    <w:rsid w:val="0027162A"/>
    <w:rsid w:val="002817E1"/>
    <w:rsid w:val="00284546"/>
    <w:rsid w:val="00286A25"/>
    <w:rsid w:val="002C1059"/>
    <w:rsid w:val="002E0FEA"/>
    <w:rsid w:val="002E2A53"/>
    <w:rsid w:val="0031099A"/>
    <w:rsid w:val="003173E9"/>
    <w:rsid w:val="003266DE"/>
    <w:rsid w:val="0033230A"/>
    <w:rsid w:val="00334C75"/>
    <w:rsid w:val="0034266E"/>
    <w:rsid w:val="0034609E"/>
    <w:rsid w:val="0035001F"/>
    <w:rsid w:val="00362FCF"/>
    <w:rsid w:val="00367CF2"/>
    <w:rsid w:val="00382605"/>
    <w:rsid w:val="003826F1"/>
    <w:rsid w:val="00384E83"/>
    <w:rsid w:val="00390EB8"/>
    <w:rsid w:val="00391C20"/>
    <w:rsid w:val="00395CFA"/>
    <w:rsid w:val="003A0A72"/>
    <w:rsid w:val="003A2668"/>
    <w:rsid w:val="003D5C9D"/>
    <w:rsid w:val="003E0C49"/>
    <w:rsid w:val="003E1A14"/>
    <w:rsid w:val="003E29EB"/>
    <w:rsid w:val="004038A8"/>
    <w:rsid w:val="0041159D"/>
    <w:rsid w:val="004151D6"/>
    <w:rsid w:val="0043751B"/>
    <w:rsid w:val="00450971"/>
    <w:rsid w:val="00477A16"/>
    <w:rsid w:val="00487F6D"/>
    <w:rsid w:val="00493327"/>
    <w:rsid w:val="004A0CB7"/>
    <w:rsid w:val="004C2DE1"/>
    <w:rsid w:val="004C48C4"/>
    <w:rsid w:val="004C64A0"/>
    <w:rsid w:val="004D0BFC"/>
    <w:rsid w:val="004E0A4C"/>
    <w:rsid w:val="004F19F8"/>
    <w:rsid w:val="0052085B"/>
    <w:rsid w:val="0052155C"/>
    <w:rsid w:val="00531315"/>
    <w:rsid w:val="00531BA8"/>
    <w:rsid w:val="00536055"/>
    <w:rsid w:val="00536BA7"/>
    <w:rsid w:val="00567136"/>
    <w:rsid w:val="00574CA0"/>
    <w:rsid w:val="005A2FEC"/>
    <w:rsid w:val="005A7D8B"/>
    <w:rsid w:val="005B0359"/>
    <w:rsid w:val="005B2F6E"/>
    <w:rsid w:val="005B442B"/>
    <w:rsid w:val="005C4210"/>
    <w:rsid w:val="005C7733"/>
    <w:rsid w:val="005E228F"/>
    <w:rsid w:val="005E495F"/>
    <w:rsid w:val="005E5979"/>
    <w:rsid w:val="005E7350"/>
    <w:rsid w:val="00602FF8"/>
    <w:rsid w:val="00610FB9"/>
    <w:rsid w:val="00620548"/>
    <w:rsid w:val="006A7326"/>
    <w:rsid w:val="006C48DA"/>
    <w:rsid w:val="006E13EC"/>
    <w:rsid w:val="006F2683"/>
    <w:rsid w:val="006F29BC"/>
    <w:rsid w:val="00702E23"/>
    <w:rsid w:val="00717D85"/>
    <w:rsid w:val="00744C40"/>
    <w:rsid w:val="00744D5A"/>
    <w:rsid w:val="00752B10"/>
    <w:rsid w:val="007555EB"/>
    <w:rsid w:val="00757BE9"/>
    <w:rsid w:val="00773484"/>
    <w:rsid w:val="0078102A"/>
    <w:rsid w:val="007A55F2"/>
    <w:rsid w:val="007B2E82"/>
    <w:rsid w:val="007C709A"/>
    <w:rsid w:val="007D1E2D"/>
    <w:rsid w:val="007D583C"/>
    <w:rsid w:val="007F6008"/>
    <w:rsid w:val="008072FB"/>
    <w:rsid w:val="00823BE2"/>
    <w:rsid w:val="00827F13"/>
    <w:rsid w:val="008532BE"/>
    <w:rsid w:val="00866AB1"/>
    <w:rsid w:val="00871648"/>
    <w:rsid w:val="008824A3"/>
    <w:rsid w:val="0089781A"/>
    <w:rsid w:val="008E503E"/>
    <w:rsid w:val="008F258F"/>
    <w:rsid w:val="009065BA"/>
    <w:rsid w:val="00911D54"/>
    <w:rsid w:val="0092305F"/>
    <w:rsid w:val="00923F8A"/>
    <w:rsid w:val="0093314B"/>
    <w:rsid w:val="00952E4A"/>
    <w:rsid w:val="00955F30"/>
    <w:rsid w:val="00963246"/>
    <w:rsid w:val="009741B6"/>
    <w:rsid w:val="00975934"/>
    <w:rsid w:val="00980E10"/>
    <w:rsid w:val="009850C3"/>
    <w:rsid w:val="00991A9F"/>
    <w:rsid w:val="009950AD"/>
    <w:rsid w:val="00997BC6"/>
    <w:rsid w:val="009A5AB4"/>
    <w:rsid w:val="009A686D"/>
    <w:rsid w:val="009C7BD1"/>
    <w:rsid w:val="009D0DEA"/>
    <w:rsid w:val="009D1E33"/>
    <w:rsid w:val="009D3E1D"/>
    <w:rsid w:val="009D4321"/>
    <w:rsid w:val="009F5B55"/>
    <w:rsid w:val="00A00FA8"/>
    <w:rsid w:val="00A123C0"/>
    <w:rsid w:val="00A3095A"/>
    <w:rsid w:val="00A360FA"/>
    <w:rsid w:val="00A46DC8"/>
    <w:rsid w:val="00A513D6"/>
    <w:rsid w:val="00A51804"/>
    <w:rsid w:val="00A52BF8"/>
    <w:rsid w:val="00A550F4"/>
    <w:rsid w:val="00A6770D"/>
    <w:rsid w:val="00A8257F"/>
    <w:rsid w:val="00A8408F"/>
    <w:rsid w:val="00A928B9"/>
    <w:rsid w:val="00A9327C"/>
    <w:rsid w:val="00A944ED"/>
    <w:rsid w:val="00AB0916"/>
    <w:rsid w:val="00AB32F8"/>
    <w:rsid w:val="00AB4526"/>
    <w:rsid w:val="00AC38F3"/>
    <w:rsid w:val="00AC41A6"/>
    <w:rsid w:val="00AC5858"/>
    <w:rsid w:val="00AD46C8"/>
    <w:rsid w:val="00AD7DB7"/>
    <w:rsid w:val="00AE19F3"/>
    <w:rsid w:val="00AF23C1"/>
    <w:rsid w:val="00B059E6"/>
    <w:rsid w:val="00B12EF6"/>
    <w:rsid w:val="00B166A7"/>
    <w:rsid w:val="00B17E89"/>
    <w:rsid w:val="00B21E27"/>
    <w:rsid w:val="00B30ABA"/>
    <w:rsid w:val="00B34523"/>
    <w:rsid w:val="00B54B55"/>
    <w:rsid w:val="00B60829"/>
    <w:rsid w:val="00B812DD"/>
    <w:rsid w:val="00B91E9F"/>
    <w:rsid w:val="00B9236A"/>
    <w:rsid w:val="00BA64F2"/>
    <w:rsid w:val="00BA6E63"/>
    <w:rsid w:val="00BB6D3E"/>
    <w:rsid w:val="00BE56E9"/>
    <w:rsid w:val="00BE6203"/>
    <w:rsid w:val="00BE7C1A"/>
    <w:rsid w:val="00BF2F4D"/>
    <w:rsid w:val="00BF7083"/>
    <w:rsid w:val="00C10EA8"/>
    <w:rsid w:val="00C159E6"/>
    <w:rsid w:val="00C16443"/>
    <w:rsid w:val="00C3511D"/>
    <w:rsid w:val="00C43B87"/>
    <w:rsid w:val="00C47514"/>
    <w:rsid w:val="00C52E40"/>
    <w:rsid w:val="00C646F8"/>
    <w:rsid w:val="00C92B9E"/>
    <w:rsid w:val="00CA7BDC"/>
    <w:rsid w:val="00CC5D3A"/>
    <w:rsid w:val="00D01446"/>
    <w:rsid w:val="00D15A2F"/>
    <w:rsid w:val="00D201FB"/>
    <w:rsid w:val="00D56AA9"/>
    <w:rsid w:val="00D60A9C"/>
    <w:rsid w:val="00D73F09"/>
    <w:rsid w:val="00D774F0"/>
    <w:rsid w:val="00D808EE"/>
    <w:rsid w:val="00D91257"/>
    <w:rsid w:val="00DA4899"/>
    <w:rsid w:val="00DD1693"/>
    <w:rsid w:val="00DD3BE8"/>
    <w:rsid w:val="00DD5278"/>
    <w:rsid w:val="00DD770E"/>
    <w:rsid w:val="00DF1664"/>
    <w:rsid w:val="00E2642B"/>
    <w:rsid w:val="00E27ADC"/>
    <w:rsid w:val="00E3011D"/>
    <w:rsid w:val="00E43CDE"/>
    <w:rsid w:val="00E56C4F"/>
    <w:rsid w:val="00E57A67"/>
    <w:rsid w:val="00E82CFB"/>
    <w:rsid w:val="00E9678A"/>
    <w:rsid w:val="00EB0737"/>
    <w:rsid w:val="00EB33B1"/>
    <w:rsid w:val="00EE1363"/>
    <w:rsid w:val="00EE4CBD"/>
    <w:rsid w:val="00EE63FA"/>
    <w:rsid w:val="00EF19DE"/>
    <w:rsid w:val="00F014A1"/>
    <w:rsid w:val="00F028E6"/>
    <w:rsid w:val="00F135F3"/>
    <w:rsid w:val="00F220CE"/>
    <w:rsid w:val="00F30B46"/>
    <w:rsid w:val="00F32E1F"/>
    <w:rsid w:val="00F34CD2"/>
    <w:rsid w:val="00F406B6"/>
    <w:rsid w:val="00F40E07"/>
    <w:rsid w:val="00F440CD"/>
    <w:rsid w:val="00F51D57"/>
    <w:rsid w:val="00F64957"/>
    <w:rsid w:val="00F72C93"/>
    <w:rsid w:val="00F7413B"/>
    <w:rsid w:val="00F744F3"/>
    <w:rsid w:val="00F800EA"/>
    <w:rsid w:val="00F86C35"/>
    <w:rsid w:val="00F94405"/>
    <w:rsid w:val="00F96408"/>
    <w:rsid w:val="00FA1823"/>
    <w:rsid w:val="00FA18B2"/>
    <w:rsid w:val="00FC280B"/>
    <w:rsid w:val="00FD07A6"/>
    <w:rsid w:val="00FD3DC7"/>
    <w:rsid w:val="00FD4530"/>
    <w:rsid w:val="00FE63B3"/>
    <w:rsid w:val="00FF2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A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CF2"/>
    <w:pPr>
      <w:ind w:left="720"/>
      <w:contextualSpacing/>
    </w:pPr>
  </w:style>
  <w:style w:type="paragraph" w:styleId="FootnoteText">
    <w:name w:val="footnote text"/>
    <w:basedOn w:val="Normal"/>
    <w:link w:val="FootnoteTextChar"/>
    <w:uiPriority w:val="99"/>
    <w:semiHidden/>
    <w:unhideWhenUsed/>
    <w:rsid w:val="00567136"/>
    <w:rPr>
      <w:szCs w:val="20"/>
    </w:rPr>
  </w:style>
  <w:style w:type="character" w:customStyle="1" w:styleId="FootnoteTextChar">
    <w:name w:val="Footnote Text Char"/>
    <w:basedOn w:val="DefaultParagraphFont"/>
    <w:link w:val="FootnoteText"/>
    <w:uiPriority w:val="99"/>
    <w:semiHidden/>
    <w:rsid w:val="00567136"/>
    <w:rPr>
      <w:szCs w:val="20"/>
    </w:rPr>
  </w:style>
  <w:style w:type="character" w:styleId="FootnoteReference">
    <w:name w:val="footnote reference"/>
    <w:basedOn w:val="DefaultParagraphFont"/>
    <w:uiPriority w:val="99"/>
    <w:semiHidden/>
    <w:unhideWhenUsed/>
    <w:rsid w:val="00567136"/>
    <w:rPr>
      <w:vertAlign w:val="superscript"/>
    </w:rPr>
  </w:style>
  <w:style w:type="character" w:styleId="Hyperlink">
    <w:name w:val="Hyperlink"/>
    <w:basedOn w:val="DefaultParagraphFont"/>
    <w:uiPriority w:val="99"/>
    <w:unhideWhenUsed/>
    <w:rsid w:val="005E7350"/>
    <w:rPr>
      <w:color w:val="0000FF" w:themeColor="hyperlink"/>
      <w:u w:val="single"/>
    </w:rPr>
  </w:style>
  <w:style w:type="table" w:styleId="TableGrid">
    <w:name w:val="Table Grid"/>
    <w:basedOn w:val="TableNormal"/>
    <w:uiPriority w:val="59"/>
    <w:rsid w:val="00B54B55"/>
    <w:pPr>
      <w:jc w:val="left"/>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23F8A"/>
    <w:rPr>
      <w:sz w:val="16"/>
      <w:szCs w:val="16"/>
    </w:rPr>
  </w:style>
  <w:style w:type="paragraph" w:styleId="CommentText">
    <w:name w:val="annotation text"/>
    <w:basedOn w:val="Normal"/>
    <w:link w:val="CommentTextChar"/>
    <w:uiPriority w:val="99"/>
    <w:semiHidden/>
    <w:unhideWhenUsed/>
    <w:rsid w:val="00923F8A"/>
    <w:rPr>
      <w:szCs w:val="20"/>
    </w:rPr>
  </w:style>
  <w:style w:type="character" w:customStyle="1" w:styleId="CommentTextChar">
    <w:name w:val="Comment Text Char"/>
    <w:basedOn w:val="DefaultParagraphFont"/>
    <w:link w:val="CommentText"/>
    <w:uiPriority w:val="99"/>
    <w:semiHidden/>
    <w:rsid w:val="00923F8A"/>
    <w:rPr>
      <w:szCs w:val="20"/>
    </w:rPr>
  </w:style>
  <w:style w:type="paragraph" w:styleId="CommentSubject">
    <w:name w:val="annotation subject"/>
    <w:basedOn w:val="CommentText"/>
    <w:next w:val="CommentText"/>
    <w:link w:val="CommentSubjectChar"/>
    <w:uiPriority w:val="99"/>
    <w:semiHidden/>
    <w:unhideWhenUsed/>
    <w:rsid w:val="00923F8A"/>
    <w:rPr>
      <w:b/>
      <w:bCs/>
    </w:rPr>
  </w:style>
  <w:style w:type="character" w:customStyle="1" w:styleId="CommentSubjectChar">
    <w:name w:val="Comment Subject Char"/>
    <w:basedOn w:val="CommentTextChar"/>
    <w:link w:val="CommentSubject"/>
    <w:uiPriority w:val="99"/>
    <w:semiHidden/>
    <w:rsid w:val="00923F8A"/>
    <w:rPr>
      <w:b/>
      <w:bCs/>
      <w:szCs w:val="20"/>
    </w:rPr>
  </w:style>
  <w:style w:type="paragraph" w:styleId="BalloonText">
    <w:name w:val="Balloon Text"/>
    <w:basedOn w:val="Normal"/>
    <w:link w:val="BalloonTextChar"/>
    <w:uiPriority w:val="99"/>
    <w:semiHidden/>
    <w:unhideWhenUsed/>
    <w:rsid w:val="00923F8A"/>
    <w:rPr>
      <w:rFonts w:ascii="Tahoma" w:hAnsi="Tahoma" w:cs="Tahoma"/>
      <w:sz w:val="16"/>
      <w:szCs w:val="16"/>
    </w:rPr>
  </w:style>
  <w:style w:type="character" w:customStyle="1" w:styleId="BalloonTextChar">
    <w:name w:val="Balloon Text Char"/>
    <w:basedOn w:val="DefaultParagraphFont"/>
    <w:link w:val="BalloonText"/>
    <w:uiPriority w:val="99"/>
    <w:semiHidden/>
    <w:rsid w:val="00923F8A"/>
    <w:rPr>
      <w:rFonts w:ascii="Tahoma" w:hAnsi="Tahoma" w:cs="Tahoma"/>
      <w:sz w:val="16"/>
      <w:szCs w:val="16"/>
    </w:rPr>
  </w:style>
  <w:style w:type="paragraph" w:styleId="Header">
    <w:name w:val="header"/>
    <w:basedOn w:val="Normal"/>
    <w:link w:val="HeaderChar"/>
    <w:uiPriority w:val="99"/>
    <w:unhideWhenUsed/>
    <w:rsid w:val="00025C03"/>
    <w:pPr>
      <w:tabs>
        <w:tab w:val="center" w:pos="4680"/>
        <w:tab w:val="right" w:pos="9360"/>
      </w:tabs>
    </w:pPr>
  </w:style>
  <w:style w:type="character" w:customStyle="1" w:styleId="HeaderChar">
    <w:name w:val="Header Char"/>
    <w:basedOn w:val="DefaultParagraphFont"/>
    <w:link w:val="Header"/>
    <w:uiPriority w:val="99"/>
    <w:rsid w:val="00025C03"/>
  </w:style>
  <w:style w:type="paragraph" w:styleId="Footer">
    <w:name w:val="footer"/>
    <w:basedOn w:val="Normal"/>
    <w:link w:val="FooterChar"/>
    <w:uiPriority w:val="99"/>
    <w:unhideWhenUsed/>
    <w:rsid w:val="00025C03"/>
    <w:pPr>
      <w:tabs>
        <w:tab w:val="center" w:pos="4680"/>
        <w:tab w:val="right" w:pos="9360"/>
      </w:tabs>
    </w:pPr>
  </w:style>
  <w:style w:type="character" w:customStyle="1" w:styleId="FooterChar">
    <w:name w:val="Footer Char"/>
    <w:basedOn w:val="DefaultParagraphFont"/>
    <w:link w:val="Footer"/>
    <w:uiPriority w:val="99"/>
    <w:rsid w:val="00025C03"/>
  </w:style>
  <w:style w:type="paragraph" w:styleId="PlainText">
    <w:name w:val="Plain Text"/>
    <w:basedOn w:val="Normal"/>
    <w:link w:val="PlainTextChar"/>
    <w:uiPriority w:val="99"/>
    <w:unhideWhenUsed/>
    <w:rsid w:val="00C3511D"/>
    <w:pPr>
      <w:jc w:val="left"/>
    </w:pPr>
    <w:rPr>
      <w:rFonts w:ascii="Calibri" w:eastAsia="Calibri" w:hAnsi="Calibri" w:cs="Calibri"/>
      <w:sz w:val="22"/>
      <w:szCs w:val="22"/>
    </w:rPr>
  </w:style>
  <w:style w:type="character" w:customStyle="1" w:styleId="PlainTextChar">
    <w:name w:val="Plain Text Char"/>
    <w:basedOn w:val="DefaultParagraphFont"/>
    <w:link w:val="PlainText"/>
    <w:uiPriority w:val="99"/>
    <w:rsid w:val="00C3511D"/>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93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jsatterwhite@aep.com" TargetMode="External"/><Relationship Id="rId13" Type="http://schemas.openxmlformats.org/officeDocument/2006/relationships/hyperlink" Target="mailto:sfisk@earthjustice.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ojk@bbrslaw.com" TargetMode="External"/><Relationship Id="rId17" Type="http://schemas.openxmlformats.org/officeDocument/2006/relationships/hyperlink" Target="mailto:mfleisher@elpc.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finnigan@edf.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kl@bbrslaw.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tdougherty@theOEC.org" TargetMode="External"/><Relationship Id="rId23" Type="http://schemas.openxmlformats.org/officeDocument/2006/relationships/footer" Target="footer3.xml"/><Relationship Id="rId10" Type="http://schemas.openxmlformats.org/officeDocument/2006/relationships/hyperlink" Target="mailto:ricks@ohanet.or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Schmidt@sppgrp.com" TargetMode="External"/><Relationship Id="rId14" Type="http://schemas.openxmlformats.org/officeDocument/2006/relationships/hyperlink" Target="mailto:jlang@calfee.co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DF320-27B2-4004-ACBF-1B4730112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3108</Words>
  <Characters>19461</Characters>
  <Application>Microsoft Office Word</Application>
  <DocSecurity>0</DocSecurity>
  <Lines>540</Lines>
  <Paragraphs>183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2016-11-14T16:32:00Z</dcterms:created>
  <dcterms:modified xsi:type="dcterms:W3CDTF">2016-11-14T22:02:00Z</dcterms:modified>
</cp:coreProperties>
</file>