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rPr>
          <w:rFonts w:ascii="Arial" w:eastAsia="Calibri" w:hAnsi="Arial" w:cs="Arial"/>
          <w:b/>
          <w:color w:val="0D0D0D" w:themeColor="text1" w:themeTint="F2"/>
          <w:sz w:val="40"/>
          <w:szCs w:val="32"/>
        </w:rPr>
      </w:pPr>
    </w:p>
    <w:p w:rsidR="009A6B4B" w:rsidRDefault="009A6B4B" w:rsidP="009A6B4B">
      <w:pPr>
        <w:tabs>
          <w:tab w:val="right" w:pos="9360"/>
        </w:tabs>
        <w:jc w:val="center"/>
      </w:pPr>
      <w:r w:rsidRPr="00625485">
        <w:rPr>
          <w:rFonts w:ascii="Arial" w:eastAsia="Calibri" w:hAnsi="Arial" w:cs="Arial"/>
          <w:b/>
          <w:color w:val="0D0D0D" w:themeColor="text1" w:themeTint="F2"/>
          <w:sz w:val="40"/>
          <w:szCs w:val="32"/>
        </w:rPr>
        <w:t xml:space="preserve">EXHIBIT </w:t>
      </w:r>
      <w:r>
        <w:rPr>
          <w:rFonts w:ascii="Arial" w:eastAsia="Calibri" w:hAnsi="Arial" w:cs="Arial"/>
          <w:b/>
          <w:color w:val="0D0D0D" w:themeColor="text1" w:themeTint="F2"/>
          <w:sz w:val="40"/>
          <w:szCs w:val="32"/>
        </w:rPr>
        <w:t>A</w:t>
      </w:r>
    </w:p>
    <w:p w:rsidR="009A6B4B" w:rsidRPr="00B72F0F" w:rsidRDefault="00625485" w:rsidP="009A6B4B">
      <w:pPr>
        <w:tabs>
          <w:tab w:val="center" w:pos="4770"/>
          <w:tab w:val="right" w:pos="9360"/>
        </w:tabs>
        <w:rPr>
          <w:rFonts w:ascii="Arial" w:hAnsi="Arial" w:cs="Arial"/>
          <w:sz w:val="20"/>
        </w:rPr>
      </w:pPr>
      <w:r w:rsidRPr="00625485">
        <w:rPr>
          <w:rFonts w:ascii="Arial" w:hAnsi="Arial" w:cs="Arial"/>
        </w:rPr>
        <w:br w:type="page"/>
      </w:r>
      <w:r w:rsidR="009A6B4B" w:rsidRPr="00B72F0F">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009A6B4B" w:rsidRPr="00B72F0F">
            <w:rPr>
              <w:rFonts w:ascii="Arial" w:hAnsi="Arial" w:cs="Arial"/>
              <w:sz w:val="20"/>
            </w:rPr>
            <w:t>Ohio</w:t>
          </w:r>
        </w:smartTag>
      </w:smartTag>
      <w:r w:rsidR="009A6B4B" w:rsidRPr="00B72F0F">
        <w:rPr>
          <w:rFonts w:ascii="Arial" w:hAnsi="Arial" w:cs="Arial"/>
          <w:sz w:val="20"/>
        </w:rPr>
        <w:tab/>
      </w:r>
      <w:r w:rsidR="009A6B4B" w:rsidRPr="00B72F0F">
        <w:rPr>
          <w:rFonts w:ascii="Arial" w:hAnsi="Arial" w:cs="Arial"/>
          <w:sz w:val="20"/>
        </w:rPr>
        <w:tab/>
        <w:t>Section 1</w:t>
      </w:r>
    </w:p>
    <w:p w:rsidR="009A6B4B" w:rsidRPr="00B72F0F" w:rsidRDefault="009A6B4B" w:rsidP="009A6B4B">
      <w:pPr>
        <w:tabs>
          <w:tab w:val="center" w:pos="4770"/>
          <w:tab w:val="right" w:pos="9360"/>
        </w:tabs>
        <w:rPr>
          <w:rFonts w:ascii="Arial" w:hAnsi="Arial" w:cs="Arial"/>
          <w:sz w:val="20"/>
        </w:rPr>
      </w:pPr>
      <w:proofErr w:type="gramStart"/>
      <w:r w:rsidRPr="00B72F0F">
        <w:rPr>
          <w:rFonts w:ascii="Arial" w:hAnsi="Arial" w:cs="Arial"/>
          <w:sz w:val="20"/>
        </w:rPr>
        <w:t>d/b/a</w:t>
      </w:r>
      <w:proofErr w:type="gramEnd"/>
      <w:r w:rsidRPr="00B72F0F">
        <w:rPr>
          <w:rFonts w:ascii="Arial" w:hAnsi="Arial" w:cs="Arial"/>
          <w:sz w:val="20"/>
        </w:rPr>
        <w:t xml:space="preserve"> CenturyLink</w:t>
      </w:r>
      <w:r w:rsidRPr="00B72F0F">
        <w:rPr>
          <w:rFonts w:ascii="Arial" w:hAnsi="Arial" w:cs="Arial"/>
          <w:sz w:val="20"/>
        </w:rPr>
        <w:tab/>
        <w:t>P.U.C.O. NO. 5</w:t>
      </w:r>
      <w:r w:rsidRPr="00B72F0F">
        <w:rPr>
          <w:rFonts w:ascii="Arial" w:hAnsi="Arial" w:cs="Arial"/>
          <w:sz w:val="20"/>
        </w:rPr>
        <w:tab/>
      </w:r>
    </w:p>
    <w:p w:rsidR="009A6B4B" w:rsidRPr="00B72F0F" w:rsidRDefault="009A6B4B" w:rsidP="009A6B4B">
      <w:pPr>
        <w:tabs>
          <w:tab w:val="center" w:pos="4770"/>
          <w:tab w:val="right" w:pos="9360"/>
          <w:tab w:val="right" w:pos="10080"/>
        </w:tabs>
        <w:rPr>
          <w:rFonts w:ascii="Arial" w:hAnsi="Arial" w:cs="Arial"/>
          <w:sz w:val="20"/>
        </w:rPr>
      </w:pPr>
      <w:r w:rsidRPr="00B72F0F">
        <w:rPr>
          <w:rFonts w:ascii="Arial" w:hAnsi="Arial" w:cs="Arial"/>
          <w:sz w:val="20"/>
        </w:rPr>
        <w:tab/>
        <w:t>GENERAL EXCHANGE TARIFF</w:t>
      </w:r>
      <w:r w:rsidRPr="00B72F0F">
        <w:rPr>
          <w:rFonts w:ascii="Arial" w:hAnsi="Arial" w:cs="Arial"/>
          <w:sz w:val="20"/>
        </w:rPr>
        <w:tab/>
      </w:r>
      <w:r w:rsidRPr="00B72F0F">
        <w:rPr>
          <w:rFonts w:ascii="Arial" w:hAnsi="Arial" w:cs="Arial"/>
          <w:sz w:val="20"/>
        </w:rPr>
        <w:tab/>
      </w:r>
    </w:p>
    <w:p w:rsidR="009A6B4B" w:rsidRPr="00B72F0F" w:rsidRDefault="009A6B4B" w:rsidP="009A6B4B">
      <w:pPr>
        <w:tabs>
          <w:tab w:val="left" w:pos="6"/>
          <w:tab w:val="left" w:pos="56"/>
          <w:tab w:val="left" w:pos="371"/>
          <w:tab w:val="right" w:pos="9360"/>
          <w:tab w:val="center" w:pos="9985"/>
          <w:tab w:val="right" w:pos="11234"/>
        </w:tabs>
        <w:rPr>
          <w:rFonts w:ascii="Arial" w:hAnsi="Arial" w:cs="Arial"/>
          <w:sz w:val="20"/>
        </w:rPr>
      </w:pPr>
      <w:r w:rsidRPr="00B72F0F">
        <w:rPr>
          <w:rFonts w:ascii="Dutch801 SWM" w:hAnsi="Dutch801 SWM"/>
          <w:sz w:val="20"/>
        </w:rPr>
        <w:tab/>
      </w:r>
      <w:r w:rsidRPr="00B72F0F">
        <w:rPr>
          <w:rFonts w:ascii="Dutch801 SWM" w:hAnsi="Dutch801 SWM"/>
          <w:sz w:val="20"/>
        </w:rPr>
        <w:tab/>
      </w:r>
      <w:r w:rsidRPr="00B72F0F">
        <w:rPr>
          <w:rFonts w:ascii="Dutch801 SWM" w:hAnsi="Dutch801 SWM"/>
          <w:sz w:val="20"/>
        </w:rPr>
        <w:tab/>
      </w:r>
      <w:r w:rsidRPr="00B72F0F">
        <w:rPr>
          <w:rFonts w:ascii="Dutch801 SWM" w:hAnsi="Dutch801 SWM"/>
          <w:sz w:val="20"/>
        </w:rPr>
        <w:tab/>
      </w:r>
      <w:r w:rsidRPr="00B72F0F">
        <w:rPr>
          <w:rFonts w:ascii="Arial" w:hAnsi="Arial" w:cs="Arial"/>
          <w:sz w:val="20"/>
        </w:rPr>
        <w:t>Original Sheet 4</w:t>
      </w:r>
    </w:p>
    <w:p w:rsidR="009A6B4B" w:rsidRPr="00B72F0F" w:rsidRDefault="009A6B4B" w:rsidP="009A6B4B">
      <w:pPr>
        <w:rPr>
          <w:rFonts w:ascii="Arial" w:hAnsi="Arial" w:cs="Arial"/>
          <w:sz w:val="20"/>
        </w:rPr>
      </w:pPr>
    </w:p>
    <w:tbl>
      <w:tblPr>
        <w:tblW w:w="10656" w:type="dxa"/>
        <w:tblInd w:w="108" w:type="dxa"/>
        <w:tblLayout w:type="fixed"/>
        <w:tblLook w:val="0000"/>
      </w:tblPr>
      <w:tblGrid>
        <w:gridCol w:w="9504"/>
        <w:gridCol w:w="1152"/>
      </w:tblGrid>
      <w:tr w:rsidR="009A6B4B" w:rsidRPr="00B72F0F" w:rsidTr="006C24B6">
        <w:tc>
          <w:tcPr>
            <w:tcW w:w="9504" w:type="dxa"/>
          </w:tcPr>
          <w:p w:rsidR="009A6B4B" w:rsidRPr="00B72F0F" w:rsidRDefault="009A6B4B" w:rsidP="006C24B6">
            <w:pPr>
              <w:tabs>
                <w:tab w:val="left" w:pos="547"/>
                <w:tab w:val="left" w:pos="1094"/>
                <w:tab w:val="left" w:pos="1598"/>
                <w:tab w:val="left" w:pos="2160"/>
              </w:tabs>
              <w:ind w:left="1598" w:hanging="1598"/>
              <w:rPr>
                <w:rFonts w:ascii="Arial" w:hAnsi="Arial" w:cs="Arial"/>
                <w:sz w:val="20"/>
              </w:rPr>
            </w:pPr>
            <w:r w:rsidRPr="00B72F0F">
              <w:rPr>
                <w:rFonts w:ascii="Arial" w:hAnsi="Arial" w:cs="Arial"/>
                <w:sz w:val="20"/>
              </w:rPr>
              <w:t>GENERAL REGULATIONS</w:t>
            </w: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22"/>
                <w:tab w:val="left" w:pos="1062"/>
                <w:tab w:val="left" w:pos="1602"/>
                <w:tab w:val="left" w:pos="2142"/>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r w:rsidRPr="00B72F0F">
              <w:rPr>
                <w:rFonts w:ascii="Arial" w:hAnsi="Arial" w:cs="Arial"/>
                <w:sz w:val="20"/>
              </w:rPr>
              <w:t>IV.</w:t>
            </w:r>
            <w:r w:rsidRPr="00B72F0F">
              <w:rPr>
                <w:rFonts w:ascii="Arial" w:hAnsi="Arial" w:cs="Arial"/>
                <w:sz w:val="20"/>
              </w:rPr>
              <w:tab/>
              <w:t>ADVANCE PAYMENTS</w:t>
            </w: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22"/>
                <w:tab w:val="left" w:pos="1062"/>
                <w:tab w:val="left" w:pos="1602"/>
                <w:tab w:val="left" w:pos="2142"/>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ind w:left="540" w:hanging="540"/>
              <w:jc w:val="both"/>
              <w:rPr>
                <w:rFonts w:ascii="Arial" w:hAnsi="Arial" w:cs="Arial"/>
                <w:sz w:val="20"/>
              </w:rPr>
            </w:pPr>
            <w:r w:rsidRPr="00B72F0F">
              <w:rPr>
                <w:rFonts w:ascii="Arial" w:hAnsi="Arial" w:cs="Arial"/>
                <w:sz w:val="20"/>
              </w:rPr>
              <w:tab/>
              <w:t>The Telephone Company may require applicants to make such advance payments as service connection charges, installation charges and special construction charges as necessary to protect the Telephone Company's local exchange service revenues.  The amount of the advance payment will be credited to the subscriber's account as applying to any indebtedness under the contract.</w:t>
            </w: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22"/>
                <w:tab w:val="left" w:pos="1062"/>
                <w:tab w:val="left" w:pos="1602"/>
                <w:tab w:val="left" w:pos="2142"/>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r w:rsidRPr="00B72F0F">
              <w:rPr>
                <w:rFonts w:ascii="Arial" w:hAnsi="Arial" w:cs="Arial"/>
                <w:sz w:val="20"/>
              </w:rPr>
              <w:t>V.</w:t>
            </w:r>
            <w:r w:rsidRPr="00B72F0F">
              <w:rPr>
                <w:rFonts w:ascii="Arial" w:hAnsi="Arial" w:cs="Arial"/>
                <w:sz w:val="20"/>
              </w:rPr>
              <w:tab/>
              <w:t>DEPOSITS</w:t>
            </w: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ind w:left="1080" w:hanging="1080"/>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ind w:left="1080" w:hanging="1080"/>
              <w:jc w:val="both"/>
              <w:rPr>
                <w:rFonts w:ascii="Arial" w:hAnsi="Arial" w:cs="Arial"/>
                <w:sz w:val="20"/>
              </w:rPr>
            </w:pPr>
            <w:r w:rsidRPr="00B72F0F">
              <w:rPr>
                <w:rFonts w:ascii="Arial" w:hAnsi="Arial" w:cs="Arial"/>
                <w:sz w:val="20"/>
              </w:rPr>
              <w:tab/>
              <w:t>A.</w:t>
            </w:r>
            <w:r w:rsidRPr="00B72F0F">
              <w:rPr>
                <w:rFonts w:ascii="Arial" w:hAnsi="Arial" w:cs="Arial"/>
                <w:sz w:val="20"/>
              </w:rPr>
              <w:tab/>
              <w:t>The Telephone Company may, in order to safeguard its interest or those of an Interexchange Carrier (IXC) for whom the Telephone Company is an authorized agent, may require an applicant or a customer to make a suitable deposit to be held by the Telephone Company or IXC or provide a third party guarantor in lieu of a deposit as a guarantee of the payment of telephone service charges.  The Telephone Company must inform the applicant or customer of all options available for meeting the requirements.</w:t>
            </w: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ind w:left="1080" w:hanging="1080"/>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ind w:left="1080" w:hanging="1080"/>
              <w:jc w:val="both"/>
              <w:rPr>
                <w:rFonts w:ascii="Arial" w:hAnsi="Arial" w:cs="Arial"/>
                <w:sz w:val="20"/>
              </w:rPr>
            </w:pPr>
            <w:r w:rsidRPr="00B72F0F">
              <w:rPr>
                <w:rFonts w:ascii="Arial" w:hAnsi="Arial" w:cs="Arial"/>
                <w:sz w:val="20"/>
              </w:rPr>
              <w:tab/>
            </w:r>
            <w:r w:rsidRPr="00B72F0F">
              <w:rPr>
                <w:rFonts w:ascii="Arial" w:hAnsi="Arial" w:cs="Arial"/>
                <w:sz w:val="20"/>
              </w:rPr>
              <w:tab/>
              <w:t>Local exchange service shall be provided to local service applicants who are able to meet the deposit requirements for local service regardless of whether the applicant is able to meet the deposit requirements for the provisioning of toll service.</w:t>
            </w: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ind w:left="1080" w:hanging="1080"/>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r w:rsidRPr="00B72F0F">
              <w:rPr>
                <w:rFonts w:ascii="Arial" w:hAnsi="Arial" w:cs="Arial"/>
                <w:sz w:val="20"/>
              </w:rPr>
              <w:tab/>
              <w:t>B.</w:t>
            </w:r>
            <w:r w:rsidRPr="00B72F0F">
              <w:rPr>
                <w:rFonts w:ascii="Arial" w:hAnsi="Arial" w:cs="Arial"/>
                <w:sz w:val="20"/>
              </w:rPr>
              <w:tab/>
              <w:t xml:space="preserve">The deposit amounts shall not exceed the requirements set forth in Ohio Administrative </w:t>
            </w:r>
            <w:r w:rsidRPr="00B72F0F">
              <w:rPr>
                <w:rFonts w:ascii="Arial" w:hAnsi="Arial" w:cs="Arial"/>
                <w:sz w:val="20"/>
              </w:rPr>
              <w:tab/>
            </w:r>
            <w:r w:rsidRPr="00B72F0F">
              <w:rPr>
                <w:rFonts w:ascii="Arial" w:hAnsi="Arial" w:cs="Arial"/>
                <w:sz w:val="20"/>
              </w:rPr>
              <w:tab/>
              <w:t xml:space="preserve">Code </w:t>
            </w:r>
            <w:r w:rsidRPr="00B72F0F">
              <w:rPr>
                <w:rFonts w:ascii="Arial" w:hAnsi="Arial" w:cs="Arial"/>
                <w:sz w:val="20"/>
              </w:rPr>
              <w:tab/>
              <w:t>4901:1-6-12.</w:t>
            </w: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r w:rsidR="009A6B4B" w:rsidRPr="00B72F0F" w:rsidTr="006C24B6">
        <w:tc>
          <w:tcPr>
            <w:tcW w:w="9504" w:type="dxa"/>
          </w:tcPr>
          <w:p w:rsidR="009A6B4B" w:rsidRPr="00B72F0F" w:rsidRDefault="009A6B4B" w:rsidP="006C24B6">
            <w:pPr>
              <w:tabs>
                <w:tab w:val="left" w:pos="540"/>
                <w:tab w:val="left" w:pos="1080"/>
                <w:tab w:val="left" w:pos="1620"/>
                <w:tab w:val="left" w:pos="2160"/>
              </w:tabs>
              <w:jc w:val="both"/>
              <w:rPr>
                <w:rFonts w:ascii="Arial" w:hAnsi="Arial" w:cs="Arial"/>
                <w:sz w:val="20"/>
              </w:rPr>
            </w:pPr>
          </w:p>
        </w:tc>
        <w:tc>
          <w:tcPr>
            <w:tcW w:w="1152" w:type="dxa"/>
          </w:tcPr>
          <w:p w:rsidR="009A6B4B" w:rsidRPr="00B72F0F" w:rsidRDefault="009A6B4B" w:rsidP="006C24B6">
            <w:pPr>
              <w:tabs>
                <w:tab w:val="left" w:pos="348"/>
              </w:tabs>
              <w:rPr>
                <w:rFonts w:ascii="Arial" w:hAnsi="Arial" w:cs="Arial"/>
                <w:sz w:val="20"/>
              </w:rPr>
            </w:pPr>
          </w:p>
        </w:tc>
      </w:tr>
    </w:tbl>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r w:rsidRPr="00B72F0F">
        <w:rPr>
          <w:rFonts w:ascii="Arial" w:hAnsi="Arial" w:cs="Arial"/>
          <w:sz w:val="20"/>
        </w:rPr>
        <w:t xml:space="preserve">Issued:  </w:t>
      </w:r>
      <w:smartTag w:uri="urn:schemas-microsoft-com:office:smarttags" w:element="date">
        <w:smartTagPr>
          <w:attr w:name="Year" w:val="2011"/>
          <w:attr w:name="Day" w:val="29"/>
          <w:attr w:name="Month" w:val="4"/>
        </w:smartTagPr>
        <w:r w:rsidRPr="00B72F0F">
          <w:rPr>
            <w:rFonts w:ascii="Arial" w:hAnsi="Arial" w:cs="Arial"/>
            <w:sz w:val="20"/>
          </w:rPr>
          <w:t>April 29, 2011</w:t>
        </w:r>
      </w:smartTag>
      <w:r w:rsidRPr="00B72F0F">
        <w:rPr>
          <w:rFonts w:ascii="Arial" w:hAnsi="Arial" w:cs="Arial"/>
          <w:sz w:val="20"/>
        </w:rPr>
        <w:tab/>
        <w:t xml:space="preserve">Effective:  </w:t>
      </w:r>
      <w:smartTag w:uri="urn:schemas-microsoft-com:office:smarttags" w:element="date">
        <w:smartTagPr>
          <w:attr w:name="Year" w:val="2011"/>
          <w:attr w:name="Day" w:val="1"/>
          <w:attr w:name="Month" w:val="5"/>
        </w:smartTagPr>
        <w:r w:rsidRPr="00B72F0F">
          <w:rPr>
            <w:rFonts w:ascii="Arial" w:hAnsi="Arial" w:cs="Arial"/>
            <w:sz w:val="20"/>
          </w:rPr>
          <w:t>May 1, 2011</w:t>
        </w:r>
      </w:smartTag>
    </w:p>
    <w:p w:rsidR="009A6B4B" w:rsidRPr="00B72F0F" w:rsidRDefault="009A6B4B" w:rsidP="009A6B4B">
      <w:pPr>
        <w:tabs>
          <w:tab w:val="right" w:pos="9360"/>
        </w:tabs>
        <w:ind w:right="-270"/>
        <w:rPr>
          <w:rFonts w:ascii="Arial" w:hAnsi="Arial" w:cs="Arial"/>
          <w:sz w:val="20"/>
        </w:rPr>
      </w:pPr>
    </w:p>
    <w:p w:rsidR="009A6B4B" w:rsidRPr="00B72F0F" w:rsidRDefault="009A6B4B" w:rsidP="009A6B4B">
      <w:pPr>
        <w:tabs>
          <w:tab w:val="right" w:pos="9360"/>
        </w:tabs>
        <w:ind w:right="-270"/>
        <w:rPr>
          <w:rFonts w:ascii="Arial" w:hAnsi="Arial" w:cs="Arial"/>
          <w:sz w:val="20"/>
        </w:rPr>
      </w:pPr>
      <w:r w:rsidRPr="00B72F0F">
        <w:rPr>
          <w:rFonts w:ascii="Arial" w:hAnsi="Arial" w:cs="Arial"/>
          <w:sz w:val="20"/>
        </w:rPr>
        <w:t xml:space="preserve">United Telephone Company Of </w:t>
      </w:r>
      <w:smartTag w:uri="urn:schemas-microsoft-com:office:smarttags" w:element="State">
        <w:smartTag w:uri="urn:schemas-microsoft-com:office:smarttags" w:element="place">
          <w:r w:rsidRPr="00B72F0F">
            <w:rPr>
              <w:rFonts w:ascii="Arial" w:hAnsi="Arial" w:cs="Arial"/>
              <w:sz w:val="20"/>
            </w:rPr>
            <w:t>Ohio</w:t>
          </w:r>
        </w:smartTag>
      </w:smartTag>
      <w:r w:rsidRPr="00B72F0F">
        <w:rPr>
          <w:rFonts w:ascii="Arial" w:hAnsi="Arial" w:cs="Arial"/>
          <w:sz w:val="20"/>
        </w:rPr>
        <w:tab/>
        <w:t>In accordance with Case No.: 90-5041-TP-TRF</w:t>
      </w:r>
    </w:p>
    <w:p w:rsidR="009A6B4B" w:rsidRPr="00B72F0F" w:rsidRDefault="009A6B4B" w:rsidP="009A6B4B">
      <w:pPr>
        <w:tabs>
          <w:tab w:val="right" w:pos="9360"/>
        </w:tabs>
        <w:ind w:right="-270"/>
        <w:rPr>
          <w:rFonts w:ascii="Arial" w:hAnsi="Arial" w:cs="Arial"/>
          <w:sz w:val="20"/>
        </w:rPr>
      </w:pPr>
      <w:r w:rsidRPr="00B72F0F">
        <w:rPr>
          <w:rFonts w:ascii="Arial" w:hAnsi="Arial" w:cs="Arial"/>
          <w:sz w:val="20"/>
        </w:rPr>
        <w:t>By Duane Ring, Vice President</w:t>
      </w:r>
      <w:r w:rsidRPr="00B72F0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B72F0F">
            <w:rPr>
              <w:rFonts w:ascii="Arial" w:hAnsi="Arial" w:cs="Arial"/>
              <w:sz w:val="20"/>
            </w:rPr>
            <w:t>Ohio</w:t>
          </w:r>
        </w:smartTag>
      </w:smartTag>
    </w:p>
    <w:p w:rsidR="009A6B4B" w:rsidRPr="00B72F0F" w:rsidRDefault="009A6B4B" w:rsidP="009A6B4B">
      <w:pPr>
        <w:tabs>
          <w:tab w:val="right" w:pos="9360"/>
        </w:tabs>
        <w:ind w:right="-270"/>
        <w:rPr>
          <w:rFonts w:ascii="Arial" w:hAnsi="Arial" w:cs="Arial"/>
          <w:sz w:val="20"/>
        </w:rPr>
      </w:pPr>
      <w:proofErr w:type="spellStart"/>
      <w:r w:rsidRPr="00B72F0F">
        <w:rPr>
          <w:rFonts w:ascii="Arial" w:hAnsi="Arial" w:cs="Arial"/>
          <w:sz w:val="20"/>
        </w:rPr>
        <w:t>LaCrosse</w:t>
      </w:r>
      <w:proofErr w:type="spellEnd"/>
      <w:r w:rsidRPr="00B72F0F">
        <w:rPr>
          <w:rFonts w:ascii="Arial" w:hAnsi="Arial" w:cs="Arial"/>
          <w:sz w:val="20"/>
        </w:rPr>
        <w:t xml:space="preserve">, </w:t>
      </w:r>
      <w:smartTag w:uri="urn:schemas-microsoft-com:office:smarttags" w:element="State">
        <w:smartTag w:uri="urn:schemas-microsoft-com:office:smarttags" w:element="place">
          <w:r w:rsidRPr="00B72F0F">
            <w:rPr>
              <w:rFonts w:ascii="Arial" w:hAnsi="Arial" w:cs="Arial"/>
              <w:sz w:val="20"/>
            </w:rPr>
            <w:t>Wisconsin</w:t>
          </w:r>
        </w:smartTag>
      </w:smartTag>
    </w:p>
    <w:p w:rsidR="009A6B4B" w:rsidRPr="00B72F0F" w:rsidRDefault="009A6B4B" w:rsidP="009A6B4B">
      <w:pPr>
        <w:tabs>
          <w:tab w:val="right" w:pos="9360"/>
        </w:tabs>
        <w:rPr>
          <w:rFonts w:ascii="Arial" w:hAnsi="Arial" w:cs="Arial"/>
          <w:sz w:val="20"/>
        </w:rPr>
        <w:sectPr w:rsidR="009A6B4B" w:rsidRPr="00B72F0F" w:rsidSect="005B32A4">
          <w:headerReference w:type="even" r:id="rId6"/>
          <w:headerReference w:type="default" r:id="rId7"/>
          <w:headerReference w:type="first" r:id="rId8"/>
          <w:pgSz w:w="12240" w:h="15840" w:code="1"/>
          <w:pgMar w:top="720" w:right="1440" w:bottom="720" w:left="1440" w:header="0" w:footer="0" w:gutter="0"/>
          <w:paperSrc w:first="15" w:other="15"/>
          <w:cols w:space="720"/>
          <w:docGrid w:linePitch="326"/>
        </w:sectPr>
      </w:pPr>
    </w:p>
    <w:p w:rsidR="009A6B4B" w:rsidRPr="00B72F0F" w:rsidRDefault="009A6B4B" w:rsidP="009A6B4B">
      <w:pPr>
        <w:rPr>
          <w:rFonts w:eastAsiaTheme="minorHAnsi" w:cstheme="minorBidi"/>
          <w:szCs w:val="24"/>
          <w:lang w:bidi="en-US"/>
        </w:rPr>
      </w:pPr>
    </w:p>
    <w:p w:rsidR="00625485" w:rsidRPr="00625485" w:rsidRDefault="00625485" w:rsidP="00625485">
      <w:pPr>
        <w:spacing w:after="200" w:line="276" w:lineRule="auto"/>
        <w:jc w:val="center"/>
        <w:rPr>
          <w:rFonts w:ascii="Arial" w:hAnsi="Arial" w:cs="Arial"/>
        </w:rPr>
      </w:pPr>
    </w:p>
    <w:p w:rsidR="000C7A88" w:rsidRDefault="000C7A88"/>
    <w:sectPr w:rsidR="000C7A88" w:rsidSect="00D52D95">
      <w:headerReference w:type="default" r:id="rId9"/>
      <w:pgSz w:w="12240" w:h="15840" w:code="1"/>
      <w:pgMar w:top="720" w:right="1440" w:bottom="432"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CB" w:rsidRDefault="00DF36CB" w:rsidP="00D52D95">
      <w:r>
        <w:separator/>
      </w:r>
    </w:p>
  </w:endnote>
  <w:endnote w:type="continuationSeparator" w:id="0">
    <w:p w:rsidR="00DF36CB" w:rsidRDefault="00DF36CB" w:rsidP="00D52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CB" w:rsidRDefault="00DF36CB" w:rsidP="00D52D95">
      <w:r>
        <w:separator/>
      </w:r>
    </w:p>
  </w:footnote>
  <w:footnote w:type="continuationSeparator" w:id="0">
    <w:p w:rsidR="00DF36CB" w:rsidRDefault="00DF36CB" w:rsidP="00D5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4B" w:rsidRDefault="009A6B4B">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3" type="#_x0000_t136" style="position:absolute;margin-left:0;margin-top:0;width:313.5pt;height:108.75pt;rotation:315;z-index:-25165619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4B" w:rsidRDefault="009A6B4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4B" w:rsidRDefault="009A6B4B">
    <w:pPr>
      <w:pStyle w:val="Header"/>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4" type="#_x0000_t136" style="position:absolute;margin-left:0;margin-top:0;width:313.5pt;height:108.75pt;rotation:315;z-index:-25165516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5" w:rsidRPr="009A6B4B" w:rsidRDefault="00D52D95" w:rsidP="009A6B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B72F0F"/>
    <w:rsid w:val="000C7A88"/>
    <w:rsid w:val="00125948"/>
    <w:rsid w:val="00625485"/>
    <w:rsid w:val="0088199D"/>
    <w:rsid w:val="009A6B4B"/>
    <w:rsid w:val="00A254C4"/>
    <w:rsid w:val="00B72F0F"/>
    <w:rsid w:val="00D52D95"/>
    <w:rsid w:val="00DF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85"/>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2D95"/>
    <w:pPr>
      <w:tabs>
        <w:tab w:val="center" w:pos="4680"/>
        <w:tab w:val="right" w:pos="9360"/>
      </w:tabs>
    </w:pPr>
  </w:style>
  <w:style w:type="character" w:customStyle="1" w:styleId="HeaderChar">
    <w:name w:val="Header Char"/>
    <w:basedOn w:val="DefaultParagraphFont"/>
    <w:link w:val="Header"/>
    <w:uiPriority w:val="99"/>
    <w:semiHidden/>
    <w:rsid w:val="00D52D95"/>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52D95"/>
    <w:pPr>
      <w:tabs>
        <w:tab w:val="center" w:pos="4680"/>
        <w:tab w:val="right" w:pos="9360"/>
      </w:tabs>
    </w:pPr>
  </w:style>
  <w:style w:type="character" w:customStyle="1" w:styleId="FooterChar">
    <w:name w:val="Footer Char"/>
    <w:basedOn w:val="DefaultParagraphFont"/>
    <w:link w:val="Footer"/>
    <w:uiPriority w:val="99"/>
    <w:semiHidden/>
    <w:rsid w:val="00D52D9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A%20Superseded%20Page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A Superseded Pages (Header).dotx</Template>
  <TotalTime>1</TotalTime>
  <Pages>3</Pages>
  <Words>264</Words>
  <Characters>1508</Characters>
  <Application>Microsoft Office Word</Application>
  <DocSecurity>0</DocSecurity>
  <Lines>12</Lines>
  <Paragraphs>3</Paragraphs>
  <ScaleCrop>false</ScaleCrop>
  <Company>CenturyLink</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dcterms:created xsi:type="dcterms:W3CDTF">2016-06-23T15:10:00Z</dcterms:created>
  <dcterms:modified xsi:type="dcterms:W3CDTF">2016-06-29T15:24:00Z</dcterms:modified>
</cp:coreProperties>
</file>