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C7" w:rsidRPr="00CA6D92" w:rsidRDefault="00DF40C7" w:rsidP="00B36D82">
      <w:pPr>
        <w:pBdr>
          <w:top w:val="none" w:sz="96" w:space="6" w:color="FFFFFF" w:frame="1"/>
          <w:bottom w:val="none" w:sz="96" w:space="18" w:color="FFFFFF" w:frame="1"/>
        </w:pBdr>
        <w:jc w:val="center"/>
        <w:rPr>
          <w:b/>
        </w:rPr>
      </w:pPr>
      <w:bookmarkStart w:id="0" w:name="_Toc392517463"/>
      <w:bookmarkStart w:id="1" w:name="_Toc392586292"/>
      <w:bookmarkStart w:id="2" w:name="_Toc392686265"/>
      <w:bookmarkStart w:id="3" w:name="_Toc392686518"/>
      <w:bookmarkStart w:id="4" w:name="_Toc392686641"/>
      <w:bookmarkStart w:id="5" w:name="_GoBack"/>
      <w:bookmarkEnd w:id="5"/>
      <w:r w:rsidRPr="00CA6D92">
        <w:rPr>
          <w:b/>
        </w:rPr>
        <w:t>BEFORE</w:t>
      </w:r>
      <w:bookmarkEnd w:id="0"/>
      <w:bookmarkEnd w:id="1"/>
      <w:bookmarkEnd w:id="2"/>
      <w:bookmarkEnd w:id="3"/>
      <w:bookmarkEnd w:id="4"/>
    </w:p>
    <w:p w:rsidR="00DF40C7" w:rsidRPr="00CA6D92" w:rsidRDefault="00DF40C7" w:rsidP="00B36D82">
      <w:pPr>
        <w:pBdr>
          <w:top w:val="none" w:sz="96" w:space="6" w:color="FFFFFF" w:frame="1"/>
          <w:bottom w:val="none" w:sz="96" w:space="18" w:color="FFFFFF" w:frame="1"/>
        </w:pBdr>
        <w:jc w:val="center"/>
        <w:rPr>
          <w:b/>
        </w:rPr>
      </w:pPr>
      <w:bookmarkStart w:id="6" w:name="_Toc392517464"/>
      <w:bookmarkStart w:id="7" w:name="_Toc392586293"/>
      <w:bookmarkStart w:id="8" w:name="_Toc392686266"/>
      <w:bookmarkStart w:id="9" w:name="_Toc392686519"/>
      <w:bookmarkStart w:id="10" w:name="_Toc392686642"/>
      <w:r w:rsidRPr="00CA6D92">
        <w:rPr>
          <w:b/>
        </w:rPr>
        <w:t>THE PUBLIC UTILITIES COMMISSION OF OHIO</w:t>
      </w:r>
      <w:bookmarkEnd w:id="6"/>
      <w:bookmarkEnd w:id="7"/>
      <w:bookmarkEnd w:id="8"/>
      <w:bookmarkEnd w:id="9"/>
      <w:bookmarkEnd w:id="10"/>
    </w:p>
    <w:tbl>
      <w:tblPr>
        <w:tblW w:w="9092" w:type="dxa"/>
        <w:tblInd w:w="-106" w:type="dxa"/>
        <w:tblLook w:val="01E0" w:firstRow="1" w:lastRow="1" w:firstColumn="1" w:lastColumn="1" w:noHBand="0" w:noVBand="0"/>
      </w:tblPr>
      <w:tblGrid>
        <w:gridCol w:w="4332"/>
        <w:gridCol w:w="360"/>
        <w:gridCol w:w="4400"/>
      </w:tblGrid>
      <w:tr w:rsidR="00DF40C7">
        <w:trPr>
          <w:trHeight w:val="807"/>
        </w:trPr>
        <w:tc>
          <w:tcPr>
            <w:tcW w:w="4332" w:type="dxa"/>
          </w:tcPr>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Establish a</w:t>
            </w:r>
          </w:p>
          <w:p w:rsidR="00DF40C7" w:rsidRDefault="00DF40C7">
            <w:pPr>
              <w:pBdr>
                <w:top w:val="none" w:sz="0" w:space="0" w:color="auto"/>
                <w:left w:val="none" w:sz="0" w:space="0" w:color="auto"/>
                <w:bottom w:val="none" w:sz="0" w:space="0" w:color="auto"/>
                <w:right w:val="none" w:sz="0" w:space="0" w:color="auto"/>
                <w:bar w:val="none" w:sz="0" w:color="auto"/>
              </w:pBdr>
            </w:pPr>
            <w:r>
              <w:t>Standard Service Offer Pursuant to Section 4928.143, Revised Code, in the Form of an Electric Security Plan, Accounting Modifications and Tariffs for Generation Service.</w:t>
            </w:r>
          </w:p>
          <w:p w:rsidR="00DF40C7" w:rsidRDefault="00DF40C7">
            <w:pPr>
              <w:pBdr>
                <w:top w:val="none" w:sz="0" w:space="0" w:color="auto"/>
                <w:left w:val="none" w:sz="0" w:space="0" w:color="auto"/>
                <w:bottom w:val="none" w:sz="0" w:space="0" w:color="auto"/>
                <w:right w:val="none" w:sz="0" w:space="0" w:color="auto"/>
                <w:bar w:val="none" w:sz="0" w:color="auto"/>
              </w:pBdr>
            </w:pPr>
          </w:p>
          <w:p w:rsidR="00DF40C7" w:rsidRDefault="00DF40C7">
            <w:pPr>
              <w:pBdr>
                <w:top w:val="none" w:sz="0" w:space="0" w:color="auto"/>
                <w:left w:val="none" w:sz="0" w:space="0" w:color="auto"/>
                <w:bottom w:val="none" w:sz="0" w:space="0" w:color="auto"/>
                <w:right w:val="none" w:sz="0" w:space="0" w:color="auto"/>
                <w:bar w:val="none" w:sz="0" w:color="auto"/>
              </w:pBdr>
            </w:pPr>
            <w:r>
              <w:t>In the Matter of the Application of Duke</w:t>
            </w:r>
          </w:p>
          <w:p w:rsidR="00DF40C7" w:rsidRDefault="00DF40C7">
            <w:pPr>
              <w:pBdr>
                <w:top w:val="none" w:sz="0" w:space="0" w:color="auto"/>
                <w:left w:val="none" w:sz="0" w:space="0" w:color="auto"/>
                <w:bottom w:val="none" w:sz="0" w:space="0" w:color="auto"/>
                <w:right w:val="none" w:sz="0" w:space="0" w:color="auto"/>
                <w:bar w:val="none" w:sz="0" w:color="auto"/>
              </w:pBdr>
            </w:pPr>
            <w:r>
              <w:t>Energy Ohio for Authority to Amend its</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Certified Supplier Tariff, P.U.C.O. </w:t>
            </w:r>
          </w:p>
          <w:p w:rsidR="00DF40C7" w:rsidRDefault="00DF40C7">
            <w:pPr>
              <w:pBdr>
                <w:top w:val="none" w:sz="0" w:space="0" w:color="auto"/>
                <w:left w:val="none" w:sz="0" w:space="0" w:color="auto"/>
                <w:bottom w:val="none" w:sz="0" w:space="0" w:color="auto"/>
                <w:right w:val="none" w:sz="0" w:space="0" w:color="auto"/>
                <w:bar w:val="none" w:sz="0" w:color="auto"/>
              </w:pBdr>
            </w:pPr>
            <w:r>
              <w:t xml:space="preserve">No. 20. </w:t>
            </w:r>
          </w:p>
        </w:tc>
        <w:tc>
          <w:tcPr>
            <w:tcW w:w="36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p>
        </w:tc>
        <w:tc>
          <w:tcPr>
            <w:tcW w:w="4400" w:type="dxa"/>
          </w:tcPr>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14-841-EL-SSO</w:t>
            </w: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Case No. 14-842-EL-ATA</w:t>
            </w:r>
          </w:p>
        </w:tc>
      </w:tr>
    </w:tbl>
    <w:p w:rsidR="00F629C8" w:rsidRDefault="00F629C8" w:rsidP="00F629C8">
      <w:pPr>
        <w:pStyle w:val="Body"/>
        <w:pBdr>
          <w:top w:val="none" w:sz="0" w:space="0" w:color="auto"/>
          <w:left w:val="none" w:sz="0" w:space="0" w:color="auto"/>
          <w:bottom w:val="single" w:sz="12" w:space="1" w:color="auto"/>
          <w:right w:val="none" w:sz="0" w:space="0" w:color="auto"/>
          <w:bar w:val="none" w:sz="0" w:color="auto"/>
        </w:pBdr>
        <w:spacing w:before="18" w:line="260" w:lineRule="exact"/>
        <w:rPr>
          <w:rFonts w:ascii="Times New Roman" w:hAnsi="Times New Roman" w:cs="Times New Roman"/>
          <w:color w:val="auto"/>
          <w:sz w:val="24"/>
          <w:szCs w:val="24"/>
        </w:rPr>
      </w:pPr>
    </w:p>
    <w:p w:rsidR="00F629C8" w:rsidRDefault="00F629C8" w:rsidP="00F629C8">
      <w:pPr>
        <w:pStyle w:val="Body"/>
        <w:pBdr>
          <w:top w:val="none" w:sz="0" w:space="0" w:color="auto"/>
          <w:left w:val="none" w:sz="0" w:space="0" w:color="auto"/>
          <w:bottom w:val="none" w:sz="0" w:space="0" w:color="auto"/>
          <w:right w:val="none" w:sz="0" w:space="0" w:color="auto"/>
          <w:bar w:val="none" w:sz="0" w:color="auto"/>
        </w:pBdr>
        <w:spacing w:before="18" w:line="260" w:lineRule="exact"/>
        <w:rPr>
          <w:rFonts w:ascii="Times New Roman" w:hAnsi="Times New Roman" w:cs="Times New Roman"/>
          <w:color w:val="auto"/>
          <w:sz w:val="24"/>
          <w:szCs w:val="24"/>
        </w:rPr>
      </w:pPr>
    </w:p>
    <w:p w:rsidR="0093054D" w:rsidRDefault="0093054D" w:rsidP="0093054D">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 xml:space="preserve">REPLY TO </w:t>
      </w:r>
    </w:p>
    <w:p w:rsidR="0093054D" w:rsidRDefault="0093054D" w:rsidP="0093054D">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Pr>
          <w:rFonts w:ascii="Times New Roman" w:hAnsi="Times New Roman" w:cs="Times New Roman"/>
          <w:b/>
          <w:bCs/>
          <w:sz w:val="24"/>
          <w:szCs w:val="24"/>
        </w:rPr>
        <w:t>DUKE ENERGY OHIO INC.’S MEMORANDUM CONTRA</w:t>
      </w:r>
    </w:p>
    <w:p w:rsidR="0093054D" w:rsidRDefault="0093054D" w:rsidP="0093054D">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sidRPr="0025484B">
        <w:rPr>
          <w:rFonts w:ascii="Times New Roman" w:hAnsi="Times New Roman" w:cs="Times New Roman"/>
          <w:b/>
          <w:bCs/>
          <w:sz w:val="24"/>
          <w:szCs w:val="24"/>
        </w:rPr>
        <w:t>BY</w:t>
      </w:r>
      <w:r>
        <w:rPr>
          <w:rFonts w:ascii="Times New Roman" w:hAnsi="Times New Roman" w:cs="Times New Roman"/>
          <w:b/>
          <w:bCs/>
          <w:sz w:val="24"/>
          <w:szCs w:val="24"/>
        </w:rPr>
        <w:t xml:space="preserve"> </w:t>
      </w:r>
    </w:p>
    <w:p w:rsidR="0093054D" w:rsidRDefault="0093054D" w:rsidP="0093054D">
      <w:pPr>
        <w:pBdr>
          <w:top w:val="none" w:sz="0" w:space="0" w:color="auto"/>
          <w:left w:val="none" w:sz="0" w:space="0" w:color="auto"/>
          <w:bottom w:val="single" w:sz="12" w:space="1" w:color="auto"/>
          <w:right w:val="none" w:sz="0" w:space="0" w:color="auto"/>
          <w:bar w:val="none" w:sz="0" w:color="auto"/>
        </w:pBdr>
        <w:jc w:val="center"/>
        <w:rPr>
          <w:b/>
          <w:bCs/>
        </w:rPr>
      </w:pPr>
      <w:r>
        <w:rPr>
          <w:b/>
          <w:bCs/>
        </w:rPr>
        <w:t>THE OFFICE OF THE OHIO CONSUMERS’ COUNSEL</w:t>
      </w:r>
    </w:p>
    <w:p w:rsidR="00C60584" w:rsidRDefault="00C60584" w:rsidP="0093054D">
      <w:pPr>
        <w:pBdr>
          <w:top w:val="none" w:sz="0" w:space="0" w:color="auto"/>
          <w:left w:val="none" w:sz="0" w:space="0" w:color="auto"/>
          <w:bottom w:val="single" w:sz="12" w:space="1" w:color="auto"/>
          <w:right w:val="none" w:sz="0" w:space="0" w:color="auto"/>
          <w:bar w:val="none" w:sz="0" w:color="auto"/>
        </w:pBdr>
        <w:jc w:val="center"/>
        <w:rPr>
          <w:b/>
          <w:bCs/>
        </w:rPr>
      </w:pPr>
    </w:p>
    <w:p w:rsidR="00C60584" w:rsidRPr="00C60584" w:rsidRDefault="00C60584" w:rsidP="00F629C8">
      <w:pPr>
        <w:pStyle w:val="BodyText"/>
        <w:pBdr>
          <w:top w:val="none" w:sz="0" w:space="0" w:color="auto"/>
          <w:left w:val="none" w:sz="0" w:space="0" w:color="auto"/>
          <w:bottom w:val="none" w:sz="0" w:space="0" w:color="auto"/>
          <w:right w:val="none" w:sz="0" w:space="0" w:color="auto"/>
          <w:bar w:val="none" w:sz="0" w:color="auto"/>
        </w:pBdr>
        <w:spacing w:before="21" w:line="480" w:lineRule="auto"/>
        <w:ind w:left="0" w:right="118"/>
        <w:rPr>
          <w:color w:val="auto"/>
        </w:rPr>
      </w:pPr>
    </w:p>
    <w:p w:rsidR="00DF40C7" w:rsidRPr="00AA4DDD" w:rsidRDefault="00DF40C7" w:rsidP="0024102C">
      <w:pPr>
        <w:pStyle w:val="Heading1"/>
        <w:pBdr>
          <w:top w:val="none" w:sz="0" w:space="0" w:color="auto"/>
          <w:left w:val="none" w:sz="0" w:space="0" w:color="auto"/>
          <w:bottom w:val="none" w:sz="0" w:space="0" w:color="auto"/>
          <w:right w:val="none" w:sz="0" w:space="0" w:color="auto"/>
          <w:bar w:val="none" w:sz="0" w:color="auto"/>
        </w:pBdr>
        <w:spacing w:after="0"/>
      </w:pPr>
      <w:bookmarkStart w:id="11" w:name="_Toc392586295"/>
      <w:bookmarkStart w:id="12" w:name="_Toc392686521"/>
      <w:bookmarkStart w:id="13" w:name="_Toc393369041"/>
      <w:r>
        <w:t>I.</w:t>
      </w:r>
      <w:r>
        <w:tab/>
        <w:t>INTRODUCTION</w:t>
      </w:r>
      <w:bookmarkEnd w:id="11"/>
      <w:bookmarkEnd w:id="12"/>
      <w:bookmarkEnd w:id="13"/>
    </w:p>
    <w:p w:rsidR="00580BB6" w:rsidRDefault="00F629C8" w:rsidP="00BB120D">
      <w:pPr>
        <w:pBdr>
          <w:top w:val="none" w:sz="96" w:space="13" w:color="FFFFFF" w:frame="1"/>
        </w:pBdr>
        <w:spacing w:line="480" w:lineRule="auto"/>
        <w:rPr>
          <w:szCs w:val="20"/>
        </w:rPr>
      </w:pPr>
      <w:r>
        <w:tab/>
      </w:r>
      <w:r w:rsidR="004C3B36">
        <w:t>I</w:t>
      </w:r>
      <w:r w:rsidR="00FB339E">
        <w:t>n this proceeding</w:t>
      </w:r>
      <w:r w:rsidR="004129E7">
        <w:t>,</w:t>
      </w:r>
      <w:r w:rsidR="00FB339E">
        <w:t xml:space="preserve"> </w:t>
      </w:r>
      <w:r>
        <w:t>Duke Energy Ohio Inc</w:t>
      </w:r>
      <w:r w:rsidR="00783480">
        <w:t>.</w:t>
      </w:r>
      <w:r>
        <w:t xml:space="preserve"> (“Duke” or “Utility”)</w:t>
      </w:r>
      <w:r w:rsidR="00FB339E">
        <w:t xml:space="preserve"> seeks </w:t>
      </w:r>
      <w:r w:rsidR="005810FA">
        <w:t xml:space="preserve">expedited </w:t>
      </w:r>
      <w:r w:rsidR="00FB339E">
        <w:t xml:space="preserve">approval of its proposed </w:t>
      </w:r>
      <w:r>
        <w:t xml:space="preserve">Electric Security Plan (“ESP”) </w:t>
      </w:r>
      <w:r w:rsidR="004C3B36">
        <w:t xml:space="preserve">(filed May 29, 2014) </w:t>
      </w:r>
      <w:r w:rsidR="00FB339E">
        <w:t>that</w:t>
      </w:r>
      <w:r w:rsidR="004C3B36">
        <w:t xml:space="preserve"> may </w:t>
      </w:r>
      <w:bookmarkStart w:id="14" w:name="_Toc392586296"/>
      <w:bookmarkStart w:id="15" w:name="_Toc392686522"/>
      <w:bookmarkStart w:id="16" w:name="_Toc393369042"/>
      <w:r w:rsidR="004C3B36">
        <w:rPr>
          <w:szCs w:val="20"/>
        </w:rPr>
        <w:t>impose increases in the electric rates all customers</w:t>
      </w:r>
      <w:r w:rsidR="00CC10E2">
        <w:rPr>
          <w:szCs w:val="20"/>
        </w:rPr>
        <w:t xml:space="preserve"> pay</w:t>
      </w:r>
      <w:r w:rsidR="004C3B36">
        <w:rPr>
          <w:szCs w:val="20"/>
        </w:rPr>
        <w:t xml:space="preserve">.  </w:t>
      </w:r>
      <w:r w:rsidR="004F5F3F">
        <w:rPr>
          <w:szCs w:val="20"/>
        </w:rPr>
        <w:t>And, with the current procedural schedule intact (no ruling on the Joint Motion for a Continuance)</w:t>
      </w:r>
      <w:r w:rsidR="004F5F3F">
        <w:rPr>
          <w:rStyle w:val="FootnoteReference"/>
          <w:szCs w:val="20"/>
        </w:rPr>
        <w:footnoteReference w:id="2"/>
      </w:r>
      <w:r w:rsidR="004F5F3F">
        <w:rPr>
          <w:szCs w:val="20"/>
        </w:rPr>
        <w:t xml:space="preserve"> an evidentiary hearing on Duke’s application is scheduled in a little over a month (Sept. 8, 2014).  Yet, despite efforts of </w:t>
      </w:r>
      <w:r w:rsidR="000F1883">
        <w:rPr>
          <w:szCs w:val="20"/>
        </w:rPr>
        <w:t>both Duke and OCC</w:t>
      </w:r>
      <w:r w:rsidR="004F5F3F">
        <w:rPr>
          <w:szCs w:val="20"/>
        </w:rPr>
        <w:t xml:space="preserve">, there still is no agreement </w:t>
      </w:r>
      <w:r w:rsidR="00660A3F">
        <w:rPr>
          <w:szCs w:val="20"/>
        </w:rPr>
        <w:t xml:space="preserve">that would govern the treatment </w:t>
      </w:r>
    </w:p>
    <w:p w:rsidR="009D0450" w:rsidRDefault="009D0450" w:rsidP="00580BB6">
      <w:pPr>
        <w:pBdr>
          <w:top w:val="none" w:sz="96" w:space="13" w:color="FFFFFF" w:frame="1"/>
        </w:pBdr>
        <w:spacing w:line="480" w:lineRule="auto"/>
        <w:rPr>
          <w:szCs w:val="20"/>
        </w:rPr>
        <w:sectPr w:rsidR="009D0450" w:rsidSect="0085211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605" w:gutter="0"/>
          <w:pgNumType w:start="2"/>
          <w:cols w:sep="1" w:space="720"/>
        </w:sectPr>
      </w:pPr>
    </w:p>
    <w:p w:rsidR="00580BB6" w:rsidRDefault="00660A3F" w:rsidP="00BB120D">
      <w:pPr>
        <w:pBdr>
          <w:top w:val="none" w:sz="96" w:space="0" w:color="FFFFFF" w:frame="1"/>
          <w:bottom w:val="none" w:sz="96" w:space="0" w:color="FFFFFF" w:frame="1"/>
        </w:pBdr>
        <w:spacing w:line="480" w:lineRule="auto"/>
        <w:rPr>
          <w:szCs w:val="20"/>
        </w:rPr>
      </w:pPr>
      <w:r>
        <w:rPr>
          <w:szCs w:val="20"/>
        </w:rPr>
        <w:lastRenderedPageBreak/>
        <w:t>of information (that Duke alleges to be trade secret) that is needed by OCC in order to adequate</w:t>
      </w:r>
      <w:r w:rsidR="00E945E6">
        <w:rPr>
          <w:szCs w:val="20"/>
        </w:rPr>
        <w:t>ly</w:t>
      </w:r>
      <w:r>
        <w:rPr>
          <w:szCs w:val="20"/>
        </w:rPr>
        <w:t xml:space="preserve"> represent the interest of residential customers</w:t>
      </w:r>
      <w:r w:rsidR="004F5F3F">
        <w:rPr>
          <w:szCs w:val="20"/>
        </w:rPr>
        <w:t>.  S</w:t>
      </w:r>
      <w:r w:rsidR="004C3B36">
        <w:rPr>
          <w:szCs w:val="20"/>
        </w:rPr>
        <w:t>ince June 2, 2014</w:t>
      </w:r>
      <w:r w:rsidR="004F5F3F">
        <w:rPr>
          <w:szCs w:val="20"/>
        </w:rPr>
        <w:t xml:space="preserve">, OCC has </w:t>
      </w:r>
      <w:r w:rsidR="004C3B36">
        <w:rPr>
          <w:szCs w:val="20"/>
        </w:rPr>
        <w:t>sought to establish a protective agreement that will enable it to obtain responses to discovery</w:t>
      </w:r>
      <w:r>
        <w:rPr>
          <w:szCs w:val="20"/>
        </w:rPr>
        <w:t xml:space="preserve"> that Duke alleges are trade secret</w:t>
      </w:r>
      <w:r w:rsidR="004C3B36">
        <w:rPr>
          <w:szCs w:val="20"/>
        </w:rPr>
        <w:t xml:space="preserve">.  </w:t>
      </w:r>
      <w:r w:rsidR="005810FA">
        <w:rPr>
          <w:szCs w:val="20"/>
        </w:rPr>
        <w:t>Full and complete discovery in the expedited time frame ordered in this proceeding</w:t>
      </w:r>
      <w:r w:rsidR="005810FA">
        <w:rPr>
          <w:rStyle w:val="FootnoteReference"/>
          <w:szCs w:val="20"/>
        </w:rPr>
        <w:footnoteReference w:id="3"/>
      </w:r>
      <w:r w:rsidR="005810FA">
        <w:rPr>
          <w:szCs w:val="20"/>
        </w:rPr>
        <w:t xml:space="preserve"> is crucial to being able to meet the upcoming deadlines for filed intervenor testimony (August</w:t>
      </w:r>
      <w:r w:rsidR="00CC10E2">
        <w:rPr>
          <w:szCs w:val="20"/>
        </w:rPr>
        <w:t xml:space="preserve"> 26, 2014)</w:t>
      </w:r>
      <w:r>
        <w:rPr>
          <w:szCs w:val="20"/>
        </w:rPr>
        <w:t xml:space="preserve"> </w:t>
      </w:r>
      <w:r w:rsidR="007A0879">
        <w:rPr>
          <w:szCs w:val="20"/>
        </w:rPr>
        <w:t>while adequately representing the residential consumer interest</w:t>
      </w:r>
      <w:r w:rsidR="00FD2743">
        <w:rPr>
          <w:szCs w:val="20"/>
        </w:rPr>
        <w:t>s</w:t>
      </w:r>
      <w:r w:rsidR="00CC10E2">
        <w:rPr>
          <w:szCs w:val="20"/>
        </w:rPr>
        <w:t xml:space="preserve">.  </w:t>
      </w:r>
    </w:p>
    <w:p w:rsidR="00580BB6" w:rsidRDefault="00CC10E2" w:rsidP="00BB120D">
      <w:pPr>
        <w:pBdr>
          <w:top w:val="none" w:sz="96" w:space="0" w:color="FFFFFF" w:frame="1"/>
          <w:bottom w:val="none" w:sz="96" w:space="0" w:color="FFFFFF" w:frame="1"/>
        </w:pBdr>
        <w:spacing w:line="480" w:lineRule="auto"/>
        <w:ind w:firstLine="720"/>
        <w:rPr>
          <w:szCs w:val="20"/>
        </w:rPr>
      </w:pPr>
      <w:r>
        <w:rPr>
          <w:szCs w:val="20"/>
        </w:rPr>
        <w:t xml:space="preserve">Unfortunately, Duke </w:t>
      </w:r>
      <w:r w:rsidR="006F016E">
        <w:rPr>
          <w:szCs w:val="20"/>
        </w:rPr>
        <w:t xml:space="preserve">has </w:t>
      </w:r>
      <w:r>
        <w:rPr>
          <w:szCs w:val="20"/>
        </w:rPr>
        <w:t xml:space="preserve">been </w:t>
      </w:r>
      <w:r w:rsidR="006F016E">
        <w:rPr>
          <w:szCs w:val="20"/>
        </w:rPr>
        <w:t>unwilling</w:t>
      </w:r>
      <w:r>
        <w:rPr>
          <w:szCs w:val="20"/>
        </w:rPr>
        <w:t xml:space="preserve"> to </w:t>
      </w:r>
      <w:r w:rsidR="00E91B9A">
        <w:rPr>
          <w:szCs w:val="20"/>
        </w:rPr>
        <w:t>agree to a reasonable</w:t>
      </w:r>
      <w:r>
        <w:rPr>
          <w:szCs w:val="20"/>
        </w:rPr>
        <w:t xml:space="preserve"> protective agreement</w:t>
      </w:r>
      <w:r w:rsidR="006F016E">
        <w:rPr>
          <w:szCs w:val="20"/>
        </w:rPr>
        <w:t xml:space="preserve"> with OCC</w:t>
      </w:r>
      <w:r w:rsidR="007A0879">
        <w:rPr>
          <w:szCs w:val="20"/>
        </w:rPr>
        <w:t>—an agreement with the same terms that Duke has agreed to many times in the recent years</w:t>
      </w:r>
      <w:r>
        <w:rPr>
          <w:szCs w:val="20"/>
        </w:rPr>
        <w:t xml:space="preserve">.  </w:t>
      </w:r>
      <w:r w:rsidR="004C3B36">
        <w:rPr>
          <w:szCs w:val="20"/>
        </w:rPr>
        <w:t xml:space="preserve"> </w:t>
      </w:r>
      <w:r w:rsidR="00E91B9A">
        <w:rPr>
          <w:szCs w:val="20"/>
        </w:rPr>
        <w:t xml:space="preserve">This has led to the filing of </w:t>
      </w:r>
      <w:r w:rsidR="007A0879">
        <w:rPr>
          <w:szCs w:val="20"/>
        </w:rPr>
        <w:t>several</w:t>
      </w:r>
      <w:r w:rsidR="00E91B9A">
        <w:rPr>
          <w:szCs w:val="20"/>
        </w:rPr>
        <w:t xml:space="preserve"> pleadings</w:t>
      </w:r>
      <w:r w:rsidR="007A0879">
        <w:rPr>
          <w:szCs w:val="20"/>
        </w:rPr>
        <w:t>—</w:t>
      </w:r>
      <w:r w:rsidR="00E91B9A">
        <w:rPr>
          <w:szCs w:val="20"/>
        </w:rPr>
        <w:t xml:space="preserve"> including</w:t>
      </w:r>
      <w:r w:rsidR="000F1883">
        <w:rPr>
          <w:szCs w:val="20"/>
        </w:rPr>
        <w:t xml:space="preserve"> </w:t>
      </w:r>
      <w:r w:rsidR="00E91B9A">
        <w:rPr>
          <w:szCs w:val="20"/>
        </w:rPr>
        <w:t>OCC’s Memo Contra OEG’s Motion</w:t>
      </w:r>
      <w:r w:rsidR="000F1883">
        <w:rPr>
          <w:szCs w:val="20"/>
        </w:rPr>
        <w:t xml:space="preserve"> To Establish a Protective Agreement </w:t>
      </w:r>
      <w:r w:rsidR="00E91B9A">
        <w:rPr>
          <w:szCs w:val="20"/>
        </w:rPr>
        <w:t>and Duke’s Motion for a Protective Order</w:t>
      </w:r>
      <w:r w:rsidR="00FD2743">
        <w:rPr>
          <w:szCs w:val="20"/>
        </w:rPr>
        <w:t xml:space="preserve">.  </w:t>
      </w:r>
      <w:r w:rsidR="007A0879">
        <w:rPr>
          <w:szCs w:val="20"/>
        </w:rPr>
        <w:t xml:space="preserve">And with an impasse in executing a protective agreement, and discovery being withheld, OCC, on July 18, 2014 filed to compel responses to discovery.  </w:t>
      </w:r>
      <w:r w:rsidR="006F016E">
        <w:rPr>
          <w:szCs w:val="20"/>
        </w:rPr>
        <w:t xml:space="preserve"> </w:t>
      </w:r>
    </w:p>
    <w:p w:rsidR="00950738" w:rsidRDefault="006F016E" w:rsidP="00BB120D">
      <w:pPr>
        <w:pBdr>
          <w:top w:val="none" w:sz="96" w:space="0" w:color="FFFFFF" w:frame="1"/>
          <w:bottom w:val="none" w:sz="96" w:space="0" w:color="FFFFFF" w:frame="1"/>
        </w:pBdr>
        <w:spacing w:line="480" w:lineRule="auto"/>
        <w:ind w:firstLine="720"/>
        <w:rPr>
          <w:szCs w:val="20"/>
        </w:rPr>
      </w:pPr>
      <w:r>
        <w:rPr>
          <w:szCs w:val="20"/>
        </w:rPr>
        <w:t xml:space="preserve">All of these pleadings are </w:t>
      </w:r>
      <w:r w:rsidR="00E91B9A">
        <w:rPr>
          <w:szCs w:val="20"/>
        </w:rPr>
        <w:t xml:space="preserve">pending.   Each one of these pleadings has had a common purpose:  to seek a PUCO ordered protective agreement that </w:t>
      </w:r>
      <w:r w:rsidR="000F1883">
        <w:rPr>
          <w:szCs w:val="20"/>
        </w:rPr>
        <w:t xml:space="preserve">both the utility and OCC can </w:t>
      </w:r>
      <w:r w:rsidR="00E91B9A">
        <w:rPr>
          <w:szCs w:val="20"/>
        </w:rPr>
        <w:t>sign</w:t>
      </w:r>
      <w:r>
        <w:rPr>
          <w:szCs w:val="20"/>
        </w:rPr>
        <w:t>.</w:t>
      </w:r>
      <w:r w:rsidR="00E91B9A">
        <w:rPr>
          <w:szCs w:val="20"/>
        </w:rPr>
        <w:t xml:space="preserve"> </w:t>
      </w:r>
      <w:r w:rsidR="00130A01">
        <w:rPr>
          <w:szCs w:val="20"/>
        </w:rPr>
        <w:t xml:space="preserve">These pleadings underscore the fact </w:t>
      </w:r>
      <w:r w:rsidR="009D4B91">
        <w:rPr>
          <w:szCs w:val="20"/>
        </w:rPr>
        <w:t>that d</w:t>
      </w:r>
      <w:r w:rsidR="008706CB">
        <w:rPr>
          <w:szCs w:val="20"/>
        </w:rPr>
        <w:t>espite good faith efforts,</w:t>
      </w:r>
      <w:r w:rsidR="00130A01">
        <w:rPr>
          <w:szCs w:val="20"/>
        </w:rPr>
        <w:t xml:space="preserve"> </w:t>
      </w:r>
      <w:r w:rsidR="000F1883">
        <w:rPr>
          <w:szCs w:val="20"/>
        </w:rPr>
        <w:t>OCC and Duke</w:t>
      </w:r>
      <w:r w:rsidR="00130A01">
        <w:rPr>
          <w:szCs w:val="20"/>
        </w:rPr>
        <w:t xml:space="preserve"> have been unable to resolve the protective agreement issues, and now must rely on the PUCO to do so.  </w:t>
      </w:r>
    </w:p>
    <w:p w:rsidR="009D4B91" w:rsidRDefault="00950738" w:rsidP="00950738">
      <w:pPr>
        <w:pBdr>
          <w:top w:val="none" w:sz="0" w:space="0" w:color="auto"/>
          <w:left w:val="none" w:sz="0" w:space="0" w:color="auto"/>
          <w:bottom w:val="none" w:sz="0" w:space="0" w:color="auto"/>
          <w:right w:val="none" w:sz="0" w:space="0" w:color="auto"/>
          <w:bar w:val="none" w:sz="0" w:color="auto"/>
        </w:pBdr>
        <w:spacing w:line="480" w:lineRule="auto"/>
        <w:ind w:firstLine="720"/>
        <w:rPr>
          <w:szCs w:val="20"/>
        </w:rPr>
      </w:pPr>
      <w:r>
        <w:rPr>
          <w:szCs w:val="20"/>
        </w:rPr>
        <w:t>N</w:t>
      </w:r>
      <w:r w:rsidR="007A0879">
        <w:rPr>
          <w:szCs w:val="20"/>
        </w:rPr>
        <w:t>o one can dispute that t</w:t>
      </w:r>
      <w:r w:rsidR="004C3B36">
        <w:rPr>
          <w:szCs w:val="20"/>
        </w:rPr>
        <w:t>he lack of a protective agreement has impeded discovery</w:t>
      </w:r>
      <w:r w:rsidR="00130A01">
        <w:rPr>
          <w:szCs w:val="20"/>
        </w:rPr>
        <w:t xml:space="preserve">.  </w:t>
      </w:r>
      <w:r w:rsidR="004C3B36">
        <w:rPr>
          <w:szCs w:val="20"/>
        </w:rPr>
        <w:t xml:space="preserve">Duke has withheld certain discovery from OCC because there is no protective agreement executed between </w:t>
      </w:r>
      <w:r w:rsidR="008706CB">
        <w:rPr>
          <w:szCs w:val="20"/>
        </w:rPr>
        <w:t>it</w:t>
      </w:r>
      <w:r w:rsidR="004C3B36">
        <w:rPr>
          <w:szCs w:val="20"/>
        </w:rPr>
        <w:t xml:space="preserve"> and OCC.</w:t>
      </w:r>
      <w:r w:rsidR="004C3B36">
        <w:rPr>
          <w:rStyle w:val="FootnoteReference"/>
        </w:rPr>
        <w:footnoteReference w:id="4"/>
      </w:r>
      <w:r w:rsidR="004C3B36">
        <w:rPr>
          <w:szCs w:val="20"/>
        </w:rPr>
        <w:t xml:space="preserve">  </w:t>
      </w:r>
      <w:r w:rsidR="007A0879">
        <w:rPr>
          <w:szCs w:val="20"/>
        </w:rPr>
        <w:t>OCC is entitled to receive responses to its discovery in accordance with Ohio law and the PUCO’s rules.  For this reason, OCC’s Motion to Compel should be granted</w:t>
      </w:r>
      <w:r w:rsidR="005810FA">
        <w:rPr>
          <w:szCs w:val="20"/>
        </w:rPr>
        <w:t xml:space="preserve">.  </w:t>
      </w:r>
    </w:p>
    <w:p w:rsidR="00F21B81" w:rsidRDefault="00F21B81" w:rsidP="00F21B81">
      <w:pPr>
        <w:pBdr>
          <w:top w:val="none" w:sz="96" w:space="4" w:color="FFFFFF" w:frame="1"/>
          <w:bottom w:val="none" w:sz="96" w:space="2" w:color="FFFFFF" w:frame="1"/>
        </w:pBdr>
        <w:ind w:firstLine="720"/>
        <w:rPr>
          <w:szCs w:val="20"/>
        </w:rPr>
      </w:pPr>
    </w:p>
    <w:p w:rsidR="009D4B91" w:rsidRDefault="00A6059F" w:rsidP="00F21B81">
      <w:pPr>
        <w:pBdr>
          <w:top w:val="none" w:sz="96" w:space="4" w:color="FFFFFF" w:frame="1"/>
          <w:bottom w:val="none" w:sz="96" w:space="2" w:color="FFFFFF" w:frame="1"/>
        </w:pBdr>
        <w:spacing w:line="480" w:lineRule="auto"/>
        <w:rPr>
          <w:b/>
        </w:rPr>
      </w:pPr>
      <w:r w:rsidRPr="009D4B91">
        <w:rPr>
          <w:b/>
        </w:rPr>
        <w:t xml:space="preserve">II.  </w:t>
      </w:r>
      <w:r w:rsidR="001903DB" w:rsidRPr="009D4B91">
        <w:rPr>
          <w:b/>
        </w:rPr>
        <w:tab/>
      </w:r>
      <w:r w:rsidRPr="009D4B91">
        <w:rPr>
          <w:b/>
        </w:rPr>
        <w:t>ARGUMENT</w:t>
      </w:r>
    </w:p>
    <w:p w:rsidR="009D4B91" w:rsidRDefault="005810FA" w:rsidP="00F21B81">
      <w:pPr>
        <w:pBdr>
          <w:top w:val="none" w:sz="96" w:space="4" w:color="FFFFFF" w:frame="1"/>
          <w:bottom w:val="none" w:sz="96" w:space="2" w:color="FFFFFF" w:frame="1"/>
        </w:pBdr>
        <w:spacing w:line="480" w:lineRule="auto"/>
        <w:ind w:firstLine="720"/>
        <w:rPr>
          <w:szCs w:val="20"/>
        </w:rPr>
      </w:pPr>
      <w:r>
        <w:rPr>
          <w:szCs w:val="20"/>
        </w:rPr>
        <w:t xml:space="preserve">On July 23, 2014, Duke filed a </w:t>
      </w:r>
      <w:r w:rsidR="000F1883">
        <w:rPr>
          <w:szCs w:val="20"/>
        </w:rPr>
        <w:t>M</w:t>
      </w:r>
      <w:r>
        <w:rPr>
          <w:szCs w:val="20"/>
        </w:rPr>
        <w:t xml:space="preserve">emorandum </w:t>
      </w:r>
      <w:r w:rsidR="000F1883">
        <w:rPr>
          <w:szCs w:val="20"/>
        </w:rPr>
        <w:t>C</w:t>
      </w:r>
      <w:r>
        <w:rPr>
          <w:szCs w:val="20"/>
        </w:rPr>
        <w:t xml:space="preserve">ontra </w:t>
      </w:r>
      <w:r w:rsidR="00CC10E2">
        <w:rPr>
          <w:szCs w:val="20"/>
        </w:rPr>
        <w:t xml:space="preserve">OCC’s Motion to Compel.  Duke broadly </w:t>
      </w:r>
      <w:r w:rsidR="00130A01">
        <w:rPr>
          <w:szCs w:val="20"/>
        </w:rPr>
        <w:t>alleges</w:t>
      </w:r>
      <w:r w:rsidR="00CC10E2">
        <w:rPr>
          <w:szCs w:val="20"/>
        </w:rPr>
        <w:t xml:space="preserve"> that OCC has not provided any factual or legal basis for its motion.  Duke is wrong. </w:t>
      </w:r>
    </w:p>
    <w:p w:rsidR="009D4B91" w:rsidRDefault="00CC10E2" w:rsidP="00F21B81">
      <w:pPr>
        <w:pBdr>
          <w:top w:val="none" w:sz="96" w:space="4" w:color="FFFFFF" w:frame="1"/>
          <w:bottom w:val="none" w:sz="96" w:space="2" w:color="FFFFFF" w:frame="1"/>
        </w:pBdr>
        <w:spacing w:line="480" w:lineRule="auto"/>
        <w:ind w:firstLine="720"/>
        <w:rPr>
          <w:szCs w:val="20"/>
        </w:rPr>
      </w:pPr>
      <w:r>
        <w:rPr>
          <w:szCs w:val="20"/>
        </w:rPr>
        <w:t xml:space="preserve">Initially, it claims that there is no existing dispute in need of </w:t>
      </w:r>
      <w:r w:rsidR="003C4DE6">
        <w:rPr>
          <w:szCs w:val="20"/>
        </w:rPr>
        <w:t>PUCO</w:t>
      </w:r>
      <w:r>
        <w:rPr>
          <w:szCs w:val="20"/>
        </w:rPr>
        <w:t xml:space="preserve"> resolution.  This claim just doesn’t make sense.  OCC identified specific discovery responses that are being withheld from it because </w:t>
      </w:r>
      <w:r w:rsidR="00151EFB">
        <w:rPr>
          <w:szCs w:val="20"/>
        </w:rPr>
        <w:t>Duke will not sign the same agreement that it has signed many times before.</w:t>
      </w:r>
      <w:r w:rsidR="00DF4330">
        <w:rPr>
          <w:szCs w:val="20"/>
        </w:rPr>
        <w:t xml:space="preserve">  Withholding responses until a protective agreement is executed, when it is clear that parties cannot agree on the protective agreement, has the same force and effect as a party not answering an interrogatory, not producing a document, or providing an evasive or incomplete answer</w:t>
      </w:r>
      <w:r w:rsidR="00130A01">
        <w:rPr>
          <w:szCs w:val="20"/>
        </w:rPr>
        <w:t xml:space="preserve">.  All of these </w:t>
      </w:r>
      <w:r w:rsidR="00DF4330">
        <w:rPr>
          <w:szCs w:val="20"/>
        </w:rPr>
        <w:t xml:space="preserve">reasons </w:t>
      </w:r>
      <w:r w:rsidR="00151EFB">
        <w:rPr>
          <w:szCs w:val="20"/>
        </w:rPr>
        <w:t xml:space="preserve">support the filing of </w:t>
      </w:r>
      <w:r w:rsidR="00DF4330">
        <w:rPr>
          <w:szCs w:val="20"/>
        </w:rPr>
        <w:t>a motion to compel under the PUCO</w:t>
      </w:r>
      <w:r w:rsidR="00151EFB">
        <w:rPr>
          <w:szCs w:val="20"/>
        </w:rPr>
        <w:t>’s</w:t>
      </w:r>
      <w:r w:rsidR="00DF4330">
        <w:rPr>
          <w:szCs w:val="20"/>
        </w:rPr>
        <w:t xml:space="preserve"> rules.  </w:t>
      </w:r>
    </w:p>
    <w:p w:rsidR="009D4B91" w:rsidRDefault="00DF4330" w:rsidP="00F21B81">
      <w:pPr>
        <w:pBdr>
          <w:top w:val="none" w:sz="96" w:space="4" w:color="FFFFFF" w:frame="1"/>
          <w:bottom w:val="none" w:sz="96" w:space="2" w:color="FFFFFF" w:frame="1"/>
        </w:pBdr>
        <w:spacing w:line="480" w:lineRule="auto"/>
        <w:ind w:firstLine="720"/>
        <w:rPr>
          <w:szCs w:val="20"/>
        </w:rPr>
      </w:pPr>
      <w:r>
        <w:rPr>
          <w:szCs w:val="20"/>
        </w:rPr>
        <w:t xml:space="preserve">Duke </w:t>
      </w:r>
      <w:r w:rsidR="00130A01">
        <w:rPr>
          <w:szCs w:val="20"/>
        </w:rPr>
        <w:t xml:space="preserve">appears to </w:t>
      </w:r>
      <w:r w:rsidR="00E945E6">
        <w:rPr>
          <w:szCs w:val="20"/>
        </w:rPr>
        <w:t xml:space="preserve">interpret the rules of discovery to preclude </w:t>
      </w:r>
      <w:r w:rsidR="00580BB6">
        <w:rPr>
          <w:szCs w:val="20"/>
        </w:rPr>
        <w:t>OCC’s</w:t>
      </w:r>
      <w:r w:rsidR="00E945E6">
        <w:rPr>
          <w:szCs w:val="20"/>
        </w:rPr>
        <w:t xml:space="preserve"> Motion to Compel.  It alleges that it has not failed to answer discovery –it has merely insisted that a protective agreement be issued.  Thus, it claims </w:t>
      </w:r>
      <w:r w:rsidR="0095468A">
        <w:rPr>
          <w:szCs w:val="20"/>
        </w:rPr>
        <w:t>there is</w:t>
      </w:r>
      <w:r w:rsidR="00E945E6">
        <w:rPr>
          <w:szCs w:val="20"/>
        </w:rPr>
        <w:t xml:space="preserve"> no cause of action under the rules for OCC’s motion.  But </w:t>
      </w:r>
      <w:r w:rsidR="00E056CB">
        <w:rPr>
          <w:szCs w:val="20"/>
        </w:rPr>
        <w:t xml:space="preserve">Duke’s </w:t>
      </w:r>
      <w:r w:rsidR="00E945E6">
        <w:rPr>
          <w:szCs w:val="20"/>
        </w:rPr>
        <w:t xml:space="preserve">interpretation </w:t>
      </w:r>
      <w:r>
        <w:rPr>
          <w:szCs w:val="20"/>
        </w:rPr>
        <w:t xml:space="preserve">makes little practical sense.  The bottom line is that OCC cannot receive responses to the discovery responses it moved to compel on because there is no protective agreement. Duke wants to force OCC to sign its preferred agreement.  OCC cannot sign that agreement for the numerous reasons set forth in, inter alia, its Motion to Compel. </w:t>
      </w:r>
    </w:p>
    <w:p w:rsidR="00F21B81" w:rsidRDefault="006F016E" w:rsidP="00F21B81">
      <w:pPr>
        <w:pBdr>
          <w:top w:val="none" w:sz="96" w:space="4" w:color="FFFFFF" w:frame="1"/>
          <w:bottom w:val="none" w:sz="96" w:space="2" w:color="FFFFFF" w:frame="1"/>
        </w:pBdr>
        <w:spacing w:line="480" w:lineRule="auto"/>
        <w:ind w:firstLine="720"/>
        <w:rPr>
          <w:szCs w:val="20"/>
        </w:rPr>
      </w:pPr>
      <w:r>
        <w:rPr>
          <w:szCs w:val="20"/>
        </w:rPr>
        <w:t>Duke</w:t>
      </w:r>
      <w:r w:rsidR="000F1883">
        <w:rPr>
          <w:szCs w:val="20"/>
        </w:rPr>
        <w:t xml:space="preserve"> and</w:t>
      </w:r>
      <w:r>
        <w:rPr>
          <w:szCs w:val="20"/>
        </w:rPr>
        <w:t xml:space="preserve"> OCC </w:t>
      </w:r>
      <w:r w:rsidR="00130A01">
        <w:rPr>
          <w:szCs w:val="20"/>
        </w:rPr>
        <w:t>have sought PUCO intervention to resolve the dispute</w:t>
      </w:r>
      <w:r w:rsidR="0047262F">
        <w:rPr>
          <w:szCs w:val="20"/>
        </w:rPr>
        <w:t xml:space="preserve"> over the terms of a protective agreement</w:t>
      </w:r>
      <w:r w:rsidR="00130A01">
        <w:rPr>
          <w:szCs w:val="20"/>
        </w:rPr>
        <w:t xml:space="preserve">.  </w:t>
      </w:r>
      <w:r w:rsidR="00DF4330">
        <w:rPr>
          <w:szCs w:val="20"/>
        </w:rPr>
        <w:t>That dispute flows over into</w:t>
      </w:r>
      <w:r w:rsidR="0047262F">
        <w:rPr>
          <w:szCs w:val="20"/>
        </w:rPr>
        <w:t xml:space="preserve"> Duke’s </w:t>
      </w:r>
      <w:r w:rsidR="0068220F">
        <w:rPr>
          <w:szCs w:val="20"/>
        </w:rPr>
        <w:t xml:space="preserve">responses </w:t>
      </w:r>
      <w:r w:rsidR="0047262F">
        <w:rPr>
          <w:szCs w:val="20"/>
        </w:rPr>
        <w:t>to OCC</w:t>
      </w:r>
      <w:r w:rsidR="00580BB6">
        <w:rPr>
          <w:szCs w:val="20"/>
        </w:rPr>
        <w:t>’s</w:t>
      </w:r>
      <w:r w:rsidR="0047262F">
        <w:rPr>
          <w:szCs w:val="20"/>
        </w:rPr>
        <w:t xml:space="preserve"> discovery request</w:t>
      </w:r>
      <w:r w:rsidR="00580BB6">
        <w:rPr>
          <w:szCs w:val="20"/>
        </w:rPr>
        <w:t>s</w:t>
      </w:r>
      <w:r w:rsidR="0047262F">
        <w:rPr>
          <w:szCs w:val="20"/>
        </w:rPr>
        <w:t xml:space="preserve">.  </w:t>
      </w:r>
      <w:r w:rsidR="0068220F">
        <w:rPr>
          <w:szCs w:val="20"/>
        </w:rPr>
        <w:t xml:space="preserve">Duke </w:t>
      </w:r>
      <w:r w:rsidR="0047262F">
        <w:rPr>
          <w:szCs w:val="20"/>
        </w:rPr>
        <w:t xml:space="preserve">maintains that it will not provide OCC with confidential responses </w:t>
      </w:r>
      <w:r w:rsidR="00130A01">
        <w:rPr>
          <w:szCs w:val="20"/>
        </w:rPr>
        <w:t xml:space="preserve">unless </w:t>
      </w:r>
      <w:r w:rsidR="0047262F">
        <w:rPr>
          <w:szCs w:val="20"/>
        </w:rPr>
        <w:t xml:space="preserve">OCC </w:t>
      </w:r>
      <w:r w:rsidR="00130A01">
        <w:rPr>
          <w:szCs w:val="20"/>
        </w:rPr>
        <w:t>execute</w:t>
      </w:r>
      <w:r w:rsidR="0047262F">
        <w:rPr>
          <w:szCs w:val="20"/>
        </w:rPr>
        <w:t xml:space="preserve">s </w:t>
      </w:r>
      <w:r w:rsidR="00F72D59">
        <w:rPr>
          <w:szCs w:val="20"/>
        </w:rPr>
        <w:t>the new Duke-revised</w:t>
      </w:r>
      <w:r>
        <w:rPr>
          <w:szCs w:val="20"/>
        </w:rPr>
        <w:t xml:space="preserve"> protective agreement.  But as Duke knows, OCC cannot sign </w:t>
      </w:r>
      <w:r w:rsidR="008B7A6A">
        <w:rPr>
          <w:szCs w:val="20"/>
        </w:rPr>
        <w:t xml:space="preserve">Duke’s </w:t>
      </w:r>
      <w:r>
        <w:rPr>
          <w:szCs w:val="20"/>
        </w:rPr>
        <w:t>pro</w:t>
      </w:r>
      <w:r w:rsidR="00F72D59">
        <w:rPr>
          <w:szCs w:val="20"/>
        </w:rPr>
        <w:t>posed</w:t>
      </w:r>
      <w:r>
        <w:rPr>
          <w:szCs w:val="20"/>
        </w:rPr>
        <w:t xml:space="preserve"> agreement</w:t>
      </w:r>
      <w:r w:rsidR="00130A01">
        <w:rPr>
          <w:szCs w:val="20"/>
        </w:rPr>
        <w:t>.</w:t>
      </w:r>
    </w:p>
    <w:p w:rsidR="0068220F" w:rsidRDefault="0068220F" w:rsidP="00F21B81">
      <w:pPr>
        <w:pBdr>
          <w:top w:val="none" w:sz="96" w:space="4" w:color="FFFFFF" w:frame="1"/>
          <w:bottom w:val="none" w:sz="96" w:space="2" w:color="FFFFFF" w:frame="1"/>
        </w:pBdr>
        <w:spacing w:line="480" w:lineRule="auto"/>
        <w:ind w:firstLine="720"/>
        <w:rPr>
          <w:szCs w:val="20"/>
        </w:rPr>
      </w:pPr>
      <w:r>
        <w:rPr>
          <w:szCs w:val="20"/>
        </w:rPr>
        <w:t>Duke also alleges that OCC has misstated the parties’ resolution efforts.</w:t>
      </w:r>
      <w:r w:rsidR="0047262F">
        <w:rPr>
          <w:rStyle w:val="FootnoteReference"/>
          <w:szCs w:val="20"/>
        </w:rPr>
        <w:footnoteReference w:id="5"/>
      </w:r>
      <w:r>
        <w:rPr>
          <w:szCs w:val="20"/>
        </w:rPr>
        <w:t xml:space="preserve">  </w:t>
      </w:r>
      <w:r w:rsidR="00A6059F">
        <w:rPr>
          <w:szCs w:val="20"/>
        </w:rPr>
        <w:t xml:space="preserve">OCC stands by its </w:t>
      </w:r>
      <w:r>
        <w:rPr>
          <w:szCs w:val="20"/>
        </w:rPr>
        <w:t>statements</w:t>
      </w:r>
      <w:r w:rsidR="00130A01">
        <w:rPr>
          <w:szCs w:val="20"/>
        </w:rPr>
        <w:t xml:space="preserve">.  Here are the </w:t>
      </w:r>
      <w:r w:rsidR="00B8635E">
        <w:rPr>
          <w:szCs w:val="20"/>
        </w:rPr>
        <w:t>allege</w:t>
      </w:r>
      <w:r w:rsidR="00130A01">
        <w:rPr>
          <w:szCs w:val="20"/>
        </w:rPr>
        <w:t>d</w:t>
      </w:r>
      <w:r>
        <w:rPr>
          <w:szCs w:val="20"/>
        </w:rPr>
        <w:t xml:space="preserve"> </w:t>
      </w:r>
      <w:r w:rsidR="00130A01">
        <w:rPr>
          <w:szCs w:val="20"/>
        </w:rPr>
        <w:t>misstatements</w:t>
      </w:r>
      <w:r>
        <w:rPr>
          <w:szCs w:val="20"/>
        </w:rPr>
        <w:t xml:space="preserve">: </w:t>
      </w:r>
    </w:p>
    <w:p w:rsidR="0068220F" w:rsidRDefault="00130A01" w:rsidP="00F21B81">
      <w:pPr>
        <w:pStyle w:val="ListParagraph"/>
        <w:numPr>
          <w:ilvl w:val="0"/>
          <w:numId w:val="16"/>
        </w:numPr>
        <w:spacing w:after="0" w:line="480" w:lineRule="auto"/>
        <w:ind w:left="1440" w:hanging="720"/>
        <w:rPr>
          <w:rFonts w:ascii="Times New Roman" w:hAnsi="Times New Roman" w:cs="Times New Roman"/>
          <w:sz w:val="24"/>
          <w:szCs w:val="24"/>
        </w:rPr>
      </w:pPr>
      <w:r>
        <w:rPr>
          <w:rFonts w:ascii="Times New Roman" w:hAnsi="Times New Roman" w:cs="Times New Roman"/>
          <w:sz w:val="24"/>
          <w:szCs w:val="24"/>
        </w:rPr>
        <w:t>“</w:t>
      </w:r>
      <w:r w:rsidR="008B7A6A">
        <w:rPr>
          <w:rFonts w:ascii="Times New Roman" w:hAnsi="Times New Roman" w:cs="Times New Roman"/>
          <w:sz w:val="24"/>
          <w:szCs w:val="24"/>
        </w:rPr>
        <w:t>Duke has been steadfast</w:t>
      </w:r>
      <w:r w:rsidR="0068220F" w:rsidRPr="00A6059F">
        <w:rPr>
          <w:rFonts w:ascii="Times New Roman" w:hAnsi="Times New Roman" w:cs="Times New Roman"/>
          <w:sz w:val="24"/>
          <w:szCs w:val="24"/>
        </w:rPr>
        <w:t xml:space="preserve"> in its belief that its newly revised protective agreement should be the basis for agreement.</w:t>
      </w:r>
      <w:r>
        <w:rPr>
          <w:rFonts w:ascii="Times New Roman" w:hAnsi="Times New Roman" w:cs="Times New Roman"/>
          <w:sz w:val="24"/>
          <w:szCs w:val="24"/>
        </w:rPr>
        <w:t xml:space="preserve">”  True. </w:t>
      </w:r>
      <w:r w:rsidR="0068220F" w:rsidRPr="00A6059F">
        <w:rPr>
          <w:rFonts w:ascii="Times New Roman" w:hAnsi="Times New Roman" w:cs="Times New Roman"/>
          <w:sz w:val="24"/>
          <w:szCs w:val="24"/>
        </w:rPr>
        <w:t xml:space="preserve">Otherwise it would not have filed a </w:t>
      </w:r>
      <w:r w:rsidR="008B7A6A">
        <w:rPr>
          <w:rFonts w:ascii="Times New Roman" w:hAnsi="Times New Roman" w:cs="Times New Roman"/>
          <w:sz w:val="24"/>
          <w:szCs w:val="24"/>
        </w:rPr>
        <w:t>M</w:t>
      </w:r>
      <w:r w:rsidR="0068220F" w:rsidRPr="00A6059F">
        <w:rPr>
          <w:rFonts w:ascii="Times New Roman" w:hAnsi="Times New Roman" w:cs="Times New Roman"/>
          <w:sz w:val="24"/>
          <w:szCs w:val="24"/>
        </w:rPr>
        <w:t xml:space="preserve">otion </w:t>
      </w:r>
      <w:r w:rsidR="008B7A6A">
        <w:rPr>
          <w:rFonts w:ascii="Times New Roman" w:hAnsi="Times New Roman" w:cs="Times New Roman"/>
          <w:sz w:val="24"/>
          <w:szCs w:val="24"/>
        </w:rPr>
        <w:t xml:space="preserve">for Protection </w:t>
      </w:r>
      <w:r>
        <w:rPr>
          <w:rFonts w:ascii="Times New Roman" w:hAnsi="Times New Roman" w:cs="Times New Roman"/>
          <w:sz w:val="24"/>
          <w:szCs w:val="24"/>
        </w:rPr>
        <w:t xml:space="preserve">to </w:t>
      </w:r>
      <w:r w:rsidR="008B7A6A">
        <w:rPr>
          <w:rFonts w:ascii="Times New Roman" w:hAnsi="Times New Roman" w:cs="Times New Roman"/>
          <w:sz w:val="24"/>
          <w:szCs w:val="24"/>
        </w:rPr>
        <w:t xml:space="preserve">force </w:t>
      </w:r>
      <w:r w:rsidR="0068220F" w:rsidRPr="00A6059F">
        <w:rPr>
          <w:rFonts w:ascii="Times New Roman" w:hAnsi="Times New Roman" w:cs="Times New Roman"/>
          <w:sz w:val="24"/>
          <w:szCs w:val="24"/>
        </w:rPr>
        <w:t xml:space="preserve">OCC </w:t>
      </w:r>
      <w:r w:rsidR="008B7A6A">
        <w:rPr>
          <w:rFonts w:ascii="Times New Roman" w:hAnsi="Times New Roman" w:cs="Times New Roman"/>
          <w:sz w:val="24"/>
          <w:szCs w:val="24"/>
        </w:rPr>
        <w:t>to sig</w:t>
      </w:r>
      <w:r w:rsidR="0068220F" w:rsidRPr="00A6059F">
        <w:rPr>
          <w:rFonts w:ascii="Times New Roman" w:hAnsi="Times New Roman" w:cs="Times New Roman"/>
          <w:sz w:val="24"/>
          <w:szCs w:val="24"/>
        </w:rPr>
        <w:t>n its protective agreement.</w:t>
      </w:r>
    </w:p>
    <w:p w:rsidR="00852111" w:rsidRPr="00A6059F" w:rsidRDefault="00852111" w:rsidP="00852111">
      <w:pPr>
        <w:pStyle w:val="ListParagraph"/>
        <w:spacing w:after="0" w:line="240" w:lineRule="auto"/>
        <w:ind w:left="1440"/>
        <w:rPr>
          <w:rFonts w:ascii="Times New Roman" w:hAnsi="Times New Roman" w:cs="Times New Roman"/>
          <w:sz w:val="24"/>
          <w:szCs w:val="24"/>
        </w:rPr>
      </w:pPr>
    </w:p>
    <w:p w:rsidR="00A6059F" w:rsidRPr="00A6059F" w:rsidRDefault="00624456" w:rsidP="00624456">
      <w:pPr>
        <w:pBdr>
          <w:top w:val="none" w:sz="0" w:space="0" w:color="auto"/>
          <w:left w:val="none" w:sz="0" w:space="0" w:color="auto"/>
          <w:bottom w:val="none" w:sz="0" w:space="0" w:color="auto"/>
          <w:right w:val="none" w:sz="0" w:space="0" w:color="auto"/>
          <w:bar w:val="none" w:sz="0" w:color="auto"/>
        </w:pBdr>
        <w:spacing w:line="480" w:lineRule="auto"/>
        <w:ind w:left="1440" w:hanging="720"/>
      </w:pPr>
      <w:r>
        <w:t>(2)</w:t>
      </w:r>
      <w:r>
        <w:tab/>
      </w:r>
      <w:r w:rsidR="0068220F" w:rsidRPr="00A6059F">
        <w:t xml:space="preserve">The Company has been willing to negotiate </w:t>
      </w:r>
      <w:r w:rsidR="0068220F" w:rsidRPr="00A6059F">
        <w:rPr>
          <w:u w:val="single"/>
        </w:rPr>
        <w:t>some</w:t>
      </w:r>
      <w:r w:rsidR="0068220F" w:rsidRPr="00A6059F">
        <w:t xml:space="preserve">, but not all, terms.  </w:t>
      </w:r>
      <w:r w:rsidR="00130A01">
        <w:t xml:space="preserve">True.  </w:t>
      </w:r>
      <w:r w:rsidR="0068220F" w:rsidRPr="00A6059F">
        <w:t xml:space="preserve">While the Company </w:t>
      </w:r>
      <w:r w:rsidR="00A6059F" w:rsidRPr="00A6059F">
        <w:t>characterizes its document as “heavily revise</w:t>
      </w:r>
      <w:r w:rsidR="000F1883">
        <w:t>d,”</w:t>
      </w:r>
      <w:r w:rsidR="000F1883">
        <w:rPr>
          <w:rStyle w:val="FootnoteReference"/>
        </w:rPr>
        <w:footnoteReference w:id="6"/>
      </w:r>
      <w:r w:rsidR="00A6059F" w:rsidRPr="00A6059F">
        <w:t xml:space="preserve"> it still will not negotiate key terms which OCC objects to.</w:t>
      </w:r>
    </w:p>
    <w:p w:rsidR="00F8662A" w:rsidRPr="00F21B81" w:rsidRDefault="00624456" w:rsidP="00624456">
      <w:pPr>
        <w:pBdr>
          <w:top w:val="none" w:sz="96" w:space="12" w:color="FFFFFF" w:frame="1"/>
          <w:bottom w:val="none" w:sz="96" w:space="0" w:color="FFFFFF" w:frame="1"/>
        </w:pBdr>
        <w:spacing w:line="480" w:lineRule="auto"/>
        <w:ind w:left="1440" w:hanging="720"/>
        <w:rPr>
          <w:rFonts w:ascii="Times New Roman Bold" w:eastAsia="Times New Roman" w:hAnsi="Times New Roman Bold"/>
          <w:b/>
          <w:bCs/>
          <w:caps/>
        </w:rPr>
      </w:pPr>
      <w:r>
        <w:t>(3)</w:t>
      </w:r>
      <w:r>
        <w:tab/>
      </w:r>
      <w:r w:rsidR="00A6059F" w:rsidRPr="00F21B81">
        <w:t xml:space="preserve">OCC has been “persistent.”  </w:t>
      </w:r>
      <w:r w:rsidR="0047262F" w:rsidRPr="00F21B81">
        <w:t>T</w:t>
      </w:r>
      <w:r w:rsidR="00130A01" w:rsidRPr="00F21B81">
        <w:t xml:space="preserve">rue.  </w:t>
      </w:r>
      <w:r w:rsidR="00A6059F" w:rsidRPr="00F21B81">
        <w:t xml:space="preserve"> While Duke characterizes OCC as being ultimately unwilling to compromise, this does not refute the fact that OCC has pursued compromise with Duke for </w:t>
      </w:r>
      <w:r w:rsidR="00B8635E" w:rsidRPr="00F21B81">
        <w:t xml:space="preserve">over </w:t>
      </w:r>
      <w:r w:rsidR="00A6059F" w:rsidRPr="00F21B81">
        <w:t xml:space="preserve">a month.  </w:t>
      </w:r>
      <w:bookmarkStart w:id="17" w:name="_Toc392586299"/>
      <w:bookmarkStart w:id="18" w:name="_Toc392686525"/>
      <w:bookmarkEnd w:id="14"/>
      <w:bookmarkEnd w:id="15"/>
      <w:bookmarkEnd w:id="16"/>
    </w:p>
    <w:p w:rsidR="00130A01" w:rsidRDefault="00B8635E" w:rsidP="00624456">
      <w:pPr>
        <w:pBdr>
          <w:top w:val="none" w:sz="96" w:space="19" w:color="FFFFFF" w:frame="1"/>
          <w:bottom w:val="none" w:sz="96" w:space="2" w:color="FFFFFF" w:frame="1"/>
        </w:pBdr>
        <w:spacing w:line="480" w:lineRule="auto"/>
        <w:ind w:firstLine="720"/>
        <w:rPr>
          <w:rFonts w:eastAsia="Times New Roman"/>
          <w:bCs/>
        </w:rPr>
      </w:pPr>
      <w:r w:rsidRPr="00B8635E">
        <w:rPr>
          <w:rFonts w:eastAsia="Times New Roman"/>
          <w:bCs/>
        </w:rPr>
        <w:t xml:space="preserve">While </w:t>
      </w:r>
      <w:r>
        <w:rPr>
          <w:rFonts w:eastAsia="Times New Roman"/>
          <w:bCs/>
        </w:rPr>
        <w:t>D</w:t>
      </w:r>
      <w:r w:rsidRPr="00B8635E">
        <w:rPr>
          <w:rFonts w:eastAsia="Times New Roman"/>
          <w:bCs/>
        </w:rPr>
        <w:t xml:space="preserve">uke </w:t>
      </w:r>
      <w:r w:rsidR="000F1883">
        <w:rPr>
          <w:rFonts w:eastAsia="Times New Roman"/>
          <w:bCs/>
        </w:rPr>
        <w:t xml:space="preserve">attempts to address </w:t>
      </w:r>
      <w:r>
        <w:rPr>
          <w:rFonts w:eastAsia="Times New Roman"/>
          <w:bCs/>
        </w:rPr>
        <w:t xml:space="preserve">some of the issues OCC raised with regard to the confidentiality agreement, in doing so it </w:t>
      </w:r>
      <w:r w:rsidR="00130A01">
        <w:rPr>
          <w:rFonts w:eastAsia="Times New Roman"/>
          <w:bCs/>
        </w:rPr>
        <w:t xml:space="preserve">does </w:t>
      </w:r>
      <w:r w:rsidR="008706CB">
        <w:rPr>
          <w:rFonts w:eastAsia="Times New Roman"/>
          <w:bCs/>
        </w:rPr>
        <w:t xml:space="preserve">it </w:t>
      </w:r>
      <w:r>
        <w:rPr>
          <w:rFonts w:eastAsia="Times New Roman"/>
          <w:bCs/>
        </w:rPr>
        <w:t>misstat</w:t>
      </w:r>
      <w:r w:rsidR="008706CB">
        <w:rPr>
          <w:rFonts w:eastAsia="Times New Roman"/>
          <w:bCs/>
        </w:rPr>
        <w:t>es</w:t>
      </w:r>
      <w:r w:rsidR="00130A01">
        <w:rPr>
          <w:rFonts w:eastAsia="Times New Roman"/>
          <w:bCs/>
        </w:rPr>
        <w:t xml:space="preserve"> the facts.</w:t>
      </w:r>
      <w:r>
        <w:rPr>
          <w:rFonts w:eastAsia="Times New Roman"/>
          <w:bCs/>
        </w:rPr>
        <w:t xml:space="preserve">  It claims that the provisions that OCC seeks for protection as a state agency “were never fully addressed between the parties, as OCC refused to sign the document before it even reviewed the modifications that Duke Energy Ohio agreed to.” </w:t>
      </w:r>
      <w:r w:rsidR="000F1883">
        <w:rPr>
          <w:rStyle w:val="FootnoteReference"/>
          <w:rFonts w:eastAsia="Times New Roman"/>
          <w:bCs/>
        </w:rPr>
        <w:footnoteReference w:id="7"/>
      </w:r>
      <w:r>
        <w:rPr>
          <w:rFonts w:eastAsia="Times New Roman"/>
          <w:bCs/>
        </w:rPr>
        <w:t xml:space="preserve"> </w:t>
      </w:r>
    </w:p>
    <w:p w:rsidR="00950738" w:rsidRDefault="00B8635E" w:rsidP="00624456">
      <w:pPr>
        <w:pBdr>
          <w:top w:val="none" w:sz="96" w:space="19" w:color="FFFFFF" w:frame="1"/>
          <w:bottom w:val="none" w:sz="96" w:space="2" w:color="FFFFFF" w:frame="1"/>
        </w:pBdr>
        <w:spacing w:line="480" w:lineRule="auto"/>
        <w:ind w:firstLine="720"/>
        <w:rPr>
          <w:rFonts w:eastAsia="Times New Roman"/>
          <w:bCs/>
        </w:rPr>
      </w:pPr>
      <w:r>
        <w:rPr>
          <w:rFonts w:eastAsia="Times New Roman"/>
          <w:bCs/>
        </w:rPr>
        <w:t xml:space="preserve">There are two problems with this </w:t>
      </w:r>
      <w:r w:rsidR="008706CB">
        <w:rPr>
          <w:rFonts w:eastAsia="Times New Roman"/>
          <w:bCs/>
        </w:rPr>
        <w:t>allegation</w:t>
      </w:r>
      <w:r>
        <w:rPr>
          <w:rFonts w:eastAsia="Times New Roman"/>
          <w:bCs/>
        </w:rPr>
        <w:t xml:space="preserve">.  First, OCC did include these provisions (indemnity, </w:t>
      </w:r>
      <w:r w:rsidR="00C95D43">
        <w:rPr>
          <w:rFonts w:eastAsia="Times New Roman"/>
          <w:bCs/>
        </w:rPr>
        <w:t>and sover</w:t>
      </w:r>
      <w:r w:rsidR="008B7A6A">
        <w:rPr>
          <w:rFonts w:eastAsia="Times New Roman"/>
          <w:bCs/>
        </w:rPr>
        <w:t>e</w:t>
      </w:r>
      <w:r w:rsidR="00C95D43">
        <w:rPr>
          <w:rFonts w:eastAsia="Times New Roman"/>
          <w:bCs/>
        </w:rPr>
        <w:t>ign immunity) in its proposed agreement that was sent to Duke on June 2, 2014.</w:t>
      </w:r>
      <w:r w:rsidR="008B7A6A">
        <w:rPr>
          <w:rStyle w:val="FootnoteReference"/>
          <w:rFonts w:eastAsia="Times New Roman"/>
          <w:bCs/>
        </w:rPr>
        <w:footnoteReference w:id="8"/>
      </w:r>
      <w:r w:rsidR="00C95D43">
        <w:rPr>
          <w:rFonts w:eastAsia="Times New Roman"/>
          <w:bCs/>
        </w:rPr>
        <w:t xml:space="preserve">  Additionally, in the two and half hour conversation with Duke, </w:t>
      </w:r>
      <w:r w:rsidR="000F1883">
        <w:rPr>
          <w:rFonts w:eastAsia="Times New Roman"/>
          <w:bCs/>
        </w:rPr>
        <w:t xml:space="preserve">on June 27, 2014, </w:t>
      </w:r>
      <w:r w:rsidR="00C95D43">
        <w:rPr>
          <w:rFonts w:eastAsia="Times New Roman"/>
          <w:bCs/>
        </w:rPr>
        <w:t>these items were raised by OCC.  Second, OCC did not refuse to sign Duke’s revised protective agreement before it reviewed the modifications Duke had made.  OCC received the revised modifications on July 2, 2014.</w:t>
      </w:r>
      <w:r w:rsidR="008B7A6A">
        <w:rPr>
          <w:rStyle w:val="FootnoteReference"/>
          <w:rFonts w:eastAsia="Times New Roman"/>
          <w:bCs/>
        </w:rPr>
        <w:footnoteReference w:id="9"/>
      </w:r>
      <w:r w:rsidR="00C95D43">
        <w:rPr>
          <w:rFonts w:eastAsia="Times New Roman"/>
          <w:bCs/>
        </w:rPr>
        <w:t xml:space="preserve">  It reviewed those modifications and after review advised Duke </w:t>
      </w:r>
      <w:r w:rsidR="003634B8">
        <w:rPr>
          <w:rFonts w:eastAsia="Times New Roman"/>
          <w:bCs/>
        </w:rPr>
        <w:t>(</w:t>
      </w:r>
      <w:r w:rsidR="00C95D43">
        <w:rPr>
          <w:rFonts w:eastAsia="Times New Roman"/>
          <w:bCs/>
        </w:rPr>
        <w:t>on July 8, 2014</w:t>
      </w:r>
      <w:r w:rsidR="003634B8">
        <w:rPr>
          <w:rFonts w:eastAsia="Times New Roman"/>
          <w:bCs/>
        </w:rPr>
        <w:t>)</w:t>
      </w:r>
      <w:r w:rsidR="00C95D43">
        <w:rPr>
          <w:rFonts w:eastAsia="Times New Roman"/>
          <w:bCs/>
        </w:rPr>
        <w:t xml:space="preserve"> that the confidentiality agreement was not acceptable.</w:t>
      </w:r>
      <w:r w:rsidR="008B7A6A">
        <w:rPr>
          <w:rStyle w:val="FootnoteReference"/>
          <w:rFonts w:eastAsia="Times New Roman"/>
          <w:bCs/>
        </w:rPr>
        <w:footnoteReference w:id="10"/>
      </w:r>
      <w:r w:rsidR="00C95D43">
        <w:rPr>
          <w:rFonts w:eastAsia="Times New Roman"/>
          <w:bCs/>
        </w:rPr>
        <w:t xml:space="preserve">  </w:t>
      </w:r>
      <w:r>
        <w:rPr>
          <w:rFonts w:eastAsia="Times New Roman"/>
          <w:bCs/>
        </w:rPr>
        <w:t xml:space="preserve"> </w:t>
      </w:r>
    </w:p>
    <w:p w:rsidR="00B8635E" w:rsidRDefault="00FD2743" w:rsidP="00624456">
      <w:pPr>
        <w:pBdr>
          <w:top w:val="none" w:sz="96" w:space="19" w:color="FFFFFF" w:frame="1"/>
          <w:bottom w:val="none" w:sz="96" w:space="2" w:color="FFFFFF" w:frame="1"/>
        </w:pBdr>
        <w:spacing w:line="480" w:lineRule="auto"/>
        <w:ind w:firstLine="720"/>
        <w:rPr>
          <w:rFonts w:eastAsia="Times New Roman"/>
          <w:bCs/>
        </w:rPr>
      </w:pPr>
      <w:r>
        <w:rPr>
          <w:rFonts w:eastAsia="Times New Roman"/>
          <w:bCs/>
        </w:rPr>
        <w:t>Instead, OCC seeks to have the PUCO order Duke to sign the OCC/Duke protective agreement that the PUCO has sanctioned in the past.</w:t>
      </w:r>
      <w:r>
        <w:rPr>
          <w:rStyle w:val="FootnoteReference"/>
          <w:rFonts w:eastAsia="Times New Roman"/>
          <w:bCs/>
        </w:rPr>
        <w:footnoteReference w:id="11"/>
      </w:r>
      <w:r>
        <w:rPr>
          <w:rFonts w:eastAsia="Times New Roman"/>
          <w:bCs/>
        </w:rPr>
        <w:t xml:space="preserve">  </w:t>
      </w:r>
      <w:r w:rsidR="00E056CB">
        <w:rPr>
          <w:rFonts w:eastAsia="Times New Roman"/>
          <w:bCs/>
        </w:rPr>
        <w:t xml:space="preserve">Having a consistent and established protective agreement such as the OCC/Duke agreement provides needed continuity that facilitates an understandable and workable process for treating alleged confidential information by OCC Staff and its consultants.  </w:t>
      </w:r>
    </w:p>
    <w:p w:rsidR="00F21B81" w:rsidRDefault="00C95D43" w:rsidP="00624456">
      <w:pPr>
        <w:pBdr>
          <w:top w:val="none" w:sz="96" w:space="4" w:color="FFFFFF" w:frame="1"/>
          <w:bottom w:val="none" w:sz="96" w:space="2" w:color="FFFFFF" w:frame="1"/>
        </w:pBdr>
        <w:spacing w:line="480" w:lineRule="auto"/>
        <w:ind w:firstLine="720"/>
        <w:rPr>
          <w:rFonts w:eastAsia="Times New Roman"/>
          <w:bCs/>
        </w:rPr>
      </w:pPr>
      <w:r>
        <w:rPr>
          <w:rFonts w:eastAsia="Times New Roman"/>
          <w:bCs/>
        </w:rPr>
        <w:t>Duke also accuses OCC of “disregarding the Commission rules” and not endeavoring to resolve the dispute in good faith.</w:t>
      </w:r>
      <w:r w:rsidR="00281D3C">
        <w:rPr>
          <w:rStyle w:val="FootnoteReference"/>
          <w:rFonts w:eastAsia="Times New Roman"/>
          <w:bCs/>
        </w:rPr>
        <w:footnoteReference w:id="12"/>
      </w:r>
      <w:r>
        <w:rPr>
          <w:rFonts w:eastAsia="Times New Roman"/>
          <w:bCs/>
        </w:rPr>
        <w:t xml:space="preserve"> </w:t>
      </w:r>
      <w:r w:rsidR="00281D3C">
        <w:rPr>
          <w:rFonts w:eastAsia="Times New Roman"/>
          <w:bCs/>
        </w:rPr>
        <w:t>Duke</w:t>
      </w:r>
      <w:r>
        <w:rPr>
          <w:rFonts w:eastAsia="Times New Roman"/>
          <w:bCs/>
        </w:rPr>
        <w:t xml:space="preserve"> complains that OCC did not try to amicably resolve </w:t>
      </w:r>
      <w:r w:rsidR="00281D3C">
        <w:rPr>
          <w:rFonts w:eastAsia="Times New Roman"/>
          <w:bCs/>
        </w:rPr>
        <w:t xml:space="preserve">its motion to compel on the discovery responses at issue.  </w:t>
      </w:r>
      <w:r w:rsidR="003634B8">
        <w:rPr>
          <w:rFonts w:eastAsia="Times New Roman"/>
          <w:bCs/>
        </w:rPr>
        <w:t>T</w:t>
      </w:r>
      <w:r w:rsidR="00281D3C">
        <w:rPr>
          <w:rFonts w:eastAsia="Times New Roman"/>
          <w:bCs/>
        </w:rPr>
        <w:t>his allegation is misplaced</w:t>
      </w:r>
      <w:r w:rsidR="003634B8">
        <w:rPr>
          <w:rFonts w:eastAsia="Times New Roman"/>
          <w:bCs/>
        </w:rPr>
        <w:t>.</w:t>
      </w:r>
      <w:r w:rsidR="00E945E6">
        <w:rPr>
          <w:rFonts w:eastAsia="Times New Roman"/>
          <w:bCs/>
        </w:rPr>
        <w:t xml:space="preserve"> </w:t>
      </w:r>
    </w:p>
    <w:p w:rsidR="00924306" w:rsidRDefault="00E945E6" w:rsidP="00624456">
      <w:pPr>
        <w:pBdr>
          <w:top w:val="none" w:sz="96" w:space="4" w:color="FFFFFF" w:frame="1"/>
          <w:bottom w:val="none" w:sz="96" w:space="2" w:color="FFFFFF" w:frame="1"/>
        </w:pBdr>
        <w:spacing w:line="480" w:lineRule="auto"/>
        <w:ind w:firstLine="720"/>
        <w:rPr>
          <w:rFonts w:eastAsia="Times New Roman"/>
          <w:bCs/>
        </w:rPr>
      </w:pPr>
      <w:r>
        <w:rPr>
          <w:rFonts w:eastAsia="Times New Roman"/>
          <w:bCs/>
        </w:rPr>
        <w:t>OCC and Duke cannot agree on a mutually agreeable protective agreement.  Duke in fact filed a Motion for Protective Order to force OCC to sign its preferred protective agreement.  OCC’s Motion to Compel merely formalizes the disagreement</w:t>
      </w:r>
      <w:r w:rsidR="00FD2743">
        <w:rPr>
          <w:rFonts w:eastAsia="Times New Roman"/>
          <w:bCs/>
        </w:rPr>
        <w:t>, just like Duke’s Motion</w:t>
      </w:r>
      <w:r>
        <w:rPr>
          <w:rFonts w:eastAsia="Times New Roman"/>
          <w:bCs/>
        </w:rPr>
        <w:t>.  With testimony due in less than a month, and an evidentiary hearing soon thereafter, OCC</w:t>
      </w:r>
      <w:r w:rsidR="00FD2743">
        <w:rPr>
          <w:rFonts w:eastAsia="Times New Roman"/>
          <w:bCs/>
        </w:rPr>
        <w:t xml:space="preserve"> has little time to waste over a matter that clearly OCC and Duke do not see eye to eye on.  OCC has exhausted reasonable means to resolve the differences between it and Duke.</w:t>
      </w:r>
      <w:r w:rsidR="00667B68">
        <w:rPr>
          <w:rFonts w:eastAsia="Times New Roman"/>
          <w:bCs/>
        </w:rPr>
        <w:t xml:space="preserve">  </w:t>
      </w:r>
    </w:p>
    <w:p w:rsidR="00624456" w:rsidRDefault="00624456" w:rsidP="00624456">
      <w:pPr>
        <w:pBdr>
          <w:top w:val="none" w:sz="96" w:space="4" w:color="FFFFFF" w:frame="1"/>
          <w:bottom w:val="none" w:sz="96" w:space="2" w:color="FFFFFF" w:frame="1"/>
        </w:pBdr>
        <w:ind w:firstLine="720"/>
        <w:rPr>
          <w:rFonts w:eastAsia="Times New Roman"/>
          <w:bCs/>
        </w:rPr>
      </w:pPr>
    </w:p>
    <w:p w:rsidR="00DF40C7" w:rsidRDefault="00DF40C7" w:rsidP="007102E9">
      <w:pPr>
        <w:pStyle w:val="Heading1"/>
        <w:pBdr>
          <w:top w:val="none" w:sz="0" w:space="0" w:color="auto"/>
          <w:left w:val="none" w:sz="0" w:space="0" w:color="auto"/>
          <w:bottom w:val="none" w:sz="0" w:space="0" w:color="auto"/>
          <w:right w:val="none" w:sz="0" w:space="0" w:color="auto"/>
          <w:bar w:val="none" w:sz="0" w:color="auto"/>
        </w:pBdr>
      </w:pPr>
      <w:bookmarkStart w:id="19" w:name="_Toc393369047"/>
      <w:r>
        <w:t>III.</w:t>
      </w:r>
      <w:r>
        <w:tab/>
        <w:t>CONCLUSION</w:t>
      </w:r>
      <w:bookmarkEnd w:id="17"/>
      <w:bookmarkEnd w:id="18"/>
      <w:bookmarkEnd w:id="19"/>
    </w:p>
    <w:p w:rsidR="00DF40C7" w:rsidRDefault="00924306" w:rsidP="004C5797">
      <w:pPr>
        <w:pStyle w:val="Body"/>
        <w:pBdr>
          <w:top w:val="none" w:sz="0" w:space="0" w:color="auto"/>
          <w:left w:val="none" w:sz="0" w:space="0" w:color="auto"/>
          <w:bottom w:val="none" w:sz="0" w:space="0" w:color="auto"/>
          <w:right w:val="none" w:sz="0" w:space="0" w:color="auto"/>
          <w:bar w:val="none" w:sz="0" w:color="auto"/>
        </w:pBdr>
        <w:spacing w:line="480" w:lineRule="auto"/>
        <w:ind w:firstLine="720"/>
      </w:pPr>
      <w:r>
        <w:rPr>
          <w:rFonts w:ascii="Times New Roman" w:hAnsi="Times New Roman" w:cs="Times New Roman"/>
          <w:sz w:val="24"/>
          <w:szCs w:val="24"/>
        </w:rPr>
        <w:t xml:space="preserve">OCC’s Motion to Compel should be granted.  </w:t>
      </w:r>
      <w:r w:rsidR="004C5797">
        <w:rPr>
          <w:rFonts w:ascii="Times New Roman" w:hAnsi="Times New Roman" w:cs="Times New Roman"/>
          <w:sz w:val="24"/>
          <w:szCs w:val="24"/>
        </w:rPr>
        <w:t>OCC should be able to get responses to its discovery through a protective agreement that recognize</w:t>
      </w:r>
      <w:r w:rsidR="000F1883">
        <w:rPr>
          <w:rFonts w:ascii="Times New Roman" w:hAnsi="Times New Roman" w:cs="Times New Roman"/>
          <w:sz w:val="24"/>
          <w:szCs w:val="24"/>
        </w:rPr>
        <w:t>s</w:t>
      </w:r>
      <w:r w:rsidR="004C5797">
        <w:rPr>
          <w:rFonts w:ascii="Times New Roman" w:hAnsi="Times New Roman" w:cs="Times New Roman"/>
          <w:sz w:val="24"/>
          <w:szCs w:val="24"/>
        </w:rPr>
        <w:t xml:space="preserve"> OCC’s unique needs as a public agency.  That protective agreement should be in the form of the time honored OCC/Duke protective agreement that has been used for numerous years, after being painstakingly negotiated.   Without a protective agreement, OCC will not receive responses to numerous discovery requests.  This will impair OCC in its efforts to prepare for this case, which is </w:t>
      </w:r>
      <w:r w:rsidR="004F5F3F">
        <w:rPr>
          <w:rFonts w:ascii="Times New Roman" w:hAnsi="Times New Roman" w:cs="Times New Roman"/>
          <w:sz w:val="24"/>
          <w:szCs w:val="24"/>
        </w:rPr>
        <w:t xml:space="preserve">proceeding down an expedited track, with intervenor testimony due August 23, 2014 and an evidentiary hearing shortly thereafter (Sept. 8, 2014).  </w:t>
      </w:r>
    </w:p>
    <w:p w:rsidR="00BB120D" w:rsidRDefault="00BB120D">
      <w:pPr>
        <w:pBdr>
          <w:top w:val="none" w:sz="0" w:space="0" w:color="auto"/>
          <w:left w:val="none" w:sz="0" w:space="0" w:color="auto"/>
          <w:bottom w:val="none" w:sz="0" w:space="0" w:color="auto"/>
          <w:right w:val="none" w:sz="0" w:space="0" w:color="auto"/>
          <w:bar w:val="none" w:sz="0" w:color="auto"/>
        </w:pBdr>
      </w:pPr>
      <w:r>
        <w:br w:type="page"/>
      </w:r>
    </w:p>
    <w:p w:rsidR="00DF40C7" w:rsidRDefault="00DF40C7" w:rsidP="0024710E">
      <w:pPr>
        <w:pBdr>
          <w:top w:val="none" w:sz="0" w:space="0" w:color="auto"/>
          <w:left w:val="none" w:sz="0" w:space="0" w:color="auto"/>
          <w:bottom w:val="none" w:sz="0" w:space="0" w:color="auto"/>
          <w:right w:val="none" w:sz="0" w:space="0" w:color="auto"/>
          <w:bar w:val="none" w:sz="0" w:color="auto"/>
        </w:pBdr>
        <w:ind w:left="4320"/>
      </w:pPr>
      <w:r>
        <w:t>Respectfully submitted,</w:t>
      </w:r>
    </w:p>
    <w:p w:rsidR="00CA6D92" w:rsidRDefault="00CA6D92" w:rsidP="00CA6D92">
      <w:pPr>
        <w:pBdr>
          <w:top w:val="none" w:sz="0" w:space="0" w:color="auto"/>
          <w:left w:val="none" w:sz="0" w:space="0" w:color="auto"/>
          <w:bottom w:val="none" w:sz="0" w:space="0" w:color="auto"/>
          <w:right w:val="none" w:sz="0" w:space="0" w:color="auto"/>
          <w:bar w:val="none" w:sz="0" w:color="auto"/>
        </w:pBdr>
        <w:ind w:left="3600" w:firstLine="720"/>
      </w:pPr>
    </w:p>
    <w:p w:rsidR="00833194" w:rsidRDefault="00833194" w:rsidP="00CA6D92">
      <w:pPr>
        <w:pBdr>
          <w:top w:val="none" w:sz="0" w:space="0" w:color="auto"/>
          <w:left w:val="none" w:sz="0" w:space="0" w:color="auto"/>
          <w:bottom w:val="none" w:sz="0" w:space="0" w:color="auto"/>
          <w:right w:val="none" w:sz="0" w:space="0" w:color="auto"/>
          <w:bar w:val="none" w:sz="0" w:color="auto"/>
        </w:pBdr>
        <w:ind w:left="3600" w:firstLine="720"/>
      </w:pPr>
      <w:r>
        <w:t>BRUCE J. WESTON</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i/>
          <w:iCs/>
          <w:color w:val="auto"/>
          <w:sz w:val="24"/>
          <w:szCs w:val="24"/>
          <w:u w:val="single"/>
        </w:rPr>
      </w:pPr>
      <w:r>
        <w:rPr>
          <w:rFonts w:ascii="Times New Roman" w:hAnsi="Times New Roman" w:cs="Times New Roman"/>
          <w:i/>
          <w:iCs/>
          <w:sz w:val="24"/>
          <w:szCs w:val="24"/>
          <w:u w:val="single"/>
        </w:rPr>
        <w:t>/s/ Maureen R. Grady</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Maureen R. Grady, Counsel of Record</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Joseph P. Serio</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Edmund “Tad” Berger</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Assistant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b/>
          <w:bCs/>
          <w:color w:val="auto"/>
          <w:sz w:val="24"/>
          <w:szCs w:val="24"/>
        </w:rPr>
      </w:pPr>
      <w:r>
        <w:rPr>
          <w:rFonts w:ascii="Times New Roman" w:hAnsi="Times New Roman" w:cs="Times New Roman"/>
          <w:b/>
          <w:bCs/>
          <w:sz w:val="24"/>
          <w:szCs w:val="24"/>
        </w:rPr>
        <w:t>Office of the Ohio Consumers’ Counsel</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10 West Broad Street, Suite 1800</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Columbus, Ohio 43215-3485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(Grady) (614) 466-9567</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(Serio) (614) 466-9565</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Telephone:  (Berger) (614) 466-1292</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sz w:val="24"/>
          <w:szCs w:val="24"/>
        </w:rPr>
        <w:t>(614) 466-9475 – Facsimile</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Maureen.grady@occ.ohio.gov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Joseph.serio@occ.ohio.gov</w:t>
      </w:r>
    </w:p>
    <w:p w:rsidR="00833194" w:rsidRPr="005658D1"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5658D1">
        <w:rPr>
          <w:rStyle w:val="Hyperlink0"/>
          <w:rFonts w:ascii="Times New Roman" w:hAnsi="Times New Roman" w:cs="Times New Roman"/>
          <w:color w:val="auto"/>
        </w:rPr>
        <w:t>Edmund.berger@occ.ohio.gov</w:t>
      </w:r>
    </w:p>
    <w:p w:rsidR="00833194" w:rsidRDefault="00833194" w:rsidP="00833194">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rPr>
      </w:pPr>
    </w:p>
    <w:p w:rsidR="00833194" w:rsidRDefault="00833194">
      <w:pPr>
        <w:pBdr>
          <w:top w:val="none" w:sz="0" w:space="0" w:color="auto"/>
          <w:left w:val="none" w:sz="0" w:space="0" w:color="auto"/>
          <w:bottom w:val="none" w:sz="0" w:space="0" w:color="auto"/>
          <w:right w:val="none" w:sz="0" w:space="0" w:color="auto"/>
          <w:bar w:val="none" w:sz="0" w:color="auto"/>
        </w:pBdr>
        <w:spacing w:line="480" w:lineRule="auto"/>
        <w:ind w:left="4320"/>
        <w:sectPr w:rsidR="00833194" w:rsidSect="009D0450">
          <w:headerReference w:type="default" r:id="rId14"/>
          <w:footerReference w:type="default" r:id="rId15"/>
          <w:pgSz w:w="12240" w:h="15840"/>
          <w:pgMar w:top="1440" w:right="1800" w:bottom="1440" w:left="1800" w:header="0" w:footer="605" w:gutter="0"/>
          <w:pgNumType w:start="2"/>
          <w:cols w:sep="1" w:space="720"/>
        </w:sectPr>
      </w:pPr>
    </w:p>
    <w:p w:rsidR="00DF40C7" w:rsidRDefault="00DF40C7">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auto"/>
          <w:sz w:val="24"/>
          <w:szCs w:val="24"/>
          <w:u w:val="single"/>
        </w:rPr>
      </w:pPr>
      <w:r>
        <w:rPr>
          <w:rFonts w:ascii="Times New Roman" w:hAnsi="Times New Roman" w:cs="Times New Roman"/>
          <w:b/>
          <w:bCs/>
          <w:sz w:val="24"/>
          <w:szCs w:val="24"/>
          <w:u w:val="single"/>
        </w:rPr>
        <w:t>CERTIFICATE OF SERVICE</w:t>
      </w: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color w:val="auto"/>
          <w:sz w:val="24"/>
          <w:szCs w:val="24"/>
        </w:rPr>
      </w:pPr>
      <w:r>
        <w:rPr>
          <w:rFonts w:ascii="Times New Roman" w:hAnsi="Times New Roman" w:cs="Times New Roman"/>
          <w:sz w:val="24"/>
          <w:szCs w:val="24"/>
        </w:rPr>
        <w:tab/>
      </w:r>
    </w:p>
    <w:p w:rsidR="00DF40C7"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color w:val="auto"/>
          <w:sz w:val="24"/>
          <w:szCs w:val="24"/>
        </w:rPr>
      </w:pPr>
      <w:r>
        <w:rPr>
          <w:rFonts w:ascii="Times New Roman" w:hAnsi="Times New Roman" w:cs="Times New Roman"/>
          <w:sz w:val="24"/>
          <w:szCs w:val="24"/>
        </w:rPr>
        <w:t xml:space="preserve">I hereby certify that a copy of the foregoing </w:t>
      </w:r>
      <w:r w:rsidR="00B423E1">
        <w:rPr>
          <w:rFonts w:ascii="Times New Roman" w:hAnsi="Times New Roman" w:cs="Times New Roman"/>
          <w:i/>
          <w:iCs/>
          <w:sz w:val="24"/>
          <w:szCs w:val="24"/>
        </w:rPr>
        <w:t xml:space="preserve">Reply </w:t>
      </w:r>
      <w:r>
        <w:rPr>
          <w:rFonts w:ascii="Times New Roman" w:hAnsi="Times New Roman" w:cs="Times New Roman"/>
          <w:sz w:val="24"/>
          <w:szCs w:val="24"/>
        </w:rPr>
        <w:t xml:space="preserve">has been served electronically upon those persons listed below this </w:t>
      </w:r>
      <w:r w:rsidR="001903DB">
        <w:rPr>
          <w:rFonts w:ascii="Times New Roman" w:hAnsi="Times New Roman" w:cs="Times New Roman"/>
          <w:sz w:val="24"/>
          <w:szCs w:val="24"/>
        </w:rPr>
        <w:t>28</w:t>
      </w:r>
      <w:r w:rsidR="00871C3D">
        <w:rPr>
          <w:rFonts w:ascii="Times New Roman" w:hAnsi="Times New Roman" w:cs="Times New Roman"/>
          <w:sz w:val="24"/>
          <w:szCs w:val="24"/>
        </w:rPr>
        <w:t>th</w:t>
      </w:r>
      <w:r w:rsidR="00D46AEB">
        <w:rPr>
          <w:rFonts w:ascii="Times New Roman" w:hAnsi="Times New Roman" w:cs="Times New Roman"/>
          <w:sz w:val="24"/>
          <w:szCs w:val="24"/>
        </w:rPr>
        <w:t xml:space="preserve"> </w:t>
      </w:r>
      <w:r>
        <w:rPr>
          <w:rFonts w:ascii="Times New Roman" w:hAnsi="Times New Roman" w:cs="Times New Roman"/>
          <w:sz w:val="24"/>
          <w:szCs w:val="24"/>
        </w:rPr>
        <w:t>day of July 2014.</w:t>
      </w:r>
    </w:p>
    <w:p w:rsidR="00DF40C7"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Pr>
          <w:rFonts w:ascii="Times New Roman" w:hAnsi="Times New Roman" w:cs="Times New Roman"/>
          <w:i/>
          <w:iCs/>
          <w:sz w:val="24"/>
          <w:szCs w:val="24"/>
          <w:u w:val="single"/>
        </w:rPr>
        <w:t>/s/ Maureen R. Grady</w:t>
      </w:r>
      <w:r>
        <w:rPr>
          <w:rFonts w:ascii="Times New Roman" w:hAnsi="Times New Roman" w:cs="Times New Roman"/>
          <w:sz w:val="24"/>
          <w:szCs w:val="24"/>
        </w:rPr>
        <w:t>___________ </w:t>
      </w:r>
    </w:p>
    <w:p w:rsidR="00DF40C7"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Pr>
          <w:rFonts w:ascii="Times New Roman" w:hAnsi="Times New Roman" w:cs="Times New Roman"/>
          <w:sz w:val="24"/>
          <w:szCs w:val="24"/>
        </w:rPr>
        <w:tab/>
        <w:t>Maureen R. Grady</w:t>
      </w:r>
    </w:p>
    <w:p w:rsidR="00DF40C7"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Pr>
          <w:rFonts w:ascii="Times New Roman" w:hAnsi="Times New Roman" w:cs="Times New Roman"/>
          <w:sz w:val="24"/>
          <w:szCs w:val="24"/>
        </w:rPr>
        <w:tab/>
        <w:t>Assistant Consumers’ Counsel</w:t>
      </w:r>
    </w:p>
    <w:p w:rsidR="00DF40C7" w:rsidRDefault="00DF40C7">
      <w:pPr>
        <w:pStyle w:val="CommentSubject"/>
        <w:pBdr>
          <w:top w:val="none" w:sz="0" w:space="0" w:color="auto"/>
          <w:left w:val="none" w:sz="0" w:space="0" w:color="auto"/>
          <w:bottom w:val="none" w:sz="0" w:space="0" w:color="auto"/>
          <w:right w:val="none" w:sz="0" w:space="0" w:color="auto"/>
          <w:bar w:val="none" w:sz="0" w:color="auto"/>
        </w:pBdr>
        <w:rPr>
          <w:color w:val="auto"/>
        </w:rPr>
      </w:pPr>
    </w:p>
    <w:p w:rsidR="00DF40C7" w:rsidRDefault="00DF40C7">
      <w:pPr>
        <w:pStyle w:val="CommentText"/>
        <w:pBdr>
          <w:top w:val="none" w:sz="0" w:space="0" w:color="auto"/>
          <w:left w:val="none" w:sz="0" w:space="0" w:color="auto"/>
          <w:bottom w:val="none" w:sz="0" w:space="0" w:color="auto"/>
          <w:right w:val="none" w:sz="0" w:space="0" w:color="auto"/>
          <w:bar w:val="none" w:sz="0" w:color="auto"/>
        </w:pBdr>
        <w:jc w:val="center"/>
        <w:rPr>
          <w:b/>
          <w:bCs/>
          <w:color w:val="auto"/>
          <w:u w:val="single"/>
        </w:rPr>
      </w:pPr>
      <w:r>
        <w:rPr>
          <w:b/>
          <w:bCs/>
          <w:u w:val="single"/>
        </w:rPr>
        <w:t>SERVICE LIST</w:t>
      </w:r>
    </w:p>
    <w:tbl>
      <w:tblPr>
        <w:tblW w:w="0" w:type="auto"/>
        <w:tblLook w:val="01E0" w:firstRow="1" w:lastRow="1" w:firstColumn="1" w:lastColumn="1" w:noHBand="0" w:noVBand="0"/>
      </w:tblPr>
      <w:tblGrid>
        <w:gridCol w:w="4428"/>
        <w:gridCol w:w="4428"/>
      </w:tblGrid>
      <w:tr w:rsidR="00F21B81" w:rsidRPr="00671B8C" w:rsidTr="00A23539">
        <w:tc>
          <w:tcPr>
            <w:tcW w:w="4428" w:type="dxa"/>
            <w:shd w:val="clear" w:color="auto" w:fill="auto"/>
          </w:tcPr>
          <w:p w:rsidR="00F21B81" w:rsidRPr="00671B8C" w:rsidRDefault="00435BA0" w:rsidP="00A23539">
            <w:pPr>
              <w:rPr>
                <w:rFonts w:eastAsia="Calibri"/>
              </w:rPr>
            </w:pPr>
            <w:hyperlink r:id="rId16" w:history="1">
              <w:r w:rsidR="00F21B81" w:rsidRPr="00671B8C">
                <w:rPr>
                  <w:rFonts w:eastAsia="Calibri"/>
                  <w:color w:val="0000FF"/>
                  <w:u w:val="single"/>
                </w:rPr>
                <w:t>Steven.beeler@puc.state.oh.us</w:t>
              </w:r>
            </w:hyperlink>
          </w:p>
          <w:p w:rsidR="00F21B81" w:rsidRPr="00671B8C" w:rsidRDefault="00435BA0" w:rsidP="00A23539">
            <w:pPr>
              <w:rPr>
                <w:rFonts w:eastAsia="Calibri"/>
              </w:rPr>
            </w:pPr>
            <w:hyperlink r:id="rId17" w:history="1">
              <w:r w:rsidR="00F21B81" w:rsidRPr="00671B8C">
                <w:rPr>
                  <w:rFonts w:eastAsia="Calibri"/>
                  <w:color w:val="0000FF"/>
                  <w:u w:val="single"/>
                </w:rPr>
                <w:t>Thomas.lindgren@puc.state.oh.us</w:t>
              </w:r>
            </w:hyperlink>
          </w:p>
          <w:p w:rsidR="00F21B81" w:rsidRPr="00671B8C" w:rsidRDefault="00435BA0" w:rsidP="00A23539">
            <w:pPr>
              <w:rPr>
                <w:rFonts w:eastAsia="Calibri"/>
              </w:rPr>
            </w:pPr>
            <w:hyperlink r:id="rId18" w:history="1">
              <w:r w:rsidR="00F21B81" w:rsidRPr="00671B8C">
                <w:rPr>
                  <w:rFonts w:eastAsia="Calibri"/>
                  <w:color w:val="0000FF"/>
                  <w:u w:val="single"/>
                </w:rPr>
                <w:t>Ryan.orourke@puc.state.oh.us</w:t>
              </w:r>
            </w:hyperlink>
          </w:p>
          <w:p w:rsidR="00F21B81" w:rsidRPr="00671B8C" w:rsidRDefault="00435BA0" w:rsidP="00A23539">
            <w:pPr>
              <w:rPr>
                <w:rFonts w:eastAsia="Calibri"/>
              </w:rPr>
            </w:pPr>
            <w:hyperlink r:id="rId19" w:history="1">
              <w:r w:rsidR="00F21B81" w:rsidRPr="00671B8C">
                <w:rPr>
                  <w:rFonts w:eastAsia="Calibri"/>
                  <w:color w:val="0000FF"/>
                  <w:u w:val="single"/>
                </w:rPr>
                <w:t>dboehm@BKLlawfirm.com</w:t>
              </w:r>
            </w:hyperlink>
          </w:p>
          <w:p w:rsidR="00F21B81" w:rsidRPr="00671B8C" w:rsidRDefault="00435BA0" w:rsidP="00A23539">
            <w:pPr>
              <w:rPr>
                <w:rFonts w:eastAsia="Calibri"/>
              </w:rPr>
            </w:pPr>
            <w:hyperlink r:id="rId20" w:history="1">
              <w:r w:rsidR="00F21B81" w:rsidRPr="00671B8C">
                <w:rPr>
                  <w:rFonts w:eastAsia="Calibri"/>
                  <w:color w:val="0000FF"/>
                  <w:u w:val="single"/>
                </w:rPr>
                <w:t>mkurtz@BKLlawfirm.com</w:t>
              </w:r>
            </w:hyperlink>
          </w:p>
          <w:p w:rsidR="00F21B81" w:rsidRPr="00671B8C" w:rsidRDefault="00435BA0" w:rsidP="00A23539">
            <w:pPr>
              <w:rPr>
                <w:rFonts w:eastAsia="Calibri"/>
              </w:rPr>
            </w:pPr>
            <w:hyperlink r:id="rId21" w:history="1">
              <w:r w:rsidR="00F21B81" w:rsidRPr="00671B8C">
                <w:rPr>
                  <w:rFonts w:eastAsia="Calibri"/>
                  <w:color w:val="0000FF"/>
                  <w:u w:val="single"/>
                </w:rPr>
                <w:t>jkylercohn@BKLlawfirm.com</w:t>
              </w:r>
            </w:hyperlink>
          </w:p>
          <w:p w:rsidR="00F21B81" w:rsidRPr="00671B8C" w:rsidRDefault="00435BA0" w:rsidP="00A23539">
            <w:pPr>
              <w:rPr>
                <w:rFonts w:eastAsia="Calibri"/>
                <w:color w:val="0000FF"/>
                <w:u w:val="single"/>
              </w:rPr>
            </w:pPr>
            <w:hyperlink r:id="rId22" w:history="1">
              <w:r w:rsidR="00F21B81" w:rsidRPr="00671B8C">
                <w:rPr>
                  <w:rFonts w:eastAsia="Calibri"/>
                  <w:color w:val="0000FF"/>
                  <w:u w:val="single"/>
                </w:rPr>
                <w:t>Schmidt@sppgrp.com</w:t>
              </w:r>
            </w:hyperlink>
          </w:p>
          <w:p w:rsidR="00F21B81" w:rsidRPr="00671B8C" w:rsidRDefault="00435BA0" w:rsidP="00A23539">
            <w:pPr>
              <w:rPr>
                <w:rFonts w:eastAsia="Calibri"/>
                <w:color w:val="0000FF"/>
                <w:u w:val="single"/>
              </w:rPr>
            </w:pPr>
            <w:hyperlink r:id="rId23" w:history="1">
              <w:r w:rsidR="00F21B81" w:rsidRPr="00671B8C">
                <w:rPr>
                  <w:rFonts w:eastAsia="Calibri"/>
                  <w:color w:val="0000FF"/>
                  <w:u w:val="single"/>
                </w:rPr>
                <w:t>Judi.sobecki@aes.com</w:t>
              </w:r>
            </w:hyperlink>
          </w:p>
          <w:p w:rsidR="00F21B81" w:rsidRPr="00671B8C" w:rsidRDefault="00435BA0" w:rsidP="00A23539">
            <w:pPr>
              <w:rPr>
                <w:rFonts w:eastAsia="Calibri"/>
              </w:rPr>
            </w:pPr>
            <w:hyperlink r:id="rId24" w:history="1">
              <w:r w:rsidR="00F21B81" w:rsidRPr="00671B8C">
                <w:rPr>
                  <w:rFonts w:eastAsia="Calibri"/>
                  <w:color w:val="0000FF"/>
                  <w:u w:val="single"/>
                </w:rPr>
                <w:t>Bojko@carpenterlipps.com</w:t>
              </w:r>
            </w:hyperlink>
          </w:p>
          <w:p w:rsidR="00F21B81" w:rsidRPr="00671B8C" w:rsidRDefault="00435BA0" w:rsidP="00A23539">
            <w:pPr>
              <w:rPr>
                <w:rFonts w:eastAsia="Calibri"/>
              </w:rPr>
            </w:pPr>
            <w:hyperlink r:id="rId25" w:history="1">
              <w:r w:rsidR="00F21B81" w:rsidRPr="00671B8C">
                <w:rPr>
                  <w:rFonts w:eastAsia="Calibri"/>
                  <w:color w:val="0000FF"/>
                  <w:u w:val="single"/>
                </w:rPr>
                <w:t>mohler@carpenterlipps.com</w:t>
              </w:r>
            </w:hyperlink>
          </w:p>
          <w:p w:rsidR="00F21B81" w:rsidRPr="00671B8C" w:rsidRDefault="00435BA0" w:rsidP="00A23539">
            <w:pPr>
              <w:rPr>
                <w:rFonts w:eastAsia="Calibri"/>
                <w:color w:val="0000FF"/>
              </w:rPr>
            </w:pPr>
            <w:hyperlink r:id="rId26" w:history="1">
              <w:r w:rsidR="00F21B81" w:rsidRPr="00671B8C">
                <w:rPr>
                  <w:rFonts w:eastAsia="Calibri"/>
                  <w:color w:val="0000FF"/>
                  <w:u w:val="single"/>
                </w:rPr>
                <w:t>cmooney@ohiopartners.org</w:t>
              </w:r>
            </w:hyperlink>
          </w:p>
          <w:p w:rsidR="00F21B81" w:rsidRPr="00671B8C" w:rsidRDefault="00435BA0" w:rsidP="00A23539">
            <w:pPr>
              <w:rPr>
                <w:rFonts w:eastAsia="Calibri"/>
              </w:rPr>
            </w:pPr>
            <w:hyperlink r:id="rId27" w:history="1">
              <w:r w:rsidR="00F21B81" w:rsidRPr="00671B8C">
                <w:rPr>
                  <w:rFonts w:eastAsia="Calibri"/>
                  <w:color w:val="0000FF"/>
                  <w:u w:val="single"/>
                </w:rPr>
                <w:t>stnourse@aep.com</w:t>
              </w:r>
            </w:hyperlink>
          </w:p>
          <w:p w:rsidR="00F21B81" w:rsidRPr="00671B8C" w:rsidRDefault="00435BA0" w:rsidP="00A23539">
            <w:pPr>
              <w:rPr>
                <w:rFonts w:eastAsia="Calibri"/>
              </w:rPr>
            </w:pPr>
            <w:hyperlink r:id="rId28" w:history="1">
              <w:r w:rsidR="00F21B81" w:rsidRPr="00671B8C">
                <w:rPr>
                  <w:rFonts w:eastAsia="Calibri"/>
                  <w:color w:val="0000FF"/>
                  <w:u w:val="single"/>
                </w:rPr>
                <w:t>mjsatterwhite@aep.com</w:t>
              </w:r>
            </w:hyperlink>
          </w:p>
          <w:p w:rsidR="00F21B81" w:rsidRPr="00671B8C" w:rsidRDefault="00435BA0" w:rsidP="00A23539">
            <w:pPr>
              <w:rPr>
                <w:rFonts w:eastAsia="Calibri"/>
              </w:rPr>
            </w:pPr>
            <w:hyperlink r:id="rId29" w:history="1">
              <w:r w:rsidR="00F21B81" w:rsidRPr="00671B8C">
                <w:rPr>
                  <w:rFonts w:eastAsia="Calibri"/>
                  <w:color w:val="0000FF"/>
                  <w:u w:val="single"/>
                </w:rPr>
                <w:t>yalami@aep.com</w:t>
              </w:r>
            </w:hyperlink>
          </w:p>
          <w:p w:rsidR="00F21B81" w:rsidRPr="00671B8C" w:rsidRDefault="00435BA0" w:rsidP="00A23539">
            <w:pPr>
              <w:rPr>
                <w:rFonts w:eastAsia="Calibri"/>
              </w:rPr>
            </w:pPr>
            <w:hyperlink r:id="rId30" w:history="1">
              <w:r w:rsidR="00F21B81" w:rsidRPr="00671B8C">
                <w:rPr>
                  <w:rFonts w:eastAsia="Calibri"/>
                  <w:color w:val="0000FF"/>
                  <w:u w:val="single"/>
                </w:rPr>
                <w:t>asonderman@keglerbrown.com</w:t>
              </w:r>
            </w:hyperlink>
          </w:p>
          <w:p w:rsidR="00F21B81" w:rsidRPr="00671B8C" w:rsidRDefault="00435BA0" w:rsidP="00A23539">
            <w:pPr>
              <w:rPr>
                <w:rFonts w:eastAsia="Calibri"/>
              </w:rPr>
            </w:pPr>
            <w:hyperlink r:id="rId31" w:history="1">
              <w:r w:rsidR="00F21B81" w:rsidRPr="00671B8C">
                <w:rPr>
                  <w:rFonts w:eastAsia="Calibri"/>
                  <w:color w:val="0000FF"/>
                  <w:u w:val="single"/>
                </w:rPr>
                <w:t>mkimbrough@keglerbrown.com</w:t>
              </w:r>
            </w:hyperlink>
          </w:p>
          <w:p w:rsidR="00F21B81" w:rsidRPr="00671B8C" w:rsidRDefault="00435BA0" w:rsidP="00A23539">
            <w:pPr>
              <w:rPr>
                <w:rFonts w:eastAsia="Calibri"/>
              </w:rPr>
            </w:pPr>
            <w:hyperlink r:id="rId32" w:history="1">
              <w:r w:rsidR="00F21B81" w:rsidRPr="00671B8C">
                <w:rPr>
                  <w:rFonts w:eastAsia="Calibri"/>
                  <w:color w:val="0000FF"/>
                  <w:u w:val="single"/>
                </w:rPr>
                <w:t>hussey@carpenterlipps.com</w:t>
              </w:r>
            </w:hyperlink>
          </w:p>
          <w:p w:rsidR="00F21B81" w:rsidRPr="00671B8C" w:rsidRDefault="00435BA0" w:rsidP="00A23539">
            <w:pPr>
              <w:rPr>
                <w:rFonts w:eastAsia="Calibri"/>
              </w:rPr>
            </w:pPr>
            <w:hyperlink r:id="rId33" w:history="1">
              <w:r w:rsidR="00F21B81" w:rsidRPr="00671B8C">
                <w:rPr>
                  <w:rFonts w:eastAsia="Calibri"/>
                  <w:color w:val="0000FF"/>
                  <w:u w:val="single"/>
                </w:rPr>
                <w:t>mhpetricoff@vorys.com</w:t>
              </w:r>
            </w:hyperlink>
          </w:p>
          <w:p w:rsidR="00F21B81" w:rsidRPr="00671B8C" w:rsidRDefault="00435BA0" w:rsidP="00A23539">
            <w:pPr>
              <w:rPr>
                <w:rFonts w:eastAsia="Calibri"/>
              </w:rPr>
            </w:pPr>
            <w:hyperlink r:id="rId34" w:history="1">
              <w:r w:rsidR="00F21B81" w:rsidRPr="00671B8C">
                <w:rPr>
                  <w:rFonts w:eastAsia="Calibri"/>
                  <w:color w:val="0000FF"/>
                  <w:u w:val="single"/>
                </w:rPr>
                <w:t>mjsettineri@vorys.com</w:t>
              </w:r>
            </w:hyperlink>
          </w:p>
          <w:p w:rsidR="00F21B81" w:rsidRPr="00671B8C" w:rsidRDefault="00435BA0" w:rsidP="00A23539">
            <w:pPr>
              <w:rPr>
                <w:rFonts w:eastAsia="Calibri"/>
              </w:rPr>
            </w:pPr>
            <w:hyperlink r:id="rId35" w:history="1">
              <w:r w:rsidR="00F21B81" w:rsidRPr="00671B8C">
                <w:rPr>
                  <w:rFonts w:eastAsia="Calibri"/>
                  <w:color w:val="0000FF"/>
                  <w:u w:val="single"/>
                </w:rPr>
                <w:t>glpetrucci@vorys.com</w:t>
              </w:r>
            </w:hyperlink>
          </w:p>
          <w:p w:rsidR="00F21B81" w:rsidRPr="00671B8C" w:rsidRDefault="00435BA0" w:rsidP="00A23539">
            <w:pPr>
              <w:rPr>
                <w:rFonts w:eastAsia="Calibri"/>
              </w:rPr>
            </w:pPr>
            <w:hyperlink r:id="rId36" w:history="1">
              <w:r w:rsidR="00F21B81" w:rsidRPr="00671B8C">
                <w:rPr>
                  <w:rFonts w:eastAsia="Calibri"/>
                  <w:color w:val="0000FF"/>
                  <w:u w:val="single"/>
                </w:rPr>
                <w:t>dmason@ralaw.com</w:t>
              </w:r>
            </w:hyperlink>
          </w:p>
          <w:p w:rsidR="00F21B81" w:rsidRPr="00671B8C" w:rsidRDefault="00435BA0" w:rsidP="00A23539">
            <w:pPr>
              <w:rPr>
                <w:rFonts w:eastAsia="Calibri"/>
              </w:rPr>
            </w:pPr>
            <w:hyperlink r:id="rId37" w:history="1">
              <w:r w:rsidR="00F21B81" w:rsidRPr="00671B8C">
                <w:rPr>
                  <w:rFonts w:eastAsia="Calibri"/>
                  <w:color w:val="0000FF"/>
                  <w:u w:val="single"/>
                </w:rPr>
                <w:t>mtraven@ralaw.com</w:t>
              </w:r>
            </w:hyperlink>
          </w:p>
          <w:p w:rsidR="00F21B81" w:rsidRPr="00671B8C" w:rsidRDefault="00F21B81" w:rsidP="00A23539">
            <w:pPr>
              <w:pBdr>
                <w:top w:val="nil"/>
                <w:left w:val="nil"/>
                <w:bottom w:val="nil"/>
                <w:right w:val="nil"/>
                <w:between w:val="nil"/>
                <w:bar w:val="nil"/>
              </w:pBdr>
              <w:rPr>
                <w:bCs/>
                <w:bdr w:val="nil"/>
              </w:rPr>
            </w:pPr>
            <w:r w:rsidRPr="00671B8C">
              <w:rPr>
                <w:bCs/>
                <w:bdr w:val="nil"/>
              </w:rPr>
              <w:t>Attorney Examiner:</w:t>
            </w:r>
          </w:p>
          <w:p w:rsidR="00F21B81" w:rsidRPr="00671B8C" w:rsidRDefault="00F21B81" w:rsidP="00A23539">
            <w:pPr>
              <w:pBdr>
                <w:top w:val="nil"/>
                <w:left w:val="nil"/>
                <w:bottom w:val="nil"/>
                <w:right w:val="nil"/>
                <w:between w:val="nil"/>
                <w:bar w:val="nil"/>
              </w:pBdr>
              <w:rPr>
                <w:bCs/>
                <w:bdr w:val="nil"/>
              </w:rPr>
            </w:pPr>
          </w:p>
          <w:p w:rsidR="00F21B81" w:rsidRPr="00671B8C" w:rsidRDefault="00F21B81" w:rsidP="00F21B81">
            <w:pPr>
              <w:pBdr>
                <w:top w:val="nil"/>
                <w:left w:val="nil"/>
                <w:bottom w:val="nil"/>
                <w:right w:val="nil"/>
                <w:between w:val="nil"/>
                <w:bar w:val="nil"/>
              </w:pBdr>
              <w:rPr>
                <w:rFonts w:eastAsia="Calibri"/>
                <w:bCs/>
              </w:rPr>
            </w:pPr>
            <w:r w:rsidRPr="00671B8C">
              <w:rPr>
                <w:bCs/>
                <w:color w:val="0000FF"/>
                <w:u w:val="single"/>
                <w:bdr w:val="nil"/>
              </w:rPr>
              <w:t>Christine.pirik@puc.state.oh.us</w:t>
            </w:r>
          </w:p>
        </w:tc>
        <w:tc>
          <w:tcPr>
            <w:tcW w:w="4428" w:type="dxa"/>
            <w:shd w:val="clear" w:color="auto" w:fill="auto"/>
          </w:tcPr>
          <w:p w:rsidR="00F21B81" w:rsidRPr="00671B8C" w:rsidRDefault="00435BA0" w:rsidP="00A23539">
            <w:pPr>
              <w:jc w:val="both"/>
              <w:rPr>
                <w:rFonts w:eastAsia="Calibri"/>
              </w:rPr>
            </w:pPr>
            <w:hyperlink r:id="rId38" w:history="1">
              <w:r w:rsidR="00F21B81" w:rsidRPr="00671B8C">
                <w:rPr>
                  <w:rFonts w:eastAsia="Calibri"/>
                  <w:color w:val="0000FF"/>
                  <w:u w:val="single"/>
                </w:rPr>
                <w:t>Amy.Spiller@duke-energy.com</w:t>
              </w:r>
            </w:hyperlink>
          </w:p>
          <w:p w:rsidR="00F21B81" w:rsidRPr="00671B8C" w:rsidRDefault="00435BA0" w:rsidP="00A23539">
            <w:pPr>
              <w:jc w:val="both"/>
              <w:rPr>
                <w:rFonts w:eastAsia="Calibri"/>
              </w:rPr>
            </w:pPr>
            <w:hyperlink r:id="rId39" w:history="1">
              <w:r w:rsidR="00F21B81" w:rsidRPr="00671B8C">
                <w:rPr>
                  <w:rFonts w:eastAsia="Calibri"/>
                  <w:color w:val="0000FF"/>
                  <w:u w:val="single"/>
                </w:rPr>
                <w:t>Elizabeth.watts@duke-energy.com</w:t>
              </w:r>
            </w:hyperlink>
          </w:p>
          <w:p w:rsidR="00F21B81" w:rsidRPr="00671B8C" w:rsidRDefault="00435BA0" w:rsidP="00A23539">
            <w:pPr>
              <w:jc w:val="both"/>
              <w:rPr>
                <w:rFonts w:eastAsia="Calibri"/>
                <w:color w:val="0000FF"/>
                <w:u w:val="single"/>
              </w:rPr>
            </w:pPr>
            <w:hyperlink r:id="rId40" w:history="1">
              <w:r w:rsidR="00F21B81" w:rsidRPr="00671B8C">
                <w:rPr>
                  <w:rFonts w:eastAsia="Calibri"/>
                  <w:color w:val="0000FF"/>
                  <w:u w:val="single"/>
                </w:rPr>
                <w:t>Rocco.dascenzo@duke-energy.com</w:t>
              </w:r>
            </w:hyperlink>
          </w:p>
          <w:p w:rsidR="00F21B81" w:rsidRPr="00671B8C" w:rsidRDefault="00435BA0" w:rsidP="00A23539">
            <w:pPr>
              <w:jc w:val="both"/>
              <w:rPr>
                <w:rFonts w:eastAsia="Calibri"/>
              </w:rPr>
            </w:pPr>
            <w:hyperlink r:id="rId41" w:history="1">
              <w:r w:rsidR="00F21B81" w:rsidRPr="00671B8C">
                <w:rPr>
                  <w:rFonts w:eastAsia="Calibri"/>
                  <w:color w:val="0000FF"/>
                  <w:u w:val="single"/>
                </w:rPr>
                <w:t>Jeanne.Kingery@duke-energy.com</w:t>
              </w:r>
            </w:hyperlink>
          </w:p>
          <w:p w:rsidR="00F21B81" w:rsidRPr="00671B8C" w:rsidRDefault="00435BA0" w:rsidP="00A23539">
            <w:pPr>
              <w:rPr>
                <w:rFonts w:eastAsia="Calibri"/>
                <w:bCs/>
              </w:rPr>
            </w:pPr>
            <w:hyperlink r:id="rId42" w:history="1">
              <w:r w:rsidR="00F21B81" w:rsidRPr="00671B8C">
                <w:rPr>
                  <w:rFonts w:eastAsia="Calibri"/>
                  <w:bCs/>
                  <w:color w:val="0000FF"/>
                  <w:u w:val="single"/>
                </w:rPr>
                <w:t>haydenm@firstenergycorp.com</w:t>
              </w:r>
            </w:hyperlink>
          </w:p>
          <w:p w:rsidR="00F21B81" w:rsidRPr="00671B8C" w:rsidRDefault="00435BA0" w:rsidP="00A23539">
            <w:pPr>
              <w:rPr>
                <w:rFonts w:eastAsia="Calibri"/>
                <w:bCs/>
              </w:rPr>
            </w:pPr>
            <w:hyperlink r:id="rId43" w:history="1">
              <w:r w:rsidR="00F21B81" w:rsidRPr="00671B8C">
                <w:rPr>
                  <w:rFonts w:eastAsia="Calibri"/>
                  <w:bCs/>
                  <w:color w:val="0000FF"/>
                  <w:u w:val="single"/>
                </w:rPr>
                <w:t>jmcdermott@firstenergycorp.com</w:t>
              </w:r>
            </w:hyperlink>
          </w:p>
          <w:p w:rsidR="00F21B81" w:rsidRPr="00671B8C" w:rsidRDefault="00435BA0" w:rsidP="00A23539">
            <w:pPr>
              <w:rPr>
                <w:rFonts w:eastAsia="Calibri"/>
                <w:bCs/>
              </w:rPr>
            </w:pPr>
            <w:hyperlink r:id="rId44" w:history="1">
              <w:r w:rsidR="00F21B81" w:rsidRPr="00671B8C">
                <w:rPr>
                  <w:rFonts w:eastAsia="Calibri"/>
                  <w:bCs/>
                  <w:color w:val="0000FF"/>
                  <w:u w:val="single"/>
                </w:rPr>
                <w:t>scasto@firstenergycorp.com</w:t>
              </w:r>
            </w:hyperlink>
          </w:p>
          <w:p w:rsidR="00F21B81" w:rsidRPr="00671B8C" w:rsidRDefault="00435BA0" w:rsidP="00A23539">
            <w:pPr>
              <w:rPr>
                <w:rFonts w:eastAsia="Calibri"/>
              </w:rPr>
            </w:pPr>
            <w:hyperlink r:id="rId45" w:history="1">
              <w:r w:rsidR="00F21B81" w:rsidRPr="00671B8C">
                <w:rPr>
                  <w:rFonts w:eastAsia="Calibri"/>
                  <w:color w:val="0000FF"/>
                  <w:u w:val="single"/>
                </w:rPr>
                <w:t>joliker@igsenergy.com</w:t>
              </w:r>
            </w:hyperlink>
          </w:p>
          <w:p w:rsidR="00F21B81" w:rsidRPr="00671B8C" w:rsidRDefault="00435BA0" w:rsidP="00A23539">
            <w:pPr>
              <w:rPr>
                <w:rFonts w:eastAsia="Calibri"/>
              </w:rPr>
            </w:pPr>
            <w:hyperlink r:id="rId46" w:history="1">
              <w:r w:rsidR="00F21B81" w:rsidRPr="00671B8C">
                <w:rPr>
                  <w:rFonts w:eastAsia="Calibri"/>
                  <w:color w:val="0000FF"/>
                  <w:u w:val="single"/>
                </w:rPr>
                <w:t>mswhite@igsenergy.com</w:t>
              </w:r>
            </w:hyperlink>
          </w:p>
          <w:p w:rsidR="00F21B81" w:rsidRPr="00671B8C" w:rsidRDefault="00435BA0" w:rsidP="00A23539">
            <w:pPr>
              <w:rPr>
                <w:rFonts w:eastAsia="Calibri"/>
                <w:color w:val="0000FF"/>
              </w:rPr>
            </w:pPr>
            <w:hyperlink r:id="rId47" w:history="1">
              <w:r w:rsidR="00F21B81" w:rsidRPr="00671B8C">
                <w:rPr>
                  <w:rFonts w:eastAsia="Calibri"/>
                  <w:color w:val="0000FF"/>
                  <w:u w:val="single"/>
                </w:rPr>
                <w:t>joseph.clark@directenergy.com</w:t>
              </w:r>
            </w:hyperlink>
          </w:p>
          <w:p w:rsidR="00F21B81" w:rsidRPr="00671B8C" w:rsidRDefault="00435BA0" w:rsidP="00A23539">
            <w:pPr>
              <w:rPr>
                <w:rFonts w:eastAsia="Calibri"/>
              </w:rPr>
            </w:pPr>
            <w:hyperlink r:id="rId48" w:history="1">
              <w:r w:rsidR="00F21B81" w:rsidRPr="00671B8C">
                <w:rPr>
                  <w:rFonts w:eastAsia="Calibri"/>
                  <w:color w:val="0000FF"/>
                  <w:u w:val="single"/>
                </w:rPr>
                <w:t>sam@mwncmh.com</w:t>
              </w:r>
            </w:hyperlink>
          </w:p>
          <w:p w:rsidR="00F21B81" w:rsidRPr="00671B8C" w:rsidRDefault="00435BA0" w:rsidP="00A23539">
            <w:pPr>
              <w:rPr>
                <w:rFonts w:eastAsia="Calibri"/>
              </w:rPr>
            </w:pPr>
            <w:hyperlink r:id="rId49" w:history="1">
              <w:r w:rsidR="00F21B81" w:rsidRPr="00671B8C">
                <w:rPr>
                  <w:rFonts w:eastAsia="Calibri"/>
                  <w:color w:val="0000FF"/>
                  <w:u w:val="single"/>
                </w:rPr>
                <w:t>fdarr@mwncmh.com</w:t>
              </w:r>
            </w:hyperlink>
          </w:p>
          <w:p w:rsidR="00F21B81" w:rsidRPr="00671B8C" w:rsidRDefault="00435BA0" w:rsidP="00A23539">
            <w:pPr>
              <w:jc w:val="both"/>
              <w:rPr>
                <w:rFonts w:eastAsia="Calibri"/>
              </w:rPr>
            </w:pPr>
            <w:hyperlink r:id="rId50" w:history="1">
              <w:r w:rsidR="00F21B81" w:rsidRPr="00671B8C">
                <w:rPr>
                  <w:rFonts w:eastAsia="Calibri"/>
                  <w:color w:val="0000FF"/>
                  <w:u w:val="single"/>
                </w:rPr>
                <w:t>mpritchard@mwncmh.com</w:t>
              </w:r>
            </w:hyperlink>
          </w:p>
          <w:p w:rsidR="00F21B81" w:rsidRPr="00671B8C" w:rsidRDefault="00435BA0" w:rsidP="00A23539">
            <w:pPr>
              <w:jc w:val="both"/>
              <w:rPr>
                <w:rFonts w:eastAsia="Calibri"/>
                <w:color w:val="0000FF"/>
                <w:u w:val="single"/>
              </w:rPr>
            </w:pPr>
            <w:hyperlink r:id="rId51" w:history="1">
              <w:r w:rsidR="00F21B81" w:rsidRPr="00671B8C">
                <w:rPr>
                  <w:rFonts w:eastAsia="Calibri"/>
                  <w:color w:val="0000FF"/>
                  <w:u w:val="single"/>
                </w:rPr>
                <w:t>callwein@wamenergylaw.com</w:t>
              </w:r>
            </w:hyperlink>
          </w:p>
          <w:p w:rsidR="00F21B81" w:rsidRPr="00671B8C" w:rsidRDefault="00435BA0" w:rsidP="00A23539">
            <w:pPr>
              <w:jc w:val="both"/>
              <w:rPr>
                <w:rFonts w:eastAsia="Calibri"/>
                <w:color w:val="0000FF"/>
              </w:rPr>
            </w:pPr>
            <w:hyperlink r:id="rId52" w:history="1">
              <w:r w:rsidR="00F21B81" w:rsidRPr="00671B8C">
                <w:rPr>
                  <w:rFonts w:eastAsia="Calibri"/>
                  <w:color w:val="0000FF"/>
                  <w:u w:val="single"/>
                </w:rPr>
                <w:t>tdougherty@theOEC.org</w:t>
              </w:r>
            </w:hyperlink>
          </w:p>
          <w:p w:rsidR="00F21B81" w:rsidRPr="00671B8C" w:rsidRDefault="00435BA0" w:rsidP="00A23539">
            <w:pPr>
              <w:jc w:val="both"/>
              <w:rPr>
                <w:rFonts w:eastAsia="Calibri"/>
                <w:color w:val="0000FF"/>
              </w:rPr>
            </w:pPr>
            <w:hyperlink r:id="rId53" w:history="1">
              <w:r w:rsidR="00F21B81" w:rsidRPr="00671B8C">
                <w:rPr>
                  <w:rFonts w:eastAsia="Calibri"/>
                  <w:color w:val="0000FF"/>
                  <w:u w:val="single"/>
                </w:rPr>
                <w:t>dhart@douglasehart.com</w:t>
              </w:r>
            </w:hyperlink>
          </w:p>
          <w:p w:rsidR="00F21B81" w:rsidRPr="00671B8C" w:rsidRDefault="00435BA0" w:rsidP="00A23539">
            <w:pPr>
              <w:jc w:val="both"/>
              <w:rPr>
                <w:rFonts w:eastAsia="Calibri"/>
                <w:color w:val="0000FF"/>
              </w:rPr>
            </w:pPr>
            <w:hyperlink r:id="rId54" w:history="1">
              <w:r w:rsidR="00F21B81" w:rsidRPr="00671B8C">
                <w:rPr>
                  <w:rFonts w:eastAsia="Calibri"/>
                  <w:color w:val="0000FF"/>
                  <w:u w:val="single"/>
                </w:rPr>
                <w:t>cloucas@ohiopartners.org</w:t>
              </w:r>
            </w:hyperlink>
          </w:p>
          <w:p w:rsidR="00F21B81" w:rsidRPr="00671B8C" w:rsidRDefault="00435BA0" w:rsidP="00A23539">
            <w:pPr>
              <w:jc w:val="both"/>
              <w:rPr>
                <w:rFonts w:eastAsia="Calibri"/>
                <w:color w:val="0000FF"/>
              </w:rPr>
            </w:pPr>
            <w:hyperlink r:id="rId55" w:history="1">
              <w:r w:rsidR="00F21B81" w:rsidRPr="00671B8C">
                <w:rPr>
                  <w:rFonts w:eastAsia="Calibri"/>
                  <w:color w:val="0000FF"/>
                  <w:u w:val="single"/>
                </w:rPr>
                <w:t>gpoulos@enernoc.com</w:t>
              </w:r>
            </w:hyperlink>
          </w:p>
          <w:p w:rsidR="00F21B81" w:rsidRPr="00671B8C" w:rsidRDefault="00435BA0" w:rsidP="00A23539">
            <w:pPr>
              <w:jc w:val="both"/>
              <w:rPr>
                <w:rFonts w:eastAsia="Calibri"/>
                <w:color w:val="0000FF"/>
              </w:rPr>
            </w:pPr>
            <w:hyperlink r:id="rId56" w:history="1">
              <w:r w:rsidR="00F21B81" w:rsidRPr="00671B8C">
                <w:rPr>
                  <w:rFonts w:eastAsia="Calibri"/>
                  <w:color w:val="0000FF"/>
                  <w:u w:val="single"/>
                </w:rPr>
                <w:t>swilliams@nrdc.org</w:t>
              </w:r>
            </w:hyperlink>
          </w:p>
          <w:p w:rsidR="00F21B81" w:rsidRPr="00671B8C" w:rsidRDefault="00435BA0" w:rsidP="00A23539">
            <w:pPr>
              <w:jc w:val="both"/>
              <w:rPr>
                <w:rFonts w:eastAsia="Calibri"/>
              </w:rPr>
            </w:pPr>
            <w:hyperlink r:id="rId57" w:history="1">
              <w:r w:rsidR="00F21B81" w:rsidRPr="00671B8C">
                <w:rPr>
                  <w:rFonts w:eastAsia="Calibri"/>
                  <w:color w:val="0000FF"/>
                  <w:u w:val="single"/>
                </w:rPr>
                <w:t>tobrien@bricker.com</w:t>
              </w:r>
            </w:hyperlink>
          </w:p>
          <w:p w:rsidR="00F21B81" w:rsidRPr="00671B8C" w:rsidRDefault="00435BA0" w:rsidP="00A23539">
            <w:pPr>
              <w:jc w:val="both"/>
              <w:rPr>
                <w:rFonts w:eastAsia="Calibri"/>
              </w:rPr>
            </w:pPr>
            <w:hyperlink r:id="rId58" w:history="1">
              <w:r w:rsidR="00F21B81" w:rsidRPr="00671B8C">
                <w:rPr>
                  <w:rFonts w:eastAsia="Calibri"/>
                  <w:color w:val="0000FF"/>
                  <w:u w:val="single"/>
                </w:rPr>
                <w:t>ghull@eckertseamans.com</w:t>
              </w:r>
            </w:hyperlink>
          </w:p>
          <w:p w:rsidR="00F21B81" w:rsidRPr="00671B8C" w:rsidRDefault="00435BA0" w:rsidP="00A23539">
            <w:pPr>
              <w:rPr>
                <w:rFonts w:eastAsia="Calibri"/>
              </w:rPr>
            </w:pPr>
            <w:hyperlink r:id="rId59" w:history="1">
              <w:r w:rsidR="00F21B81" w:rsidRPr="00671B8C">
                <w:rPr>
                  <w:rFonts w:eastAsia="Calibri"/>
                  <w:color w:val="0000FF"/>
                  <w:u w:val="single"/>
                </w:rPr>
                <w:t>jvickers@elpc.org</w:t>
              </w:r>
            </w:hyperlink>
          </w:p>
          <w:p w:rsidR="00F21B81" w:rsidRPr="00671B8C" w:rsidRDefault="00F21B81" w:rsidP="00A23539">
            <w:pPr>
              <w:rPr>
                <w:rFonts w:eastAsia="Calibri"/>
              </w:rPr>
            </w:pPr>
          </w:p>
          <w:p w:rsidR="00F21B81" w:rsidRPr="00671B8C" w:rsidRDefault="00F21B81" w:rsidP="00A23539">
            <w:pPr>
              <w:jc w:val="both"/>
              <w:rPr>
                <w:rFonts w:eastAsia="Calibri"/>
                <w:bCs/>
              </w:rPr>
            </w:pPr>
          </w:p>
        </w:tc>
      </w:tr>
    </w:tbl>
    <w:p w:rsidR="00DF40C7" w:rsidRDefault="00DF40C7" w:rsidP="00860B48">
      <w:pPr>
        <w:pBdr>
          <w:top w:val="none" w:sz="0" w:space="0" w:color="auto"/>
          <w:left w:val="none" w:sz="0" w:space="0" w:color="auto"/>
          <w:bottom w:val="none" w:sz="0" w:space="0" w:color="auto"/>
          <w:right w:val="none" w:sz="0" w:space="0" w:color="auto"/>
          <w:bar w:val="none" w:sz="0" w:color="auto"/>
        </w:pBdr>
        <w:jc w:val="both"/>
      </w:pPr>
    </w:p>
    <w:sectPr w:rsidR="00DF40C7" w:rsidSect="00170D56">
      <w:headerReference w:type="default" r:id="rId60"/>
      <w:footerReference w:type="default" r:id="rId61"/>
      <w:pgSz w:w="12240" w:h="15840"/>
      <w:pgMar w:top="1440" w:right="1800" w:bottom="1440" w:left="1800" w:header="0" w:footer="60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A8" w:rsidRDefault="00244AA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44AA8" w:rsidRDefault="00244AA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A" w:rsidRDefault="00D36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CB" w:rsidRDefault="008706CB">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A" w:rsidRDefault="00D364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21127"/>
      <w:docPartObj>
        <w:docPartGallery w:val="Page Numbers (Bottom of Page)"/>
        <w:docPartUnique/>
      </w:docPartObj>
    </w:sdtPr>
    <w:sdtEndPr>
      <w:rPr>
        <w:noProof/>
      </w:rPr>
    </w:sdtEndPr>
    <w:sdtContent>
      <w:p w:rsidR="009D0450" w:rsidRDefault="009D0450">
        <w:pPr>
          <w:pStyle w:val="Footer"/>
          <w:jc w:val="center"/>
        </w:pPr>
        <w:r>
          <w:fldChar w:fldCharType="begin"/>
        </w:r>
        <w:r>
          <w:instrText xml:space="preserve"> PAGE   \* MERGEFORMAT </w:instrText>
        </w:r>
        <w:r>
          <w:fldChar w:fldCharType="separate"/>
        </w:r>
        <w:r w:rsidR="00D3642A">
          <w:rPr>
            <w:noProof/>
          </w:rPr>
          <w:t>6</w:t>
        </w:r>
        <w:r>
          <w:rPr>
            <w:noProof/>
          </w:rPr>
          <w:fldChar w:fldCharType="end"/>
        </w:r>
      </w:p>
    </w:sdtContent>
  </w:sdt>
  <w:p w:rsidR="00950738" w:rsidRDefault="00950738" w:rsidP="00950738">
    <w:pPr>
      <w:pStyle w:val="Footer"/>
      <w:pBdr>
        <w:top w:val="none" w:sz="0" w:space="0" w:color="auto"/>
        <w:left w:val="none" w:sz="0" w:space="0" w:color="auto"/>
        <w:bottom w:val="none" w:sz="0" w:space="0" w:color="auto"/>
        <w:right w:val="none" w:sz="0" w:space="0" w:color="auto"/>
        <w:bar w:val="none" w:sz="0" w:color="auto"/>
      </w:pBd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CB" w:rsidRPr="00580BB6" w:rsidRDefault="008706CB" w:rsidP="00580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A8" w:rsidRDefault="00244AA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44AA8" w:rsidRDefault="00244AA8">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244AA8" w:rsidRDefault="00244AA8">
      <w:pPr>
        <w:pBdr>
          <w:top w:val="none" w:sz="0" w:space="0" w:color="auto"/>
          <w:left w:val="none" w:sz="0" w:space="0" w:color="auto"/>
          <w:bottom w:val="none" w:sz="0" w:space="0" w:color="auto"/>
          <w:right w:val="none" w:sz="0" w:space="0" w:color="auto"/>
          <w:bar w:val="none" w:sz="0" w:color="auto"/>
        </w:pBdr>
      </w:pPr>
    </w:p>
  </w:footnote>
  <w:footnote w:id="2">
    <w:p w:rsidR="008706CB" w:rsidRPr="0024102C" w:rsidRDefault="008706CB" w:rsidP="001903DB">
      <w:pPr>
        <w:pStyle w:val="FootnoteText"/>
        <w:pBdr>
          <w:top w:val="none" w:sz="96" w:space="5" w:color="FFFFFF" w:frame="1"/>
          <w:bottom w:val="none" w:sz="96" w:space="10"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On June 18, 2014, OCC, IGS Energy, Ohio Manufacturers’ Association, and the Ohio Partners for Affordable Energy filed a Joint Motion for a Continuance, seeking a two month continuance.  </w:t>
      </w:r>
    </w:p>
  </w:footnote>
  <w:footnote w:id="3">
    <w:p w:rsidR="008706CB" w:rsidRPr="0024102C" w:rsidRDefault="008706CB" w:rsidP="00950738">
      <w:pPr>
        <w:pStyle w:val="FootnoteText"/>
        <w:pBdr>
          <w:top w:val="none" w:sz="96" w:space="1" w:color="FFFFFF" w:frame="1"/>
          <w:bottom w:val="none" w:sz="96" w:space="6"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On June 6, 2014, an Attorney Examiner Entry was issued establishin</w:t>
      </w:r>
      <w:r w:rsidR="009D4B91">
        <w:rPr>
          <w:rFonts w:ascii="Times New Roman" w:hAnsi="Times New Roman" w:cs="Times New Roman"/>
        </w:rPr>
        <w:t xml:space="preserve">g an expedited schedule with intervenor testimony due August 26, 2014 and the evidentiary hearing to begin on September 8, 2014.  </w:t>
      </w:r>
    </w:p>
  </w:footnote>
  <w:footnote w:id="4">
    <w:p w:rsidR="008706CB" w:rsidRPr="0024102C" w:rsidRDefault="008706CB" w:rsidP="00950738">
      <w:pPr>
        <w:pStyle w:val="FootnoteText"/>
        <w:pBdr>
          <w:top w:val="none" w:sz="96" w:space="9" w:color="FFFFFF" w:frame="1"/>
          <w:bottom w:val="none" w:sz="96" w:space="2"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The discovery withheld  from OCC includes the following:   OCC Interrogatories 2- 036, 2-037, 2-038, 2-041, 3-75, 4-93 and 4-95; and  OCC Requests for Production  of Documents 2-013, 2-015, and 2-018,  and  3-42.  See OCC Ex. 3.</w:t>
      </w:r>
    </w:p>
  </w:footnote>
  <w:footnote w:id="5">
    <w:p w:rsidR="0047262F" w:rsidRPr="00F21B81" w:rsidRDefault="0047262F" w:rsidP="00BB120D">
      <w:pPr>
        <w:pStyle w:val="FootnoteText"/>
        <w:pBdr>
          <w:top w:val="none" w:sz="96" w:space="5" w:color="FFFFFF" w:frame="1"/>
          <w:bottom w:val="none" w:sz="96" w:space="0" w:color="FFFFFF" w:frame="1"/>
        </w:pBdr>
        <w:rPr>
          <w:rFonts w:ascii="Times New Roman" w:hAnsi="Times New Roman" w:cs="Times New Roman"/>
        </w:rPr>
      </w:pPr>
      <w:r w:rsidRPr="00F21B81">
        <w:rPr>
          <w:rStyle w:val="FootnoteReference"/>
          <w:rFonts w:ascii="Times New Roman" w:hAnsi="Times New Roman" w:cs="Times New Roman"/>
        </w:rPr>
        <w:footnoteRef/>
      </w:r>
      <w:r w:rsidR="00F21B81" w:rsidRPr="00F21B81">
        <w:rPr>
          <w:rFonts w:ascii="Times New Roman" w:hAnsi="Times New Roman" w:cs="Times New Roman"/>
        </w:rPr>
        <w:t xml:space="preserve"> </w:t>
      </w:r>
      <w:r w:rsidR="00E056CB" w:rsidRPr="00F21B81">
        <w:rPr>
          <w:rFonts w:ascii="Times New Roman" w:hAnsi="Times New Roman" w:cs="Times New Roman"/>
        </w:rPr>
        <w:t xml:space="preserve">Duke Memorandum Contra at </w:t>
      </w:r>
      <w:r w:rsidR="00FD2743" w:rsidRPr="00F21B81">
        <w:rPr>
          <w:rFonts w:ascii="Times New Roman" w:hAnsi="Times New Roman" w:cs="Times New Roman"/>
        </w:rPr>
        <w:t xml:space="preserve">3.  </w:t>
      </w:r>
      <w:r w:rsidRPr="00F21B81">
        <w:rPr>
          <w:rFonts w:ascii="Times New Roman" w:hAnsi="Times New Roman" w:cs="Times New Roman"/>
        </w:rPr>
        <w:t xml:space="preserve"> </w:t>
      </w:r>
    </w:p>
  </w:footnote>
  <w:footnote w:id="6">
    <w:p w:rsidR="000F1883" w:rsidRPr="0024102C" w:rsidRDefault="000F1883" w:rsidP="00580BB6">
      <w:pPr>
        <w:pStyle w:val="FootnoteText"/>
        <w:pBdr>
          <w:top w:val="none" w:sz="96" w:space="3" w:color="FFFFFF" w:frame="1"/>
          <w:bottom w:val="none" w:sz="96" w:space="2"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Duke Memorandum Contra at 3.  </w:t>
      </w:r>
    </w:p>
  </w:footnote>
  <w:footnote w:id="7">
    <w:p w:rsidR="000F1883" w:rsidRPr="0024102C" w:rsidRDefault="000F1883" w:rsidP="00BB120D">
      <w:pPr>
        <w:pStyle w:val="FootnoteText"/>
        <w:pBdr>
          <w:top w:val="none" w:sz="96" w:space="2" w:color="FFFFFF" w:frame="1"/>
          <w:bottom w:val="none" w:sz="96" w:space="0"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Id. at 4.  </w:t>
      </w:r>
    </w:p>
  </w:footnote>
  <w:footnote w:id="8">
    <w:p w:rsidR="008B7A6A" w:rsidRPr="0024102C" w:rsidRDefault="008B7A6A" w:rsidP="00BB120D">
      <w:pPr>
        <w:pStyle w:val="FootnoteText"/>
        <w:pBdr>
          <w:top w:val="none" w:sz="96" w:space="2" w:color="FFFFFF" w:frame="1"/>
          <w:bottom w:val="none" w:sz="96" w:space="0"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See OCC Motion to Compel, Exhibit 1.  </w:t>
      </w:r>
    </w:p>
  </w:footnote>
  <w:footnote w:id="9">
    <w:p w:rsidR="008B7A6A" w:rsidRPr="0024102C" w:rsidRDefault="008B7A6A" w:rsidP="00624456">
      <w:pPr>
        <w:pStyle w:val="FootnoteText"/>
        <w:pBdr>
          <w:top w:val="none" w:sz="96" w:space="3" w:color="FFFFFF" w:frame="1"/>
          <w:bottom w:val="none" w:sz="96" w:space="0" w:color="FFFFFF" w:frame="1"/>
        </w:pBdr>
        <w:spacing w:after="120"/>
        <w:rPr>
          <w:rFonts w:ascii="Times New Roman" w:hAnsi="Times New Roman" w:cs="Times New Roman"/>
        </w:rPr>
      </w:pPr>
      <w:r w:rsidRPr="0024102C">
        <w:rPr>
          <w:rStyle w:val="FootnoteReference"/>
          <w:rFonts w:ascii="Times New Roman" w:hAnsi="Times New Roman" w:cs="Times New Roman"/>
        </w:rPr>
        <w:footnoteRef/>
      </w:r>
      <w:r w:rsidRPr="0024102C">
        <w:rPr>
          <w:rFonts w:ascii="Times New Roman" w:hAnsi="Times New Roman" w:cs="Times New Roman"/>
        </w:rPr>
        <w:t xml:space="preserve"> OCC Motion to Compel, Attachment E.  </w:t>
      </w:r>
    </w:p>
  </w:footnote>
  <w:footnote w:id="10">
    <w:p w:rsidR="008B7A6A" w:rsidRPr="00F21B81" w:rsidRDefault="008B7A6A" w:rsidP="00950738">
      <w:pPr>
        <w:pStyle w:val="FootnoteText"/>
        <w:pBdr>
          <w:top w:val="none" w:sz="96" w:space="4" w:color="FFFFFF" w:frame="1"/>
          <w:bottom w:val="none" w:sz="96" w:space="2" w:color="FFFFFF" w:frame="1"/>
        </w:pBdr>
        <w:spacing w:after="120"/>
        <w:rPr>
          <w:rFonts w:ascii="Times New Roman" w:hAnsi="Times New Roman" w:cs="Times New Roman"/>
        </w:rPr>
      </w:pPr>
      <w:r w:rsidRPr="00F21B81">
        <w:rPr>
          <w:rStyle w:val="FootnoteReference"/>
          <w:rFonts w:ascii="Times New Roman" w:hAnsi="Times New Roman" w:cs="Times New Roman"/>
        </w:rPr>
        <w:footnoteRef/>
      </w:r>
      <w:r w:rsidRPr="00F21B81">
        <w:rPr>
          <w:rFonts w:ascii="Times New Roman" w:hAnsi="Times New Roman" w:cs="Times New Roman"/>
        </w:rPr>
        <w:t xml:space="preserve"> Id.  </w:t>
      </w:r>
    </w:p>
  </w:footnote>
  <w:footnote w:id="11">
    <w:p w:rsidR="00FD2743" w:rsidRPr="00F21B81" w:rsidRDefault="00FD2743" w:rsidP="00F21B81">
      <w:pPr>
        <w:pStyle w:val="FootnoteText"/>
        <w:pBdr>
          <w:top w:val="none" w:sz="96" w:space="2" w:color="FFFFFF" w:frame="1"/>
          <w:bottom w:val="none" w:sz="96" w:space="6" w:color="FFFFFF" w:frame="1"/>
        </w:pBdr>
        <w:spacing w:after="120"/>
        <w:rPr>
          <w:rFonts w:ascii="Times New Roman" w:hAnsi="Times New Roman" w:cs="Times New Roman"/>
        </w:rPr>
      </w:pPr>
      <w:r w:rsidRPr="00F21B81">
        <w:rPr>
          <w:rStyle w:val="FootnoteReference"/>
          <w:rFonts w:ascii="Times New Roman" w:hAnsi="Times New Roman" w:cs="Times New Roman"/>
        </w:rPr>
        <w:footnoteRef/>
      </w:r>
      <w:r w:rsidRPr="00F21B81">
        <w:rPr>
          <w:rFonts w:ascii="Times New Roman" w:hAnsi="Times New Roman" w:cs="Times New Roman"/>
        </w:rPr>
        <w:t xml:space="preserve"> See </w:t>
      </w:r>
      <w:r w:rsidRPr="00580BB6">
        <w:rPr>
          <w:rFonts w:ascii="Times New Roman" w:hAnsi="Times New Roman" w:cs="Times New Roman"/>
          <w:i/>
        </w:rPr>
        <w:t>In re: CG&amp;E Post-MDP Serv</w:t>
      </w:r>
      <w:r w:rsidR="00667B68" w:rsidRPr="00580BB6">
        <w:rPr>
          <w:rFonts w:ascii="Times New Roman" w:hAnsi="Times New Roman" w:cs="Times New Roman"/>
          <w:i/>
        </w:rPr>
        <w:t>ice</w:t>
      </w:r>
      <w:r w:rsidRPr="00F21B81">
        <w:rPr>
          <w:rFonts w:ascii="Times New Roman" w:hAnsi="Times New Roman" w:cs="Times New Roman"/>
        </w:rPr>
        <w:t>, Case No. 03-93-EL-UNC et al., Entry at 4, ¶9 (May 13, 2004</w:t>
      </w:r>
      <w:r w:rsidRPr="00580BB6">
        <w:rPr>
          <w:rFonts w:ascii="Times New Roman" w:hAnsi="Times New Roman" w:cs="Times New Roman"/>
          <w:i/>
        </w:rPr>
        <w:t>); In the Matter of the Commission’ Review and Adjustment of the Fuel and Purchased Power and System Reliability Tracker Components of Duke Energy Ohio, Inc</w:t>
      </w:r>
      <w:r w:rsidRPr="00F21B81">
        <w:rPr>
          <w:rFonts w:ascii="Times New Roman" w:hAnsi="Times New Roman" w:cs="Times New Roman"/>
        </w:rPr>
        <w:t>., Case No. 02-723-EL-UNC et al., Entry at 3, ¶</w:t>
      </w:r>
      <w:r w:rsidR="00667B68" w:rsidRPr="00F21B81">
        <w:rPr>
          <w:rFonts w:ascii="Times New Roman" w:hAnsi="Times New Roman" w:cs="Times New Roman"/>
        </w:rPr>
        <w:t xml:space="preserve">7 (Cot. 29, 2007).  </w:t>
      </w:r>
    </w:p>
  </w:footnote>
  <w:footnote w:id="12">
    <w:p w:rsidR="008706CB" w:rsidRPr="00F21B81" w:rsidRDefault="008706CB" w:rsidP="00F21B81">
      <w:pPr>
        <w:pStyle w:val="FootnoteText"/>
        <w:pBdr>
          <w:top w:val="none" w:sz="96" w:space="0" w:color="FFFFFF" w:frame="1"/>
        </w:pBdr>
        <w:spacing w:after="120"/>
        <w:rPr>
          <w:rFonts w:ascii="Times New Roman" w:hAnsi="Times New Roman" w:cs="Times New Roman"/>
        </w:rPr>
      </w:pPr>
      <w:r w:rsidRPr="00F21B81">
        <w:rPr>
          <w:rStyle w:val="FootnoteReference"/>
          <w:rFonts w:ascii="Times New Roman" w:hAnsi="Times New Roman" w:cs="Times New Roman"/>
        </w:rPr>
        <w:footnoteRef/>
      </w:r>
      <w:r w:rsidRPr="00F21B81">
        <w:rPr>
          <w:rFonts w:ascii="Times New Roman" w:hAnsi="Times New Roman" w:cs="Times New Roman"/>
        </w:rPr>
        <w:t xml:space="preserve"> Duke Memo Contra at 4-5.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A" w:rsidRDefault="00D364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CB" w:rsidRDefault="008706CB">
    <w:pPr>
      <w:pStyle w:val="Heade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42A" w:rsidRDefault="00D364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38" w:rsidRDefault="00950738">
    <w:pPr>
      <w:pStyle w:val="Header"/>
      <w:pBdr>
        <w:top w:val="none" w:sz="0" w:space="0" w:color="auto"/>
        <w:left w:val="none" w:sz="0" w:space="0" w:color="auto"/>
        <w:bottom w:val="none" w:sz="0" w:space="0" w:color="auto"/>
        <w:right w:val="none" w:sz="0" w:space="0" w:color="auto"/>
        <w:bar w:val="none" w:sz="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CB" w:rsidRDefault="008706CB">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C8BEF4"/>
    <w:lvl w:ilvl="0">
      <w:start w:val="1"/>
      <w:numFmt w:val="decimal"/>
      <w:lvlText w:val="%1."/>
      <w:lvlJc w:val="left"/>
      <w:pPr>
        <w:tabs>
          <w:tab w:val="num" w:pos="1800"/>
        </w:tabs>
        <w:ind w:left="1800" w:hanging="360"/>
      </w:pPr>
    </w:lvl>
  </w:abstractNum>
  <w:abstractNum w:abstractNumId="1">
    <w:nsid w:val="FFFFFF7D"/>
    <w:multiLevelType w:val="singleLevel"/>
    <w:tmpl w:val="ECC04438"/>
    <w:lvl w:ilvl="0">
      <w:start w:val="1"/>
      <w:numFmt w:val="decimal"/>
      <w:lvlText w:val="%1."/>
      <w:lvlJc w:val="left"/>
      <w:pPr>
        <w:tabs>
          <w:tab w:val="num" w:pos="1440"/>
        </w:tabs>
        <w:ind w:left="1440" w:hanging="360"/>
      </w:pPr>
    </w:lvl>
  </w:abstractNum>
  <w:abstractNum w:abstractNumId="2">
    <w:nsid w:val="FFFFFF7E"/>
    <w:multiLevelType w:val="singleLevel"/>
    <w:tmpl w:val="F38E1004"/>
    <w:lvl w:ilvl="0">
      <w:start w:val="1"/>
      <w:numFmt w:val="decimal"/>
      <w:lvlText w:val="%1."/>
      <w:lvlJc w:val="left"/>
      <w:pPr>
        <w:tabs>
          <w:tab w:val="num" w:pos="1080"/>
        </w:tabs>
        <w:ind w:left="1080" w:hanging="360"/>
      </w:pPr>
    </w:lvl>
  </w:abstractNum>
  <w:abstractNum w:abstractNumId="3">
    <w:nsid w:val="FFFFFF7F"/>
    <w:multiLevelType w:val="singleLevel"/>
    <w:tmpl w:val="CC52DE4E"/>
    <w:lvl w:ilvl="0">
      <w:start w:val="1"/>
      <w:numFmt w:val="decimal"/>
      <w:lvlText w:val="%1."/>
      <w:lvlJc w:val="left"/>
      <w:pPr>
        <w:tabs>
          <w:tab w:val="num" w:pos="720"/>
        </w:tabs>
        <w:ind w:left="720" w:hanging="360"/>
      </w:pPr>
    </w:lvl>
  </w:abstractNum>
  <w:abstractNum w:abstractNumId="4">
    <w:nsid w:val="FFFFFF80"/>
    <w:multiLevelType w:val="singleLevel"/>
    <w:tmpl w:val="C5AA962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7DD6DF7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21E516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E8AF29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2BA8DA0"/>
    <w:lvl w:ilvl="0">
      <w:start w:val="1"/>
      <w:numFmt w:val="decimal"/>
      <w:lvlText w:val="%1."/>
      <w:lvlJc w:val="left"/>
      <w:pPr>
        <w:tabs>
          <w:tab w:val="num" w:pos="360"/>
        </w:tabs>
        <w:ind w:left="360" w:hanging="360"/>
      </w:pPr>
    </w:lvl>
  </w:abstractNum>
  <w:abstractNum w:abstractNumId="9">
    <w:nsid w:val="FFFFFF89"/>
    <w:multiLevelType w:val="singleLevel"/>
    <w:tmpl w:val="CF4C3416"/>
    <w:lvl w:ilvl="0">
      <w:start w:val="1"/>
      <w:numFmt w:val="bullet"/>
      <w:lvlText w:val=""/>
      <w:lvlJc w:val="left"/>
      <w:pPr>
        <w:tabs>
          <w:tab w:val="num" w:pos="360"/>
        </w:tabs>
        <w:ind w:left="360" w:hanging="360"/>
      </w:pPr>
      <w:rPr>
        <w:rFonts w:ascii="Symbol" w:hAnsi="Symbol" w:cs="Symbol" w:hint="default"/>
      </w:rPr>
    </w:lvl>
  </w:abstractNum>
  <w:abstractNum w:abstractNumId="10">
    <w:nsid w:val="0AAA3C94"/>
    <w:multiLevelType w:val="hybridMultilevel"/>
    <w:tmpl w:val="5FD87A3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2D431857"/>
    <w:multiLevelType w:val="hybridMultilevel"/>
    <w:tmpl w:val="270EBBBC"/>
    <w:lvl w:ilvl="0" w:tplc="81505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1615C49"/>
    <w:multiLevelType w:val="hybridMultilevel"/>
    <w:tmpl w:val="658623C6"/>
    <w:lvl w:ilvl="0" w:tplc="B262C8F8">
      <w:start w:val="1"/>
      <w:numFmt w:val="bullet"/>
      <w:lvlText w:val=""/>
      <w:lvlJc w:val="left"/>
      <w:pPr>
        <w:ind w:left="2160" w:hanging="360"/>
      </w:pPr>
      <w:rPr>
        <w:rFonts w:ascii="Symbol" w:hAnsi="Symbol" w:cs="Symbol"/>
      </w:rPr>
    </w:lvl>
    <w:lvl w:ilvl="1" w:tplc="57EA1D7A">
      <w:start w:val="1"/>
      <w:numFmt w:val="bullet"/>
      <w:lvlText w:val="o"/>
      <w:lvlJc w:val="left"/>
      <w:pPr>
        <w:ind w:left="2880" w:hanging="360"/>
      </w:pPr>
      <w:rPr>
        <w:rFonts w:ascii="Courier New" w:hAnsi="Courier New" w:cs="Courier New"/>
      </w:rPr>
    </w:lvl>
    <w:lvl w:ilvl="2" w:tplc="21FACAAE">
      <w:start w:val="1"/>
      <w:numFmt w:val="bullet"/>
      <w:lvlText w:val=""/>
      <w:lvlJc w:val="left"/>
      <w:pPr>
        <w:ind w:left="3600" w:hanging="360"/>
      </w:pPr>
      <w:rPr>
        <w:rFonts w:ascii="Wingdings" w:hAnsi="Wingdings" w:cs="Wingdings"/>
      </w:rPr>
    </w:lvl>
    <w:lvl w:ilvl="3" w:tplc="FF24BB1E">
      <w:start w:val="1"/>
      <w:numFmt w:val="bullet"/>
      <w:lvlText w:val=""/>
      <w:lvlJc w:val="left"/>
      <w:pPr>
        <w:ind w:left="4320" w:hanging="360"/>
      </w:pPr>
      <w:rPr>
        <w:rFonts w:ascii="Symbol" w:hAnsi="Symbol" w:cs="Symbol"/>
      </w:rPr>
    </w:lvl>
    <w:lvl w:ilvl="4" w:tplc="16E244F6">
      <w:start w:val="1"/>
      <w:numFmt w:val="bullet"/>
      <w:lvlText w:val="o"/>
      <w:lvlJc w:val="left"/>
      <w:pPr>
        <w:ind w:left="5040" w:hanging="360"/>
      </w:pPr>
      <w:rPr>
        <w:rFonts w:ascii="Courier New" w:hAnsi="Courier New" w:cs="Courier New"/>
      </w:rPr>
    </w:lvl>
    <w:lvl w:ilvl="5" w:tplc="111A9850">
      <w:start w:val="1"/>
      <w:numFmt w:val="bullet"/>
      <w:lvlText w:val=""/>
      <w:lvlJc w:val="left"/>
      <w:pPr>
        <w:ind w:left="5760" w:hanging="360"/>
      </w:pPr>
      <w:rPr>
        <w:rFonts w:ascii="Wingdings" w:hAnsi="Wingdings" w:cs="Wingdings"/>
      </w:rPr>
    </w:lvl>
    <w:lvl w:ilvl="6" w:tplc="CFDA8C04">
      <w:start w:val="1"/>
      <w:numFmt w:val="bullet"/>
      <w:lvlText w:val=""/>
      <w:lvlJc w:val="left"/>
      <w:pPr>
        <w:ind w:left="6480" w:hanging="360"/>
      </w:pPr>
      <w:rPr>
        <w:rFonts w:ascii="Symbol" w:hAnsi="Symbol" w:cs="Symbol"/>
      </w:rPr>
    </w:lvl>
    <w:lvl w:ilvl="7" w:tplc="FB7E9674">
      <w:start w:val="1"/>
      <w:numFmt w:val="bullet"/>
      <w:lvlText w:val="o"/>
      <w:lvlJc w:val="left"/>
      <w:pPr>
        <w:ind w:left="7200" w:hanging="360"/>
      </w:pPr>
      <w:rPr>
        <w:rFonts w:ascii="Courier New" w:hAnsi="Courier New" w:cs="Courier New"/>
      </w:rPr>
    </w:lvl>
    <w:lvl w:ilvl="8" w:tplc="5E3EFD56">
      <w:start w:val="1"/>
      <w:numFmt w:val="bullet"/>
      <w:lvlText w:val=""/>
      <w:lvlJc w:val="left"/>
      <w:pPr>
        <w:ind w:left="7920" w:hanging="360"/>
      </w:pPr>
      <w:rPr>
        <w:rFonts w:ascii="Wingdings" w:hAnsi="Wingdings" w:cs="Wingdings"/>
      </w:rPr>
    </w:lvl>
  </w:abstractNum>
  <w:abstractNum w:abstractNumId="13">
    <w:nsid w:val="49A45FF1"/>
    <w:multiLevelType w:val="hybridMultilevel"/>
    <w:tmpl w:val="9B24509A"/>
    <w:lvl w:ilvl="0" w:tplc="37A0686C">
      <w:start w:val="1"/>
      <w:numFmt w:val="bullet"/>
      <w:lvlText w:val=""/>
      <w:lvlJc w:val="left"/>
      <w:pPr>
        <w:ind w:left="720" w:hanging="360"/>
      </w:pPr>
      <w:rPr>
        <w:rFonts w:ascii="Symbol" w:hAnsi="Symbol" w:cs="Symbol"/>
      </w:rPr>
    </w:lvl>
    <w:lvl w:ilvl="1" w:tplc="5D8C4174">
      <w:start w:val="1"/>
      <w:numFmt w:val="bullet"/>
      <w:lvlText w:val="o"/>
      <w:lvlJc w:val="left"/>
      <w:pPr>
        <w:ind w:left="1440" w:hanging="360"/>
      </w:pPr>
      <w:rPr>
        <w:rFonts w:ascii="Courier New" w:hAnsi="Courier New" w:cs="Courier New"/>
      </w:rPr>
    </w:lvl>
    <w:lvl w:ilvl="2" w:tplc="8C8088D8">
      <w:start w:val="1"/>
      <w:numFmt w:val="bullet"/>
      <w:lvlText w:val=""/>
      <w:lvlJc w:val="left"/>
      <w:pPr>
        <w:ind w:left="2160" w:hanging="360"/>
      </w:pPr>
      <w:rPr>
        <w:rFonts w:ascii="Wingdings" w:hAnsi="Wingdings" w:cs="Wingdings"/>
      </w:rPr>
    </w:lvl>
    <w:lvl w:ilvl="3" w:tplc="63D422EE">
      <w:start w:val="1"/>
      <w:numFmt w:val="bullet"/>
      <w:lvlText w:val=""/>
      <w:lvlJc w:val="left"/>
      <w:pPr>
        <w:ind w:left="2880" w:hanging="360"/>
      </w:pPr>
      <w:rPr>
        <w:rFonts w:ascii="Symbol" w:hAnsi="Symbol" w:cs="Symbol"/>
      </w:rPr>
    </w:lvl>
    <w:lvl w:ilvl="4" w:tplc="76C255C0">
      <w:start w:val="1"/>
      <w:numFmt w:val="bullet"/>
      <w:lvlText w:val="o"/>
      <w:lvlJc w:val="left"/>
      <w:pPr>
        <w:ind w:left="3600" w:hanging="360"/>
      </w:pPr>
      <w:rPr>
        <w:rFonts w:ascii="Courier New" w:hAnsi="Courier New" w:cs="Courier New"/>
      </w:rPr>
    </w:lvl>
    <w:lvl w:ilvl="5" w:tplc="3D568FA4">
      <w:start w:val="1"/>
      <w:numFmt w:val="bullet"/>
      <w:lvlText w:val=""/>
      <w:lvlJc w:val="left"/>
      <w:pPr>
        <w:ind w:left="4320" w:hanging="360"/>
      </w:pPr>
      <w:rPr>
        <w:rFonts w:ascii="Wingdings" w:hAnsi="Wingdings" w:cs="Wingdings"/>
      </w:rPr>
    </w:lvl>
    <w:lvl w:ilvl="6" w:tplc="0FAC9F64">
      <w:start w:val="1"/>
      <w:numFmt w:val="bullet"/>
      <w:lvlText w:val=""/>
      <w:lvlJc w:val="left"/>
      <w:pPr>
        <w:ind w:left="5040" w:hanging="360"/>
      </w:pPr>
      <w:rPr>
        <w:rFonts w:ascii="Symbol" w:hAnsi="Symbol" w:cs="Symbol"/>
      </w:rPr>
    </w:lvl>
    <w:lvl w:ilvl="7" w:tplc="5854F64C">
      <w:start w:val="1"/>
      <w:numFmt w:val="bullet"/>
      <w:lvlText w:val="o"/>
      <w:lvlJc w:val="left"/>
      <w:pPr>
        <w:ind w:left="5760" w:hanging="360"/>
      </w:pPr>
      <w:rPr>
        <w:rFonts w:ascii="Courier New" w:hAnsi="Courier New" w:cs="Courier New"/>
      </w:rPr>
    </w:lvl>
    <w:lvl w:ilvl="8" w:tplc="873464A6">
      <w:start w:val="1"/>
      <w:numFmt w:val="bullet"/>
      <w:lvlText w:val=""/>
      <w:lvlJc w:val="left"/>
      <w:pPr>
        <w:ind w:left="6480" w:hanging="360"/>
      </w:pPr>
      <w:rPr>
        <w:rFonts w:ascii="Wingdings" w:hAnsi="Wingdings" w:cs="Wingdings"/>
      </w:rPr>
    </w:lvl>
  </w:abstractNum>
  <w:abstractNum w:abstractNumId="14">
    <w:nsid w:val="4B9B442A"/>
    <w:multiLevelType w:val="hybridMultilevel"/>
    <w:tmpl w:val="A7A29E6E"/>
    <w:lvl w:ilvl="0" w:tplc="73BC6932">
      <w:start w:val="1"/>
      <w:numFmt w:val="decimal"/>
      <w:lvlText w:val="(%1)"/>
      <w:lvlJc w:val="left"/>
      <w:pPr>
        <w:ind w:left="1785" w:hanging="106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B20A7A"/>
    <w:multiLevelType w:val="hybridMultilevel"/>
    <w:tmpl w:val="1A601B70"/>
    <w:lvl w:ilvl="0" w:tplc="694E5C9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2"/>
  </w:num>
  <w:num w:numId="3">
    <w:abstractNumId w:val="15"/>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2"/>
  </w:compat>
  <w:rsids>
    <w:rsidRoot w:val="008C514F"/>
    <w:rsid w:val="00001512"/>
    <w:rsid w:val="00004DBB"/>
    <w:rsid w:val="00006085"/>
    <w:rsid w:val="000060B6"/>
    <w:rsid w:val="00007788"/>
    <w:rsid w:val="000119BC"/>
    <w:rsid w:val="0002454D"/>
    <w:rsid w:val="000267A4"/>
    <w:rsid w:val="000718AB"/>
    <w:rsid w:val="0007237B"/>
    <w:rsid w:val="00072C1B"/>
    <w:rsid w:val="0008341A"/>
    <w:rsid w:val="0009721B"/>
    <w:rsid w:val="000A162C"/>
    <w:rsid w:val="000A5003"/>
    <w:rsid w:val="000C245F"/>
    <w:rsid w:val="000C60AB"/>
    <w:rsid w:val="000C68C2"/>
    <w:rsid w:val="000F1883"/>
    <w:rsid w:val="0010324B"/>
    <w:rsid w:val="0010377E"/>
    <w:rsid w:val="00103D03"/>
    <w:rsid w:val="00107C54"/>
    <w:rsid w:val="0011149C"/>
    <w:rsid w:val="0011700E"/>
    <w:rsid w:val="00130A01"/>
    <w:rsid w:val="00130D6D"/>
    <w:rsid w:val="0013221C"/>
    <w:rsid w:val="00141B81"/>
    <w:rsid w:val="001458CD"/>
    <w:rsid w:val="00151EFB"/>
    <w:rsid w:val="00153425"/>
    <w:rsid w:val="0015568A"/>
    <w:rsid w:val="00160D84"/>
    <w:rsid w:val="00170D56"/>
    <w:rsid w:val="001733DB"/>
    <w:rsid w:val="00175FE1"/>
    <w:rsid w:val="001903DB"/>
    <w:rsid w:val="00194B57"/>
    <w:rsid w:val="00195109"/>
    <w:rsid w:val="00197BA3"/>
    <w:rsid w:val="001A1931"/>
    <w:rsid w:val="001E6335"/>
    <w:rsid w:val="001F5F9A"/>
    <w:rsid w:val="00220F3F"/>
    <w:rsid w:val="00230206"/>
    <w:rsid w:val="00235340"/>
    <w:rsid w:val="0023542A"/>
    <w:rsid w:val="0023639F"/>
    <w:rsid w:val="0024102C"/>
    <w:rsid w:val="0024374B"/>
    <w:rsid w:val="00244AA8"/>
    <w:rsid w:val="00244CCC"/>
    <w:rsid w:val="002457B8"/>
    <w:rsid w:val="00246E35"/>
    <w:rsid w:val="0024710E"/>
    <w:rsid w:val="0025484B"/>
    <w:rsid w:val="00254DF7"/>
    <w:rsid w:val="00261416"/>
    <w:rsid w:val="00273DAA"/>
    <w:rsid w:val="00277A1B"/>
    <w:rsid w:val="00281D3C"/>
    <w:rsid w:val="00293195"/>
    <w:rsid w:val="002A28ED"/>
    <w:rsid w:val="002C656B"/>
    <w:rsid w:val="002D75E6"/>
    <w:rsid w:val="002D7A78"/>
    <w:rsid w:val="002E2FF4"/>
    <w:rsid w:val="002E5BE4"/>
    <w:rsid w:val="002F1FB7"/>
    <w:rsid w:val="00303D45"/>
    <w:rsid w:val="003102BA"/>
    <w:rsid w:val="003118C9"/>
    <w:rsid w:val="00316023"/>
    <w:rsid w:val="00321255"/>
    <w:rsid w:val="00330A55"/>
    <w:rsid w:val="00333F14"/>
    <w:rsid w:val="00336226"/>
    <w:rsid w:val="003376D6"/>
    <w:rsid w:val="003627AD"/>
    <w:rsid w:val="003634B8"/>
    <w:rsid w:val="00363535"/>
    <w:rsid w:val="0036519C"/>
    <w:rsid w:val="00371AD8"/>
    <w:rsid w:val="00380793"/>
    <w:rsid w:val="003927D3"/>
    <w:rsid w:val="003979A8"/>
    <w:rsid w:val="003A4C64"/>
    <w:rsid w:val="003B181F"/>
    <w:rsid w:val="003C27A2"/>
    <w:rsid w:val="003C4DE6"/>
    <w:rsid w:val="003D022D"/>
    <w:rsid w:val="003D3343"/>
    <w:rsid w:val="003D6351"/>
    <w:rsid w:val="003E1387"/>
    <w:rsid w:val="00405CD7"/>
    <w:rsid w:val="00406E08"/>
    <w:rsid w:val="00410AC9"/>
    <w:rsid w:val="00410D78"/>
    <w:rsid w:val="00412611"/>
    <w:rsid w:val="004129E7"/>
    <w:rsid w:val="004154B7"/>
    <w:rsid w:val="00425662"/>
    <w:rsid w:val="00433828"/>
    <w:rsid w:val="00433CEA"/>
    <w:rsid w:val="00435BA0"/>
    <w:rsid w:val="00446F29"/>
    <w:rsid w:val="00456D48"/>
    <w:rsid w:val="00457A1B"/>
    <w:rsid w:val="00464B38"/>
    <w:rsid w:val="0046788D"/>
    <w:rsid w:val="0047262F"/>
    <w:rsid w:val="00480263"/>
    <w:rsid w:val="00481EEE"/>
    <w:rsid w:val="00490E3A"/>
    <w:rsid w:val="004947C5"/>
    <w:rsid w:val="004A5FF3"/>
    <w:rsid w:val="004A676D"/>
    <w:rsid w:val="004A7D52"/>
    <w:rsid w:val="004C12D1"/>
    <w:rsid w:val="004C2928"/>
    <w:rsid w:val="004C2F16"/>
    <w:rsid w:val="004C3B36"/>
    <w:rsid w:val="004C5797"/>
    <w:rsid w:val="004C7DD3"/>
    <w:rsid w:val="004D4A0B"/>
    <w:rsid w:val="004E001E"/>
    <w:rsid w:val="004E75CF"/>
    <w:rsid w:val="004F5F3F"/>
    <w:rsid w:val="00506E84"/>
    <w:rsid w:val="00507D34"/>
    <w:rsid w:val="00511079"/>
    <w:rsid w:val="005223A1"/>
    <w:rsid w:val="00524B2E"/>
    <w:rsid w:val="005439C7"/>
    <w:rsid w:val="005658D1"/>
    <w:rsid w:val="00566A4B"/>
    <w:rsid w:val="00572B45"/>
    <w:rsid w:val="0058086D"/>
    <w:rsid w:val="00580BB6"/>
    <w:rsid w:val="005810FA"/>
    <w:rsid w:val="005814AC"/>
    <w:rsid w:val="0059664F"/>
    <w:rsid w:val="005B306C"/>
    <w:rsid w:val="005B5EDD"/>
    <w:rsid w:val="005B644A"/>
    <w:rsid w:val="005D0567"/>
    <w:rsid w:val="005D446C"/>
    <w:rsid w:val="005F74BE"/>
    <w:rsid w:val="006025C4"/>
    <w:rsid w:val="00605723"/>
    <w:rsid w:val="0060624D"/>
    <w:rsid w:val="006110FE"/>
    <w:rsid w:val="00614010"/>
    <w:rsid w:val="00615C06"/>
    <w:rsid w:val="00615E5F"/>
    <w:rsid w:val="00617C0E"/>
    <w:rsid w:val="0062241F"/>
    <w:rsid w:val="00624456"/>
    <w:rsid w:val="0063617F"/>
    <w:rsid w:val="0063718D"/>
    <w:rsid w:val="00644827"/>
    <w:rsid w:val="006448D9"/>
    <w:rsid w:val="006451F9"/>
    <w:rsid w:val="00652759"/>
    <w:rsid w:val="00660A3F"/>
    <w:rsid w:val="006617C0"/>
    <w:rsid w:val="00664BE1"/>
    <w:rsid w:val="00665387"/>
    <w:rsid w:val="006676A0"/>
    <w:rsid w:val="00667B68"/>
    <w:rsid w:val="00673C6B"/>
    <w:rsid w:val="0068220F"/>
    <w:rsid w:val="00683D5B"/>
    <w:rsid w:val="006951B4"/>
    <w:rsid w:val="006C35CF"/>
    <w:rsid w:val="006D3DC9"/>
    <w:rsid w:val="006D6746"/>
    <w:rsid w:val="006D6976"/>
    <w:rsid w:val="006E624A"/>
    <w:rsid w:val="006F016E"/>
    <w:rsid w:val="006F0786"/>
    <w:rsid w:val="00707E46"/>
    <w:rsid w:val="007102E9"/>
    <w:rsid w:val="00724409"/>
    <w:rsid w:val="00727E36"/>
    <w:rsid w:val="0073204B"/>
    <w:rsid w:val="007378F9"/>
    <w:rsid w:val="00757931"/>
    <w:rsid w:val="0077337D"/>
    <w:rsid w:val="00781BAF"/>
    <w:rsid w:val="00783480"/>
    <w:rsid w:val="007867C3"/>
    <w:rsid w:val="007A0879"/>
    <w:rsid w:val="007B5DEC"/>
    <w:rsid w:val="007C4269"/>
    <w:rsid w:val="007C7A41"/>
    <w:rsid w:val="007D52E0"/>
    <w:rsid w:val="007D6AF1"/>
    <w:rsid w:val="007E1745"/>
    <w:rsid w:val="008008E1"/>
    <w:rsid w:val="00802DEB"/>
    <w:rsid w:val="00812EF5"/>
    <w:rsid w:val="00816D7A"/>
    <w:rsid w:val="00822CE4"/>
    <w:rsid w:val="008257F4"/>
    <w:rsid w:val="00832287"/>
    <w:rsid w:val="00833194"/>
    <w:rsid w:val="00833283"/>
    <w:rsid w:val="008354E7"/>
    <w:rsid w:val="00852111"/>
    <w:rsid w:val="00855436"/>
    <w:rsid w:val="00855D1B"/>
    <w:rsid w:val="00860B48"/>
    <w:rsid w:val="008706CB"/>
    <w:rsid w:val="00871818"/>
    <w:rsid w:val="00871C3D"/>
    <w:rsid w:val="00876F47"/>
    <w:rsid w:val="008773AD"/>
    <w:rsid w:val="00884DAE"/>
    <w:rsid w:val="00890153"/>
    <w:rsid w:val="008B106B"/>
    <w:rsid w:val="008B349D"/>
    <w:rsid w:val="008B7A6A"/>
    <w:rsid w:val="008C514F"/>
    <w:rsid w:val="008C5F49"/>
    <w:rsid w:val="008D37BB"/>
    <w:rsid w:val="008E417E"/>
    <w:rsid w:val="008F0DA0"/>
    <w:rsid w:val="00924306"/>
    <w:rsid w:val="0093054D"/>
    <w:rsid w:val="00930B32"/>
    <w:rsid w:val="009337C4"/>
    <w:rsid w:val="0093479F"/>
    <w:rsid w:val="00950738"/>
    <w:rsid w:val="0095468A"/>
    <w:rsid w:val="00962685"/>
    <w:rsid w:val="00965835"/>
    <w:rsid w:val="00965BE2"/>
    <w:rsid w:val="00976242"/>
    <w:rsid w:val="00986FB8"/>
    <w:rsid w:val="0099253A"/>
    <w:rsid w:val="009B4AF6"/>
    <w:rsid w:val="009B715F"/>
    <w:rsid w:val="009C5630"/>
    <w:rsid w:val="009D0450"/>
    <w:rsid w:val="009D4B91"/>
    <w:rsid w:val="009E121F"/>
    <w:rsid w:val="009E4C16"/>
    <w:rsid w:val="009E7947"/>
    <w:rsid w:val="009F4840"/>
    <w:rsid w:val="00A202FB"/>
    <w:rsid w:val="00A37218"/>
    <w:rsid w:val="00A41224"/>
    <w:rsid w:val="00A45521"/>
    <w:rsid w:val="00A517AA"/>
    <w:rsid w:val="00A52863"/>
    <w:rsid w:val="00A53920"/>
    <w:rsid w:val="00A6059F"/>
    <w:rsid w:val="00A613FD"/>
    <w:rsid w:val="00A6312A"/>
    <w:rsid w:val="00A64353"/>
    <w:rsid w:val="00A6658F"/>
    <w:rsid w:val="00A77276"/>
    <w:rsid w:val="00A83DD5"/>
    <w:rsid w:val="00A87433"/>
    <w:rsid w:val="00A90D25"/>
    <w:rsid w:val="00A9106D"/>
    <w:rsid w:val="00A9159A"/>
    <w:rsid w:val="00A9345D"/>
    <w:rsid w:val="00AA2A06"/>
    <w:rsid w:val="00AA4DDD"/>
    <w:rsid w:val="00AA6A2A"/>
    <w:rsid w:val="00AB12F2"/>
    <w:rsid w:val="00AB7A55"/>
    <w:rsid w:val="00AC1C79"/>
    <w:rsid w:val="00AC6AA1"/>
    <w:rsid w:val="00AC7D44"/>
    <w:rsid w:val="00AE774B"/>
    <w:rsid w:val="00AF4520"/>
    <w:rsid w:val="00AF735C"/>
    <w:rsid w:val="00B02678"/>
    <w:rsid w:val="00B03B77"/>
    <w:rsid w:val="00B20315"/>
    <w:rsid w:val="00B21E91"/>
    <w:rsid w:val="00B240D0"/>
    <w:rsid w:val="00B245F4"/>
    <w:rsid w:val="00B350C1"/>
    <w:rsid w:val="00B354FC"/>
    <w:rsid w:val="00B36D82"/>
    <w:rsid w:val="00B423E1"/>
    <w:rsid w:val="00B51233"/>
    <w:rsid w:val="00B54B9D"/>
    <w:rsid w:val="00B73512"/>
    <w:rsid w:val="00B83330"/>
    <w:rsid w:val="00B839B5"/>
    <w:rsid w:val="00B839EC"/>
    <w:rsid w:val="00B8635E"/>
    <w:rsid w:val="00B9615E"/>
    <w:rsid w:val="00BB120D"/>
    <w:rsid w:val="00BD1E91"/>
    <w:rsid w:val="00BE0C1B"/>
    <w:rsid w:val="00BF1430"/>
    <w:rsid w:val="00BF200F"/>
    <w:rsid w:val="00BF2DD3"/>
    <w:rsid w:val="00C06BE7"/>
    <w:rsid w:val="00C25586"/>
    <w:rsid w:val="00C320BF"/>
    <w:rsid w:val="00C34178"/>
    <w:rsid w:val="00C4072B"/>
    <w:rsid w:val="00C42587"/>
    <w:rsid w:val="00C44B67"/>
    <w:rsid w:val="00C450C6"/>
    <w:rsid w:val="00C4666D"/>
    <w:rsid w:val="00C50B13"/>
    <w:rsid w:val="00C57C6C"/>
    <w:rsid w:val="00C60584"/>
    <w:rsid w:val="00C66306"/>
    <w:rsid w:val="00C833B5"/>
    <w:rsid w:val="00C84AFF"/>
    <w:rsid w:val="00C936A3"/>
    <w:rsid w:val="00C95D43"/>
    <w:rsid w:val="00C96CF4"/>
    <w:rsid w:val="00CA6D92"/>
    <w:rsid w:val="00CB2070"/>
    <w:rsid w:val="00CC10E2"/>
    <w:rsid w:val="00CC3965"/>
    <w:rsid w:val="00CD59BB"/>
    <w:rsid w:val="00CE2C41"/>
    <w:rsid w:val="00CE5B2A"/>
    <w:rsid w:val="00D07E6E"/>
    <w:rsid w:val="00D112DE"/>
    <w:rsid w:val="00D16E58"/>
    <w:rsid w:val="00D34421"/>
    <w:rsid w:val="00D3642A"/>
    <w:rsid w:val="00D405A6"/>
    <w:rsid w:val="00D406FC"/>
    <w:rsid w:val="00D42A73"/>
    <w:rsid w:val="00D4556A"/>
    <w:rsid w:val="00D46AEB"/>
    <w:rsid w:val="00D4746D"/>
    <w:rsid w:val="00D47C12"/>
    <w:rsid w:val="00D5200C"/>
    <w:rsid w:val="00D55659"/>
    <w:rsid w:val="00D604C5"/>
    <w:rsid w:val="00D64A6D"/>
    <w:rsid w:val="00D6668B"/>
    <w:rsid w:val="00D72888"/>
    <w:rsid w:val="00D8080F"/>
    <w:rsid w:val="00D81E4E"/>
    <w:rsid w:val="00DB0DDD"/>
    <w:rsid w:val="00DB4637"/>
    <w:rsid w:val="00DC1622"/>
    <w:rsid w:val="00DC4D96"/>
    <w:rsid w:val="00DD3EA2"/>
    <w:rsid w:val="00DE2F7D"/>
    <w:rsid w:val="00DF1A2E"/>
    <w:rsid w:val="00DF40C7"/>
    <w:rsid w:val="00DF4330"/>
    <w:rsid w:val="00DF765D"/>
    <w:rsid w:val="00E00C6D"/>
    <w:rsid w:val="00E056CB"/>
    <w:rsid w:val="00E256F6"/>
    <w:rsid w:val="00E267F4"/>
    <w:rsid w:val="00E4113E"/>
    <w:rsid w:val="00E41A36"/>
    <w:rsid w:val="00E4473C"/>
    <w:rsid w:val="00E45141"/>
    <w:rsid w:val="00E54450"/>
    <w:rsid w:val="00E57B82"/>
    <w:rsid w:val="00E71A6B"/>
    <w:rsid w:val="00E72E74"/>
    <w:rsid w:val="00E74498"/>
    <w:rsid w:val="00E750FC"/>
    <w:rsid w:val="00E83E79"/>
    <w:rsid w:val="00E84434"/>
    <w:rsid w:val="00E8569C"/>
    <w:rsid w:val="00E91B9A"/>
    <w:rsid w:val="00E945E6"/>
    <w:rsid w:val="00E95EE6"/>
    <w:rsid w:val="00E9604D"/>
    <w:rsid w:val="00EB6B8E"/>
    <w:rsid w:val="00ED193A"/>
    <w:rsid w:val="00EE31F8"/>
    <w:rsid w:val="00EE4D0C"/>
    <w:rsid w:val="00EF34AA"/>
    <w:rsid w:val="00F02E2C"/>
    <w:rsid w:val="00F048FE"/>
    <w:rsid w:val="00F21B81"/>
    <w:rsid w:val="00F220D9"/>
    <w:rsid w:val="00F2232F"/>
    <w:rsid w:val="00F26972"/>
    <w:rsid w:val="00F27A7A"/>
    <w:rsid w:val="00F516AD"/>
    <w:rsid w:val="00F624A2"/>
    <w:rsid w:val="00F629C8"/>
    <w:rsid w:val="00F636E2"/>
    <w:rsid w:val="00F642C9"/>
    <w:rsid w:val="00F6720A"/>
    <w:rsid w:val="00F72D59"/>
    <w:rsid w:val="00F826BE"/>
    <w:rsid w:val="00F8662A"/>
    <w:rsid w:val="00FA06FA"/>
    <w:rsid w:val="00FA4F04"/>
    <w:rsid w:val="00FA6159"/>
    <w:rsid w:val="00FA6FF2"/>
    <w:rsid w:val="00FB339E"/>
    <w:rsid w:val="00FB4D07"/>
    <w:rsid w:val="00FB5AB9"/>
    <w:rsid w:val="00FC2FAC"/>
    <w:rsid w:val="00FC5152"/>
    <w:rsid w:val="00FD1E6D"/>
    <w:rsid w:val="00FD2743"/>
    <w:rsid w:val="00FE1587"/>
    <w:rsid w:val="00FE5F33"/>
    <w:rsid w:val="00FF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91"/>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24102C"/>
    <w:pPr>
      <w:keepNext/>
      <w:keepLines/>
      <w:spacing w:after="240"/>
      <w:ind w:left="720" w:hanging="720"/>
      <w:outlineLvl w:val="0"/>
    </w:pPr>
    <w:rPr>
      <w:rFonts w:ascii="Times New Roman Bold" w:eastAsia="Times New Roman" w:hAnsi="Times New Roman Bold"/>
      <w:b/>
      <w:bCs/>
      <w:caps/>
    </w:rPr>
  </w:style>
  <w:style w:type="paragraph" w:styleId="Heading2">
    <w:name w:val="heading 2"/>
    <w:basedOn w:val="Normal"/>
    <w:next w:val="Normal"/>
    <w:link w:val="Heading2Char"/>
    <w:autoRedefine/>
    <w:uiPriority w:val="99"/>
    <w:qFormat/>
    <w:rsid w:val="0024102C"/>
    <w:pPr>
      <w:keepNext/>
      <w:keepLines/>
      <w:pBdr>
        <w:top w:val="none" w:sz="0" w:space="0" w:color="auto"/>
        <w:left w:val="none" w:sz="0" w:space="0" w:color="auto"/>
        <w:bottom w:val="none" w:sz="0" w:space="0" w:color="auto"/>
        <w:right w:val="none" w:sz="0" w:space="0" w:color="auto"/>
        <w:bar w:val="none" w:sz="0" w:color="auto"/>
      </w:pBdr>
      <w:spacing w:after="240"/>
      <w:ind w:left="144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02C"/>
    <w:rPr>
      <w:rFonts w:ascii="Times New Roman Bold" w:eastAsia="Times New Roman" w:hAnsi="Times New Roman Bold"/>
      <w:b/>
      <w:bCs/>
      <w:caps/>
      <w:sz w:val="24"/>
      <w:szCs w:val="24"/>
    </w:rPr>
  </w:style>
  <w:style w:type="character" w:customStyle="1" w:styleId="Heading2Char">
    <w:name w:val="Heading 2 Char"/>
    <w:basedOn w:val="DefaultParagraphFont"/>
    <w:link w:val="Heading2"/>
    <w:uiPriority w:val="99"/>
    <w:locked/>
    <w:rsid w:val="0024102C"/>
    <w:rPr>
      <w:rFonts w:ascii="Times New Roman Bold" w:eastAsia="Times New Roman" w:hAnsi="Times New Roman Bold" w:cs="Times New Roman Bold"/>
      <w:b/>
      <w:bCs/>
      <w:sz w:val="24"/>
      <w:szCs w:val="24"/>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
    <w:rsid w:val="00BF1430"/>
    <w:pPr>
      <w:widowControl w:val="0"/>
    </w:pPr>
    <w:rPr>
      <w:rFonts w:ascii="Calibri" w:hAnsi="Calibri" w:cs="Calibri"/>
      <w:color w:val="000000"/>
      <w:sz w:val="20"/>
      <w:szCs w:val="20"/>
      <w:u w:color="00000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
    <w:basedOn w:val="DefaultParagraphFont"/>
    <w:link w:val="FootnoteText"/>
    <w:semiHidden/>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uiPriority w:val="99"/>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uiPriority w:val="99"/>
    <w:semiHidden/>
    <w:rsid w:val="00BF1430"/>
    <w:rPr>
      <w:rFonts w:eastAsia="Times New Roman"/>
      <w:color w:val="000000"/>
      <w:u w:color="000000"/>
    </w:rPr>
  </w:style>
  <w:style w:type="character" w:customStyle="1" w:styleId="CommentTextChar">
    <w:name w:val="Comment Text Char"/>
    <w:basedOn w:val="DefaultParagraphFont"/>
    <w:link w:val="CommentText"/>
    <w:uiPriority w:val="99"/>
    <w:semiHidden/>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99"/>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aliases w:val="o,fr,Style 3,Style 13,Appel note de bas de p,Style 12,(NECG) Footnote Reference,Style 124"/>
    <w:basedOn w:val="DefaultParagraphFont"/>
    <w:uiPriority w:val="99"/>
    <w:rsid w:val="00446F29"/>
    <w:rPr>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39"/>
    <w:qFormat/>
    <w:rsid w:val="00E45141"/>
    <w:pPr>
      <w:pBdr>
        <w:bottom w:val="none" w:sz="96" w:space="1" w:color="FFFFFF" w:frame="1"/>
      </w:pBdr>
      <w:tabs>
        <w:tab w:val="decimal" w:leader="dot" w:pos="8640"/>
      </w:tabs>
      <w:spacing w:after="240"/>
      <w:ind w:left="1440" w:hanging="1440"/>
    </w:pPr>
    <w:rPr>
      <w:caps/>
    </w:rPr>
  </w:style>
  <w:style w:type="paragraph" w:styleId="TOC2">
    <w:name w:val="toc 2"/>
    <w:basedOn w:val="Normal"/>
    <w:next w:val="Normal"/>
    <w:autoRedefine/>
    <w:uiPriority w:val="39"/>
    <w:qFormat/>
    <w:rsid w:val="00E45141"/>
    <w:pPr>
      <w:pBdr>
        <w:bottom w:val="none" w:sz="96" w:space="1" w:color="FFFFFF" w:frame="1"/>
      </w:pBdr>
      <w:tabs>
        <w:tab w:val="decimal" w:leader="dot" w:pos="8640"/>
      </w:tabs>
      <w:spacing w:after="24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5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890153"/>
    <w:pPr>
      <w:keepNext/>
      <w:keepLines/>
      <w:spacing w:after="240"/>
      <w:ind w:left="720" w:hanging="720"/>
      <w:outlineLvl w:val="0"/>
    </w:pPr>
    <w:rPr>
      <w:rFonts w:eastAsia="Times New Roman"/>
      <w:b/>
      <w:bCs/>
      <w:caps/>
    </w:rPr>
  </w:style>
  <w:style w:type="paragraph" w:styleId="Heading2">
    <w:name w:val="heading 2"/>
    <w:basedOn w:val="Normal"/>
    <w:next w:val="Normal"/>
    <w:link w:val="Heading2Char"/>
    <w:autoRedefine/>
    <w:uiPriority w:val="99"/>
    <w:qFormat/>
    <w:rsid w:val="00890153"/>
    <w:pPr>
      <w:keepNext/>
      <w:keepLines/>
      <w:spacing w:after="240"/>
      <w:ind w:left="1440" w:right="72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153"/>
    <w:rPr>
      <w:rFonts w:eastAsia="Times New Roman"/>
      <w:b/>
      <w:bCs/>
      <w:caps/>
      <w:sz w:val="28"/>
      <w:szCs w:val="28"/>
    </w:rPr>
  </w:style>
  <w:style w:type="character" w:customStyle="1" w:styleId="Heading2Char">
    <w:name w:val="Heading 2 Char"/>
    <w:basedOn w:val="DefaultParagraphFont"/>
    <w:link w:val="Heading2"/>
    <w:uiPriority w:val="99"/>
    <w:locked/>
    <w:rsid w:val="00890153"/>
    <w:rPr>
      <w:rFonts w:ascii="Times New Roman Bold" w:hAnsi="Times New Roman Bold" w:cs="Times New Roman Bold"/>
      <w:b/>
      <w:bCs/>
      <w:sz w:val="26"/>
      <w:szCs w:val="26"/>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uiPriority w:val="99"/>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basedOn w:val="Normal"/>
    <w:link w:val="FootnoteTextChar"/>
    <w:uiPriority w:val="99"/>
    <w:semiHidden/>
    <w:rsid w:val="00BF1430"/>
    <w:pPr>
      <w:widowControl w:val="0"/>
    </w:pPr>
    <w:rPr>
      <w:rFonts w:ascii="Calibri" w:hAnsi="Calibri" w:cs="Calibri"/>
      <w:color w:val="000000"/>
      <w:sz w:val="20"/>
      <w:szCs w:val="20"/>
      <w:u w:color="000000"/>
    </w:rPr>
  </w:style>
  <w:style w:type="character" w:customStyle="1" w:styleId="FootnoteTextChar">
    <w:name w:val="Footnote Text Char"/>
    <w:basedOn w:val="DefaultParagraphFont"/>
    <w:link w:val="FootnoteText"/>
    <w:uiPriority w:val="99"/>
    <w:semiHidden/>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uiPriority w:val="99"/>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uiPriority w:val="99"/>
    <w:semiHidden/>
    <w:rsid w:val="00BF1430"/>
    <w:rPr>
      <w:rFonts w:eastAsia="Times New Roman"/>
      <w:color w:val="000000"/>
      <w:u w:color="000000"/>
    </w:rPr>
  </w:style>
  <w:style w:type="character" w:customStyle="1" w:styleId="CommentTextChar">
    <w:name w:val="Comment Text Char"/>
    <w:basedOn w:val="DefaultParagraphFont"/>
    <w:link w:val="CommentText"/>
    <w:uiPriority w:val="99"/>
    <w:semiHidden/>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99"/>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basedOn w:val="DefaultParagraphFont"/>
    <w:uiPriority w:val="99"/>
    <w:semiHidden/>
    <w:rsid w:val="00446F29"/>
    <w:rPr>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99"/>
    <w:semiHidden/>
    <w:rsid w:val="007102E9"/>
    <w:pPr>
      <w:tabs>
        <w:tab w:val="decimal" w:leader="dot" w:pos="8640"/>
      </w:tabs>
      <w:spacing w:after="240"/>
      <w:ind w:left="720" w:hanging="720"/>
    </w:pPr>
    <w:rPr>
      <w:caps/>
    </w:rPr>
  </w:style>
  <w:style w:type="paragraph" w:styleId="TOC2">
    <w:name w:val="toc 2"/>
    <w:basedOn w:val="Normal"/>
    <w:next w:val="Normal"/>
    <w:autoRedefine/>
    <w:uiPriority w:val="99"/>
    <w:semiHidden/>
    <w:rsid w:val="007102E9"/>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830">
      <w:marLeft w:val="0"/>
      <w:marRight w:val="0"/>
      <w:marTop w:val="0"/>
      <w:marBottom w:val="0"/>
      <w:divBdr>
        <w:top w:val="none" w:sz="0" w:space="0" w:color="auto"/>
        <w:left w:val="none" w:sz="0" w:space="0" w:color="auto"/>
        <w:bottom w:val="none" w:sz="0" w:space="0" w:color="auto"/>
        <w:right w:val="none" w:sz="0" w:space="0" w:color="auto"/>
      </w:divBdr>
    </w:div>
    <w:div w:id="431052831">
      <w:marLeft w:val="0"/>
      <w:marRight w:val="0"/>
      <w:marTop w:val="0"/>
      <w:marBottom w:val="0"/>
      <w:divBdr>
        <w:top w:val="none" w:sz="0" w:space="0" w:color="auto"/>
        <w:left w:val="none" w:sz="0" w:space="0" w:color="auto"/>
        <w:bottom w:val="none" w:sz="0" w:space="0" w:color="auto"/>
        <w:right w:val="none" w:sz="0" w:space="0" w:color="auto"/>
      </w:divBdr>
    </w:div>
    <w:div w:id="17518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Ryan.orourke@puc.state.oh.us" TargetMode="External"/><Relationship Id="rId26" Type="http://schemas.openxmlformats.org/officeDocument/2006/relationships/hyperlink" Target="mailto:cmooney@ohiopartners.org" TargetMode="External"/><Relationship Id="rId39" Type="http://schemas.openxmlformats.org/officeDocument/2006/relationships/hyperlink" Target="mailto:Elizabeth.watts@duke-energy.com" TargetMode="External"/><Relationship Id="rId21" Type="http://schemas.openxmlformats.org/officeDocument/2006/relationships/hyperlink" Target="mailto:jkylercohn@BKLlawfirm.com" TargetMode="External"/><Relationship Id="rId34" Type="http://schemas.openxmlformats.org/officeDocument/2006/relationships/hyperlink" Target="mailto:mjsettineri@vorys.com" TargetMode="External"/><Relationship Id="rId42" Type="http://schemas.openxmlformats.org/officeDocument/2006/relationships/hyperlink" Target="mailto:haydenm@firstenergycorp.com" TargetMode="External"/><Relationship Id="rId47" Type="http://schemas.openxmlformats.org/officeDocument/2006/relationships/hyperlink" Target="mailto:joseph.clark@directenergy.com" TargetMode="External"/><Relationship Id="rId50" Type="http://schemas.openxmlformats.org/officeDocument/2006/relationships/hyperlink" Target="mailto:mpritchard@mwncmh.com" TargetMode="External"/><Relationship Id="rId55" Type="http://schemas.openxmlformats.org/officeDocument/2006/relationships/hyperlink" Target="mailto:gpoulos@enernoc.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Steven.beeler@puc.state.oh.us" TargetMode="External"/><Relationship Id="rId20" Type="http://schemas.openxmlformats.org/officeDocument/2006/relationships/hyperlink" Target="mailto:mkurtz@BKLlawfirm.com" TargetMode="External"/><Relationship Id="rId29" Type="http://schemas.openxmlformats.org/officeDocument/2006/relationships/hyperlink" Target="mailto:yalami@aep.com" TargetMode="External"/><Relationship Id="rId41" Type="http://schemas.openxmlformats.org/officeDocument/2006/relationships/hyperlink" Target="mailto:Jeanne.Kingery@duke-energy.com" TargetMode="External"/><Relationship Id="rId54" Type="http://schemas.openxmlformats.org/officeDocument/2006/relationships/hyperlink" Target="mailto:cloucas@ohiopartners.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ojko@carpenterlipps.com" TargetMode="External"/><Relationship Id="rId32" Type="http://schemas.openxmlformats.org/officeDocument/2006/relationships/hyperlink" Target="mailto:hussey@carpenterlipps.com" TargetMode="External"/><Relationship Id="rId37" Type="http://schemas.openxmlformats.org/officeDocument/2006/relationships/hyperlink" Target="mailto:mtraven@ralaw.com" TargetMode="External"/><Relationship Id="rId40" Type="http://schemas.openxmlformats.org/officeDocument/2006/relationships/hyperlink" Target="mailto:Rocco.dascenzo@duke-energy.com" TargetMode="External"/><Relationship Id="rId45" Type="http://schemas.openxmlformats.org/officeDocument/2006/relationships/hyperlink" Target="mailto:joliker@igsenergy.com" TargetMode="External"/><Relationship Id="rId53" Type="http://schemas.openxmlformats.org/officeDocument/2006/relationships/hyperlink" Target="mailto:dhart@douglasehart.com" TargetMode="External"/><Relationship Id="rId58" Type="http://schemas.openxmlformats.org/officeDocument/2006/relationships/hyperlink" Target="mailto:ghull@eckertseamans.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Judi.sobecki@aes.com" TargetMode="External"/><Relationship Id="rId28" Type="http://schemas.openxmlformats.org/officeDocument/2006/relationships/hyperlink" Target="mailto:mjsatterwhite@aep.com" TargetMode="External"/><Relationship Id="rId36" Type="http://schemas.openxmlformats.org/officeDocument/2006/relationships/hyperlink" Target="mailto:dmason@ralaw.com" TargetMode="External"/><Relationship Id="rId49" Type="http://schemas.openxmlformats.org/officeDocument/2006/relationships/hyperlink" Target="mailto:fdarr@mwncmh.com" TargetMode="External"/><Relationship Id="rId57" Type="http://schemas.openxmlformats.org/officeDocument/2006/relationships/hyperlink" Target="mailto:tobrien@bricker.com" TargetMode="External"/><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boehm@BKLlawfirm.com" TargetMode="External"/><Relationship Id="rId31" Type="http://schemas.openxmlformats.org/officeDocument/2006/relationships/hyperlink" Target="mailto:mkimbrough@keglerbrown.com" TargetMode="External"/><Relationship Id="rId44" Type="http://schemas.openxmlformats.org/officeDocument/2006/relationships/hyperlink" Target="mailto:scasto@firstenergycorp.com" TargetMode="External"/><Relationship Id="rId52" Type="http://schemas.openxmlformats.org/officeDocument/2006/relationships/hyperlink" Target="mailto:tdougherty@theOEC.org"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Schmidt@sppgrp.com" TargetMode="External"/><Relationship Id="rId27" Type="http://schemas.openxmlformats.org/officeDocument/2006/relationships/hyperlink" Target="mailto:stnourse@aep.com" TargetMode="External"/><Relationship Id="rId30" Type="http://schemas.openxmlformats.org/officeDocument/2006/relationships/hyperlink" Target="mailto:asonderman@keglerbrown.com" TargetMode="External"/><Relationship Id="rId35" Type="http://schemas.openxmlformats.org/officeDocument/2006/relationships/hyperlink" Target="mailto:glpetrucci@vorys.com" TargetMode="External"/><Relationship Id="rId43" Type="http://schemas.openxmlformats.org/officeDocument/2006/relationships/hyperlink" Target="mailto:jmcdermott@firstenergycorp.com" TargetMode="External"/><Relationship Id="rId48" Type="http://schemas.openxmlformats.org/officeDocument/2006/relationships/hyperlink" Target="mailto:sam@mwncmh.com" TargetMode="External"/><Relationship Id="rId56" Type="http://schemas.openxmlformats.org/officeDocument/2006/relationships/hyperlink" Target="mailto:swilliams@nrdc.org" TargetMode="External"/><Relationship Id="rId8" Type="http://schemas.openxmlformats.org/officeDocument/2006/relationships/header" Target="header1.xml"/><Relationship Id="rId51" Type="http://schemas.openxmlformats.org/officeDocument/2006/relationships/hyperlink" Target="mailto:callwein@wamenergylaw.co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Thomas.lindgren@puc.state.oh.us" TargetMode="External"/><Relationship Id="rId25" Type="http://schemas.openxmlformats.org/officeDocument/2006/relationships/hyperlink" Target="mailto:mohler@carpenterlipps.com" TargetMode="External"/><Relationship Id="rId33" Type="http://schemas.openxmlformats.org/officeDocument/2006/relationships/hyperlink" Target="mailto:mhpetricoff@vorys.com" TargetMode="External"/><Relationship Id="rId38" Type="http://schemas.openxmlformats.org/officeDocument/2006/relationships/hyperlink" Target="mailto:Amy.Spiller@duke-energy.com" TargetMode="External"/><Relationship Id="rId46" Type="http://schemas.openxmlformats.org/officeDocument/2006/relationships/hyperlink" Target="mailto:mswhite@igsenergy.com" TargetMode="External"/><Relationship Id="rId59" Type="http://schemas.openxmlformats.org/officeDocument/2006/relationships/hyperlink" Target="mailto:jvickers@e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8739</Characters>
  <Application>Microsoft Office Word</Application>
  <DocSecurity>0</DocSecurity>
  <PresentationFormat/>
  <Lines>236</Lines>
  <Paragraphs>118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10233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2014-07-28T14:41:00Z</cp:lastPrinted>
  <dcterms:created xsi:type="dcterms:W3CDTF">2014-07-28T16:27:00Z</dcterms:created>
  <dcterms:modified xsi:type="dcterms:W3CDTF">2014-07-28T16:27:00Z</dcterms:modified>
  <cp:category> </cp:category>
  <cp:contentStatus> </cp:contentStatus>
</cp:coreProperties>
</file>