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29" w:rsidRDefault="0056270F">
      <w:pPr>
        <w:pStyle w:val="Title"/>
        <w:widowControl w:val="0"/>
        <w:rPr>
          <w:rFonts w:ascii="Arial" w:hAnsi="Arial" w:cs="Arial"/>
          <w:szCs w:val="24"/>
        </w:rPr>
      </w:pPr>
      <w:r>
        <w:rPr>
          <w:rFonts w:ascii="Arial" w:hAnsi="Arial" w:cs="Arial"/>
          <w:szCs w:val="24"/>
        </w:rPr>
        <w:t>BEFORE</w:t>
      </w:r>
    </w:p>
    <w:p w:rsidR="00545F29" w:rsidRDefault="0056270F">
      <w:pPr>
        <w:widowControl w:val="0"/>
        <w:jc w:val="center"/>
        <w:rPr>
          <w:rFonts w:ascii="Arial" w:hAnsi="Arial" w:cs="Arial"/>
          <w:b/>
          <w:sz w:val="24"/>
          <w:szCs w:val="24"/>
        </w:rPr>
      </w:pPr>
      <w:r>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545F29" w:rsidTr="00AF2F97">
        <w:trPr>
          <w:trHeight w:val="1818"/>
          <w:jc w:val="center"/>
        </w:trPr>
        <w:tc>
          <w:tcPr>
            <w:tcW w:w="4739" w:type="dxa"/>
          </w:tcPr>
          <w:p w:rsidR="00415BB7" w:rsidRDefault="00415BB7" w:rsidP="00415BB7">
            <w:pPr>
              <w:widowControl w:val="0"/>
              <w:spacing w:after="0" w:line="240" w:lineRule="auto"/>
              <w:rPr>
                <w:rFonts w:ascii="Arial" w:hAnsi="Arial" w:cs="Arial"/>
                <w:sz w:val="24"/>
                <w:szCs w:val="24"/>
              </w:rPr>
            </w:pPr>
          </w:p>
          <w:p w:rsidR="00545F29" w:rsidRDefault="0056270F" w:rsidP="00415BB7">
            <w:pPr>
              <w:widowControl w:val="0"/>
              <w:spacing w:after="0" w:line="240" w:lineRule="auto"/>
              <w:rPr>
                <w:rFonts w:ascii="Arial" w:hAnsi="Arial" w:cs="Arial"/>
                <w:sz w:val="24"/>
                <w:szCs w:val="24"/>
              </w:rPr>
            </w:pPr>
            <w:r>
              <w:rPr>
                <w:rFonts w:ascii="Arial" w:hAnsi="Arial" w:cs="Arial"/>
                <w:sz w:val="24"/>
                <w:szCs w:val="24"/>
              </w:rPr>
              <w:t xml:space="preserve">In the Matter of the </w:t>
            </w:r>
            <w:r w:rsidR="00415BB7">
              <w:rPr>
                <w:rFonts w:ascii="Arial" w:hAnsi="Arial" w:cs="Arial"/>
                <w:sz w:val="24"/>
                <w:szCs w:val="24"/>
              </w:rPr>
              <w:t>Commission’s Review of Chapter 4901:1-22, Ohio Administrative Code, Regarding Interconnection Service</w:t>
            </w:r>
          </w:p>
        </w:tc>
        <w:tc>
          <w:tcPr>
            <w:tcW w:w="630" w:type="dxa"/>
          </w:tcPr>
          <w:p w:rsidR="00415BB7" w:rsidRDefault="00415BB7">
            <w:pPr>
              <w:widowControl w:val="0"/>
              <w:spacing w:after="0" w:line="240" w:lineRule="auto"/>
              <w:jc w:val="center"/>
              <w:rPr>
                <w:rFonts w:ascii="Arial" w:hAnsi="Arial" w:cs="Arial"/>
                <w:sz w:val="24"/>
                <w:szCs w:val="24"/>
              </w:rPr>
            </w:pPr>
          </w:p>
          <w:p w:rsidR="00545F29" w:rsidRDefault="0056270F">
            <w:pPr>
              <w:widowControl w:val="0"/>
              <w:spacing w:after="0" w:line="240" w:lineRule="auto"/>
              <w:jc w:val="center"/>
              <w:rPr>
                <w:rFonts w:ascii="Arial" w:hAnsi="Arial" w:cs="Arial"/>
                <w:sz w:val="24"/>
                <w:szCs w:val="24"/>
              </w:rPr>
            </w:pPr>
            <w:r>
              <w:rPr>
                <w:rFonts w:ascii="Arial" w:hAnsi="Arial" w:cs="Arial"/>
                <w:sz w:val="24"/>
                <w:szCs w:val="24"/>
              </w:rPr>
              <w:t>)</w:t>
            </w:r>
          </w:p>
          <w:p w:rsidR="00545F29" w:rsidRDefault="0056270F">
            <w:pPr>
              <w:widowControl w:val="0"/>
              <w:spacing w:after="0" w:line="240" w:lineRule="auto"/>
              <w:jc w:val="center"/>
              <w:rPr>
                <w:rFonts w:ascii="Arial" w:hAnsi="Arial" w:cs="Arial"/>
                <w:sz w:val="24"/>
                <w:szCs w:val="24"/>
              </w:rPr>
            </w:pPr>
            <w:r>
              <w:rPr>
                <w:rFonts w:ascii="Arial" w:hAnsi="Arial" w:cs="Arial"/>
                <w:sz w:val="24"/>
                <w:szCs w:val="24"/>
              </w:rPr>
              <w:t>)</w:t>
            </w:r>
          </w:p>
          <w:p w:rsidR="00415BB7" w:rsidRDefault="0056270F" w:rsidP="00415BB7">
            <w:pPr>
              <w:widowControl w:val="0"/>
              <w:spacing w:after="0" w:line="240" w:lineRule="auto"/>
              <w:jc w:val="center"/>
              <w:rPr>
                <w:rFonts w:ascii="Arial" w:hAnsi="Arial" w:cs="Arial"/>
                <w:sz w:val="24"/>
                <w:szCs w:val="24"/>
              </w:rPr>
            </w:pPr>
            <w:r>
              <w:rPr>
                <w:rFonts w:ascii="Arial" w:hAnsi="Arial" w:cs="Arial"/>
                <w:sz w:val="24"/>
                <w:szCs w:val="24"/>
              </w:rPr>
              <w:t>)</w:t>
            </w:r>
          </w:p>
        </w:tc>
        <w:tc>
          <w:tcPr>
            <w:tcW w:w="3928" w:type="dxa"/>
          </w:tcPr>
          <w:p w:rsidR="00545F29" w:rsidRDefault="00545F29">
            <w:pPr>
              <w:widowControl w:val="0"/>
              <w:spacing w:after="0" w:line="240" w:lineRule="auto"/>
              <w:rPr>
                <w:rFonts w:ascii="Arial" w:hAnsi="Arial" w:cs="Arial"/>
                <w:sz w:val="24"/>
                <w:szCs w:val="24"/>
              </w:rPr>
            </w:pPr>
          </w:p>
          <w:p w:rsidR="00415BB7" w:rsidRDefault="00415BB7">
            <w:pPr>
              <w:widowControl w:val="0"/>
              <w:spacing w:after="0" w:line="240" w:lineRule="auto"/>
              <w:rPr>
                <w:rFonts w:ascii="Arial" w:hAnsi="Arial" w:cs="Arial"/>
                <w:sz w:val="24"/>
                <w:szCs w:val="24"/>
              </w:rPr>
            </w:pPr>
          </w:p>
          <w:p w:rsidR="00545F29" w:rsidRDefault="00415BB7">
            <w:pPr>
              <w:widowControl w:val="0"/>
              <w:spacing w:after="0" w:line="240" w:lineRule="auto"/>
              <w:rPr>
                <w:rFonts w:ascii="Arial" w:hAnsi="Arial" w:cs="Arial"/>
                <w:sz w:val="24"/>
                <w:szCs w:val="24"/>
              </w:rPr>
            </w:pPr>
            <w:r>
              <w:rPr>
                <w:rFonts w:ascii="Arial" w:hAnsi="Arial" w:cs="Arial"/>
                <w:sz w:val="24"/>
                <w:szCs w:val="24"/>
              </w:rPr>
              <w:t>Case No. 12-2051-EL-ORD</w:t>
            </w:r>
          </w:p>
          <w:p w:rsidR="00545F29" w:rsidRDefault="00545F29">
            <w:pPr>
              <w:widowControl w:val="0"/>
              <w:spacing w:after="0" w:line="240" w:lineRule="auto"/>
              <w:rPr>
                <w:rFonts w:ascii="Arial" w:hAnsi="Arial" w:cs="Arial"/>
                <w:sz w:val="24"/>
                <w:szCs w:val="24"/>
              </w:rPr>
            </w:pPr>
          </w:p>
        </w:tc>
      </w:tr>
    </w:tbl>
    <w:p w:rsidR="00415BB7" w:rsidRPr="00415BB7" w:rsidRDefault="00415BB7" w:rsidP="00415BB7">
      <w:pPr>
        <w:pStyle w:val="Footer"/>
        <w:pBdr>
          <w:top w:val="single" w:sz="12" w:space="1" w:color="auto"/>
          <w:bottom w:val="single" w:sz="12" w:space="1" w:color="auto"/>
        </w:pBdr>
        <w:tabs>
          <w:tab w:val="left" w:pos="4320"/>
        </w:tabs>
        <w:rPr>
          <w:rFonts w:ascii="Arial" w:hAnsi="Arial" w:cs="Arial"/>
          <w:sz w:val="24"/>
          <w:szCs w:val="24"/>
        </w:rPr>
      </w:pPr>
    </w:p>
    <w:p w:rsidR="00415BB7" w:rsidRPr="00415BB7" w:rsidRDefault="00415BB7" w:rsidP="00415BB7">
      <w:pPr>
        <w:pStyle w:val="Footer"/>
        <w:pBdr>
          <w:top w:val="single" w:sz="12" w:space="1" w:color="auto"/>
          <w:bottom w:val="single" w:sz="12" w:space="1" w:color="auto"/>
        </w:pBdr>
        <w:tabs>
          <w:tab w:val="left" w:pos="4320"/>
        </w:tabs>
        <w:jc w:val="center"/>
        <w:rPr>
          <w:rFonts w:ascii="Arial" w:hAnsi="Arial" w:cs="Arial"/>
          <w:b/>
          <w:sz w:val="24"/>
          <w:szCs w:val="24"/>
        </w:rPr>
      </w:pPr>
      <w:proofErr w:type="gramStart"/>
      <w:r w:rsidRPr="00415BB7">
        <w:rPr>
          <w:rFonts w:ascii="Arial" w:hAnsi="Arial" w:cs="Arial"/>
          <w:b/>
          <w:sz w:val="24"/>
          <w:szCs w:val="24"/>
        </w:rPr>
        <w:t>COMMENTS OF INTERESTATE GAS SUPPLY, INC.</w:t>
      </w:r>
      <w:proofErr w:type="gramEnd"/>
    </w:p>
    <w:p w:rsidR="00415BB7" w:rsidRPr="00415BB7" w:rsidRDefault="00415BB7" w:rsidP="00415BB7">
      <w:pPr>
        <w:pStyle w:val="Footer"/>
        <w:pBdr>
          <w:top w:val="single" w:sz="12" w:space="1" w:color="auto"/>
          <w:bottom w:val="single" w:sz="12" w:space="1" w:color="auto"/>
        </w:pBdr>
        <w:tabs>
          <w:tab w:val="left" w:pos="4320"/>
        </w:tabs>
        <w:rPr>
          <w:rFonts w:ascii="Arial" w:hAnsi="Arial" w:cs="Arial"/>
          <w:sz w:val="24"/>
          <w:szCs w:val="24"/>
        </w:rPr>
      </w:pPr>
    </w:p>
    <w:p w:rsidR="00415BB7" w:rsidRPr="00415BB7" w:rsidRDefault="00415BB7" w:rsidP="00415BB7">
      <w:pPr>
        <w:pStyle w:val="Footer"/>
        <w:tabs>
          <w:tab w:val="left" w:pos="4320"/>
        </w:tabs>
        <w:spacing w:line="480" w:lineRule="auto"/>
        <w:rPr>
          <w:rFonts w:ascii="Arial" w:hAnsi="Arial" w:cs="Arial"/>
          <w:sz w:val="24"/>
          <w:szCs w:val="24"/>
        </w:rPr>
      </w:pPr>
    </w:p>
    <w:p w:rsidR="008B7FFC" w:rsidRDefault="00415BB7" w:rsidP="008B7FFC">
      <w:pPr>
        <w:autoSpaceDE w:val="0"/>
        <w:autoSpaceDN w:val="0"/>
        <w:adjustRightInd w:val="0"/>
        <w:spacing w:line="480" w:lineRule="auto"/>
        <w:rPr>
          <w:rFonts w:ascii="Arial" w:eastAsiaTheme="minorHAnsi" w:hAnsi="Arial" w:cs="Arial"/>
          <w:sz w:val="24"/>
          <w:szCs w:val="24"/>
        </w:rPr>
      </w:pPr>
      <w:r w:rsidRPr="00415BB7">
        <w:rPr>
          <w:rFonts w:ascii="Arial" w:eastAsiaTheme="minorHAnsi" w:hAnsi="Arial" w:cs="Arial"/>
          <w:b/>
          <w:sz w:val="24"/>
          <w:szCs w:val="24"/>
        </w:rPr>
        <w:tab/>
      </w:r>
      <w:r w:rsidRPr="00415BB7">
        <w:rPr>
          <w:rFonts w:ascii="Arial" w:eastAsiaTheme="minorHAnsi" w:hAnsi="Arial" w:cs="Arial"/>
          <w:sz w:val="24"/>
          <w:szCs w:val="24"/>
        </w:rPr>
        <w:t xml:space="preserve">Pursuant to the Entry issued on </w:t>
      </w:r>
      <w:r>
        <w:rPr>
          <w:rFonts w:ascii="Arial" w:eastAsiaTheme="minorHAnsi" w:hAnsi="Arial" w:cs="Arial"/>
          <w:sz w:val="24"/>
          <w:szCs w:val="24"/>
        </w:rPr>
        <w:t>October 17</w:t>
      </w:r>
      <w:r w:rsidRPr="00415BB7">
        <w:rPr>
          <w:rFonts w:ascii="Arial" w:eastAsiaTheme="minorHAnsi" w:hAnsi="Arial" w:cs="Arial"/>
          <w:sz w:val="24"/>
          <w:szCs w:val="24"/>
        </w:rPr>
        <w:t>, 2012 (“</w:t>
      </w:r>
      <w:r>
        <w:rPr>
          <w:rFonts w:ascii="Arial" w:eastAsiaTheme="minorHAnsi" w:hAnsi="Arial" w:cs="Arial"/>
          <w:sz w:val="24"/>
          <w:szCs w:val="24"/>
        </w:rPr>
        <w:t xml:space="preserve">October </w:t>
      </w:r>
      <w:r w:rsidRPr="00415BB7">
        <w:rPr>
          <w:rFonts w:ascii="Arial" w:eastAsiaTheme="minorHAnsi" w:hAnsi="Arial" w:cs="Arial"/>
          <w:sz w:val="24"/>
          <w:szCs w:val="24"/>
        </w:rPr>
        <w:t>1</w:t>
      </w:r>
      <w:r>
        <w:rPr>
          <w:rFonts w:ascii="Arial" w:eastAsiaTheme="minorHAnsi" w:hAnsi="Arial" w:cs="Arial"/>
          <w:sz w:val="24"/>
          <w:szCs w:val="24"/>
        </w:rPr>
        <w:t>7</w:t>
      </w:r>
      <w:r w:rsidRPr="00415BB7">
        <w:rPr>
          <w:rFonts w:ascii="Arial" w:eastAsiaTheme="minorHAnsi" w:hAnsi="Arial" w:cs="Arial"/>
          <w:sz w:val="24"/>
          <w:szCs w:val="24"/>
        </w:rPr>
        <w:t xml:space="preserve"> Entry”) in the above captioned proceeding, Interstate Gas Supply, Inc. (“IGS Energy” or “IGS”) respectfully submits these comments </w:t>
      </w:r>
      <w:r>
        <w:rPr>
          <w:rFonts w:ascii="Arial" w:eastAsiaTheme="minorHAnsi" w:hAnsi="Arial" w:cs="Arial"/>
          <w:sz w:val="24"/>
          <w:szCs w:val="24"/>
        </w:rPr>
        <w:t xml:space="preserve">on the </w:t>
      </w:r>
      <w:r w:rsidR="00CD4EB6">
        <w:rPr>
          <w:rFonts w:ascii="Arial" w:eastAsiaTheme="minorHAnsi" w:hAnsi="Arial" w:cs="Arial"/>
          <w:sz w:val="24"/>
          <w:szCs w:val="24"/>
        </w:rPr>
        <w:t xml:space="preserve">interconnection rules set forth in </w:t>
      </w:r>
      <w:r w:rsidR="00C5199D">
        <w:rPr>
          <w:rFonts w:ascii="Arial" w:eastAsiaTheme="minorHAnsi" w:hAnsi="Arial" w:cs="Arial"/>
          <w:sz w:val="24"/>
          <w:szCs w:val="24"/>
        </w:rPr>
        <w:t>Ohio Administrative Code (“OAC”) 4901:1-22</w:t>
      </w:r>
      <w:r>
        <w:rPr>
          <w:rFonts w:ascii="Arial" w:eastAsiaTheme="minorHAnsi" w:hAnsi="Arial" w:cs="Arial"/>
          <w:sz w:val="24"/>
          <w:szCs w:val="24"/>
        </w:rPr>
        <w:t xml:space="preserve">.  </w:t>
      </w:r>
    </w:p>
    <w:p w:rsidR="008B7FFC" w:rsidRPr="008B7FFC" w:rsidRDefault="008B7FFC" w:rsidP="008B7FFC">
      <w:pPr>
        <w:pStyle w:val="ListParagraph"/>
        <w:numPr>
          <w:ilvl w:val="0"/>
          <w:numId w:val="10"/>
        </w:numPr>
        <w:autoSpaceDE w:val="0"/>
        <w:autoSpaceDN w:val="0"/>
        <w:adjustRightInd w:val="0"/>
        <w:spacing w:line="480" w:lineRule="auto"/>
        <w:rPr>
          <w:rFonts w:ascii="Arial" w:eastAsiaTheme="minorHAnsi" w:hAnsi="Arial" w:cs="Arial"/>
          <w:b/>
          <w:sz w:val="24"/>
          <w:szCs w:val="24"/>
          <w:u w:val="single"/>
        </w:rPr>
      </w:pPr>
      <w:r w:rsidRPr="008B7FFC">
        <w:rPr>
          <w:rFonts w:ascii="Arial" w:eastAsiaTheme="minorHAnsi" w:hAnsi="Arial" w:cs="Arial"/>
          <w:b/>
          <w:sz w:val="24"/>
          <w:szCs w:val="24"/>
          <w:u w:val="single"/>
        </w:rPr>
        <w:t>QUESTIONS</w:t>
      </w:r>
    </w:p>
    <w:p w:rsidR="00A110A3" w:rsidRPr="008B7FFC" w:rsidRDefault="00C5199D" w:rsidP="002F12CD">
      <w:pPr>
        <w:autoSpaceDE w:val="0"/>
        <w:autoSpaceDN w:val="0"/>
        <w:adjustRightInd w:val="0"/>
        <w:spacing w:line="480" w:lineRule="auto"/>
        <w:ind w:firstLine="360"/>
        <w:rPr>
          <w:rFonts w:ascii="Arial" w:eastAsiaTheme="minorHAnsi" w:hAnsi="Arial" w:cs="Arial"/>
          <w:sz w:val="24"/>
          <w:szCs w:val="24"/>
        </w:rPr>
      </w:pPr>
      <w:r>
        <w:rPr>
          <w:rFonts w:ascii="Arial" w:hAnsi="Arial" w:cs="Arial"/>
          <w:sz w:val="24"/>
          <w:szCs w:val="24"/>
        </w:rPr>
        <w:t xml:space="preserve">In the </w:t>
      </w:r>
      <w:r>
        <w:rPr>
          <w:rFonts w:ascii="Arial" w:eastAsiaTheme="minorHAnsi" w:hAnsi="Arial" w:cs="Arial"/>
          <w:sz w:val="24"/>
          <w:szCs w:val="24"/>
        </w:rPr>
        <w:t xml:space="preserve">October 17 Entry the Commission presented a number of specific questions regarding the interconnection rules set forth in </w:t>
      </w:r>
      <w:r w:rsidR="00072934">
        <w:rPr>
          <w:rFonts w:ascii="Arial" w:hAnsi="Arial" w:cs="Arial"/>
          <w:sz w:val="24"/>
          <w:szCs w:val="24"/>
        </w:rPr>
        <w:t>OAC</w:t>
      </w:r>
      <w:r>
        <w:rPr>
          <w:rFonts w:ascii="Arial" w:hAnsi="Arial" w:cs="Arial"/>
          <w:sz w:val="24"/>
          <w:szCs w:val="24"/>
        </w:rPr>
        <w:t xml:space="preserve"> 4901:1-22.  Below </w:t>
      </w:r>
      <w:r w:rsidR="008449D1">
        <w:rPr>
          <w:rFonts w:ascii="Arial" w:hAnsi="Arial" w:cs="Arial"/>
          <w:sz w:val="24"/>
          <w:szCs w:val="24"/>
        </w:rPr>
        <w:t>are</w:t>
      </w:r>
      <w:r w:rsidR="007B6C29">
        <w:rPr>
          <w:rFonts w:ascii="Arial" w:hAnsi="Arial" w:cs="Arial"/>
          <w:sz w:val="24"/>
          <w:szCs w:val="24"/>
        </w:rPr>
        <w:t xml:space="preserve"> </w:t>
      </w:r>
      <w:r w:rsidR="00072934">
        <w:rPr>
          <w:rFonts w:ascii="Arial" w:hAnsi="Arial" w:cs="Arial"/>
          <w:sz w:val="24"/>
          <w:szCs w:val="24"/>
        </w:rPr>
        <w:t>IGS’ response</w:t>
      </w:r>
      <w:r w:rsidR="007B6C29">
        <w:rPr>
          <w:rFonts w:ascii="Arial" w:hAnsi="Arial" w:cs="Arial"/>
          <w:sz w:val="24"/>
          <w:szCs w:val="24"/>
        </w:rPr>
        <w:t>s</w:t>
      </w:r>
      <w:r>
        <w:rPr>
          <w:rFonts w:ascii="Arial" w:hAnsi="Arial" w:cs="Arial"/>
          <w:sz w:val="24"/>
          <w:szCs w:val="24"/>
        </w:rPr>
        <w:t xml:space="preserve"> to the specific question</w:t>
      </w:r>
      <w:r w:rsidR="00072934">
        <w:rPr>
          <w:rFonts w:ascii="Arial" w:hAnsi="Arial" w:cs="Arial"/>
          <w:sz w:val="24"/>
          <w:szCs w:val="24"/>
        </w:rPr>
        <w:t>s presented by the C</w:t>
      </w:r>
      <w:r w:rsidR="002F12CD">
        <w:rPr>
          <w:rFonts w:ascii="Arial" w:hAnsi="Arial" w:cs="Arial"/>
          <w:sz w:val="24"/>
          <w:szCs w:val="24"/>
        </w:rPr>
        <w:t>ommission.</w:t>
      </w:r>
    </w:p>
    <w:p w:rsidR="00A30A3B" w:rsidRPr="00F95CFC" w:rsidRDefault="005462D7" w:rsidP="00F95CFC">
      <w:pPr>
        <w:pStyle w:val="ListParagraph"/>
        <w:numPr>
          <w:ilvl w:val="0"/>
          <w:numId w:val="9"/>
        </w:numPr>
        <w:autoSpaceDE w:val="0"/>
        <w:autoSpaceDN w:val="0"/>
        <w:adjustRightInd w:val="0"/>
        <w:spacing w:line="480" w:lineRule="auto"/>
        <w:jc w:val="both"/>
        <w:rPr>
          <w:rFonts w:ascii="Arial" w:hAnsi="Arial" w:cs="Arial"/>
          <w:sz w:val="24"/>
          <w:szCs w:val="24"/>
        </w:rPr>
      </w:pPr>
      <w:r>
        <w:rPr>
          <w:rFonts w:ascii="Arial" w:hAnsi="Arial" w:cs="Arial"/>
          <w:b/>
          <w:sz w:val="24"/>
          <w:szCs w:val="24"/>
        </w:rPr>
        <w:t>Three-</w:t>
      </w:r>
      <w:r w:rsidR="00A30A3B" w:rsidRPr="00F95CFC">
        <w:rPr>
          <w:rFonts w:ascii="Arial" w:hAnsi="Arial" w:cs="Arial"/>
          <w:b/>
          <w:sz w:val="24"/>
          <w:szCs w:val="24"/>
        </w:rPr>
        <w:t>Level Interconnection Review Process</w:t>
      </w:r>
    </w:p>
    <w:p w:rsidR="00F95CFC" w:rsidRDefault="00F95CFC" w:rsidP="00F95CFC">
      <w:pPr>
        <w:autoSpaceDE w:val="0"/>
        <w:autoSpaceDN w:val="0"/>
        <w:adjustRightInd w:val="0"/>
        <w:spacing w:line="480" w:lineRule="auto"/>
        <w:ind w:firstLine="360"/>
        <w:jc w:val="both"/>
        <w:rPr>
          <w:rFonts w:ascii="Arial" w:hAnsi="Arial" w:cs="Arial"/>
          <w:sz w:val="24"/>
          <w:szCs w:val="24"/>
        </w:rPr>
      </w:pPr>
      <w:r>
        <w:rPr>
          <w:rFonts w:ascii="Arial" w:hAnsi="Arial" w:cs="Arial"/>
          <w:sz w:val="24"/>
          <w:szCs w:val="24"/>
        </w:rPr>
        <w:t xml:space="preserve">Paragraph 8 of the </w:t>
      </w:r>
      <w:r w:rsidR="00286D1F">
        <w:rPr>
          <w:rFonts w:ascii="Arial" w:eastAsiaTheme="minorHAnsi" w:hAnsi="Arial" w:cs="Arial"/>
          <w:sz w:val="24"/>
          <w:szCs w:val="24"/>
        </w:rPr>
        <w:t xml:space="preserve">October 17 Entry </w:t>
      </w:r>
      <w:r>
        <w:rPr>
          <w:rFonts w:ascii="Arial" w:hAnsi="Arial" w:cs="Arial"/>
          <w:sz w:val="24"/>
          <w:szCs w:val="24"/>
        </w:rPr>
        <w:t>request</w:t>
      </w:r>
      <w:r w:rsidR="00286D1F">
        <w:rPr>
          <w:rFonts w:ascii="Arial" w:hAnsi="Arial" w:cs="Arial"/>
          <w:sz w:val="24"/>
          <w:szCs w:val="24"/>
        </w:rPr>
        <w:t>s</w:t>
      </w:r>
      <w:r>
        <w:rPr>
          <w:rFonts w:ascii="Arial" w:hAnsi="Arial" w:cs="Arial"/>
          <w:sz w:val="24"/>
          <w:szCs w:val="24"/>
        </w:rPr>
        <w:t xml:space="preserve"> comments on the proposed revised three-level interconnection application process.  IGS is supportive of the proposed revisions to the extent that the proposed r</w:t>
      </w:r>
      <w:r w:rsidR="002F24D2">
        <w:rPr>
          <w:rFonts w:ascii="Arial" w:hAnsi="Arial" w:cs="Arial"/>
          <w:sz w:val="24"/>
          <w:szCs w:val="24"/>
        </w:rPr>
        <w:t xml:space="preserve">evisions to the rules streamline the application process </w:t>
      </w:r>
      <w:r>
        <w:rPr>
          <w:rFonts w:ascii="Arial" w:hAnsi="Arial" w:cs="Arial"/>
          <w:sz w:val="24"/>
          <w:szCs w:val="24"/>
        </w:rPr>
        <w:t xml:space="preserve">for smaller electric generating units.  </w:t>
      </w:r>
      <w:r w:rsidR="002F24D2">
        <w:rPr>
          <w:rFonts w:ascii="Arial" w:hAnsi="Arial" w:cs="Arial"/>
          <w:sz w:val="24"/>
          <w:szCs w:val="24"/>
        </w:rPr>
        <w:t>Streamlining</w:t>
      </w:r>
      <w:r w:rsidR="00CA4D2D">
        <w:rPr>
          <w:rFonts w:ascii="Arial" w:hAnsi="Arial" w:cs="Arial"/>
          <w:sz w:val="24"/>
          <w:szCs w:val="24"/>
        </w:rPr>
        <w:t xml:space="preserve"> the </w:t>
      </w:r>
      <w:r w:rsidR="002F24D2">
        <w:rPr>
          <w:rFonts w:ascii="Arial" w:hAnsi="Arial" w:cs="Arial"/>
          <w:sz w:val="24"/>
          <w:szCs w:val="24"/>
        </w:rPr>
        <w:t xml:space="preserve">interconnection </w:t>
      </w:r>
      <w:r w:rsidR="00CA4D2D">
        <w:rPr>
          <w:rFonts w:ascii="Arial" w:hAnsi="Arial" w:cs="Arial"/>
          <w:sz w:val="24"/>
          <w:szCs w:val="24"/>
        </w:rPr>
        <w:t>application process for smaller electric generation</w:t>
      </w:r>
      <w:r w:rsidR="002F24D2">
        <w:rPr>
          <w:rFonts w:ascii="Arial" w:hAnsi="Arial" w:cs="Arial"/>
          <w:sz w:val="24"/>
          <w:szCs w:val="24"/>
        </w:rPr>
        <w:t xml:space="preserve"> units will encourage investment in distributed generation projects and make such projects more cost-effective as </w:t>
      </w:r>
      <w:r w:rsidR="002F24D2">
        <w:rPr>
          <w:rFonts w:ascii="Arial" w:hAnsi="Arial" w:cs="Arial"/>
          <w:sz w:val="24"/>
          <w:szCs w:val="24"/>
        </w:rPr>
        <w:lastRenderedPageBreak/>
        <w:t xml:space="preserve">compared to </w:t>
      </w:r>
      <w:r w:rsidR="00270E7F">
        <w:rPr>
          <w:rFonts w:ascii="Arial" w:hAnsi="Arial" w:cs="Arial"/>
          <w:sz w:val="24"/>
          <w:szCs w:val="24"/>
        </w:rPr>
        <w:t>centralized</w:t>
      </w:r>
      <w:r w:rsidR="002F24D2">
        <w:rPr>
          <w:rFonts w:ascii="Arial" w:hAnsi="Arial" w:cs="Arial"/>
          <w:sz w:val="24"/>
          <w:szCs w:val="24"/>
        </w:rPr>
        <w:t xml:space="preserve"> large scale electric generation</w:t>
      </w:r>
      <w:r w:rsidR="00270E7F">
        <w:rPr>
          <w:rFonts w:ascii="Arial" w:hAnsi="Arial" w:cs="Arial"/>
          <w:sz w:val="24"/>
          <w:szCs w:val="24"/>
        </w:rPr>
        <w:t xml:space="preserve"> projects</w:t>
      </w:r>
      <w:r w:rsidR="002F24D2">
        <w:rPr>
          <w:rFonts w:ascii="Arial" w:hAnsi="Arial" w:cs="Arial"/>
          <w:sz w:val="24"/>
          <w:szCs w:val="24"/>
        </w:rPr>
        <w:t>.  Further, small electric generation units generally have less overall impact on the electric distribution system, and thus an expedited review process for interconnection is justified.</w:t>
      </w:r>
    </w:p>
    <w:p w:rsidR="00286D1F" w:rsidRPr="00286D1F" w:rsidRDefault="007B6C29" w:rsidP="00286D1F">
      <w:pPr>
        <w:pStyle w:val="ListParagraph"/>
        <w:numPr>
          <w:ilvl w:val="0"/>
          <w:numId w:val="9"/>
        </w:numPr>
        <w:autoSpaceDE w:val="0"/>
        <w:autoSpaceDN w:val="0"/>
        <w:adjustRightInd w:val="0"/>
        <w:spacing w:line="480" w:lineRule="auto"/>
        <w:jc w:val="both"/>
        <w:rPr>
          <w:rFonts w:ascii="Arial" w:hAnsi="Arial" w:cs="Arial"/>
          <w:sz w:val="24"/>
          <w:szCs w:val="24"/>
        </w:rPr>
      </w:pPr>
      <w:r>
        <w:rPr>
          <w:rFonts w:ascii="Arial" w:hAnsi="Arial" w:cs="Arial"/>
          <w:b/>
          <w:sz w:val="24"/>
          <w:szCs w:val="24"/>
        </w:rPr>
        <w:t>Field-</w:t>
      </w:r>
      <w:r w:rsidR="00286D1F">
        <w:rPr>
          <w:rFonts w:ascii="Arial" w:hAnsi="Arial" w:cs="Arial"/>
          <w:b/>
          <w:sz w:val="24"/>
          <w:szCs w:val="24"/>
        </w:rPr>
        <w:t>Tested Equipment</w:t>
      </w:r>
    </w:p>
    <w:p w:rsidR="00286D1F" w:rsidRDefault="00286D1F" w:rsidP="00EC423A">
      <w:pPr>
        <w:autoSpaceDE w:val="0"/>
        <w:autoSpaceDN w:val="0"/>
        <w:adjustRightInd w:val="0"/>
        <w:spacing w:line="480" w:lineRule="auto"/>
        <w:ind w:firstLine="360"/>
        <w:jc w:val="both"/>
        <w:rPr>
          <w:rFonts w:ascii="Arial" w:eastAsiaTheme="minorHAnsi" w:hAnsi="Arial" w:cs="Arial"/>
          <w:sz w:val="24"/>
          <w:szCs w:val="24"/>
        </w:rPr>
      </w:pPr>
      <w:r w:rsidRPr="00EC423A">
        <w:rPr>
          <w:rFonts w:ascii="Arial" w:hAnsi="Arial" w:cs="Arial"/>
          <w:sz w:val="24"/>
          <w:szCs w:val="24"/>
        </w:rPr>
        <w:t xml:space="preserve">Paragraph 9 of the </w:t>
      </w:r>
      <w:r w:rsidRPr="00EC423A">
        <w:rPr>
          <w:rFonts w:ascii="Arial" w:eastAsiaTheme="minorHAnsi" w:hAnsi="Arial" w:cs="Arial"/>
          <w:sz w:val="24"/>
          <w:szCs w:val="24"/>
        </w:rPr>
        <w:t>October 17 Entry seeks comments on whether interconnection rules recognizin</w:t>
      </w:r>
      <w:r w:rsidR="008449D1" w:rsidRPr="00EC423A">
        <w:rPr>
          <w:rFonts w:ascii="Arial" w:eastAsiaTheme="minorHAnsi" w:hAnsi="Arial" w:cs="Arial"/>
          <w:sz w:val="24"/>
          <w:szCs w:val="24"/>
        </w:rPr>
        <w:t>g standard procedures for field-</w:t>
      </w:r>
      <w:r w:rsidRPr="00EC423A">
        <w:rPr>
          <w:rFonts w:ascii="Arial" w:eastAsiaTheme="minorHAnsi" w:hAnsi="Arial" w:cs="Arial"/>
          <w:sz w:val="24"/>
          <w:szCs w:val="24"/>
        </w:rPr>
        <w:t>tested equipment would quicken the interconnection process.  First, IGS believes that it is a reasonable goal to quicken the interconnect process</w:t>
      </w:r>
      <w:r w:rsidR="00EC423A">
        <w:rPr>
          <w:rFonts w:ascii="Arial" w:eastAsiaTheme="minorHAnsi" w:hAnsi="Arial" w:cs="Arial"/>
          <w:sz w:val="24"/>
          <w:szCs w:val="24"/>
        </w:rPr>
        <w:t xml:space="preserve"> for</w:t>
      </w:r>
      <w:r w:rsidRPr="00EC423A">
        <w:rPr>
          <w:rFonts w:ascii="Arial" w:eastAsiaTheme="minorHAnsi" w:hAnsi="Arial" w:cs="Arial"/>
          <w:sz w:val="24"/>
          <w:szCs w:val="24"/>
        </w:rPr>
        <w:t xml:space="preserve"> generati</w:t>
      </w:r>
      <w:r w:rsidR="008449D1" w:rsidRPr="00EC423A">
        <w:rPr>
          <w:rFonts w:ascii="Arial" w:eastAsiaTheme="minorHAnsi" w:hAnsi="Arial" w:cs="Arial"/>
          <w:sz w:val="24"/>
          <w:szCs w:val="24"/>
        </w:rPr>
        <w:t>on units that are already field-</w:t>
      </w:r>
      <w:r w:rsidRPr="00EC423A">
        <w:rPr>
          <w:rFonts w:ascii="Arial" w:eastAsiaTheme="minorHAnsi" w:hAnsi="Arial" w:cs="Arial"/>
          <w:sz w:val="24"/>
          <w:szCs w:val="24"/>
        </w:rPr>
        <w:t>tested</w:t>
      </w:r>
      <w:r w:rsidR="00EC423A">
        <w:rPr>
          <w:rFonts w:ascii="Arial" w:eastAsiaTheme="minorHAnsi" w:hAnsi="Arial" w:cs="Arial"/>
          <w:sz w:val="24"/>
          <w:szCs w:val="24"/>
        </w:rPr>
        <w:t>. F</w:t>
      </w:r>
      <w:r w:rsidR="00EC423A" w:rsidRPr="00EC423A">
        <w:rPr>
          <w:rFonts w:ascii="Arial" w:eastAsiaTheme="minorHAnsi" w:hAnsi="Arial" w:cs="Arial"/>
          <w:sz w:val="24"/>
          <w:szCs w:val="24"/>
        </w:rPr>
        <w:t>ield-tested equipment</w:t>
      </w:r>
      <w:r w:rsidR="0002632B">
        <w:rPr>
          <w:rFonts w:ascii="Arial" w:eastAsiaTheme="minorHAnsi" w:hAnsi="Arial" w:cs="Arial"/>
          <w:sz w:val="24"/>
          <w:szCs w:val="24"/>
        </w:rPr>
        <w:t xml:space="preserve"> is equipment that</w:t>
      </w:r>
      <w:r w:rsidR="00EC423A" w:rsidRPr="00EC423A">
        <w:rPr>
          <w:rFonts w:ascii="Arial" w:eastAsiaTheme="minorHAnsi" w:hAnsi="Arial" w:cs="Arial"/>
          <w:sz w:val="24"/>
          <w:szCs w:val="24"/>
        </w:rPr>
        <w:t xml:space="preserve"> </w:t>
      </w:r>
      <w:r w:rsidR="00EC423A">
        <w:rPr>
          <w:rFonts w:ascii="Arial" w:eastAsiaTheme="minorHAnsi" w:hAnsi="Arial" w:cs="Arial"/>
          <w:sz w:val="24"/>
          <w:szCs w:val="24"/>
        </w:rPr>
        <w:t xml:space="preserve">has </w:t>
      </w:r>
      <w:r w:rsidR="00CD4EB6">
        <w:rPr>
          <w:rFonts w:ascii="Arial" w:eastAsiaTheme="minorHAnsi" w:hAnsi="Arial" w:cs="Arial"/>
          <w:sz w:val="24"/>
          <w:szCs w:val="24"/>
        </w:rPr>
        <w:t>previously</w:t>
      </w:r>
      <w:r w:rsidR="00EC423A">
        <w:rPr>
          <w:rFonts w:ascii="Arial" w:eastAsiaTheme="minorHAnsi" w:hAnsi="Arial" w:cs="Arial"/>
          <w:sz w:val="24"/>
          <w:szCs w:val="24"/>
        </w:rPr>
        <w:t xml:space="preserve"> been approved for interconnection by the utility and thus it </w:t>
      </w:r>
      <w:r w:rsidR="0002632B">
        <w:rPr>
          <w:rFonts w:ascii="Arial" w:eastAsiaTheme="minorHAnsi" w:hAnsi="Arial" w:cs="Arial"/>
          <w:sz w:val="24"/>
          <w:szCs w:val="24"/>
        </w:rPr>
        <w:t>may be unnecessary and redundant</w:t>
      </w:r>
      <w:r w:rsidR="00EC423A">
        <w:rPr>
          <w:rFonts w:ascii="Arial" w:eastAsiaTheme="minorHAnsi" w:hAnsi="Arial" w:cs="Arial"/>
          <w:sz w:val="24"/>
          <w:szCs w:val="24"/>
        </w:rPr>
        <w:t xml:space="preserve"> </w:t>
      </w:r>
      <w:r w:rsidR="0002632B">
        <w:rPr>
          <w:rFonts w:ascii="Arial" w:eastAsiaTheme="minorHAnsi" w:hAnsi="Arial" w:cs="Arial"/>
          <w:sz w:val="24"/>
          <w:szCs w:val="24"/>
        </w:rPr>
        <w:t>to require an extended interconnection approval process each time field-tested equipment is installed</w:t>
      </w:r>
      <w:r w:rsidRPr="00EC423A">
        <w:rPr>
          <w:rFonts w:ascii="Arial" w:eastAsiaTheme="minorHAnsi" w:hAnsi="Arial" w:cs="Arial"/>
          <w:sz w:val="24"/>
          <w:szCs w:val="24"/>
        </w:rPr>
        <w:t xml:space="preserve">.  </w:t>
      </w:r>
      <w:r w:rsidR="001B402C" w:rsidRPr="00EC423A">
        <w:rPr>
          <w:rFonts w:ascii="Arial" w:eastAsiaTheme="minorHAnsi" w:hAnsi="Arial" w:cs="Arial"/>
          <w:sz w:val="24"/>
          <w:szCs w:val="24"/>
        </w:rPr>
        <w:t>Second</w:t>
      </w:r>
      <w:r w:rsidR="001B402C">
        <w:rPr>
          <w:rFonts w:ascii="Arial" w:eastAsiaTheme="minorHAnsi" w:hAnsi="Arial" w:cs="Arial"/>
          <w:sz w:val="24"/>
          <w:szCs w:val="24"/>
        </w:rPr>
        <w:t>, st</w:t>
      </w:r>
      <w:r w:rsidR="008449D1">
        <w:rPr>
          <w:rFonts w:ascii="Arial" w:eastAsiaTheme="minorHAnsi" w:hAnsi="Arial" w:cs="Arial"/>
          <w:sz w:val="24"/>
          <w:szCs w:val="24"/>
        </w:rPr>
        <w:t>andardized procedures for field-</w:t>
      </w:r>
      <w:r w:rsidR="001B402C">
        <w:rPr>
          <w:rFonts w:ascii="Arial" w:eastAsiaTheme="minorHAnsi" w:hAnsi="Arial" w:cs="Arial"/>
          <w:sz w:val="24"/>
          <w:szCs w:val="24"/>
        </w:rPr>
        <w:t xml:space="preserve">tested equipment would likely </w:t>
      </w:r>
      <w:r w:rsidR="00CD4EB6">
        <w:rPr>
          <w:rFonts w:ascii="Arial" w:eastAsiaTheme="minorHAnsi" w:hAnsi="Arial" w:cs="Arial"/>
          <w:sz w:val="24"/>
          <w:szCs w:val="24"/>
        </w:rPr>
        <w:t>expedite</w:t>
      </w:r>
      <w:r w:rsidR="001B402C">
        <w:rPr>
          <w:rFonts w:ascii="Arial" w:eastAsiaTheme="minorHAnsi" w:hAnsi="Arial" w:cs="Arial"/>
          <w:sz w:val="24"/>
          <w:szCs w:val="24"/>
        </w:rPr>
        <w:t xml:space="preserve"> the interconnection review process.  </w:t>
      </w:r>
      <w:r w:rsidR="00CD4EB6">
        <w:rPr>
          <w:rFonts w:ascii="Arial" w:eastAsiaTheme="minorHAnsi" w:hAnsi="Arial" w:cs="Arial"/>
          <w:sz w:val="24"/>
          <w:szCs w:val="24"/>
        </w:rPr>
        <w:t xml:space="preserve">Much as </w:t>
      </w:r>
      <w:r w:rsidR="0002632B">
        <w:rPr>
          <w:rFonts w:ascii="Arial" w:eastAsiaTheme="minorHAnsi" w:hAnsi="Arial" w:cs="Arial"/>
          <w:sz w:val="24"/>
          <w:szCs w:val="24"/>
        </w:rPr>
        <w:t>t</w:t>
      </w:r>
      <w:r w:rsidR="001B402C">
        <w:rPr>
          <w:rFonts w:ascii="Arial" w:eastAsiaTheme="minorHAnsi" w:hAnsi="Arial" w:cs="Arial"/>
          <w:sz w:val="24"/>
          <w:szCs w:val="24"/>
        </w:rPr>
        <w:t>h</w:t>
      </w:r>
      <w:r w:rsidR="00CD4EB6">
        <w:rPr>
          <w:rFonts w:ascii="Arial" w:eastAsiaTheme="minorHAnsi" w:hAnsi="Arial" w:cs="Arial"/>
          <w:sz w:val="24"/>
          <w:szCs w:val="24"/>
        </w:rPr>
        <w:t xml:space="preserve">e </w:t>
      </w:r>
      <w:r w:rsidR="001B402C">
        <w:rPr>
          <w:rFonts w:ascii="Arial" w:eastAsiaTheme="minorHAnsi" w:hAnsi="Arial" w:cs="Arial"/>
          <w:sz w:val="24"/>
          <w:szCs w:val="24"/>
        </w:rPr>
        <w:t>standardized procedures for the energy efficiency credit (EEC) application</w:t>
      </w:r>
      <w:r w:rsidR="00CD4EB6">
        <w:rPr>
          <w:rFonts w:ascii="Arial" w:eastAsiaTheme="minorHAnsi" w:hAnsi="Arial" w:cs="Arial"/>
          <w:sz w:val="24"/>
          <w:szCs w:val="24"/>
        </w:rPr>
        <w:t>s</w:t>
      </w:r>
      <w:r w:rsidR="001B402C">
        <w:rPr>
          <w:rFonts w:ascii="Arial" w:eastAsiaTheme="minorHAnsi" w:hAnsi="Arial" w:cs="Arial"/>
          <w:sz w:val="24"/>
          <w:szCs w:val="24"/>
        </w:rPr>
        <w:t xml:space="preserve"> </w:t>
      </w:r>
      <w:r w:rsidR="00347E79">
        <w:rPr>
          <w:rFonts w:ascii="Arial" w:eastAsiaTheme="minorHAnsi" w:hAnsi="Arial" w:cs="Arial"/>
          <w:sz w:val="24"/>
          <w:szCs w:val="24"/>
        </w:rPr>
        <w:t xml:space="preserve">has reduced the time and cost for mercantile customers </w:t>
      </w:r>
      <w:r w:rsidR="00CD4EB6">
        <w:rPr>
          <w:rFonts w:ascii="Arial" w:eastAsiaTheme="minorHAnsi" w:hAnsi="Arial" w:cs="Arial"/>
          <w:sz w:val="24"/>
          <w:szCs w:val="24"/>
        </w:rPr>
        <w:t>applying for EEC eligibility (</w:t>
      </w:r>
      <w:r w:rsidR="001B402C" w:rsidRPr="008449D1">
        <w:rPr>
          <w:rFonts w:ascii="Arial" w:eastAsiaTheme="minorHAnsi" w:hAnsi="Arial" w:cs="Arial"/>
          <w:i/>
          <w:sz w:val="24"/>
          <w:szCs w:val="24"/>
        </w:rPr>
        <w:t>See</w:t>
      </w:r>
      <w:r w:rsidR="00CD4EB6">
        <w:rPr>
          <w:rFonts w:ascii="Arial" w:eastAsiaTheme="minorHAnsi" w:hAnsi="Arial" w:cs="Arial"/>
          <w:sz w:val="24"/>
          <w:szCs w:val="24"/>
        </w:rPr>
        <w:t xml:space="preserve"> Case No. 10-0834-EL-POR),</w:t>
      </w:r>
      <w:r w:rsidR="006715D8">
        <w:rPr>
          <w:rFonts w:ascii="Arial" w:eastAsiaTheme="minorHAnsi" w:hAnsi="Arial" w:cs="Arial"/>
          <w:sz w:val="24"/>
          <w:szCs w:val="24"/>
        </w:rPr>
        <w:t xml:space="preserve"> </w:t>
      </w:r>
      <w:r w:rsidR="00CD4EB6">
        <w:rPr>
          <w:rFonts w:ascii="Arial" w:eastAsiaTheme="minorHAnsi" w:hAnsi="Arial" w:cs="Arial"/>
          <w:sz w:val="24"/>
          <w:szCs w:val="24"/>
        </w:rPr>
        <w:t>i</w:t>
      </w:r>
      <w:r w:rsidR="006715D8">
        <w:rPr>
          <w:rFonts w:ascii="Arial" w:eastAsiaTheme="minorHAnsi" w:hAnsi="Arial" w:cs="Arial"/>
          <w:sz w:val="24"/>
          <w:szCs w:val="24"/>
        </w:rPr>
        <w:t xml:space="preserve">t is IGS’ belief that standardized procedures </w:t>
      </w:r>
      <w:r w:rsidR="00CD4EB6">
        <w:rPr>
          <w:rFonts w:ascii="Arial" w:eastAsiaTheme="minorHAnsi" w:hAnsi="Arial" w:cs="Arial"/>
          <w:sz w:val="24"/>
          <w:szCs w:val="24"/>
        </w:rPr>
        <w:t>for</w:t>
      </w:r>
      <w:r w:rsidR="006715D8">
        <w:rPr>
          <w:rFonts w:ascii="Arial" w:eastAsiaTheme="minorHAnsi" w:hAnsi="Arial" w:cs="Arial"/>
          <w:sz w:val="24"/>
          <w:szCs w:val="24"/>
        </w:rPr>
        <w:t xml:space="preserve"> interconnection will</w:t>
      </w:r>
      <w:r w:rsidR="0002632B">
        <w:rPr>
          <w:rFonts w:ascii="Arial" w:eastAsiaTheme="minorHAnsi" w:hAnsi="Arial" w:cs="Arial"/>
          <w:sz w:val="24"/>
          <w:szCs w:val="24"/>
        </w:rPr>
        <w:t xml:space="preserve"> also</w:t>
      </w:r>
      <w:r w:rsidR="006715D8">
        <w:rPr>
          <w:rFonts w:ascii="Arial" w:eastAsiaTheme="minorHAnsi" w:hAnsi="Arial" w:cs="Arial"/>
          <w:sz w:val="24"/>
          <w:szCs w:val="24"/>
        </w:rPr>
        <w:t xml:space="preserve"> lessen the burden for interconnection</w:t>
      </w:r>
      <w:r w:rsidR="00CD4EB6">
        <w:rPr>
          <w:rFonts w:ascii="Arial" w:eastAsiaTheme="minorHAnsi" w:hAnsi="Arial" w:cs="Arial"/>
          <w:sz w:val="24"/>
          <w:szCs w:val="24"/>
        </w:rPr>
        <w:t xml:space="preserve"> of f</w:t>
      </w:r>
      <w:r w:rsidR="00CD4EB6" w:rsidRPr="00EC423A">
        <w:rPr>
          <w:rFonts w:ascii="Arial" w:eastAsiaTheme="minorHAnsi" w:hAnsi="Arial" w:cs="Arial"/>
          <w:sz w:val="24"/>
          <w:szCs w:val="24"/>
        </w:rPr>
        <w:t>ield-tested equipment</w:t>
      </w:r>
      <w:r w:rsidR="006715D8">
        <w:rPr>
          <w:rFonts w:ascii="Arial" w:eastAsiaTheme="minorHAnsi" w:hAnsi="Arial" w:cs="Arial"/>
          <w:sz w:val="24"/>
          <w:szCs w:val="24"/>
        </w:rPr>
        <w:t>.</w:t>
      </w:r>
      <w:r w:rsidR="00347E79">
        <w:rPr>
          <w:rFonts w:ascii="Arial" w:eastAsiaTheme="minorHAnsi" w:hAnsi="Arial" w:cs="Arial"/>
          <w:sz w:val="24"/>
          <w:szCs w:val="24"/>
        </w:rPr>
        <w:t xml:space="preserve">  Finally, </w:t>
      </w:r>
      <w:r w:rsidR="008449D1">
        <w:rPr>
          <w:rFonts w:ascii="Arial" w:eastAsiaTheme="minorHAnsi" w:hAnsi="Arial" w:cs="Arial"/>
          <w:sz w:val="24"/>
          <w:szCs w:val="24"/>
        </w:rPr>
        <w:t>while</w:t>
      </w:r>
      <w:r w:rsidR="001B402C">
        <w:rPr>
          <w:rFonts w:ascii="Arial" w:eastAsiaTheme="minorHAnsi" w:hAnsi="Arial" w:cs="Arial"/>
          <w:sz w:val="24"/>
          <w:szCs w:val="24"/>
        </w:rPr>
        <w:t xml:space="preserve"> </w:t>
      </w:r>
      <w:r w:rsidR="008449D1">
        <w:rPr>
          <w:rFonts w:ascii="Arial" w:eastAsiaTheme="minorHAnsi" w:hAnsi="Arial" w:cs="Arial"/>
          <w:sz w:val="24"/>
          <w:szCs w:val="24"/>
        </w:rPr>
        <w:t>attempts by the Commission to standardize application processes have been successful in the past</w:t>
      </w:r>
      <w:r w:rsidR="005462D7">
        <w:rPr>
          <w:rFonts w:ascii="Arial" w:eastAsiaTheme="minorHAnsi" w:hAnsi="Arial" w:cs="Arial"/>
          <w:sz w:val="24"/>
          <w:szCs w:val="24"/>
        </w:rPr>
        <w:t>, there is always a risk that</w:t>
      </w:r>
      <w:r w:rsidR="008449D1">
        <w:rPr>
          <w:rFonts w:ascii="Arial" w:eastAsiaTheme="minorHAnsi" w:hAnsi="Arial" w:cs="Arial"/>
          <w:sz w:val="24"/>
          <w:szCs w:val="24"/>
        </w:rPr>
        <w:t xml:space="preserve"> adding additional procedures to the review process could add an unnecessary administrative burden on applicant</w:t>
      </w:r>
      <w:r w:rsidR="005462D7">
        <w:rPr>
          <w:rFonts w:ascii="Arial" w:eastAsiaTheme="minorHAnsi" w:hAnsi="Arial" w:cs="Arial"/>
          <w:sz w:val="24"/>
          <w:szCs w:val="24"/>
        </w:rPr>
        <w:t>s</w:t>
      </w:r>
      <w:r w:rsidR="008449D1">
        <w:rPr>
          <w:rFonts w:ascii="Arial" w:eastAsiaTheme="minorHAnsi" w:hAnsi="Arial" w:cs="Arial"/>
          <w:sz w:val="24"/>
          <w:szCs w:val="24"/>
        </w:rPr>
        <w:t xml:space="preserve">. </w:t>
      </w:r>
      <w:r>
        <w:rPr>
          <w:rFonts w:ascii="Arial" w:eastAsiaTheme="minorHAnsi" w:hAnsi="Arial" w:cs="Arial"/>
          <w:sz w:val="24"/>
          <w:szCs w:val="24"/>
        </w:rPr>
        <w:t xml:space="preserve"> </w:t>
      </w:r>
      <w:r w:rsidR="008449D1">
        <w:rPr>
          <w:rFonts w:ascii="Arial" w:eastAsiaTheme="minorHAnsi" w:hAnsi="Arial" w:cs="Arial"/>
          <w:sz w:val="24"/>
          <w:szCs w:val="24"/>
        </w:rPr>
        <w:t xml:space="preserve">As such, any standardized procedures implemented by the Commission should be done with the goal of reducing the time and resources required for interconnection of units that have already been field-tested.  </w:t>
      </w:r>
    </w:p>
    <w:p w:rsidR="008449D1" w:rsidRPr="005462D7" w:rsidRDefault="008449D1" w:rsidP="008449D1">
      <w:pPr>
        <w:pStyle w:val="ListParagraph"/>
        <w:numPr>
          <w:ilvl w:val="0"/>
          <w:numId w:val="9"/>
        </w:numPr>
        <w:autoSpaceDE w:val="0"/>
        <w:autoSpaceDN w:val="0"/>
        <w:adjustRightInd w:val="0"/>
        <w:spacing w:line="480" w:lineRule="auto"/>
        <w:jc w:val="both"/>
        <w:rPr>
          <w:rFonts w:ascii="Arial" w:hAnsi="Arial" w:cs="Arial"/>
          <w:sz w:val="24"/>
          <w:szCs w:val="24"/>
        </w:rPr>
      </w:pPr>
      <w:r>
        <w:rPr>
          <w:rFonts w:ascii="Arial" w:hAnsi="Arial" w:cs="Arial"/>
          <w:b/>
          <w:sz w:val="24"/>
          <w:szCs w:val="24"/>
        </w:rPr>
        <w:lastRenderedPageBreak/>
        <w:t>Financial Risk of Interconnection</w:t>
      </w:r>
    </w:p>
    <w:p w:rsidR="005462D7" w:rsidRPr="005462D7" w:rsidRDefault="005462D7" w:rsidP="005462D7">
      <w:pPr>
        <w:autoSpaceDE w:val="0"/>
        <w:autoSpaceDN w:val="0"/>
        <w:adjustRightInd w:val="0"/>
        <w:spacing w:line="480" w:lineRule="auto"/>
        <w:ind w:firstLine="360"/>
        <w:jc w:val="both"/>
        <w:rPr>
          <w:rFonts w:ascii="Arial" w:hAnsi="Arial" w:cs="Arial"/>
          <w:sz w:val="24"/>
          <w:szCs w:val="24"/>
        </w:rPr>
      </w:pPr>
      <w:r>
        <w:rPr>
          <w:rFonts w:ascii="Arial" w:hAnsi="Arial" w:cs="Arial"/>
          <w:sz w:val="24"/>
          <w:szCs w:val="24"/>
        </w:rPr>
        <w:t>Paragraph 10 of the October 17 Entry seeks comments on whether the interconnection rules should create a framework for minimizing the financial risk associated with interconnection.  Specifically, the Commission proposes creating a three-phase process for the applicant</w:t>
      </w:r>
      <w:r w:rsidR="00EC423A">
        <w:rPr>
          <w:rFonts w:ascii="Arial" w:hAnsi="Arial" w:cs="Arial"/>
          <w:sz w:val="24"/>
          <w:szCs w:val="24"/>
        </w:rPr>
        <w:t>’s</w:t>
      </w:r>
      <w:r>
        <w:rPr>
          <w:rFonts w:ascii="Arial" w:hAnsi="Arial" w:cs="Arial"/>
          <w:sz w:val="24"/>
          <w:szCs w:val="24"/>
        </w:rPr>
        <w:t xml:space="preserve"> to post security to ensure that the applicant’s interconnection costs are covered as they accrue.  IGS is supportive of allowing applicant</w:t>
      </w:r>
      <w:r w:rsidR="00270E7F">
        <w:rPr>
          <w:rFonts w:ascii="Arial" w:hAnsi="Arial" w:cs="Arial"/>
          <w:sz w:val="24"/>
          <w:szCs w:val="24"/>
        </w:rPr>
        <w:t>s</w:t>
      </w:r>
      <w:r>
        <w:rPr>
          <w:rFonts w:ascii="Arial" w:hAnsi="Arial" w:cs="Arial"/>
          <w:sz w:val="24"/>
          <w:szCs w:val="24"/>
        </w:rPr>
        <w:t xml:space="preserve"> to post security for interconnection throughout the interconnection process rather than posting all of the security up-front.  The cost for interconnection can vary greatly depending</w:t>
      </w:r>
      <w:r w:rsidR="002F12CD">
        <w:rPr>
          <w:rFonts w:ascii="Arial" w:hAnsi="Arial" w:cs="Arial"/>
          <w:sz w:val="24"/>
          <w:szCs w:val="24"/>
        </w:rPr>
        <w:t xml:space="preserve"> on the project, and thus a one-size-fits-</w:t>
      </w:r>
      <w:r>
        <w:rPr>
          <w:rFonts w:ascii="Arial" w:hAnsi="Arial" w:cs="Arial"/>
          <w:sz w:val="24"/>
          <w:szCs w:val="24"/>
        </w:rPr>
        <w:t xml:space="preserve">all security deposit is not the most effective way to ensure that the applicant security requirements are in alignment with the actual cost of the project.  </w:t>
      </w:r>
      <w:r w:rsidR="00270E7F">
        <w:rPr>
          <w:rFonts w:ascii="Arial" w:hAnsi="Arial" w:cs="Arial"/>
          <w:sz w:val="24"/>
          <w:szCs w:val="24"/>
        </w:rPr>
        <w:t>A three-phased security posting process would better align security requirements with the actual cost of a project and thus help ensure that the often limited finances for a project are used for the installation of electric generation units, and not for unnecessary security deposits.</w:t>
      </w:r>
    </w:p>
    <w:p w:rsidR="00E67031" w:rsidRPr="00E67031" w:rsidRDefault="00E67031" w:rsidP="00E67031">
      <w:pPr>
        <w:pStyle w:val="ListParagraph"/>
        <w:numPr>
          <w:ilvl w:val="0"/>
          <w:numId w:val="9"/>
        </w:numPr>
        <w:autoSpaceDE w:val="0"/>
        <w:autoSpaceDN w:val="0"/>
        <w:adjustRightInd w:val="0"/>
        <w:spacing w:line="480" w:lineRule="auto"/>
        <w:jc w:val="both"/>
        <w:rPr>
          <w:rFonts w:ascii="Arial" w:hAnsi="Arial" w:cs="Arial"/>
          <w:sz w:val="24"/>
          <w:szCs w:val="24"/>
        </w:rPr>
      </w:pPr>
      <w:r>
        <w:rPr>
          <w:rFonts w:ascii="Arial" w:hAnsi="Arial" w:cs="Arial"/>
          <w:b/>
          <w:sz w:val="24"/>
          <w:szCs w:val="24"/>
        </w:rPr>
        <w:t>Publically Available Interconnection Queue</w:t>
      </w:r>
    </w:p>
    <w:p w:rsidR="008B7FFC" w:rsidRDefault="00E67031" w:rsidP="006715D8">
      <w:pPr>
        <w:autoSpaceDE w:val="0"/>
        <w:autoSpaceDN w:val="0"/>
        <w:adjustRightInd w:val="0"/>
        <w:spacing w:line="480" w:lineRule="auto"/>
        <w:ind w:firstLine="360"/>
        <w:jc w:val="both"/>
        <w:rPr>
          <w:rFonts w:ascii="Arial" w:hAnsi="Arial" w:cs="Arial"/>
          <w:sz w:val="24"/>
          <w:szCs w:val="24"/>
        </w:rPr>
      </w:pPr>
      <w:r>
        <w:rPr>
          <w:rFonts w:ascii="Arial" w:hAnsi="Arial" w:cs="Arial"/>
          <w:sz w:val="24"/>
          <w:szCs w:val="24"/>
        </w:rPr>
        <w:t>Paragraph 12 of the October 17 Entry seeks comments on whether the utility interconnection queues should be made publicly available.  IGS supports making interconnection queues publicly available.  Publicly available interconnection queues will help parties considering a generation project better understand the time it may take for interconnection.</w:t>
      </w:r>
      <w:r w:rsidR="002F12CD">
        <w:rPr>
          <w:rFonts w:ascii="Arial" w:hAnsi="Arial" w:cs="Arial"/>
          <w:sz w:val="24"/>
          <w:szCs w:val="24"/>
        </w:rPr>
        <w:t xml:space="preserve">  Knowing an accurate time-frame for projects will help keep down costs and will increase certainty for project investors.  Further, a publicly available queue for interconnection projects will increase transparency and help ensure that all </w:t>
      </w:r>
      <w:r w:rsidR="002F12CD">
        <w:rPr>
          <w:rFonts w:ascii="Arial" w:hAnsi="Arial" w:cs="Arial"/>
          <w:sz w:val="24"/>
          <w:szCs w:val="24"/>
        </w:rPr>
        <w:lastRenderedPageBreak/>
        <w:t>interconnection projects are treated equally.</w:t>
      </w:r>
      <w:r w:rsidR="00566D74">
        <w:rPr>
          <w:rFonts w:ascii="Arial" w:hAnsi="Arial" w:cs="Arial"/>
          <w:sz w:val="24"/>
          <w:szCs w:val="24"/>
        </w:rPr>
        <w:t xml:space="preserve">  That said</w:t>
      </w:r>
      <w:proofErr w:type="gramStart"/>
      <w:r w:rsidR="00566D74">
        <w:rPr>
          <w:rFonts w:ascii="Arial" w:hAnsi="Arial" w:cs="Arial"/>
          <w:sz w:val="24"/>
          <w:szCs w:val="24"/>
        </w:rPr>
        <w:t>,</w:t>
      </w:r>
      <w:proofErr w:type="gramEnd"/>
      <w:r w:rsidR="00566D74">
        <w:rPr>
          <w:rFonts w:ascii="Arial" w:hAnsi="Arial" w:cs="Arial"/>
          <w:sz w:val="24"/>
          <w:szCs w:val="24"/>
        </w:rPr>
        <w:t xml:space="preserve"> it is important that a publically available queue for interconnection does not reveal confidential information about the applicant.  Accordingly, measures should be taken to protect the confidential information</w:t>
      </w:r>
      <w:bookmarkStart w:id="0" w:name="_GoBack"/>
      <w:bookmarkEnd w:id="0"/>
      <w:r w:rsidR="00566D74">
        <w:rPr>
          <w:rFonts w:ascii="Arial" w:hAnsi="Arial" w:cs="Arial"/>
          <w:sz w:val="24"/>
          <w:szCs w:val="24"/>
        </w:rPr>
        <w:t xml:space="preserve"> of the applicant including not disclosing the name of the applicants in the queue and not disclosing the precise location of the generation project that is seeking interconnection.</w:t>
      </w:r>
    </w:p>
    <w:p w:rsidR="008449D1" w:rsidRPr="008B7FFC" w:rsidRDefault="008B7FFC" w:rsidP="008B7FFC">
      <w:pPr>
        <w:pStyle w:val="ListParagraph"/>
        <w:numPr>
          <w:ilvl w:val="0"/>
          <w:numId w:val="10"/>
        </w:numPr>
        <w:autoSpaceDE w:val="0"/>
        <w:autoSpaceDN w:val="0"/>
        <w:adjustRightInd w:val="0"/>
        <w:spacing w:line="480" w:lineRule="auto"/>
        <w:jc w:val="both"/>
        <w:rPr>
          <w:rFonts w:ascii="Arial" w:hAnsi="Arial" w:cs="Arial"/>
          <w:b/>
          <w:sz w:val="24"/>
          <w:szCs w:val="24"/>
          <w:u w:val="single"/>
        </w:rPr>
      </w:pPr>
      <w:r w:rsidRPr="008B7FFC">
        <w:rPr>
          <w:rFonts w:ascii="Arial" w:hAnsi="Arial" w:cs="Arial"/>
          <w:b/>
          <w:sz w:val="24"/>
          <w:szCs w:val="24"/>
          <w:u w:val="single"/>
        </w:rPr>
        <w:t>CONCLUSION</w:t>
      </w:r>
    </w:p>
    <w:p w:rsidR="008B7FFC" w:rsidRDefault="008B7FFC" w:rsidP="008B7FFC">
      <w:pPr>
        <w:widowControl w:val="0"/>
        <w:spacing w:after="0" w:line="480" w:lineRule="auto"/>
        <w:ind w:firstLine="720"/>
        <w:jc w:val="both"/>
        <w:rPr>
          <w:rFonts w:ascii="Arial" w:hAnsi="Arial" w:cs="Arial"/>
          <w:sz w:val="24"/>
          <w:szCs w:val="24"/>
        </w:rPr>
      </w:pPr>
      <w:r>
        <w:rPr>
          <w:rFonts w:ascii="Arial" w:hAnsi="Arial" w:cs="Arial"/>
          <w:sz w:val="24"/>
          <w:szCs w:val="24"/>
        </w:rPr>
        <w:t xml:space="preserve">IGS respectfully </w:t>
      </w:r>
      <w:r w:rsidR="00EC423A">
        <w:rPr>
          <w:rFonts w:ascii="Arial" w:hAnsi="Arial" w:cs="Arial"/>
          <w:sz w:val="24"/>
          <w:szCs w:val="24"/>
        </w:rPr>
        <w:t>submits</w:t>
      </w:r>
      <w:r>
        <w:rPr>
          <w:rFonts w:ascii="Arial" w:hAnsi="Arial" w:cs="Arial"/>
          <w:sz w:val="24"/>
          <w:szCs w:val="24"/>
        </w:rPr>
        <w:t xml:space="preserve"> the</w:t>
      </w:r>
      <w:r w:rsidR="00EC423A">
        <w:rPr>
          <w:rFonts w:ascii="Arial" w:hAnsi="Arial" w:cs="Arial"/>
          <w:sz w:val="24"/>
          <w:szCs w:val="24"/>
        </w:rPr>
        <w:t>se</w:t>
      </w:r>
      <w:r>
        <w:rPr>
          <w:rFonts w:ascii="Arial" w:hAnsi="Arial" w:cs="Arial"/>
          <w:sz w:val="24"/>
          <w:szCs w:val="24"/>
        </w:rPr>
        <w:t xml:space="preserve"> Comments requested by the Commission in the above referenced proceeding.   </w:t>
      </w:r>
    </w:p>
    <w:p w:rsidR="008B7FFC" w:rsidRDefault="008B7FFC" w:rsidP="008B7FFC">
      <w:pPr>
        <w:spacing w:after="0" w:line="480" w:lineRule="auto"/>
        <w:rPr>
          <w:rFonts w:ascii="Arial" w:hAnsi="Arial" w:cs="Arial"/>
          <w:sz w:val="24"/>
          <w:szCs w:val="24"/>
        </w:rPr>
      </w:pPr>
    </w:p>
    <w:p w:rsidR="008B7FFC" w:rsidRDefault="008B7FFC" w:rsidP="008B7FFC">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rsidR="008B7FFC" w:rsidRDefault="008B7FFC" w:rsidP="008B7FFC">
      <w:pPr>
        <w:spacing w:after="0" w:line="240" w:lineRule="auto"/>
        <w:ind w:left="5040"/>
        <w:rPr>
          <w:rFonts w:ascii="Arial" w:eastAsia="Calibri" w:hAnsi="Arial" w:cs="Arial"/>
          <w:sz w:val="24"/>
          <w:szCs w:val="24"/>
        </w:rPr>
      </w:pPr>
    </w:p>
    <w:p w:rsidR="008B7FFC" w:rsidRDefault="008B7FFC" w:rsidP="008B7FFC">
      <w:pPr>
        <w:spacing w:after="0" w:line="240" w:lineRule="auto"/>
        <w:ind w:left="5040"/>
        <w:rPr>
          <w:rFonts w:ascii="Arial" w:eastAsia="Calibri" w:hAnsi="Arial" w:cs="Arial"/>
          <w:sz w:val="24"/>
          <w:szCs w:val="24"/>
        </w:rPr>
      </w:pPr>
    </w:p>
    <w:p w:rsidR="008B7FFC" w:rsidRDefault="008B7FFC" w:rsidP="008B7FFC">
      <w:pPr>
        <w:spacing w:after="0" w:line="240" w:lineRule="auto"/>
        <w:ind w:left="5040"/>
        <w:rPr>
          <w:rFonts w:ascii="Arial" w:eastAsia="Calibri" w:hAnsi="Arial" w:cs="Arial"/>
          <w:sz w:val="24"/>
          <w:szCs w:val="24"/>
          <w:u w:val="single"/>
        </w:rPr>
      </w:pPr>
    </w:p>
    <w:p w:rsidR="008B7FFC" w:rsidRPr="00094915" w:rsidRDefault="008B7FFC" w:rsidP="008B7FFC">
      <w:pPr>
        <w:spacing w:after="0" w:line="240" w:lineRule="auto"/>
        <w:ind w:left="5040"/>
        <w:jc w:val="both"/>
        <w:rPr>
          <w:rFonts w:ascii="Arial" w:eastAsia="Arial" w:hAnsi="Arial" w:cs="Arial"/>
          <w:sz w:val="24"/>
          <w:szCs w:val="24"/>
          <w:u w:val="single"/>
        </w:rPr>
      </w:pPr>
      <w:r>
        <w:rPr>
          <w:rFonts w:ascii="Arial" w:eastAsia="Arial" w:hAnsi="Arial" w:cs="Arial"/>
          <w:i/>
          <w:sz w:val="24"/>
          <w:szCs w:val="24"/>
          <w:u w:val="single"/>
        </w:rPr>
        <w:t xml:space="preserve">/s/ </w:t>
      </w:r>
      <w:r>
        <w:rPr>
          <w:rFonts w:ascii="Arial" w:eastAsia="Arial" w:hAnsi="Arial" w:cs="Arial"/>
          <w:sz w:val="24"/>
          <w:szCs w:val="24"/>
          <w:u w:val="single"/>
        </w:rPr>
        <w:t>Matthew White</w:t>
      </w:r>
      <w:r w:rsidRPr="00094915">
        <w:rPr>
          <w:rFonts w:ascii="Arial" w:eastAsia="Arial" w:hAnsi="Arial" w:cs="Arial"/>
          <w:sz w:val="24"/>
          <w:szCs w:val="24"/>
          <w:u w:val="single"/>
        </w:rPr>
        <w:tab/>
      </w:r>
      <w:r w:rsidRPr="00094915">
        <w:rPr>
          <w:rFonts w:ascii="Arial" w:eastAsia="Arial" w:hAnsi="Arial" w:cs="Arial"/>
          <w:sz w:val="24"/>
          <w:szCs w:val="24"/>
          <w:u w:val="single"/>
        </w:rPr>
        <w:tab/>
      </w:r>
    </w:p>
    <w:p w:rsidR="00323C23" w:rsidRDefault="00323C23" w:rsidP="00323C23">
      <w:pPr>
        <w:spacing w:after="0" w:line="240" w:lineRule="auto"/>
        <w:ind w:left="5040"/>
        <w:rPr>
          <w:rFonts w:ascii="Arial" w:hAnsi="Arial" w:cs="Arial"/>
          <w:sz w:val="24"/>
          <w:szCs w:val="24"/>
        </w:rPr>
      </w:pPr>
      <w:r>
        <w:rPr>
          <w:rFonts w:ascii="Arial" w:hAnsi="Arial" w:cs="Arial"/>
          <w:sz w:val="24"/>
          <w:szCs w:val="24"/>
        </w:rPr>
        <w:t>Vincent Parisi (073283)</w:t>
      </w:r>
    </w:p>
    <w:p w:rsidR="00323C23" w:rsidRDefault="00323C23" w:rsidP="00323C23">
      <w:pPr>
        <w:spacing w:after="0" w:line="240" w:lineRule="auto"/>
        <w:ind w:left="5040"/>
        <w:rPr>
          <w:rFonts w:ascii="Arial" w:hAnsi="Arial" w:cs="Arial"/>
          <w:sz w:val="24"/>
          <w:szCs w:val="24"/>
        </w:rPr>
      </w:pPr>
      <w:r>
        <w:rPr>
          <w:rFonts w:ascii="Arial" w:hAnsi="Arial" w:cs="Arial"/>
          <w:sz w:val="24"/>
          <w:szCs w:val="24"/>
        </w:rPr>
        <w:t>Email: vparisi@igsenergy.com</w:t>
      </w:r>
    </w:p>
    <w:p w:rsidR="00323C23" w:rsidRDefault="00323C23" w:rsidP="00323C23">
      <w:pPr>
        <w:spacing w:after="0" w:line="240" w:lineRule="auto"/>
        <w:ind w:left="5040"/>
        <w:rPr>
          <w:rFonts w:ascii="Arial" w:hAnsi="Arial" w:cs="Arial"/>
          <w:sz w:val="24"/>
          <w:szCs w:val="24"/>
        </w:rPr>
      </w:pPr>
      <w:r>
        <w:rPr>
          <w:rFonts w:ascii="Arial" w:hAnsi="Arial" w:cs="Arial"/>
          <w:sz w:val="24"/>
          <w:szCs w:val="24"/>
        </w:rPr>
        <w:t>Matthew White (0082859)</w:t>
      </w:r>
    </w:p>
    <w:p w:rsidR="00323C23" w:rsidRPr="006715D8" w:rsidRDefault="00323C23" w:rsidP="00323C23">
      <w:pPr>
        <w:spacing w:after="0" w:line="240" w:lineRule="auto"/>
        <w:ind w:left="5040"/>
        <w:rPr>
          <w:rFonts w:ascii="Arial" w:hAnsi="Arial" w:cs="Arial"/>
          <w:b/>
          <w:sz w:val="24"/>
          <w:szCs w:val="24"/>
        </w:rPr>
      </w:pPr>
      <w:r w:rsidRPr="006715D8">
        <w:rPr>
          <w:rFonts w:ascii="Arial" w:hAnsi="Arial" w:cs="Arial"/>
          <w:b/>
          <w:sz w:val="24"/>
          <w:szCs w:val="24"/>
        </w:rPr>
        <w:t>Counsel of Record</w:t>
      </w:r>
    </w:p>
    <w:p w:rsidR="00323C23" w:rsidRDefault="00323C23" w:rsidP="00323C23">
      <w:pPr>
        <w:spacing w:after="0" w:line="240" w:lineRule="auto"/>
        <w:ind w:left="5040"/>
        <w:rPr>
          <w:rFonts w:ascii="Arial" w:hAnsi="Arial" w:cs="Arial"/>
          <w:sz w:val="24"/>
          <w:szCs w:val="24"/>
        </w:rPr>
      </w:pPr>
      <w:r>
        <w:rPr>
          <w:rFonts w:ascii="Arial" w:hAnsi="Arial" w:cs="Arial"/>
          <w:sz w:val="24"/>
          <w:szCs w:val="24"/>
        </w:rPr>
        <w:t>Email: mswhite@igsenergy.com</w:t>
      </w:r>
    </w:p>
    <w:p w:rsidR="00323C23" w:rsidRDefault="00323C23" w:rsidP="00323C23">
      <w:pPr>
        <w:spacing w:after="0" w:line="240" w:lineRule="auto"/>
        <w:ind w:left="5040"/>
        <w:rPr>
          <w:rFonts w:ascii="Arial" w:hAnsi="Arial" w:cs="Arial"/>
          <w:sz w:val="24"/>
          <w:szCs w:val="24"/>
        </w:rPr>
      </w:pPr>
      <w:r>
        <w:rPr>
          <w:rFonts w:ascii="Arial" w:hAnsi="Arial" w:cs="Arial"/>
          <w:sz w:val="24"/>
          <w:szCs w:val="24"/>
        </w:rPr>
        <w:t>Interstate Gas Supply, Inc.</w:t>
      </w:r>
    </w:p>
    <w:p w:rsidR="00323C23" w:rsidRDefault="00323C23" w:rsidP="00323C23">
      <w:pPr>
        <w:spacing w:after="0" w:line="240" w:lineRule="auto"/>
        <w:ind w:left="5040"/>
        <w:rPr>
          <w:rFonts w:ascii="Arial" w:hAnsi="Arial" w:cs="Arial"/>
          <w:sz w:val="24"/>
          <w:szCs w:val="24"/>
        </w:rPr>
      </w:pPr>
      <w:r>
        <w:rPr>
          <w:rFonts w:ascii="Arial" w:hAnsi="Arial" w:cs="Arial"/>
          <w:sz w:val="24"/>
          <w:szCs w:val="24"/>
        </w:rPr>
        <w:t>6100 Emerald Parkway</w:t>
      </w:r>
    </w:p>
    <w:p w:rsidR="00323C23" w:rsidRDefault="00323C23" w:rsidP="00323C23">
      <w:pPr>
        <w:spacing w:after="0" w:line="240" w:lineRule="auto"/>
        <w:ind w:left="5040"/>
        <w:rPr>
          <w:rFonts w:ascii="Arial" w:hAnsi="Arial" w:cs="Arial"/>
          <w:sz w:val="24"/>
          <w:szCs w:val="24"/>
        </w:rPr>
      </w:pPr>
      <w:r>
        <w:rPr>
          <w:rFonts w:ascii="Arial" w:hAnsi="Arial" w:cs="Arial"/>
          <w:sz w:val="24"/>
          <w:szCs w:val="24"/>
        </w:rPr>
        <w:t>Dublin, Ohio 43016</w:t>
      </w:r>
    </w:p>
    <w:p w:rsidR="00323C23" w:rsidRDefault="00323C23" w:rsidP="00323C23">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rsidR="00323C23" w:rsidRDefault="00323C23" w:rsidP="00323C23">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rsidR="00323C23" w:rsidRDefault="00323C23" w:rsidP="00323C23">
      <w:pPr>
        <w:spacing w:after="0" w:line="240" w:lineRule="auto"/>
        <w:ind w:left="5040"/>
        <w:rPr>
          <w:rFonts w:ascii="Arial" w:hAnsi="Arial" w:cs="Arial"/>
          <w:sz w:val="24"/>
          <w:szCs w:val="24"/>
        </w:rPr>
      </w:pPr>
    </w:p>
    <w:p w:rsidR="00323C23" w:rsidRDefault="00323C23" w:rsidP="00323C23">
      <w:pPr>
        <w:spacing w:after="0" w:line="240" w:lineRule="auto"/>
        <w:ind w:left="5040"/>
        <w:rPr>
          <w:rFonts w:ascii="Arial" w:hAnsi="Arial" w:cs="Arial"/>
          <w:b/>
          <w:i/>
          <w:sz w:val="24"/>
          <w:szCs w:val="24"/>
        </w:rPr>
      </w:pPr>
      <w:r>
        <w:rPr>
          <w:rFonts w:ascii="Arial" w:hAnsi="Arial" w:cs="Arial"/>
          <w:b/>
          <w:i/>
          <w:sz w:val="24"/>
          <w:szCs w:val="24"/>
        </w:rPr>
        <w:t xml:space="preserve">Attorneys for </w:t>
      </w:r>
    </w:p>
    <w:p w:rsidR="00323C23" w:rsidRDefault="00323C23" w:rsidP="00323C23">
      <w:pPr>
        <w:spacing w:after="0" w:line="240" w:lineRule="auto"/>
        <w:ind w:left="5040"/>
        <w:rPr>
          <w:rFonts w:ascii="Arial" w:hAnsi="Arial" w:cs="Arial"/>
          <w:sz w:val="24"/>
          <w:szCs w:val="24"/>
        </w:rPr>
      </w:pPr>
      <w:r>
        <w:rPr>
          <w:rFonts w:ascii="Arial" w:hAnsi="Arial" w:cs="Arial"/>
          <w:b/>
          <w:i/>
          <w:sz w:val="24"/>
          <w:szCs w:val="24"/>
        </w:rPr>
        <w:t>Interstate Gas Supply, Inc.</w:t>
      </w:r>
    </w:p>
    <w:p w:rsidR="008B7FFC" w:rsidRDefault="008B7FFC" w:rsidP="00323C23">
      <w:pPr>
        <w:spacing w:after="0" w:line="240" w:lineRule="auto"/>
        <w:ind w:left="5040"/>
        <w:rPr>
          <w:rFonts w:ascii="Arial" w:hAnsi="Arial" w:cs="Arial"/>
          <w:sz w:val="24"/>
          <w:szCs w:val="24"/>
        </w:rPr>
      </w:pPr>
    </w:p>
    <w:sectPr w:rsidR="008B7FFC">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74" w:rsidRDefault="00566D74">
      <w:pPr>
        <w:spacing w:after="0" w:line="240" w:lineRule="auto"/>
      </w:pPr>
      <w:r>
        <w:separator/>
      </w:r>
    </w:p>
  </w:endnote>
  <w:endnote w:type="continuationSeparator" w:id="0">
    <w:p w:rsidR="00566D74" w:rsidRDefault="0056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5860"/>
      <w:docPartObj>
        <w:docPartGallery w:val="Page Numbers (Bottom of Page)"/>
        <w:docPartUnique/>
      </w:docPartObj>
    </w:sdtPr>
    <w:sdtContent>
      <w:p w:rsidR="00566D74" w:rsidRDefault="00566D74">
        <w:pPr>
          <w:pStyle w:val="Footer"/>
          <w:jc w:val="center"/>
        </w:pPr>
        <w:r>
          <w:fldChar w:fldCharType="begin"/>
        </w:r>
        <w:r>
          <w:instrText xml:space="preserve"> PAGE   \* MERGEFORMAT </w:instrText>
        </w:r>
        <w:r>
          <w:fldChar w:fldCharType="separate"/>
        </w:r>
        <w:r w:rsidR="00626E6B">
          <w:rPr>
            <w:noProof/>
          </w:rPr>
          <w:t>4</w:t>
        </w:r>
        <w:r>
          <w:rPr>
            <w:noProof/>
          </w:rPr>
          <w:fldChar w:fldCharType="end"/>
        </w:r>
      </w:p>
    </w:sdtContent>
  </w:sdt>
  <w:p w:rsidR="00566D74" w:rsidRDefault="00566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74" w:rsidRDefault="00566D74">
      <w:pPr>
        <w:spacing w:after="0" w:line="240" w:lineRule="auto"/>
      </w:pPr>
      <w:r>
        <w:separator/>
      </w:r>
    </w:p>
  </w:footnote>
  <w:footnote w:type="continuationSeparator" w:id="0">
    <w:p w:rsidR="00566D74" w:rsidRDefault="00566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74" w:rsidRDefault="00566D74">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D7B7B"/>
    <w:multiLevelType w:val="hybridMultilevel"/>
    <w:tmpl w:val="DE62E782"/>
    <w:lvl w:ilvl="0" w:tplc="65B68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E5E66"/>
    <w:multiLevelType w:val="hybridMultilevel"/>
    <w:tmpl w:val="A45CC932"/>
    <w:lvl w:ilvl="0" w:tplc="C33EC4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9364A"/>
    <w:multiLevelType w:val="hybridMultilevel"/>
    <w:tmpl w:val="26141550"/>
    <w:lvl w:ilvl="0" w:tplc="2500B5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2"/>
  </w:num>
  <w:num w:numId="6">
    <w:abstractNumId w:val="7"/>
  </w:num>
  <w:num w:numId="7">
    <w:abstractNumId w:val="1"/>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29"/>
    <w:rsid w:val="0002632B"/>
    <w:rsid w:val="00072934"/>
    <w:rsid w:val="00094915"/>
    <w:rsid w:val="001B402C"/>
    <w:rsid w:val="00270E7F"/>
    <w:rsid w:val="00286D1F"/>
    <w:rsid w:val="002F12CD"/>
    <w:rsid w:val="002F24D2"/>
    <w:rsid w:val="00323C23"/>
    <w:rsid w:val="00347E79"/>
    <w:rsid w:val="00415BB7"/>
    <w:rsid w:val="004D7CEF"/>
    <w:rsid w:val="00545F29"/>
    <w:rsid w:val="005462D7"/>
    <w:rsid w:val="00557AB6"/>
    <w:rsid w:val="0056021F"/>
    <w:rsid w:val="0056270F"/>
    <w:rsid w:val="00566D74"/>
    <w:rsid w:val="00626E6B"/>
    <w:rsid w:val="006715D8"/>
    <w:rsid w:val="007B6C29"/>
    <w:rsid w:val="008449D1"/>
    <w:rsid w:val="008B7FFC"/>
    <w:rsid w:val="00915444"/>
    <w:rsid w:val="00A110A3"/>
    <w:rsid w:val="00A30A3B"/>
    <w:rsid w:val="00AC2EBB"/>
    <w:rsid w:val="00AF2F97"/>
    <w:rsid w:val="00B47B3B"/>
    <w:rsid w:val="00B92A76"/>
    <w:rsid w:val="00C5199D"/>
    <w:rsid w:val="00CA4D2D"/>
    <w:rsid w:val="00CD4EB6"/>
    <w:rsid w:val="00E67031"/>
    <w:rsid w:val="00EC423A"/>
    <w:rsid w:val="00EC754E"/>
    <w:rsid w:val="00F9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28221-8FFD-4F91-BDE4-2E1A5325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2010-10-04T15:02:00Z</cp:lastPrinted>
  <dcterms:created xsi:type="dcterms:W3CDTF">2012-11-19T14:15:00Z</dcterms:created>
  <dcterms:modified xsi:type="dcterms:W3CDTF">2012-11-19T14:15:00Z</dcterms:modified>
</cp:coreProperties>
</file>