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bookmarkStart w:id="0" w:name="_GoBack"/>
      <w:bookmarkEnd w:id="0"/>
      <w:r w:rsidRPr="000D2745">
        <w:rPr>
          <w:rFonts w:ascii="Times New Roman" w:eastAsia="Times New Roman" w:hAnsi="Times New Roman" w:cs="Times New Roman"/>
          <w:b/>
          <w:sz w:val="26"/>
          <w:szCs w:val="26"/>
          <w:lang w:bidi="en-US"/>
        </w:rPr>
        <w:t>UNITED STATES OF AMERICA</w: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p w:rsidR="00C70B32" w:rsidRDefault="00C70B32"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p>
    <w:tbl>
      <w:tblPr>
        <w:tblW w:w="0" w:type="auto"/>
        <w:tblLook w:val="04A0" w:firstRow="1" w:lastRow="0" w:firstColumn="1" w:lastColumn="0" w:noHBand="0" w:noVBand="1"/>
      </w:tblPr>
      <w:tblGrid>
        <w:gridCol w:w="4868"/>
        <w:gridCol w:w="289"/>
        <w:gridCol w:w="4419"/>
      </w:tblGrid>
      <w:tr w:rsidR="000D2745" w:rsidRPr="000D2745" w:rsidTr="007F11F2">
        <w:tc>
          <w:tcPr>
            <w:tcW w:w="4868"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tabs>
                <w:tab w:val="left" w:pos="1980"/>
              </w:tabs>
              <w:spacing w:after="0" w:line="240" w:lineRule="auto"/>
              <w:rPr>
                <w:rFonts w:ascii="Times New Roman" w:eastAsia="Times New Roman" w:hAnsi="Times New Roman" w:cs="Times New Roman"/>
                <w:sz w:val="26"/>
                <w:szCs w:val="26"/>
                <w:lang w:bidi="en-US"/>
              </w:rPr>
            </w:pPr>
          </w:p>
          <w:p w:rsidR="00B77E71" w:rsidRDefault="00FA23F6" w:rsidP="000D2745">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Transmission Planning and Cost Allocation</w:t>
            </w:r>
          </w:p>
          <w:p w:rsidR="000D2745" w:rsidRPr="000D2745" w:rsidRDefault="00FA23F6" w:rsidP="00260A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 xml:space="preserve">By Transmission Owning and Operating Public </w:t>
            </w:r>
            <w:r w:rsidR="00260A47">
              <w:rPr>
                <w:rFonts w:ascii="Times New Roman" w:eastAsia="Times New Roman" w:hAnsi="Times New Roman" w:cs="Times New Roman"/>
                <w:sz w:val="26"/>
                <w:szCs w:val="26"/>
                <w:lang w:bidi="en-US"/>
              </w:rPr>
              <w:t>Utilities</w:t>
            </w:r>
          </w:p>
        </w:tc>
        <w:tc>
          <w:tcPr>
            <w:tcW w:w="289"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7F11F2" w:rsidP="00FA23F6">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00B77E71" w:rsidRPr="000D2745">
              <w:rPr>
                <w:rFonts w:ascii="Times New Roman" w:eastAsia="Times New Roman" w:hAnsi="Times New Roman" w:cs="Times New Roman"/>
                <w:sz w:val="26"/>
                <w:szCs w:val="26"/>
                <w:lang w:bidi="en-US"/>
              </w:rPr>
              <w:t xml:space="preserve">Docket No. </w:t>
            </w:r>
            <w:r w:rsidR="00B77E71">
              <w:rPr>
                <w:rFonts w:ascii="Times New Roman" w:eastAsia="Times New Roman" w:hAnsi="Times New Roman" w:cs="Times New Roman"/>
                <w:sz w:val="26"/>
                <w:szCs w:val="26"/>
                <w:lang w:bidi="en-US"/>
              </w:rPr>
              <w:t>ER13-</w:t>
            </w:r>
            <w:r w:rsidR="00FA23F6">
              <w:rPr>
                <w:rFonts w:ascii="Times New Roman" w:eastAsia="Times New Roman" w:hAnsi="Times New Roman" w:cs="Times New Roman"/>
                <w:sz w:val="26"/>
                <w:szCs w:val="26"/>
                <w:lang w:bidi="en-US"/>
              </w:rPr>
              <w:t>198</w:t>
            </w:r>
            <w:r w:rsidR="00B77E71" w:rsidRPr="000D2745">
              <w:rPr>
                <w:rFonts w:ascii="Times New Roman" w:eastAsia="Times New Roman" w:hAnsi="Times New Roman" w:cs="Times New Roman"/>
                <w:sz w:val="26"/>
                <w:szCs w:val="26"/>
                <w:lang w:bidi="en-US"/>
              </w:rPr>
              <w:t>-000</w:t>
            </w:r>
          </w:p>
        </w:tc>
      </w:tr>
    </w:tbl>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Pr="000D2745" w:rsidRDefault="00B65E27"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9158F5" w:rsidP="000D2745">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align="center" o:hrstd="t" o:hrnoshade="t" o:hr="t" fillcolor="black" stroked="f"/>
        </w:pic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0D2745" w:rsidRPr="000D2745" w:rsidRDefault="009158F5" w:rsidP="000D2745">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7F11F2" w:rsidRDefault="007F11F2" w:rsidP="0071757E">
      <w:pPr>
        <w:autoSpaceDE w:val="0"/>
        <w:autoSpaceDN w:val="0"/>
        <w:adjustRightInd w:val="0"/>
        <w:spacing w:after="0" w:line="240" w:lineRule="auto"/>
        <w:rPr>
          <w:rFonts w:ascii="Times New Roman" w:hAnsi="Times New Roman" w:cs="Times New Roman"/>
          <w:color w:val="000000"/>
          <w:sz w:val="24"/>
          <w:szCs w:val="24"/>
        </w:rPr>
        <w:sectPr w:rsidR="007F11F2" w:rsidSect="007F11F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bookmarkStart w:id="1" w:name="_Toc320712740"/>
    <w:p w:rsidR="00F62453" w:rsidRDefault="00F62453">
      <w:pPr>
        <w:pStyle w:val="TOC1"/>
        <w:rPr>
          <w:rFonts w:asciiTheme="minorHAnsi" w:eastAsiaTheme="minorEastAsia" w:hAnsiTheme="minorHAnsi"/>
          <w:noProof/>
          <w:sz w:val="22"/>
        </w:rPr>
      </w:pPr>
      <w:r>
        <w:rPr>
          <w:rFonts w:eastAsia="Times New Roman" w:cs="Times New Roman"/>
          <w:b/>
          <w:szCs w:val="26"/>
          <w:lang w:bidi="en-US"/>
        </w:rPr>
        <w:lastRenderedPageBreak/>
        <w:fldChar w:fldCharType="begin"/>
      </w:r>
      <w:r>
        <w:rPr>
          <w:rFonts w:eastAsia="Times New Roman" w:cs="Times New Roman"/>
          <w:b/>
          <w:szCs w:val="26"/>
          <w:lang w:bidi="en-US"/>
        </w:rPr>
        <w:instrText xml:space="preserve"> TOC \o "1-4" \u </w:instrText>
      </w:r>
      <w:r>
        <w:rPr>
          <w:rFonts w:eastAsia="Times New Roman" w:cs="Times New Roman"/>
          <w:b/>
          <w:szCs w:val="26"/>
          <w:lang w:bidi="en-US"/>
        </w:rPr>
        <w:fldChar w:fldCharType="separate"/>
      </w:r>
      <w:r>
        <w:rPr>
          <w:noProof/>
        </w:rPr>
        <w:t>INTRODUCTION AND BACKGROUND</w:t>
      </w:r>
      <w:r>
        <w:rPr>
          <w:noProof/>
        </w:rPr>
        <w:tab/>
      </w:r>
      <w:r>
        <w:rPr>
          <w:noProof/>
        </w:rPr>
        <w:fldChar w:fldCharType="begin"/>
      </w:r>
      <w:r>
        <w:rPr>
          <w:noProof/>
        </w:rPr>
        <w:instrText xml:space="preserve"> PAGEREF _Toc342392350 \h </w:instrText>
      </w:r>
      <w:r>
        <w:rPr>
          <w:noProof/>
        </w:rPr>
      </w:r>
      <w:r>
        <w:rPr>
          <w:noProof/>
        </w:rPr>
        <w:fldChar w:fldCharType="separate"/>
      </w:r>
      <w:r w:rsidR="009158F5">
        <w:rPr>
          <w:noProof/>
        </w:rPr>
        <w:t>1</w:t>
      </w:r>
      <w:r>
        <w:rPr>
          <w:noProof/>
        </w:rPr>
        <w:fldChar w:fldCharType="end"/>
      </w:r>
    </w:p>
    <w:p w:rsidR="00F62453" w:rsidRDefault="00F62453">
      <w:pPr>
        <w:pStyle w:val="TOC1"/>
        <w:rPr>
          <w:rFonts w:asciiTheme="minorHAnsi" w:eastAsiaTheme="minorEastAsia" w:hAnsiTheme="minorHAnsi"/>
          <w:noProof/>
          <w:sz w:val="22"/>
        </w:rPr>
      </w:pPr>
      <w:r>
        <w:rPr>
          <w:noProof/>
        </w:rPr>
        <w:t>DISCUSSION</w:t>
      </w:r>
      <w:r>
        <w:rPr>
          <w:noProof/>
        </w:rPr>
        <w:tab/>
      </w:r>
      <w:r>
        <w:rPr>
          <w:noProof/>
        </w:rPr>
        <w:fldChar w:fldCharType="begin"/>
      </w:r>
      <w:r>
        <w:rPr>
          <w:noProof/>
        </w:rPr>
        <w:instrText xml:space="preserve"> PAGEREF _Toc342392351 \h </w:instrText>
      </w:r>
      <w:r>
        <w:rPr>
          <w:noProof/>
        </w:rPr>
      </w:r>
      <w:r>
        <w:rPr>
          <w:noProof/>
        </w:rPr>
        <w:fldChar w:fldCharType="separate"/>
      </w:r>
      <w:r w:rsidR="009158F5">
        <w:rPr>
          <w:noProof/>
        </w:rPr>
        <w:t>3</w:t>
      </w:r>
      <w:r>
        <w:rPr>
          <w:noProof/>
        </w:rPr>
        <w:fldChar w:fldCharType="end"/>
      </w:r>
    </w:p>
    <w:p w:rsidR="00F62453" w:rsidRDefault="00F62453">
      <w:pPr>
        <w:pStyle w:val="TOC2"/>
        <w:tabs>
          <w:tab w:val="left" w:pos="1440"/>
        </w:tabs>
        <w:rPr>
          <w:rFonts w:asciiTheme="minorHAnsi" w:eastAsiaTheme="minorEastAsia" w:hAnsiTheme="minorHAnsi"/>
          <w:noProof/>
          <w:sz w:val="22"/>
        </w:rPr>
      </w:pPr>
      <w:r w:rsidRPr="0044708D">
        <w:rPr>
          <w:rFonts w:eastAsia="Times New Roman"/>
          <w:noProof/>
        </w:rPr>
        <w:t>A.</w:t>
      </w:r>
      <w:r>
        <w:rPr>
          <w:rFonts w:asciiTheme="minorHAnsi" w:eastAsiaTheme="minorEastAsia" w:hAnsiTheme="minorHAnsi"/>
          <w:noProof/>
          <w:sz w:val="22"/>
        </w:rPr>
        <w:tab/>
      </w:r>
      <w:r w:rsidRPr="0044708D">
        <w:rPr>
          <w:rFonts w:eastAsia="Times New Roman"/>
          <w:noProof/>
        </w:rPr>
        <w:t>The Seventh Circuit Remand</w:t>
      </w:r>
      <w:r>
        <w:rPr>
          <w:noProof/>
        </w:rPr>
        <w:tab/>
      </w:r>
      <w:r>
        <w:rPr>
          <w:noProof/>
        </w:rPr>
        <w:fldChar w:fldCharType="begin"/>
      </w:r>
      <w:r>
        <w:rPr>
          <w:noProof/>
        </w:rPr>
        <w:instrText xml:space="preserve"> PAGEREF _Toc342392352 \h </w:instrText>
      </w:r>
      <w:r>
        <w:rPr>
          <w:noProof/>
        </w:rPr>
      </w:r>
      <w:r>
        <w:rPr>
          <w:noProof/>
        </w:rPr>
        <w:fldChar w:fldCharType="separate"/>
      </w:r>
      <w:r w:rsidR="009158F5">
        <w:rPr>
          <w:noProof/>
        </w:rPr>
        <w:t>3</w:t>
      </w:r>
      <w:r>
        <w:rPr>
          <w:noProof/>
        </w:rPr>
        <w:fldChar w:fldCharType="end"/>
      </w:r>
    </w:p>
    <w:p w:rsidR="00F62453" w:rsidRDefault="00F62453">
      <w:pPr>
        <w:pStyle w:val="TOC2"/>
        <w:tabs>
          <w:tab w:val="left" w:pos="1440"/>
        </w:tabs>
        <w:rPr>
          <w:rFonts w:asciiTheme="minorHAnsi" w:eastAsiaTheme="minorEastAsia" w:hAnsiTheme="minorHAnsi"/>
          <w:noProof/>
          <w:sz w:val="22"/>
        </w:rPr>
      </w:pPr>
      <w:r w:rsidRPr="0044708D">
        <w:rPr>
          <w:rFonts w:eastAsia="Times New Roman"/>
          <w:noProof/>
        </w:rPr>
        <w:t>B.</w:t>
      </w:r>
      <w:r>
        <w:rPr>
          <w:rFonts w:asciiTheme="minorHAnsi" w:eastAsiaTheme="minorEastAsia" w:hAnsiTheme="minorHAnsi"/>
          <w:noProof/>
          <w:sz w:val="22"/>
        </w:rPr>
        <w:tab/>
      </w:r>
      <w:r w:rsidRPr="0044708D">
        <w:rPr>
          <w:rFonts w:eastAsia="Times New Roman"/>
          <w:noProof/>
        </w:rPr>
        <w:t>State Agreement Approach and Public Policy Projects</w:t>
      </w:r>
      <w:r>
        <w:rPr>
          <w:noProof/>
        </w:rPr>
        <w:tab/>
      </w:r>
      <w:r>
        <w:rPr>
          <w:noProof/>
        </w:rPr>
        <w:fldChar w:fldCharType="begin"/>
      </w:r>
      <w:r>
        <w:rPr>
          <w:noProof/>
        </w:rPr>
        <w:instrText xml:space="preserve"> PAGEREF _Toc342392353 \h </w:instrText>
      </w:r>
      <w:r>
        <w:rPr>
          <w:noProof/>
        </w:rPr>
      </w:r>
      <w:r>
        <w:rPr>
          <w:noProof/>
        </w:rPr>
        <w:fldChar w:fldCharType="separate"/>
      </w:r>
      <w:r w:rsidR="009158F5">
        <w:rPr>
          <w:noProof/>
        </w:rPr>
        <w:t>6</w:t>
      </w:r>
      <w:r>
        <w:rPr>
          <w:noProof/>
        </w:rPr>
        <w:fldChar w:fldCharType="end"/>
      </w:r>
    </w:p>
    <w:p w:rsidR="00F62453" w:rsidRDefault="00F62453">
      <w:pPr>
        <w:pStyle w:val="TOC2"/>
        <w:tabs>
          <w:tab w:val="left" w:pos="1440"/>
        </w:tabs>
        <w:rPr>
          <w:rFonts w:asciiTheme="minorHAnsi" w:eastAsiaTheme="minorEastAsia" w:hAnsiTheme="minorHAnsi"/>
          <w:noProof/>
          <w:sz w:val="22"/>
        </w:rPr>
      </w:pPr>
      <w:r w:rsidRPr="0044708D">
        <w:rPr>
          <w:rFonts w:eastAsia="Times New Roman"/>
          <w:noProof/>
        </w:rPr>
        <w:t>C.</w:t>
      </w:r>
      <w:r>
        <w:rPr>
          <w:rFonts w:asciiTheme="minorHAnsi" w:eastAsiaTheme="minorEastAsia" w:hAnsiTheme="minorHAnsi"/>
          <w:noProof/>
          <w:sz w:val="22"/>
        </w:rPr>
        <w:tab/>
      </w:r>
      <w:r w:rsidRPr="0044708D">
        <w:rPr>
          <w:rFonts w:eastAsia="Times New Roman"/>
          <w:noProof/>
        </w:rPr>
        <w:t>DFAX Beneficiary-Pays vs. Postage-stamp Cost Socialization</w:t>
      </w:r>
      <w:r>
        <w:rPr>
          <w:noProof/>
        </w:rPr>
        <w:tab/>
      </w:r>
      <w:r>
        <w:rPr>
          <w:noProof/>
        </w:rPr>
        <w:fldChar w:fldCharType="begin"/>
      </w:r>
      <w:r>
        <w:rPr>
          <w:noProof/>
        </w:rPr>
        <w:instrText xml:space="preserve"> PAGEREF _Toc342392354 \h </w:instrText>
      </w:r>
      <w:r>
        <w:rPr>
          <w:noProof/>
        </w:rPr>
      </w:r>
      <w:r>
        <w:rPr>
          <w:noProof/>
        </w:rPr>
        <w:fldChar w:fldCharType="separate"/>
      </w:r>
      <w:r w:rsidR="009158F5">
        <w:rPr>
          <w:noProof/>
        </w:rPr>
        <w:t>9</w:t>
      </w:r>
      <w:r>
        <w:rPr>
          <w:noProof/>
        </w:rPr>
        <w:fldChar w:fldCharType="end"/>
      </w:r>
    </w:p>
    <w:p w:rsidR="00F62453" w:rsidRDefault="00F62453">
      <w:pPr>
        <w:pStyle w:val="TOC2"/>
        <w:tabs>
          <w:tab w:val="left" w:pos="1440"/>
        </w:tabs>
        <w:rPr>
          <w:rFonts w:asciiTheme="minorHAnsi" w:eastAsiaTheme="minorEastAsia" w:hAnsiTheme="minorHAnsi"/>
          <w:noProof/>
          <w:sz w:val="22"/>
        </w:rPr>
      </w:pPr>
      <w:r w:rsidRPr="0044708D">
        <w:rPr>
          <w:rFonts w:eastAsia="Times New Roman"/>
          <w:noProof/>
        </w:rPr>
        <w:t>D.</w:t>
      </w:r>
      <w:r>
        <w:rPr>
          <w:rFonts w:asciiTheme="minorHAnsi" w:eastAsiaTheme="minorEastAsia" w:hAnsiTheme="minorHAnsi"/>
          <w:noProof/>
          <w:sz w:val="22"/>
        </w:rPr>
        <w:tab/>
      </w:r>
      <w:r w:rsidRPr="0044708D">
        <w:rPr>
          <w:rFonts w:eastAsia="Times New Roman"/>
          <w:noProof/>
        </w:rPr>
        <w:t>Order No. 1000 Compliance</w:t>
      </w:r>
      <w:r>
        <w:rPr>
          <w:noProof/>
        </w:rPr>
        <w:tab/>
      </w:r>
      <w:r>
        <w:rPr>
          <w:noProof/>
        </w:rPr>
        <w:fldChar w:fldCharType="begin"/>
      </w:r>
      <w:r>
        <w:rPr>
          <w:noProof/>
        </w:rPr>
        <w:instrText xml:space="preserve"> PAGEREF _Toc342392355 \h </w:instrText>
      </w:r>
      <w:r>
        <w:rPr>
          <w:noProof/>
        </w:rPr>
      </w:r>
      <w:r>
        <w:rPr>
          <w:noProof/>
        </w:rPr>
        <w:fldChar w:fldCharType="separate"/>
      </w:r>
      <w:r w:rsidR="009158F5">
        <w:rPr>
          <w:noProof/>
        </w:rPr>
        <w:t>11</w:t>
      </w:r>
      <w:r>
        <w:rPr>
          <w:noProof/>
        </w:rPr>
        <w:fldChar w:fldCharType="end"/>
      </w:r>
    </w:p>
    <w:p w:rsidR="00F62453" w:rsidRDefault="00F62453">
      <w:pPr>
        <w:pStyle w:val="TOC1"/>
        <w:rPr>
          <w:rFonts w:asciiTheme="minorHAnsi" w:eastAsiaTheme="minorEastAsia" w:hAnsiTheme="minorHAnsi"/>
          <w:noProof/>
          <w:sz w:val="22"/>
        </w:rPr>
      </w:pPr>
      <w:r>
        <w:rPr>
          <w:noProof/>
        </w:rPr>
        <w:t>CONCLUSION</w:t>
      </w:r>
      <w:r>
        <w:rPr>
          <w:noProof/>
        </w:rPr>
        <w:tab/>
      </w:r>
      <w:r>
        <w:rPr>
          <w:noProof/>
        </w:rPr>
        <w:fldChar w:fldCharType="begin"/>
      </w:r>
      <w:r>
        <w:rPr>
          <w:noProof/>
        </w:rPr>
        <w:instrText xml:space="preserve"> PAGEREF _Toc342392356 \h </w:instrText>
      </w:r>
      <w:r>
        <w:rPr>
          <w:noProof/>
        </w:rPr>
      </w:r>
      <w:r>
        <w:rPr>
          <w:noProof/>
        </w:rPr>
        <w:fldChar w:fldCharType="separate"/>
      </w:r>
      <w:r w:rsidR="009158F5">
        <w:rPr>
          <w:noProof/>
        </w:rPr>
        <w:t>16</w:t>
      </w:r>
      <w:r>
        <w:rPr>
          <w:noProof/>
        </w:rPr>
        <w:fldChar w:fldCharType="end"/>
      </w:r>
    </w:p>
    <w:p w:rsidR="00F62453" w:rsidRDefault="00F62453">
      <w:pPr>
        <w:pStyle w:val="TOC1"/>
        <w:rPr>
          <w:rFonts w:asciiTheme="minorHAnsi" w:eastAsiaTheme="minorEastAsia" w:hAnsiTheme="minorHAnsi"/>
          <w:noProof/>
          <w:sz w:val="22"/>
        </w:rPr>
      </w:pPr>
      <w:r>
        <w:rPr>
          <w:noProof/>
        </w:rPr>
        <w:t>CERTIFICATE OF SERVICE</w:t>
      </w:r>
      <w:r>
        <w:rPr>
          <w:noProof/>
        </w:rPr>
        <w:tab/>
      </w:r>
      <w:r>
        <w:rPr>
          <w:noProof/>
        </w:rPr>
        <w:fldChar w:fldCharType="begin"/>
      </w:r>
      <w:r>
        <w:rPr>
          <w:noProof/>
        </w:rPr>
        <w:instrText xml:space="preserve"> PAGEREF _Toc342392357 \h </w:instrText>
      </w:r>
      <w:r>
        <w:rPr>
          <w:noProof/>
        </w:rPr>
      </w:r>
      <w:r>
        <w:rPr>
          <w:noProof/>
        </w:rPr>
        <w:fldChar w:fldCharType="separate"/>
      </w:r>
      <w:r w:rsidR="009158F5">
        <w:rPr>
          <w:noProof/>
        </w:rPr>
        <w:t>17</w:t>
      </w:r>
      <w:r>
        <w:rPr>
          <w:noProof/>
        </w:rPr>
        <w:fldChar w:fldCharType="end"/>
      </w:r>
    </w:p>
    <w:p w:rsidR="00F62453" w:rsidRDefault="00F62453" w:rsidP="00F62453">
      <w:pPr>
        <w:spacing w:after="0" w:line="240" w:lineRule="auto"/>
        <w:rPr>
          <w:rFonts w:ascii="Times New Roman" w:eastAsia="Times New Roman" w:hAnsi="Times New Roman" w:cs="Times New Roman"/>
          <w:b/>
          <w:sz w:val="26"/>
          <w:szCs w:val="26"/>
          <w:lang w:bidi="en-US"/>
        </w:rPr>
      </w:pPr>
      <w:r>
        <w:rPr>
          <w:rFonts w:ascii="Times New Roman" w:eastAsia="Times New Roman" w:hAnsi="Times New Roman" w:cs="Times New Roman"/>
          <w:b/>
          <w:sz w:val="26"/>
          <w:szCs w:val="26"/>
          <w:lang w:bidi="en-US"/>
        </w:rPr>
        <w:fldChar w:fldCharType="end"/>
      </w:r>
    </w:p>
    <w:p w:rsidR="00F62453" w:rsidRDefault="00F62453" w:rsidP="00B65E27">
      <w:pPr>
        <w:spacing w:after="0" w:line="240" w:lineRule="auto"/>
        <w:jc w:val="center"/>
        <w:rPr>
          <w:rFonts w:ascii="Times New Roman" w:eastAsia="Times New Roman" w:hAnsi="Times New Roman" w:cs="Times New Roman"/>
          <w:b/>
          <w:sz w:val="26"/>
          <w:szCs w:val="26"/>
          <w:lang w:bidi="en-US"/>
        </w:rPr>
      </w:pPr>
    </w:p>
    <w:p w:rsidR="00F62453" w:rsidRDefault="00F62453" w:rsidP="00B65E27">
      <w:pPr>
        <w:spacing w:after="0" w:line="240" w:lineRule="auto"/>
        <w:jc w:val="center"/>
        <w:rPr>
          <w:rFonts w:ascii="Times New Roman" w:eastAsia="Times New Roman" w:hAnsi="Times New Roman" w:cs="Times New Roman"/>
          <w:b/>
          <w:sz w:val="26"/>
          <w:szCs w:val="26"/>
          <w:lang w:bidi="en-US"/>
        </w:rPr>
        <w:sectPr w:rsidR="00F62453" w:rsidSect="00F62453">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lastRenderedPageBreak/>
        <w:t>UNITED STATES OF AMERICA</w:t>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B65E27"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tbl>
      <w:tblPr>
        <w:tblW w:w="0" w:type="auto"/>
        <w:tblLook w:val="04A0" w:firstRow="1" w:lastRow="0" w:firstColumn="1" w:lastColumn="0" w:noHBand="0" w:noVBand="1"/>
      </w:tblPr>
      <w:tblGrid>
        <w:gridCol w:w="4868"/>
        <w:gridCol w:w="289"/>
        <w:gridCol w:w="4419"/>
      </w:tblGrid>
      <w:tr w:rsidR="00B65E27" w:rsidRPr="000D2745" w:rsidTr="003D1C65">
        <w:tc>
          <w:tcPr>
            <w:tcW w:w="4868" w:type="dxa"/>
            <w:shd w:val="clear" w:color="auto" w:fill="auto"/>
          </w:tcPr>
          <w:p w:rsidR="001330A9" w:rsidRDefault="001330A9" w:rsidP="001330A9">
            <w:pPr>
              <w:tabs>
                <w:tab w:val="left" w:pos="1980"/>
              </w:tabs>
              <w:spacing w:after="0" w:line="240" w:lineRule="auto"/>
              <w:rPr>
                <w:rFonts w:ascii="Times New Roman" w:eastAsia="Times New Roman" w:hAnsi="Times New Roman" w:cs="Times New Roman"/>
                <w:sz w:val="26"/>
                <w:szCs w:val="26"/>
                <w:lang w:bidi="en-US"/>
              </w:rPr>
            </w:pPr>
          </w:p>
          <w:p w:rsidR="001330A9" w:rsidRDefault="001330A9" w:rsidP="001330A9">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Transmission Planning and Cost Allocation</w:t>
            </w:r>
          </w:p>
          <w:p w:rsidR="00B65E27" w:rsidRPr="000D2745" w:rsidRDefault="001330A9" w:rsidP="001330A9">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 xml:space="preserve">By Transmission </w:t>
            </w:r>
            <w:r w:rsidR="00260A47">
              <w:rPr>
                <w:rFonts w:ascii="Times New Roman" w:eastAsia="Times New Roman" w:hAnsi="Times New Roman" w:cs="Times New Roman"/>
                <w:sz w:val="26"/>
                <w:szCs w:val="26"/>
                <w:lang w:bidi="en-US"/>
              </w:rPr>
              <w:t>Owning</w:t>
            </w:r>
            <w:r>
              <w:rPr>
                <w:rFonts w:ascii="Times New Roman" w:eastAsia="Times New Roman" w:hAnsi="Times New Roman" w:cs="Times New Roman"/>
                <w:sz w:val="26"/>
                <w:szCs w:val="26"/>
                <w:lang w:bidi="en-US"/>
              </w:rPr>
              <w:t xml:space="preserve"> and Operating Public </w:t>
            </w:r>
            <w:r w:rsidR="00260A47">
              <w:rPr>
                <w:rFonts w:ascii="Times New Roman" w:eastAsia="Times New Roman" w:hAnsi="Times New Roman" w:cs="Times New Roman"/>
                <w:sz w:val="26"/>
                <w:szCs w:val="26"/>
                <w:lang w:bidi="en-US"/>
              </w:rPr>
              <w:t>Utilities</w:t>
            </w:r>
          </w:p>
        </w:tc>
        <w:tc>
          <w:tcPr>
            <w:tcW w:w="289" w:type="dxa"/>
            <w:shd w:val="clear" w:color="auto" w:fill="auto"/>
          </w:tcPr>
          <w:p w:rsidR="00B65E27"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1330A9">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Pr="000D2745">
              <w:rPr>
                <w:rFonts w:ascii="Times New Roman" w:eastAsia="Times New Roman" w:hAnsi="Times New Roman" w:cs="Times New Roman"/>
                <w:sz w:val="26"/>
                <w:szCs w:val="26"/>
                <w:lang w:bidi="en-US"/>
              </w:rPr>
              <w:t xml:space="preserve">Docket No. </w:t>
            </w:r>
            <w:r>
              <w:rPr>
                <w:rFonts w:ascii="Times New Roman" w:eastAsia="Times New Roman" w:hAnsi="Times New Roman" w:cs="Times New Roman"/>
                <w:sz w:val="26"/>
                <w:szCs w:val="26"/>
                <w:lang w:bidi="en-US"/>
              </w:rPr>
              <w:t>ER13-</w:t>
            </w:r>
            <w:r w:rsidR="001330A9">
              <w:rPr>
                <w:rFonts w:ascii="Times New Roman" w:eastAsia="Times New Roman" w:hAnsi="Times New Roman" w:cs="Times New Roman"/>
                <w:sz w:val="26"/>
                <w:szCs w:val="26"/>
                <w:lang w:bidi="en-US"/>
              </w:rPr>
              <w:t>1</w:t>
            </w:r>
            <w:r>
              <w:rPr>
                <w:rFonts w:ascii="Times New Roman" w:eastAsia="Times New Roman" w:hAnsi="Times New Roman" w:cs="Times New Roman"/>
                <w:sz w:val="26"/>
                <w:szCs w:val="26"/>
                <w:lang w:bidi="en-US"/>
              </w:rPr>
              <w:t>9</w:t>
            </w:r>
            <w:r w:rsidR="001330A9">
              <w:rPr>
                <w:rFonts w:ascii="Times New Roman" w:eastAsia="Times New Roman" w:hAnsi="Times New Roman" w:cs="Times New Roman"/>
                <w:sz w:val="26"/>
                <w:szCs w:val="26"/>
                <w:lang w:bidi="en-US"/>
              </w:rPr>
              <w:t>8</w:t>
            </w:r>
            <w:r w:rsidRPr="000D2745">
              <w:rPr>
                <w:rFonts w:ascii="Times New Roman" w:eastAsia="Times New Roman" w:hAnsi="Times New Roman" w:cs="Times New Roman"/>
                <w:sz w:val="26"/>
                <w:szCs w:val="26"/>
                <w:lang w:bidi="en-US"/>
              </w:rPr>
              <w:t>-000</w:t>
            </w:r>
          </w:p>
        </w:tc>
      </w:tr>
    </w:tbl>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9158F5" w:rsidP="00B65E27">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align="center" o:hrstd="t" o:hrnoshade="t" o:hr="t" fillcolor="black" stroked="f"/>
        </w:pic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B65E27" w:rsidRPr="000D2745" w:rsidRDefault="009158F5" w:rsidP="00B65E27">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9053E3" w:rsidRDefault="009053E3" w:rsidP="00A756F2">
      <w:pPr>
        <w:pStyle w:val="Heading1"/>
      </w:pPr>
      <w:bookmarkStart w:id="2" w:name="_Toc339369242"/>
      <w:bookmarkStart w:id="3" w:name="_Toc342392350"/>
      <w:r>
        <w:t>INTRODUCTION</w:t>
      </w:r>
      <w:bookmarkEnd w:id="2"/>
      <w:r>
        <w:t xml:space="preserve"> </w:t>
      </w:r>
      <w:bookmarkEnd w:id="1"/>
      <w:r w:rsidR="00D162D7">
        <w:t>AND BACKGROUND</w:t>
      </w:r>
      <w:bookmarkEnd w:id="3"/>
    </w:p>
    <w:p w:rsidR="001330A9" w:rsidRDefault="007F11F2" w:rsidP="00E4211E">
      <w:pPr>
        <w:pStyle w:val="Textstyle"/>
      </w:pPr>
      <w:r>
        <w:tab/>
      </w:r>
      <w:r w:rsidR="004A3A57" w:rsidRPr="007F11F2">
        <w:t xml:space="preserve">On October </w:t>
      </w:r>
      <w:r w:rsidR="001330A9">
        <w:t>25</w:t>
      </w:r>
      <w:r w:rsidR="004A3A57" w:rsidRPr="007F11F2">
        <w:t>, 2012,</w:t>
      </w:r>
      <w:r w:rsidR="00C41474" w:rsidRPr="007F11F2">
        <w:t xml:space="preserve"> PJ</w:t>
      </w:r>
      <w:r w:rsidR="001330A9">
        <w:t>M Interconnection, L.L.C. (PJM), pursuant to section 206 of the Federal Power Act (FPA</w:t>
      </w:r>
      <w:r w:rsidR="00C63338">
        <w:t xml:space="preserve">) </w:t>
      </w:r>
      <w:r w:rsidR="001330A9">
        <w:t>submitted</w:t>
      </w:r>
      <w:r w:rsidR="003E21E2">
        <w:t>,</w:t>
      </w:r>
      <w:r w:rsidR="001330A9">
        <w:t xml:space="preserve"> in compliance with the Federal Energy regulatory Commission’s (FERC) </w:t>
      </w:r>
      <w:r w:rsidR="001330A9" w:rsidRPr="00064A8C">
        <w:rPr>
          <w:i/>
        </w:rPr>
        <w:t xml:space="preserve">Order </w:t>
      </w:r>
      <w:r w:rsidR="00064A8C" w:rsidRPr="00064A8C">
        <w:rPr>
          <w:i/>
        </w:rPr>
        <w:t xml:space="preserve">No. </w:t>
      </w:r>
      <w:r w:rsidR="001330A9" w:rsidRPr="00064A8C">
        <w:rPr>
          <w:i/>
        </w:rPr>
        <w:t>1000</w:t>
      </w:r>
      <w:r w:rsidR="001330A9">
        <w:t>,</w:t>
      </w:r>
      <w:r w:rsidR="00F62453">
        <w:rPr>
          <w:rStyle w:val="FootnoteReference"/>
        </w:rPr>
        <w:footnoteReference w:id="1"/>
      </w:r>
      <w:r w:rsidR="001330A9">
        <w:t xml:space="preserve"> revisions to </w:t>
      </w:r>
      <w:r w:rsidR="0018295B">
        <w:t xml:space="preserve">definitional section and Schedule 6 of its </w:t>
      </w:r>
      <w:r w:rsidR="00260A47">
        <w:t>Amended and</w:t>
      </w:r>
      <w:r w:rsidR="0018295B">
        <w:t xml:space="preserve"> restated Operating Agreement and Part I of its Open Access </w:t>
      </w:r>
      <w:r w:rsidR="00260A47">
        <w:t>Transmission</w:t>
      </w:r>
      <w:r w:rsidR="0018295B">
        <w:t xml:space="preserve"> Tariff (application).  Among ot</w:t>
      </w:r>
      <w:r w:rsidR="00DA2FB8">
        <w:t xml:space="preserve">her things, PJM’s application </w:t>
      </w:r>
      <w:r w:rsidR="003E21E2">
        <w:t>remarks</w:t>
      </w:r>
      <w:r w:rsidR="00281767">
        <w:t xml:space="preserve"> that it </w:t>
      </w:r>
      <w:r w:rsidR="005E7B8E">
        <w:t>comp</w:t>
      </w:r>
      <w:r w:rsidR="00DA2FB8">
        <w:t>lies with the expanded requirements under Order 890,</w:t>
      </w:r>
      <w:r w:rsidR="00DA2FB8">
        <w:rPr>
          <w:rStyle w:val="FootnoteReference"/>
        </w:rPr>
        <w:footnoteReference w:id="2"/>
      </w:r>
      <w:r w:rsidR="005E7B8E">
        <w:t xml:space="preserve"> procedure</w:t>
      </w:r>
      <w:r w:rsidR="003E21E2">
        <w:t>s</w:t>
      </w:r>
      <w:r w:rsidR="005E7B8E">
        <w:t xml:space="preserve"> that provide for consideration </w:t>
      </w:r>
      <w:r w:rsidR="00185A12">
        <w:t>Order No. 1000</w:t>
      </w:r>
      <w:r w:rsidR="005E7B8E">
        <w:t xml:space="preserve">’s Public Policy requirements, and </w:t>
      </w:r>
      <w:r w:rsidR="005E7B8E">
        <w:lastRenderedPageBreak/>
        <w:t xml:space="preserve">incorporates the revisions to PJM tariff schedule 12 as proposed by the PJM transmission owners consistent with section 205 of the FPA (Docket No, ER13-90-000). </w:t>
      </w:r>
      <w:r w:rsidR="00494180">
        <w:t xml:space="preserve">  </w:t>
      </w:r>
    </w:p>
    <w:p w:rsidR="00132D0A" w:rsidRDefault="00E4211E" w:rsidP="00E4211E">
      <w:pPr>
        <w:pStyle w:val="Textstyle"/>
      </w:pPr>
      <w:r>
        <w:tab/>
      </w:r>
      <w:r w:rsidR="00494180">
        <w:t xml:space="preserve">PJM’s </w:t>
      </w:r>
      <w:r w:rsidR="00D96244">
        <w:t xml:space="preserve">compliance filing </w:t>
      </w:r>
      <w:r w:rsidR="00494180">
        <w:t xml:space="preserve">maintains that its Regional Transmission Expansion </w:t>
      </w:r>
      <w:r w:rsidR="00132D0A">
        <w:t>Plan</w:t>
      </w:r>
      <w:r w:rsidR="00494180">
        <w:t xml:space="preserve"> (RTEP) process </w:t>
      </w:r>
      <w:r w:rsidR="002231E6">
        <w:t xml:space="preserve">currently </w:t>
      </w:r>
      <w:r w:rsidR="00494180">
        <w:t xml:space="preserve">largely complies with the requirements of </w:t>
      </w:r>
      <w:r w:rsidR="00494180" w:rsidRPr="00064A8C">
        <w:rPr>
          <w:i/>
        </w:rPr>
        <w:t xml:space="preserve">Order </w:t>
      </w:r>
      <w:r w:rsidR="00064A8C" w:rsidRPr="00064A8C">
        <w:rPr>
          <w:i/>
        </w:rPr>
        <w:t>No.</w:t>
      </w:r>
      <w:r w:rsidR="00494180" w:rsidRPr="00064A8C">
        <w:rPr>
          <w:i/>
        </w:rPr>
        <w:t>1000</w:t>
      </w:r>
      <w:r w:rsidR="00494180">
        <w:t xml:space="preserve">.  </w:t>
      </w:r>
      <w:r w:rsidR="002231E6">
        <w:t>The company’s</w:t>
      </w:r>
      <w:r w:rsidR="00EF1C33">
        <w:t xml:space="preserve"> application, however, does propose, among other things, a procedure whereby </w:t>
      </w:r>
      <w:r w:rsidR="00260A47">
        <w:t>transmission</w:t>
      </w:r>
      <w:r w:rsidR="00EF1C33">
        <w:t xml:space="preserve"> owners can recover costs associated with public policy </w:t>
      </w:r>
      <w:r w:rsidR="00132D0A">
        <w:t>projects</w:t>
      </w:r>
      <w:r w:rsidR="00EF1C33">
        <w:t xml:space="preserve"> </w:t>
      </w:r>
      <w:r w:rsidR="00260A47">
        <w:t>pursuant</w:t>
      </w:r>
      <w:r w:rsidR="00EF1C33">
        <w:t xml:space="preserve"> to a “state agreement approach” cost allocation</w:t>
      </w:r>
      <w:r w:rsidR="00132D0A">
        <w:t xml:space="preserve"> </w:t>
      </w:r>
      <w:r w:rsidR="00260A47">
        <w:t>methodology</w:t>
      </w:r>
      <w:r w:rsidR="00EF1C33">
        <w:t>.</w:t>
      </w:r>
      <w:r w:rsidR="00E25CF0">
        <w:t xml:space="preserve"> </w:t>
      </w:r>
      <w:r w:rsidR="00132D0A">
        <w:t xml:space="preserve"> </w:t>
      </w:r>
      <w:r w:rsidR="00594342">
        <w:t xml:space="preserve">Specifically, </w:t>
      </w:r>
      <w:r w:rsidR="00F057B8">
        <w:t xml:space="preserve">PJM’s application reflects that </w:t>
      </w:r>
      <w:r w:rsidR="00E532A0">
        <w:t xml:space="preserve">no costs </w:t>
      </w:r>
      <w:r w:rsidR="00260A47">
        <w:t>will</w:t>
      </w:r>
      <w:r w:rsidR="00E532A0">
        <w:t xml:space="preserve"> be </w:t>
      </w:r>
      <w:r w:rsidR="00260A47">
        <w:t>recovered</w:t>
      </w:r>
      <w:r w:rsidR="00E532A0">
        <w:t xml:space="preserve"> from customers in a state </w:t>
      </w:r>
      <w:r w:rsidR="00675315">
        <w:t>who</w:t>
      </w:r>
      <w:r w:rsidR="00E532A0">
        <w:t xml:space="preserve"> did not agre</w:t>
      </w:r>
      <w:r w:rsidR="002231E6">
        <w:t>e</w:t>
      </w:r>
      <w:r w:rsidR="00E532A0">
        <w:t xml:space="preserve"> to be responsible for such cost recovery.</w:t>
      </w:r>
    </w:p>
    <w:p w:rsidR="003E21E2" w:rsidRDefault="00E4211E" w:rsidP="00E4211E">
      <w:pPr>
        <w:pStyle w:val="Textstyle"/>
      </w:pPr>
      <w:r>
        <w:tab/>
      </w:r>
      <w:r w:rsidR="003E21E2">
        <w:t xml:space="preserve">PJM </w:t>
      </w:r>
      <w:r w:rsidR="00EF1C33">
        <w:t>notes that it</w:t>
      </w:r>
      <w:r w:rsidR="00132D0A">
        <w:t xml:space="preserve">s application </w:t>
      </w:r>
      <w:r w:rsidR="00EF1C33">
        <w:t>complement</w:t>
      </w:r>
      <w:r w:rsidR="00F057B8">
        <w:t>s</w:t>
      </w:r>
      <w:r w:rsidR="00EF1C33">
        <w:t xml:space="preserve"> its transmission owners’ </w:t>
      </w:r>
      <w:r w:rsidR="00E25CF0">
        <w:t xml:space="preserve">(TO) </w:t>
      </w:r>
      <w:r w:rsidR="00EF1C33">
        <w:t xml:space="preserve">proposal </w:t>
      </w:r>
      <w:r w:rsidR="00E25CF0">
        <w:t>for</w:t>
      </w:r>
      <w:r w:rsidR="00EF1C33">
        <w:t xml:space="preserve"> cost recovery</w:t>
      </w:r>
      <w:r w:rsidR="00132D0A">
        <w:t xml:space="preserve"> in </w:t>
      </w:r>
      <w:r w:rsidR="00D162D7">
        <w:t>Docket No</w:t>
      </w:r>
      <w:proofErr w:type="gramStart"/>
      <w:r w:rsidR="00D162D7">
        <w:t xml:space="preserve">. </w:t>
      </w:r>
      <w:proofErr w:type="gramEnd"/>
      <w:r w:rsidR="00132D0A">
        <w:t>ER 13-90</w:t>
      </w:r>
      <w:r w:rsidR="00437BCE">
        <w:t xml:space="preserve">. </w:t>
      </w:r>
      <w:r w:rsidR="00F057B8">
        <w:t xml:space="preserve"> </w:t>
      </w:r>
      <w:r w:rsidR="00761354">
        <w:t>PJM</w:t>
      </w:r>
      <w:r w:rsidR="00594342">
        <w:t>’s</w:t>
      </w:r>
      <w:r w:rsidR="00761354">
        <w:t xml:space="preserve"> </w:t>
      </w:r>
      <w:r w:rsidR="003E21E2">
        <w:t xml:space="preserve">filing </w:t>
      </w:r>
      <w:r w:rsidR="00594342">
        <w:t>also</w:t>
      </w:r>
      <w:r w:rsidR="00761354">
        <w:t xml:space="preserve"> </w:t>
      </w:r>
      <w:r w:rsidR="003E21E2">
        <w:t xml:space="preserve">endorses </w:t>
      </w:r>
      <w:r w:rsidR="00761354">
        <w:t>the TO</w:t>
      </w:r>
      <w:r w:rsidR="00DD49F0">
        <w:t xml:space="preserve"> </w:t>
      </w:r>
      <w:r w:rsidR="00761354" w:rsidRPr="00761354">
        <w:rPr>
          <w:i/>
        </w:rPr>
        <w:t xml:space="preserve">Order No. 1000 </w:t>
      </w:r>
      <w:r w:rsidR="00761354">
        <w:t xml:space="preserve">compliance filing.  </w:t>
      </w:r>
      <w:r w:rsidR="00F057B8">
        <w:t>The PJM TO proposal</w:t>
      </w:r>
      <w:r w:rsidR="00F057B8" w:rsidRPr="007F11F2">
        <w:t xml:space="preserve"> mak</w:t>
      </w:r>
      <w:r w:rsidR="00F057B8">
        <w:t>es</w:t>
      </w:r>
      <w:r w:rsidR="00F057B8" w:rsidRPr="007F11F2">
        <w:t xml:space="preserve"> modifications to Schedule 12 of the PJM tariff involving the allocation of costs for transmission system expansion and enhancements included in the </w:t>
      </w:r>
      <w:r w:rsidR="00675315">
        <w:t>RTEP</w:t>
      </w:r>
      <w:r>
        <w:t xml:space="preserve">.  </w:t>
      </w:r>
      <w:r w:rsidR="00D162D7" w:rsidRPr="007F11F2">
        <w:t>The PJM TO maintain that the proposed tariff amendments ensure that RTEP costs are allocated in a manner that is just, reasonable, and not unduly discriminatory or preferen</w:t>
      </w:r>
      <w:r w:rsidR="00D162D7">
        <w:softHyphen/>
      </w:r>
      <w:r w:rsidR="00D162D7" w:rsidRPr="007F11F2">
        <w:t xml:space="preserve">tial, as section 205 requires, and also complies with the requirements of </w:t>
      </w:r>
      <w:r w:rsidR="00D162D7" w:rsidRPr="007F11F2">
        <w:rPr>
          <w:i/>
          <w:iCs/>
        </w:rPr>
        <w:t xml:space="preserve">Order No. 1000 </w:t>
      </w:r>
      <w:r w:rsidR="00D162D7" w:rsidRPr="007F11F2">
        <w:t xml:space="preserve">regarding regional cost allocation.  </w:t>
      </w:r>
      <w:r w:rsidR="00F057B8">
        <w:t>Generally, t</w:t>
      </w:r>
      <w:r w:rsidR="00437BCE">
        <w:t xml:space="preserve">he PJM TO </w:t>
      </w:r>
      <w:r w:rsidR="00F057B8">
        <w:t xml:space="preserve">application </w:t>
      </w:r>
      <w:r w:rsidR="00437BCE">
        <w:t>r</w:t>
      </w:r>
      <w:r w:rsidR="00EF1C33">
        <w:t>eflects</w:t>
      </w:r>
      <w:r w:rsidR="00132D0A">
        <w:t xml:space="preserve"> </w:t>
      </w:r>
      <w:r w:rsidR="00EF1C33">
        <w:t>that costs be shared for high capacity</w:t>
      </w:r>
      <w:r w:rsidR="00D162D7">
        <w:rPr>
          <w:rStyle w:val="FootnoteReference"/>
        </w:rPr>
        <w:footnoteReference w:id="3"/>
      </w:r>
      <w:r w:rsidR="00EF1C33">
        <w:t xml:space="preserve"> transmission expansion </w:t>
      </w:r>
      <w:r w:rsidR="00437BCE">
        <w:t xml:space="preserve">projects </w:t>
      </w:r>
      <w:r w:rsidR="00EF1C33">
        <w:t xml:space="preserve">on a 50/50 percent </w:t>
      </w:r>
      <w:r w:rsidR="00437BCE">
        <w:t xml:space="preserve">sharing </w:t>
      </w:r>
      <w:r w:rsidR="00EF1C33">
        <w:t xml:space="preserve">basis between the </w:t>
      </w:r>
      <w:r w:rsidR="00281767">
        <w:lastRenderedPageBreak/>
        <w:t>postage-stamp</w:t>
      </w:r>
      <w:r w:rsidR="00D162D7">
        <w:rPr>
          <w:rStyle w:val="FootnoteReference"/>
        </w:rPr>
        <w:footnoteReference w:id="4"/>
      </w:r>
      <w:r w:rsidR="00EF1C33">
        <w:t xml:space="preserve"> cost socialization </w:t>
      </w:r>
      <w:r w:rsidR="00132D0A">
        <w:t>approach to cost recovery and t</w:t>
      </w:r>
      <w:r w:rsidR="00EF1C33">
        <w:t xml:space="preserve">he solutions-based </w:t>
      </w:r>
      <w:r w:rsidR="00906063">
        <w:t>distribution factor analysis</w:t>
      </w:r>
      <w:r w:rsidR="00906063">
        <w:rPr>
          <w:rStyle w:val="FootnoteReference"/>
        </w:rPr>
        <w:footnoteReference w:id="5"/>
      </w:r>
      <w:r w:rsidR="00906063">
        <w:t xml:space="preserve">  (DFAX), which identifies actual beneficiaries of a high-capacity transmission upgrade.  </w:t>
      </w:r>
    </w:p>
    <w:p w:rsidR="00D162D7" w:rsidRPr="000B2E19" w:rsidRDefault="00E4211E" w:rsidP="00E4211E">
      <w:pPr>
        <w:pStyle w:val="Textstyle"/>
      </w:pPr>
      <w:r>
        <w:tab/>
      </w:r>
      <w:r w:rsidR="00D162D7">
        <w:t xml:space="preserve">Comments in </w:t>
      </w:r>
      <w:r w:rsidR="00260A47">
        <w:t>this</w:t>
      </w:r>
      <w:r w:rsidR="00064A8C">
        <w:t xml:space="preserve"> </w:t>
      </w:r>
      <w:r w:rsidR="00D162D7">
        <w:t>proceeding are due on or before December 10, 2012.  The Public Utilities Commission of Ohio (PUCO or Ohio Commis</w:t>
      </w:r>
      <w:r w:rsidR="00D162D7">
        <w:softHyphen/>
        <w:t>sion) hereby submits its</w:t>
      </w:r>
      <w:r w:rsidR="00064A8C">
        <w:t xml:space="preserve"> comments responding to the PJM’s proposed </w:t>
      </w:r>
      <w:r w:rsidR="00185A12" w:rsidRPr="003E21E2">
        <w:rPr>
          <w:i/>
        </w:rPr>
        <w:t>Order No. 1000</w:t>
      </w:r>
      <w:r w:rsidR="00064A8C">
        <w:t xml:space="preserve"> compliance filing.</w:t>
      </w:r>
    </w:p>
    <w:p w:rsidR="00906063" w:rsidRDefault="00906063" w:rsidP="00A756F2">
      <w:pPr>
        <w:pStyle w:val="Heading1"/>
      </w:pPr>
      <w:bookmarkStart w:id="4" w:name="_Toc342392351"/>
      <w:r>
        <w:t>DISCUSSION</w:t>
      </w:r>
      <w:bookmarkEnd w:id="4"/>
    </w:p>
    <w:p w:rsidR="00906063" w:rsidRDefault="00906063" w:rsidP="00E4211E">
      <w:pPr>
        <w:pStyle w:val="Heading2"/>
        <w:rPr>
          <w:rFonts w:eastAsia="Times New Roman"/>
        </w:rPr>
      </w:pPr>
      <w:bookmarkStart w:id="5" w:name="_Toc342392352"/>
      <w:r>
        <w:rPr>
          <w:rFonts w:eastAsia="Times New Roman"/>
        </w:rPr>
        <w:t xml:space="preserve">The </w:t>
      </w:r>
      <w:r w:rsidR="00675315">
        <w:rPr>
          <w:rFonts w:eastAsia="Times New Roman"/>
        </w:rPr>
        <w:t>Seventh</w:t>
      </w:r>
      <w:r>
        <w:rPr>
          <w:rFonts w:eastAsia="Times New Roman"/>
        </w:rPr>
        <w:t xml:space="preserve"> Circuit Remand</w:t>
      </w:r>
      <w:bookmarkEnd w:id="5"/>
    </w:p>
    <w:p w:rsidR="00906063" w:rsidRPr="0094539F" w:rsidRDefault="00E4211E" w:rsidP="00E4211E">
      <w:pPr>
        <w:pStyle w:val="Textstyle"/>
      </w:pPr>
      <w:r>
        <w:tab/>
      </w:r>
      <w:r w:rsidR="00906063" w:rsidRPr="0094539F">
        <w:t>On August 9, 2009, the United States Court of Appeals for the Seventh Circuit remanded to FERC the appropriate cost allocation method to be used by PJM for new transmission facilities operating at or above 500kV.</w:t>
      </w:r>
      <w:r w:rsidR="00906063" w:rsidRPr="0094539F">
        <w:rPr>
          <w:rStyle w:val="FootnoteReference"/>
        </w:rPr>
        <w:footnoteReference w:id="6"/>
      </w:r>
      <w:r w:rsidR="00906063" w:rsidRPr="0094539F">
        <w:t xml:space="preserve"> </w:t>
      </w:r>
      <w:r w:rsidR="00906063">
        <w:t xml:space="preserve"> T</w:t>
      </w:r>
      <w:r w:rsidR="00675315">
        <w:t>he Seventh Circuit</w:t>
      </w:r>
      <w:r w:rsidR="00906063" w:rsidRPr="0094539F">
        <w:t xml:space="preserve"> held that “FERC is not authorized to approve a pricing scheme that requires a group of utilities to pay for facilities from which its members derive no benefits or benefits that are trivial in relation to the costs sought to be shifted to its members.”</w:t>
      </w:r>
      <w:r w:rsidR="00906063" w:rsidRPr="0094539F">
        <w:rPr>
          <w:rStyle w:val="FootnoteReference"/>
        </w:rPr>
        <w:footnoteReference w:id="7"/>
      </w:r>
      <w:r w:rsidR="00906063" w:rsidRPr="0094539F">
        <w:t xml:space="preserve"> </w:t>
      </w:r>
      <w:r>
        <w:t xml:space="preserve"> </w:t>
      </w:r>
      <w:r w:rsidR="00906063" w:rsidRPr="0094539F">
        <w:t xml:space="preserve">Further, the Seventh Circuit </w:t>
      </w:r>
      <w:r w:rsidR="00906063" w:rsidRPr="0094539F">
        <w:lastRenderedPageBreak/>
        <w:t xml:space="preserve">found that “the Commission had not adequately supported its conclusion that the </w:t>
      </w:r>
      <w:r w:rsidR="00281767">
        <w:t>postage-stamp</w:t>
      </w:r>
      <w:r w:rsidR="00906063" w:rsidRPr="0094539F">
        <w:t xml:space="preserve"> methodology was just and reasonable.”</w:t>
      </w:r>
      <w:r w:rsidR="00906063" w:rsidRPr="0094539F">
        <w:rPr>
          <w:rStyle w:val="FootnoteReference"/>
        </w:rPr>
        <w:footnoteReference w:id="8"/>
      </w:r>
    </w:p>
    <w:p w:rsidR="00906063" w:rsidRPr="0094539F" w:rsidRDefault="00E4211E" w:rsidP="00E4211E">
      <w:pPr>
        <w:pStyle w:val="Textstyle"/>
      </w:pPr>
      <w:r>
        <w:tab/>
      </w:r>
      <w:r w:rsidR="00906063" w:rsidRPr="0094539F">
        <w:t xml:space="preserve">In the </w:t>
      </w:r>
      <w:r w:rsidR="00906063" w:rsidRPr="002B21F6">
        <w:t>Order on Remand</w:t>
      </w:r>
      <w:r w:rsidR="00906063" w:rsidRPr="0094539F">
        <w:t xml:space="preserve">, issued on March 30, 2012, FERC found that it was just and reasonable for PJM to use the </w:t>
      </w:r>
      <w:r w:rsidR="00281767">
        <w:t>postage-stamp</w:t>
      </w:r>
      <w:r w:rsidR="00906063" w:rsidRPr="0094539F">
        <w:t xml:space="preserve"> methodology for new transmission facilities operating at or above </w:t>
      </w:r>
      <w:proofErr w:type="spellStart"/>
      <w:r w:rsidR="00906063" w:rsidRPr="0094539F">
        <w:t>500kV</w:t>
      </w:r>
      <w:proofErr w:type="spellEnd"/>
      <w:r w:rsidR="00906063" w:rsidRPr="0094539F">
        <w:t>.</w:t>
      </w:r>
      <w:r>
        <w:t xml:space="preserve"> </w:t>
      </w:r>
      <w:r w:rsidR="00906063" w:rsidRPr="0094539F">
        <w:t xml:space="preserve"> Rather than providing specific examples to sup</w:t>
      </w:r>
      <w:r w:rsidR="00906063">
        <w:softHyphen/>
      </w:r>
      <w:r w:rsidR="00906063" w:rsidRPr="0094539F">
        <w:t>port its conclusion, FERC simply maintained that the Seventh Circuit does not require the Commission “to calculate benefits to the last penny, or for that matter to the last million or ten million or perhaps hundred million dollars.”</w:t>
      </w:r>
      <w:r w:rsidR="00906063" w:rsidRPr="0094539F">
        <w:rPr>
          <w:rStyle w:val="FootnoteReference"/>
        </w:rPr>
        <w:footnoteReference w:id="9"/>
      </w:r>
      <w:r w:rsidR="00906063" w:rsidRPr="0094539F">
        <w:t xml:space="preserve"> </w:t>
      </w:r>
      <w:r>
        <w:t xml:space="preserve"> I</w:t>
      </w:r>
      <w:r w:rsidR="00906063" w:rsidRPr="0094539F">
        <w:t xml:space="preserve">t stated that “the planned 500kV and above facilities will provide sufficient benefits to the entire PJM region to justify a regional allocation of those costs.” </w:t>
      </w:r>
      <w:r w:rsidR="00906063" w:rsidRPr="0094539F">
        <w:rPr>
          <w:rStyle w:val="FootnoteReference"/>
        </w:rPr>
        <w:footnoteReference w:id="10"/>
      </w:r>
      <w:r w:rsidR="00906063" w:rsidRPr="0094539F">
        <w:t xml:space="preserve"> </w:t>
      </w:r>
    </w:p>
    <w:p w:rsidR="00906063" w:rsidRPr="0094539F" w:rsidRDefault="00E4211E" w:rsidP="00E4211E">
      <w:pPr>
        <w:pStyle w:val="Textstyle"/>
      </w:pPr>
      <w:r>
        <w:tab/>
      </w:r>
      <w:r w:rsidR="00906063" w:rsidRPr="0094539F">
        <w:t xml:space="preserve">The Ohio Commission submitted a request for rehearing after FERC issued the </w:t>
      </w:r>
      <w:r w:rsidR="00906063" w:rsidRPr="002B21F6">
        <w:t>Order on Remand</w:t>
      </w:r>
      <w:r w:rsidR="00906063" w:rsidRPr="0094539F">
        <w:t xml:space="preserve"> </w:t>
      </w:r>
      <w:r w:rsidR="00705028">
        <w:t xml:space="preserve">in RM10-23 </w:t>
      </w:r>
      <w:r w:rsidR="00906063" w:rsidRPr="0094539F">
        <w:t xml:space="preserve">because </w:t>
      </w:r>
      <w:r w:rsidR="00705028">
        <w:t xml:space="preserve">FERC </w:t>
      </w:r>
      <w:r w:rsidR="00906063" w:rsidRPr="0094539F">
        <w:t xml:space="preserve">failed to show that the </w:t>
      </w:r>
      <w:r w:rsidR="00281767">
        <w:t>postage-stamp</w:t>
      </w:r>
      <w:r w:rsidR="00906063" w:rsidRPr="0094539F">
        <w:t xml:space="preserve"> methodology meets the Seventh Circuit’s requirement that high capacity levels must be roughly commensu</w:t>
      </w:r>
      <w:r w:rsidR="00906063">
        <w:softHyphen/>
      </w:r>
      <w:r w:rsidR="00906063" w:rsidRPr="0094539F">
        <w:t>rate with the benefits received.</w:t>
      </w:r>
      <w:r w:rsidR="00906063" w:rsidRPr="0094539F">
        <w:rPr>
          <w:rStyle w:val="FootnoteReference"/>
        </w:rPr>
        <w:footnoteReference w:id="11"/>
      </w:r>
      <w:r w:rsidR="00906063" w:rsidRPr="0094539F">
        <w:t xml:space="preserve"> </w:t>
      </w:r>
      <w:r w:rsidR="00906063">
        <w:t xml:space="preserve"> </w:t>
      </w:r>
      <w:r w:rsidR="00906063" w:rsidRPr="0094539F">
        <w:t xml:space="preserve">The Ohio Commission stated that “by its very nature, a </w:t>
      </w:r>
      <w:r w:rsidR="00281767">
        <w:t>postage-stamp</w:t>
      </w:r>
      <w:r w:rsidR="00906063" w:rsidRPr="0094539F">
        <w:t xml:space="preserve"> methodology blurs the distinction between costs and benefits in order to socialize costs across a region.”</w:t>
      </w:r>
      <w:r w:rsidR="00906063" w:rsidRPr="0094539F">
        <w:rPr>
          <w:rStyle w:val="FootnoteReference"/>
        </w:rPr>
        <w:footnoteReference w:id="12"/>
      </w:r>
      <w:r w:rsidR="00906063" w:rsidRPr="0094539F">
        <w:t xml:space="preserve"> </w:t>
      </w:r>
      <w:r w:rsidR="00906063">
        <w:t xml:space="preserve"> </w:t>
      </w:r>
      <w:r w:rsidR="00906063" w:rsidRPr="0094539F">
        <w:t xml:space="preserve">Further, the Ohio Commission found that “the </w:t>
      </w:r>
      <w:r w:rsidR="00281767">
        <w:t>postage-stamp</w:t>
      </w:r>
      <w:r w:rsidR="00906063" w:rsidRPr="0094539F">
        <w:t xml:space="preserve"> methodology cannot be approved by FERC because it </w:t>
      </w:r>
      <w:r w:rsidR="00906063" w:rsidRPr="0094539F">
        <w:lastRenderedPageBreak/>
        <w:t>assumes, on a generic basis, that such a methodology assigns benefits accurately.”</w:t>
      </w:r>
      <w:r w:rsidR="00906063" w:rsidRPr="0094539F">
        <w:rPr>
          <w:rStyle w:val="FootnoteReference"/>
        </w:rPr>
        <w:footnoteReference w:id="13"/>
      </w:r>
      <w:proofErr w:type="gramStart"/>
      <w:r w:rsidR="00906063" w:rsidRPr="0094539F">
        <w:t xml:space="preserve"> </w:t>
      </w:r>
      <w:proofErr w:type="gramEnd"/>
      <w:r w:rsidR="00906063" w:rsidRPr="0094539F">
        <w:t xml:space="preserve">FERC granted the rehearing for reconsideration on May 29, 2012. </w:t>
      </w:r>
    </w:p>
    <w:p w:rsidR="00906063" w:rsidRPr="0094539F" w:rsidRDefault="00E4211E" w:rsidP="00E4211E">
      <w:pPr>
        <w:pStyle w:val="Textstyle"/>
      </w:pPr>
      <w:r>
        <w:tab/>
      </w:r>
      <w:r w:rsidR="00906063">
        <w:t>No merit decision has</w:t>
      </w:r>
      <w:r w:rsidR="00906063" w:rsidRPr="0094539F">
        <w:t xml:space="preserve"> been issued</w:t>
      </w:r>
      <w:proofErr w:type="gramStart"/>
      <w:r w:rsidR="00906063" w:rsidRPr="0094539F">
        <w:t xml:space="preserve">. </w:t>
      </w:r>
      <w:proofErr w:type="gramEnd"/>
      <w:r w:rsidR="00906063" w:rsidRPr="0094539F">
        <w:t xml:space="preserve">As a result, this problem has been unresolved for more than three years. </w:t>
      </w:r>
      <w:r>
        <w:t xml:space="preserve"> </w:t>
      </w:r>
      <w:r w:rsidR="00906063" w:rsidRPr="0094539F">
        <w:t xml:space="preserve">In the meantime, FERC has issued more than </w:t>
      </w:r>
      <w:r w:rsidR="00906063">
        <w:t>1,275</w:t>
      </w:r>
      <w:r w:rsidR="00906063" w:rsidRPr="0094539F">
        <w:t xml:space="preserve"> pages of decisions regarding other cost allocation </w:t>
      </w:r>
      <w:r w:rsidR="00906063">
        <w:t>policy matters</w:t>
      </w:r>
      <w:r w:rsidR="00906063" w:rsidRPr="0094539F">
        <w:t>.</w:t>
      </w:r>
      <w:r w:rsidR="00906063">
        <w:rPr>
          <w:rStyle w:val="FootnoteReference"/>
        </w:rPr>
        <w:footnoteReference w:id="14"/>
      </w:r>
      <w:r w:rsidR="00906063" w:rsidRPr="0094539F">
        <w:t xml:space="preserve"> </w:t>
      </w:r>
      <w:r>
        <w:t xml:space="preserve"> </w:t>
      </w:r>
      <w:r w:rsidR="00906063" w:rsidRPr="0094539F">
        <w:t>It is improper for FERC to move forward with these other decisions without issuing a rehear</w:t>
      </w:r>
      <w:r w:rsidR="00906063">
        <w:softHyphen/>
      </w:r>
      <w:r w:rsidR="00906063" w:rsidRPr="0094539F">
        <w:t xml:space="preserve">ing for EL-05-121, because all of these problems are related. </w:t>
      </w:r>
      <w:r>
        <w:t xml:space="preserve"> </w:t>
      </w:r>
      <w:r w:rsidR="00906063" w:rsidRPr="0094539F">
        <w:t xml:space="preserve">Because FERC has not moved forward with the rehearing, it has not been determined whether the </w:t>
      </w:r>
      <w:r w:rsidR="00281767">
        <w:t>postage-stamp</w:t>
      </w:r>
      <w:r w:rsidR="00906063" w:rsidRPr="0094539F">
        <w:t xml:space="preserve"> cost allocation method is proper. </w:t>
      </w:r>
    </w:p>
    <w:p w:rsidR="00705028" w:rsidRDefault="00E4211E" w:rsidP="00E4211E">
      <w:pPr>
        <w:pStyle w:val="Textstyle"/>
      </w:pPr>
      <w:r>
        <w:tab/>
      </w:r>
      <w:r w:rsidR="00906063" w:rsidRPr="0094539F">
        <w:t xml:space="preserve">Specifically, </w:t>
      </w:r>
      <w:r w:rsidR="00D96244">
        <w:t>PJM’s compliance filing supports the T</w:t>
      </w:r>
      <w:r w:rsidR="00906063">
        <w:t>O</w:t>
      </w:r>
      <w:r w:rsidR="00906063" w:rsidRPr="0094539F">
        <w:t xml:space="preserve"> propos</w:t>
      </w:r>
      <w:r w:rsidR="00D96244">
        <w:t>al</w:t>
      </w:r>
      <w:r w:rsidR="00906063" w:rsidRPr="0094539F">
        <w:t xml:space="preserve"> to use a hybrid methodology for allocating the costs of regional facilities.</w:t>
      </w:r>
      <w:r w:rsidR="00906063" w:rsidRPr="0094539F">
        <w:rPr>
          <w:rStyle w:val="FootnoteReference"/>
        </w:rPr>
        <w:footnoteReference w:id="15"/>
      </w:r>
      <w:r w:rsidR="00906063" w:rsidRPr="0094539F">
        <w:t xml:space="preserve"> </w:t>
      </w:r>
      <w:r>
        <w:t xml:space="preserve"> </w:t>
      </w:r>
      <w:r w:rsidR="00906063" w:rsidRPr="0094539F">
        <w:t xml:space="preserve">This hybrid approach would partially rely on the </w:t>
      </w:r>
      <w:r w:rsidR="00281767">
        <w:t>postage-stamp</w:t>
      </w:r>
      <w:r w:rsidR="00906063" w:rsidRPr="0094539F">
        <w:t xml:space="preserve"> methodology. </w:t>
      </w:r>
      <w:r w:rsidR="00801896">
        <w:t xml:space="preserve"> </w:t>
      </w:r>
      <w:r w:rsidR="00906063">
        <w:t xml:space="preserve">The </w:t>
      </w:r>
      <w:r w:rsidR="00906063" w:rsidRPr="0094539F">
        <w:t>PJM</w:t>
      </w:r>
      <w:r w:rsidR="00906063">
        <w:t xml:space="preserve"> TO </w:t>
      </w:r>
      <w:r w:rsidR="00D96244" w:rsidRPr="00D96244">
        <w:rPr>
          <w:i/>
        </w:rPr>
        <w:t>Order No. 1000</w:t>
      </w:r>
      <w:r w:rsidR="00D96244">
        <w:t xml:space="preserve"> compliance filing </w:t>
      </w:r>
      <w:r w:rsidR="00906063" w:rsidRPr="0094539F">
        <w:t>explain</w:t>
      </w:r>
      <w:r w:rsidR="00D96244">
        <w:t>s</w:t>
      </w:r>
      <w:r w:rsidR="00906063" w:rsidRPr="0094539F">
        <w:t xml:space="preserve"> that the hybrid methodology and the solution-based DFAX compl</w:t>
      </w:r>
      <w:r w:rsidR="00906063">
        <w:t xml:space="preserve">y </w:t>
      </w:r>
      <w:r w:rsidR="00906063" w:rsidRPr="0094539F">
        <w:t xml:space="preserve">with the definition of benefits that is presented in the </w:t>
      </w:r>
      <w:r w:rsidR="00906063" w:rsidRPr="002B21F6">
        <w:t>Order on Remand</w:t>
      </w:r>
      <w:r w:rsidR="00906063" w:rsidRPr="0094539F">
        <w:t>.</w:t>
      </w:r>
      <w:r w:rsidR="00906063" w:rsidRPr="0094539F">
        <w:rPr>
          <w:rStyle w:val="FootnoteReference"/>
        </w:rPr>
        <w:footnoteReference w:id="16"/>
      </w:r>
      <w:r w:rsidR="00906063">
        <w:t xml:space="preserve"> </w:t>
      </w:r>
      <w:r w:rsidR="00906063" w:rsidRPr="0094539F">
        <w:t xml:space="preserve"> </w:t>
      </w:r>
      <w:r w:rsidR="00906063">
        <w:t xml:space="preserve">The argument assumes the outcome of the remand.  It cannot be known whether the </w:t>
      </w:r>
      <w:r w:rsidR="00906063" w:rsidRPr="0094539F">
        <w:t>PJM</w:t>
      </w:r>
      <w:r w:rsidR="000D4E18">
        <w:t xml:space="preserve">’s compliance </w:t>
      </w:r>
      <w:r w:rsidR="00260A47">
        <w:t>filing and</w:t>
      </w:r>
      <w:r w:rsidR="00A756F2">
        <w:t xml:space="preserve"> </w:t>
      </w:r>
      <w:r w:rsidR="00906063">
        <w:t xml:space="preserve">TO </w:t>
      </w:r>
      <w:r w:rsidR="003E21E2">
        <w:t>application in ER13-90</w:t>
      </w:r>
      <w:r w:rsidR="00906063">
        <w:t xml:space="preserve"> complies with the </w:t>
      </w:r>
      <w:r w:rsidR="00906063" w:rsidRPr="00A572FB">
        <w:t>Order on Remand</w:t>
      </w:r>
      <w:r w:rsidR="00906063" w:rsidRPr="002B21F6">
        <w:rPr>
          <w:i/>
        </w:rPr>
        <w:t xml:space="preserve"> </w:t>
      </w:r>
      <w:r w:rsidR="00906063">
        <w:lastRenderedPageBreak/>
        <w:t xml:space="preserve">until there </w:t>
      </w:r>
      <w:r w:rsidR="00906063" w:rsidRPr="00A6304A">
        <w:rPr>
          <w:i/>
        </w:rPr>
        <w:t>is</w:t>
      </w:r>
      <w:r w:rsidR="00906063">
        <w:t xml:space="preserve"> an order on remand. Consequently, FERC cannot move forward </w:t>
      </w:r>
      <w:r w:rsidR="00D96244">
        <w:t xml:space="preserve">to approve either PJM’s or the TO compliance filings </w:t>
      </w:r>
      <w:r w:rsidR="00906063">
        <w:t xml:space="preserve">with tariff revisions of this magnitude without issuing its rehearing decision. </w:t>
      </w:r>
      <w:r w:rsidR="004C31DA">
        <w:t xml:space="preserve"> </w:t>
      </w:r>
    </w:p>
    <w:p w:rsidR="000D4E18" w:rsidRPr="000D4E18" w:rsidRDefault="000D4E18" w:rsidP="00E4211E">
      <w:pPr>
        <w:pStyle w:val="Heading2"/>
        <w:rPr>
          <w:rFonts w:eastAsia="Times New Roman"/>
        </w:rPr>
      </w:pPr>
      <w:bookmarkStart w:id="6" w:name="_Toc342392353"/>
      <w:r w:rsidRPr="000D4E18">
        <w:rPr>
          <w:rFonts w:eastAsia="Times New Roman"/>
        </w:rPr>
        <w:t>State Agreement Approach and Public Policy Projects</w:t>
      </w:r>
      <w:bookmarkEnd w:id="6"/>
    </w:p>
    <w:p w:rsidR="00A13461" w:rsidRPr="00A13461" w:rsidRDefault="00E4211E" w:rsidP="00E4211E">
      <w:pPr>
        <w:pStyle w:val="Textstyle"/>
      </w:pPr>
      <w:r>
        <w:tab/>
      </w:r>
      <w:r w:rsidR="00A13461" w:rsidRPr="00A13461">
        <w:t xml:space="preserve">PJM proposes to revise Schedule 6 of its tariff to add a process to allow for the development of a state public policy project(s) through a State Agreement Approach. </w:t>
      </w:r>
      <w:r>
        <w:t xml:space="preserve"> </w:t>
      </w:r>
      <w:r w:rsidR="00A13461" w:rsidRPr="00A13461">
        <w:t xml:space="preserve">The State Agreement Approach would supplement PJM’s existing transmission planning process to allow for state-identified projects to be included in RTEP even though such projects may not be economical or needed for system reliability. </w:t>
      </w:r>
    </w:p>
    <w:p w:rsidR="00A13461" w:rsidRDefault="00E4211E" w:rsidP="00E4211E">
      <w:pPr>
        <w:pStyle w:val="Textstyle"/>
      </w:pPr>
      <w:r>
        <w:tab/>
      </w:r>
      <w:r w:rsidR="00A13461" w:rsidRPr="00A13461">
        <w:t>Specifically PJM’s Transmittal Letter attached to its compliance filing indicates the following:</w:t>
      </w:r>
    </w:p>
    <w:p w:rsidR="00A13461" w:rsidRPr="00A13461" w:rsidRDefault="00A13461" w:rsidP="00E4211E">
      <w:pPr>
        <w:pStyle w:val="Blockquote"/>
      </w:pPr>
      <w:r w:rsidRPr="00A13461">
        <w:t>State public policy projects are not much different from a Supplemental Project except that if a state or group of states wishes to include a project in the RTEP for cost allocation purposes under the State Agreement Approach as a state public policy project it may do so pursuant to a FERC-accepted cost allocation proposed by agreement of one or more states and voluntarily agreed to by those states</w:t>
      </w:r>
      <w:proofErr w:type="gramStart"/>
      <w:r w:rsidRPr="00A13461">
        <w:t xml:space="preserve">. </w:t>
      </w:r>
      <w:proofErr w:type="gramEnd"/>
      <w:r w:rsidRPr="00A13461">
        <w:rPr>
          <w:i/>
        </w:rPr>
        <w:t>The costs of a state public policy project will be recovered from customers in the sponsoring state(s) only. No costs will be recovered from customers in a state that did not agree to be responsible for such cost allocation</w:t>
      </w:r>
      <w:r w:rsidRPr="00A13461">
        <w:t>.</w:t>
      </w:r>
      <w:r w:rsidRPr="00A13461">
        <w:rPr>
          <w:b/>
          <w:vertAlign w:val="superscript"/>
        </w:rPr>
        <w:footnoteReference w:id="17"/>
      </w:r>
    </w:p>
    <w:p w:rsidR="00A13461" w:rsidRPr="00A13461" w:rsidRDefault="00E4211E" w:rsidP="00E4211E">
      <w:pPr>
        <w:pStyle w:val="Textstyle"/>
      </w:pPr>
      <w:r>
        <w:tab/>
      </w:r>
      <w:r w:rsidR="00A13461" w:rsidRPr="00A13461">
        <w:t>PJM’s application appropriately reflects that transmission expansion costs for state public policy projects should only be allocated to the state(s) sponsoring the pro</w:t>
      </w:r>
      <w:r w:rsidR="00A13461" w:rsidRPr="00A13461">
        <w:softHyphen/>
        <w:t xml:space="preserve">jects, </w:t>
      </w:r>
      <w:r w:rsidR="00A13461" w:rsidRPr="00A13461">
        <w:lastRenderedPageBreak/>
        <w:t>which is consistent with, and largely tracks, the Organization of PJM States, Inc.’s (OPSI) June 12, 2012, position let</w:t>
      </w:r>
      <w:r w:rsidR="00A13461" w:rsidRPr="00A13461">
        <w:softHyphen/>
        <w:t xml:space="preserve">ter to PJM which, in part, reads as follows: </w:t>
      </w:r>
    </w:p>
    <w:p w:rsidR="00A13461" w:rsidRPr="00A13461" w:rsidRDefault="00A13461" w:rsidP="00E4211E">
      <w:pPr>
        <w:pStyle w:val="Blockquote"/>
      </w:pPr>
      <w:r w:rsidRPr="00A13461">
        <w:t>A Public Policy Project may be comprised of transmission lines, transmission equipment, or other transmission facilities.  Participation by a state in a Public Policy Project shall include an allocation of the total cost of the project. Each sponsoring state shall be responsible for its share of the total costs of the Public Policy Project. For these state-sponsored projects, all costs related to the Public Policy Project shall be recovered from customers in the sponsoring state(s) under a FERC-approved rate.  No Public Policy Project costs may be allo</w:t>
      </w:r>
      <w:r w:rsidRPr="00A13461">
        <w:softHyphen/>
        <w:t>cated for recovery from the residents of non-sponsoring states.</w:t>
      </w:r>
    </w:p>
    <w:p w:rsidR="00A13461" w:rsidRPr="00A13461" w:rsidRDefault="00E4211E" w:rsidP="00E4211E">
      <w:pPr>
        <w:pStyle w:val="Textstyle"/>
      </w:pPr>
      <w:r>
        <w:tab/>
      </w:r>
      <w:r w:rsidR="00A13461" w:rsidRPr="00A13461">
        <w:t>The letter not only demonstrates the significant efforts that have been made by the OPSI members in realizing consensus regarding the imple</w:t>
      </w:r>
      <w:r w:rsidR="00A13461" w:rsidRPr="00A13461">
        <w:softHyphen/>
        <w:t>mentation of the state agreement approach, it also shows that a majority of OPSI’s members are resistant to cost socialization of transmission expansion necessitated by public policy projects</w:t>
      </w:r>
      <w:proofErr w:type="gramStart"/>
      <w:r w:rsidR="00A13461" w:rsidRPr="00A13461">
        <w:t>.</w:t>
      </w:r>
      <w:r w:rsidR="00A13461" w:rsidRPr="00A13461">
        <w:rPr>
          <w:vertAlign w:val="superscript"/>
        </w:rPr>
        <w:t xml:space="preserve"> </w:t>
      </w:r>
      <w:proofErr w:type="gramEnd"/>
      <w:r w:rsidR="00A13461" w:rsidRPr="00A13461">
        <w:rPr>
          <w:vertAlign w:val="superscript"/>
        </w:rPr>
        <w:footnoteReference w:id="18"/>
      </w:r>
      <w:r w:rsidR="00A13461" w:rsidRPr="00A13461">
        <w:t xml:space="preserve"> </w:t>
      </w:r>
      <w:r>
        <w:t xml:space="preserve"> </w:t>
      </w:r>
      <w:r w:rsidR="00A13461" w:rsidRPr="00A13461">
        <w:t>In addition, on November 12, 2012, the OPSI Board passed a resolution</w:t>
      </w:r>
      <w:r w:rsidR="00A13461" w:rsidRPr="00A13461">
        <w:rPr>
          <w:vertAlign w:val="superscript"/>
        </w:rPr>
        <w:footnoteReference w:id="19"/>
      </w:r>
      <w:r w:rsidR="00A13461" w:rsidRPr="00A13461">
        <w:t xml:space="preserve"> directing OPSI to file comments in this proceeding supporting PJM’s State Agreement Approach.  The Ohio Commission joins OPSI’s filing and concurs with its comments regarding PJM’s proposed language and urges FERC to approve PJM’s State Agreement Approach.</w:t>
      </w:r>
    </w:p>
    <w:p w:rsidR="00A13461" w:rsidRPr="00A13461" w:rsidRDefault="00E4211E" w:rsidP="00E4211E">
      <w:pPr>
        <w:pStyle w:val="Textstyle"/>
      </w:pPr>
      <w:r>
        <w:lastRenderedPageBreak/>
        <w:tab/>
      </w:r>
      <w:r w:rsidR="00A13461" w:rsidRPr="00A13461">
        <w:t>Likewise, costs associated with federal public policy mandates must be assigned based on specific, tangible, and quantifiable assessments of actual benefits and corre</w:t>
      </w:r>
      <w:r w:rsidR="00A13461" w:rsidRPr="00A13461">
        <w:softHyphen/>
        <w:t xml:space="preserve">spondingly assigned to those who gain actual benefits from the project.  Overly broad or vague societal benefits are not specific, tangible, or readily quantifiable.  In addition, any cost allocation resulting from a federal public policy mandate or product must be further filtered by determining whether an individual state in that zone has a need for the federal public policy product.  If no need is demonstrated for that federally mandated product, then no cost allocation should be assigned to that state.  For example, if the federally mandated product is renewable energy and a particular state has no renewable portfolio standards (RPS), or is meeting its RPS requirements on an intrastate basis, no cost allocation should be made to that state because no demonstration of need has been made.  </w:t>
      </w:r>
    </w:p>
    <w:p w:rsidR="00A13461" w:rsidRPr="00A13461" w:rsidRDefault="00E4211E" w:rsidP="00E4211E">
      <w:pPr>
        <w:pStyle w:val="Textstyle"/>
      </w:pPr>
      <w:r>
        <w:tab/>
      </w:r>
      <w:r w:rsidR="00A13461" w:rsidRPr="00A13461">
        <w:t>PJM’s application is reticent with regard to the instance where a particular state’s public policy requirements necessitate an interstate upgrade to the transmission system but the state refuses to voluntarily acknowledge or assume its share</w:t>
      </w:r>
      <w:r>
        <w:t xml:space="preserve"> of the costs of the upgrade.  </w:t>
      </w:r>
      <w:r w:rsidR="00A13461" w:rsidRPr="00A13461">
        <w:t>To ensure that other state(s) are not burdened by costs not attributed to it, PJM’s appli</w:t>
      </w:r>
      <w:r w:rsidR="00A13461" w:rsidRPr="00A13461">
        <w:softHyphen/>
        <w:t>cation should be amended to include a provision that PJM is responsible for affirming and quantifying tangible benefits associated with a proposed public policy project based on a state or federal requirements via the application of the solutions-based DFAX.</w:t>
      </w:r>
    </w:p>
    <w:p w:rsidR="00A05B09" w:rsidRPr="00A05B09" w:rsidRDefault="00A05B09" w:rsidP="00E4211E">
      <w:pPr>
        <w:pStyle w:val="Heading2"/>
        <w:rPr>
          <w:rFonts w:eastAsia="Times New Roman"/>
        </w:rPr>
      </w:pPr>
      <w:bookmarkStart w:id="7" w:name="_Toc330903292"/>
      <w:bookmarkStart w:id="8" w:name="_Toc339369246"/>
      <w:bookmarkStart w:id="9" w:name="_Toc342392354"/>
      <w:r w:rsidRPr="00A05B09">
        <w:rPr>
          <w:rFonts w:eastAsia="Times New Roman"/>
        </w:rPr>
        <w:lastRenderedPageBreak/>
        <w:t>DFAX Beneficiary</w:t>
      </w:r>
      <w:r w:rsidR="00281767">
        <w:rPr>
          <w:rFonts w:eastAsia="Times New Roman"/>
        </w:rPr>
        <w:t>-</w:t>
      </w:r>
      <w:r w:rsidRPr="00A05B09">
        <w:rPr>
          <w:rFonts w:eastAsia="Times New Roman"/>
        </w:rPr>
        <w:t xml:space="preserve">Pays vs. </w:t>
      </w:r>
      <w:r w:rsidR="00281767">
        <w:rPr>
          <w:rFonts w:eastAsia="Times New Roman"/>
        </w:rPr>
        <w:t>Postage-stamp</w:t>
      </w:r>
      <w:r w:rsidRPr="00A05B09">
        <w:rPr>
          <w:rFonts w:eastAsia="Times New Roman"/>
        </w:rPr>
        <w:t xml:space="preserve"> Cost </w:t>
      </w:r>
      <w:r w:rsidR="00594342">
        <w:rPr>
          <w:rFonts w:eastAsia="Times New Roman"/>
        </w:rPr>
        <w:t>S</w:t>
      </w:r>
      <w:r w:rsidRPr="00A05B09">
        <w:rPr>
          <w:rFonts w:eastAsia="Times New Roman"/>
        </w:rPr>
        <w:t>ocialization</w:t>
      </w:r>
      <w:bookmarkEnd w:id="7"/>
      <w:bookmarkEnd w:id="8"/>
      <w:bookmarkEnd w:id="9"/>
      <w:r w:rsidRPr="00A05B09">
        <w:rPr>
          <w:rFonts w:eastAsia="Times New Roman"/>
        </w:rPr>
        <w:t xml:space="preserve"> </w:t>
      </w:r>
    </w:p>
    <w:p w:rsidR="00A05B09" w:rsidRPr="00A05B09" w:rsidRDefault="00E4211E" w:rsidP="00E4211E">
      <w:pPr>
        <w:pStyle w:val="Textstyle"/>
        <w:rPr>
          <w:lang w:val="x-none"/>
        </w:rPr>
      </w:pPr>
      <w:r>
        <w:tab/>
      </w:r>
      <w:r w:rsidR="003E21E2">
        <w:t>As noted earlier, t</w:t>
      </w:r>
      <w:r w:rsidR="00260A47">
        <w:t xml:space="preserve">he Ohio Commission observes that PJM’s compliance filing endorses the PJM </w:t>
      </w:r>
      <w:proofErr w:type="spellStart"/>
      <w:r w:rsidR="00260A47">
        <w:t>TOproposal</w:t>
      </w:r>
      <w:proofErr w:type="spellEnd"/>
      <w:r w:rsidR="00260A47">
        <w:t xml:space="preserve"> for </w:t>
      </w:r>
      <w:proofErr w:type="spellStart"/>
      <w:r w:rsidR="00260A47">
        <w:t>RTEP</w:t>
      </w:r>
      <w:proofErr w:type="spellEnd"/>
      <w:r w:rsidR="00260A47">
        <w:t xml:space="preserve"> expansion cost recovery, which includes a 50 percent cost </w:t>
      </w:r>
      <w:r w:rsidR="00281767">
        <w:t>postage-stamp</w:t>
      </w:r>
      <w:r w:rsidR="00260A47">
        <w:t xml:space="preserve"> cost socialization component.  </w:t>
      </w:r>
      <w:r w:rsidR="000D4E18">
        <w:t>T</w:t>
      </w:r>
      <w:r w:rsidR="009528DE">
        <w:t xml:space="preserve">he Ohio Commission opposes use of the </w:t>
      </w:r>
      <w:r w:rsidR="00281767">
        <w:t>postage-stamp</w:t>
      </w:r>
      <w:r w:rsidR="009528DE">
        <w:t xml:space="preserve"> </w:t>
      </w:r>
      <w:r w:rsidR="00895D28">
        <w:t xml:space="preserve">costing </w:t>
      </w:r>
      <w:r w:rsidR="009528DE">
        <w:t>methodology as</w:t>
      </w:r>
      <w:r w:rsidR="00675315">
        <w:t xml:space="preserve"> it is</w:t>
      </w:r>
      <w:r w:rsidR="009528DE">
        <w:t xml:space="preserve"> </w:t>
      </w:r>
      <w:r w:rsidR="00A22BC4">
        <w:t xml:space="preserve">inconsistent </w:t>
      </w:r>
      <w:r w:rsidR="00A22BC4">
        <w:rPr>
          <w:lang w:val="x-none"/>
        </w:rPr>
        <w:t>with</w:t>
      </w:r>
      <w:r w:rsidR="00A22BC4">
        <w:t xml:space="preserve"> the </w:t>
      </w:r>
      <w:r w:rsidR="00A572FB">
        <w:t xml:space="preserve">Seventh </w:t>
      </w:r>
      <w:r w:rsidR="00A22BC4">
        <w:t>Circuit</w:t>
      </w:r>
      <w:r w:rsidR="001210FA">
        <w:t>’</w:t>
      </w:r>
      <w:r w:rsidR="00A22BC4">
        <w:t xml:space="preserve">s </w:t>
      </w:r>
      <w:r w:rsidR="001210FA">
        <w:t xml:space="preserve">Remand </w:t>
      </w:r>
      <w:r w:rsidR="00A22BC4">
        <w:t xml:space="preserve">and </w:t>
      </w:r>
      <w:r w:rsidR="00A05B09" w:rsidRPr="00A05B09">
        <w:rPr>
          <w:lang w:val="x-none"/>
        </w:rPr>
        <w:t xml:space="preserve">patently unfair to the </w:t>
      </w:r>
      <w:r w:rsidR="00895D28">
        <w:t>ratepayers</w:t>
      </w:r>
      <w:r w:rsidR="00A05B09" w:rsidRPr="00A05B09">
        <w:rPr>
          <w:lang w:val="x-none"/>
        </w:rPr>
        <w:t xml:space="preserve"> of </w:t>
      </w:r>
      <w:r w:rsidR="00E5652D">
        <w:t>the State of Ohio</w:t>
      </w:r>
      <w:r w:rsidR="00A05B09" w:rsidRPr="00A05B09">
        <w:rPr>
          <w:lang w:val="x-none"/>
        </w:rPr>
        <w:t xml:space="preserve">.  </w:t>
      </w:r>
      <w:r w:rsidR="00A22BC4">
        <w:t>To this end, t</w:t>
      </w:r>
      <w:r w:rsidR="00A05B09" w:rsidRPr="00A05B09">
        <w:rPr>
          <w:lang w:val="x-none"/>
        </w:rPr>
        <w:t xml:space="preserve">he Ohio Commission </w:t>
      </w:r>
      <w:r w:rsidR="009528DE">
        <w:t xml:space="preserve">maintains </w:t>
      </w:r>
      <w:r w:rsidR="00895D28">
        <w:t xml:space="preserve">that all high capacity RTEP transmission expansion projects subject to the </w:t>
      </w:r>
      <w:r w:rsidR="00281767">
        <w:rPr>
          <w:lang w:val="x-none"/>
        </w:rPr>
        <w:t>beneficiary-pays</w:t>
      </w:r>
      <w:r w:rsidR="00A05B09" w:rsidRPr="00A05B09">
        <w:rPr>
          <w:lang w:val="x-none"/>
        </w:rPr>
        <w:t xml:space="preserve"> approach to cost recovery </w:t>
      </w:r>
      <w:r w:rsidR="00895D28">
        <w:t xml:space="preserve">via </w:t>
      </w:r>
      <w:r w:rsidR="00A05B09" w:rsidRPr="00A05B09">
        <w:rPr>
          <w:lang w:val="x-none"/>
        </w:rPr>
        <w:t>use of a solutions-based DFAX methodology</w:t>
      </w:r>
      <w:r w:rsidR="00895D28">
        <w:t>.  A</w:t>
      </w:r>
      <w:r w:rsidR="00A05B09" w:rsidRPr="00A05B09">
        <w:rPr>
          <w:lang w:val="x-none"/>
        </w:rPr>
        <w:t xml:space="preserve">ny cost allocation based upon the </w:t>
      </w:r>
      <w:r w:rsidR="00281767">
        <w:rPr>
          <w:lang w:val="x-none"/>
        </w:rPr>
        <w:t>postage-stamp</w:t>
      </w:r>
      <w:r w:rsidR="00A05B09" w:rsidRPr="00A05B09">
        <w:rPr>
          <w:lang w:val="x-none"/>
        </w:rPr>
        <w:t xml:space="preserve"> methodology is tantamount to cost socialization and should be </w:t>
      </w:r>
      <w:r w:rsidR="00096F2D">
        <w:t xml:space="preserve">rejected as </w:t>
      </w:r>
      <w:r w:rsidR="00A61097">
        <w:t xml:space="preserve">inequitable </w:t>
      </w:r>
      <w:r w:rsidR="00096F2D">
        <w:t>to those customer</w:t>
      </w:r>
      <w:r w:rsidR="00A61097">
        <w:t xml:space="preserve">s </w:t>
      </w:r>
      <w:r w:rsidR="00344BB9">
        <w:t xml:space="preserve">who </w:t>
      </w:r>
      <w:r w:rsidR="00096F2D">
        <w:t>do not directly</w:t>
      </w:r>
      <w:r w:rsidR="00A22BC4">
        <w:t xml:space="preserve"> or </w:t>
      </w:r>
      <w:r w:rsidR="00260A47">
        <w:t>meaningfully benefit</w:t>
      </w:r>
      <w:r w:rsidR="00096F2D">
        <w:t xml:space="preserve"> from </w:t>
      </w:r>
      <w:r w:rsidR="00A22BC4">
        <w:t xml:space="preserve">a </w:t>
      </w:r>
      <w:r w:rsidR="00096F2D">
        <w:t>trans</w:t>
      </w:r>
      <w:r w:rsidR="00FA7B56">
        <w:softHyphen/>
      </w:r>
      <w:r w:rsidR="00096F2D">
        <w:t>mission expansion</w:t>
      </w:r>
      <w:r w:rsidR="00A22BC4">
        <w:t xml:space="preserve"> project in PJM</w:t>
      </w:r>
      <w:r w:rsidR="00096F2D">
        <w:t xml:space="preserve">.   </w:t>
      </w:r>
      <w:r w:rsidR="00A05B09" w:rsidRPr="00A05B09">
        <w:rPr>
          <w:lang w:val="x-none"/>
        </w:rPr>
        <w:t xml:space="preserve"> </w:t>
      </w:r>
    </w:p>
    <w:p w:rsidR="00A05B09" w:rsidRPr="00A05B09" w:rsidRDefault="00E4211E" w:rsidP="00E4211E">
      <w:pPr>
        <w:pStyle w:val="Textstyle"/>
      </w:pPr>
      <w:r>
        <w:tab/>
      </w:r>
      <w:r w:rsidR="00A04BAB">
        <w:t>In addition</w:t>
      </w:r>
      <w:r w:rsidR="001210FA">
        <w:t>,</w:t>
      </w:r>
      <w:r w:rsidR="00A04BAB">
        <w:t xml:space="preserve"> it must also be noted that high capacity </w:t>
      </w:r>
      <w:r w:rsidR="00A04BAB" w:rsidRPr="00A05B09">
        <w:t>economic</w:t>
      </w:r>
      <w:r w:rsidR="00A04BAB">
        <w:t xml:space="preserve"> </w:t>
      </w:r>
      <w:r w:rsidR="00A05B09" w:rsidRPr="00A05B09">
        <w:t>upgrades effectuate the reduction of energy prices for certain customers in specific regions by eliminating (or reducing) congestion and thereby increasing</w:t>
      </w:r>
      <w:r w:rsidR="00A2396E">
        <w:t xml:space="preserve"> some </w:t>
      </w:r>
      <w:r w:rsidR="00A05B09" w:rsidRPr="00A05B09">
        <w:t xml:space="preserve">customers’ </w:t>
      </w:r>
      <w:r w:rsidR="00A2396E">
        <w:t xml:space="preserve">availability </w:t>
      </w:r>
      <w:r w:rsidR="00A05B09" w:rsidRPr="00A05B09">
        <w:t xml:space="preserve">to lower cost generation. </w:t>
      </w:r>
      <w:r>
        <w:t xml:space="preserve"> </w:t>
      </w:r>
      <w:r w:rsidR="00A05B09" w:rsidRPr="00A05B09">
        <w:t xml:space="preserve">The </w:t>
      </w:r>
      <w:r w:rsidR="00281767">
        <w:t>postage-stamp</w:t>
      </w:r>
      <w:r w:rsidR="00A05B09" w:rsidRPr="00A05B09">
        <w:t xml:space="preserve"> methodology does not take into consideration the higher locational marginal prices (LMP) and capacity prices that the customers located in west</w:t>
      </w:r>
      <w:r w:rsidR="00FA7B56">
        <w:softHyphen/>
      </w:r>
      <w:r w:rsidR="00A05B09" w:rsidRPr="00A05B09">
        <w:t>ern PJM will eventually pay once these facilities are constructed.  The application of sociali</w:t>
      </w:r>
      <w:r w:rsidR="00A756F2">
        <w:t xml:space="preserve">zed costs for these projects </w:t>
      </w:r>
      <w:r w:rsidR="00260A47">
        <w:t>requires</w:t>
      </w:r>
      <w:r w:rsidR="00A756F2">
        <w:t xml:space="preserve"> </w:t>
      </w:r>
      <w:r w:rsidR="00A05B09" w:rsidRPr="00A05B09">
        <w:t xml:space="preserve">one group of customers to fund or subsidize a significant portion of the transmission constructed for those customers who are to benefit from lower rates.  </w:t>
      </w:r>
      <w:r w:rsidR="00A756F2">
        <w:t>That is, c</w:t>
      </w:r>
      <w:r w:rsidR="00A05B09" w:rsidRPr="00A05B09">
        <w:t xml:space="preserve">ustomers not subject to the </w:t>
      </w:r>
      <w:r w:rsidR="00C837F6">
        <w:t>higher rates cause</w:t>
      </w:r>
      <w:r w:rsidR="001210FA">
        <w:t>d</w:t>
      </w:r>
      <w:r w:rsidR="00C837F6">
        <w:t xml:space="preserve"> by the </w:t>
      </w:r>
      <w:r w:rsidR="00A05B09" w:rsidRPr="00A05B09">
        <w:lastRenderedPageBreak/>
        <w:t xml:space="preserve">constraint </w:t>
      </w:r>
      <w:r w:rsidR="00C837F6">
        <w:t xml:space="preserve">will be </w:t>
      </w:r>
      <w:r w:rsidR="00A05B09" w:rsidRPr="00A05B09">
        <w:t xml:space="preserve">asked to pay twice: first for the constructed facilities associated with the constraint relief and second, through higher capacity prices and LMPs once the facilities are built. </w:t>
      </w:r>
    </w:p>
    <w:p w:rsidR="00A05B09" w:rsidRPr="00A05B09" w:rsidRDefault="00A05B09" w:rsidP="00E4211E">
      <w:pPr>
        <w:pStyle w:val="Textstyle"/>
      </w:pPr>
      <w:r w:rsidRPr="00A05B09">
        <w:tab/>
        <w:t>The DFAX-based</w:t>
      </w:r>
      <w:r w:rsidR="00A04BAB">
        <w:t>,</w:t>
      </w:r>
      <w:r w:rsidR="00A2396E">
        <w:t xml:space="preserve"> </w:t>
      </w:r>
      <w:r w:rsidRPr="00A05B09">
        <w:t xml:space="preserve">beneficiary-pays </w:t>
      </w:r>
      <w:r w:rsidR="00A2396E">
        <w:t xml:space="preserve">costing </w:t>
      </w:r>
      <w:r w:rsidRPr="00A05B09">
        <w:t xml:space="preserve">methodology is a more equitable method for assigning costs roughly commensurate </w:t>
      </w:r>
      <w:r w:rsidR="00A2396E">
        <w:t xml:space="preserve">to </w:t>
      </w:r>
      <w:r w:rsidRPr="00A05B09">
        <w:t xml:space="preserve">benefits. </w:t>
      </w:r>
      <w:r w:rsidR="00E4211E">
        <w:t xml:space="preserve"> </w:t>
      </w:r>
      <w:r w:rsidRPr="00A05B09">
        <w:t xml:space="preserve">Unlike the </w:t>
      </w:r>
      <w:r w:rsidR="00281767">
        <w:t>postage-stamp</w:t>
      </w:r>
      <w:r w:rsidRPr="00A05B09">
        <w:t xml:space="preserve"> methodology, the DFAX methodol</w:t>
      </w:r>
      <w:r w:rsidR="00FA7B56">
        <w:softHyphen/>
      </w:r>
      <w:r w:rsidRPr="00A05B09">
        <w:t>ogy measures who benefits from any major modification to the transmission system.</w:t>
      </w:r>
      <w:r w:rsidR="00E4211E">
        <w:t xml:space="preserve">  </w:t>
      </w:r>
      <w:r w:rsidRPr="00A05B09">
        <w:t>To do otherwise is inconsistent</w:t>
      </w:r>
      <w:r w:rsidR="00344BB9">
        <w:t xml:space="preserve"> with</w:t>
      </w:r>
      <w:r w:rsidRPr="00A05B09">
        <w:t xml:space="preserve"> the Court’s Remand and the </w:t>
      </w:r>
      <w:r w:rsidR="00675315">
        <w:t>Federal Power Act’s (</w:t>
      </w:r>
      <w:proofErr w:type="spellStart"/>
      <w:r w:rsidR="00675315">
        <w:t>FPA</w:t>
      </w:r>
      <w:proofErr w:type="spellEnd"/>
      <w:r w:rsidR="00675315">
        <w:t xml:space="preserve">) </w:t>
      </w:r>
      <w:r w:rsidRPr="00A05B09">
        <w:t>requirement for just and reasonable rates.  With regard to projects that would ensure that region</w:t>
      </w:r>
      <w:r w:rsidR="00344BB9">
        <w:t>-</w:t>
      </w:r>
      <w:r w:rsidRPr="00A05B09">
        <w:t xml:space="preserve">wide reliability standards are met, the Ohio Commission understands that costs might need to be spread to those who benefit from such enhanced reliability.  In other words, the Ohio Commission would agree that the </w:t>
      </w:r>
      <w:r w:rsidR="00281767">
        <w:t>beneficiary-pays</w:t>
      </w:r>
      <w:r w:rsidRPr="00A05B09">
        <w:t xml:space="preserve"> approach does not preclude the spreading of costs on a region-wide basis if it can be demonstrated</w:t>
      </w:r>
      <w:r w:rsidR="00A2396E">
        <w:t xml:space="preserve"> that, via the use of the </w:t>
      </w:r>
      <w:r w:rsidRPr="00A05B09">
        <w:t>solution-based DFAX model</w:t>
      </w:r>
      <w:r w:rsidR="00A2396E">
        <w:t xml:space="preserve">, </w:t>
      </w:r>
      <w:r w:rsidRPr="00A05B09">
        <w:t>all customers in the region benefit from the solution to the same relative degree.</w:t>
      </w:r>
    </w:p>
    <w:p w:rsidR="000B1B8C" w:rsidRPr="00A2396E" w:rsidRDefault="00E4211E" w:rsidP="00E4211E">
      <w:pPr>
        <w:pStyle w:val="Textstyle"/>
      </w:pPr>
      <w:r>
        <w:tab/>
      </w:r>
      <w:r w:rsidR="00A2396E">
        <w:t>Moreover, t</w:t>
      </w:r>
      <w:r w:rsidR="000B1B8C" w:rsidRPr="00A2396E">
        <w:t>he Ohio Commission strongly</w:t>
      </w:r>
      <w:r w:rsidR="00A2396E">
        <w:t xml:space="preserve"> support</w:t>
      </w:r>
      <w:r w:rsidR="001210FA">
        <w:t>s</w:t>
      </w:r>
      <w:r w:rsidR="00A2396E">
        <w:t xml:space="preserve"> the going</w:t>
      </w:r>
      <w:r w:rsidR="001210FA">
        <w:t>-</w:t>
      </w:r>
      <w:r w:rsidR="00A2396E">
        <w:t xml:space="preserve">forward use of the newly-developed, </w:t>
      </w:r>
      <w:r w:rsidR="000B1B8C" w:rsidRPr="00A2396E">
        <w:t>solutions-based DFAX model contained within the</w:t>
      </w:r>
      <w:r w:rsidR="002B21F6">
        <w:t xml:space="preserve"> PJM</w:t>
      </w:r>
      <w:r w:rsidR="000B1B8C" w:rsidRPr="00A2396E">
        <w:t xml:space="preserve"> TO application.  </w:t>
      </w:r>
      <w:r w:rsidR="00624BAE">
        <w:t xml:space="preserve">This </w:t>
      </w:r>
      <w:r w:rsidR="000B1B8C" w:rsidRPr="00A2396E">
        <w:t>is consistent with the Ohio Commission’s recom</w:t>
      </w:r>
      <w:r w:rsidR="00FA7B56">
        <w:softHyphen/>
      </w:r>
      <w:r w:rsidR="000B1B8C" w:rsidRPr="00A2396E">
        <w:t>mendation to employ a dynamic DFAX methodology to identify beneficiaries of trans</w:t>
      </w:r>
      <w:r w:rsidR="00FA7B56">
        <w:softHyphen/>
      </w:r>
      <w:r w:rsidR="000B1B8C" w:rsidRPr="00A2396E">
        <w:t>mission upgrades.</w:t>
      </w:r>
      <w:r w:rsidR="000B1B8C" w:rsidRPr="00A2396E">
        <w:rPr>
          <w:vertAlign w:val="superscript"/>
        </w:rPr>
        <w:footnoteReference w:id="20"/>
      </w:r>
      <w:r w:rsidR="000B1B8C" w:rsidRPr="00A2396E">
        <w:t xml:space="preserve">  Further</w:t>
      </w:r>
      <w:r w:rsidR="00CD15CA">
        <w:t>,</w:t>
      </w:r>
      <w:r w:rsidR="000B1B8C" w:rsidRPr="00A2396E">
        <w:t xml:space="preserve"> because the solutions-based DFAX model is based on the new facility’s flow analysis, it can be updated annu</w:t>
      </w:r>
      <w:r w:rsidR="00FA7B56">
        <w:softHyphen/>
      </w:r>
      <w:r w:rsidR="000B1B8C" w:rsidRPr="00A2396E">
        <w:t xml:space="preserve">ally to capture changes in the distribution of benefits in a </w:t>
      </w:r>
      <w:r w:rsidR="000B1B8C" w:rsidRPr="00A2396E">
        <w:lastRenderedPageBreak/>
        <w:t xml:space="preserve">manner that avoids abrupt shifts in cost responsibility. </w:t>
      </w:r>
      <w:r>
        <w:t xml:space="preserve"> </w:t>
      </w:r>
      <w:r w:rsidR="000B1B8C" w:rsidRPr="00A2396E">
        <w:t>The solutions</w:t>
      </w:r>
      <w:r w:rsidR="00344BB9">
        <w:t>-</w:t>
      </w:r>
      <w:r w:rsidR="000B1B8C" w:rsidRPr="00A2396E">
        <w:t>based</w:t>
      </w:r>
      <w:r w:rsidR="00344BB9">
        <w:t xml:space="preserve"> </w:t>
      </w:r>
      <w:proofErr w:type="spellStart"/>
      <w:r w:rsidR="000B1B8C" w:rsidRPr="00A2396E">
        <w:t>DFAX</w:t>
      </w:r>
      <w:proofErr w:type="spellEnd"/>
      <w:r w:rsidR="000B1B8C" w:rsidRPr="00A2396E">
        <w:t xml:space="preserve"> model addresses the concerns </w:t>
      </w:r>
      <w:r w:rsidR="00E8114A">
        <w:t>made</w:t>
      </w:r>
      <w:r w:rsidR="000B1B8C" w:rsidRPr="00A2396E">
        <w:t xml:space="preserve"> by FERC in its </w:t>
      </w:r>
      <w:r w:rsidR="00A572FB">
        <w:t>Seventh</w:t>
      </w:r>
      <w:r w:rsidR="00A572FB" w:rsidRPr="00A2396E">
        <w:t xml:space="preserve"> </w:t>
      </w:r>
      <w:r w:rsidR="000B1B8C" w:rsidRPr="00A2396E">
        <w:t>Circuit Remand Order, specifically FERC’s statement that performing a recurring DFAX analysis over</w:t>
      </w:r>
      <w:r w:rsidR="00C31303">
        <w:t xml:space="preserve"> </w:t>
      </w:r>
      <w:r w:rsidR="000B1B8C" w:rsidRPr="00A2396E">
        <w:t>time would be difficult and administratively burdensome for PJM.</w:t>
      </w:r>
      <w:r w:rsidR="000B1B8C" w:rsidRPr="00CD15CA">
        <w:rPr>
          <w:vertAlign w:val="superscript"/>
        </w:rPr>
        <w:footnoteReference w:id="21"/>
      </w:r>
      <w:r w:rsidR="00800516">
        <w:t xml:space="preserve">  T</w:t>
      </w:r>
      <w:r w:rsidR="000B1B8C" w:rsidRPr="00A2396E">
        <w:t>he Ohio Commission question</w:t>
      </w:r>
      <w:r w:rsidR="00CD15CA">
        <w:t>s</w:t>
      </w:r>
      <w:r w:rsidR="000B1B8C" w:rsidRPr="00A2396E">
        <w:t xml:space="preserve"> the need for any of the socialization policies </w:t>
      </w:r>
      <w:r w:rsidR="00800516">
        <w:t xml:space="preserve">when the </w:t>
      </w:r>
      <w:r w:rsidR="000B1B8C" w:rsidRPr="00A2396E">
        <w:t xml:space="preserve">solution-based DFAX model </w:t>
      </w:r>
      <w:r w:rsidR="00800516">
        <w:t>c</w:t>
      </w:r>
      <w:r w:rsidR="000B1B8C" w:rsidRPr="00A2396E">
        <w:t>an accu</w:t>
      </w:r>
      <w:r w:rsidR="00FA7B56">
        <w:softHyphen/>
      </w:r>
      <w:r w:rsidR="000B1B8C" w:rsidRPr="00A2396E">
        <w:t xml:space="preserve">rately and efficiently identify the </w:t>
      </w:r>
      <w:r w:rsidR="00800516">
        <w:t xml:space="preserve">actual </w:t>
      </w:r>
      <w:r w:rsidR="000B1B8C" w:rsidRPr="00A2396E">
        <w:t xml:space="preserve">beneficiaries of any transmission upgrade.  That is, the dynamic solutions-based DFAX model </w:t>
      </w:r>
      <w:r w:rsidR="00800516">
        <w:t xml:space="preserve">renders moot </w:t>
      </w:r>
      <w:r w:rsidR="000B1B8C" w:rsidRPr="00A2396E">
        <w:t xml:space="preserve">FERC’s </w:t>
      </w:r>
      <w:r w:rsidR="00800516">
        <w:t xml:space="preserve">belief </w:t>
      </w:r>
      <w:r w:rsidR="000B1B8C" w:rsidRPr="00A2396E">
        <w:t>that cost socializa</w:t>
      </w:r>
      <w:r w:rsidR="00FA7B56">
        <w:softHyphen/>
      </w:r>
      <w:r w:rsidR="000B1B8C" w:rsidRPr="00A2396E">
        <w:t xml:space="preserve">tion is necessary because it is </w:t>
      </w:r>
      <w:r w:rsidR="00800516">
        <w:t xml:space="preserve">too </w:t>
      </w:r>
      <w:r w:rsidR="000B1B8C" w:rsidRPr="00A2396E">
        <w:t>difficult to identify all beneficiaries and that customers’ use of the transmission system changes over time.</w:t>
      </w:r>
      <w:r w:rsidR="000B1B8C" w:rsidRPr="00CA0246">
        <w:rPr>
          <w:vertAlign w:val="superscript"/>
        </w:rPr>
        <w:footnoteReference w:id="22"/>
      </w:r>
      <w:proofErr w:type="gramStart"/>
      <w:r w:rsidR="000B1B8C" w:rsidRPr="00CA0246">
        <w:rPr>
          <w:vertAlign w:val="superscript"/>
        </w:rPr>
        <w:t xml:space="preserve"> </w:t>
      </w:r>
      <w:r>
        <w:rPr>
          <w:vertAlign w:val="superscript"/>
        </w:rPr>
        <w:t xml:space="preserve"> </w:t>
      </w:r>
      <w:r w:rsidR="000B1B8C" w:rsidRPr="00A2396E">
        <w:t xml:space="preserve"> </w:t>
      </w:r>
      <w:proofErr w:type="gramEnd"/>
      <w:r w:rsidR="000B1B8C" w:rsidRPr="00A2396E">
        <w:t>Thus, the Ohio Commission recom</w:t>
      </w:r>
      <w:r w:rsidR="00FA7B56">
        <w:softHyphen/>
      </w:r>
      <w:r w:rsidR="000B1B8C" w:rsidRPr="00A2396E">
        <w:t>mends that the solutions-based DFAX model be employed to identify beneficiaries of all transmission upgrades; not just those facilities</w:t>
      </w:r>
      <w:r w:rsidR="001C6FCA">
        <w:t xml:space="preserve"> or portion of facilities</w:t>
      </w:r>
      <w:r w:rsidR="000B1B8C" w:rsidRPr="00A2396E">
        <w:t xml:space="preserve"> identified within the </w:t>
      </w:r>
      <w:r w:rsidR="00945AAD">
        <w:t xml:space="preserve">PJM </w:t>
      </w:r>
      <w:r w:rsidR="000B1B8C" w:rsidRPr="00A2396E">
        <w:t>TOs’ application.</w:t>
      </w:r>
    </w:p>
    <w:p w:rsidR="00255C32" w:rsidRPr="009155D3" w:rsidRDefault="00185A12" w:rsidP="00E4211E">
      <w:pPr>
        <w:pStyle w:val="Heading2"/>
        <w:rPr>
          <w:rFonts w:eastAsia="Times New Roman"/>
        </w:rPr>
      </w:pPr>
      <w:bookmarkStart w:id="10" w:name="_Toc339369251"/>
      <w:bookmarkStart w:id="11" w:name="_Toc342392355"/>
      <w:r>
        <w:rPr>
          <w:rFonts w:eastAsia="Times New Roman"/>
        </w:rPr>
        <w:t>Order No. 1000</w:t>
      </w:r>
      <w:r w:rsidR="00255C32">
        <w:rPr>
          <w:rFonts w:eastAsia="Times New Roman"/>
        </w:rPr>
        <w:t xml:space="preserve"> Compliance</w:t>
      </w:r>
      <w:bookmarkEnd w:id="10"/>
      <w:bookmarkEnd w:id="11"/>
    </w:p>
    <w:p w:rsidR="00255C32" w:rsidRDefault="00E4211E" w:rsidP="00E4211E">
      <w:pPr>
        <w:pStyle w:val="Textstyle"/>
        <w:rPr>
          <w:lang w:bidi="en-US"/>
        </w:rPr>
      </w:pPr>
      <w:r>
        <w:rPr>
          <w:lang w:bidi="en-US"/>
        </w:rPr>
        <w:tab/>
      </w:r>
      <w:r w:rsidR="00185A12">
        <w:rPr>
          <w:lang w:bidi="en-US"/>
        </w:rPr>
        <w:t>Consistent with the Ohio Commission’s Order on Remand Petition for Rehearing to FERC</w:t>
      </w:r>
      <w:r w:rsidR="00205A70">
        <w:rPr>
          <w:lang w:bidi="en-US"/>
        </w:rPr>
        <w:t xml:space="preserve">, </w:t>
      </w:r>
      <w:r w:rsidR="00255C32">
        <w:rPr>
          <w:lang w:bidi="en-US"/>
        </w:rPr>
        <w:t xml:space="preserve">cost socialization, via the application of the </w:t>
      </w:r>
      <w:r w:rsidR="00281767">
        <w:rPr>
          <w:lang w:bidi="en-US"/>
        </w:rPr>
        <w:t>postage-stamp</w:t>
      </w:r>
      <w:r w:rsidR="00255C32">
        <w:rPr>
          <w:lang w:bidi="en-US"/>
        </w:rPr>
        <w:t xml:space="preserve"> costing methodology, </w:t>
      </w:r>
      <w:r w:rsidR="00205A70">
        <w:rPr>
          <w:lang w:bidi="en-US"/>
        </w:rPr>
        <w:t xml:space="preserve">is </w:t>
      </w:r>
      <w:r w:rsidR="00255C32">
        <w:rPr>
          <w:lang w:bidi="en-US"/>
        </w:rPr>
        <w:t xml:space="preserve">in direct conflict with </w:t>
      </w:r>
      <w:r w:rsidR="005146A6">
        <w:rPr>
          <w:lang w:bidi="en-US"/>
        </w:rPr>
        <w:t xml:space="preserve">several of </w:t>
      </w:r>
      <w:r w:rsidR="00185A12" w:rsidRPr="00EF3B66">
        <w:rPr>
          <w:i/>
          <w:lang w:bidi="en-US"/>
        </w:rPr>
        <w:t>Order No. 1000</w:t>
      </w:r>
      <w:r w:rsidR="00255C32" w:rsidRPr="00EF3B66">
        <w:rPr>
          <w:i/>
          <w:lang w:bidi="en-US"/>
        </w:rPr>
        <w:t>’s</w:t>
      </w:r>
      <w:r w:rsidR="00255C32">
        <w:rPr>
          <w:lang w:bidi="en-US"/>
        </w:rPr>
        <w:t xml:space="preserve"> cost recov</w:t>
      </w:r>
      <w:r w:rsidR="00FA7B56">
        <w:rPr>
          <w:lang w:bidi="en-US"/>
        </w:rPr>
        <w:softHyphen/>
      </w:r>
      <w:r w:rsidR="00255C32">
        <w:rPr>
          <w:lang w:bidi="en-US"/>
        </w:rPr>
        <w:t xml:space="preserve">ery principles. </w:t>
      </w:r>
    </w:p>
    <w:p w:rsidR="00255C32" w:rsidRPr="009155D3" w:rsidRDefault="00E4211E" w:rsidP="00E4211E">
      <w:pPr>
        <w:pStyle w:val="Textstyle"/>
        <w:rPr>
          <w:lang w:bidi="en-US"/>
        </w:rPr>
      </w:pPr>
      <w:r>
        <w:rPr>
          <w:lang w:bidi="en-US"/>
        </w:rPr>
        <w:lastRenderedPageBreak/>
        <w:tab/>
      </w:r>
      <w:r w:rsidR="00773CF3">
        <w:rPr>
          <w:lang w:bidi="en-US"/>
        </w:rPr>
        <w:t xml:space="preserve">On July 21, 2011, FERC issued its </w:t>
      </w:r>
      <w:r w:rsidR="00185A12" w:rsidRPr="00EF3B66">
        <w:rPr>
          <w:i/>
          <w:lang w:bidi="en-US"/>
        </w:rPr>
        <w:t>Order No. 1000</w:t>
      </w:r>
      <w:r w:rsidR="00255C32" w:rsidRPr="009155D3">
        <w:rPr>
          <w:lang w:bidi="en-US"/>
        </w:rPr>
        <w:t>, regarding transmis</w:t>
      </w:r>
      <w:r w:rsidR="00255C32" w:rsidRPr="009155D3">
        <w:rPr>
          <w:lang w:bidi="en-US"/>
        </w:rPr>
        <w:softHyphen/>
        <w:t>sion planning and cost allocation principles.</w:t>
      </w:r>
      <w:r w:rsidR="00255C32" w:rsidRPr="009155D3">
        <w:rPr>
          <w:vertAlign w:val="superscript"/>
          <w:lang w:bidi="en-US"/>
        </w:rPr>
        <w:footnoteReference w:id="23"/>
      </w:r>
      <w:proofErr w:type="gramStart"/>
      <w:r w:rsidR="00255C32" w:rsidRPr="009155D3">
        <w:rPr>
          <w:vertAlign w:val="superscript"/>
          <w:lang w:bidi="en-US"/>
        </w:rPr>
        <w:t xml:space="preserve"> </w:t>
      </w:r>
      <w:r w:rsidR="00255C32" w:rsidRPr="009155D3">
        <w:rPr>
          <w:lang w:bidi="en-US"/>
        </w:rPr>
        <w:t xml:space="preserve"> </w:t>
      </w:r>
      <w:r w:rsidR="00157920">
        <w:rPr>
          <w:lang w:bidi="en-US"/>
        </w:rPr>
        <w:t xml:space="preserve"> </w:t>
      </w:r>
      <w:proofErr w:type="gramEnd"/>
      <w:r w:rsidR="00255C32" w:rsidRPr="009155D3">
        <w:rPr>
          <w:lang w:bidi="en-US"/>
        </w:rPr>
        <w:t xml:space="preserve">In that </w:t>
      </w:r>
      <w:r w:rsidR="005146A6">
        <w:rPr>
          <w:lang w:bidi="en-US"/>
        </w:rPr>
        <w:t>decision</w:t>
      </w:r>
      <w:r w:rsidR="00255C32" w:rsidRPr="009155D3">
        <w:rPr>
          <w:lang w:bidi="en-US"/>
        </w:rPr>
        <w:t>, FERC required all transmis</w:t>
      </w:r>
      <w:r w:rsidR="00255C32" w:rsidRPr="009155D3">
        <w:rPr>
          <w:lang w:bidi="en-US"/>
        </w:rPr>
        <w:softHyphen/>
        <w:t>sion provid</w:t>
      </w:r>
      <w:r w:rsidR="00FA7B56">
        <w:rPr>
          <w:lang w:bidi="en-US"/>
        </w:rPr>
        <w:softHyphen/>
      </w:r>
      <w:r w:rsidR="00255C32" w:rsidRPr="009155D3">
        <w:rPr>
          <w:lang w:bidi="en-US"/>
        </w:rPr>
        <w:t>ers, including PJM, to have in place a methodology for allocating the costs of new facili</w:t>
      </w:r>
      <w:r w:rsidR="00FA7B56">
        <w:rPr>
          <w:lang w:bidi="en-US"/>
        </w:rPr>
        <w:softHyphen/>
      </w:r>
      <w:r w:rsidR="00255C32" w:rsidRPr="009155D3">
        <w:rPr>
          <w:lang w:bidi="en-US"/>
        </w:rPr>
        <w:t xml:space="preserve">ties in a regional transmission plan.  </w:t>
      </w:r>
      <w:r w:rsidR="00185A12" w:rsidRPr="00EF3B66">
        <w:rPr>
          <w:i/>
          <w:lang w:bidi="en-US"/>
        </w:rPr>
        <w:t>Order No. 1000</w:t>
      </w:r>
      <w:r w:rsidR="00255C32" w:rsidRPr="009155D3">
        <w:rPr>
          <w:lang w:bidi="en-US"/>
        </w:rPr>
        <w:t xml:space="preserve"> also provided six transmission cost allo</w:t>
      </w:r>
      <w:r w:rsidR="00FA7B56">
        <w:rPr>
          <w:lang w:bidi="en-US"/>
        </w:rPr>
        <w:softHyphen/>
      </w:r>
      <w:r w:rsidR="00255C32" w:rsidRPr="009155D3">
        <w:rPr>
          <w:lang w:bidi="en-US"/>
        </w:rPr>
        <w:t>cation principals for transmission providers to use as a strict guide when estab</w:t>
      </w:r>
      <w:r w:rsidR="00255C32" w:rsidRPr="009155D3">
        <w:rPr>
          <w:lang w:bidi="en-US"/>
        </w:rPr>
        <w:softHyphen/>
        <w:t xml:space="preserve">lishing a cost allocation methodology.  </w:t>
      </w:r>
    </w:p>
    <w:p w:rsidR="00255C32" w:rsidRPr="009155D3" w:rsidRDefault="00E4211E" w:rsidP="00E4211E">
      <w:pPr>
        <w:pStyle w:val="Textstyle"/>
        <w:rPr>
          <w:lang w:bidi="en-US"/>
        </w:rPr>
      </w:pPr>
      <w:r>
        <w:rPr>
          <w:lang w:bidi="en-US"/>
        </w:rPr>
        <w:tab/>
      </w:r>
      <w:r w:rsidR="005146A6">
        <w:rPr>
          <w:lang w:bidi="en-US"/>
        </w:rPr>
        <w:t xml:space="preserve">The </w:t>
      </w:r>
      <w:r w:rsidR="00255C32">
        <w:rPr>
          <w:lang w:bidi="en-US"/>
        </w:rPr>
        <w:t xml:space="preserve">use of the </w:t>
      </w:r>
      <w:r w:rsidR="00281767">
        <w:rPr>
          <w:lang w:bidi="en-US"/>
        </w:rPr>
        <w:t>postage-stamp</w:t>
      </w:r>
      <w:r w:rsidR="00255C32">
        <w:rPr>
          <w:lang w:bidi="en-US"/>
        </w:rPr>
        <w:t xml:space="preserve"> methodology i</w:t>
      </w:r>
      <w:r w:rsidR="00255C32" w:rsidRPr="009155D3">
        <w:rPr>
          <w:lang w:bidi="en-US"/>
        </w:rPr>
        <w:t xml:space="preserve">s inconsistent with </w:t>
      </w:r>
      <w:r w:rsidR="00185A12" w:rsidRPr="00185A12">
        <w:rPr>
          <w:i/>
          <w:lang w:bidi="en-US"/>
        </w:rPr>
        <w:t>Order No. 1000</w:t>
      </w:r>
      <w:r w:rsidR="00255C32" w:rsidRPr="009155D3">
        <w:rPr>
          <w:lang w:bidi="en-US"/>
        </w:rPr>
        <w:t xml:space="preserve"> and its transmission cost allocation principles.  </w:t>
      </w:r>
      <w:r w:rsidR="00281767">
        <w:rPr>
          <w:lang w:bidi="en-US"/>
        </w:rPr>
        <w:t>Postage-stamp</w:t>
      </w:r>
      <w:r w:rsidR="00255C32">
        <w:rPr>
          <w:lang w:bidi="en-US"/>
        </w:rPr>
        <w:t xml:space="preserve"> cost socialization </w:t>
      </w:r>
      <w:r w:rsidR="00255C32" w:rsidRPr="009155D3">
        <w:rPr>
          <w:lang w:bidi="en-US"/>
        </w:rPr>
        <w:t xml:space="preserve">changes the reasonable interpretation and the application of FERC </w:t>
      </w:r>
      <w:r w:rsidR="00185A12" w:rsidRPr="00185A12">
        <w:rPr>
          <w:i/>
          <w:lang w:bidi="en-US"/>
        </w:rPr>
        <w:t>Order No. 1000</w:t>
      </w:r>
      <w:r w:rsidR="00255C32" w:rsidRPr="009155D3">
        <w:rPr>
          <w:lang w:bidi="en-US"/>
        </w:rPr>
        <w:t xml:space="preserve">, which </w:t>
      </w:r>
      <w:r w:rsidR="00255C32">
        <w:rPr>
          <w:lang w:bidi="en-US"/>
        </w:rPr>
        <w:t xml:space="preserve">the various parties to the RM10-23 proceeding were led to </w:t>
      </w:r>
      <w:r w:rsidR="00255C32" w:rsidRPr="009155D3">
        <w:rPr>
          <w:lang w:bidi="en-US"/>
        </w:rPr>
        <w:t>understand that</w:t>
      </w:r>
      <w:r w:rsidR="00255C32">
        <w:rPr>
          <w:lang w:bidi="en-US"/>
        </w:rPr>
        <w:t>,</w:t>
      </w:r>
      <w:r w:rsidR="00255C32" w:rsidRPr="009155D3">
        <w:rPr>
          <w:lang w:bidi="en-US"/>
        </w:rPr>
        <w:t xml:space="preserve"> for new </w:t>
      </w:r>
      <w:r w:rsidR="00255C32">
        <w:rPr>
          <w:lang w:bidi="en-US"/>
        </w:rPr>
        <w:t xml:space="preserve">high voltage </w:t>
      </w:r>
      <w:r w:rsidR="00255C32" w:rsidRPr="009155D3">
        <w:rPr>
          <w:lang w:bidi="en-US"/>
        </w:rPr>
        <w:t xml:space="preserve">transmission </w:t>
      </w:r>
      <w:r w:rsidR="00255C32">
        <w:rPr>
          <w:lang w:bidi="en-US"/>
        </w:rPr>
        <w:t>expansion,</w:t>
      </w:r>
      <w:r w:rsidR="00255C32" w:rsidRPr="009155D3">
        <w:rPr>
          <w:lang w:bidi="en-US"/>
        </w:rPr>
        <w:t xml:space="preserve"> FERC was moving away from cost socialization in favor of a </w:t>
      </w:r>
      <w:r w:rsidR="00281767">
        <w:rPr>
          <w:lang w:bidi="en-US"/>
        </w:rPr>
        <w:t>beneficiary-pays</w:t>
      </w:r>
      <w:r w:rsidR="00255C32" w:rsidRPr="009155D3">
        <w:rPr>
          <w:lang w:bidi="en-US"/>
        </w:rPr>
        <w:t xml:space="preserve"> cost assignment structure.  Instead, FERC </w:t>
      </w:r>
      <w:r w:rsidR="00255C32">
        <w:rPr>
          <w:lang w:bidi="en-US"/>
        </w:rPr>
        <w:t>per</w:t>
      </w:r>
      <w:r w:rsidR="00FA7B56">
        <w:rPr>
          <w:lang w:bidi="en-US"/>
        </w:rPr>
        <w:softHyphen/>
      </w:r>
      <w:r w:rsidR="00255C32">
        <w:rPr>
          <w:lang w:bidi="en-US"/>
        </w:rPr>
        <w:t xml:space="preserve">versely determined that the </w:t>
      </w:r>
      <w:r w:rsidR="00281767">
        <w:rPr>
          <w:lang w:bidi="en-US"/>
        </w:rPr>
        <w:t>postage-stamp</w:t>
      </w:r>
      <w:r w:rsidR="00255C32" w:rsidRPr="009155D3">
        <w:rPr>
          <w:lang w:bidi="en-US"/>
        </w:rPr>
        <w:t xml:space="preserve"> methodology</w:t>
      </w:r>
      <w:r w:rsidR="00255C32">
        <w:rPr>
          <w:lang w:bidi="en-US"/>
        </w:rPr>
        <w:t>,</w:t>
      </w:r>
      <w:r w:rsidR="00255C32" w:rsidRPr="009155D3">
        <w:rPr>
          <w:lang w:bidi="en-US"/>
        </w:rPr>
        <w:t xml:space="preserve"> which fails to quantify sub</w:t>
      </w:r>
      <w:r w:rsidR="005146A6">
        <w:rPr>
          <w:lang w:bidi="en-US"/>
        </w:rPr>
        <w:t>-</w:t>
      </w:r>
      <w:r w:rsidR="00255C32" w:rsidRPr="009155D3">
        <w:rPr>
          <w:lang w:bidi="en-US"/>
        </w:rPr>
        <w:t>regional benefits or show how they are in proportion to load</w:t>
      </w:r>
      <w:r w:rsidR="00255C32">
        <w:rPr>
          <w:lang w:bidi="en-US"/>
        </w:rPr>
        <w:t xml:space="preserve">, is now tantamount to a </w:t>
      </w:r>
      <w:r w:rsidR="00281767">
        <w:rPr>
          <w:lang w:bidi="en-US"/>
        </w:rPr>
        <w:t>beneficiary-pays</w:t>
      </w:r>
      <w:r w:rsidR="00255C32">
        <w:rPr>
          <w:lang w:bidi="en-US"/>
        </w:rPr>
        <w:t xml:space="preserve"> costing approach.  The </w:t>
      </w:r>
      <w:r w:rsidR="00281767">
        <w:rPr>
          <w:lang w:bidi="en-US"/>
        </w:rPr>
        <w:t>postage-stamp</w:t>
      </w:r>
      <w:r w:rsidR="00255C32">
        <w:rPr>
          <w:lang w:bidi="en-US"/>
        </w:rPr>
        <w:t xml:space="preserve"> costing methodology </w:t>
      </w:r>
      <w:r w:rsidR="005146A6">
        <w:rPr>
          <w:lang w:bidi="en-US"/>
        </w:rPr>
        <w:t xml:space="preserve">equals </w:t>
      </w:r>
      <w:r w:rsidR="00255C32">
        <w:rPr>
          <w:lang w:bidi="en-US"/>
        </w:rPr>
        <w:t>cost socialization, which is directly in contrast to</w:t>
      </w:r>
      <w:r w:rsidR="002E7EAA">
        <w:rPr>
          <w:lang w:bidi="en-US"/>
        </w:rPr>
        <w:t>,</w:t>
      </w:r>
      <w:r w:rsidR="00255C32">
        <w:rPr>
          <w:lang w:bidi="en-US"/>
        </w:rPr>
        <w:t xml:space="preserve"> </w:t>
      </w:r>
      <w:r w:rsidR="005146A6">
        <w:rPr>
          <w:lang w:bidi="en-US"/>
        </w:rPr>
        <w:t xml:space="preserve">and </w:t>
      </w:r>
      <w:r w:rsidR="00553E47">
        <w:rPr>
          <w:lang w:bidi="en-US"/>
        </w:rPr>
        <w:t xml:space="preserve">in </w:t>
      </w:r>
      <w:r w:rsidR="005146A6">
        <w:rPr>
          <w:lang w:bidi="en-US"/>
        </w:rPr>
        <w:t>conflict with</w:t>
      </w:r>
      <w:r w:rsidR="002E7EAA">
        <w:rPr>
          <w:lang w:bidi="en-US"/>
        </w:rPr>
        <w:t>,</w:t>
      </w:r>
      <w:r w:rsidR="005146A6">
        <w:rPr>
          <w:lang w:bidi="en-US"/>
        </w:rPr>
        <w:t xml:space="preserve"> a beneficiary-</w:t>
      </w:r>
      <w:r w:rsidR="00255C32">
        <w:rPr>
          <w:lang w:bidi="en-US"/>
        </w:rPr>
        <w:t xml:space="preserve">pays approach to assigning costs.  Consequently, </w:t>
      </w:r>
      <w:r w:rsidR="00EF3B66">
        <w:rPr>
          <w:lang w:bidi="en-US"/>
        </w:rPr>
        <w:t xml:space="preserve">any and all requests for </w:t>
      </w:r>
      <w:r w:rsidR="00255C32">
        <w:rPr>
          <w:lang w:bidi="en-US"/>
        </w:rPr>
        <w:t xml:space="preserve">authority to implement a </w:t>
      </w:r>
      <w:r w:rsidR="00281767">
        <w:rPr>
          <w:lang w:bidi="en-US"/>
        </w:rPr>
        <w:t>postage-stamp</w:t>
      </w:r>
      <w:r w:rsidR="00255C32">
        <w:rPr>
          <w:lang w:bidi="en-US"/>
        </w:rPr>
        <w:t xml:space="preserve"> cost</w:t>
      </w:r>
      <w:r w:rsidR="00FA7B56">
        <w:rPr>
          <w:lang w:bidi="en-US"/>
        </w:rPr>
        <w:softHyphen/>
      </w:r>
      <w:r w:rsidR="00255C32">
        <w:rPr>
          <w:lang w:bidi="en-US"/>
        </w:rPr>
        <w:t xml:space="preserve">ing scheme must be rejected by FERC </w:t>
      </w:r>
      <w:r w:rsidR="005B6EC5">
        <w:rPr>
          <w:lang w:bidi="en-US"/>
        </w:rPr>
        <w:t>to be</w:t>
      </w:r>
      <w:r w:rsidR="00255C32">
        <w:rPr>
          <w:lang w:bidi="en-US"/>
        </w:rPr>
        <w:t xml:space="preserve"> consistent with FERC </w:t>
      </w:r>
      <w:r w:rsidR="00185A12" w:rsidRPr="00185A12">
        <w:rPr>
          <w:i/>
          <w:lang w:bidi="en-US"/>
        </w:rPr>
        <w:t>Order No. 1000</w:t>
      </w:r>
      <w:r w:rsidR="00255C32" w:rsidRPr="00185A12">
        <w:rPr>
          <w:i/>
          <w:lang w:bidi="en-US"/>
        </w:rPr>
        <w:t xml:space="preserve">’s </w:t>
      </w:r>
      <w:r w:rsidR="00255C32">
        <w:rPr>
          <w:lang w:bidi="en-US"/>
        </w:rPr>
        <w:t xml:space="preserve">costing principles. </w:t>
      </w:r>
      <w:r w:rsidR="00EF3B66">
        <w:rPr>
          <w:lang w:bidi="en-US"/>
        </w:rPr>
        <w:t xml:space="preserve"> </w:t>
      </w:r>
      <w:r w:rsidR="00255C32">
        <w:rPr>
          <w:lang w:bidi="en-US"/>
        </w:rPr>
        <w:t xml:space="preserve">Specifically, the Ohio Commission maintains that the </w:t>
      </w:r>
      <w:r w:rsidR="00945AAD">
        <w:rPr>
          <w:lang w:bidi="en-US"/>
        </w:rPr>
        <w:t>PJM</w:t>
      </w:r>
      <w:r w:rsidR="00E8114A">
        <w:rPr>
          <w:lang w:bidi="en-US"/>
        </w:rPr>
        <w:t>’s</w:t>
      </w:r>
      <w:r w:rsidR="00945AAD">
        <w:rPr>
          <w:lang w:bidi="en-US"/>
        </w:rPr>
        <w:t xml:space="preserve"> </w:t>
      </w:r>
      <w:r w:rsidR="00E8114A">
        <w:rPr>
          <w:lang w:bidi="en-US"/>
        </w:rPr>
        <w:t xml:space="preserve">and the </w:t>
      </w:r>
      <w:r w:rsidR="00255C32">
        <w:rPr>
          <w:lang w:bidi="en-US"/>
        </w:rPr>
        <w:lastRenderedPageBreak/>
        <w:t>TO application</w:t>
      </w:r>
      <w:r w:rsidR="00E8114A">
        <w:rPr>
          <w:lang w:bidi="en-US"/>
        </w:rPr>
        <w:t>s</w:t>
      </w:r>
      <w:r w:rsidR="00255C32">
        <w:rPr>
          <w:lang w:bidi="en-US"/>
        </w:rPr>
        <w:t xml:space="preserve">, to the extent </w:t>
      </w:r>
      <w:r w:rsidR="00E8114A">
        <w:rPr>
          <w:lang w:bidi="en-US"/>
        </w:rPr>
        <w:t xml:space="preserve">they </w:t>
      </w:r>
      <w:r w:rsidR="00255C32">
        <w:rPr>
          <w:lang w:bidi="en-US"/>
        </w:rPr>
        <w:t>advocate cost socialization</w:t>
      </w:r>
      <w:r w:rsidR="00CA7AA1">
        <w:rPr>
          <w:lang w:bidi="en-US"/>
        </w:rPr>
        <w:t>,</w:t>
      </w:r>
      <w:r w:rsidR="00255C32">
        <w:rPr>
          <w:lang w:bidi="en-US"/>
        </w:rPr>
        <w:t xml:space="preserve"> </w:t>
      </w:r>
      <w:r w:rsidR="00E8114A">
        <w:rPr>
          <w:lang w:bidi="en-US"/>
        </w:rPr>
        <w:t>are</w:t>
      </w:r>
      <w:r w:rsidR="00255C32">
        <w:rPr>
          <w:lang w:bidi="en-US"/>
        </w:rPr>
        <w:t xml:space="preserve"> in conflict with four of </w:t>
      </w:r>
      <w:r w:rsidR="00185A12" w:rsidRPr="00185A12">
        <w:rPr>
          <w:i/>
          <w:lang w:bidi="en-US"/>
        </w:rPr>
        <w:t>Order No. 1000</w:t>
      </w:r>
      <w:r w:rsidR="00255C32">
        <w:rPr>
          <w:lang w:bidi="en-US"/>
        </w:rPr>
        <w:t xml:space="preserve">’s six costing principles as </w:t>
      </w:r>
      <w:r w:rsidR="005B6EC5">
        <w:rPr>
          <w:lang w:bidi="en-US"/>
        </w:rPr>
        <w:t>will be discussed in the following paragraphs.</w:t>
      </w:r>
    </w:p>
    <w:p w:rsidR="00255C32" w:rsidRPr="009155D3" w:rsidRDefault="00E4211E" w:rsidP="00E4211E">
      <w:pPr>
        <w:pStyle w:val="Textstyle"/>
      </w:pPr>
      <w:r>
        <w:rPr>
          <w:i/>
          <w:lang w:bidi="en-US"/>
        </w:rPr>
        <w:tab/>
      </w:r>
      <w:r w:rsidR="00185A12" w:rsidRPr="00185A12">
        <w:rPr>
          <w:i/>
          <w:lang w:bidi="en-US"/>
        </w:rPr>
        <w:t>Order No. 1000</w:t>
      </w:r>
      <w:r w:rsidR="00255C32" w:rsidRPr="009155D3">
        <w:rPr>
          <w:lang w:bidi="en-US"/>
        </w:rPr>
        <w:t xml:space="preserve">’s Regional Cost Allocation Principle 1 reads as follows:  </w:t>
      </w:r>
      <w:r w:rsidR="00255C32" w:rsidRPr="009155D3">
        <w:t xml:space="preserve">The cost of transmission facilities must be allocated to those within the transmission planning region </w:t>
      </w:r>
      <w:r w:rsidR="001B2AC8">
        <w:t>who</w:t>
      </w:r>
      <w:r w:rsidR="001B2AC8" w:rsidRPr="009155D3">
        <w:t xml:space="preserve"> </w:t>
      </w:r>
      <w:r w:rsidR="00255C32" w:rsidRPr="009155D3">
        <w:t>benefit from those facilities in a manner that is at least roughly commensu</w:t>
      </w:r>
      <w:r w:rsidR="00255C32" w:rsidRPr="009155D3">
        <w:softHyphen/>
        <w:t>rate with estimated benefits.  In determining the beneficiaries of transmission facilities, a regional transmission planning process may consider benefits including, but not limited to, the extent to which transmission facilities, individually or in the aggregate, provide for maintaining reliability and sharing reserves, production cost savings and congestion relief, and/or meeting Public Policy Requirements.</w:t>
      </w:r>
    </w:p>
    <w:p w:rsidR="00255C32" w:rsidRPr="009155D3" w:rsidRDefault="00E4211E" w:rsidP="00E4211E">
      <w:pPr>
        <w:pStyle w:val="Textstyle"/>
        <w:rPr>
          <w:lang w:bidi="en-US"/>
        </w:rPr>
      </w:pPr>
      <w:r>
        <w:rPr>
          <w:lang w:bidi="en-US"/>
        </w:rPr>
        <w:tab/>
      </w:r>
      <w:r w:rsidR="00255C32" w:rsidRPr="009155D3">
        <w:rPr>
          <w:lang w:bidi="en-US"/>
        </w:rPr>
        <w:t>Among other things, the original intent of Cost Allocation Principle 1 was to ensure that mandated public policy requirement that drives interstate transmis</w:t>
      </w:r>
      <w:r w:rsidR="00255C32" w:rsidRPr="009155D3">
        <w:rPr>
          <w:lang w:bidi="en-US"/>
        </w:rPr>
        <w:softHyphen/>
        <w:t xml:space="preserve">sion needs or expansions results in that state paying its fair share of the associated costs and to ensure that there are no “free riders” on the transmission system.  </w:t>
      </w:r>
      <w:r w:rsidR="00255C32">
        <w:rPr>
          <w:lang w:bidi="en-US"/>
        </w:rPr>
        <w:t>The imple</w:t>
      </w:r>
      <w:r w:rsidR="00FA7B56">
        <w:rPr>
          <w:lang w:bidi="en-US"/>
        </w:rPr>
        <w:softHyphen/>
      </w:r>
      <w:r w:rsidR="00255C32">
        <w:rPr>
          <w:lang w:bidi="en-US"/>
        </w:rPr>
        <w:t xml:space="preserve">mentation of a </w:t>
      </w:r>
      <w:r w:rsidR="00281767">
        <w:rPr>
          <w:lang w:bidi="en-US"/>
        </w:rPr>
        <w:t>postage-stamp</w:t>
      </w:r>
      <w:r w:rsidR="00255C32">
        <w:rPr>
          <w:lang w:bidi="en-US"/>
        </w:rPr>
        <w:t xml:space="preserve"> cost recovery mechanism </w:t>
      </w:r>
      <w:r w:rsidR="00EF3B66">
        <w:rPr>
          <w:lang w:bidi="en-US"/>
        </w:rPr>
        <w:t xml:space="preserve">to meet Federal public policy </w:t>
      </w:r>
      <w:r w:rsidR="00260A47">
        <w:rPr>
          <w:lang w:bidi="en-US"/>
        </w:rPr>
        <w:t xml:space="preserve">initiatives </w:t>
      </w:r>
      <w:r w:rsidR="00260A47" w:rsidRPr="009155D3">
        <w:rPr>
          <w:lang w:bidi="en-US"/>
        </w:rPr>
        <w:t>renders</w:t>
      </w:r>
      <w:r w:rsidR="00255C32" w:rsidRPr="009155D3">
        <w:rPr>
          <w:lang w:bidi="en-US"/>
        </w:rPr>
        <w:t xml:space="preserve"> moot this </w:t>
      </w:r>
      <w:r w:rsidR="00255C32">
        <w:rPr>
          <w:lang w:bidi="en-US"/>
        </w:rPr>
        <w:t>princi</w:t>
      </w:r>
      <w:r w:rsidR="00FA7B56">
        <w:rPr>
          <w:lang w:bidi="en-US"/>
        </w:rPr>
        <w:softHyphen/>
      </w:r>
      <w:r w:rsidR="00255C32">
        <w:rPr>
          <w:lang w:bidi="en-US"/>
        </w:rPr>
        <w:t>ple</w:t>
      </w:r>
      <w:r w:rsidR="00EF3B66">
        <w:rPr>
          <w:lang w:bidi="en-US"/>
        </w:rPr>
        <w:t>,</w:t>
      </w:r>
      <w:r w:rsidR="00255C32">
        <w:rPr>
          <w:lang w:bidi="en-US"/>
        </w:rPr>
        <w:t xml:space="preserve"> which directly conflicts with any endeavor to more closely align </w:t>
      </w:r>
      <w:r w:rsidR="002A77DD">
        <w:rPr>
          <w:lang w:bidi="en-US"/>
        </w:rPr>
        <w:t xml:space="preserve">costs </w:t>
      </w:r>
      <w:r w:rsidR="00255C32">
        <w:rPr>
          <w:lang w:bidi="en-US"/>
        </w:rPr>
        <w:t xml:space="preserve">with tangible benefits.  </w:t>
      </w:r>
      <w:r w:rsidR="00E8114A">
        <w:rPr>
          <w:lang w:bidi="en-US"/>
        </w:rPr>
        <w:t>Co</w:t>
      </w:r>
      <w:r w:rsidR="00255C32" w:rsidRPr="009155D3">
        <w:rPr>
          <w:lang w:bidi="en-US"/>
        </w:rPr>
        <w:t>st subsidization is not only incon</w:t>
      </w:r>
      <w:r w:rsidR="00255C32" w:rsidRPr="009155D3">
        <w:rPr>
          <w:lang w:bidi="en-US"/>
        </w:rPr>
        <w:softHyphen/>
        <w:t>sistent with FERC’s purported attempt to assign costs attributed to policy mandates</w:t>
      </w:r>
      <w:r w:rsidR="00E8114A">
        <w:rPr>
          <w:lang w:bidi="en-US"/>
        </w:rPr>
        <w:t xml:space="preserve"> consistent with </w:t>
      </w:r>
      <w:r w:rsidR="007C35FE">
        <w:rPr>
          <w:lang w:bidi="en-US"/>
        </w:rPr>
        <w:t>Principle</w:t>
      </w:r>
      <w:r w:rsidR="00E8114A">
        <w:rPr>
          <w:lang w:bidi="en-US"/>
        </w:rPr>
        <w:t xml:space="preserve"> 1</w:t>
      </w:r>
      <w:r w:rsidR="00255C32" w:rsidRPr="009155D3">
        <w:rPr>
          <w:lang w:bidi="en-US"/>
        </w:rPr>
        <w:t>, but is also contrary to the FPA’s mandate to ensure just and reasonable rates and the Seventh Cir</w:t>
      </w:r>
      <w:r w:rsidR="00FA7B56">
        <w:rPr>
          <w:lang w:bidi="en-US"/>
        </w:rPr>
        <w:softHyphen/>
      </w:r>
      <w:r w:rsidR="00255C32" w:rsidRPr="009155D3">
        <w:rPr>
          <w:lang w:bidi="en-US"/>
        </w:rPr>
        <w:t xml:space="preserve">cuit’s </w:t>
      </w:r>
      <w:r w:rsidR="00553E47">
        <w:rPr>
          <w:lang w:bidi="en-US"/>
        </w:rPr>
        <w:t>R</w:t>
      </w:r>
      <w:r w:rsidR="00553E47" w:rsidRPr="009155D3">
        <w:rPr>
          <w:lang w:bidi="en-US"/>
        </w:rPr>
        <w:t>emand</w:t>
      </w:r>
      <w:r w:rsidR="00255C32" w:rsidRPr="009155D3">
        <w:rPr>
          <w:lang w:bidi="en-US"/>
        </w:rPr>
        <w:t xml:space="preserve">, which directs FERC to more closely align costs with cost causation.  </w:t>
      </w:r>
    </w:p>
    <w:p w:rsidR="00255C32" w:rsidRPr="009155D3" w:rsidRDefault="00255C32" w:rsidP="00E4211E">
      <w:pPr>
        <w:pStyle w:val="Textstyle"/>
        <w:rPr>
          <w:lang w:bidi="en-US"/>
        </w:rPr>
      </w:pPr>
      <w:r w:rsidRPr="009155D3">
        <w:rPr>
          <w:lang w:bidi="en-US"/>
        </w:rPr>
        <w:lastRenderedPageBreak/>
        <w:tab/>
        <w:t xml:space="preserve">Likewise, </w:t>
      </w:r>
      <w:r>
        <w:rPr>
          <w:lang w:bidi="en-US"/>
        </w:rPr>
        <w:t xml:space="preserve">the cost socialization aspects to the </w:t>
      </w:r>
      <w:r w:rsidR="00945AAD">
        <w:rPr>
          <w:lang w:bidi="en-US"/>
        </w:rPr>
        <w:t xml:space="preserve">PJM </w:t>
      </w:r>
      <w:r>
        <w:rPr>
          <w:lang w:bidi="en-US"/>
        </w:rPr>
        <w:t>TO application</w:t>
      </w:r>
      <w:r w:rsidRPr="009155D3">
        <w:rPr>
          <w:lang w:bidi="en-US"/>
        </w:rPr>
        <w:t xml:space="preserve"> will render moot Cost Allocation Principle 2, which states, “[t]hose that receive no benefit from transmis</w:t>
      </w:r>
      <w:r w:rsidR="00FA7B56">
        <w:rPr>
          <w:lang w:bidi="en-US"/>
        </w:rPr>
        <w:softHyphen/>
      </w:r>
      <w:r w:rsidRPr="009155D3">
        <w:rPr>
          <w:lang w:bidi="en-US"/>
        </w:rPr>
        <w:t xml:space="preserve">sion facilities, either at present or in a likely future scenario, must not be involuntarily allocated any of the costs of those transmission facilities.”  </w:t>
      </w:r>
      <w:r>
        <w:rPr>
          <w:lang w:bidi="en-US"/>
        </w:rPr>
        <w:t xml:space="preserve">The </w:t>
      </w:r>
      <w:r w:rsidR="007D2CCE">
        <w:rPr>
          <w:lang w:bidi="en-US"/>
        </w:rPr>
        <w:t xml:space="preserve">TO </w:t>
      </w:r>
      <w:r>
        <w:rPr>
          <w:lang w:bidi="en-US"/>
        </w:rPr>
        <w:t>proposed 50 percent socialization approach to cost recovery</w:t>
      </w:r>
      <w:r w:rsidR="007D2CCE">
        <w:rPr>
          <w:lang w:bidi="en-US"/>
        </w:rPr>
        <w:t>, which PJM’s application endorses,</w:t>
      </w:r>
      <w:r>
        <w:rPr>
          <w:lang w:bidi="en-US"/>
        </w:rPr>
        <w:t xml:space="preserve"> </w:t>
      </w:r>
      <w:r w:rsidRPr="009155D3">
        <w:rPr>
          <w:lang w:bidi="en-US"/>
        </w:rPr>
        <w:t>ensures that those customers who will only experience trivial benefits will be unduly burdened with transmission expense because many customers will incur signifi</w:t>
      </w:r>
      <w:r w:rsidRPr="009155D3">
        <w:rPr>
          <w:lang w:bidi="en-US"/>
        </w:rPr>
        <w:softHyphen/>
        <w:t>cant costs as compared</w:t>
      </w:r>
      <w:r w:rsidR="00CA7AA1">
        <w:rPr>
          <w:lang w:bidi="en-US"/>
        </w:rPr>
        <w:t xml:space="preserve"> to</w:t>
      </w:r>
      <w:r w:rsidRPr="009155D3">
        <w:rPr>
          <w:lang w:bidi="en-US"/>
        </w:rPr>
        <w:t xml:space="preserve"> nominal or no tangible benefits realized.</w:t>
      </w:r>
      <w:r>
        <w:rPr>
          <w:lang w:bidi="en-US"/>
        </w:rPr>
        <w:t xml:space="preserve">  The impact associated with any degree of implementation of a </w:t>
      </w:r>
      <w:r w:rsidR="00281767">
        <w:rPr>
          <w:lang w:bidi="en-US"/>
        </w:rPr>
        <w:t>postage-stamp</w:t>
      </w:r>
      <w:r w:rsidRPr="009155D3">
        <w:rPr>
          <w:lang w:bidi="en-US"/>
        </w:rPr>
        <w:t xml:space="preserve"> cost socialization policy on the State of Ohio customers is </w:t>
      </w:r>
      <w:r>
        <w:rPr>
          <w:lang w:bidi="en-US"/>
        </w:rPr>
        <w:t>significant to Ohio’s ratepay</w:t>
      </w:r>
      <w:r w:rsidR="00FA7B56">
        <w:rPr>
          <w:lang w:bidi="en-US"/>
        </w:rPr>
        <w:softHyphen/>
      </w:r>
      <w:r>
        <w:rPr>
          <w:lang w:bidi="en-US"/>
        </w:rPr>
        <w:t>ers</w:t>
      </w:r>
      <w:r w:rsidRPr="009155D3">
        <w:rPr>
          <w:lang w:bidi="en-US"/>
        </w:rPr>
        <w:t>.  As noted in the Ohio Commission’s May 28, 2010</w:t>
      </w:r>
      <w:r>
        <w:rPr>
          <w:lang w:bidi="en-US"/>
        </w:rPr>
        <w:t xml:space="preserve"> comments to FERC in the </w:t>
      </w:r>
      <w:r w:rsidR="00553E47">
        <w:rPr>
          <w:lang w:bidi="en-US"/>
        </w:rPr>
        <w:t xml:space="preserve">Seventh </w:t>
      </w:r>
      <w:r>
        <w:rPr>
          <w:lang w:bidi="en-US"/>
        </w:rPr>
        <w:t>Circuit Remand Proceeding</w:t>
      </w:r>
      <w:r w:rsidRPr="009155D3">
        <w:rPr>
          <w:lang w:bidi="en-US"/>
        </w:rPr>
        <w:t xml:space="preserve">, when using the DFAX costing methodology, at the time of our previous comments, the impact to the Dayton Power and Light Company (DP&amp;L) was approximately $0.92 million.  Under </w:t>
      </w:r>
      <w:r>
        <w:rPr>
          <w:lang w:bidi="en-US"/>
        </w:rPr>
        <w:t xml:space="preserve">a 100 percent </w:t>
      </w:r>
      <w:r w:rsidR="00281767">
        <w:rPr>
          <w:lang w:bidi="en-US"/>
        </w:rPr>
        <w:t>postage-stamp</w:t>
      </w:r>
      <w:r w:rsidRPr="009155D3">
        <w:rPr>
          <w:lang w:bidi="en-US"/>
        </w:rPr>
        <w:t xml:space="preserve"> method</w:t>
      </w:r>
      <w:r w:rsidR="00FA7B56">
        <w:rPr>
          <w:lang w:bidi="en-US"/>
        </w:rPr>
        <w:softHyphen/>
      </w:r>
      <w:r w:rsidRPr="009155D3">
        <w:rPr>
          <w:lang w:bidi="en-US"/>
        </w:rPr>
        <w:t xml:space="preserve">ology, DP&amp;L is rendered charges equal to approximately $162.62 million.  </w:t>
      </w:r>
      <w:r>
        <w:rPr>
          <w:lang w:bidi="en-US"/>
        </w:rPr>
        <w:t xml:space="preserve">A 50 percent cost socialization methodology </w:t>
      </w:r>
      <w:r w:rsidRPr="009155D3">
        <w:rPr>
          <w:lang w:bidi="en-US"/>
        </w:rPr>
        <w:t>does not demonstrate a corresponding proportionate bene</w:t>
      </w:r>
      <w:r w:rsidR="00FA7B56">
        <w:rPr>
          <w:lang w:bidi="en-US"/>
        </w:rPr>
        <w:softHyphen/>
      </w:r>
      <w:r w:rsidRPr="009155D3">
        <w:rPr>
          <w:lang w:bidi="en-US"/>
        </w:rPr>
        <w:t xml:space="preserve">fit to DP&amp;L’s customers equal to the magnitude of difference between the DFAX and the </w:t>
      </w:r>
      <w:r w:rsidR="00281767">
        <w:rPr>
          <w:lang w:bidi="en-US"/>
        </w:rPr>
        <w:t>postage-stamp</w:t>
      </w:r>
      <w:r w:rsidRPr="009155D3">
        <w:rPr>
          <w:lang w:bidi="en-US"/>
        </w:rPr>
        <w:t xml:space="preserve"> costing methodologies.     </w:t>
      </w:r>
      <w:r w:rsidRPr="009155D3">
        <w:rPr>
          <w:lang w:bidi="en-US"/>
        </w:rPr>
        <w:tab/>
      </w:r>
    </w:p>
    <w:p w:rsidR="00255C32" w:rsidRPr="009155D3" w:rsidRDefault="00E4211E" w:rsidP="00E4211E">
      <w:pPr>
        <w:pStyle w:val="Textstyle"/>
        <w:rPr>
          <w:lang w:bidi="en-US"/>
        </w:rPr>
      </w:pPr>
      <w:r>
        <w:rPr>
          <w:lang w:bidi="en-US"/>
        </w:rPr>
        <w:tab/>
      </w:r>
      <w:r w:rsidR="00255C32" w:rsidRPr="009155D3">
        <w:rPr>
          <w:lang w:bidi="en-US"/>
        </w:rPr>
        <w:t>Cost Allo</w:t>
      </w:r>
      <w:r w:rsidR="00255C32" w:rsidRPr="009155D3">
        <w:rPr>
          <w:lang w:bidi="en-US"/>
        </w:rPr>
        <w:softHyphen/>
        <w:t>cation Principle 3 for regional cost allocation</w:t>
      </w:r>
      <w:r w:rsidR="00255CC9">
        <w:rPr>
          <w:lang w:bidi="en-US"/>
        </w:rPr>
        <w:t xml:space="preserve"> </w:t>
      </w:r>
      <w:r w:rsidR="007D2CCE">
        <w:rPr>
          <w:lang w:bidi="en-US"/>
        </w:rPr>
        <w:t>reads as follows</w:t>
      </w:r>
      <w:r w:rsidR="00255C32" w:rsidRPr="009155D3">
        <w:rPr>
          <w:lang w:bidi="en-US"/>
        </w:rPr>
        <w:t>:</w:t>
      </w:r>
    </w:p>
    <w:p w:rsidR="00255C32" w:rsidRPr="009155D3" w:rsidRDefault="00255C32" w:rsidP="00157920">
      <w:pPr>
        <w:pStyle w:val="Blockquote"/>
      </w:pPr>
      <w:r w:rsidRPr="009155D3">
        <w:t>If a benefit to cost threshold is used to determine which transmission facilities have sufficient net benefits to be selected in a regional transmission plan for the purpose of cost allocation, it must not be so high that transmission facili</w:t>
      </w:r>
      <w:r w:rsidRPr="009155D3">
        <w:softHyphen/>
        <w:t xml:space="preserve">ties with significant positive net benefits are excluded from </w:t>
      </w:r>
      <w:r w:rsidRPr="009155D3">
        <w:lastRenderedPageBreak/>
        <w:t>cost allocation.  A public utility transmission provider in a transmission planning region may choose to use such a threshold to account for uncertainty in the calculation of ben</w:t>
      </w:r>
      <w:r w:rsidRPr="009155D3">
        <w:softHyphen/>
        <w:t>efits and costs.  If adopted, such a threshold may not include a ratio of benefits to costs that exceeds 1.25 unless the trans</w:t>
      </w:r>
      <w:r w:rsidRPr="009155D3">
        <w:softHyphen/>
        <w:t>mission planning region or public utility transmission pro</w:t>
      </w:r>
      <w:r w:rsidRPr="009155D3">
        <w:softHyphen/>
        <w:t>vider justifies and the Commission approves a higher ratio.</w:t>
      </w:r>
    </w:p>
    <w:p w:rsidR="00255C32" w:rsidRPr="009155D3" w:rsidRDefault="00255C32" w:rsidP="00E4211E">
      <w:pPr>
        <w:pStyle w:val="Textstyle"/>
        <w:rPr>
          <w:lang w:bidi="en-US"/>
        </w:rPr>
      </w:pPr>
      <w:r w:rsidRPr="009155D3">
        <w:rPr>
          <w:lang w:bidi="en-US"/>
        </w:rPr>
        <w:t xml:space="preserve">In addition, </w:t>
      </w:r>
      <w:r w:rsidR="00185A12" w:rsidRPr="00185A12">
        <w:rPr>
          <w:i/>
          <w:lang w:bidi="en-US"/>
        </w:rPr>
        <w:t>Order No. 1000</w:t>
      </w:r>
      <w:r w:rsidRPr="009155D3">
        <w:rPr>
          <w:lang w:bidi="en-US"/>
        </w:rPr>
        <w:t xml:space="preserve"> states, “[t]hat allowing for a transparent benefit to cost ratio may help certain transmission planning regions to determine which transmission facilities have sufficient net benefits to be selected in the regional transmission plan for purposes of cost allocation.”  </w:t>
      </w:r>
    </w:p>
    <w:p w:rsidR="00255C32" w:rsidRPr="009155D3" w:rsidRDefault="00E4211E" w:rsidP="00E4211E">
      <w:pPr>
        <w:pStyle w:val="Textstyle"/>
        <w:rPr>
          <w:lang w:bidi="en-US"/>
        </w:rPr>
      </w:pPr>
      <w:r>
        <w:rPr>
          <w:lang w:bidi="en-US"/>
        </w:rPr>
        <w:tab/>
      </w:r>
      <w:r w:rsidR="00255CC9">
        <w:rPr>
          <w:lang w:bidi="en-US"/>
        </w:rPr>
        <w:t>A</w:t>
      </w:r>
      <w:r w:rsidR="00255C32">
        <w:rPr>
          <w:lang w:bidi="en-US"/>
        </w:rPr>
        <w:t xml:space="preserve"> 50 percent cost socialization methodology </w:t>
      </w:r>
      <w:r w:rsidR="00255C32" w:rsidRPr="009155D3">
        <w:rPr>
          <w:lang w:bidi="en-US"/>
        </w:rPr>
        <w:t xml:space="preserve">renders the application of </w:t>
      </w:r>
      <w:r w:rsidR="00E8114A">
        <w:rPr>
          <w:lang w:bidi="en-US"/>
        </w:rPr>
        <w:t>Principle 3</w:t>
      </w:r>
      <w:r w:rsidR="00CA7AA1">
        <w:rPr>
          <w:lang w:bidi="en-US"/>
        </w:rPr>
        <w:t xml:space="preserve"> </w:t>
      </w:r>
      <w:r w:rsidR="00255C32" w:rsidRPr="009155D3">
        <w:rPr>
          <w:lang w:bidi="en-US"/>
        </w:rPr>
        <w:t>useless for the justification of transmis</w:t>
      </w:r>
      <w:r w:rsidR="00255C32" w:rsidRPr="009155D3">
        <w:rPr>
          <w:lang w:bidi="en-US"/>
        </w:rPr>
        <w:softHyphen/>
        <w:t xml:space="preserve">sion expansion for </w:t>
      </w:r>
      <w:r w:rsidR="00255C32">
        <w:rPr>
          <w:lang w:bidi="en-US"/>
        </w:rPr>
        <w:t xml:space="preserve">double 345 </w:t>
      </w:r>
      <w:r w:rsidR="00255C32" w:rsidRPr="009155D3">
        <w:rPr>
          <w:lang w:bidi="en-US"/>
        </w:rPr>
        <w:t>kV and above facilities</w:t>
      </w:r>
      <w:r w:rsidR="00255C32">
        <w:rPr>
          <w:lang w:bidi="en-US"/>
        </w:rPr>
        <w:t>,</w:t>
      </w:r>
      <w:r w:rsidR="00255C32" w:rsidRPr="009155D3">
        <w:rPr>
          <w:lang w:bidi="en-US"/>
        </w:rPr>
        <w:t xml:space="preserve"> because </w:t>
      </w:r>
      <w:r w:rsidR="00255C32">
        <w:rPr>
          <w:lang w:bidi="en-US"/>
        </w:rPr>
        <w:t xml:space="preserve">the application does not </w:t>
      </w:r>
      <w:r w:rsidR="00255C32" w:rsidRPr="009155D3">
        <w:rPr>
          <w:lang w:bidi="en-US"/>
        </w:rPr>
        <w:t>arrive at a spe</w:t>
      </w:r>
      <w:r w:rsidR="00FA7B56">
        <w:rPr>
          <w:lang w:bidi="en-US"/>
        </w:rPr>
        <w:softHyphen/>
      </w:r>
      <w:r w:rsidR="00255C32" w:rsidRPr="009155D3">
        <w:rPr>
          <w:lang w:bidi="en-US"/>
        </w:rPr>
        <w:t xml:space="preserve">cific formula to estimate benefits for </w:t>
      </w:r>
      <w:r w:rsidR="00255C32">
        <w:rPr>
          <w:lang w:bidi="en-US"/>
        </w:rPr>
        <w:t>double 345</w:t>
      </w:r>
      <w:r w:rsidR="00255C32" w:rsidRPr="009155D3">
        <w:rPr>
          <w:lang w:bidi="en-US"/>
        </w:rPr>
        <w:t>kV and above transmission expansion pro</w:t>
      </w:r>
      <w:r w:rsidR="00255C32" w:rsidRPr="009155D3">
        <w:rPr>
          <w:lang w:bidi="en-US"/>
        </w:rPr>
        <w:softHyphen/>
        <w:t xml:space="preserve">jects.  Facilities of this immense scope and </w:t>
      </w:r>
      <w:r w:rsidR="001A24F0">
        <w:rPr>
          <w:lang w:bidi="en-US"/>
        </w:rPr>
        <w:t>considerable</w:t>
      </w:r>
      <w:r w:rsidR="001A24F0" w:rsidRPr="009155D3">
        <w:rPr>
          <w:lang w:bidi="en-US"/>
        </w:rPr>
        <w:t xml:space="preserve"> </w:t>
      </w:r>
      <w:r w:rsidR="00255C32" w:rsidRPr="009155D3">
        <w:rPr>
          <w:lang w:bidi="en-US"/>
        </w:rPr>
        <w:t>cost are exactly those projects to which this standard and analysis should apply</w:t>
      </w:r>
      <w:r w:rsidR="00CA7AA1">
        <w:rPr>
          <w:lang w:bidi="en-US"/>
        </w:rPr>
        <w:t xml:space="preserve"> through the application of a solutions-based DFAX</w:t>
      </w:r>
      <w:r w:rsidR="00255C32" w:rsidRPr="009155D3">
        <w:rPr>
          <w:lang w:bidi="en-US"/>
        </w:rPr>
        <w:t xml:space="preserve">.  Without the application of any concrete test, it is impossible to determine whether a project’s benefits will exceed its costs and whether the project should be built at all.  </w:t>
      </w:r>
      <w:r w:rsidR="00255C32">
        <w:rPr>
          <w:lang w:bidi="en-US"/>
        </w:rPr>
        <w:t xml:space="preserve">Under a </w:t>
      </w:r>
      <w:r w:rsidR="00281767">
        <w:rPr>
          <w:lang w:bidi="en-US"/>
        </w:rPr>
        <w:t>postage-stamp</w:t>
      </w:r>
      <w:r w:rsidR="00255C32">
        <w:rPr>
          <w:lang w:bidi="en-US"/>
        </w:rPr>
        <w:t xml:space="preserve"> cost socialization scheme, </w:t>
      </w:r>
      <w:r w:rsidR="00255C32" w:rsidRPr="009155D3">
        <w:rPr>
          <w:lang w:bidi="en-US"/>
        </w:rPr>
        <w:t>the application of Principle 3 is meaningless</w:t>
      </w:r>
      <w:r w:rsidR="00255C32">
        <w:rPr>
          <w:lang w:bidi="en-US"/>
        </w:rPr>
        <w:t xml:space="preserve"> u</w:t>
      </w:r>
      <w:r w:rsidR="00255C32" w:rsidRPr="009155D3">
        <w:rPr>
          <w:lang w:bidi="en-US"/>
        </w:rPr>
        <w:t>ntil</w:t>
      </w:r>
      <w:r w:rsidR="00255C32">
        <w:rPr>
          <w:lang w:bidi="en-US"/>
        </w:rPr>
        <w:t xml:space="preserve"> the </w:t>
      </w:r>
      <w:r w:rsidR="00945AAD">
        <w:rPr>
          <w:lang w:bidi="en-US"/>
        </w:rPr>
        <w:t xml:space="preserve">PJM </w:t>
      </w:r>
      <w:r w:rsidR="00E8114A">
        <w:rPr>
          <w:lang w:bidi="en-US"/>
        </w:rPr>
        <w:t xml:space="preserve">and its </w:t>
      </w:r>
      <w:r w:rsidR="00255C32">
        <w:rPr>
          <w:lang w:bidi="en-US"/>
        </w:rPr>
        <w:t xml:space="preserve">TO </w:t>
      </w:r>
      <w:r w:rsidR="00CA7AA1">
        <w:rPr>
          <w:lang w:bidi="en-US"/>
        </w:rPr>
        <w:t xml:space="preserve">make an effort to </w:t>
      </w:r>
      <w:r w:rsidR="00255C32" w:rsidRPr="009155D3">
        <w:rPr>
          <w:lang w:bidi="en-US"/>
        </w:rPr>
        <w:t>arrive a</w:t>
      </w:r>
      <w:r w:rsidR="00CA7AA1">
        <w:rPr>
          <w:lang w:bidi="en-US"/>
        </w:rPr>
        <w:t>t a</w:t>
      </w:r>
      <w:r w:rsidR="00255C32" w:rsidRPr="009155D3">
        <w:rPr>
          <w:lang w:bidi="en-US"/>
        </w:rPr>
        <w:t xml:space="preserve"> methodology quantifying more specific benefits by RTO sub-regions (or states)</w:t>
      </w:r>
      <w:r w:rsidR="00255C32">
        <w:rPr>
          <w:lang w:bidi="en-US"/>
        </w:rPr>
        <w:t xml:space="preserve"> consistent with the </w:t>
      </w:r>
      <w:r w:rsidR="00553E47">
        <w:rPr>
          <w:lang w:bidi="en-US"/>
        </w:rPr>
        <w:t xml:space="preserve">Seventh </w:t>
      </w:r>
      <w:r w:rsidR="00255C32">
        <w:rPr>
          <w:lang w:bidi="en-US"/>
        </w:rPr>
        <w:t>Circuit’s Remand Decision.  That is</w:t>
      </w:r>
      <w:r w:rsidR="001A24F0">
        <w:rPr>
          <w:lang w:bidi="en-US"/>
        </w:rPr>
        <w:t>,</w:t>
      </w:r>
      <w:r w:rsidR="00255C32">
        <w:rPr>
          <w:lang w:bidi="en-US"/>
        </w:rPr>
        <w:t xml:space="preserve"> </w:t>
      </w:r>
      <w:r w:rsidR="00255C32" w:rsidRPr="009155D3">
        <w:rPr>
          <w:lang w:bidi="en-US"/>
        </w:rPr>
        <w:t xml:space="preserve">the application of Principle 3 cannot be </w:t>
      </w:r>
      <w:r w:rsidR="001A24F0">
        <w:rPr>
          <w:lang w:bidi="en-US"/>
        </w:rPr>
        <w:t xml:space="preserve">made </w:t>
      </w:r>
      <w:r w:rsidR="00255C32">
        <w:rPr>
          <w:lang w:bidi="en-US"/>
        </w:rPr>
        <w:t>because cost socialization o</w:t>
      </w:r>
      <w:r w:rsidR="00255C32" w:rsidRPr="009155D3">
        <w:rPr>
          <w:lang w:bidi="en-US"/>
        </w:rPr>
        <w:t>ver generalize</w:t>
      </w:r>
      <w:r w:rsidR="001A24F0">
        <w:rPr>
          <w:lang w:bidi="en-US"/>
        </w:rPr>
        <w:t xml:space="preserve">s the quantification and </w:t>
      </w:r>
      <w:r w:rsidR="00255C32" w:rsidRPr="009155D3">
        <w:rPr>
          <w:lang w:bidi="en-US"/>
        </w:rPr>
        <w:t>definition of benefit</w:t>
      </w:r>
      <w:r w:rsidR="001A24F0">
        <w:rPr>
          <w:lang w:bidi="en-US"/>
        </w:rPr>
        <w:t>s</w:t>
      </w:r>
      <w:r w:rsidR="00255C32" w:rsidRPr="009155D3">
        <w:rPr>
          <w:lang w:bidi="en-US"/>
        </w:rPr>
        <w:t xml:space="preserve"> and,</w:t>
      </w:r>
      <w:r w:rsidR="001A24F0">
        <w:rPr>
          <w:lang w:bidi="en-US"/>
        </w:rPr>
        <w:t xml:space="preserve"> as </w:t>
      </w:r>
      <w:r w:rsidR="00255C32" w:rsidRPr="009155D3">
        <w:rPr>
          <w:lang w:bidi="en-US"/>
        </w:rPr>
        <w:t xml:space="preserve">a result, no </w:t>
      </w:r>
      <w:r w:rsidR="001A24F0">
        <w:rPr>
          <w:lang w:bidi="en-US"/>
        </w:rPr>
        <w:t xml:space="preserve">measureable </w:t>
      </w:r>
      <w:r w:rsidR="00255C32" w:rsidRPr="009155D3">
        <w:rPr>
          <w:lang w:bidi="en-US"/>
        </w:rPr>
        <w:t xml:space="preserve">numeric value for </w:t>
      </w:r>
      <w:r w:rsidR="001A24F0">
        <w:rPr>
          <w:lang w:bidi="en-US"/>
        </w:rPr>
        <w:t>these pur</w:t>
      </w:r>
      <w:r w:rsidR="00FA7B56">
        <w:rPr>
          <w:lang w:bidi="en-US"/>
        </w:rPr>
        <w:softHyphen/>
      </w:r>
      <w:r w:rsidR="001A24F0">
        <w:rPr>
          <w:lang w:bidi="en-US"/>
        </w:rPr>
        <w:t>ported b</w:t>
      </w:r>
      <w:r w:rsidR="00255C32" w:rsidRPr="009155D3">
        <w:rPr>
          <w:lang w:bidi="en-US"/>
        </w:rPr>
        <w:t>enefits</w:t>
      </w:r>
      <w:r w:rsidR="001A24F0">
        <w:rPr>
          <w:lang w:bidi="en-US"/>
        </w:rPr>
        <w:t xml:space="preserve"> </w:t>
      </w:r>
      <w:r w:rsidR="00255C32" w:rsidRPr="009155D3">
        <w:rPr>
          <w:lang w:bidi="en-US"/>
        </w:rPr>
        <w:t xml:space="preserve">can be applied in the analysis. </w:t>
      </w:r>
    </w:p>
    <w:p w:rsidR="00255C32" w:rsidRDefault="00E4211E" w:rsidP="00E4211E">
      <w:pPr>
        <w:pStyle w:val="Textstyle"/>
        <w:rPr>
          <w:lang w:bidi="en-US"/>
        </w:rPr>
      </w:pPr>
      <w:r>
        <w:rPr>
          <w:lang w:bidi="en-US"/>
        </w:rPr>
        <w:lastRenderedPageBreak/>
        <w:tab/>
      </w:r>
      <w:r w:rsidR="00255C32" w:rsidRPr="009155D3">
        <w:rPr>
          <w:lang w:bidi="en-US"/>
        </w:rPr>
        <w:t xml:space="preserve">Finally, </w:t>
      </w:r>
      <w:r w:rsidR="007D2CCE">
        <w:rPr>
          <w:lang w:bidi="en-US"/>
        </w:rPr>
        <w:t>the implementation of a cost socialization construct</w:t>
      </w:r>
      <w:r w:rsidR="00255C32">
        <w:rPr>
          <w:lang w:bidi="en-US"/>
        </w:rPr>
        <w:t xml:space="preserve">, </w:t>
      </w:r>
      <w:r w:rsidR="00255C32" w:rsidRPr="009155D3">
        <w:rPr>
          <w:lang w:bidi="en-US"/>
        </w:rPr>
        <w:t xml:space="preserve">is contrary to FERC </w:t>
      </w:r>
      <w:r w:rsidR="00185A12" w:rsidRPr="00185A12">
        <w:rPr>
          <w:i/>
          <w:lang w:bidi="en-US"/>
        </w:rPr>
        <w:t>Order No. 1000</w:t>
      </w:r>
      <w:r w:rsidR="00255C32" w:rsidRPr="00185A12">
        <w:rPr>
          <w:i/>
          <w:lang w:bidi="en-US"/>
        </w:rPr>
        <w:t>’s</w:t>
      </w:r>
      <w:r w:rsidR="00255C32" w:rsidRPr="009155D3">
        <w:rPr>
          <w:lang w:bidi="en-US"/>
        </w:rPr>
        <w:t xml:space="preserve"> Principle 5, which requires that “[t]he cost allocation method and data require</w:t>
      </w:r>
      <w:r w:rsidR="00FA7B56">
        <w:rPr>
          <w:lang w:bidi="en-US"/>
        </w:rPr>
        <w:softHyphen/>
      </w:r>
      <w:r w:rsidR="00255C32" w:rsidRPr="009155D3">
        <w:rPr>
          <w:lang w:bidi="en-US"/>
        </w:rPr>
        <w:t>ments for determining benefits and identifying beneficiaries for a transmis</w:t>
      </w:r>
      <w:r w:rsidR="00255C32" w:rsidRPr="009155D3">
        <w:rPr>
          <w:lang w:bidi="en-US"/>
        </w:rPr>
        <w:softHyphen/>
        <w:t xml:space="preserve">sion facility must be transparent with adequate documentation to allow for a stakeholder to determine how they were applied to a proposed transmission facility.”  </w:t>
      </w:r>
      <w:r w:rsidR="007C35FE">
        <w:rPr>
          <w:lang w:bidi="en-US"/>
        </w:rPr>
        <w:t>The 50</w:t>
      </w:r>
      <w:r w:rsidR="00882BEA">
        <w:rPr>
          <w:lang w:bidi="en-US"/>
        </w:rPr>
        <w:t xml:space="preserve"> percent </w:t>
      </w:r>
      <w:r w:rsidR="00281767">
        <w:rPr>
          <w:lang w:bidi="en-US"/>
        </w:rPr>
        <w:t>postage-stamp</w:t>
      </w:r>
      <w:r w:rsidR="00255C32">
        <w:rPr>
          <w:lang w:bidi="en-US"/>
        </w:rPr>
        <w:t xml:space="preserve"> cost recov</w:t>
      </w:r>
      <w:r w:rsidR="00FA7B56">
        <w:rPr>
          <w:lang w:bidi="en-US"/>
        </w:rPr>
        <w:softHyphen/>
      </w:r>
      <w:r w:rsidR="00255C32">
        <w:rPr>
          <w:lang w:bidi="en-US"/>
        </w:rPr>
        <w:t>ery mechanism</w:t>
      </w:r>
      <w:r w:rsidR="00882BEA">
        <w:rPr>
          <w:lang w:bidi="en-US"/>
        </w:rPr>
        <w:t xml:space="preserve">, advocated by PJM and </w:t>
      </w:r>
      <w:proofErr w:type="gramStart"/>
      <w:r w:rsidR="00882BEA">
        <w:rPr>
          <w:lang w:bidi="en-US"/>
        </w:rPr>
        <w:t>its</w:t>
      </w:r>
      <w:proofErr w:type="gramEnd"/>
      <w:r w:rsidR="00882BEA">
        <w:rPr>
          <w:lang w:bidi="en-US"/>
        </w:rPr>
        <w:t xml:space="preserve"> TO,</w:t>
      </w:r>
      <w:r w:rsidR="00255C32">
        <w:rPr>
          <w:lang w:bidi="en-US"/>
        </w:rPr>
        <w:t xml:space="preserve"> </w:t>
      </w:r>
      <w:r w:rsidR="00255C32" w:rsidRPr="009155D3">
        <w:rPr>
          <w:lang w:bidi="en-US"/>
        </w:rPr>
        <w:t xml:space="preserve">provides no </w:t>
      </w:r>
      <w:r w:rsidR="00255C32">
        <w:rPr>
          <w:lang w:bidi="en-US"/>
        </w:rPr>
        <w:t xml:space="preserve">level of </w:t>
      </w:r>
      <w:r w:rsidR="00255C32" w:rsidRPr="009155D3">
        <w:rPr>
          <w:lang w:bidi="en-US"/>
        </w:rPr>
        <w:t>transparency</w:t>
      </w:r>
      <w:r w:rsidR="00255C32">
        <w:rPr>
          <w:lang w:bidi="en-US"/>
        </w:rPr>
        <w:t xml:space="preserve">.  </w:t>
      </w:r>
      <w:r w:rsidR="00255C32" w:rsidRPr="009155D3">
        <w:rPr>
          <w:lang w:bidi="en-US"/>
        </w:rPr>
        <w:t xml:space="preserve">To realize the transparency criterion, </w:t>
      </w:r>
      <w:r w:rsidR="007D2CCE">
        <w:rPr>
          <w:lang w:bidi="en-US"/>
        </w:rPr>
        <w:t xml:space="preserve">PJM must be required to </w:t>
      </w:r>
      <w:r w:rsidR="00255C32">
        <w:rPr>
          <w:lang w:bidi="en-US"/>
        </w:rPr>
        <w:t>arrive at a mecha</w:t>
      </w:r>
      <w:r w:rsidR="00FA7B56">
        <w:rPr>
          <w:lang w:bidi="en-US"/>
        </w:rPr>
        <w:softHyphen/>
      </w:r>
      <w:r w:rsidR="00255C32">
        <w:rPr>
          <w:lang w:bidi="en-US"/>
        </w:rPr>
        <w:t xml:space="preserve">nism demonstrating </w:t>
      </w:r>
      <w:r w:rsidR="00255C32" w:rsidRPr="009155D3">
        <w:rPr>
          <w:lang w:bidi="en-US"/>
        </w:rPr>
        <w:t xml:space="preserve">how customers in each state will benefit from a new </w:t>
      </w:r>
      <w:r w:rsidR="00255C32">
        <w:rPr>
          <w:lang w:bidi="en-US"/>
        </w:rPr>
        <w:t xml:space="preserve">high voltage </w:t>
      </w:r>
      <w:r w:rsidR="00255C32" w:rsidRPr="009155D3">
        <w:rPr>
          <w:lang w:bidi="en-US"/>
        </w:rPr>
        <w:t xml:space="preserve">transmission expansion project as </w:t>
      </w:r>
      <w:r w:rsidR="00255C32">
        <w:rPr>
          <w:lang w:bidi="en-US"/>
        </w:rPr>
        <w:t>contrasted</w:t>
      </w:r>
      <w:r w:rsidR="00255C32" w:rsidRPr="009155D3">
        <w:rPr>
          <w:lang w:bidi="en-US"/>
        </w:rPr>
        <w:t xml:space="preserve"> to that project’s cost.</w:t>
      </w:r>
      <w:r w:rsidR="00255C32">
        <w:rPr>
          <w:lang w:bidi="en-US"/>
        </w:rPr>
        <w:t xml:space="preserve"> </w:t>
      </w:r>
    </w:p>
    <w:p w:rsidR="004011FE" w:rsidRPr="0018316D" w:rsidRDefault="000B1B8C" w:rsidP="00A756F2">
      <w:pPr>
        <w:pStyle w:val="Heading1"/>
      </w:pPr>
      <w:bookmarkStart w:id="12" w:name="_Toc339369252"/>
      <w:bookmarkStart w:id="13" w:name="_Toc342392356"/>
      <w:r w:rsidRPr="0018316D">
        <w:t>CONCLUSION</w:t>
      </w:r>
      <w:bookmarkEnd w:id="12"/>
      <w:bookmarkEnd w:id="13"/>
    </w:p>
    <w:p w:rsidR="0018316D" w:rsidRPr="0018316D" w:rsidRDefault="00E4211E" w:rsidP="00E4211E">
      <w:pPr>
        <w:pStyle w:val="Textstyle"/>
        <w:rPr>
          <w:sz w:val="24"/>
        </w:rPr>
      </w:pPr>
      <w:r>
        <w:tab/>
      </w:r>
      <w:r w:rsidR="0018316D" w:rsidRPr="0018316D">
        <w:t xml:space="preserve">The Ohio Commission thanks </w:t>
      </w:r>
      <w:r w:rsidR="0018316D">
        <w:t xml:space="preserve">FERC for the opportunity </w:t>
      </w:r>
      <w:r w:rsidR="0018316D" w:rsidRPr="0018316D">
        <w:t>to provide com</w:t>
      </w:r>
      <w:r w:rsidR="00FA7B56">
        <w:softHyphen/>
      </w:r>
      <w:r w:rsidR="0018316D" w:rsidRPr="0018316D">
        <w:t>ment</w:t>
      </w:r>
      <w:r w:rsidR="0018316D">
        <w:t>s</w:t>
      </w:r>
      <w:r w:rsidR="0018316D" w:rsidRPr="0018316D">
        <w:t xml:space="preserve"> on </w:t>
      </w:r>
      <w:r w:rsidR="00CA7AA1">
        <w:t>PJM</w:t>
      </w:r>
      <w:r w:rsidR="0018316D">
        <w:t>’</w:t>
      </w:r>
      <w:r w:rsidR="00CA7AA1">
        <w:t xml:space="preserve">s </w:t>
      </w:r>
      <w:r w:rsidR="00281767">
        <w:t xml:space="preserve">proposed </w:t>
      </w:r>
      <w:r w:rsidR="00CA7AA1">
        <w:t>Order 1000 compliance filing</w:t>
      </w:r>
      <w:r w:rsidR="0018316D">
        <w:t>.</w:t>
      </w:r>
    </w:p>
    <w:p w:rsidR="0018316D" w:rsidRDefault="0018316D" w:rsidP="00FA7B56">
      <w:pPr>
        <w:spacing w:after="0" w:line="240" w:lineRule="auto"/>
        <w:ind w:left="4320"/>
        <w:rPr>
          <w:rFonts w:ascii="Times New Roman" w:eastAsia="Times New Roman" w:hAnsi="Times New Roman" w:cs="Times New Roman"/>
          <w:sz w:val="26"/>
          <w:szCs w:val="26"/>
          <w:lang w:eastAsia="x-none"/>
        </w:rPr>
      </w:pPr>
      <w:r w:rsidRPr="00FA7B56">
        <w:rPr>
          <w:rFonts w:ascii="Times New Roman" w:eastAsia="Times New Roman" w:hAnsi="Times New Roman" w:cs="Times New Roman"/>
          <w:sz w:val="26"/>
          <w:szCs w:val="26"/>
          <w:lang w:val="x-none" w:eastAsia="x-none"/>
        </w:rPr>
        <w:t>Respectfully submitted,</w:t>
      </w:r>
    </w:p>
    <w:p w:rsidR="00FA7B56" w:rsidRDefault="00FA7B56" w:rsidP="00FA7B56">
      <w:pPr>
        <w:spacing w:after="0" w:line="240" w:lineRule="auto"/>
        <w:ind w:left="4320"/>
        <w:rPr>
          <w:rFonts w:ascii="Times New Roman" w:eastAsia="Times New Roman" w:hAnsi="Times New Roman" w:cs="Times New Roman"/>
          <w:sz w:val="26"/>
          <w:szCs w:val="26"/>
          <w:lang w:eastAsia="x-none"/>
        </w:rPr>
      </w:pPr>
    </w:p>
    <w:p w:rsidR="0018316D" w:rsidRPr="00E4211E" w:rsidRDefault="00E4211E" w:rsidP="0018316D">
      <w:pPr>
        <w:tabs>
          <w:tab w:val="left" w:pos="9360"/>
        </w:tabs>
        <w:spacing w:after="0" w:line="240" w:lineRule="auto"/>
        <w:ind w:left="4320"/>
        <w:rPr>
          <w:rFonts w:ascii="Viner Hand ITC" w:eastAsia="Times New Roman" w:hAnsi="Viner Hand ITC" w:cs="Times New Roman"/>
          <w:i/>
          <w:sz w:val="28"/>
          <w:szCs w:val="28"/>
          <w:u w:val="single"/>
          <w:lang w:eastAsia="x-none"/>
        </w:rPr>
      </w:pPr>
      <w:r w:rsidRPr="00E4211E">
        <w:rPr>
          <w:rFonts w:ascii="Viner Hand ITC" w:eastAsia="Times New Roman" w:hAnsi="Viner Hand ITC" w:cs="Times New Roman"/>
          <w:i/>
          <w:sz w:val="28"/>
          <w:szCs w:val="28"/>
          <w:u w:val="single"/>
          <w:lang w:eastAsia="x-none"/>
        </w:rPr>
        <w:t>/s/ Thomas W. McNamee</w:t>
      </w:r>
      <w:r w:rsidRPr="00E4211E">
        <w:rPr>
          <w:rFonts w:ascii="Viner Hand ITC" w:eastAsia="Times New Roman" w:hAnsi="Viner Hand ITC" w:cs="Times New Roman"/>
          <w:i/>
          <w:sz w:val="28"/>
          <w:szCs w:val="28"/>
          <w:u w:val="single"/>
          <w:lang w:eastAsia="x-none"/>
        </w:rPr>
        <w:tab/>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Public Utilities Section</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180 East Broad Street</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Columbus, OH 43215-3793</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614.466.4396 (telephone)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614.644.8764 (fax)</w:t>
      </w:r>
    </w:p>
    <w:p w:rsidR="0018316D" w:rsidRPr="00FA7B56" w:rsidRDefault="009158F5" w:rsidP="0018316D">
      <w:pPr>
        <w:spacing w:after="0" w:line="240" w:lineRule="auto"/>
        <w:ind w:left="4320"/>
        <w:rPr>
          <w:rFonts w:ascii="Times New Roman" w:eastAsia="Calibri" w:hAnsi="Times New Roman" w:cs="Times New Roman"/>
          <w:sz w:val="26"/>
          <w:szCs w:val="26"/>
        </w:rPr>
      </w:pPr>
      <w:hyperlink r:id="rId17" w:history="1">
        <w:r w:rsidR="0018316D" w:rsidRPr="00FA7B56">
          <w:rPr>
            <w:rFonts w:ascii="Times New Roman" w:eastAsia="Calibri" w:hAnsi="Times New Roman" w:cs="Times New Roman"/>
            <w:color w:val="0000FF"/>
            <w:sz w:val="26"/>
            <w:szCs w:val="26"/>
            <w:u w:val="single"/>
          </w:rPr>
          <w:t>thomas.mcnamee@puc.state.oh.us</w:t>
        </w:r>
      </w:hyperlink>
    </w:p>
    <w:p w:rsidR="0018316D" w:rsidRPr="00FA7B56" w:rsidRDefault="0018316D" w:rsidP="0018316D">
      <w:pPr>
        <w:spacing w:after="0" w:line="240" w:lineRule="auto"/>
        <w:ind w:left="4320"/>
        <w:rPr>
          <w:rFonts w:ascii="Times New Roman" w:eastAsia="Calibri" w:hAnsi="Times New Roman" w:cs="Times New Roman"/>
          <w:sz w:val="26"/>
          <w:szCs w:val="26"/>
        </w:rPr>
      </w:pP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 xml:space="preserve">On behalf of </w:t>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The Public Utilities Commission of Ohio</w:t>
      </w:r>
    </w:p>
    <w:p w:rsidR="00B65E27" w:rsidRPr="00B65E27" w:rsidRDefault="00B65E27" w:rsidP="0018316D">
      <w:pPr>
        <w:keepNext/>
        <w:spacing w:before="360" w:after="240" w:line="240" w:lineRule="auto"/>
        <w:jc w:val="center"/>
        <w:outlineLvl w:val="0"/>
        <w:rPr>
          <w:rFonts w:ascii="Times New Roman" w:eastAsia="Times New Roman" w:hAnsi="Times New Roman" w:cs="Times New Roman"/>
          <w:b/>
          <w:bCs/>
          <w:kern w:val="32"/>
          <w:sz w:val="26"/>
          <w:szCs w:val="26"/>
          <w:lang w:eastAsia="x-none"/>
        </w:rPr>
      </w:pPr>
    </w:p>
    <w:p w:rsidR="0018316D" w:rsidRDefault="00157920" w:rsidP="00A756F2">
      <w:pPr>
        <w:pStyle w:val="Heading1"/>
      </w:pPr>
      <w:bookmarkStart w:id="14" w:name="_Toc339369253"/>
      <w:bookmarkStart w:id="15" w:name="_Toc342392357"/>
      <w:r>
        <w:t>CERTIFICATE OF SERVICE</w:t>
      </w:r>
      <w:bookmarkEnd w:id="14"/>
      <w:bookmarkEnd w:id="15"/>
    </w:p>
    <w:p w:rsidR="00FA7B56" w:rsidRPr="00292490" w:rsidRDefault="00FA7B56" w:rsidP="00FA7B56">
      <w:pPr>
        <w:pStyle w:val="Textstyle"/>
      </w:pPr>
      <w:r w:rsidRPr="00292490">
        <w:tab/>
        <w:t>I hereby certify that the foregoing have been served in accordance with 18 C.F.R. Sec. 385.2010 upon each person designated on the official service list compiled by the Secretary in this proceeding.</w:t>
      </w:r>
    </w:p>
    <w:p w:rsidR="00F62453" w:rsidRDefault="00F62453" w:rsidP="00F62453">
      <w:pPr>
        <w:tabs>
          <w:tab w:val="left" w:pos="9360"/>
        </w:tabs>
        <w:spacing w:after="0" w:line="240" w:lineRule="auto"/>
        <w:ind w:left="4320"/>
        <w:rPr>
          <w:rFonts w:ascii="Viner Hand ITC" w:eastAsia="Times New Roman" w:hAnsi="Viner Hand ITC" w:cs="Times New Roman"/>
          <w:i/>
          <w:sz w:val="28"/>
          <w:szCs w:val="28"/>
          <w:u w:val="single"/>
          <w:lang w:eastAsia="x-none"/>
        </w:rPr>
      </w:pPr>
      <w:r>
        <w:rPr>
          <w:rFonts w:ascii="Viner Hand ITC" w:eastAsia="Times New Roman" w:hAnsi="Viner Hand ITC" w:cs="Times New Roman"/>
          <w:i/>
          <w:sz w:val="28"/>
          <w:szCs w:val="28"/>
          <w:u w:val="single"/>
          <w:lang w:eastAsia="x-none"/>
        </w:rPr>
        <w:t>/s/ Thomas W. McNamee</w:t>
      </w:r>
      <w:r>
        <w:rPr>
          <w:rFonts w:ascii="Viner Hand ITC" w:eastAsia="Times New Roman" w:hAnsi="Viner Hand ITC" w:cs="Times New Roman"/>
          <w:i/>
          <w:sz w:val="28"/>
          <w:szCs w:val="28"/>
          <w:u w:val="single"/>
          <w:lang w:eastAsia="x-none"/>
        </w:rPr>
        <w:tab/>
      </w:r>
    </w:p>
    <w:p w:rsidR="00B65E27" w:rsidRDefault="00B65E27" w:rsidP="00B65E27">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B65E27" w:rsidRDefault="00B65E27" w:rsidP="00B65E27">
      <w:pPr>
        <w:spacing w:after="0" w:line="240" w:lineRule="auto"/>
        <w:ind w:left="4320"/>
        <w:rPr>
          <w:rFonts w:ascii="Times New Roman" w:eastAsia="Calibri" w:hAnsi="Times New Roman" w:cs="Times New Roman"/>
          <w:b/>
          <w:sz w:val="26"/>
          <w:szCs w:val="26"/>
        </w:rPr>
      </w:pPr>
    </w:p>
    <w:p w:rsidR="00B65E27" w:rsidRPr="00FA7B56" w:rsidRDefault="00B65E27" w:rsidP="00B65E27">
      <w:pPr>
        <w:spacing w:after="0" w:line="240" w:lineRule="auto"/>
        <w:ind w:left="4320"/>
        <w:rPr>
          <w:rFonts w:ascii="Times New Roman" w:eastAsia="Calibri" w:hAnsi="Times New Roman" w:cs="Times New Roman"/>
          <w:b/>
          <w:sz w:val="26"/>
          <w:szCs w:val="26"/>
        </w:rPr>
      </w:pPr>
    </w:p>
    <w:p w:rsidR="00FA7B56" w:rsidRPr="00FA7B56" w:rsidRDefault="00FA7B56" w:rsidP="00FA7B56">
      <w:pPr>
        <w:rPr>
          <w:rFonts w:ascii="Times New Roman" w:hAnsi="Times New Roman" w:cs="Times New Roman"/>
          <w:sz w:val="26"/>
          <w:szCs w:val="26"/>
        </w:rPr>
      </w:pPr>
      <w:r w:rsidRPr="00FA7B56">
        <w:rPr>
          <w:rFonts w:ascii="Times New Roman" w:hAnsi="Times New Roman" w:cs="Times New Roman"/>
          <w:sz w:val="26"/>
          <w:szCs w:val="26"/>
        </w:rPr>
        <w:t xml:space="preserve">Dated at Columbus, Ohio this </w:t>
      </w:r>
      <w:r w:rsidR="00B351E6">
        <w:rPr>
          <w:rFonts w:ascii="Times New Roman" w:hAnsi="Times New Roman" w:cs="Times New Roman"/>
          <w:sz w:val="26"/>
          <w:szCs w:val="26"/>
        </w:rPr>
        <w:t>December 10</w:t>
      </w:r>
      <w:r w:rsidRPr="00FA7B56">
        <w:rPr>
          <w:rFonts w:ascii="Times New Roman" w:hAnsi="Times New Roman" w:cs="Times New Roman"/>
          <w:sz w:val="26"/>
          <w:szCs w:val="26"/>
        </w:rPr>
        <w:t>, 2012.</w:t>
      </w:r>
    </w:p>
    <w:sectPr w:rsidR="00FA7B56" w:rsidRPr="00FA7B56" w:rsidSect="007F11F2">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1E" w:rsidRDefault="00E4211E" w:rsidP="009C7391">
      <w:pPr>
        <w:spacing w:after="0" w:line="240" w:lineRule="auto"/>
      </w:pPr>
      <w:r>
        <w:separator/>
      </w:r>
    </w:p>
  </w:endnote>
  <w:endnote w:type="continuationSeparator" w:id="0">
    <w:p w:rsidR="00E4211E" w:rsidRDefault="00E4211E" w:rsidP="009C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6170"/>
      <w:docPartObj>
        <w:docPartGallery w:val="Page Numbers (Bottom of Page)"/>
        <w:docPartUnique/>
      </w:docPartObj>
    </w:sdtPr>
    <w:sdtEndPr>
      <w:rPr>
        <w:noProof/>
      </w:rPr>
    </w:sdtEndPr>
    <w:sdtContent>
      <w:p w:rsidR="00E4211E" w:rsidRDefault="00E4211E">
        <w:pPr>
          <w:pStyle w:val="Footer"/>
        </w:pPr>
        <w:r>
          <w:fldChar w:fldCharType="begin"/>
        </w:r>
        <w:r>
          <w:instrText xml:space="preserve"> PAGE   \* MERGEFORMAT </w:instrText>
        </w:r>
        <w:r>
          <w:fldChar w:fldCharType="separate"/>
        </w:r>
        <w:r>
          <w:rPr>
            <w:noProof/>
          </w:rPr>
          <w:t>3</w:t>
        </w:r>
        <w:r>
          <w:rPr>
            <w:noProof/>
          </w:rPr>
          <w:fldChar w:fldCharType="end"/>
        </w:r>
      </w:p>
    </w:sdtContent>
  </w:sdt>
  <w:p w:rsidR="00E4211E" w:rsidRDefault="00E42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1E" w:rsidRPr="007F11F2" w:rsidRDefault="00E4211E" w:rsidP="007F11F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sz w:val="26"/>
        <w:szCs w:val="26"/>
        <w:lang w:bidi="en-US"/>
      </w:rPr>
      <w:t>December 10</w:t>
    </w:r>
    <w:r w:rsidRPr="000D2745">
      <w:rPr>
        <w:rFonts w:ascii="Times New Roman" w:eastAsia="Times New Roman" w:hAnsi="Times New Roman" w:cs="Times New Roman"/>
        <w:b/>
        <w:sz w:val="26"/>
        <w:szCs w:val="26"/>
        <w:lang w:bidi="en-US"/>
      </w:rPr>
      <w:t>, 201</w:t>
    </w:r>
    <w:r>
      <w:rPr>
        <w:rFonts w:ascii="Times New Roman" w:eastAsia="Times New Roman" w:hAnsi="Times New Roman" w:cs="Times New Roman"/>
        <w:b/>
        <w:sz w:val="26"/>
        <w:szCs w:val="26"/>
        <w:lang w:bidi="en-US"/>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5123672"/>
      <w:docPartObj>
        <w:docPartGallery w:val="Page Numbers (Bottom of Page)"/>
        <w:docPartUnique/>
      </w:docPartObj>
    </w:sdtPr>
    <w:sdtEndPr>
      <w:rPr>
        <w:noProof/>
      </w:rPr>
    </w:sdtEndPr>
    <w:sdtContent>
      <w:p w:rsidR="00E4211E" w:rsidRPr="007F11F2" w:rsidRDefault="00E4211E"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F62453">
          <w:rPr>
            <w:rFonts w:ascii="Times New Roman" w:hAnsi="Times New Roman" w:cs="Times New Roman"/>
            <w:noProof/>
            <w:sz w:val="24"/>
            <w:szCs w:val="24"/>
          </w:rPr>
          <w:t>2</w:t>
        </w:r>
        <w:r w:rsidRPr="007F11F2">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00628306"/>
      <w:docPartObj>
        <w:docPartGallery w:val="Page Numbers (Bottom of Page)"/>
        <w:docPartUnique/>
      </w:docPartObj>
    </w:sdtPr>
    <w:sdtEndPr>
      <w:rPr>
        <w:noProof/>
      </w:rPr>
    </w:sdtEndPr>
    <w:sdtContent>
      <w:p w:rsidR="00E4211E" w:rsidRPr="00F62453" w:rsidRDefault="00F62453" w:rsidP="00F62453">
        <w:pPr>
          <w:pStyle w:val="Footer"/>
          <w:jc w:val="center"/>
          <w:rPr>
            <w:rFonts w:ascii="Times New Roman" w:hAnsi="Times New Roman" w:cs="Times New Roman"/>
            <w:sz w:val="24"/>
            <w:szCs w:val="24"/>
          </w:rPr>
        </w:pPr>
        <w:r w:rsidRPr="00F62453">
          <w:rPr>
            <w:rFonts w:ascii="Times New Roman" w:hAnsi="Times New Roman" w:cs="Times New Roman"/>
            <w:sz w:val="24"/>
            <w:szCs w:val="24"/>
          </w:rPr>
          <w:fldChar w:fldCharType="begin"/>
        </w:r>
        <w:r w:rsidRPr="00F62453">
          <w:rPr>
            <w:rFonts w:ascii="Times New Roman" w:hAnsi="Times New Roman" w:cs="Times New Roman"/>
            <w:sz w:val="24"/>
            <w:szCs w:val="24"/>
          </w:rPr>
          <w:instrText xml:space="preserve"> PAGE   \* MERGEFORMAT </w:instrText>
        </w:r>
        <w:r w:rsidRPr="00F62453">
          <w:rPr>
            <w:rFonts w:ascii="Times New Roman" w:hAnsi="Times New Roman" w:cs="Times New Roman"/>
            <w:sz w:val="24"/>
            <w:szCs w:val="24"/>
          </w:rPr>
          <w:fldChar w:fldCharType="separate"/>
        </w:r>
        <w:r w:rsidR="009158F5">
          <w:rPr>
            <w:rFonts w:ascii="Times New Roman" w:hAnsi="Times New Roman" w:cs="Times New Roman"/>
            <w:noProof/>
            <w:sz w:val="24"/>
            <w:szCs w:val="24"/>
          </w:rPr>
          <w:t>i</w:t>
        </w:r>
        <w:r w:rsidRPr="00F62453">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54966494"/>
      <w:docPartObj>
        <w:docPartGallery w:val="Page Numbers (Bottom of Page)"/>
        <w:docPartUnique/>
      </w:docPartObj>
    </w:sdtPr>
    <w:sdtEndPr>
      <w:rPr>
        <w:noProof/>
      </w:rPr>
    </w:sdtEndPr>
    <w:sdtContent>
      <w:p w:rsidR="00F62453" w:rsidRPr="007F11F2" w:rsidRDefault="00F62453"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9158F5">
          <w:rPr>
            <w:rFonts w:ascii="Times New Roman" w:hAnsi="Times New Roman" w:cs="Times New Roman"/>
            <w:noProof/>
            <w:sz w:val="24"/>
            <w:szCs w:val="24"/>
          </w:rPr>
          <w:t>17</w:t>
        </w:r>
        <w:r w:rsidRPr="007F11F2">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53" w:rsidRPr="00F62453" w:rsidRDefault="00F62453" w:rsidP="00F62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1E" w:rsidRDefault="00E4211E" w:rsidP="009C7391">
      <w:pPr>
        <w:spacing w:after="0" w:line="240" w:lineRule="auto"/>
      </w:pPr>
      <w:r>
        <w:separator/>
      </w:r>
    </w:p>
  </w:footnote>
  <w:footnote w:type="continuationSeparator" w:id="0">
    <w:p w:rsidR="00E4211E" w:rsidRDefault="00E4211E" w:rsidP="009C7391">
      <w:pPr>
        <w:spacing w:after="0" w:line="240" w:lineRule="auto"/>
      </w:pPr>
      <w:r>
        <w:continuationSeparator/>
      </w:r>
    </w:p>
  </w:footnote>
  <w:footnote w:id="1">
    <w:p w:rsidR="00F62453" w:rsidRDefault="00F62453">
      <w:pPr>
        <w:pStyle w:val="FootnoteText"/>
      </w:pPr>
      <w:r>
        <w:rPr>
          <w:rStyle w:val="FootnoteReference"/>
        </w:rPr>
        <w:footnoteRef/>
      </w:r>
      <w:r>
        <w:t xml:space="preserve"> </w:t>
      </w:r>
      <w:r>
        <w:tab/>
      </w:r>
      <w:r>
        <w:tab/>
      </w:r>
      <w:proofErr w:type="spellStart"/>
      <w:r w:rsidRPr="00F62453">
        <w:rPr>
          <w:i/>
        </w:rPr>
        <w:t>Tranmission</w:t>
      </w:r>
      <w:proofErr w:type="spellEnd"/>
      <w:r w:rsidRPr="00F62453">
        <w:rPr>
          <w:i/>
        </w:rPr>
        <w:t xml:space="preserve"> Planning and Cost Allocation by Transmission Owning and Operating Public Utilities</w:t>
      </w:r>
      <w:r w:rsidRPr="00F62453">
        <w:t>, 139 FERC ¶ 61051</w:t>
      </w:r>
      <w:r>
        <w:t>,</w:t>
      </w:r>
      <w:r w:rsidRPr="00F62453">
        <w:t xml:space="preserve"> Docket No</w:t>
      </w:r>
      <w:proofErr w:type="gramStart"/>
      <w:r w:rsidRPr="00F62453">
        <w:t xml:space="preserve">. </w:t>
      </w:r>
      <w:proofErr w:type="spellStart"/>
      <w:r w:rsidRPr="00F62453">
        <w:t>RM10</w:t>
      </w:r>
      <w:proofErr w:type="spellEnd"/>
      <w:r w:rsidRPr="00F62453">
        <w:t>-23-000; Order No. 1000</w:t>
      </w:r>
      <w:r>
        <w:t>,</w:t>
      </w:r>
      <w:r w:rsidRPr="00F62453">
        <w:t xml:space="preserve"> Issued July 21, 2011</w:t>
      </w:r>
      <w:r>
        <w:t>.</w:t>
      </w:r>
      <w:proofErr w:type="gramEnd"/>
    </w:p>
  </w:footnote>
  <w:footnote w:id="2">
    <w:p w:rsidR="00E4211E" w:rsidRPr="00FD4291" w:rsidRDefault="00E4211E">
      <w:pPr>
        <w:pStyle w:val="FootnoteText"/>
      </w:pPr>
      <w:r>
        <w:rPr>
          <w:rStyle w:val="FootnoteReference"/>
        </w:rPr>
        <w:footnoteRef/>
      </w:r>
      <w:r>
        <w:t xml:space="preserve"> </w:t>
      </w:r>
      <w:r>
        <w:tab/>
      </w:r>
      <w:r>
        <w:tab/>
      </w:r>
      <w:r>
        <w:rPr>
          <w:i/>
        </w:rPr>
        <w:t>Preventing Undue Discrimination and Preference in Transmission Service</w:t>
      </w:r>
      <w:r>
        <w:t xml:space="preserve">, </w:t>
      </w:r>
      <w:r w:rsidRPr="00FD4291">
        <w:rPr>
          <w:rFonts w:cs="Times New Roman"/>
          <w:color w:val="000000"/>
        </w:rPr>
        <w:t>118 FERC ¶ 61,119, Docket Nos</w:t>
      </w:r>
      <w:proofErr w:type="gramStart"/>
      <w:r w:rsidRPr="00FD4291">
        <w:rPr>
          <w:rFonts w:cs="Times New Roman"/>
          <w:color w:val="000000"/>
        </w:rPr>
        <w:t>. RM05-17-000 and RM05-25-000; Order No. 890, Issued February 16, 2007</w:t>
      </w:r>
      <w:r>
        <w:rPr>
          <w:rFonts w:cs="Times New Roman"/>
          <w:color w:val="000000"/>
        </w:rPr>
        <w:t>.</w:t>
      </w:r>
      <w:proofErr w:type="gramEnd"/>
    </w:p>
  </w:footnote>
  <w:footnote w:id="3">
    <w:p w:rsidR="00E4211E" w:rsidRDefault="00E4211E">
      <w:pPr>
        <w:pStyle w:val="FootnoteText"/>
      </w:pPr>
      <w:r>
        <w:rPr>
          <w:rStyle w:val="FootnoteReference"/>
        </w:rPr>
        <w:footnoteRef/>
      </w:r>
      <w:r>
        <w:t xml:space="preserve"> </w:t>
      </w:r>
      <w:r>
        <w:tab/>
      </w:r>
      <w:r>
        <w:tab/>
      </w:r>
      <w:r w:rsidRPr="00A05B09">
        <w:rPr>
          <w:rFonts w:cs="Times New Roman"/>
          <w:color w:val="000000"/>
        </w:rPr>
        <w:t>Extra high capacity transmission lines are defined as double circuit 345 kV and above.</w:t>
      </w:r>
    </w:p>
  </w:footnote>
  <w:footnote w:id="4">
    <w:p w:rsidR="00E4211E" w:rsidRDefault="00E4211E">
      <w:pPr>
        <w:pStyle w:val="FootnoteText"/>
      </w:pPr>
      <w:r>
        <w:rPr>
          <w:rStyle w:val="FootnoteReference"/>
        </w:rPr>
        <w:footnoteRef/>
      </w:r>
      <w:r>
        <w:t xml:space="preserve"> </w:t>
      </w:r>
      <w:r>
        <w:tab/>
      </w:r>
      <w:r>
        <w:tab/>
      </w:r>
      <w:r w:rsidRPr="00380001">
        <w:rPr>
          <w:rFonts w:cs="Times New Roman"/>
          <w:color w:val="000000"/>
        </w:rPr>
        <w:t xml:space="preserve">The </w:t>
      </w:r>
      <w:r>
        <w:rPr>
          <w:rFonts w:cs="Times New Roman"/>
          <w:color w:val="000000"/>
        </w:rPr>
        <w:t>Postage-stamp</w:t>
      </w:r>
      <w:r w:rsidRPr="00380001">
        <w:rPr>
          <w:rFonts w:cs="Times New Roman"/>
          <w:color w:val="000000"/>
        </w:rPr>
        <w:t xml:space="preserve"> methodology allocates costs equally throughout a region without identifying actual beneficiaries.  </w:t>
      </w:r>
    </w:p>
  </w:footnote>
  <w:footnote w:id="5">
    <w:p w:rsidR="00E4211E" w:rsidRDefault="00E4211E" w:rsidP="00906063">
      <w:pPr>
        <w:pStyle w:val="FootnoteText"/>
      </w:pPr>
      <w:r>
        <w:rPr>
          <w:rStyle w:val="FootnoteReference"/>
        </w:rPr>
        <w:footnoteRef/>
      </w:r>
      <w:r>
        <w:t xml:space="preserve"> </w:t>
      </w:r>
      <w:r>
        <w:tab/>
      </w:r>
      <w:r>
        <w:tab/>
      </w:r>
      <w:r w:rsidRPr="001434C0">
        <w:rPr>
          <w:rFonts w:cs="Times New Roman"/>
          <w:color w:val="000000"/>
        </w:rPr>
        <w:t>As opposed to the current static violations-based DFAX model</w:t>
      </w:r>
      <w:r>
        <w:rPr>
          <w:rFonts w:cs="Times New Roman"/>
          <w:color w:val="000000"/>
        </w:rPr>
        <w:t>,</w:t>
      </w:r>
      <w:r w:rsidRPr="001434C0">
        <w:rPr>
          <w:rFonts w:cs="Times New Roman"/>
          <w:color w:val="000000"/>
        </w:rPr>
        <w:t xml:space="preserve"> which is a one-time solution, the new </w:t>
      </w:r>
      <w:r>
        <w:rPr>
          <w:rFonts w:cs="Times New Roman"/>
          <w:color w:val="000000"/>
        </w:rPr>
        <w:t xml:space="preserve">automated, </w:t>
      </w:r>
      <w:r w:rsidRPr="001434C0">
        <w:rPr>
          <w:rFonts w:cs="Times New Roman"/>
          <w:color w:val="000000"/>
        </w:rPr>
        <w:t>dynamic</w:t>
      </w:r>
      <w:r>
        <w:rPr>
          <w:rFonts w:cs="Times New Roman"/>
          <w:color w:val="000000"/>
        </w:rPr>
        <w:t>,</w:t>
      </w:r>
      <w:r w:rsidRPr="001434C0">
        <w:rPr>
          <w:rFonts w:cs="Times New Roman"/>
          <w:color w:val="000000"/>
        </w:rPr>
        <w:t xml:space="preserve"> solutions-based DFAX model</w:t>
      </w:r>
      <w:r>
        <w:rPr>
          <w:rFonts w:cs="Times New Roman"/>
          <w:color w:val="000000"/>
        </w:rPr>
        <w:t xml:space="preserve"> </w:t>
      </w:r>
      <w:r w:rsidRPr="001434C0">
        <w:rPr>
          <w:rFonts w:cs="Times New Roman"/>
          <w:color w:val="000000"/>
        </w:rPr>
        <w:t xml:space="preserve">can easily be updated on a periodic basis to identify relative benefits by users of new transmission facilities in each </w:t>
      </w:r>
      <w:r>
        <w:rPr>
          <w:rFonts w:cs="Times New Roman"/>
          <w:color w:val="000000"/>
        </w:rPr>
        <w:t>z</w:t>
      </w:r>
      <w:r w:rsidRPr="001434C0">
        <w:rPr>
          <w:rFonts w:cs="Times New Roman"/>
          <w:color w:val="000000"/>
        </w:rPr>
        <w:t>one while accounting for modifications of the grid including, new facilities, availability of generation, and the growth and distribution of load.</w:t>
      </w:r>
    </w:p>
  </w:footnote>
  <w:footnote w:id="6">
    <w:p w:rsidR="00E4211E" w:rsidRPr="0094539F" w:rsidRDefault="00E4211E" w:rsidP="00906063">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7F11F2">
        <w:rPr>
          <w:rFonts w:cs="Times New Roman"/>
          <w:i/>
        </w:rPr>
        <w:t>Illinois Commerce Comm’n v. FERC</w:t>
      </w:r>
      <w:r w:rsidRPr="0094539F">
        <w:rPr>
          <w:rFonts w:cs="Times New Roman"/>
        </w:rPr>
        <w:t>, 576 F.3d 470 (7th Cir. 2009).</w:t>
      </w:r>
    </w:p>
  </w:footnote>
  <w:footnote w:id="7">
    <w:p w:rsidR="00E4211E" w:rsidRPr="0094539F" w:rsidRDefault="00E4211E" w:rsidP="00906063">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Pr>
          <w:rFonts w:cs="Times New Roman"/>
          <w:i/>
        </w:rPr>
        <w:t>Id.</w:t>
      </w:r>
    </w:p>
  </w:footnote>
  <w:footnote w:id="8">
    <w:p w:rsidR="00E4211E" w:rsidRPr="0094539F" w:rsidRDefault="00E4211E" w:rsidP="00906063">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7F11F2">
        <w:rPr>
          <w:rFonts w:cs="Times New Roman"/>
          <w:i/>
        </w:rPr>
        <w:t>I</w:t>
      </w:r>
      <w:r>
        <w:rPr>
          <w:rFonts w:cs="Times New Roman"/>
          <w:i/>
        </w:rPr>
        <w:t>d</w:t>
      </w:r>
      <w:r w:rsidRPr="0094539F">
        <w:rPr>
          <w:rFonts w:cs="Times New Roman"/>
        </w:rPr>
        <w:t xml:space="preserve">. </w:t>
      </w:r>
    </w:p>
  </w:footnote>
  <w:footnote w:id="9">
    <w:p w:rsidR="00E4211E" w:rsidRDefault="00E4211E" w:rsidP="00906063">
      <w:pPr>
        <w:pStyle w:val="FootnoteText"/>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94539F">
        <w:rPr>
          <w:rFonts w:cs="Times New Roman"/>
        </w:rPr>
        <w:t>FERC Order on Remand at 60 (March 30, 2012).</w:t>
      </w:r>
    </w:p>
  </w:footnote>
  <w:footnote w:id="10">
    <w:p w:rsidR="00E4211E" w:rsidRPr="0094539F" w:rsidRDefault="00E4211E" w:rsidP="00906063">
      <w:pPr>
        <w:pStyle w:val="FootnoteText"/>
        <w:rPr>
          <w:rFonts w:cs="Times New Roman"/>
        </w:rPr>
      </w:pPr>
      <w:r>
        <w:rPr>
          <w:rStyle w:val="FootnoteReference"/>
        </w:rPr>
        <w:footnoteRef/>
      </w:r>
      <w:r>
        <w:t xml:space="preserve"> </w:t>
      </w:r>
      <w:r>
        <w:tab/>
      </w:r>
      <w:r>
        <w:tab/>
      </w:r>
      <w:r w:rsidRPr="0094539F">
        <w:rPr>
          <w:rFonts w:cs="Times New Roman"/>
          <w:i/>
        </w:rPr>
        <w:t xml:space="preserve">Id. </w:t>
      </w:r>
      <w:r w:rsidRPr="0094539F">
        <w:rPr>
          <w:rFonts w:cs="Times New Roman"/>
        </w:rPr>
        <w:t>at 27.</w:t>
      </w:r>
    </w:p>
  </w:footnote>
  <w:footnote w:id="11">
    <w:p w:rsidR="00E4211E" w:rsidRPr="0094539F" w:rsidRDefault="00E4211E" w:rsidP="00906063">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94539F">
        <w:rPr>
          <w:rFonts w:cs="Times New Roman"/>
        </w:rPr>
        <w:t>Request for Rehearing Submitted on Behalf of the Public Utilities Commission of Ohio at 5 (April</w:t>
      </w:r>
      <w:r>
        <w:rPr>
          <w:rFonts w:cs="Times New Roman"/>
        </w:rPr>
        <w:t> </w:t>
      </w:r>
      <w:r w:rsidRPr="0094539F">
        <w:rPr>
          <w:rFonts w:cs="Times New Roman"/>
        </w:rPr>
        <w:t>30, 2012).</w:t>
      </w:r>
    </w:p>
  </w:footnote>
  <w:footnote w:id="12">
    <w:p w:rsidR="00E4211E" w:rsidRPr="0094539F" w:rsidRDefault="00E4211E" w:rsidP="00906063">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proofErr w:type="gramStart"/>
      <w:r>
        <w:rPr>
          <w:rFonts w:cs="Times New Roman"/>
        </w:rPr>
        <w:t>Id at 6</w:t>
      </w:r>
      <w:r w:rsidRPr="0094539F">
        <w:rPr>
          <w:rFonts w:cs="Times New Roman"/>
        </w:rPr>
        <w:t>.</w:t>
      </w:r>
      <w:proofErr w:type="gramEnd"/>
      <w:r w:rsidRPr="0094539F">
        <w:rPr>
          <w:rFonts w:cs="Times New Roman"/>
        </w:rPr>
        <w:t xml:space="preserve"> </w:t>
      </w:r>
    </w:p>
  </w:footnote>
  <w:footnote w:id="13">
    <w:p w:rsidR="00E4211E" w:rsidRDefault="00E4211E" w:rsidP="00906063">
      <w:pPr>
        <w:pStyle w:val="FootnoteText"/>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Pr>
          <w:rFonts w:cs="Times New Roman"/>
          <w:i/>
        </w:rPr>
        <w:t>Id</w:t>
      </w:r>
      <w:r>
        <w:rPr>
          <w:rFonts w:cs="Times New Roman"/>
        </w:rPr>
        <w:t>. at 5</w:t>
      </w:r>
      <w:r w:rsidRPr="0094539F">
        <w:rPr>
          <w:rFonts w:cs="Times New Roman"/>
        </w:rPr>
        <w:t>.</w:t>
      </w:r>
    </w:p>
  </w:footnote>
  <w:footnote w:id="14">
    <w:p w:rsidR="00E4211E" w:rsidRDefault="00E4211E" w:rsidP="00E4211E">
      <w:pPr>
        <w:pStyle w:val="Default"/>
        <w:ind w:left="720" w:hanging="720"/>
      </w:pPr>
      <w:r>
        <w:rPr>
          <w:rStyle w:val="FootnoteReference"/>
        </w:rPr>
        <w:footnoteRef/>
      </w:r>
      <w:r>
        <w:t xml:space="preserve"> </w:t>
      </w:r>
      <w:r>
        <w:tab/>
      </w:r>
      <w:r>
        <w:tab/>
      </w:r>
      <w:r w:rsidRPr="00A6304A">
        <w:rPr>
          <w:i/>
          <w:color w:val="auto"/>
          <w:sz w:val="20"/>
          <w:szCs w:val="20"/>
        </w:rPr>
        <w:t>Transmission Planning and Cost Allocation by Transmission Owning and Operating Public Utilities</w:t>
      </w:r>
      <w:r w:rsidRPr="00A6304A">
        <w:rPr>
          <w:color w:val="auto"/>
          <w:sz w:val="20"/>
          <w:szCs w:val="20"/>
        </w:rPr>
        <w:t xml:space="preserve">, Docket No. RM10-23-000, Order No. 1000, issued July 21, 2011, 136 FERC ¶ 61,051; RM10-23-001, Order No. 1000-A, issued May 17, 2012, 139 FERC ¶ 61,132; and Docket No. </w:t>
      </w:r>
      <w:proofErr w:type="gramStart"/>
      <w:r w:rsidRPr="00A6304A">
        <w:rPr>
          <w:color w:val="auto"/>
          <w:sz w:val="20"/>
          <w:szCs w:val="20"/>
        </w:rPr>
        <w:t>RM10-23-002; Order No. 1000-B, issued October 18, 2012, 141 FERC ¶ 61,044.</w:t>
      </w:r>
      <w:proofErr w:type="gramEnd"/>
    </w:p>
  </w:footnote>
  <w:footnote w:id="15">
    <w:p w:rsidR="00E4211E" w:rsidRPr="0094539F" w:rsidRDefault="00E4211E" w:rsidP="00906063">
      <w:pPr>
        <w:pStyle w:val="FootnoteText"/>
        <w:rPr>
          <w:rFonts w:cs="Times New Roman"/>
        </w:rPr>
      </w:pPr>
      <w:r>
        <w:rPr>
          <w:rStyle w:val="FootnoteReference"/>
        </w:rPr>
        <w:footnoteRef/>
      </w:r>
      <w:r>
        <w:t xml:space="preserve"> </w:t>
      </w:r>
      <w:r>
        <w:tab/>
      </w:r>
      <w:r>
        <w:tab/>
      </w:r>
      <w:r w:rsidRPr="0094539F">
        <w:rPr>
          <w:rFonts w:cs="Times New Roman"/>
        </w:rPr>
        <w:t>PJM T</w:t>
      </w:r>
      <w:r>
        <w:rPr>
          <w:rFonts w:cs="Times New Roman"/>
        </w:rPr>
        <w:t xml:space="preserve">ransmission Owners’ Order 1000 Compliance </w:t>
      </w:r>
      <w:r w:rsidRPr="0094539F">
        <w:rPr>
          <w:rFonts w:cs="Times New Roman"/>
        </w:rPr>
        <w:t>Filing at 8</w:t>
      </w:r>
      <w:r>
        <w:rPr>
          <w:rFonts w:cs="Times New Roman"/>
        </w:rPr>
        <w:t>, Docket No. ER13-90</w:t>
      </w:r>
      <w:r w:rsidRPr="0094539F">
        <w:rPr>
          <w:rFonts w:cs="Times New Roman"/>
        </w:rPr>
        <w:t xml:space="preserve"> (October 11, 2012).</w:t>
      </w:r>
    </w:p>
  </w:footnote>
  <w:footnote w:id="16">
    <w:p w:rsidR="00E4211E" w:rsidRDefault="00E4211E" w:rsidP="00906063">
      <w:pPr>
        <w:pStyle w:val="FootnoteText"/>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Pr>
          <w:rFonts w:cs="Times New Roman"/>
          <w:i/>
        </w:rPr>
        <w:t>Id</w:t>
      </w:r>
      <w:r w:rsidRPr="0094539F">
        <w:rPr>
          <w:rFonts w:cs="Times New Roman"/>
        </w:rPr>
        <w:t xml:space="preserve">. </w:t>
      </w:r>
    </w:p>
  </w:footnote>
  <w:footnote w:id="17">
    <w:p w:rsidR="00E4211E" w:rsidRDefault="00E4211E" w:rsidP="00A13461">
      <w:pPr>
        <w:pStyle w:val="FootnoteText"/>
      </w:pPr>
      <w:r>
        <w:rPr>
          <w:rStyle w:val="FootnoteReference"/>
        </w:rPr>
        <w:footnoteRef/>
      </w:r>
      <w:r>
        <w:t xml:space="preserve"> </w:t>
      </w:r>
      <w:r>
        <w:tab/>
      </w:r>
      <w:r>
        <w:tab/>
        <w:t>PJM Compliance Filing Transmittal Letter, Docket No. ER13-198-000, at 47-48 (October 25, 2012) (emphasis added).</w:t>
      </w:r>
    </w:p>
  </w:footnote>
  <w:footnote w:id="18">
    <w:p w:rsidR="00E4211E" w:rsidRDefault="00E4211E" w:rsidP="00A13461">
      <w:pPr>
        <w:pStyle w:val="FootnoteText"/>
        <w:rPr>
          <w:rFonts w:cs="Times New Roman"/>
          <w:color w:val="000000"/>
        </w:rPr>
      </w:pPr>
      <w:r>
        <w:rPr>
          <w:rStyle w:val="FootnoteReference"/>
        </w:rPr>
        <w:footnoteRef/>
      </w:r>
      <w:r>
        <w:t xml:space="preserve">  </w:t>
      </w:r>
      <w:r>
        <w:tab/>
      </w:r>
      <w:r>
        <w:tab/>
      </w:r>
      <w:r>
        <w:rPr>
          <w:rFonts w:cs="Times New Roman"/>
          <w:color w:val="000000"/>
        </w:rPr>
        <w:t xml:space="preserve">The language to PJM was supported by Illinois, Indiana, Kentucky, Michigan, North Carolina, Ohio, Tennessee, Virginia, and West Virginia.  The motion was opposed by Delaware with the District of Columbia, Maryland, and Pennsylvania abstaining from the vote.  </w:t>
      </w:r>
    </w:p>
  </w:footnote>
  <w:footnote w:id="19">
    <w:p w:rsidR="00E4211E" w:rsidRDefault="00E4211E" w:rsidP="00A13461">
      <w:pPr>
        <w:pStyle w:val="FootnoteText"/>
      </w:pPr>
      <w:r>
        <w:rPr>
          <w:rStyle w:val="FootnoteReference"/>
        </w:rPr>
        <w:footnoteRef/>
      </w:r>
      <w:r>
        <w:t xml:space="preserve"> </w:t>
      </w:r>
      <w:r>
        <w:tab/>
      </w:r>
      <w:r>
        <w:tab/>
        <w:t xml:space="preserve">The OPSI November 21, 2012 Resolution was supported by the District of Columbia Public Service Commission, Indiana Utility Regulatory Commission, Kentucky Public Service Commission, Michigan Public Service Commission, New Jersey Board of Public Utilities, North Carolina Utilities Commission, Public Utilities Commission of Ohio, Pennsylvania Public Utility Commission, Virginia State Corporation Commission and the Public Service Commission of West Virginia. </w:t>
      </w:r>
    </w:p>
  </w:footnote>
  <w:footnote w:id="20">
    <w:p w:rsidR="00E4211E" w:rsidRPr="00F94E29" w:rsidRDefault="00E4211E" w:rsidP="000B1B8C">
      <w:pPr>
        <w:pStyle w:val="FootnoteText"/>
        <w:rPr>
          <w:rFonts w:cs="Times New Roman"/>
          <w:color w:val="000000"/>
        </w:rPr>
      </w:pPr>
      <w:r>
        <w:rPr>
          <w:rStyle w:val="FootnoteReference"/>
        </w:rPr>
        <w:footnoteRef/>
      </w:r>
      <w:r>
        <w:t xml:space="preserve"> </w:t>
      </w:r>
      <w:r>
        <w:tab/>
      </w:r>
      <w:r>
        <w:tab/>
      </w:r>
      <w:r w:rsidRPr="007F11F2">
        <w:rPr>
          <w:rFonts w:cs="Times New Roman"/>
          <w:i/>
          <w:color w:val="000000"/>
        </w:rPr>
        <w:t>In re PJM Interconnection, L.L.C.</w:t>
      </w:r>
      <w:r w:rsidRPr="00F94E29">
        <w:rPr>
          <w:rFonts w:cs="Times New Roman"/>
          <w:color w:val="000000"/>
        </w:rPr>
        <w:t>, FERC Docket No. EL05-121-006 (Request for Rehearing of the Public Utilities Commission of Ohio at 8-10</w:t>
      </w:r>
      <w:r>
        <w:rPr>
          <w:rFonts w:cs="Times New Roman"/>
          <w:color w:val="000000"/>
        </w:rPr>
        <w:t>)</w:t>
      </w:r>
      <w:r w:rsidRPr="00F94E29">
        <w:rPr>
          <w:rFonts w:cs="Times New Roman"/>
          <w:color w:val="000000"/>
        </w:rPr>
        <w:t xml:space="preserve"> (April 30, 2012)</w:t>
      </w:r>
      <w:r>
        <w:rPr>
          <w:rFonts w:cs="Times New Roman"/>
          <w:color w:val="000000"/>
        </w:rPr>
        <w:t>.</w:t>
      </w:r>
    </w:p>
  </w:footnote>
  <w:footnote w:id="21">
    <w:p w:rsidR="00E4211E" w:rsidRPr="00F94E29" w:rsidRDefault="00E4211E" w:rsidP="000B1B8C">
      <w:pPr>
        <w:pStyle w:val="FootnoteText"/>
        <w:rPr>
          <w:rFonts w:cs="Times New Roman"/>
          <w:color w:val="000000"/>
        </w:rPr>
      </w:pPr>
      <w:r>
        <w:rPr>
          <w:rStyle w:val="FootnoteReference"/>
        </w:rPr>
        <w:footnoteRef/>
      </w:r>
      <w:r>
        <w:t xml:space="preserve"> </w:t>
      </w:r>
      <w:r>
        <w:tab/>
      </w:r>
      <w:r>
        <w:tab/>
      </w:r>
      <w:r w:rsidRPr="00F94E29">
        <w:rPr>
          <w:rFonts w:cs="Times New Roman"/>
          <w:color w:val="000000"/>
        </w:rPr>
        <w:t>FERC Order on Remand at 45 (March 30, 2012)</w:t>
      </w:r>
      <w:r>
        <w:rPr>
          <w:rFonts w:cs="Times New Roman"/>
          <w:color w:val="000000"/>
        </w:rPr>
        <w:t>.</w:t>
      </w:r>
    </w:p>
  </w:footnote>
  <w:footnote w:id="22">
    <w:p w:rsidR="00E4211E" w:rsidRPr="00F94E29" w:rsidRDefault="00E4211E" w:rsidP="000B1B8C">
      <w:pPr>
        <w:pStyle w:val="FootnoteText"/>
        <w:rPr>
          <w:rFonts w:cs="Times New Roman"/>
          <w:color w:val="000000"/>
        </w:rPr>
      </w:pPr>
      <w:r>
        <w:rPr>
          <w:rStyle w:val="FootnoteReference"/>
        </w:rPr>
        <w:footnoteRef/>
      </w:r>
      <w:r>
        <w:t xml:space="preserve"> </w:t>
      </w:r>
      <w:r>
        <w:tab/>
      </w:r>
      <w:r>
        <w:tab/>
      </w:r>
      <w:r w:rsidRPr="00F94E29">
        <w:rPr>
          <w:rFonts w:cs="Times New Roman"/>
          <w:color w:val="000000"/>
        </w:rPr>
        <w:t>FERC Order on Remand at 38-44 (March 30, 2012)</w:t>
      </w:r>
      <w:r>
        <w:rPr>
          <w:rFonts w:cs="Times New Roman"/>
          <w:color w:val="000000"/>
        </w:rPr>
        <w:t>.</w:t>
      </w:r>
    </w:p>
  </w:footnote>
  <w:footnote w:id="23">
    <w:p w:rsidR="00E4211E" w:rsidRPr="00F94E29" w:rsidRDefault="00E4211E" w:rsidP="00255C32">
      <w:pPr>
        <w:pStyle w:val="FootnoteText"/>
        <w:rPr>
          <w:rFonts w:cs="Times New Roman"/>
          <w:color w:val="000000"/>
        </w:rPr>
      </w:pPr>
      <w:r w:rsidRPr="003D0407">
        <w:rPr>
          <w:rStyle w:val="FootnoteReference"/>
          <w:color w:val="000000"/>
          <w:sz w:val="22"/>
          <w:szCs w:val="22"/>
        </w:rPr>
        <w:footnoteRef/>
      </w:r>
      <w:r w:rsidRPr="003D0407">
        <w:rPr>
          <w:rStyle w:val="FootnoteReference"/>
          <w:color w:val="000000"/>
          <w:sz w:val="22"/>
          <w:szCs w:val="22"/>
        </w:rPr>
        <w:t xml:space="preserve"> </w:t>
      </w:r>
      <w:r w:rsidRPr="000F7D78">
        <w:t xml:space="preserve"> </w:t>
      </w:r>
      <w:r>
        <w:tab/>
      </w:r>
      <w:r>
        <w:tab/>
      </w:r>
      <w:r w:rsidRPr="00157920">
        <w:rPr>
          <w:rFonts w:cs="Times New Roman"/>
          <w:i/>
          <w:color w:val="000000"/>
        </w:rPr>
        <w:t>Transmission Planning and Cost Allocation by Transmission Owning and Operat</w:t>
      </w:r>
      <w:r w:rsidRPr="00157920">
        <w:rPr>
          <w:rFonts w:cs="Times New Roman"/>
          <w:i/>
          <w:color w:val="000000"/>
        </w:rPr>
        <w:softHyphen/>
        <w:t>ing Pub. Utils.</w:t>
      </w:r>
      <w:r w:rsidRPr="00F94E29">
        <w:rPr>
          <w:rFonts w:cs="Times New Roman"/>
          <w:color w:val="000000"/>
        </w:rPr>
        <w:t>, Order No. 1000, Docket No. RM10-23-000 (136 FERC ¶ 61,051) (July 21,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1E" w:rsidRPr="007F11F2" w:rsidRDefault="00E4211E"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9158F5">
      <w:rPr>
        <w:rFonts w:ascii="Arial" w:hAnsi="Arial" w:cs="Arial"/>
        <w:b/>
        <w:noProof/>
        <w:color w:val="FF0000"/>
        <w:sz w:val="16"/>
        <w:szCs w:val="16"/>
      </w:rPr>
      <w:t>12/4/2012 2:11 PM</w:t>
    </w:r>
    <w:r>
      <w:rPr>
        <w:rFonts w:ascii="Arial" w:hAnsi="Arial" w:cs="Arial"/>
        <w:b/>
        <w:color w:val="FF0000"/>
        <w:sz w:val="16"/>
        <w:szCs w:val="16"/>
      </w:rPr>
      <w:fldChar w:fldCharType="end"/>
    </w:r>
    <w:r>
      <w:rPr>
        <w:rFonts w:ascii="Arial" w:hAnsi="Arial" w:cs="Arial"/>
        <w:b/>
        <w:color w:val="FF0000"/>
        <w:sz w:val="16"/>
        <w:szCs w:val="16"/>
      </w:rPr>
      <w:br/>
    </w:r>
    <w:r w:rsidRPr="007F11F2">
      <w:rPr>
        <w:rFonts w:ascii="Arial" w:hAnsi="Arial" w:cs="Arial"/>
        <w:b/>
        <w:color w:val="FF0000"/>
        <w:sz w:val="16"/>
        <w:szCs w:val="16"/>
      </w:rPr>
      <w:fldChar w:fldCharType="begin"/>
    </w:r>
    <w:r w:rsidRPr="007F11F2">
      <w:rPr>
        <w:rFonts w:ascii="Arial" w:hAnsi="Arial" w:cs="Arial"/>
        <w:b/>
        <w:color w:val="FF0000"/>
        <w:sz w:val="16"/>
        <w:szCs w:val="16"/>
      </w:rPr>
      <w:instrText xml:space="preserve"> FILENAME  \* Lower \p  \* MERGEFORMAT </w:instrText>
    </w:r>
    <w:r w:rsidRPr="007F11F2">
      <w:rPr>
        <w:rFonts w:ascii="Arial" w:hAnsi="Arial" w:cs="Arial"/>
        <w:b/>
        <w:color w:val="FF0000"/>
        <w:sz w:val="16"/>
        <w:szCs w:val="16"/>
      </w:rPr>
      <w:fldChar w:fldCharType="separate"/>
    </w:r>
    <w:r w:rsidR="009158F5">
      <w:rPr>
        <w:rFonts w:ascii="Arial" w:hAnsi="Arial" w:cs="Arial"/>
        <w:b/>
        <w:noProof/>
        <w:color w:val="FF0000"/>
        <w:sz w:val="16"/>
        <w:szCs w:val="16"/>
      </w:rPr>
      <w:t>\\puc\shares\departments\attorney general\attorneys\mcnamee\ferc\er13-198\comments 121012.docx</w:t>
    </w:r>
    <w:r w:rsidRPr="007F11F2">
      <w:rPr>
        <w:rFonts w:ascii="Arial" w:hAnsi="Arial" w:cs="Arial"/>
        <w:b/>
        <w:noProof/>
        <w:color w:val="FF0000"/>
        <w:sz w:val="16"/>
        <w:szCs w:val="16"/>
      </w:rPr>
      <w:fldChar w:fldCharType="end"/>
    </w:r>
    <w:r w:rsidRPr="007F11F2">
      <w:rPr>
        <w:rFonts w:ascii="Arial" w:hAnsi="Arial" w:cs="Arial"/>
        <w:b/>
        <w:color w:val="FF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1E" w:rsidRPr="007F11F2" w:rsidRDefault="00E4211E" w:rsidP="007F11F2">
    <w:pPr>
      <w:pStyle w:val="Header"/>
      <w:jc w:val="center"/>
      <w:rPr>
        <w:rFonts w:ascii="Arial" w:hAnsi="Arial" w:cs="Arial"/>
        <w:b/>
        <w:color w:val="FF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1E" w:rsidRPr="00494180" w:rsidRDefault="00E4211E" w:rsidP="004941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1E" w:rsidRDefault="00F62453" w:rsidP="00F62453">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F62453" w:rsidRDefault="00F62453" w:rsidP="00F62453">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F62453" w:rsidRPr="00F62453" w:rsidRDefault="00F62453" w:rsidP="00F62453">
    <w:pPr>
      <w:pStyle w:val="Header"/>
      <w:jc w:val="right"/>
      <w:rPr>
        <w:rFonts w:ascii="Times New Roman" w:hAnsi="Times New Roman" w:cs="Times New Roman"/>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53" w:rsidRPr="00494180" w:rsidRDefault="00F62453" w:rsidP="004941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53" w:rsidRPr="00F62453" w:rsidRDefault="00F62453" w:rsidP="00F62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140FC"/>
    <w:multiLevelType w:val="hybridMultilevel"/>
    <w:tmpl w:val="C6B0095E"/>
    <w:lvl w:ilvl="0" w:tplc="CC60FD9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E"/>
    <w:rsid w:val="0002276F"/>
    <w:rsid w:val="000457D0"/>
    <w:rsid w:val="00052D52"/>
    <w:rsid w:val="00064A8C"/>
    <w:rsid w:val="000704C1"/>
    <w:rsid w:val="00070CE7"/>
    <w:rsid w:val="00082DC3"/>
    <w:rsid w:val="00091CDD"/>
    <w:rsid w:val="00096F2D"/>
    <w:rsid w:val="000975DB"/>
    <w:rsid w:val="000A488E"/>
    <w:rsid w:val="000B1B8C"/>
    <w:rsid w:val="000B2E19"/>
    <w:rsid w:val="000C4097"/>
    <w:rsid w:val="000C5C6D"/>
    <w:rsid w:val="000D2745"/>
    <w:rsid w:val="000D372C"/>
    <w:rsid w:val="000D4E18"/>
    <w:rsid w:val="000D509B"/>
    <w:rsid w:val="000F163D"/>
    <w:rsid w:val="001210FA"/>
    <w:rsid w:val="00132D0A"/>
    <w:rsid w:val="001330A9"/>
    <w:rsid w:val="001434C0"/>
    <w:rsid w:val="00157920"/>
    <w:rsid w:val="001732DE"/>
    <w:rsid w:val="0018295B"/>
    <w:rsid w:val="0018316D"/>
    <w:rsid w:val="00185A12"/>
    <w:rsid w:val="001A24F0"/>
    <w:rsid w:val="001B2AC8"/>
    <w:rsid w:val="001B6F2A"/>
    <w:rsid w:val="001C545A"/>
    <w:rsid w:val="001C6FCA"/>
    <w:rsid w:val="001E1254"/>
    <w:rsid w:val="00205A70"/>
    <w:rsid w:val="00217F5D"/>
    <w:rsid w:val="00221B2C"/>
    <w:rsid w:val="002231E6"/>
    <w:rsid w:val="00255C32"/>
    <w:rsid w:val="00255CC9"/>
    <w:rsid w:val="00260A47"/>
    <w:rsid w:val="00281767"/>
    <w:rsid w:val="002A2D9D"/>
    <w:rsid w:val="002A77DD"/>
    <w:rsid w:val="002B21F6"/>
    <w:rsid w:val="002C0C90"/>
    <w:rsid w:val="002E0EFB"/>
    <w:rsid w:val="002E7EAA"/>
    <w:rsid w:val="00344BB9"/>
    <w:rsid w:val="0034694C"/>
    <w:rsid w:val="00364890"/>
    <w:rsid w:val="003734DC"/>
    <w:rsid w:val="00380001"/>
    <w:rsid w:val="00396365"/>
    <w:rsid w:val="003D1C65"/>
    <w:rsid w:val="003D725B"/>
    <w:rsid w:val="003E21E2"/>
    <w:rsid w:val="003F7467"/>
    <w:rsid w:val="004008A9"/>
    <w:rsid w:val="004011FE"/>
    <w:rsid w:val="00411EC4"/>
    <w:rsid w:val="0041703C"/>
    <w:rsid w:val="0043068C"/>
    <w:rsid w:val="00437BCE"/>
    <w:rsid w:val="004412DF"/>
    <w:rsid w:val="0045300D"/>
    <w:rsid w:val="00487DCD"/>
    <w:rsid w:val="00493878"/>
    <w:rsid w:val="00494180"/>
    <w:rsid w:val="004A3A57"/>
    <w:rsid w:val="004B1D25"/>
    <w:rsid w:val="004B7BD4"/>
    <w:rsid w:val="004C31DA"/>
    <w:rsid w:val="005146A6"/>
    <w:rsid w:val="00546AFF"/>
    <w:rsid w:val="00553E47"/>
    <w:rsid w:val="00583126"/>
    <w:rsid w:val="00594342"/>
    <w:rsid w:val="005A6BEF"/>
    <w:rsid w:val="005B6EC5"/>
    <w:rsid w:val="005E7B8E"/>
    <w:rsid w:val="006170BC"/>
    <w:rsid w:val="00624BAE"/>
    <w:rsid w:val="00635D85"/>
    <w:rsid w:val="00640479"/>
    <w:rsid w:val="00655527"/>
    <w:rsid w:val="00675315"/>
    <w:rsid w:val="00695BC7"/>
    <w:rsid w:val="006A7B79"/>
    <w:rsid w:val="006E611D"/>
    <w:rsid w:val="00705028"/>
    <w:rsid w:val="0071757E"/>
    <w:rsid w:val="007258B0"/>
    <w:rsid w:val="00725F1A"/>
    <w:rsid w:val="00734843"/>
    <w:rsid w:val="00761354"/>
    <w:rsid w:val="00767CD4"/>
    <w:rsid w:val="00773CF3"/>
    <w:rsid w:val="00781CCB"/>
    <w:rsid w:val="007A434B"/>
    <w:rsid w:val="007C35FE"/>
    <w:rsid w:val="007D2CCE"/>
    <w:rsid w:val="007E0A5D"/>
    <w:rsid w:val="007F11F2"/>
    <w:rsid w:val="00800516"/>
    <w:rsid w:val="00801896"/>
    <w:rsid w:val="00821AC2"/>
    <w:rsid w:val="008461AA"/>
    <w:rsid w:val="00882BEA"/>
    <w:rsid w:val="00890094"/>
    <w:rsid w:val="008909B3"/>
    <w:rsid w:val="00895A9D"/>
    <w:rsid w:val="00895D28"/>
    <w:rsid w:val="008B0163"/>
    <w:rsid w:val="008B0453"/>
    <w:rsid w:val="008C2DC7"/>
    <w:rsid w:val="008D1024"/>
    <w:rsid w:val="008F7D1B"/>
    <w:rsid w:val="009053E3"/>
    <w:rsid w:val="00906063"/>
    <w:rsid w:val="00907CA0"/>
    <w:rsid w:val="009158F5"/>
    <w:rsid w:val="0094539F"/>
    <w:rsid w:val="00945AAD"/>
    <w:rsid w:val="009528DE"/>
    <w:rsid w:val="00960DB7"/>
    <w:rsid w:val="009717F2"/>
    <w:rsid w:val="009B21B3"/>
    <w:rsid w:val="009C7391"/>
    <w:rsid w:val="009D05D5"/>
    <w:rsid w:val="009D1106"/>
    <w:rsid w:val="009E7AAD"/>
    <w:rsid w:val="00A04BAB"/>
    <w:rsid w:val="00A05B09"/>
    <w:rsid w:val="00A13461"/>
    <w:rsid w:val="00A22BC4"/>
    <w:rsid w:val="00A2396E"/>
    <w:rsid w:val="00A3053A"/>
    <w:rsid w:val="00A34C14"/>
    <w:rsid w:val="00A572FB"/>
    <w:rsid w:val="00A61097"/>
    <w:rsid w:val="00A6304A"/>
    <w:rsid w:val="00A7170A"/>
    <w:rsid w:val="00A756F2"/>
    <w:rsid w:val="00AA64F9"/>
    <w:rsid w:val="00AD372A"/>
    <w:rsid w:val="00AE6834"/>
    <w:rsid w:val="00B00803"/>
    <w:rsid w:val="00B030C9"/>
    <w:rsid w:val="00B11738"/>
    <w:rsid w:val="00B12724"/>
    <w:rsid w:val="00B26C0D"/>
    <w:rsid w:val="00B351E6"/>
    <w:rsid w:val="00B520EC"/>
    <w:rsid w:val="00B65E27"/>
    <w:rsid w:val="00B660F7"/>
    <w:rsid w:val="00B7264F"/>
    <w:rsid w:val="00B75F74"/>
    <w:rsid w:val="00B77E71"/>
    <w:rsid w:val="00B83AA0"/>
    <w:rsid w:val="00BD13D3"/>
    <w:rsid w:val="00C31303"/>
    <w:rsid w:val="00C41474"/>
    <w:rsid w:val="00C63338"/>
    <w:rsid w:val="00C70B32"/>
    <w:rsid w:val="00C837F6"/>
    <w:rsid w:val="00CA0246"/>
    <w:rsid w:val="00CA7AA1"/>
    <w:rsid w:val="00CD15CA"/>
    <w:rsid w:val="00D01740"/>
    <w:rsid w:val="00D01B38"/>
    <w:rsid w:val="00D162D7"/>
    <w:rsid w:val="00D325E3"/>
    <w:rsid w:val="00D456F7"/>
    <w:rsid w:val="00D51B9A"/>
    <w:rsid w:val="00D67CB7"/>
    <w:rsid w:val="00D96244"/>
    <w:rsid w:val="00DA2FB8"/>
    <w:rsid w:val="00DD28B7"/>
    <w:rsid w:val="00DD49F0"/>
    <w:rsid w:val="00E02D64"/>
    <w:rsid w:val="00E03B10"/>
    <w:rsid w:val="00E05EC8"/>
    <w:rsid w:val="00E15014"/>
    <w:rsid w:val="00E25CF0"/>
    <w:rsid w:val="00E4211E"/>
    <w:rsid w:val="00E532A0"/>
    <w:rsid w:val="00E5652D"/>
    <w:rsid w:val="00E62C49"/>
    <w:rsid w:val="00E8114A"/>
    <w:rsid w:val="00EA27A2"/>
    <w:rsid w:val="00ED5EF5"/>
    <w:rsid w:val="00ED6D47"/>
    <w:rsid w:val="00EE46E3"/>
    <w:rsid w:val="00EF1C33"/>
    <w:rsid w:val="00EF3B66"/>
    <w:rsid w:val="00F0151C"/>
    <w:rsid w:val="00F057B8"/>
    <w:rsid w:val="00F227B0"/>
    <w:rsid w:val="00F270FE"/>
    <w:rsid w:val="00F273D0"/>
    <w:rsid w:val="00F40BEC"/>
    <w:rsid w:val="00F42488"/>
    <w:rsid w:val="00F455AF"/>
    <w:rsid w:val="00F62453"/>
    <w:rsid w:val="00F94E29"/>
    <w:rsid w:val="00FA23F6"/>
    <w:rsid w:val="00FA6C1D"/>
    <w:rsid w:val="00FA7B56"/>
    <w:rsid w:val="00FB6131"/>
    <w:rsid w:val="00FD4291"/>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756F2"/>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E4211E"/>
    <w:pPr>
      <w:keepNext/>
      <w:keepLines/>
      <w:numPr>
        <w:numId w:val="1"/>
      </w:numPr>
      <w:spacing w:before="360" w:after="240" w:line="240" w:lineRule="auto"/>
      <w:ind w:left="1440" w:right="1440" w:hanging="72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6F2"/>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E4211E"/>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756F2"/>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E4211E"/>
    <w:pPr>
      <w:keepNext/>
      <w:keepLines/>
      <w:numPr>
        <w:numId w:val="1"/>
      </w:numPr>
      <w:spacing w:before="360" w:after="240" w:line="240" w:lineRule="auto"/>
      <w:ind w:left="1440" w:right="1440" w:hanging="72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6F2"/>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E4211E"/>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5084">
      <w:bodyDiv w:val="1"/>
      <w:marLeft w:val="0"/>
      <w:marRight w:val="0"/>
      <w:marTop w:val="0"/>
      <w:marBottom w:val="0"/>
      <w:divBdr>
        <w:top w:val="none" w:sz="0" w:space="0" w:color="auto"/>
        <w:left w:val="none" w:sz="0" w:space="0" w:color="auto"/>
        <w:bottom w:val="none" w:sz="0" w:space="0" w:color="auto"/>
        <w:right w:val="none" w:sz="0" w:space="0" w:color="auto"/>
      </w:divBdr>
    </w:div>
    <w:div w:id="20140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homas.mcnamee@puc.state.oh.u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F830-18D5-4DCE-BFA4-1A83167D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4</cp:revision>
  <cp:lastPrinted>2012-12-04T19:11:00Z</cp:lastPrinted>
  <dcterms:created xsi:type="dcterms:W3CDTF">2012-12-04T18:36:00Z</dcterms:created>
  <dcterms:modified xsi:type="dcterms:W3CDTF">2012-12-04T19:12:00Z</dcterms:modified>
</cp:coreProperties>
</file>