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2242E0" w:rsidP="002242E0">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96"/>
        <w:gridCol w:w="296"/>
        <w:gridCol w:w="4400"/>
      </w:tblGrid>
      <w:tr w:rsidTr="003A24D0">
        <w:tblPrEx>
          <w:tblW w:w="9092" w:type="dxa"/>
          <w:tblInd w:w="0" w:type="dxa"/>
          <w:tblCellMar>
            <w:top w:w="0" w:type="dxa"/>
            <w:left w:w="108" w:type="dxa"/>
            <w:bottom w:w="0" w:type="dxa"/>
            <w:right w:w="108" w:type="dxa"/>
          </w:tblCellMar>
          <w:tblLook w:val="01E0"/>
        </w:tblPrEx>
        <w:trPr>
          <w:trHeight w:val="807"/>
        </w:trPr>
        <w:tc>
          <w:tcPr>
            <w:tcW w:w="4396" w:type="dxa"/>
            <w:shd w:val="clear" w:color="auto" w:fill="auto"/>
          </w:tcPr>
          <w:p w:rsidR="00D62B78" w:rsidRPr="006D411A" w:rsidP="003A24D0">
            <w:pPr>
              <w:autoSpaceDE w:val="0"/>
              <w:autoSpaceDN w:val="0"/>
              <w:adjustRightInd w:val="0"/>
              <w:rPr>
                <w:rStyle w:val="DefaultParagraphFont"/>
                <w:sz w:val="24"/>
                <w:szCs w:val="24"/>
                <w:lang w:val="en-US" w:eastAsia="en-US" w:bidi="ar-SA"/>
              </w:rPr>
            </w:pPr>
            <w:r w:rsidRPr="006D411A">
              <w:rPr>
                <w:sz w:val="24"/>
                <w:szCs w:val="24"/>
                <w:lang w:val="en-US" w:eastAsia="en-US" w:bidi="ar-SA"/>
              </w:rPr>
              <w:t xml:space="preserve">In the Matter of the Application of </w:t>
            </w:r>
            <w:r>
              <w:rPr>
                <w:sz w:val="24"/>
                <w:szCs w:val="24"/>
                <w:lang w:val="en-US" w:eastAsia="en-US" w:bidi="ar-SA"/>
              </w:rPr>
              <w:t xml:space="preserve">Duke Energy Ohio, Inc. for Authority to Defer Environmental Investigation and Remediation Costs. </w:t>
            </w:r>
          </w:p>
          <w:p w:rsidR="00D62B78" w:rsidRPr="006D411A" w:rsidP="003A24D0">
            <w:pPr>
              <w:autoSpaceDE w:val="0"/>
              <w:autoSpaceDN w:val="0"/>
              <w:adjustRightInd w:val="0"/>
              <w:rPr>
                <w:rStyle w:val="DefaultParagraphFont"/>
                <w:sz w:val="24"/>
                <w:szCs w:val="24"/>
                <w:lang w:val="en-US" w:eastAsia="en-US" w:bidi="ar-SA"/>
              </w:rPr>
            </w:pPr>
          </w:p>
          <w:p w:rsidR="00D62B78" w:rsidRPr="006D411A" w:rsidP="00D62B78">
            <w:pPr>
              <w:autoSpaceDE w:val="0"/>
              <w:autoSpaceDN w:val="0"/>
              <w:adjustRightInd w:val="0"/>
              <w:rPr>
                <w:rStyle w:val="DefaultParagraphFont"/>
                <w:sz w:val="24"/>
                <w:szCs w:val="24"/>
                <w:lang w:val="en-US" w:eastAsia="en-US" w:bidi="ar-SA"/>
              </w:rPr>
            </w:pPr>
            <w:r w:rsidRPr="006D411A">
              <w:rPr>
                <w:sz w:val="24"/>
                <w:szCs w:val="24"/>
                <w:lang w:val="en-US" w:eastAsia="en-US" w:bidi="ar-SA"/>
              </w:rPr>
              <w:t xml:space="preserve">In the Matter of the Application of </w:t>
            </w:r>
            <w:r>
              <w:rPr>
                <w:sz w:val="24"/>
                <w:szCs w:val="24"/>
                <w:lang w:val="en-US" w:eastAsia="en-US" w:bidi="ar-SA"/>
              </w:rPr>
              <w:t>Duke Energy Ohio, Inc. for Tariff Approval</w:t>
            </w:r>
          </w:p>
        </w:tc>
        <w:tc>
          <w:tcPr>
            <w:tcW w:w="296" w:type="dxa"/>
            <w:shd w:val="clear" w:color="auto" w:fill="auto"/>
          </w:tcPr>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D411A">
              <w:rPr>
                <w:rFonts w:ascii="Times New Roman" w:eastAsia="Courier New" w:hAnsi="Times New Roman" w:cs="Times New Roman"/>
                <w:sz w:val="24"/>
                <w:szCs w:val="24"/>
                <w:lang w:val="en-US" w:eastAsia="en-US" w:bidi="ar-SA"/>
              </w:rPr>
              <w:t>)</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D411A">
              <w:rPr>
                <w:rFonts w:ascii="Times New Roman" w:eastAsia="Courier New" w:hAnsi="Times New Roman" w:cs="Times New Roman"/>
                <w:sz w:val="24"/>
                <w:szCs w:val="24"/>
                <w:lang w:val="en-US" w:eastAsia="en-US" w:bidi="ar-SA"/>
              </w:rPr>
              <w:t>)</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D411A">
              <w:rPr>
                <w:rFonts w:ascii="Times New Roman" w:eastAsia="Courier New" w:hAnsi="Times New Roman" w:cs="Times New Roman"/>
                <w:sz w:val="24"/>
                <w:szCs w:val="24"/>
                <w:lang w:val="en-US" w:eastAsia="en-US" w:bidi="ar-SA"/>
              </w:rPr>
              <w:t>)</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D411A">
              <w:rPr>
                <w:rFonts w:ascii="Times New Roman" w:eastAsia="Courier New" w:hAnsi="Times New Roman" w:cs="Times New Roman"/>
                <w:sz w:val="24"/>
                <w:szCs w:val="24"/>
                <w:lang w:val="en-US" w:eastAsia="en-US" w:bidi="ar-SA"/>
              </w:rPr>
              <w:t>)</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D411A">
              <w:rPr>
                <w:rFonts w:ascii="Times New Roman" w:eastAsia="Courier New" w:hAnsi="Times New Roman" w:cs="Times New Roman"/>
                <w:sz w:val="24"/>
                <w:szCs w:val="24"/>
                <w:lang w:val="en-US" w:eastAsia="en-US" w:bidi="ar-SA"/>
              </w:rPr>
              <w:t>)</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D411A">
              <w:rPr>
                <w:rFonts w:ascii="Times New Roman" w:eastAsia="Courier New" w:hAnsi="Times New Roman" w:cs="Times New Roman"/>
                <w:sz w:val="24"/>
                <w:szCs w:val="24"/>
                <w:lang w:val="en-US" w:eastAsia="en-US" w:bidi="ar-SA"/>
              </w:rPr>
              <w:t>)</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4400" w:type="dxa"/>
            <w:shd w:val="clear" w:color="auto" w:fill="auto"/>
          </w:tcPr>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62B78" w:rsidRPr="006D411A" w:rsidP="003A24D0">
            <w:pPr>
              <w:rPr>
                <w:rStyle w:val="DefaultParagraphFont"/>
                <w:i/>
                <w:sz w:val="24"/>
                <w:szCs w:val="24"/>
                <w:lang w:val="en-US" w:eastAsia="en-US" w:bidi="ar-SA"/>
              </w:rPr>
            </w:pPr>
            <w:r>
              <w:rPr>
                <w:sz w:val="24"/>
                <w:szCs w:val="24"/>
                <w:lang w:val="en-US" w:eastAsia="en-US" w:bidi="ar-SA"/>
              </w:rPr>
              <w:t>Case No. 16-1106-GA-AAM</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62B78"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16-1107-GA-UNC</w:t>
            </w:r>
          </w:p>
          <w:p w:rsidR="00D62B78" w:rsidRPr="006D411A" w:rsidP="003A2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A044B5" w:rsidRPr="00D62B78">
      <w:pPr>
        <w:pStyle w:val="HTMLPreformatted"/>
        <w:pBdr>
          <w:top w:val="single" w:sz="12" w:space="1" w:color="auto"/>
        </w:pBdr>
        <w:rPr>
          <w:rFonts w:ascii="Times New Roman" w:hAnsi="Times New Roman"/>
          <w:sz w:val="16"/>
          <w:szCs w:val="16"/>
        </w:rPr>
      </w:pPr>
    </w:p>
    <w:p w:rsidR="00A044B5" w:rsidRPr="00B666A6">
      <w:pPr>
        <w:jc w:val="center"/>
        <w:rPr>
          <w:b/>
          <w:bCs/>
          <w:caps/>
        </w:rPr>
      </w:pPr>
      <w:r w:rsidRPr="00B666A6">
        <w:rPr>
          <w:rFonts w:ascii="Times New Roman Bold" w:hAnsi="Times New Roman Bold"/>
          <w:b/>
          <w:bCs/>
          <w:caps/>
        </w:rPr>
        <w:t xml:space="preserve">COMMENTS </w:t>
      </w:r>
      <w:r w:rsidRPr="00B666A6">
        <w:rPr>
          <w:b/>
          <w:bCs/>
          <w:caps/>
        </w:rPr>
        <w:t>BY</w:t>
      </w:r>
    </w:p>
    <w:p w:rsidR="00A044B5" w:rsidRPr="00B666A6">
      <w:pPr>
        <w:jc w:val="center"/>
        <w:rPr>
          <w:b/>
          <w:bCs/>
          <w:caps/>
        </w:rPr>
      </w:pPr>
      <w:r w:rsidRPr="00B666A6">
        <w:rPr>
          <w:b/>
          <w:bCs/>
          <w:caps/>
        </w:rPr>
        <w:t>THE OFFICE OF THE OHIO CONSUMERS</w:t>
      </w:r>
      <w:r w:rsidR="00915EDD">
        <w:rPr>
          <w:b/>
          <w:bCs/>
          <w:caps/>
        </w:rPr>
        <w:t>'</w:t>
      </w:r>
      <w:r w:rsidRPr="00B666A6">
        <w:rPr>
          <w:b/>
          <w:bCs/>
          <w:caps/>
        </w:rPr>
        <w:t xml:space="preserve"> COUNSEL</w:t>
      </w:r>
      <w:r w:rsidR="00C560D2">
        <w:rPr>
          <w:b/>
          <w:bCs/>
          <w:caps/>
        </w:rPr>
        <w:t xml:space="preserve"> </w:t>
      </w:r>
      <w:r w:rsidR="00C560D2">
        <w:rPr>
          <w:b/>
          <w:bCs/>
          <w:caps/>
        </w:rPr>
        <w:br/>
        <w:t>AND the kroger co.</w:t>
      </w:r>
    </w:p>
    <w:p w:rsidR="00A044B5" w:rsidRPr="00D62B78">
      <w:pPr>
        <w:pBdr>
          <w:bottom w:val="single" w:sz="12" w:space="1" w:color="auto"/>
        </w:pBdr>
        <w:tabs>
          <w:tab w:val="left" w:pos="4320"/>
        </w:tabs>
        <w:rPr>
          <w:sz w:val="16"/>
          <w:szCs w:val="16"/>
        </w:rPr>
      </w:pPr>
    </w:p>
    <w:p w:rsidR="006D5706" w:rsidP="00C87A58">
      <w:pPr>
        <w:pStyle w:val="ListParagraph"/>
        <w:spacing w:before="240" w:after="0" w:line="480" w:lineRule="auto"/>
        <w:ind w:left="0"/>
        <w:contextualSpacing w:val="0"/>
        <w:rPr>
          <w:rFonts w:ascii="Times New Roman Bold" w:hAnsi="Times New Roman Bold" w:cs="Times New Roman"/>
          <w:b/>
          <w:caps/>
          <w:sz w:val="24"/>
          <w:szCs w:val="24"/>
        </w:rPr>
      </w:pPr>
      <w:r>
        <w:rPr>
          <w:rFonts w:ascii="Times New Roman Bold" w:hAnsi="Times New Roman Bold" w:cs="Times New Roman"/>
          <w:b/>
          <w:caps/>
          <w:sz w:val="24"/>
          <w:szCs w:val="24"/>
        </w:rPr>
        <w:t>I.</w:t>
      </w:r>
      <w:r>
        <w:rPr>
          <w:rFonts w:ascii="Times New Roman Bold" w:hAnsi="Times New Roman Bold" w:cs="Times New Roman"/>
          <w:b/>
          <w:caps/>
          <w:sz w:val="24"/>
          <w:szCs w:val="24"/>
        </w:rPr>
        <w:tab/>
      </w:r>
      <w:r w:rsidRPr="006D5706">
        <w:rPr>
          <w:rFonts w:ascii="Times New Roman Bold" w:hAnsi="Times New Roman Bold" w:cs="Times New Roman"/>
          <w:b/>
          <w:caps/>
          <w:sz w:val="24"/>
          <w:szCs w:val="24"/>
        </w:rPr>
        <w:t>Introduction</w:t>
      </w:r>
    </w:p>
    <w:p w:rsidR="00915EDD" w:rsidP="00BF1243">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This case is the latest in Duke</w:t>
      </w:r>
      <w:r>
        <w:rPr>
          <w:rFonts w:ascii="Times New Roman" w:hAnsi="Times New Roman" w:cs="Times New Roman"/>
          <w:sz w:val="24"/>
          <w:szCs w:val="24"/>
        </w:rPr>
        <w:t>'</w:t>
      </w:r>
      <w:r>
        <w:rPr>
          <w:rFonts w:ascii="Times New Roman" w:hAnsi="Times New Roman" w:cs="Times New Roman"/>
          <w:sz w:val="24"/>
          <w:szCs w:val="24"/>
        </w:rPr>
        <w:t xml:space="preserve">s quest to charge customers </w:t>
      </w:r>
      <w:r w:rsidR="001835E8">
        <w:rPr>
          <w:rFonts w:ascii="Times New Roman" w:hAnsi="Times New Roman" w:cs="Times New Roman"/>
          <w:sz w:val="24"/>
          <w:szCs w:val="24"/>
        </w:rPr>
        <w:t xml:space="preserve">lots of money </w:t>
      </w:r>
      <w:r>
        <w:rPr>
          <w:rFonts w:ascii="Times New Roman" w:hAnsi="Times New Roman" w:cs="Times New Roman"/>
          <w:sz w:val="24"/>
          <w:szCs w:val="24"/>
        </w:rPr>
        <w:t xml:space="preserve">for </w:t>
      </w:r>
      <w:r w:rsidR="00326030">
        <w:rPr>
          <w:rFonts w:ascii="Times New Roman" w:hAnsi="Times New Roman" w:cs="Times New Roman"/>
          <w:sz w:val="24"/>
          <w:szCs w:val="24"/>
        </w:rPr>
        <w:t xml:space="preserve">environmental </w:t>
      </w:r>
      <w:r>
        <w:rPr>
          <w:rFonts w:ascii="Times New Roman" w:hAnsi="Times New Roman" w:cs="Times New Roman"/>
          <w:sz w:val="24"/>
          <w:szCs w:val="24"/>
        </w:rPr>
        <w:t>remediation of manufactured gas plant sites that have not been used and useful for 50 years.</w:t>
      </w:r>
      <w:r w:rsidR="00604A31">
        <w:rPr>
          <w:rFonts w:ascii="Times New Roman" w:hAnsi="Times New Roman" w:cs="Times New Roman"/>
          <w:sz w:val="24"/>
          <w:szCs w:val="24"/>
        </w:rPr>
        <w:t xml:space="preserve"> </w:t>
      </w:r>
      <w:r w:rsidR="00787478">
        <w:rPr>
          <w:rFonts w:ascii="Times New Roman" w:hAnsi="Times New Roman" w:cs="Times New Roman"/>
          <w:sz w:val="24"/>
          <w:szCs w:val="24"/>
        </w:rPr>
        <w:t>Previously</w:t>
      </w:r>
      <w:r w:rsidR="00604A31">
        <w:rPr>
          <w:rFonts w:ascii="Times New Roman" w:hAnsi="Times New Roman" w:cs="Times New Roman"/>
          <w:sz w:val="24"/>
          <w:szCs w:val="24"/>
        </w:rPr>
        <w:t xml:space="preserve">, the PUCO required Duke to complete remediation of the </w:t>
      </w:r>
      <w:r>
        <w:rPr>
          <w:rFonts w:ascii="Times New Roman" w:hAnsi="Times New Roman" w:cs="Times New Roman"/>
          <w:sz w:val="24"/>
          <w:szCs w:val="24"/>
        </w:rPr>
        <w:t>"</w:t>
      </w:r>
      <w:r w:rsidR="00604A31">
        <w:rPr>
          <w:rFonts w:ascii="Times New Roman" w:hAnsi="Times New Roman" w:cs="Times New Roman"/>
          <w:sz w:val="24"/>
          <w:szCs w:val="24"/>
        </w:rPr>
        <w:t>East End</w:t>
      </w:r>
      <w:r>
        <w:rPr>
          <w:rFonts w:ascii="Times New Roman" w:hAnsi="Times New Roman" w:cs="Times New Roman"/>
          <w:sz w:val="24"/>
          <w:szCs w:val="24"/>
        </w:rPr>
        <w:t>"</w:t>
      </w:r>
      <w:r w:rsidR="00604A31">
        <w:rPr>
          <w:rFonts w:ascii="Times New Roman" w:hAnsi="Times New Roman" w:cs="Times New Roman"/>
          <w:sz w:val="24"/>
          <w:szCs w:val="24"/>
        </w:rPr>
        <w:t xml:space="preserve"> MGP site by December 31, 2016.</w:t>
      </w:r>
      <w:r>
        <w:rPr>
          <w:rStyle w:val="FootnoteReference"/>
          <w:rFonts w:ascii="Times New Roman" w:hAnsi="Times New Roman" w:cs="Times New Roman"/>
          <w:sz w:val="24"/>
          <w:szCs w:val="24"/>
        </w:rPr>
        <w:footnoteReference w:id="3"/>
      </w:r>
      <w:r w:rsidR="00326030">
        <w:rPr>
          <w:rFonts w:ascii="Times New Roman" w:hAnsi="Times New Roman" w:cs="Times New Roman"/>
          <w:sz w:val="24"/>
          <w:szCs w:val="24"/>
        </w:rPr>
        <w:t xml:space="preserve"> The PUCO found that Duke and its shareholders must be accountable and </w:t>
      </w:r>
      <w:r w:rsidR="00E62BA4">
        <w:rPr>
          <w:rFonts w:ascii="Times New Roman" w:hAnsi="Times New Roman" w:cs="Times New Roman"/>
          <w:sz w:val="24"/>
          <w:szCs w:val="24"/>
        </w:rPr>
        <w:t>thus</w:t>
      </w:r>
      <w:r w:rsidR="00326030">
        <w:rPr>
          <w:rFonts w:ascii="Times New Roman" w:hAnsi="Times New Roman" w:cs="Times New Roman"/>
          <w:sz w:val="24"/>
          <w:szCs w:val="24"/>
        </w:rPr>
        <w:t>, customers should not pay for remediation costs after that date.</w:t>
      </w:r>
      <w:r>
        <w:rPr>
          <w:rStyle w:val="FootnoteReference"/>
          <w:rFonts w:ascii="Times New Roman" w:hAnsi="Times New Roman" w:cs="Times New Roman"/>
          <w:sz w:val="24"/>
          <w:szCs w:val="24"/>
        </w:rPr>
        <w:footnoteReference w:id="4"/>
      </w:r>
      <w:r w:rsidR="00E17B46">
        <w:rPr>
          <w:rFonts w:ascii="Times New Roman" w:hAnsi="Times New Roman" w:cs="Times New Roman"/>
          <w:sz w:val="24"/>
          <w:szCs w:val="24"/>
        </w:rPr>
        <w:t xml:space="preserve"> </w:t>
      </w:r>
      <w:r w:rsidR="00711A5A">
        <w:rPr>
          <w:rFonts w:ascii="Times New Roman" w:hAnsi="Times New Roman" w:cs="Times New Roman"/>
          <w:sz w:val="24"/>
          <w:szCs w:val="24"/>
        </w:rPr>
        <w:t>Yet in its application</w:t>
      </w:r>
      <w:r>
        <w:rPr>
          <w:rFonts w:ascii="Times New Roman" w:hAnsi="Times New Roman" w:cs="Times New Roman"/>
          <w:sz w:val="24"/>
          <w:szCs w:val="24"/>
        </w:rPr>
        <w:t>,</w:t>
      </w:r>
      <w:r w:rsidR="00711A5A">
        <w:rPr>
          <w:rFonts w:ascii="Times New Roman" w:hAnsi="Times New Roman" w:cs="Times New Roman"/>
          <w:sz w:val="24"/>
          <w:szCs w:val="24"/>
        </w:rPr>
        <w:t xml:space="preserve"> </w:t>
      </w:r>
      <w:r w:rsidR="00604A31">
        <w:rPr>
          <w:rFonts w:ascii="Times New Roman" w:hAnsi="Times New Roman" w:cs="Times New Roman"/>
          <w:sz w:val="24"/>
          <w:szCs w:val="24"/>
        </w:rPr>
        <w:t xml:space="preserve">Duke asks the PUCO for permission to charge customers for remediation of the </w:t>
      </w:r>
      <w:r w:rsidR="00E62BA4">
        <w:rPr>
          <w:rFonts w:ascii="Times New Roman" w:hAnsi="Times New Roman" w:cs="Times New Roman"/>
          <w:sz w:val="24"/>
          <w:szCs w:val="24"/>
        </w:rPr>
        <w:t>East End</w:t>
      </w:r>
      <w:r w:rsidR="00604A31">
        <w:rPr>
          <w:rFonts w:ascii="Times New Roman" w:hAnsi="Times New Roman" w:cs="Times New Roman"/>
          <w:sz w:val="24"/>
          <w:szCs w:val="24"/>
        </w:rPr>
        <w:t xml:space="preserve"> site </w:t>
      </w:r>
      <w:r w:rsidR="00787478">
        <w:rPr>
          <w:rFonts w:ascii="Times New Roman" w:hAnsi="Times New Roman" w:cs="Times New Roman"/>
          <w:sz w:val="24"/>
          <w:szCs w:val="24"/>
        </w:rPr>
        <w:t xml:space="preserve">for an indefinite period of time </w:t>
      </w:r>
      <w:r w:rsidR="00326030">
        <w:rPr>
          <w:rFonts w:ascii="Times New Roman" w:hAnsi="Times New Roman" w:cs="Times New Roman"/>
          <w:sz w:val="24"/>
          <w:szCs w:val="24"/>
        </w:rPr>
        <w:t xml:space="preserve">beyond December 31, 2016. </w:t>
      </w:r>
    </w:p>
    <w:p w:rsidR="00604A31" w:rsidP="00BF1243">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t>To</w:t>
      </w:r>
      <w:r w:rsidR="00711A5A">
        <w:rPr>
          <w:rFonts w:ascii="Times New Roman" w:hAnsi="Times New Roman" w:cs="Times New Roman"/>
          <w:sz w:val="24"/>
          <w:szCs w:val="24"/>
        </w:rPr>
        <w:t xml:space="preserve"> obtain an extension, the PUCO has ruled that </w:t>
      </w:r>
      <w:r>
        <w:rPr>
          <w:rFonts w:ascii="Times New Roman" w:hAnsi="Times New Roman" w:cs="Times New Roman"/>
          <w:sz w:val="24"/>
          <w:szCs w:val="24"/>
        </w:rPr>
        <w:t xml:space="preserve">Duke must show that </w:t>
      </w:r>
      <w:r w:rsidR="00915EDD">
        <w:rPr>
          <w:rFonts w:ascii="Times New Roman" w:hAnsi="Times New Roman" w:cs="Times New Roman"/>
          <w:sz w:val="24"/>
          <w:szCs w:val="24"/>
        </w:rPr>
        <w:t>"</w:t>
      </w:r>
      <w:r>
        <w:rPr>
          <w:rFonts w:ascii="Times New Roman" w:hAnsi="Times New Roman" w:cs="Times New Roman"/>
          <w:sz w:val="24"/>
          <w:szCs w:val="24"/>
        </w:rPr>
        <w:t>exigent circumstance</w:t>
      </w:r>
      <w:r w:rsidR="008F6ADC">
        <w:rPr>
          <w:rFonts w:ascii="Times New Roman" w:hAnsi="Times New Roman" w:cs="Times New Roman"/>
          <w:sz w:val="24"/>
          <w:szCs w:val="24"/>
        </w:rPr>
        <w:t>s</w:t>
      </w:r>
      <w:r w:rsidR="00915EDD">
        <w:rPr>
          <w:rFonts w:ascii="Times New Roman" w:hAnsi="Times New Roman" w:cs="Times New Roman"/>
          <w:sz w:val="24"/>
          <w:szCs w:val="24"/>
        </w:rPr>
        <w:t>"</w:t>
      </w:r>
      <w:r>
        <w:rPr>
          <w:rFonts w:ascii="Times New Roman" w:hAnsi="Times New Roman" w:cs="Times New Roman"/>
          <w:sz w:val="24"/>
          <w:szCs w:val="24"/>
        </w:rPr>
        <w:t xml:space="preserve"> exist</w:t>
      </w:r>
      <w:r w:rsidR="00711A5A">
        <w:rPr>
          <w:rFonts w:ascii="Times New Roman" w:hAnsi="Times New Roman" w:cs="Times New Roman"/>
          <w:sz w:val="24"/>
          <w:szCs w:val="24"/>
        </w:rPr>
        <w:t xml:space="preserve">.  The </w:t>
      </w:r>
      <w:r>
        <w:rPr>
          <w:rFonts w:ascii="Times New Roman" w:hAnsi="Times New Roman" w:cs="Times New Roman"/>
          <w:sz w:val="24"/>
          <w:szCs w:val="24"/>
        </w:rPr>
        <w:t xml:space="preserve">PUCO has defined </w:t>
      </w:r>
      <w:r w:rsidR="00711A5A">
        <w:rPr>
          <w:rFonts w:ascii="Times New Roman" w:hAnsi="Times New Roman" w:cs="Times New Roman"/>
          <w:sz w:val="24"/>
          <w:szCs w:val="24"/>
        </w:rPr>
        <w:t xml:space="preserve">exigent circumstances </w:t>
      </w:r>
      <w:r>
        <w:rPr>
          <w:rFonts w:ascii="Times New Roman" w:hAnsi="Times New Roman" w:cs="Times New Roman"/>
          <w:sz w:val="24"/>
          <w:szCs w:val="24"/>
        </w:rPr>
        <w:t xml:space="preserve">as </w:t>
      </w:r>
      <w:r w:rsidR="008F6ADC">
        <w:rPr>
          <w:rFonts w:ascii="Times New Roman" w:hAnsi="Times New Roman" w:cs="Times New Roman"/>
          <w:sz w:val="24"/>
          <w:szCs w:val="24"/>
        </w:rPr>
        <w:t xml:space="preserve">events </w:t>
      </w:r>
      <w:r w:rsidR="00915EDD">
        <w:rPr>
          <w:rFonts w:ascii="Times New Roman" w:hAnsi="Times New Roman" w:cs="Times New Roman"/>
          <w:sz w:val="24"/>
          <w:szCs w:val="24"/>
        </w:rPr>
        <w:t>"</w:t>
      </w:r>
      <w:r>
        <w:rPr>
          <w:rFonts w:ascii="Times New Roman" w:hAnsi="Times New Roman" w:cs="Times New Roman"/>
          <w:sz w:val="24"/>
          <w:szCs w:val="24"/>
        </w:rPr>
        <w:t xml:space="preserve">beyond </w:t>
      </w:r>
      <w:r>
        <w:rPr>
          <w:rFonts w:ascii="Times New Roman" w:hAnsi="Times New Roman" w:cs="Times New Roman"/>
          <w:sz w:val="24"/>
          <w:szCs w:val="24"/>
        </w:rPr>
        <w:t>the control</w:t>
      </w:r>
      <w:r w:rsidR="00915EDD">
        <w:rPr>
          <w:rFonts w:ascii="Times New Roman" w:hAnsi="Times New Roman" w:cs="Times New Roman"/>
          <w:sz w:val="24"/>
          <w:szCs w:val="24"/>
        </w:rPr>
        <w:t>"</w:t>
      </w:r>
      <w:r>
        <w:rPr>
          <w:rFonts w:ascii="Times New Roman" w:hAnsi="Times New Roman" w:cs="Times New Roman"/>
          <w:sz w:val="24"/>
          <w:szCs w:val="24"/>
        </w:rPr>
        <w:t xml:space="preserve"> of Duke.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711A5A">
        <w:rPr>
          <w:rFonts w:ascii="Times New Roman" w:hAnsi="Times New Roman" w:cs="Times New Roman"/>
          <w:sz w:val="24"/>
          <w:szCs w:val="24"/>
        </w:rPr>
        <w:t xml:space="preserve">Duke claims that the remediation has been </w:t>
      </w:r>
      <w:r w:rsidR="00915EDD">
        <w:rPr>
          <w:rFonts w:ascii="Times New Roman" w:hAnsi="Times New Roman" w:cs="Times New Roman"/>
          <w:sz w:val="24"/>
          <w:szCs w:val="24"/>
        </w:rPr>
        <w:t>"</w:t>
      </w:r>
      <w:r w:rsidR="00711A5A">
        <w:rPr>
          <w:rFonts w:ascii="Times New Roman" w:hAnsi="Times New Roman" w:cs="Times New Roman"/>
          <w:sz w:val="24"/>
          <w:szCs w:val="24"/>
        </w:rPr>
        <w:t>arduous</w:t>
      </w:r>
      <w:r w:rsidR="00915EDD">
        <w:rPr>
          <w:rFonts w:ascii="Times New Roman" w:hAnsi="Times New Roman" w:cs="Times New Roman"/>
          <w:sz w:val="24"/>
          <w:szCs w:val="24"/>
        </w:rPr>
        <w:t>"</w:t>
      </w:r>
      <w:r w:rsidR="00711A5A">
        <w:rPr>
          <w:rFonts w:ascii="Times New Roman" w:hAnsi="Times New Roman" w:cs="Times New Roman"/>
          <w:sz w:val="24"/>
          <w:szCs w:val="24"/>
        </w:rPr>
        <w:t xml:space="preserve"> and it has had to contend with winter weather conditions, complexity in the site area, and has had to conduct more intense investigations wi</w:t>
      </w:r>
      <w:r w:rsidR="00915EDD">
        <w:rPr>
          <w:rFonts w:ascii="Times New Roman" w:hAnsi="Times New Roman" w:cs="Times New Roman"/>
          <w:sz w:val="24"/>
          <w:szCs w:val="24"/>
        </w:rPr>
        <w:t xml:space="preserve">th respect to the remediation. </w:t>
      </w:r>
      <w:r w:rsidR="00711A5A">
        <w:rPr>
          <w:rFonts w:ascii="Times New Roman" w:hAnsi="Times New Roman" w:cs="Times New Roman"/>
          <w:sz w:val="24"/>
          <w:szCs w:val="24"/>
        </w:rPr>
        <w:t xml:space="preserve">Duke claims </w:t>
      </w:r>
      <w:r w:rsidR="00915EDD">
        <w:rPr>
          <w:rFonts w:ascii="Times New Roman" w:hAnsi="Times New Roman" w:cs="Times New Roman"/>
          <w:sz w:val="24"/>
          <w:szCs w:val="24"/>
        </w:rPr>
        <w:t xml:space="preserve">that </w:t>
      </w:r>
      <w:r w:rsidR="00711A5A">
        <w:rPr>
          <w:rFonts w:ascii="Times New Roman" w:hAnsi="Times New Roman" w:cs="Times New Roman"/>
          <w:sz w:val="24"/>
          <w:szCs w:val="24"/>
        </w:rPr>
        <w:t>these factors have led to its</w:t>
      </w:r>
      <w:r w:rsidR="008F6ADC">
        <w:rPr>
          <w:rFonts w:ascii="Times New Roman" w:hAnsi="Times New Roman" w:cs="Times New Roman"/>
          <w:sz w:val="24"/>
          <w:szCs w:val="24"/>
        </w:rPr>
        <w:t xml:space="preserve"> delay in remediating the East End MGP site</w:t>
      </w:r>
      <w:r w:rsidR="00E17B46">
        <w:rPr>
          <w:rFonts w:ascii="Times New Roman" w:hAnsi="Times New Roman" w:cs="Times New Roman"/>
          <w:sz w:val="24"/>
          <w:szCs w:val="24"/>
        </w:rPr>
        <w:t xml:space="preserve"> and so it needs </w:t>
      </w:r>
      <w:r w:rsidR="00915EDD">
        <w:rPr>
          <w:rFonts w:ascii="Times New Roman" w:hAnsi="Times New Roman" w:cs="Times New Roman"/>
          <w:sz w:val="24"/>
          <w:szCs w:val="24"/>
        </w:rPr>
        <w:t xml:space="preserve">an indefinite extension. </w:t>
      </w:r>
      <w:r w:rsidR="00E17B46">
        <w:rPr>
          <w:rFonts w:ascii="Times New Roman" w:hAnsi="Times New Roman" w:cs="Times New Roman"/>
          <w:sz w:val="24"/>
          <w:szCs w:val="24"/>
        </w:rPr>
        <w:t>The PUCO should find that the difficulties Duke experienced do not amount to exigent circumstances</w:t>
      </w:r>
      <w:r w:rsidR="00915EDD">
        <w:rPr>
          <w:rFonts w:ascii="Times New Roman" w:hAnsi="Times New Roman" w:cs="Times New Roman"/>
          <w:sz w:val="24"/>
          <w:szCs w:val="24"/>
        </w:rPr>
        <w:t xml:space="preserve">. </w:t>
      </w:r>
      <w:r w:rsidR="00E17B46">
        <w:rPr>
          <w:rFonts w:ascii="Times New Roman" w:hAnsi="Times New Roman" w:cs="Times New Roman"/>
          <w:sz w:val="24"/>
          <w:szCs w:val="24"/>
        </w:rPr>
        <w:t xml:space="preserve">Customers should not be forced to pay for remediation activities after </w:t>
      </w:r>
      <w:r w:rsidR="00915EDD">
        <w:rPr>
          <w:rFonts w:ascii="Times New Roman" w:hAnsi="Times New Roman" w:cs="Times New Roman"/>
          <w:sz w:val="24"/>
          <w:szCs w:val="24"/>
        </w:rPr>
        <w:t xml:space="preserve">December 31, 2016. </w:t>
      </w:r>
      <w:r w:rsidR="00E17B46">
        <w:rPr>
          <w:rFonts w:ascii="Times New Roman" w:hAnsi="Times New Roman" w:cs="Times New Roman"/>
          <w:sz w:val="24"/>
          <w:szCs w:val="24"/>
        </w:rPr>
        <w:t>Duke</w:t>
      </w:r>
      <w:r w:rsidR="00915EDD">
        <w:rPr>
          <w:rFonts w:ascii="Times New Roman" w:hAnsi="Times New Roman" w:cs="Times New Roman"/>
          <w:sz w:val="24"/>
          <w:szCs w:val="24"/>
        </w:rPr>
        <w:t>'</w:t>
      </w:r>
      <w:r w:rsidR="00E17B46">
        <w:rPr>
          <w:rFonts w:ascii="Times New Roman" w:hAnsi="Times New Roman" w:cs="Times New Roman"/>
          <w:sz w:val="24"/>
          <w:szCs w:val="24"/>
        </w:rPr>
        <w:t xml:space="preserve">s application for an indefinite extension should be denied.  </w:t>
      </w:r>
    </w:p>
    <w:p w:rsidR="00F5583E" w:rsidP="00F5583E">
      <w:pPr>
        <w:pStyle w:val="ListParagraph"/>
        <w:spacing w:before="240" w:after="0" w:line="240" w:lineRule="auto"/>
        <w:ind w:left="0" w:firstLine="720"/>
        <w:rPr>
          <w:rFonts w:ascii="Times New Roman" w:hAnsi="Times New Roman" w:cs="Times New Roman"/>
          <w:sz w:val="24"/>
          <w:szCs w:val="24"/>
        </w:rPr>
      </w:pPr>
    </w:p>
    <w:p w:rsidR="00922601" w:rsidRPr="00604A31" w:rsidP="00604A31">
      <w:pPr>
        <w:pStyle w:val="ListParagraph"/>
        <w:spacing w:before="240" w:after="0" w:line="480" w:lineRule="auto"/>
        <w:ind w:left="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BACKGROUND</w:t>
      </w:r>
    </w:p>
    <w:p w:rsidR="00BF41DB" w:rsidP="00E62BA4">
      <w:pPr>
        <w:spacing w:line="480" w:lineRule="auto"/>
        <w:ind w:firstLine="720"/>
        <w:rPr>
          <w:color w:val="333333"/>
          <w:szCs w:val="24"/>
          <w:shd w:val="clear" w:color="auto" w:fill="FFFFFF"/>
        </w:rPr>
      </w:pPr>
      <w:r>
        <w:rPr>
          <w:szCs w:val="24"/>
        </w:rPr>
        <w:t xml:space="preserve">Nearly 40 years ago, the Ohio Supreme Court </w:t>
      </w:r>
      <w:r w:rsidR="00E17B46">
        <w:rPr>
          <w:szCs w:val="24"/>
        </w:rPr>
        <w:t xml:space="preserve">acknowledged </w:t>
      </w:r>
      <w:r w:rsidR="007F68EF">
        <w:rPr>
          <w:szCs w:val="24"/>
        </w:rPr>
        <w:t>the</w:t>
      </w:r>
      <w:r>
        <w:rPr>
          <w:szCs w:val="24"/>
        </w:rPr>
        <w:t xml:space="preserve"> </w:t>
      </w:r>
      <w:r w:rsidR="00915EDD">
        <w:rPr>
          <w:szCs w:val="24"/>
        </w:rPr>
        <w:t>"</w:t>
      </w:r>
      <w:r>
        <w:rPr>
          <w:szCs w:val="24"/>
        </w:rPr>
        <w:t xml:space="preserve">generally accepted principle that a utility is not entitled to include in the valuation of its rate base property not </w:t>
      </w:r>
      <w:r w:rsidRPr="00946CFD">
        <w:rPr>
          <w:color w:val="333333"/>
          <w:szCs w:val="24"/>
          <w:shd w:val="clear" w:color="auto" w:fill="FFFFFF"/>
        </w:rPr>
        <w:t xml:space="preserve">actually used or useful in providing public service, </w:t>
      </w:r>
      <w:r w:rsidRPr="00BF41DB">
        <w:rPr>
          <w:color w:val="333333"/>
          <w:szCs w:val="24"/>
          <w:u w:val="single"/>
          <w:shd w:val="clear" w:color="auto" w:fill="FFFFFF"/>
        </w:rPr>
        <w:t>no matter how useful the property may have been in the past</w:t>
      </w:r>
      <w:r w:rsidRPr="00946CFD">
        <w:rPr>
          <w:b/>
          <w:color w:val="333333"/>
          <w:szCs w:val="24"/>
          <w:shd w:val="clear" w:color="auto" w:fill="FFFFFF"/>
        </w:rPr>
        <w:t xml:space="preserve"> </w:t>
      </w:r>
      <w:r w:rsidRPr="00946CFD">
        <w:rPr>
          <w:color w:val="333333"/>
          <w:szCs w:val="24"/>
          <w:shd w:val="clear" w:color="auto" w:fill="FFFFFF"/>
        </w:rPr>
        <w:t>or may yet be in the future.</w:t>
      </w:r>
      <w:r w:rsidR="00915EDD">
        <w:rPr>
          <w:color w:val="333333"/>
          <w:szCs w:val="24"/>
          <w:shd w:val="clear" w:color="auto" w:fill="FFFFFF"/>
        </w:rPr>
        <w:t>"</w:t>
      </w:r>
      <w:r>
        <w:rPr>
          <w:rStyle w:val="FootnoteReference"/>
          <w:color w:val="333333"/>
          <w:szCs w:val="24"/>
          <w:shd w:val="clear" w:color="auto" w:fill="FFFFFF"/>
        </w:rPr>
        <w:footnoteReference w:id="6"/>
      </w:r>
      <w:r>
        <w:rPr>
          <w:color w:val="333333"/>
          <w:szCs w:val="24"/>
          <w:shd w:val="clear" w:color="auto" w:fill="FFFFFF"/>
        </w:rPr>
        <w:t xml:space="preserve"> This longstanding principle is codified in Ohio law under Re</w:t>
      </w:r>
      <w:r w:rsidR="00D01F49">
        <w:rPr>
          <w:color w:val="333333"/>
          <w:szCs w:val="24"/>
          <w:shd w:val="clear" w:color="auto" w:fill="FFFFFF"/>
        </w:rPr>
        <w:t>vised Code section 4909.15</w:t>
      </w:r>
      <w:r>
        <w:rPr>
          <w:color w:val="333333"/>
          <w:szCs w:val="24"/>
          <w:shd w:val="clear" w:color="auto" w:fill="FFFFFF"/>
        </w:rPr>
        <w:t>.</w:t>
      </w:r>
      <w:r>
        <w:rPr>
          <w:rStyle w:val="FootnoteReference"/>
          <w:color w:val="333333"/>
          <w:szCs w:val="24"/>
          <w:shd w:val="clear" w:color="auto" w:fill="FFFFFF"/>
        </w:rPr>
        <w:footnoteReference w:id="7"/>
      </w:r>
    </w:p>
    <w:p w:rsidR="00FB30CF" w:rsidP="007F68EF">
      <w:pPr>
        <w:pStyle w:val="ListParagraph"/>
        <w:spacing w:after="0" w:line="480" w:lineRule="auto"/>
        <w:ind w:left="0" w:firstLine="72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Despite the law and the Ohio Supreme Court precedent, i</w:t>
      </w:r>
      <w:r w:rsidR="007F68EF">
        <w:rPr>
          <w:rFonts w:ascii="Times New Roman" w:eastAsia="Times New Roman" w:hAnsi="Times New Roman" w:cs="Times New Roman"/>
          <w:color w:val="333333"/>
          <w:sz w:val="24"/>
          <w:szCs w:val="24"/>
          <w:shd w:val="clear" w:color="auto" w:fill="FFFFFF"/>
        </w:rPr>
        <w:t xml:space="preserve">n its last rate case, Duke </w:t>
      </w:r>
      <w:r>
        <w:rPr>
          <w:rFonts w:ascii="Times New Roman" w:eastAsia="Times New Roman" w:hAnsi="Times New Roman" w:cs="Times New Roman"/>
          <w:color w:val="333333"/>
          <w:sz w:val="24"/>
          <w:szCs w:val="24"/>
          <w:shd w:val="clear" w:color="auto" w:fill="FFFFFF"/>
        </w:rPr>
        <w:t xml:space="preserve">sought to </w:t>
      </w:r>
      <w:r w:rsidR="007F68EF">
        <w:rPr>
          <w:rFonts w:ascii="Times New Roman" w:eastAsia="Times New Roman" w:hAnsi="Times New Roman" w:cs="Times New Roman"/>
          <w:color w:val="333333"/>
          <w:sz w:val="24"/>
          <w:szCs w:val="24"/>
          <w:shd w:val="clear" w:color="auto" w:fill="FFFFFF"/>
        </w:rPr>
        <w:t xml:space="preserve">charge customers </w:t>
      </w:r>
      <w:r w:rsidR="007F68EF">
        <w:rPr>
          <w:rFonts w:ascii="Times New Roman" w:hAnsi="Times New Roman" w:cs="Times New Roman"/>
          <w:sz w:val="24"/>
          <w:szCs w:val="24"/>
        </w:rPr>
        <w:t xml:space="preserve">for environmental investigation and remediation for two </w:t>
      </w:r>
      <w:r w:rsidR="00D01F49">
        <w:rPr>
          <w:rFonts w:ascii="Times New Roman" w:hAnsi="Times New Roman" w:cs="Times New Roman"/>
          <w:sz w:val="24"/>
          <w:szCs w:val="24"/>
        </w:rPr>
        <w:t xml:space="preserve">former </w:t>
      </w:r>
      <w:r w:rsidR="007F68EF">
        <w:rPr>
          <w:rFonts w:ascii="Times New Roman" w:hAnsi="Times New Roman" w:cs="Times New Roman"/>
          <w:sz w:val="24"/>
          <w:szCs w:val="24"/>
        </w:rPr>
        <w:t>manufactured gas plants.</w:t>
      </w:r>
      <w:r>
        <w:rPr>
          <w:rStyle w:val="FootnoteReference"/>
          <w:rFonts w:ascii="Times New Roman" w:hAnsi="Times New Roman" w:cs="Times New Roman"/>
          <w:sz w:val="24"/>
          <w:szCs w:val="24"/>
        </w:rPr>
        <w:footnoteReference w:id="8"/>
      </w:r>
      <w:r w:rsidR="007F68EF">
        <w:rPr>
          <w:rFonts w:ascii="Times New Roman" w:hAnsi="Times New Roman" w:cs="Times New Roman"/>
          <w:sz w:val="24"/>
          <w:szCs w:val="24"/>
        </w:rPr>
        <w:t xml:space="preserve"> OCC</w:t>
      </w:r>
      <w:r w:rsidR="00BC1B21">
        <w:rPr>
          <w:rFonts w:ascii="Times New Roman" w:hAnsi="Times New Roman" w:cs="Times New Roman"/>
          <w:sz w:val="24"/>
          <w:szCs w:val="24"/>
        </w:rPr>
        <w:t>, Kroger,</w:t>
      </w:r>
      <w:r w:rsidR="007F68EF">
        <w:rPr>
          <w:rFonts w:ascii="Times New Roman" w:hAnsi="Times New Roman" w:cs="Times New Roman"/>
          <w:sz w:val="24"/>
          <w:szCs w:val="24"/>
        </w:rPr>
        <w:t xml:space="preserve"> and other parties opposed this customer charge because these plants h</w:t>
      </w:r>
      <w:r w:rsidR="00D01F49">
        <w:rPr>
          <w:rFonts w:ascii="Times New Roman" w:hAnsi="Times New Roman" w:cs="Times New Roman"/>
          <w:sz w:val="24"/>
          <w:szCs w:val="24"/>
        </w:rPr>
        <w:t xml:space="preserve">ave not been used and useful for </w:t>
      </w:r>
      <w:r w:rsidR="007F68EF">
        <w:rPr>
          <w:rFonts w:ascii="Times New Roman" w:hAnsi="Times New Roman" w:cs="Times New Roman"/>
          <w:sz w:val="24"/>
          <w:szCs w:val="24"/>
        </w:rPr>
        <w:t>50 years</w:t>
      </w:r>
      <w:r>
        <w:rPr>
          <w:rFonts w:ascii="Times New Roman" w:hAnsi="Times New Roman" w:cs="Times New Roman"/>
          <w:sz w:val="24"/>
          <w:szCs w:val="24"/>
        </w:rPr>
        <w:t>.  P</w:t>
      </w:r>
      <w:r w:rsidR="00D01F49">
        <w:rPr>
          <w:rFonts w:ascii="Times New Roman" w:hAnsi="Times New Roman" w:cs="Times New Roman"/>
          <w:sz w:val="24"/>
          <w:szCs w:val="24"/>
        </w:rPr>
        <w:t>roduction of manufactured gas at these plants ended in the 1960s</w:t>
      </w:r>
      <w:r w:rsidR="007F68EF">
        <w:rPr>
          <w:rFonts w:ascii="Times New Roman" w:hAnsi="Times New Roman" w:cs="Times New Roman"/>
          <w:sz w:val="24"/>
          <w:szCs w:val="24"/>
        </w:rPr>
        <w:t>.</w:t>
      </w:r>
      <w:r>
        <w:rPr>
          <w:rStyle w:val="FootnoteReference"/>
          <w:rFonts w:ascii="Times New Roman" w:eastAsia="Times New Roman" w:hAnsi="Times New Roman" w:cs="Times New Roman"/>
          <w:color w:val="333333"/>
          <w:sz w:val="24"/>
          <w:szCs w:val="24"/>
          <w:shd w:val="clear" w:color="auto" w:fill="FFFFFF"/>
        </w:rPr>
        <w:footnoteReference w:id="9"/>
      </w:r>
      <w:r w:rsidR="007F68EF">
        <w:rPr>
          <w:rFonts w:ascii="Times New Roman" w:hAnsi="Times New Roman" w:cs="Times New Roman"/>
          <w:sz w:val="24"/>
          <w:szCs w:val="24"/>
        </w:rPr>
        <w:t xml:space="preserve"> PUCO Commissioners </w:t>
      </w:r>
      <w:r w:rsidR="007F68EF">
        <w:rPr>
          <w:rFonts w:ascii="Times New Roman" w:eastAsia="Times New Roman" w:hAnsi="Times New Roman" w:cs="Times New Roman"/>
          <w:color w:val="333333"/>
          <w:sz w:val="24"/>
          <w:szCs w:val="24"/>
          <w:shd w:val="clear" w:color="auto" w:fill="FFFFFF"/>
        </w:rPr>
        <w:t>Lesser and Haque agreed with the intervening parties</w:t>
      </w:r>
      <w:r w:rsidR="00903776">
        <w:rPr>
          <w:rFonts w:ascii="Times New Roman" w:eastAsia="Times New Roman" w:hAnsi="Times New Roman" w:cs="Times New Roman"/>
          <w:color w:val="333333"/>
          <w:sz w:val="24"/>
          <w:szCs w:val="24"/>
          <w:shd w:val="clear" w:color="auto" w:fill="FFFFFF"/>
        </w:rPr>
        <w:t xml:space="preserve">:  </w:t>
      </w:r>
    </w:p>
    <w:p w:rsidR="007F68EF" w:rsidP="00F5583E">
      <w:pPr>
        <w:pStyle w:val="ListParagraph"/>
        <w:spacing w:after="240" w:line="240" w:lineRule="auto"/>
        <w:ind w:left="1440" w:right="720"/>
        <w:contextualSpacing w:val="0"/>
        <w:jc w:val="both"/>
        <w:rPr>
          <w:rFonts w:ascii="Times New Roman" w:hAnsi="Times New Roman" w:cs="Times New Roman"/>
          <w:sz w:val="24"/>
          <w:szCs w:val="24"/>
        </w:rPr>
      </w:pPr>
      <w:r w:rsidRPr="0015663E">
        <w:rPr>
          <w:rFonts w:ascii="Times New Roman" w:hAnsi="Times New Roman" w:cs="Times New Roman"/>
          <w:sz w:val="24"/>
          <w:szCs w:val="24"/>
        </w:rPr>
        <w:t xml:space="preserve">Duke is attempting to obtain relief that we are simply unable to grant as we are limited by the statutory authority given to this Commission under R.C. 4909.15. Specifically, Duke is attempting to recover the expenses for remediation of the subject properties under R.C 4909.15(A)(4). We decline to extend the statutory language and the established precedent to interpret (A)(4) to include the remediation performed by Duke here, that is, we find that the remediation is not a </w:t>
      </w:r>
      <w:r w:rsidR="00915EDD">
        <w:rPr>
          <w:rFonts w:ascii="Times New Roman" w:hAnsi="Times New Roman" w:cs="Times New Roman"/>
          <w:sz w:val="24"/>
          <w:szCs w:val="24"/>
        </w:rPr>
        <w:t>'</w:t>
      </w:r>
      <w:r w:rsidRPr="0015663E">
        <w:rPr>
          <w:rFonts w:ascii="Times New Roman" w:hAnsi="Times New Roman" w:cs="Times New Roman"/>
          <w:sz w:val="24"/>
          <w:szCs w:val="24"/>
        </w:rPr>
        <w:t>cost to the utility of rendering the public utility service</w:t>
      </w:r>
      <w:r w:rsidR="00915EDD">
        <w:rPr>
          <w:rFonts w:ascii="Times New Roman" w:hAnsi="Times New Roman" w:cs="Times New Roman"/>
          <w:sz w:val="24"/>
          <w:szCs w:val="24"/>
        </w:rPr>
        <w:t>'</w:t>
      </w:r>
      <w:r w:rsidRPr="0015663E">
        <w:rPr>
          <w:rFonts w:ascii="Times New Roman" w:hAnsi="Times New Roman" w:cs="Times New Roman"/>
          <w:sz w:val="24"/>
          <w:szCs w:val="24"/>
        </w:rPr>
        <w:t xml:space="preserve"> as being incurred during the test year, and is not a </w:t>
      </w:r>
      <w:r w:rsidR="00915EDD">
        <w:rPr>
          <w:rFonts w:ascii="Times New Roman" w:hAnsi="Times New Roman" w:cs="Times New Roman"/>
          <w:sz w:val="24"/>
          <w:szCs w:val="24"/>
        </w:rPr>
        <w:t>"</w:t>
      </w:r>
      <w:r w:rsidRPr="0015663E">
        <w:rPr>
          <w:rFonts w:ascii="Times New Roman" w:hAnsi="Times New Roman" w:cs="Times New Roman"/>
          <w:sz w:val="24"/>
          <w:szCs w:val="24"/>
        </w:rPr>
        <w:t>normal, recurring</w:t>
      </w:r>
      <w:r w:rsidR="00915EDD">
        <w:rPr>
          <w:rFonts w:ascii="Times New Roman" w:hAnsi="Times New Roman" w:cs="Times New Roman"/>
          <w:sz w:val="24"/>
          <w:szCs w:val="24"/>
        </w:rPr>
        <w:t>"</w:t>
      </w:r>
      <w:r w:rsidRPr="0015663E">
        <w:rPr>
          <w:rFonts w:ascii="Times New Roman" w:hAnsi="Times New Roman" w:cs="Times New Roman"/>
          <w:sz w:val="24"/>
          <w:szCs w:val="24"/>
        </w:rPr>
        <w:t xml:space="preserve"> expense.</w:t>
      </w:r>
      <w:r>
        <w:rPr>
          <w:rStyle w:val="FootnoteReference"/>
          <w:rFonts w:ascii="Times New Roman" w:hAnsi="Times New Roman" w:cs="Times New Roman"/>
          <w:sz w:val="24"/>
          <w:szCs w:val="24"/>
        </w:rPr>
        <w:footnoteReference w:id="10"/>
      </w:r>
    </w:p>
    <w:p w:rsidR="007F68EF" w:rsidP="007F68EF">
      <w:pPr>
        <w:pStyle w:val="ListParagraph"/>
        <w:spacing w:after="0" w:line="480" w:lineRule="auto"/>
        <w:ind w:left="0"/>
        <w:rPr>
          <w:rFonts w:ascii="Times New Roman" w:eastAsia="Times New Roman" w:hAnsi="Times New Roman" w:cs="Times New Roman"/>
          <w:color w:val="333333"/>
          <w:sz w:val="24"/>
          <w:szCs w:val="24"/>
          <w:shd w:val="clear" w:color="auto" w:fill="FFFFFF"/>
        </w:rPr>
      </w:pPr>
      <w:r>
        <w:rPr>
          <w:rFonts w:ascii="Times New Roman" w:hAnsi="Times New Roman" w:cs="Times New Roman"/>
          <w:sz w:val="24"/>
          <w:szCs w:val="24"/>
        </w:rPr>
        <w:t>But a majority of the Commissioners found otherwise</w:t>
      </w:r>
      <w:r w:rsidR="00903776">
        <w:rPr>
          <w:rFonts w:ascii="Times New Roman" w:hAnsi="Times New Roman" w:cs="Times New Roman"/>
          <w:sz w:val="24"/>
          <w:szCs w:val="24"/>
        </w:rPr>
        <w:t xml:space="preserve">.  Duke was </w:t>
      </w:r>
      <w:r>
        <w:rPr>
          <w:rFonts w:ascii="Times New Roman" w:eastAsia="Times New Roman" w:hAnsi="Times New Roman" w:cs="Times New Roman"/>
          <w:color w:val="333333"/>
          <w:sz w:val="24"/>
          <w:szCs w:val="24"/>
          <w:shd w:val="clear" w:color="auto" w:fill="FFFFFF"/>
        </w:rPr>
        <w:t xml:space="preserve">authorized to charge customers </w:t>
      </w:r>
      <w:r>
        <w:rPr>
          <w:rFonts w:ascii="Times New Roman" w:hAnsi="Times New Roman" w:cs="Times New Roman"/>
          <w:sz w:val="24"/>
          <w:szCs w:val="24"/>
        </w:rPr>
        <w:t xml:space="preserve">nearly $55.5 million in </w:t>
      </w:r>
      <w:r w:rsidR="00903776">
        <w:rPr>
          <w:rFonts w:ascii="Times New Roman" w:hAnsi="Times New Roman" w:cs="Times New Roman"/>
          <w:sz w:val="24"/>
          <w:szCs w:val="24"/>
        </w:rPr>
        <w:t xml:space="preserve">remediation </w:t>
      </w:r>
      <w:r>
        <w:rPr>
          <w:rFonts w:ascii="Times New Roman" w:hAnsi="Times New Roman" w:cs="Times New Roman"/>
          <w:sz w:val="24"/>
          <w:szCs w:val="24"/>
        </w:rPr>
        <w:t>costs</w:t>
      </w:r>
      <w:r w:rsidR="00903776">
        <w:rPr>
          <w:rFonts w:ascii="Times New Roman" w:hAnsi="Times New Roman" w:cs="Times New Roman"/>
          <w:sz w:val="24"/>
          <w:szCs w:val="24"/>
        </w:rPr>
        <w:t xml:space="preserve"> for its manufactured gas plants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D01F49" w:rsidP="007F68EF">
      <w:pPr>
        <w:pStyle w:val="ListParagraph"/>
        <w:spacing w:after="0" w:line="480" w:lineRule="auto"/>
        <w:ind w:left="0" w:firstLine="720"/>
        <w:rPr>
          <w:rFonts w:ascii="Times New Roman" w:eastAsia="Times New Roman" w:hAnsi="Times New Roman" w:cs="Times New Roman"/>
          <w:color w:val="333333"/>
          <w:sz w:val="24"/>
          <w:szCs w:val="24"/>
          <w:shd w:val="clear" w:color="auto" w:fill="FFFFFF"/>
        </w:rPr>
      </w:pPr>
      <w:r>
        <w:rPr>
          <w:rFonts w:ascii="Times New Roman" w:hAnsi="Times New Roman" w:cs="Times New Roman"/>
          <w:sz w:val="24"/>
          <w:szCs w:val="24"/>
        </w:rPr>
        <w:t>OCC</w:t>
      </w:r>
      <w:r w:rsidR="00BC1B21">
        <w:rPr>
          <w:rFonts w:ascii="Times New Roman" w:hAnsi="Times New Roman" w:cs="Times New Roman"/>
          <w:sz w:val="24"/>
          <w:szCs w:val="24"/>
        </w:rPr>
        <w:t>, Kroger,</w:t>
      </w:r>
      <w:r>
        <w:rPr>
          <w:rFonts w:ascii="Times New Roman" w:hAnsi="Times New Roman" w:cs="Times New Roman"/>
          <w:sz w:val="24"/>
          <w:szCs w:val="24"/>
        </w:rPr>
        <w:t xml:space="preserve"> and other parties appealed the PUCO</w:t>
      </w:r>
      <w:r w:rsidR="00915EDD">
        <w:rPr>
          <w:rFonts w:ascii="Times New Roman" w:hAnsi="Times New Roman" w:cs="Times New Roman"/>
          <w:sz w:val="24"/>
          <w:szCs w:val="24"/>
        </w:rPr>
        <w:t>'</w:t>
      </w:r>
      <w:r>
        <w:rPr>
          <w:rFonts w:ascii="Times New Roman" w:hAnsi="Times New Roman" w:cs="Times New Roman"/>
          <w:sz w:val="24"/>
          <w:szCs w:val="24"/>
        </w:rPr>
        <w:t>s ruling to the Ohio Supreme Court.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Supreme Court will </w:t>
      </w:r>
      <w:r>
        <w:rPr>
          <w:rFonts w:ascii="Times New Roman" w:hAnsi="Times New Roman" w:cs="Times New Roman"/>
          <w:sz w:val="24"/>
          <w:szCs w:val="24"/>
        </w:rPr>
        <w:t xml:space="preserve">soon </w:t>
      </w:r>
      <w:r>
        <w:rPr>
          <w:rFonts w:ascii="Times New Roman" w:hAnsi="Times New Roman" w:cs="Times New Roman"/>
          <w:sz w:val="24"/>
          <w:szCs w:val="24"/>
        </w:rPr>
        <w:t>decide whether t</w:t>
      </w:r>
      <w:r w:rsidR="00E62BA4">
        <w:rPr>
          <w:rFonts w:ascii="Times New Roman" w:eastAsia="Times New Roman" w:hAnsi="Times New Roman" w:cs="Times New Roman"/>
          <w:color w:val="333333"/>
          <w:sz w:val="24"/>
          <w:szCs w:val="24"/>
          <w:shd w:val="clear" w:color="auto" w:fill="FFFFFF"/>
        </w:rPr>
        <w:t>he PUCO illegally carved out an exception for Duke to charge customers for these manufactured gas plants.</w:t>
      </w:r>
      <w:r>
        <w:rPr>
          <w:rStyle w:val="FootnoteReference"/>
          <w:rFonts w:ascii="Times New Roman" w:eastAsia="Times New Roman" w:hAnsi="Times New Roman" w:cs="Times New Roman"/>
          <w:color w:val="333333"/>
          <w:sz w:val="24"/>
          <w:szCs w:val="24"/>
          <w:shd w:val="clear" w:color="auto" w:fill="FFFFFF"/>
        </w:rPr>
        <w:footnoteReference w:id="13"/>
      </w:r>
      <w:r>
        <w:rPr>
          <w:rFonts w:ascii="Times New Roman" w:eastAsia="Times New Roman" w:hAnsi="Times New Roman" w:cs="Times New Roman"/>
          <w:color w:val="333333"/>
          <w:sz w:val="24"/>
          <w:szCs w:val="24"/>
          <w:shd w:val="clear" w:color="auto" w:fill="FFFFFF"/>
        </w:rPr>
        <w:t xml:space="preserve">  </w:t>
      </w:r>
    </w:p>
    <w:p w:rsidR="00FB30CF" w:rsidP="007F68EF">
      <w:pPr>
        <w:pStyle w:val="ListParagraph"/>
        <w:spacing w:after="0" w:line="480" w:lineRule="auto"/>
        <w:ind w:left="0" w:firstLine="72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Regardless of the ultimate resolution </w:t>
      </w:r>
      <w:r w:rsidR="00903776">
        <w:rPr>
          <w:rFonts w:ascii="Times New Roman" w:eastAsia="Times New Roman" w:hAnsi="Times New Roman" w:cs="Times New Roman"/>
          <w:color w:val="333333"/>
          <w:sz w:val="24"/>
          <w:szCs w:val="24"/>
          <w:shd w:val="clear" w:color="auto" w:fill="FFFFFF"/>
        </w:rPr>
        <w:t xml:space="preserve">of these issues, </w:t>
      </w:r>
      <w:r>
        <w:rPr>
          <w:rFonts w:ascii="Times New Roman" w:eastAsia="Times New Roman" w:hAnsi="Times New Roman" w:cs="Times New Roman"/>
          <w:color w:val="333333"/>
          <w:sz w:val="24"/>
          <w:szCs w:val="24"/>
          <w:shd w:val="clear" w:color="auto" w:fill="FFFFFF"/>
        </w:rPr>
        <w:t xml:space="preserve">the PUCO can </w:t>
      </w:r>
      <w:r w:rsidR="00903776">
        <w:rPr>
          <w:rFonts w:ascii="Times New Roman" w:eastAsia="Times New Roman" w:hAnsi="Times New Roman" w:cs="Times New Roman"/>
          <w:color w:val="333333"/>
          <w:sz w:val="24"/>
          <w:szCs w:val="24"/>
          <w:shd w:val="clear" w:color="auto" w:fill="FFFFFF"/>
        </w:rPr>
        <w:t xml:space="preserve">act now to </w:t>
      </w:r>
      <w:r>
        <w:rPr>
          <w:rFonts w:ascii="Times New Roman" w:eastAsia="Times New Roman" w:hAnsi="Times New Roman" w:cs="Times New Roman"/>
          <w:color w:val="333333"/>
          <w:sz w:val="24"/>
          <w:szCs w:val="24"/>
          <w:shd w:val="clear" w:color="auto" w:fill="FFFFFF"/>
        </w:rPr>
        <w:t>protect customers in the current case</w:t>
      </w:r>
      <w:r w:rsidR="00903776">
        <w:rPr>
          <w:rFonts w:ascii="Times New Roman" w:eastAsia="Times New Roman" w:hAnsi="Times New Roman" w:cs="Times New Roman"/>
          <w:color w:val="333333"/>
          <w:sz w:val="24"/>
          <w:szCs w:val="24"/>
          <w:shd w:val="clear" w:color="auto" w:fill="FFFFFF"/>
        </w:rPr>
        <w:t xml:space="preserve">. It can do so </w:t>
      </w:r>
      <w:r>
        <w:rPr>
          <w:rFonts w:ascii="Times New Roman" w:eastAsia="Times New Roman" w:hAnsi="Times New Roman" w:cs="Times New Roman"/>
          <w:color w:val="333333"/>
          <w:sz w:val="24"/>
          <w:szCs w:val="24"/>
          <w:shd w:val="clear" w:color="auto" w:fill="FFFFFF"/>
        </w:rPr>
        <w:t>by enforcing</w:t>
      </w:r>
      <w:r w:rsidR="001835E8">
        <w:rPr>
          <w:rFonts w:ascii="Times New Roman" w:eastAsia="Times New Roman" w:hAnsi="Times New Roman" w:cs="Times New Roman"/>
          <w:color w:val="333333"/>
          <w:sz w:val="24"/>
          <w:szCs w:val="24"/>
          <w:shd w:val="clear" w:color="auto" w:fill="FFFFFF"/>
        </w:rPr>
        <w:t xml:space="preserve"> its prior Order</w:t>
      </w:r>
      <w:r w:rsidR="00915EDD">
        <w:rPr>
          <w:rFonts w:ascii="Times New Roman" w:eastAsia="Times New Roman" w:hAnsi="Times New Roman" w:cs="Times New Roman"/>
          <w:color w:val="333333"/>
          <w:sz w:val="24"/>
          <w:szCs w:val="24"/>
          <w:shd w:val="clear" w:color="auto" w:fill="FFFFFF"/>
        </w:rPr>
        <w:t>,</w:t>
      </w:r>
      <w:r w:rsidR="001835E8">
        <w:rPr>
          <w:rFonts w:ascii="Times New Roman" w:eastAsia="Times New Roman" w:hAnsi="Times New Roman" w:cs="Times New Roman"/>
          <w:color w:val="333333"/>
          <w:sz w:val="24"/>
          <w:szCs w:val="24"/>
          <w:shd w:val="clear" w:color="auto" w:fill="FFFFFF"/>
        </w:rPr>
        <w:t xml:space="preserve"> which</w:t>
      </w:r>
      <w:r>
        <w:rPr>
          <w:rFonts w:ascii="Times New Roman" w:eastAsia="Times New Roman" w:hAnsi="Times New Roman" w:cs="Times New Roman"/>
          <w:color w:val="333333"/>
          <w:sz w:val="24"/>
          <w:szCs w:val="24"/>
          <w:shd w:val="clear" w:color="auto" w:fill="FFFFFF"/>
        </w:rPr>
        <w:t xml:space="preserve"> </w:t>
      </w:r>
      <w:r w:rsidR="00903776">
        <w:rPr>
          <w:rFonts w:ascii="Times New Roman" w:eastAsia="Times New Roman" w:hAnsi="Times New Roman" w:cs="Times New Roman"/>
          <w:color w:val="333333"/>
          <w:sz w:val="24"/>
          <w:szCs w:val="24"/>
          <w:shd w:val="clear" w:color="auto" w:fill="FFFFFF"/>
        </w:rPr>
        <w:t>limit</w:t>
      </w:r>
      <w:r w:rsidR="001835E8">
        <w:rPr>
          <w:rFonts w:ascii="Times New Roman" w:eastAsia="Times New Roman" w:hAnsi="Times New Roman" w:cs="Times New Roman"/>
          <w:color w:val="333333"/>
          <w:sz w:val="24"/>
          <w:szCs w:val="24"/>
          <w:shd w:val="clear" w:color="auto" w:fill="FFFFFF"/>
        </w:rPr>
        <w:t>ed</w:t>
      </w:r>
      <w:r w:rsidR="00903776">
        <w:rPr>
          <w:rFonts w:ascii="Times New Roman" w:eastAsia="Times New Roman" w:hAnsi="Times New Roman" w:cs="Times New Roman"/>
          <w:color w:val="333333"/>
          <w:sz w:val="24"/>
          <w:szCs w:val="24"/>
          <w:shd w:val="clear" w:color="auto" w:fill="FFFFFF"/>
        </w:rPr>
        <w:t xml:space="preserve"> the remediation costs </w:t>
      </w:r>
      <w:r w:rsidR="00915EDD">
        <w:rPr>
          <w:rFonts w:ascii="Times New Roman" w:eastAsia="Times New Roman" w:hAnsi="Times New Roman" w:cs="Times New Roman"/>
          <w:color w:val="333333"/>
          <w:sz w:val="24"/>
          <w:szCs w:val="24"/>
          <w:shd w:val="clear" w:color="auto" w:fill="FFFFFF"/>
        </w:rPr>
        <w:t xml:space="preserve">that </w:t>
      </w:r>
      <w:r w:rsidR="00903776">
        <w:rPr>
          <w:rFonts w:ascii="Times New Roman" w:eastAsia="Times New Roman" w:hAnsi="Times New Roman" w:cs="Times New Roman"/>
          <w:color w:val="333333"/>
          <w:sz w:val="24"/>
          <w:szCs w:val="24"/>
          <w:shd w:val="clear" w:color="auto" w:fill="FFFFFF"/>
        </w:rPr>
        <w:t>customers must pay</w:t>
      </w:r>
      <w:r w:rsidR="00915EDD">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 xml:space="preserve">The prior </w:t>
      </w:r>
      <w:r w:rsidR="001835E8">
        <w:rPr>
          <w:rFonts w:ascii="Times New Roman" w:eastAsia="Times New Roman" w:hAnsi="Times New Roman" w:cs="Times New Roman"/>
          <w:color w:val="333333"/>
          <w:sz w:val="24"/>
          <w:szCs w:val="24"/>
          <w:shd w:val="clear" w:color="auto" w:fill="FFFFFF"/>
        </w:rPr>
        <w:t>O</w:t>
      </w:r>
      <w:r>
        <w:rPr>
          <w:rFonts w:ascii="Times New Roman" w:eastAsia="Times New Roman" w:hAnsi="Times New Roman" w:cs="Times New Roman"/>
          <w:color w:val="333333"/>
          <w:sz w:val="24"/>
          <w:szCs w:val="24"/>
          <w:shd w:val="clear" w:color="auto" w:fill="FFFFFF"/>
        </w:rPr>
        <w:t xml:space="preserve">rder </w:t>
      </w:r>
      <w:r w:rsidR="00903776">
        <w:rPr>
          <w:rFonts w:ascii="Times New Roman" w:eastAsia="Times New Roman" w:hAnsi="Times New Roman" w:cs="Times New Roman"/>
          <w:color w:val="333333"/>
          <w:sz w:val="24"/>
          <w:szCs w:val="24"/>
          <w:shd w:val="clear" w:color="auto" w:fill="FFFFFF"/>
        </w:rPr>
        <w:t xml:space="preserve">found </w:t>
      </w:r>
      <w:r>
        <w:rPr>
          <w:rFonts w:ascii="Times New Roman" w:eastAsia="Times New Roman" w:hAnsi="Times New Roman" w:cs="Times New Roman"/>
          <w:color w:val="333333"/>
          <w:sz w:val="24"/>
          <w:szCs w:val="24"/>
          <w:shd w:val="clear" w:color="auto" w:fill="FFFFFF"/>
        </w:rPr>
        <w:t xml:space="preserve">that customers should not pay for remediation costs at the East End site after December 31, 2016, absent </w:t>
      </w:r>
      <w:r w:rsidR="00915EDD">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exigent circumstances.</w:t>
      </w:r>
      <w:r w:rsidR="00915EDD">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w:t>
      </w:r>
      <w:r w:rsidR="00903776">
        <w:rPr>
          <w:rFonts w:ascii="Times New Roman" w:eastAsia="Times New Roman" w:hAnsi="Times New Roman" w:cs="Times New Roman"/>
          <w:color w:val="333333"/>
          <w:sz w:val="24"/>
          <w:szCs w:val="24"/>
          <w:shd w:val="clear" w:color="auto" w:fill="FFFFFF"/>
        </w:rPr>
        <w:t>Duke has failed to show that exigent</w:t>
      </w:r>
      <w:r>
        <w:rPr>
          <w:rFonts w:ascii="Times New Roman" w:eastAsia="Times New Roman" w:hAnsi="Times New Roman" w:cs="Times New Roman"/>
          <w:color w:val="333333"/>
          <w:sz w:val="24"/>
          <w:szCs w:val="24"/>
          <w:shd w:val="clear" w:color="auto" w:fill="FFFFFF"/>
        </w:rPr>
        <w:t xml:space="preserve"> circumstances exist. The PUCO should deny Duke</w:t>
      </w:r>
      <w:r w:rsidR="00915EDD">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s application</w:t>
      </w:r>
      <w:r w:rsidR="00903776">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w:t>
      </w:r>
    </w:p>
    <w:p w:rsidR="00F5583E" w:rsidP="00F5583E">
      <w:pPr>
        <w:pStyle w:val="ListParagraph"/>
        <w:spacing w:after="0" w:line="240" w:lineRule="auto"/>
        <w:ind w:left="0" w:firstLine="720"/>
        <w:rPr>
          <w:rFonts w:ascii="Times New Roman" w:eastAsia="Times New Roman" w:hAnsi="Times New Roman" w:cs="Times New Roman"/>
          <w:color w:val="333333"/>
          <w:sz w:val="24"/>
          <w:szCs w:val="24"/>
          <w:shd w:val="clear" w:color="auto" w:fill="FFFFFF"/>
        </w:rPr>
      </w:pPr>
    </w:p>
    <w:p w:rsidR="006D5706" w:rsidP="00FB30CF">
      <w:pPr>
        <w:pStyle w:val="ListParagraph"/>
        <w:spacing w:after="0" w:line="480" w:lineRule="auto"/>
        <w:ind w:left="0"/>
        <w:rPr>
          <w:rFonts w:ascii="Times New Roman Bold" w:hAnsi="Times New Roman Bold" w:cs="Times New Roman"/>
          <w:b/>
          <w:caps/>
          <w:sz w:val="24"/>
          <w:szCs w:val="24"/>
        </w:rPr>
      </w:pPr>
      <w:r>
        <w:rPr>
          <w:rFonts w:ascii="Times New Roman Bold" w:hAnsi="Times New Roman Bold" w:cs="Times New Roman"/>
          <w:b/>
          <w:caps/>
          <w:sz w:val="24"/>
          <w:szCs w:val="24"/>
        </w:rPr>
        <w:t>II</w:t>
      </w:r>
      <w:r w:rsidR="003D2BCC">
        <w:rPr>
          <w:rFonts w:ascii="Times New Roman Bold" w:hAnsi="Times New Roman Bold" w:cs="Times New Roman"/>
          <w:b/>
          <w:caps/>
          <w:sz w:val="24"/>
          <w:szCs w:val="24"/>
        </w:rPr>
        <w:t>I</w:t>
      </w:r>
      <w:r>
        <w:rPr>
          <w:rFonts w:ascii="Times New Roman Bold" w:hAnsi="Times New Roman Bold" w:cs="Times New Roman"/>
          <w:b/>
          <w:caps/>
          <w:sz w:val="24"/>
          <w:szCs w:val="24"/>
        </w:rPr>
        <w:t>.</w:t>
      </w:r>
      <w:r>
        <w:rPr>
          <w:rFonts w:ascii="Times New Roman Bold" w:hAnsi="Times New Roman Bold" w:cs="Times New Roman"/>
          <w:b/>
          <w:caps/>
          <w:sz w:val="24"/>
          <w:szCs w:val="24"/>
        </w:rPr>
        <w:tab/>
      </w:r>
      <w:r w:rsidR="00922601">
        <w:rPr>
          <w:rFonts w:ascii="Times New Roman Bold" w:hAnsi="Times New Roman Bold" w:cs="Times New Roman"/>
          <w:b/>
          <w:caps/>
          <w:sz w:val="24"/>
          <w:szCs w:val="24"/>
        </w:rPr>
        <w:t>Comments</w:t>
      </w:r>
    </w:p>
    <w:p w:rsidR="00F41E77" w:rsidRPr="00D83438" w:rsidP="00F5583E">
      <w:pPr>
        <w:pStyle w:val="ListParagraph"/>
        <w:spacing w:after="240" w:line="240" w:lineRule="auto"/>
        <w:ind w:right="720"/>
        <w:contextualSpacing w:val="0"/>
        <w:rPr>
          <w:rFonts w:ascii="Times New Roman Bold" w:hAnsi="Times New Roman Bold" w:cs="Times New Roman"/>
          <w:b/>
          <w:caps/>
          <w:sz w:val="24"/>
          <w:szCs w:val="24"/>
        </w:rPr>
      </w:pPr>
      <w:r>
        <w:rPr>
          <w:rFonts w:ascii="Times New Roman Bold" w:hAnsi="Times New Roman Bold" w:cs="Times New Roman"/>
          <w:b/>
          <w:sz w:val="24"/>
          <w:szCs w:val="24"/>
        </w:rPr>
        <w:t>"</w:t>
      </w:r>
      <w:r>
        <w:rPr>
          <w:rFonts w:ascii="Times New Roman Bold" w:hAnsi="Times New Roman Bold" w:cs="Times New Roman"/>
          <w:b/>
          <w:sz w:val="24"/>
          <w:szCs w:val="24"/>
        </w:rPr>
        <w:t>Exigent circumstances</w:t>
      </w:r>
      <w:r>
        <w:rPr>
          <w:rFonts w:ascii="Times New Roman Bold" w:hAnsi="Times New Roman Bold" w:cs="Times New Roman"/>
          <w:b/>
          <w:sz w:val="24"/>
          <w:szCs w:val="24"/>
        </w:rPr>
        <w:t>"</w:t>
      </w:r>
      <w:r>
        <w:rPr>
          <w:rFonts w:ascii="Times New Roman Bold" w:hAnsi="Times New Roman Bold" w:cs="Times New Roman"/>
          <w:b/>
          <w:sz w:val="24"/>
          <w:szCs w:val="24"/>
        </w:rPr>
        <w:t xml:space="preserve"> must exist for the PUCO to grant Duke</w:t>
      </w:r>
      <w:r>
        <w:rPr>
          <w:rFonts w:ascii="Times New Roman Bold" w:hAnsi="Times New Roman Bold" w:cs="Times New Roman"/>
          <w:b/>
          <w:sz w:val="24"/>
          <w:szCs w:val="24"/>
        </w:rPr>
        <w:t>'</w:t>
      </w:r>
      <w:r>
        <w:rPr>
          <w:rFonts w:ascii="Times New Roman Bold" w:hAnsi="Times New Roman Bold" w:cs="Times New Roman"/>
          <w:b/>
          <w:sz w:val="24"/>
          <w:szCs w:val="24"/>
        </w:rPr>
        <w:t>s requested extension.  No such circumstances exist here.</w:t>
      </w:r>
    </w:p>
    <w:p w:rsidR="004C3058" w:rsidP="00F41E77">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its order </w:t>
      </w:r>
      <w:r w:rsidR="00903776">
        <w:rPr>
          <w:rFonts w:ascii="Times New Roman" w:hAnsi="Times New Roman" w:cs="Times New Roman"/>
          <w:sz w:val="24"/>
          <w:szCs w:val="24"/>
        </w:rPr>
        <w:t xml:space="preserve">requiring customers to pay </w:t>
      </w:r>
      <w:r>
        <w:rPr>
          <w:rFonts w:ascii="Times New Roman" w:hAnsi="Times New Roman" w:cs="Times New Roman"/>
          <w:sz w:val="24"/>
          <w:szCs w:val="24"/>
        </w:rPr>
        <w:t xml:space="preserve">remediation costs at the </w:t>
      </w:r>
      <w:r w:rsidRPr="00012602">
        <w:rPr>
          <w:rFonts w:ascii="Times New Roman" w:hAnsi="Times New Roman" w:cs="Times New Roman"/>
          <w:sz w:val="24"/>
          <w:szCs w:val="24"/>
        </w:rPr>
        <w:t>MGP sites</w:t>
      </w:r>
      <w:r>
        <w:rPr>
          <w:rFonts w:ascii="Times New Roman" w:hAnsi="Times New Roman" w:cs="Times New Roman"/>
          <w:sz w:val="24"/>
          <w:szCs w:val="24"/>
        </w:rPr>
        <w:t xml:space="preserve">, the PUCO </w:t>
      </w:r>
      <w:r w:rsidR="00903776">
        <w:rPr>
          <w:rFonts w:ascii="Times New Roman" w:hAnsi="Times New Roman" w:cs="Times New Roman"/>
          <w:sz w:val="24"/>
          <w:szCs w:val="24"/>
        </w:rPr>
        <w:t xml:space="preserve">placed limits </w:t>
      </w:r>
      <w:r w:rsidR="00DA74A6">
        <w:rPr>
          <w:rFonts w:ascii="Times New Roman" w:hAnsi="Times New Roman" w:cs="Times New Roman"/>
          <w:sz w:val="24"/>
          <w:szCs w:val="24"/>
        </w:rPr>
        <w:t xml:space="preserve">on the remediation activities. </w:t>
      </w:r>
      <w:r w:rsidR="00903776">
        <w:rPr>
          <w:rFonts w:ascii="Times New Roman" w:hAnsi="Times New Roman" w:cs="Times New Roman"/>
          <w:sz w:val="24"/>
          <w:szCs w:val="24"/>
        </w:rPr>
        <w:t xml:space="preserve">The PUCO </w:t>
      </w:r>
      <w:r>
        <w:rPr>
          <w:rFonts w:ascii="Times New Roman" w:hAnsi="Times New Roman" w:cs="Times New Roman"/>
          <w:sz w:val="24"/>
          <w:szCs w:val="24"/>
        </w:rPr>
        <w:t xml:space="preserve">found that the remediation should take place </w:t>
      </w:r>
      <w:r w:rsidR="00DA74A6">
        <w:rPr>
          <w:rFonts w:ascii="Times New Roman" w:hAnsi="Times New Roman" w:cs="Times New Roman"/>
          <w:sz w:val="24"/>
          <w:szCs w:val="24"/>
        </w:rPr>
        <w:t xml:space="preserve">over a limited period of time. </w:t>
      </w:r>
      <w:r>
        <w:rPr>
          <w:rFonts w:ascii="Times New Roman" w:hAnsi="Times New Roman" w:cs="Times New Roman"/>
          <w:sz w:val="24"/>
          <w:szCs w:val="24"/>
        </w:rPr>
        <w:t>T</w:t>
      </w:r>
      <w:r>
        <w:rPr>
          <w:rFonts w:ascii="Times New Roman" w:hAnsi="Times New Roman" w:cs="Times New Roman"/>
          <w:sz w:val="24"/>
          <w:szCs w:val="24"/>
        </w:rPr>
        <w:t xml:space="preserve">he PUCO </w:t>
      </w:r>
      <w:r w:rsidR="00903776">
        <w:rPr>
          <w:rFonts w:ascii="Times New Roman" w:hAnsi="Times New Roman" w:cs="Times New Roman"/>
          <w:sz w:val="24"/>
          <w:szCs w:val="24"/>
        </w:rPr>
        <w:t xml:space="preserve">ruled </w:t>
      </w:r>
      <w:r>
        <w:rPr>
          <w:rFonts w:ascii="Times New Roman" w:hAnsi="Times New Roman" w:cs="Times New Roman"/>
          <w:sz w:val="24"/>
          <w:szCs w:val="24"/>
        </w:rPr>
        <w:t xml:space="preserve">that it was </w:t>
      </w:r>
      <w:r w:rsidR="00915EDD">
        <w:rPr>
          <w:rFonts w:ascii="Times New Roman" w:hAnsi="Times New Roman" w:cs="Times New Roman"/>
          <w:sz w:val="24"/>
          <w:szCs w:val="24"/>
        </w:rPr>
        <w:t>"</w:t>
      </w:r>
      <w:r>
        <w:rPr>
          <w:rFonts w:ascii="Times New Roman" w:hAnsi="Times New Roman" w:cs="Times New Roman"/>
          <w:sz w:val="24"/>
          <w:szCs w:val="24"/>
        </w:rPr>
        <w:t>reasonable and in the public interest</w:t>
      </w:r>
      <w:r w:rsidR="00915EDD">
        <w:rPr>
          <w:rFonts w:ascii="Times New Roman" w:hAnsi="Times New Roman" w:cs="Times New Roman"/>
          <w:sz w:val="24"/>
          <w:szCs w:val="24"/>
        </w:rPr>
        <w:t>"</w:t>
      </w:r>
      <w:r>
        <w:rPr>
          <w:rFonts w:ascii="Times New Roman" w:hAnsi="Times New Roman" w:cs="Times New Roman"/>
          <w:sz w:val="24"/>
          <w:szCs w:val="24"/>
        </w:rPr>
        <w:t xml:space="preserve"> for </w:t>
      </w:r>
      <w:r w:rsidR="00903776">
        <w:rPr>
          <w:rFonts w:ascii="Times New Roman" w:hAnsi="Times New Roman" w:cs="Times New Roman"/>
          <w:sz w:val="24"/>
          <w:szCs w:val="24"/>
        </w:rPr>
        <w:t xml:space="preserve">collection from customers </w:t>
      </w:r>
      <w:r>
        <w:rPr>
          <w:rFonts w:ascii="Times New Roman" w:hAnsi="Times New Roman" w:cs="Times New Roman"/>
          <w:sz w:val="24"/>
          <w:szCs w:val="24"/>
        </w:rPr>
        <w:t xml:space="preserve">be </w:t>
      </w:r>
      <w:r w:rsidR="00915EDD">
        <w:rPr>
          <w:rFonts w:ascii="Times New Roman" w:hAnsi="Times New Roman" w:cs="Times New Roman"/>
          <w:sz w:val="24"/>
          <w:szCs w:val="24"/>
        </w:rPr>
        <w:t>"</w:t>
      </w:r>
      <w:r>
        <w:rPr>
          <w:rFonts w:ascii="Times New Roman" w:hAnsi="Times New Roman" w:cs="Times New Roman"/>
          <w:sz w:val="24"/>
          <w:szCs w:val="24"/>
        </w:rPr>
        <w:t>finite.</w:t>
      </w:r>
      <w:r w:rsidR="00915EDD">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DA74A6">
        <w:rPr>
          <w:rFonts w:ascii="Times New Roman" w:hAnsi="Times New Roman" w:cs="Times New Roman"/>
          <w:sz w:val="24"/>
          <w:szCs w:val="24"/>
        </w:rPr>
        <w:t xml:space="preserve"> </w:t>
      </w:r>
      <w:r w:rsidR="00903776">
        <w:rPr>
          <w:rFonts w:ascii="Times New Roman" w:hAnsi="Times New Roman" w:cs="Times New Roman"/>
          <w:sz w:val="24"/>
          <w:szCs w:val="24"/>
        </w:rPr>
        <w:t>So t</w:t>
      </w:r>
      <w:r>
        <w:rPr>
          <w:rFonts w:ascii="Times New Roman" w:hAnsi="Times New Roman" w:cs="Times New Roman"/>
          <w:sz w:val="24"/>
          <w:szCs w:val="24"/>
        </w:rPr>
        <w:t xml:space="preserve">he PUCO found that Duke should </w:t>
      </w:r>
      <w:r w:rsidR="00903776">
        <w:rPr>
          <w:rFonts w:ascii="Times New Roman" w:hAnsi="Times New Roman" w:cs="Times New Roman"/>
          <w:sz w:val="24"/>
          <w:szCs w:val="24"/>
        </w:rPr>
        <w:t xml:space="preserve">collect </w:t>
      </w:r>
      <w:r>
        <w:rPr>
          <w:rFonts w:ascii="Times New Roman" w:hAnsi="Times New Roman" w:cs="Times New Roman"/>
          <w:sz w:val="24"/>
          <w:szCs w:val="24"/>
        </w:rPr>
        <w:t xml:space="preserve">remediation </w:t>
      </w:r>
      <w:r w:rsidR="00903776">
        <w:rPr>
          <w:rFonts w:ascii="Times New Roman" w:hAnsi="Times New Roman" w:cs="Times New Roman"/>
          <w:sz w:val="24"/>
          <w:szCs w:val="24"/>
        </w:rPr>
        <w:t xml:space="preserve">costs from customers </w:t>
      </w:r>
      <w:r>
        <w:rPr>
          <w:rFonts w:ascii="Times New Roman" w:hAnsi="Times New Roman" w:cs="Times New Roman"/>
          <w:sz w:val="24"/>
          <w:szCs w:val="24"/>
        </w:rPr>
        <w:t xml:space="preserve">for a maximum of </w:t>
      </w:r>
      <w:r w:rsidR="00915EDD">
        <w:rPr>
          <w:rFonts w:ascii="Times New Roman" w:hAnsi="Times New Roman" w:cs="Times New Roman"/>
          <w:sz w:val="24"/>
          <w:szCs w:val="24"/>
        </w:rPr>
        <w:t>"</w:t>
      </w:r>
      <w:r>
        <w:rPr>
          <w:rFonts w:ascii="Times New Roman" w:hAnsi="Times New Roman" w:cs="Times New Roman"/>
          <w:sz w:val="24"/>
          <w:szCs w:val="24"/>
        </w:rPr>
        <w:t>10 years from the date of the commencement of the remediation mandate under CERCLA.</w:t>
      </w:r>
      <w:r w:rsidR="00915EDD">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C4620F">
        <w:rPr>
          <w:rFonts w:ascii="Times New Roman" w:hAnsi="Times New Roman" w:cs="Times New Roman"/>
          <w:sz w:val="24"/>
          <w:szCs w:val="24"/>
        </w:rPr>
        <w:t xml:space="preserve"> </w:t>
      </w:r>
      <w:r w:rsidR="00012602">
        <w:rPr>
          <w:rFonts w:ascii="Times New Roman" w:hAnsi="Times New Roman" w:cs="Times New Roman"/>
          <w:sz w:val="24"/>
          <w:szCs w:val="24"/>
        </w:rPr>
        <w:t>On rehearing, the PUCO confirmed that Duke was required to complete remediation within th</w:t>
      </w:r>
      <w:r w:rsidR="00C4620F">
        <w:rPr>
          <w:rFonts w:ascii="Times New Roman" w:hAnsi="Times New Roman" w:cs="Times New Roman"/>
          <w:sz w:val="24"/>
          <w:szCs w:val="24"/>
        </w:rPr>
        <w:t xml:space="preserve">e established ten-year period. </w:t>
      </w:r>
      <w:r w:rsidR="00915EDD">
        <w:rPr>
          <w:rFonts w:ascii="Times New Roman" w:hAnsi="Times New Roman" w:cs="Times New Roman"/>
          <w:sz w:val="24"/>
          <w:szCs w:val="24"/>
        </w:rPr>
        <w:t>"</w:t>
      </w:r>
      <w:r w:rsidR="00012602">
        <w:rPr>
          <w:rFonts w:ascii="Times New Roman" w:hAnsi="Times New Roman" w:cs="Times New Roman"/>
          <w:sz w:val="24"/>
          <w:szCs w:val="24"/>
        </w:rPr>
        <w:t xml:space="preserve">[T]he Commission reiterates </w:t>
      </w:r>
      <w:r w:rsidR="00420455">
        <w:rPr>
          <w:rFonts w:ascii="Times New Roman" w:hAnsi="Times New Roman" w:cs="Times New Roman"/>
          <w:sz w:val="24"/>
          <w:szCs w:val="24"/>
        </w:rPr>
        <w:t>its determination that is it essential that recovery from customers of the costs incurred to remediate the MGP sites be limited to a reasonable timeframe of 10 years.</w:t>
      </w:r>
      <w:r w:rsidR="00915EDD">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00C4620F">
        <w:rPr>
          <w:rFonts w:ascii="Times New Roman" w:hAnsi="Times New Roman" w:cs="Times New Roman"/>
          <w:sz w:val="24"/>
          <w:szCs w:val="24"/>
        </w:rPr>
        <w:t xml:space="preserve"> </w:t>
      </w:r>
      <w:r>
        <w:rPr>
          <w:rFonts w:ascii="Times New Roman" w:hAnsi="Times New Roman" w:cs="Times New Roman"/>
          <w:sz w:val="24"/>
          <w:szCs w:val="24"/>
        </w:rPr>
        <w:t>For the East End site, this ten-year period expires on December 31, 2016.</w:t>
      </w:r>
      <w:r>
        <w:rPr>
          <w:rStyle w:val="FootnoteReference"/>
          <w:rFonts w:ascii="Times New Roman" w:hAnsi="Times New Roman" w:cs="Times New Roman"/>
          <w:sz w:val="24"/>
          <w:szCs w:val="24"/>
        </w:rPr>
        <w:footnoteReference w:id="17"/>
      </w:r>
    </w:p>
    <w:p w:rsidR="00F41E77" w:rsidRPr="00420455" w:rsidP="008F73DE">
      <w:pPr>
        <w:autoSpaceDE w:val="0"/>
        <w:autoSpaceDN w:val="0"/>
        <w:adjustRightInd w:val="0"/>
        <w:spacing w:line="480" w:lineRule="auto"/>
        <w:ind w:firstLine="720"/>
        <w:rPr>
          <w:szCs w:val="24"/>
        </w:rPr>
      </w:pPr>
      <w:r>
        <w:rPr>
          <w:szCs w:val="24"/>
        </w:rPr>
        <w:t xml:space="preserve">In the current case, Duke seeks permission to </w:t>
      </w:r>
      <w:r w:rsidR="00903776">
        <w:rPr>
          <w:szCs w:val="24"/>
        </w:rPr>
        <w:t>collect c</w:t>
      </w:r>
      <w:r>
        <w:rPr>
          <w:szCs w:val="24"/>
        </w:rPr>
        <w:t xml:space="preserve">osts </w:t>
      </w:r>
      <w:r w:rsidR="00903776">
        <w:rPr>
          <w:szCs w:val="24"/>
        </w:rPr>
        <w:t xml:space="preserve">from customers </w:t>
      </w:r>
      <w:r>
        <w:rPr>
          <w:szCs w:val="24"/>
        </w:rPr>
        <w:t xml:space="preserve">for remediating the East End site beyond December 31, 2016, citing alleged </w:t>
      </w:r>
      <w:r w:rsidR="00915EDD">
        <w:rPr>
          <w:szCs w:val="24"/>
        </w:rPr>
        <w:t>"</w:t>
      </w:r>
      <w:r>
        <w:rPr>
          <w:szCs w:val="24"/>
        </w:rPr>
        <w:t>exigent circumstances.</w:t>
      </w:r>
      <w:r w:rsidR="00915EDD">
        <w:rPr>
          <w:szCs w:val="24"/>
        </w:rPr>
        <w:t>"</w:t>
      </w:r>
      <w:r>
        <w:rPr>
          <w:rStyle w:val="FootnoteReference"/>
          <w:szCs w:val="24"/>
        </w:rPr>
        <w:footnoteReference w:id="18"/>
      </w:r>
      <w:r w:rsidR="00C4620F">
        <w:rPr>
          <w:szCs w:val="24"/>
        </w:rPr>
        <w:t xml:space="preserve"> </w:t>
      </w:r>
      <w:r>
        <w:rPr>
          <w:szCs w:val="24"/>
        </w:rPr>
        <w:t xml:space="preserve">In support of its position, Duke argues that the approved recovery period </w:t>
      </w:r>
      <w:r w:rsidR="00915EDD">
        <w:rPr>
          <w:szCs w:val="24"/>
        </w:rPr>
        <w:t>"</w:t>
      </w:r>
      <w:r>
        <w:rPr>
          <w:szCs w:val="24"/>
        </w:rPr>
        <w:t>is not absolute</w:t>
      </w:r>
      <w:r w:rsidR="00915EDD">
        <w:rPr>
          <w:szCs w:val="24"/>
        </w:rPr>
        <w:t>"</w:t>
      </w:r>
      <w:r>
        <w:rPr>
          <w:szCs w:val="24"/>
        </w:rPr>
        <w:t xml:space="preserve"> and that </w:t>
      </w:r>
      <w:r w:rsidR="00915EDD">
        <w:rPr>
          <w:szCs w:val="24"/>
        </w:rPr>
        <w:t>"</w:t>
      </w:r>
      <w:r>
        <w:rPr>
          <w:szCs w:val="24"/>
        </w:rPr>
        <w:t>arduous conditions could render such ten-year period unreasonable.</w:t>
      </w:r>
      <w:r w:rsidR="00915EDD">
        <w:rPr>
          <w:szCs w:val="24"/>
        </w:rPr>
        <w:t>"</w:t>
      </w:r>
      <w:r>
        <w:rPr>
          <w:rStyle w:val="FootnoteReference"/>
          <w:szCs w:val="24"/>
        </w:rPr>
        <w:footnoteReference w:id="19"/>
      </w:r>
      <w:r w:rsidR="00C4620F">
        <w:rPr>
          <w:szCs w:val="24"/>
        </w:rPr>
        <w:t xml:space="preserve"> </w:t>
      </w:r>
      <w:r>
        <w:rPr>
          <w:szCs w:val="24"/>
        </w:rPr>
        <w:t xml:space="preserve">This mischaracterizes the </w:t>
      </w:r>
      <w:r w:rsidR="00012602">
        <w:rPr>
          <w:szCs w:val="24"/>
        </w:rPr>
        <w:t xml:space="preserve">November 13 MGP </w:t>
      </w:r>
      <w:r>
        <w:rPr>
          <w:szCs w:val="24"/>
        </w:rPr>
        <w:t>Order.</w:t>
      </w:r>
      <w:r w:rsidR="00C4620F">
        <w:rPr>
          <w:szCs w:val="24"/>
        </w:rPr>
        <w:t xml:space="preserve"> </w:t>
      </w:r>
      <w:r w:rsidR="00420455">
        <w:rPr>
          <w:szCs w:val="24"/>
        </w:rPr>
        <w:t xml:space="preserve">This order permits an extension beyond ten years only under </w:t>
      </w:r>
      <w:r w:rsidR="00915EDD">
        <w:rPr>
          <w:szCs w:val="24"/>
        </w:rPr>
        <w:t>"</w:t>
      </w:r>
      <w:r w:rsidR="00420455">
        <w:rPr>
          <w:szCs w:val="24"/>
        </w:rPr>
        <w:t>exigent circumstances.</w:t>
      </w:r>
      <w:r w:rsidR="00915EDD">
        <w:rPr>
          <w:szCs w:val="24"/>
        </w:rPr>
        <w:t>"</w:t>
      </w:r>
      <w:r>
        <w:rPr>
          <w:rStyle w:val="FootnoteReference"/>
          <w:szCs w:val="24"/>
        </w:rPr>
        <w:footnoteReference w:id="20"/>
      </w:r>
      <w:r w:rsidR="00C4620F">
        <w:rPr>
          <w:szCs w:val="24"/>
        </w:rPr>
        <w:t xml:space="preserve"> </w:t>
      </w:r>
      <w:r w:rsidR="00420455">
        <w:rPr>
          <w:szCs w:val="24"/>
        </w:rPr>
        <w:t xml:space="preserve">An </w:t>
      </w:r>
      <w:r w:rsidR="00915EDD">
        <w:rPr>
          <w:szCs w:val="24"/>
        </w:rPr>
        <w:t>"</w:t>
      </w:r>
      <w:r w:rsidR="00420455">
        <w:rPr>
          <w:szCs w:val="24"/>
        </w:rPr>
        <w:t>exigent circumstance</w:t>
      </w:r>
      <w:r w:rsidR="00915EDD">
        <w:rPr>
          <w:szCs w:val="24"/>
        </w:rPr>
        <w:t>"</w:t>
      </w:r>
      <w:r w:rsidR="00420455">
        <w:rPr>
          <w:szCs w:val="24"/>
        </w:rPr>
        <w:t xml:space="preserve"> is </w:t>
      </w:r>
      <w:r w:rsidR="00915EDD">
        <w:rPr>
          <w:szCs w:val="24"/>
        </w:rPr>
        <w:t>"</w:t>
      </w:r>
      <w:r w:rsidR="00420455">
        <w:rPr>
          <w:szCs w:val="24"/>
        </w:rPr>
        <w:t xml:space="preserve">an event </w:t>
      </w:r>
      <w:r w:rsidRPr="00012602" w:rsidR="00420455">
        <w:rPr>
          <w:szCs w:val="24"/>
        </w:rPr>
        <w:t>beyond the control of the Company</w:t>
      </w:r>
      <w:r w:rsidR="00420455">
        <w:rPr>
          <w:szCs w:val="24"/>
        </w:rPr>
        <w:t>.</w:t>
      </w:r>
      <w:r w:rsidR="00915EDD">
        <w:rPr>
          <w:szCs w:val="24"/>
        </w:rPr>
        <w:t>"</w:t>
      </w:r>
      <w:r>
        <w:rPr>
          <w:rStyle w:val="FootnoteReference"/>
          <w:szCs w:val="24"/>
        </w:rPr>
        <w:footnoteReference w:id="21"/>
      </w:r>
      <w:r w:rsidR="00DA74A6">
        <w:rPr>
          <w:szCs w:val="24"/>
        </w:rPr>
        <w:t xml:space="preserve"> </w:t>
      </w:r>
      <w:r w:rsidR="00420455">
        <w:rPr>
          <w:szCs w:val="24"/>
        </w:rPr>
        <w:t>Consistent with the PUCO</w:t>
      </w:r>
      <w:r w:rsidR="00915EDD">
        <w:rPr>
          <w:szCs w:val="24"/>
        </w:rPr>
        <w:t>'</w:t>
      </w:r>
      <w:r w:rsidR="00420455">
        <w:rPr>
          <w:szCs w:val="24"/>
        </w:rPr>
        <w:t xml:space="preserve">s directive that it is </w:t>
      </w:r>
      <w:r w:rsidR="00915EDD">
        <w:rPr>
          <w:szCs w:val="24"/>
        </w:rPr>
        <w:t>"</w:t>
      </w:r>
      <w:r w:rsidR="00420455">
        <w:rPr>
          <w:szCs w:val="24"/>
        </w:rPr>
        <w:t>essential</w:t>
      </w:r>
      <w:r w:rsidR="00915EDD">
        <w:rPr>
          <w:szCs w:val="24"/>
        </w:rPr>
        <w:t>"</w:t>
      </w:r>
      <w:r w:rsidR="00420455">
        <w:rPr>
          <w:szCs w:val="24"/>
        </w:rPr>
        <w:t xml:space="preserve"> for all remediation to take place within ten years, Duke must reach a very high bar to prove that exigent circumstances exist.</w:t>
      </w:r>
    </w:p>
    <w:p w:rsidR="004C3058" w:rsidRPr="00420455" w:rsidP="008F73D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circumstances described in Duke</w:t>
      </w:r>
      <w:r w:rsidR="00915EDD">
        <w:rPr>
          <w:rFonts w:ascii="Times New Roman" w:hAnsi="Times New Roman" w:cs="Times New Roman"/>
          <w:sz w:val="24"/>
          <w:szCs w:val="24"/>
        </w:rPr>
        <w:t>'</w:t>
      </w:r>
      <w:r>
        <w:rPr>
          <w:rFonts w:ascii="Times New Roman" w:hAnsi="Times New Roman" w:cs="Times New Roman"/>
          <w:sz w:val="24"/>
          <w:szCs w:val="24"/>
        </w:rPr>
        <w:t>s application do not rise to the l</w:t>
      </w:r>
      <w:r w:rsidR="00C4620F">
        <w:rPr>
          <w:rFonts w:ascii="Times New Roman" w:hAnsi="Times New Roman" w:cs="Times New Roman"/>
          <w:sz w:val="24"/>
          <w:szCs w:val="24"/>
        </w:rPr>
        <w:t xml:space="preserve">evel of exigent circumstances. </w:t>
      </w:r>
      <w:r>
        <w:rPr>
          <w:rFonts w:ascii="Times New Roman" w:hAnsi="Times New Roman" w:cs="Times New Roman"/>
          <w:sz w:val="24"/>
          <w:szCs w:val="24"/>
        </w:rPr>
        <w:t>They do not warrant an extension in the face of the PUCO</w:t>
      </w:r>
      <w:r w:rsidR="00915EDD">
        <w:rPr>
          <w:rFonts w:ascii="Times New Roman" w:hAnsi="Times New Roman" w:cs="Times New Roman"/>
          <w:sz w:val="24"/>
          <w:szCs w:val="24"/>
        </w:rPr>
        <w:t>'</w:t>
      </w:r>
      <w:r>
        <w:rPr>
          <w:rFonts w:ascii="Times New Roman" w:hAnsi="Times New Roman" w:cs="Times New Roman"/>
          <w:sz w:val="24"/>
          <w:szCs w:val="24"/>
        </w:rPr>
        <w:t>s firm ruling that remediation of the East End site should conclude by December 31, 2016.</w:t>
      </w:r>
    </w:p>
    <w:p w:rsidR="00F41E77" w:rsidP="00F41E77">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t>Duke claims that the following events warrant an extension beyond December 31, 2016:</w:t>
      </w:r>
    </w:p>
    <w:p w:rsidR="00F41E77" w:rsidP="00F5583E">
      <w:pPr>
        <w:pStyle w:val="ListParagraph"/>
        <w:numPr>
          <w:ilvl w:val="0"/>
          <w:numId w:val="18"/>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Regulations that prevented Duke from investigating or remediating during Winter heating months when it is necessary to provide propane to supplement natural gas service.</w:t>
      </w:r>
      <w:r>
        <w:rPr>
          <w:rStyle w:val="FootnoteReference"/>
          <w:rFonts w:ascii="Times New Roman" w:hAnsi="Times New Roman" w:cs="Times New Roman"/>
          <w:sz w:val="24"/>
          <w:szCs w:val="24"/>
        </w:rPr>
        <w:footnoteReference w:id="22"/>
      </w:r>
    </w:p>
    <w:p w:rsidR="00F41E77" w:rsidP="00F5583E">
      <w:pPr>
        <w:pStyle w:val="ListParagraph"/>
        <w:numPr>
          <w:ilvl w:val="0"/>
          <w:numId w:val="18"/>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The subsurface conditions of a portion of the site including the complex geology and location of gas lines required greater investigation.</w:t>
      </w:r>
      <w:r>
        <w:rPr>
          <w:rStyle w:val="FootnoteReference"/>
          <w:rFonts w:ascii="Times New Roman" w:hAnsi="Times New Roman" w:cs="Times New Roman"/>
          <w:sz w:val="24"/>
          <w:szCs w:val="24"/>
        </w:rPr>
        <w:footnoteReference w:id="23"/>
      </w:r>
    </w:p>
    <w:p w:rsidR="00F41E77" w:rsidP="00F5583E">
      <w:pPr>
        <w:pStyle w:val="ListParagraph"/>
        <w:numPr>
          <w:ilvl w:val="0"/>
          <w:numId w:val="18"/>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Vibration sensitive utility infrastructure has to be protected from the vibrations from the remediation work.</w:t>
      </w:r>
      <w:r>
        <w:rPr>
          <w:rStyle w:val="FootnoteReference"/>
          <w:rFonts w:ascii="Times New Roman" w:hAnsi="Times New Roman" w:cs="Times New Roman"/>
          <w:sz w:val="24"/>
          <w:szCs w:val="24"/>
        </w:rPr>
        <w:footnoteReference w:id="24"/>
      </w:r>
    </w:p>
    <w:p w:rsidR="00FB30CF" w:rsidP="00F5583E">
      <w:pPr>
        <w:pStyle w:val="ListParagraph"/>
        <w:numPr>
          <w:ilvl w:val="0"/>
          <w:numId w:val="18"/>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Extreme weather during the 2013 and 2014 winter seasons, caused an increased need for propane, which prevented further remediation work from going forward.</w:t>
      </w:r>
      <w:r>
        <w:rPr>
          <w:rStyle w:val="FootnoteReference"/>
          <w:rFonts w:ascii="Times New Roman" w:hAnsi="Times New Roman" w:cs="Times New Roman"/>
          <w:sz w:val="24"/>
          <w:szCs w:val="24"/>
        </w:rPr>
        <w:footnoteReference w:id="25"/>
      </w:r>
    </w:p>
    <w:p w:rsidR="00F41E77" w:rsidP="00F5583E">
      <w:pPr>
        <w:pStyle w:val="ListParagraph"/>
        <w:numPr>
          <w:ilvl w:val="0"/>
          <w:numId w:val="18"/>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Complexities in geology resulted in more negotiations between Duke and its consultant.</w:t>
      </w:r>
      <w:r>
        <w:rPr>
          <w:rStyle w:val="FootnoteReference"/>
          <w:rFonts w:ascii="Times New Roman" w:hAnsi="Times New Roman" w:cs="Times New Roman"/>
          <w:sz w:val="24"/>
          <w:szCs w:val="24"/>
        </w:rPr>
        <w:footnoteReference w:id="26"/>
      </w:r>
    </w:p>
    <w:p w:rsidR="007B7BB3" w:rsidP="00420455">
      <w:pPr>
        <w:pStyle w:val="ListParagraph"/>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OCC</w:t>
      </w:r>
      <w:r w:rsidR="00BC1B21">
        <w:rPr>
          <w:rFonts w:ascii="Times New Roman" w:hAnsi="Times New Roman" w:cs="Times New Roman"/>
          <w:sz w:val="24"/>
          <w:szCs w:val="24"/>
        </w:rPr>
        <w:t xml:space="preserve"> and Kroger</w:t>
      </w:r>
      <w:r>
        <w:rPr>
          <w:rFonts w:ascii="Times New Roman" w:hAnsi="Times New Roman" w:cs="Times New Roman"/>
          <w:sz w:val="24"/>
          <w:szCs w:val="24"/>
        </w:rPr>
        <w:t xml:space="preserve"> agree that Duke should pace its investigation and remediation work appropriately to ensure the health and safety of its employees and ensure a reliable natural gas distribution system. </w:t>
      </w:r>
      <w:r w:rsidR="00DA74A6">
        <w:rPr>
          <w:rFonts w:ascii="Times New Roman" w:hAnsi="Times New Roman" w:cs="Times New Roman"/>
          <w:sz w:val="24"/>
          <w:szCs w:val="24"/>
        </w:rPr>
        <w:t>But t</w:t>
      </w:r>
      <w:r>
        <w:rPr>
          <w:rFonts w:ascii="Times New Roman" w:hAnsi="Times New Roman" w:cs="Times New Roman"/>
          <w:sz w:val="24"/>
          <w:szCs w:val="24"/>
        </w:rPr>
        <w:t xml:space="preserve">he events that Duke describes above </w:t>
      </w:r>
      <w:r w:rsidR="00420455">
        <w:rPr>
          <w:rFonts w:ascii="Times New Roman" w:hAnsi="Times New Roman" w:cs="Times New Roman"/>
          <w:sz w:val="24"/>
          <w:szCs w:val="24"/>
        </w:rPr>
        <w:t>are</w:t>
      </w:r>
      <w:r>
        <w:rPr>
          <w:rFonts w:ascii="Times New Roman" w:hAnsi="Times New Roman" w:cs="Times New Roman"/>
          <w:sz w:val="24"/>
          <w:szCs w:val="24"/>
        </w:rPr>
        <w:t xml:space="preserve"> not exigent circumstances. These events were foreseeable</w:t>
      </w:r>
      <w:r>
        <w:rPr>
          <w:rFonts w:ascii="Times New Roman" w:hAnsi="Times New Roman" w:cs="Times New Roman"/>
          <w:sz w:val="24"/>
          <w:szCs w:val="24"/>
        </w:rPr>
        <w:t>.</w:t>
      </w:r>
      <w:r>
        <w:rPr>
          <w:rFonts w:ascii="Times New Roman" w:hAnsi="Times New Roman" w:cs="Times New Roman"/>
          <w:sz w:val="24"/>
          <w:szCs w:val="24"/>
        </w:rPr>
        <w:t xml:space="preserve"> Duke should have known that it could not conduct remediation activities in the winter because of its winter propane injection activities. In fact, Duke had been investigating and remediating costs since at least 2008,</w:t>
      </w:r>
      <w:r>
        <w:rPr>
          <w:rStyle w:val="FootnoteReference"/>
          <w:rFonts w:ascii="Times New Roman" w:hAnsi="Times New Roman" w:cs="Times New Roman"/>
          <w:sz w:val="24"/>
          <w:szCs w:val="24"/>
        </w:rPr>
        <w:footnoteReference w:id="27"/>
      </w:r>
      <w:r w:rsidR="00420455">
        <w:rPr>
          <w:rFonts w:ascii="Times New Roman" w:hAnsi="Times New Roman" w:cs="Times New Roman"/>
          <w:sz w:val="24"/>
          <w:szCs w:val="24"/>
        </w:rPr>
        <w:t xml:space="preserve"> five</w:t>
      </w:r>
      <w:r>
        <w:rPr>
          <w:rFonts w:ascii="Times New Roman" w:hAnsi="Times New Roman" w:cs="Times New Roman"/>
          <w:sz w:val="24"/>
          <w:szCs w:val="24"/>
        </w:rPr>
        <w:t xml:space="preserve"> years before the recovery of the costs was approved. It should not come as a surprise to Duke that it needed to inject propane in the winter, or that there was complex geology or subsurface gas pipes. </w:t>
      </w:r>
    </w:p>
    <w:p w:rsidR="00420455" w:rsidP="00915EDD">
      <w:pPr>
        <w:pStyle w:val="ListParagraph"/>
        <w:spacing w:after="0"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Duke failed to complete remediation of the East End in a timely fashion. The reasons for its failure do not constitute </w:t>
      </w:r>
      <w:r w:rsidR="00915EDD">
        <w:rPr>
          <w:rFonts w:ascii="Times New Roman" w:hAnsi="Times New Roman" w:cs="Times New Roman"/>
          <w:sz w:val="24"/>
          <w:szCs w:val="24"/>
        </w:rPr>
        <w:t>"</w:t>
      </w:r>
      <w:r>
        <w:rPr>
          <w:rFonts w:ascii="Times New Roman" w:hAnsi="Times New Roman" w:cs="Times New Roman"/>
          <w:sz w:val="24"/>
          <w:szCs w:val="24"/>
        </w:rPr>
        <w:t>exigent circumstances.</w:t>
      </w:r>
      <w:r w:rsidR="00915EDD">
        <w:rPr>
          <w:rFonts w:ascii="Times New Roman" w:hAnsi="Times New Roman" w:cs="Times New Roman"/>
          <w:sz w:val="24"/>
          <w:szCs w:val="24"/>
        </w:rPr>
        <w:t>"</w:t>
      </w:r>
      <w:r>
        <w:rPr>
          <w:rFonts w:ascii="Times New Roman" w:hAnsi="Times New Roman" w:cs="Times New Roman"/>
          <w:sz w:val="24"/>
          <w:szCs w:val="24"/>
        </w:rPr>
        <w:t xml:space="preserve"> </w:t>
      </w:r>
      <w:r w:rsidR="00876374">
        <w:rPr>
          <w:rFonts w:ascii="Times New Roman" w:hAnsi="Times New Roman" w:cs="Times New Roman"/>
          <w:sz w:val="24"/>
          <w:szCs w:val="24"/>
        </w:rPr>
        <w:t>Simply because the remediation was</w:t>
      </w:r>
      <w:r w:rsidR="00486CBA">
        <w:rPr>
          <w:rFonts w:ascii="Times New Roman" w:hAnsi="Times New Roman" w:cs="Times New Roman"/>
          <w:sz w:val="24"/>
          <w:szCs w:val="24"/>
        </w:rPr>
        <w:t xml:space="preserve"> </w:t>
      </w:r>
      <w:r w:rsidR="00915EDD">
        <w:rPr>
          <w:rFonts w:ascii="Times New Roman" w:hAnsi="Times New Roman" w:cs="Times New Roman"/>
          <w:sz w:val="24"/>
          <w:szCs w:val="24"/>
        </w:rPr>
        <w:t>"</w:t>
      </w:r>
      <w:r w:rsidR="00486CBA">
        <w:rPr>
          <w:rFonts w:ascii="Times New Roman" w:hAnsi="Times New Roman" w:cs="Times New Roman"/>
          <w:sz w:val="24"/>
          <w:szCs w:val="24"/>
        </w:rPr>
        <w:t>arduous</w:t>
      </w:r>
      <w:r w:rsidR="00915EDD">
        <w:rPr>
          <w:rFonts w:ascii="Times New Roman" w:hAnsi="Times New Roman" w:cs="Times New Roman"/>
          <w:sz w:val="24"/>
          <w:szCs w:val="24"/>
        </w:rPr>
        <w:t>"</w:t>
      </w:r>
      <w:r w:rsidR="00876374">
        <w:rPr>
          <w:rFonts w:ascii="Times New Roman" w:hAnsi="Times New Roman" w:cs="Times New Roman"/>
          <w:sz w:val="24"/>
          <w:szCs w:val="24"/>
        </w:rPr>
        <w:t xml:space="preserve"> does not allow Duke to meet the standard.</w:t>
      </w:r>
      <w:r w:rsidR="00486CBA">
        <w:rPr>
          <w:rFonts w:ascii="Times New Roman" w:hAnsi="Times New Roman" w:cs="Times New Roman"/>
          <w:sz w:val="24"/>
          <w:szCs w:val="24"/>
        </w:rPr>
        <w:t xml:space="preserve"> </w:t>
      </w:r>
      <w:r>
        <w:rPr>
          <w:rFonts w:ascii="Times New Roman" w:hAnsi="Times New Roman" w:cs="Times New Roman"/>
          <w:sz w:val="24"/>
          <w:szCs w:val="24"/>
        </w:rPr>
        <w:t xml:space="preserve">The PUCO should reaffirm its ruling that </w:t>
      </w:r>
      <w:r w:rsidR="00BF6BB2">
        <w:rPr>
          <w:rFonts w:ascii="Times New Roman" w:hAnsi="Times New Roman" w:cs="Times New Roman"/>
          <w:sz w:val="24"/>
          <w:szCs w:val="24"/>
        </w:rPr>
        <w:t>Duke and its</w:t>
      </w:r>
      <w:r>
        <w:rPr>
          <w:rFonts w:ascii="Times New Roman" w:hAnsi="Times New Roman" w:cs="Times New Roman"/>
          <w:sz w:val="24"/>
          <w:szCs w:val="24"/>
        </w:rPr>
        <w:t xml:space="preserve"> shareholders should be held accountable and that customers should be protected from continuing to pay for remediation beyond the reasonable ten-year period.</w:t>
      </w:r>
      <w:r>
        <w:rPr>
          <w:rStyle w:val="FootnoteReference"/>
          <w:rFonts w:ascii="Times New Roman" w:hAnsi="Times New Roman" w:cs="Times New Roman"/>
          <w:sz w:val="24"/>
          <w:szCs w:val="24"/>
        </w:rPr>
        <w:footnoteReference w:id="28"/>
      </w:r>
    </w:p>
    <w:p w:rsidR="0015663E" w:rsidP="003D2BCC">
      <w:pPr>
        <w:pStyle w:val="ListParagraph"/>
        <w:spacing w:after="0"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E</w:t>
      </w:r>
      <w:r w:rsidR="00420455">
        <w:rPr>
          <w:rFonts w:ascii="Times New Roman" w:hAnsi="Times New Roman" w:cs="Times New Roman"/>
          <w:sz w:val="24"/>
          <w:szCs w:val="24"/>
        </w:rPr>
        <w:t>xigent circumstances do not exist in this case.  Duke should not be permitted to continue to charge customers for remediation costs at the East End site after December 31, 2016.  To find otherwise would render meaningless the PUCO</w:t>
      </w:r>
      <w:r w:rsidR="00915EDD">
        <w:rPr>
          <w:rFonts w:ascii="Times New Roman" w:hAnsi="Times New Roman" w:cs="Times New Roman"/>
          <w:sz w:val="24"/>
          <w:szCs w:val="24"/>
        </w:rPr>
        <w:t>'</w:t>
      </w:r>
      <w:r w:rsidR="00420455">
        <w:rPr>
          <w:rFonts w:ascii="Times New Roman" w:hAnsi="Times New Roman" w:cs="Times New Roman"/>
          <w:sz w:val="24"/>
          <w:szCs w:val="24"/>
        </w:rPr>
        <w:t xml:space="preserve">s prior ruling that </w:t>
      </w:r>
      <w:r w:rsidR="001835E8">
        <w:rPr>
          <w:rFonts w:ascii="Times New Roman" w:hAnsi="Times New Roman" w:cs="Times New Roman"/>
          <w:sz w:val="24"/>
          <w:szCs w:val="24"/>
        </w:rPr>
        <w:t xml:space="preserve">protected </w:t>
      </w:r>
      <w:r w:rsidR="00420455">
        <w:rPr>
          <w:rFonts w:ascii="Times New Roman" w:hAnsi="Times New Roman" w:cs="Times New Roman"/>
          <w:sz w:val="24"/>
          <w:szCs w:val="24"/>
        </w:rPr>
        <w:t xml:space="preserve">customers </w:t>
      </w:r>
      <w:r w:rsidR="001835E8">
        <w:rPr>
          <w:rFonts w:ascii="Times New Roman" w:hAnsi="Times New Roman" w:cs="Times New Roman"/>
          <w:sz w:val="24"/>
          <w:szCs w:val="24"/>
        </w:rPr>
        <w:t>from</w:t>
      </w:r>
      <w:r w:rsidR="00420455">
        <w:rPr>
          <w:rFonts w:ascii="Times New Roman" w:hAnsi="Times New Roman" w:cs="Times New Roman"/>
          <w:sz w:val="24"/>
          <w:szCs w:val="24"/>
        </w:rPr>
        <w:t xml:space="preserve"> pay</w:t>
      </w:r>
      <w:r w:rsidR="001835E8">
        <w:rPr>
          <w:rFonts w:ascii="Times New Roman" w:hAnsi="Times New Roman" w:cs="Times New Roman"/>
          <w:sz w:val="24"/>
          <w:szCs w:val="24"/>
        </w:rPr>
        <w:t>ing</w:t>
      </w:r>
      <w:r w:rsidR="00420455">
        <w:rPr>
          <w:rFonts w:ascii="Times New Roman" w:hAnsi="Times New Roman" w:cs="Times New Roman"/>
          <w:sz w:val="24"/>
          <w:szCs w:val="24"/>
        </w:rPr>
        <w:t xml:space="preserve"> remediation costs </w:t>
      </w:r>
      <w:r w:rsidR="001835E8">
        <w:rPr>
          <w:rFonts w:ascii="Times New Roman" w:hAnsi="Times New Roman" w:cs="Times New Roman"/>
          <w:sz w:val="24"/>
          <w:szCs w:val="24"/>
        </w:rPr>
        <w:t>beyond</w:t>
      </w:r>
      <w:r w:rsidR="00420455">
        <w:rPr>
          <w:rFonts w:ascii="Times New Roman" w:hAnsi="Times New Roman" w:cs="Times New Roman"/>
          <w:sz w:val="24"/>
          <w:szCs w:val="24"/>
        </w:rPr>
        <w:t xml:space="preserve"> </w:t>
      </w:r>
      <w:r w:rsidR="001835E8">
        <w:rPr>
          <w:rFonts w:ascii="Times New Roman" w:hAnsi="Times New Roman" w:cs="Times New Roman"/>
          <w:sz w:val="24"/>
          <w:szCs w:val="24"/>
        </w:rPr>
        <w:t>the</w:t>
      </w:r>
      <w:r w:rsidR="00420455">
        <w:rPr>
          <w:rFonts w:ascii="Times New Roman" w:hAnsi="Times New Roman" w:cs="Times New Roman"/>
          <w:sz w:val="24"/>
          <w:szCs w:val="24"/>
        </w:rPr>
        <w:t xml:space="preserve"> </w:t>
      </w:r>
      <w:r w:rsidR="00C4620F">
        <w:rPr>
          <w:rFonts w:ascii="Times New Roman" w:hAnsi="Times New Roman" w:cs="Times New Roman"/>
          <w:sz w:val="24"/>
          <w:szCs w:val="24"/>
        </w:rPr>
        <w:t>ten-</w:t>
      </w:r>
      <w:r>
        <w:rPr>
          <w:rFonts w:ascii="Times New Roman" w:hAnsi="Times New Roman" w:cs="Times New Roman"/>
          <w:sz w:val="24"/>
          <w:szCs w:val="24"/>
        </w:rPr>
        <w:t>year</w:t>
      </w:r>
      <w:r w:rsidR="00420455">
        <w:rPr>
          <w:rFonts w:ascii="Times New Roman" w:hAnsi="Times New Roman" w:cs="Times New Roman"/>
          <w:sz w:val="24"/>
          <w:szCs w:val="24"/>
        </w:rPr>
        <w:t xml:space="preserve"> period</w:t>
      </w:r>
      <w:r>
        <w:rPr>
          <w:rFonts w:ascii="Times New Roman" w:hAnsi="Times New Roman" w:cs="Times New Roman"/>
          <w:sz w:val="24"/>
          <w:szCs w:val="24"/>
        </w:rPr>
        <w:t>.</w:t>
      </w:r>
    </w:p>
    <w:p w:rsidR="00FB30CF" w:rsidP="00F5583E">
      <w:pPr>
        <w:pStyle w:val="ListParagraph"/>
        <w:spacing w:after="0" w:line="240" w:lineRule="auto"/>
        <w:ind w:left="0" w:firstLine="720"/>
        <w:contextualSpacing w:val="0"/>
        <w:rPr>
          <w:rFonts w:ascii="Times New Roman" w:hAnsi="Times New Roman" w:cs="Times New Roman"/>
          <w:sz w:val="24"/>
          <w:szCs w:val="24"/>
        </w:rPr>
      </w:pPr>
    </w:p>
    <w:p w:rsidR="006D5706" w:rsidRPr="006D5706" w:rsidP="00C4620F">
      <w:pPr>
        <w:pStyle w:val="ListParagraph"/>
        <w:keepNext/>
        <w:spacing w:after="0" w:line="480" w:lineRule="auto"/>
        <w:ind w:left="0"/>
        <w:contextualSpacing w:val="0"/>
        <w:rPr>
          <w:rFonts w:ascii="Times New Roman" w:hAnsi="Times New Roman" w:cs="Times New Roman"/>
          <w:b/>
          <w:sz w:val="24"/>
          <w:szCs w:val="24"/>
        </w:rPr>
      </w:pPr>
      <w:r>
        <w:rPr>
          <w:rFonts w:ascii="Times New Roman" w:hAnsi="Times New Roman" w:cs="Times New Roman"/>
          <w:b/>
          <w:sz w:val="24"/>
          <w:szCs w:val="24"/>
        </w:rPr>
        <w:t>IV</w:t>
      </w:r>
      <w:r w:rsidR="008C60D4">
        <w:rPr>
          <w:rFonts w:ascii="Times New Roman" w:hAnsi="Times New Roman" w:cs="Times New Roman"/>
          <w:b/>
          <w:sz w:val="24"/>
          <w:szCs w:val="24"/>
        </w:rPr>
        <w:t>.</w:t>
      </w:r>
      <w:r w:rsidR="008C60D4">
        <w:rPr>
          <w:rFonts w:ascii="Times New Roman" w:hAnsi="Times New Roman" w:cs="Times New Roman"/>
          <w:b/>
          <w:sz w:val="24"/>
          <w:szCs w:val="24"/>
        </w:rPr>
        <w:tab/>
      </w:r>
      <w:r w:rsidRPr="006D5706" w:rsidR="008C60D4">
        <w:rPr>
          <w:rFonts w:ascii="Times New Roman" w:hAnsi="Times New Roman" w:cs="Times New Roman"/>
          <w:b/>
          <w:sz w:val="24"/>
          <w:szCs w:val="24"/>
        </w:rPr>
        <w:t>CONCLUSION</w:t>
      </w:r>
    </w:p>
    <w:p w:rsidR="00BD24ED" w:rsidP="000D1555">
      <w:pPr>
        <w:spacing w:line="480" w:lineRule="auto"/>
        <w:ind w:firstLine="720"/>
        <w:rPr>
          <w:szCs w:val="24"/>
        </w:rPr>
      </w:pPr>
      <w:r>
        <w:rPr>
          <w:szCs w:val="24"/>
        </w:rPr>
        <w:t xml:space="preserve">The PUCO required Duke to complete remediation efforts in ten years.  Duke failed to do so.  To protect the public interest and </w:t>
      </w:r>
      <w:r w:rsidR="00996110">
        <w:rPr>
          <w:szCs w:val="24"/>
        </w:rPr>
        <w:t xml:space="preserve">hold </w:t>
      </w:r>
      <w:r>
        <w:rPr>
          <w:szCs w:val="24"/>
        </w:rPr>
        <w:t xml:space="preserve">Duke and its shareholders accountable, the PUCO should </w:t>
      </w:r>
      <w:r w:rsidR="001835E8">
        <w:rPr>
          <w:szCs w:val="24"/>
        </w:rPr>
        <w:t>preclude</w:t>
      </w:r>
      <w:r>
        <w:rPr>
          <w:szCs w:val="24"/>
        </w:rPr>
        <w:t xml:space="preserve"> any further collection of remediation costs from customers.  </w:t>
      </w:r>
      <w:r w:rsidR="00C4620F">
        <w:rPr>
          <w:szCs w:val="24"/>
        </w:rPr>
        <w:t>Duke</w:t>
      </w:r>
      <w:r w:rsidR="00915EDD">
        <w:rPr>
          <w:szCs w:val="24"/>
        </w:rPr>
        <w:t>'</w:t>
      </w:r>
      <w:r w:rsidR="00C4620F">
        <w:rPr>
          <w:szCs w:val="24"/>
        </w:rPr>
        <w:t>s request to charge customers in perpetuity should be denied.</w:t>
      </w:r>
    </w:p>
    <w:p w:rsidR="002242E0" w:rsidP="00A43051">
      <w:pPr>
        <w:spacing w:line="480" w:lineRule="auto"/>
        <w:ind w:left="3600" w:firstLine="720"/>
        <w:rPr>
          <w:szCs w:val="24"/>
        </w:rPr>
      </w:pPr>
      <w:r>
        <w:rPr>
          <w:szCs w:val="24"/>
        </w:rPr>
        <w:t>Respectfully submitted,</w:t>
      </w:r>
    </w:p>
    <w:p w:rsidR="002242E0" w:rsidP="008C60D4">
      <w:pPr>
        <w:pStyle w:val="Footer"/>
        <w:tabs>
          <w:tab w:val="left" w:pos="4320"/>
          <w:tab w:val="clear" w:pos="8640"/>
        </w:tabs>
        <w:rPr>
          <w:sz w:val="24"/>
          <w:szCs w:val="24"/>
        </w:rPr>
      </w:pPr>
      <w:r>
        <w:rPr>
          <w:sz w:val="24"/>
          <w:szCs w:val="24"/>
        </w:rPr>
        <w:tab/>
        <w:t xml:space="preserve">BRUCE </w:t>
      </w:r>
      <w:r>
        <w:rPr>
          <w:sz w:val="24"/>
          <w:szCs w:val="24"/>
        </w:rPr>
        <w:t>WESTON</w:t>
      </w:r>
      <w:r w:rsidR="00D62B78">
        <w:rPr>
          <w:sz w:val="24"/>
          <w:szCs w:val="24"/>
        </w:rPr>
        <w:t xml:space="preserve"> </w:t>
      </w:r>
      <w:r w:rsidRPr="00D62B78" w:rsidR="00D62B78">
        <w:rPr>
          <w:sz w:val="24"/>
          <w:szCs w:val="24"/>
        </w:rPr>
        <w:t>(0016973)</w:t>
      </w:r>
    </w:p>
    <w:p w:rsidR="002242E0" w:rsidP="002242E0">
      <w:pPr>
        <w:tabs>
          <w:tab w:val="left" w:pos="4320"/>
        </w:tabs>
        <w:rPr>
          <w:szCs w:val="24"/>
        </w:rPr>
      </w:pPr>
      <w:r>
        <w:rPr>
          <w:szCs w:val="24"/>
        </w:rPr>
        <w:tab/>
        <w:t>OHIO CONSUMERS</w:t>
      </w:r>
      <w:r w:rsidR="00915EDD">
        <w:rPr>
          <w:szCs w:val="24"/>
        </w:rPr>
        <w:t>'</w:t>
      </w:r>
      <w:r>
        <w:rPr>
          <w:szCs w:val="24"/>
        </w:rPr>
        <w:t xml:space="preserve"> COUNSEL</w:t>
      </w:r>
    </w:p>
    <w:p w:rsidR="002242E0" w:rsidP="002242E0">
      <w:pPr>
        <w:tabs>
          <w:tab w:val="left" w:pos="4320"/>
        </w:tabs>
        <w:rPr>
          <w:szCs w:val="24"/>
        </w:rPr>
      </w:pPr>
      <w:r>
        <w:rPr>
          <w:szCs w:val="24"/>
        </w:rPr>
        <w:tab/>
      </w:r>
    </w:p>
    <w:p w:rsidR="002242E0" w:rsidP="002242E0">
      <w:pPr>
        <w:tabs>
          <w:tab w:val="left" w:pos="4320"/>
        </w:tabs>
        <w:rPr>
          <w:szCs w:val="24"/>
        </w:rPr>
      </w:pPr>
      <w:r>
        <w:rPr>
          <w:szCs w:val="24"/>
        </w:rPr>
        <w:tab/>
      </w:r>
      <w:r>
        <w:rPr>
          <w:i/>
          <w:szCs w:val="24"/>
          <w:u w:val="single"/>
        </w:rPr>
        <w:t xml:space="preserve">/s/ </w:t>
      </w:r>
      <w:r w:rsidR="007F68EF">
        <w:rPr>
          <w:i/>
          <w:szCs w:val="24"/>
          <w:u w:val="single"/>
        </w:rPr>
        <w:t>Christopher Healey</w:t>
      </w:r>
      <w:r w:rsidR="00BF6BB2">
        <w:rPr>
          <w:i/>
          <w:szCs w:val="24"/>
          <w:u w:val="single"/>
        </w:rPr>
        <w:tab/>
      </w:r>
      <w:r w:rsidR="00BF6BB2">
        <w:rPr>
          <w:i/>
          <w:szCs w:val="24"/>
          <w:u w:val="single"/>
        </w:rPr>
        <w:tab/>
      </w:r>
    </w:p>
    <w:p w:rsidR="00D62B78" w:rsidP="002242E0">
      <w:pPr>
        <w:tabs>
          <w:tab w:val="left" w:pos="4320"/>
        </w:tabs>
        <w:rPr>
          <w:szCs w:val="24"/>
        </w:rPr>
      </w:pPr>
      <w:r>
        <w:rPr>
          <w:szCs w:val="24"/>
        </w:rPr>
        <w:tab/>
      </w:r>
      <w:r>
        <w:rPr>
          <w:szCs w:val="24"/>
        </w:rPr>
        <w:t>Christopher Healey (</w:t>
      </w:r>
      <w:r>
        <w:t>0086027)</w:t>
      </w:r>
    </w:p>
    <w:p w:rsidR="002242E0" w:rsidP="002242E0">
      <w:pPr>
        <w:tabs>
          <w:tab w:val="left" w:pos="4320"/>
        </w:tabs>
        <w:rPr>
          <w:szCs w:val="24"/>
        </w:rPr>
      </w:pPr>
      <w:r>
        <w:rPr>
          <w:szCs w:val="24"/>
        </w:rPr>
        <w:tab/>
      </w:r>
      <w:r>
        <w:rPr>
          <w:szCs w:val="24"/>
        </w:rPr>
        <w:t>Counsel of Record</w:t>
      </w:r>
    </w:p>
    <w:p w:rsidR="00D62B78" w:rsidP="006D5706">
      <w:pPr>
        <w:tabs>
          <w:tab w:val="left" w:pos="4320"/>
        </w:tabs>
        <w:rPr>
          <w:szCs w:val="24"/>
        </w:rPr>
      </w:pPr>
      <w:r>
        <w:rPr>
          <w:szCs w:val="24"/>
        </w:rPr>
        <w:tab/>
      </w:r>
      <w:r>
        <w:rPr>
          <w:szCs w:val="24"/>
        </w:rPr>
        <w:t>Ajay Kumar (0092208)</w:t>
      </w:r>
    </w:p>
    <w:p w:rsidR="006D5706" w:rsidP="006D5706">
      <w:pPr>
        <w:tabs>
          <w:tab w:val="left" w:pos="4320"/>
        </w:tabs>
        <w:rPr>
          <w:szCs w:val="24"/>
        </w:rPr>
      </w:pPr>
      <w:r>
        <w:rPr>
          <w:szCs w:val="24"/>
        </w:rPr>
        <w:tab/>
      </w:r>
      <w:r>
        <w:rPr>
          <w:szCs w:val="24"/>
        </w:rPr>
        <w:t>Assistant Consumers</w:t>
      </w:r>
      <w:r w:rsidR="00915EDD">
        <w:rPr>
          <w:szCs w:val="24"/>
        </w:rPr>
        <w:t>'</w:t>
      </w:r>
      <w:r>
        <w:rPr>
          <w:szCs w:val="24"/>
        </w:rPr>
        <w:t xml:space="preserve"> Counsel</w:t>
      </w:r>
    </w:p>
    <w:p w:rsidR="002242E0" w:rsidP="006D5706">
      <w:pPr>
        <w:tabs>
          <w:tab w:val="left" w:pos="4320"/>
        </w:tabs>
        <w:rPr>
          <w:szCs w:val="24"/>
        </w:rPr>
      </w:pPr>
      <w:r>
        <w:rPr>
          <w:szCs w:val="24"/>
        </w:rPr>
        <w:tab/>
      </w:r>
    </w:p>
    <w:p w:rsidR="002242E0" w:rsidRPr="00DA26CD" w:rsidP="00CB7D10">
      <w:pPr>
        <w:tabs>
          <w:tab w:val="left" w:pos="4320"/>
        </w:tabs>
        <w:rPr>
          <w:b/>
        </w:rPr>
      </w:pPr>
      <w:r>
        <w:rPr>
          <w:szCs w:val="24"/>
        </w:rPr>
        <w:tab/>
      </w:r>
      <w:r w:rsidRPr="00DA26CD">
        <w:rPr>
          <w:b/>
        </w:rPr>
        <w:t>Office of the Ohio Consumers</w:t>
      </w:r>
      <w:r w:rsidRPr="00DA26CD" w:rsidR="00915EDD">
        <w:rPr>
          <w:b/>
        </w:rPr>
        <w:t>'</w:t>
      </w:r>
      <w:r w:rsidRPr="00DA26CD">
        <w:rPr>
          <w:b/>
        </w:rPr>
        <w:t xml:space="preserve"> Counsel</w:t>
      </w:r>
    </w:p>
    <w:p w:rsidR="002242E0" w:rsidP="00DE4C02">
      <w:pPr>
        <w:pStyle w:val="Heading1"/>
        <w:spacing w:after="0"/>
        <w:ind w:left="3240" w:right="-648" w:firstLine="720"/>
        <w:rPr>
          <w:b w:val="0"/>
          <w:u w:val="none"/>
        </w:rPr>
      </w:pPr>
      <w:r>
        <w:rPr>
          <w:b w:val="0"/>
          <w:u w:val="none"/>
        </w:rPr>
        <w:tab/>
        <w:t>10 West Broad Street, Suite 1800</w:t>
      </w:r>
    </w:p>
    <w:p w:rsidR="002242E0" w:rsidP="00B44CB9">
      <w:pPr>
        <w:pStyle w:val="Heading1"/>
        <w:spacing w:after="0"/>
        <w:ind w:left="3240" w:right="-648" w:firstLine="720"/>
        <w:rPr>
          <w:b w:val="0"/>
          <w:u w:val="none"/>
        </w:rPr>
      </w:pPr>
      <w:r>
        <w:rPr>
          <w:b w:val="0"/>
          <w:u w:val="none"/>
        </w:rPr>
        <w:tab/>
        <w:t>Columbus, Ohio 43215-3485</w:t>
      </w:r>
    </w:p>
    <w:p w:rsidR="00DA26CD" w:rsidP="0096598B">
      <w:pPr>
        <w:autoSpaceDE w:val="0"/>
        <w:autoSpaceDN w:val="0"/>
        <w:adjustRightInd w:val="0"/>
        <w:ind w:left="3600" w:firstLine="720"/>
        <w:rPr>
          <w:szCs w:val="24"/>
        </w:rPr>
      </w:pPr>
      <w:r>
        <w:rPr>
          <w:szCs w:val="24"/>
        </w:rPr>
        <w:t>Telephone: Healey Direct – 614-466-9571</w:t>
      </w:r>
    </w:p>
    <w:p w:rsidR="002242E0" w:rsidP="0096598B">
      <w:pPr>
        <w:autoSpaceDE w:val="0"/>
        <w:autoSpaceDN w:val="0"/>
        <w:adjustRightInd w:val="0"/>
        <w:ind w:left="3600" w:firstLine="720"/>
        <w:rPr>
          <w:szCs w:val="24"/>
        </w:rPr>
      </w:pPr>
      <w:r>
        <w:rPr>
          <w:szCs w:val="24"/>
        </w:rPr>
        <w:t xml:space="preserve">Telephone: </w:t>
      </w:r>
      <w:r w:rsidR="006D5706">
        <w:rPr>
          <w:szCs w:val="24"/>
        </w:rPr>
        <w:t>Kumar</w:t>
      </w:r>
      <w:r w:rsidR="00A43051">
        <w:rPr>
          <w:szCs w:val="24"/>
        </w:rPr>
        <w:t xml:space="preserve"> Direct – 614-466-1292</w:t>
      </w:r>
    </w:p>
    <w:p w:rsidR="00DA26CD" w:rsidRPr="00DA26CD" w:rsidP="00DA26CD">
      <w:pPr>
        <w:ind w:left="4320"/>
        <w:rPr>
          <w:szCs w:val="24"/>
        </w:rPr>
      </w:pPr>
      <w:r>
        <w:fldChar w:fldCharType="begin"/>
      </w:r>
      <w:r>
        <w:instrText xml:space="preserve"> HYPERLINK "mailto:Christopher.Healey@occ.ohio.gov" </w:instrText>
      </w:r>
      <w:r>
        <w:fldChar w:fldCharType="separate"/>
      </w:r>
      <w:r w:rsidRPr="0003745A">
        <w:rPr>
          <w:rStyle w:val="Hyperlink"/>
          <w:szCs w:val="24"/>
        </w:rPr>
        <w:t>Christopher.Healey@occ.ohio.gov</w:t>
      </w:r>
      <w:r>
        <w:fldChar w:fldCharType="end"/>
      </w:r>
      <w:r>
        <w:rPr>
          <w:szCs w:val="24"/>
        </w:rPr>
        <w:t xml:space="preserve"> </w:t>
      </w:r>
    </w:p>
    <w:p w:rsidR="002242E0" w:rsidP="0096598B">
      <w:pPr>
        <w:autoSpaceDE w:val="0"/>
        <w:autoSpaceDN w:val="0"/>
        <w:adjustRightInd w:val="0"/>
        <w:ind w:left="3600" w:firstLine="720"/>
        <w:rPr>
          <w:szCs w:val="24"/>
        </w:rPr>
      </w:pPr>
      <w:r>
        <w:fldChar w:fldCharType="begin"/>
      </w:r>
      <w:r>
        <w:instrText xml:space="preserve"> HYPERLINK "mailto:Ajay.Kumar@occ.ohio.gov" </w:instrText>
      </w:r>
      <w:r>
        <w:fldChar w:fldCharType="separate"/>
      </w:r>
      <w:r w:rsidRPr="006A6F59" w:rsidR="006D5706">
        <w:rPr>
          <w:rStyle w:val="Hyperlink"/>
          <w:szCs w:val="24"/>
        </w:rPr>
        <w:t>Ajay.Kumar@occ.ohio.gov</w:t>
      </w:r>
      <w:r>
        <w:fldChar w:fldCharType="end"/>
      </w:r>
    </w:p>
    <w:p w:rsidR="00AC113F" w:rsidP="00E37EE1">
      <w:pPr>
        <w:ind w:left="4320"/>
        <w:rPr>
          <w:szCs w:val="24"/>
        </w:rPr>
      </w:pPr>
      <w:r w:rsidRPr="00D62B78">
        <w:rPr>
          <w:szCs w:val="24"/>
        </w:rPr>
        <w:t>(Will accept service via email)</w:t>
      </w:r>
    </w:p>
    <w:p w:rsidR="00A044B5">
      <w:pPr>
        <w:rPr>
          <w:szCs w:val="24"/>
        </w:rPr>
      </w:pPr>
    </w:p>
    <w:p w:rsidR="00CB7D10" w:rsidP="00AD2325">
      <w:pPr>
        <w:autoSpaceDE w:val="0"/>
        <w:autoSpaceDN w:val="0"/>
        <w:ind w:left="4320"/>
        <w:jc w:val="both"/>
        <w:rPr>
          <w:szCs w:val="24"/>
          <w:u w:val="single"/>
        </w:rPr>
      </w:pPr>
      <w:r>
        <w:rPr>
          <w:szCs w:val="24"/>
          <w:u w:val="single"/>
        </w:rPr>
        <w:br w:type="page"/>
      </w:r>
    </w:p>
    <w:p w:rsidR="00AD2325" w:rsidP="00AD2325">
      <w:pPr>
        <w:autoSpaceDE w:val="0"/>
        <w:autoSpaceDN w:val="0"/>
        <w:ind w:left="4320"/>
        <w:jc w:val="both"/>
      </w:pPr>
      <w:r>
        <w:rPr>
          <w:szCs w:val="24"/>
          <w:u w:val="single"/>
        </w:rPr>
        <w:t>/s/ Kimberly W. Bojko</w:t>
      </w:r>
      <w:r w:rsidR="00CB7D10">
        <w:rPr>
          <w:szCs w:val="24"/>
          <w:u w:val="single"/>
        </w:rPr>
        <w:tab/>
      </w:r>
      <w:r w:rsidR="00CB7D10">
        <w:rPr>
          <w:szCs w:val="24"/>
          <w:u w:val="single"/>
        </w:rPr>
        <w:tab/>
      </w:r>
    </w:p>
    <w:p w:rsidR="00AD2325" w:rsidP="00AD2325">
      <w:pPr>
        <w:ind w:left="4320"/>
        <w:jc w:val="both"/>
      </w:pPr>
      <w:r>
        <w:rPr>
          <w:szCs w:val="24"/>
        </w:rPr>
        <w:t>Kimberly W. Bojko (0069402)</w:t>
      </w:r>
    </w:p>
    <w:p w:rsidR="00AD2325" w:rsidP="00AD2325">
      <w:pPr>
        <w:ind w:left="4320"/>
        <w:jc w:val="both"/>
      </w:pPr>
      <w:r>
        <w:rPr>
          <w:szCs w:val="24"/>
        </w:rPr>
        <w:t>Carpenter Lipps &amp; Leland LLP</w:t>
      </w:r>
    </w:p>
    <w:p w:rsidR="00AD2325" w:rsidP="00AD2325">
      <w:pPr>
        <w:ind w:left="4320"/>
        <w:jc w:val="both"/>
      </w:pPr>
      <w:r>
        <w:rPr>
          <w:szCs w:val="24"/>
        </w:rPr>
        <w:t>280 Plaza, Suite 1300</w:t>
      </w:r>
    </w:p>
    <w:p w:rsidR="00AD2325" w:rsidP="00AD2325">
      <w:pPr>
        <w:ind w:left="4320"/>
        <w:jc w:val="both"/>
      </w:pPr>
      <w:r>
        <w:rPr>
          <w:szCs w:val="24"/>
        </w:rPr>
        <w:t>280 North High Street</w:t>
      </w:r>
    </w:p>
    <w:p w:rsidR="00AD2325" w:rsidP="00AD2325">
      <w:pPr>
        <w:ind w:firstLine="4320"/>
        <w:jc w:val="both"/>
      </w:pPr>
      <w:r>
        <w:rPr>
          <w:szCs w:val="24"/>
        </w:rPr>
        <w:t>Columbus, Ohio 43215</w:t>
      </w:r>
    </w:p>
    <w:p w:rsidR="00AD2325" w:rsidP="00AD2325">
      <w:pPr>
        <w:ind w:firstLine="4320"/>
        <w:jc w:val="both"/>
      </w:pPr>
      <w:r>
        <w:rPr>
          <w:szCs w:val="24"/>
        </w:rPr>
        <w:t>Telephone: (614) 365-4100</w:t>
      </w:r>
    </w:p>
    <w:p w:rsidR="00AD2325" w:rsidP="00AD2325">
      <w:pPr>
        <w:ind w:firstLine="4320"/>
        <w:jc w:val="both"/>
      </w:pPr>
      <w:r>
        <w:rPr>
          <w:szCs w:val="24"/>
        </w:rPr>
        <w:t xml:space="preserve">Email: </w:t>
      </w:r>
      <w:r>
        <w:fldChar w:fldCharType="begin"/>
      </w:r>
      <w:r>
        <w:instrText xml:space="preserve"> HYPERLINK "mailto:Bojko@carpenterlipps.com" </w:instrText>
      </w:r>
      <w:r>
        <w:fldChar w:fldCharType="separate"/>
      </w:r>
      <w:r>
        <w:rPr>
          <w:rStyle w:val="Hyperlink"/>
          <w:szCs w:val="24"/>
        </w:rPr>
        <w:t>Bojko@carpenterlipps.com</w:t>
      </w:r>
      <w:r>
        <w:fldChar w:fldCharType="end"/>
      </w:r>
    </w:p>
    <w:p w:rsidR="00AD2325" w:rsidP="00AD2325">
      <w:pPr>
        <w:jc w:val="both"/>
      </w:pPr>
      <w:r>
        <w:tab/>
      </w:r>
      <w:r>
        <w:tab/>
      </w:r>
      <w:r>
        <w:tab/>
      </w:r>
      <w:r>
        <w:tab/>
      </w:r>
      <w:r>
        <w:tab/>
      </w:r>
      <w:r>
        <w:tab/>
        <w:t>(Will accept service via email)</w:t>
      </w:r>
    </w:p>
    <w:p w:rsidR="00DA26CD" w:rsidP="00AD2325">
      <w:pPr>
        <w:jc w:val="both"/>
      </w:pPr>
    </w:p>
    <w:p w:rsidR="000C7E7B" w:rsidRPr="000C7E7B" w:rsidP="00AD2325">
      <w:pPr>
        <w:ind w:firstLine="4320"/>
        <w:rPr>
          <w:b/>
          <w:szCs w:val="24"/>
        </w:rPr>
      </w:pPr>
      <w:r>
        <w:rPr>
          <w:i/>
          <w:iCs/>
          <w:szCs w:val="24"/>
        </w:rPr>
        <w:t>Counsel for The Kroger Co.</w:t>
      </w:r>
    </w:p>
    <w:p w:rsidR="000C7E7B">
      <w:pPr>
        <w:rPr>
          <w:szCs w:val="24"/>
        </w:rPr>
      </w:pPr>
    </w:p>
    <w:p w:rsidR="000C7E7B">
      <w:pPr>
        <w:rPr>
          <w:szCs w:val="24"/>
        </w:rPr>
      </w:pPr>
    </w:p>
    <w:p w:rsidR="00A044B5">
      <w:pPr>
        <w:rPr>
          <w:szCs w:val="24"/>
        </w:rPr>
      </w:pPr>
    </w:p>
    <w:p w:rsidR="00FB30CF" w:rsidP="00E37EE1">
      <w:pPr>
        <w:spacing w:line="480" w:lineRule="auto"/>
        <w:jc w:val="center"/>
        <w:rPr>
          <w:b/>
          <w:bCs/>
          <w:u w:val="single"/>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A044B5" w:rsidP="00E37EE1">
      <w:pPr>
        <w:spacing w:line="480" w:lineRule="auto"/>
        <w:jc w:val="center"/>
        <w:rPr>
          <w:b/>
          <w:bCs/>
          <w:u w:val="single"/>
        </w:rPr>
      </w:pPr>
      <w:r>
        <w:rPr>
          <w:b/>
          <w:bCs/>
          <w:u w:val="single"/>
        </w:rPr>
        <w:t>CERTIFICATE OF SERVICE</w:t>
      </w:r>
    </w:p>
    <w:p w:rsidR="00A044B5" w:rsidP="00E37EE1">
      <w:pPr>
        <w:spacing w:line="480" w:lineRule="auto"/>
        <w:ind w:firstLine="720"/>
      </w:pPr>
      <w:r>
        <w:t xml:space="preserve">I hereby certify that a copy of </w:t>
      </w:r>
      <w:r w:rsidR="008C10F1">
        <w:t>these Comments</w:t>
      </w:r>
      <w:r>
        <w:t xml:space="preserve"> </w:t>
      </w:r>
      <w:r w:rsidR="008C60D4">
        <w:t>was</w:t>
      </w:r>
      <w:r>
        <w:t xml:space="preserve"> served on the persons stated below </w:t>
      </w:r>
      <w:r w:rsidRPr="00795263">
        <w:t>via</w:t>
      </w:r>
      <w:r w:rsidR="002A4912">
        <w:t xml:space="preserve"> electronic transmission</w:t>
      </w:r>
      <w:r>
        <w:t xml:space="preserve">, this </w:t>
      </w:r>
      <w:r w:rsidR="00C4620F">
        <w:t>23rd</w:t>
      </w:r>
      <w:r w:rsidR="00A43051">
        <w:t xml:space="preserve"> </w:t>
      </w:r>
      <w:r>
        <w:t xml:space="preserve">day of </w:t>
      </w:r>
      <w:r w:rsidR="00BF6BB2">
        <w:t>November</w:t>
      </w:r>
      <w:r w:rsidR="00A43051">
        <w:t xml:space="preserve"> 2016</w:t>
      </w:r>
      <w:r>
        <w:t>.</w:t>
      </w:r>
    </w:p>
    <w:p w:rsidR="00A044B5">
      <w:pPr>
        <w:spacing w:line="480" w:lineRule="atLeast"/>
      </w:pPr>
    </w:p>
    <w:p w:rsidR="006D5136" w:rsidP="006D5136">
      <w:pPr>
        <w:autoSpaceDE w:val="0"/>
        <w:autoSpaceDN w:val="0"/>
        <w:adjustRightInd w:val="0"/>
        <w:ind w:left="4320"/>
        <w:rPr>
          <w:i/>
        </w:rPr>
      </w:pPr>
      <w:r>
        <w:rPr>
          <w:i/>
          <w:u w:val="single"/>
        </w:rPr>
        <w:t xml:space="preserve">/s/ </w:t>
      </w:r>
      <w:r w:rsidR="008F73DE">
        <w:rPr>
          <w:i/>
          <w:u w:val="single"/>
        </w:rPr>
        <w:t>Christopher Healey</w:t>
      </w:r>
      <w:r>
        <w:rPr>
          <w:i/>
          <w:u w:val="single"/>
        </w:rPr>
        <w:t>                           </w:t>
      </w:r>
    </w:p>
    <w:p w:rsidR="00A044B5">
      <w:pPr>
        <w:tabs>
          <w:tab w:val="left" w:pos="4320"/>
        </w:tabs>
      </w:pPr>
      <w:r>
        <w:tab/>
      </w:r>
      <w:r w:rsidR="008F73DE">
        <w:t>Christopher Healey</w:t>
      </w:r>
    </w:p>
    <w:p w:rsidR="00A044B5">
      <w:pPr>
        <w:tabs>
          <w:tab w:val="left" w:pos="4320"/>
        </w:tabs>
      </w:pPr>
      <w:r>
        <w:tab/>
      </w:r>
      <w:r w:rsidR="00BF6BB2">
        <w:t>Assistant Consumers</w:t>
      </w:r>
      <w:r w:rsidR="00915EDD">
        <w:t>'</w:t>
      </w:r>
      <w:r w:rsidR="00BF6BB2">
        <w:t xml:space="preserve">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A044B5" w:rsidP="002242E0">
      <w:pPr>
        <w:pStyle w:val="BodyText"/>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29"/>
        <w:gridCol w:w="4327"/>
      </w:tblGrid>
      <w:tr w:rsidTr="0086468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864689" w:rsidRPr="00864689" w:rsidP="00864689">
            <w:pPr>
              <w:pStyle w:val="BodyText"/>
              <w:jc w:val="left"/>
              <w:rPr>
                <w:rStyle w:val="DefaultParagraphFont"/>
                <w:bCs/>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864689">
              <w:rPr>
                <w:rStyle w:val="Hyperlink"/>
                <w:bCs/>
                <w:color w:val="0000FF"/>
                <w:sz w:val="24"/>
                <w:u w:val="single"/>
                <w:lang w:val="en-US" w:eastAsia="en-US" w:bidi="ar-SA"/>
              </w:rPr>
              <w:t>William.wright@ohioattorneygeneral.gov</w:t>
            </w:r>
            <w:r>
              <w:fldChar w:fldCharType="end"/>
            </w:r>
            <w:r w:rsidRPr="00864689">
              <w:rPr>
                <w:bCs/>
                <w:sz w:val="24"/>
                <w:lang w:val="en-US" w:eastAsia="en-US" w:bidi="ar-SA"/>
              </w:rPr>
              <w:t xml:space="preserve"> </w:t>
            </w:r>
          </w:p>
          <w:p w:rsidR="00864689" w:rsidRPr="00864689" w:rsidP="00864689">
            <w:pPr>
              <w:pStyle w:val="BodyText"/>
              <w:jc w:val="left"/>
              <w:rPr>
                <w:rStyle w:val="DefaultParagraphFont"/>
                <w:bCs/>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864689">
              <w:rPr>
                <w:rStyle w:val="Hyperlink"/>
                <w:bCs/>
                <w:color w:val="0000FF"/>
                <w:sz w:val="24"/>
                <w:u w:val="single"/>
                <w:lang w:val="en-US" w:eastAsia="en-US" w:bidi="ar-SA"/>
              </w:rPr>
              <w:t>Thomas.mcnamee@ohioattorneygeneral.gov</w:t>
            </w:r>
            <w:r>
              <w:fldChar w:fldCharType="end"/>
            </w:r>
            <w:r w:rsidRPr="00864689">
              <w:rPr>
                <w:bCs/>
                <w:sz w:val="24"/>
                <w:lang w:val="en-US" w:eastAsia="en-US" w:bidi="ar-SA"/>
              </w:rPr>
              <w:t xml:space="preserve"> </w:t>
            </w:r>
          </w:p>
          <w:p w:rsidR="00864689" w:rsidRPr="00864689" w:rsidP="00864689">
            <w:pPr>
              <w:pStyle w:val="BodyText"/>
              <w:jc w:val="left"/>
              <w:rPr>
                <w:rStyle w:val="DefaultParagraphFont"/>
                <w:bCs/>
                <w:sz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864689">
              <w:rPr>
                <w:rStyle w:val="Hyperlink"/>
                <w:bCs/>
                <w:color w:val="0000FF"/>
                <w:sz w:val="24"/>
                <w:u w:val="single"/>
                <w:lang w:val="en-US" w:eastAsia="en-US" w:bidi="ar-SA"/>
              </w:rPr>
              <w:t>cmooney@ohiopartners.org</w:t>
            </w:r>
            <w:r>
              <w:fldChar w:fldCharType="end"/>
            </w:r>
            <w:r w:rsidRPr="00864689">
              <w:rPr>
                <w:bCs/>
                <w:sz w:val="24"/>
                <w:lang w:val="en-US" w:eastAsia="en-US" w:bidi="ar-SA"/>
              </w:rPr>
              <w:t xml:space="preserve"> </w:t>
            </w:r>
          </w:p>
          <w:p w:rsidR="00864689" w:rsidRPr="00864689" w:rsidP="00864689">
            <w:pPr>
              <w:pStyle w:val="BodyText"/>
              <w:jc w:val="left"/>
              <w:rPr>
                <w:rStyle w:val="DefaultParagraphFont"/>
                <w:bCs/>
                <w:sz w:val="24"/>
                <w:lang w:val="en-US" w:eastAsia="en-US" w:bidi="ar-SA"/>
              </w:rPr>
            </w:pPr>
          </w:p>
          <w:p w:rsidR="00864689" w:rsidRPr="00864689" w:rsidP="00864689">
            <w:pPr>
              <w:pStyle w:val="BodyText"/>
              <w:jc w:val="left"/>
              <w:rPr>
                <w:rStyle w:val="DefaultParagraphFont"/>
                <w:bCs/>
                <w:sz w:val="24"/>
                <w:lang w:val="en-US" w:eastAsia="en-US" w:bidi="ar-SA"/>
              </w:rPr>
            </w:pPr>
            <w:r w:rsidRPr="00864689">
              <w:rPr>
                <w:bCs/>
                <w:sz w:val="24"/>
                <w:lang w:val="en-US" w:eastAsia="en-US" w:bidi="ar-SA"/>
              </w:rPr>
              <w:t>Attorney Examiner:</w:t>
            </w:r>
          </w:p>
          <w:p w:rsidR="00864689" w:rsidRPr="00864689" w:rsidP="00864689">
            <w:pPr>
              <w:pStyle w:val="BodyText"/>
              <w:jc w:val="left"/>
              <w:rPr>
                <w:rStyle w:val="DefaultParagraphFont"/>
                <w:bCs/>
                <w:sz w:val="24"/>
                <w:lang w:val="en-US" w:eastAsia="en-US" w:bidi="ar-SA"/>
              </w:rPr>
            </w:pPr>
            <w:r>
              <w:fldChar w:fldCharType="begin"/>
            </w:r>
            <w:r>
              <w:rPr>
                <w:sz w:val="24"/>
                <w:lang w:val="en-US" w:eastAsia="en-US" w:bidi="ar-SA"/>
              </w:rPr>
              <w:instrText xml:space="preserve"> HYPERLINK "mailto:Megan.addison@puc.state.oh.us" </w:instrText>
            </w:r>
            <w:r>
              <w:fldChar w:fldCharType="separate"/>
            </w:r>
            <w:r w:rsidRPr="00864689">
              <w:rPr>
                <w:rStyle w:val="Hyperlink"/>
                <w:bCs/>
                <w:color w:val="0000FF"/>
                <w:sz w:val="24"/>
                <w:u w:val="single"/>
                <w:lang w:val="en-US" w:eastAsia="en-US" w:bidi="ar-SA"/>
              </w:rPr>
              <w:t>Megan.addison@puc.state.oh.us</w:t>
            </w:r>
            <w:r>
              <w:fldChar w:fldCharType="end"/>
            </w:r>
            <w:r w:rsidRPr="00864689">
              <w:rPr>
                <w:bCs/>
                <w:sz w:val="24"/>
                <w:lang w:val="en-US" w:eastAsia="en-US" w:bidi="ar-SA"/>
              </w:rPr>
              <w:t xml:space="preserve"> </w:t>
            </w:r>
          </w:p>
          <w:p w:rsidR="00864689" w:rsidRPr="00864689" w:rsidP="00864689">
            <w:pPr>
              <w:pStyle w:val="BodyText"/>
              <w:jc w:val="left"/>
              <w:rPr>
                <w:rStyle w:val="DefaultParagraphFont"/>
                <w:bCs/>
                <w:sz w:val="24"/>
                <w:lang w:val="en-US" w:eastAsia="en-US" w:bidi="ar-SA"/>
              </w:rPr>
            </w:pPr>
          </w:p>
        </w:tc>
        <w:tc>
          <w:tcPr>
            <w:tcW w:w="4428" w:type="dxa"/>
          </w:tcPr>
          <w:p w:rsidR="00864689" w:rsidRPr="00864689" w:rsidP="00864689">
            <w:pPr>
              <w:pStyle w:val="BodyText"/>
              <w:jc w:val="left"/>
              <w:rPr>
                <w:rStyle w:val="DefaultParagraphFont"/>
                <w:bCs/>
                <w:sz w:val="24"/>
                <w:lang w:val="en-US" w:eastAsia="en-US" w:bidi="ar-SA"/>
              </w:rPr>
            </w:pPr>
            <w:r>
              <w:fldChar w:fldCharType="begin"/>
            </w:r>
            <w:r>
              <w:rPr>
                <w:sz w:val="24"/>
                <w:lang w:val="en-US" w:eastAsia="en-US" w:bidi="ar-SA"/>
              </w:rPr>
              <w:instrText xml:space="preserve"> HYPERLINK "mailto:Amy.spiller@duke-energy.com" </w:instrText>
            </w:r>
            <w:r>
              <w:fldChar w:fldCharType="separate"/>
            </w:r>
            <w:r w:rsidRPr="00864689">
              <w:rPr>
                <w:rStyle w:val="Hyperlink"/>
                <w:bCs/>
                <w:color w:val="0000FF"/>
                <w:sz w:val="24"/>
                <w:u w:val="single"/>
                <w:lang w:val="en-US" w:eastAsia="en-US" w:bidi="ar-SA"/>
              </w:rPr>
              <w:t>Amy.spiller@duke-energy.com</w:t>
            </w:r>
            <w:r>
              <w:fldChar w:fldCharType="end"/>
            </w:r>
            <w:r w:rsidRPr="00864689">
              <w:rPr>
                <w:bCs/>
                <w:sz w:val="24"/>
                <w:lang w:val="en-US" w:eastAsia="en-US" w:bidi="ar-SA"/>
              </w:rPr>
              <w:t xml:space="preserve"> </w:t>
            </w:r>
          </w:p>
          <w:p w:rsidR="00864689" w:rsidRPr="00864689" w:rsidP="00864689">
            <w:pPr>
              <w:pStyle w:val="BodyText"/>
              <w:jc w:val="left"/>
              <w:rPr>
                <w:rStyle w:val="DefaultParagraphFont"/>
                <w:bCs/>
                <w:sz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864689">
              <w:rPr>
                <w:rStyle w:val="Hyperlink"/>
                <w:bCs/>
                <w:color w:val="0000FF"/>
                <w:sz w:val="24"/>
                <w:u w:val="single"/>
                <w:lang w:val="en-US" w:eastAsia="en-US" w:bidi="ar-SA"/>
              </w:rPr>
              <w:t>Elizabeth.watts@duke-energy.com</w:t>
            </w:r>
            <w:r>
              <w:fldChar w:fldCharType="end"/>
            </w:r>
            <w:r w:rsidRPr="00864689">
              <w:rPr>
                <w:bCs/>
                <w:sz w:val="24"/>
                <w:lang w:val="en-US" w:eastAsia="en-US" w:bidi="ar-SA"/>
              </w:rPr>
              <w:t xml:space="preserve"> </w:t>
            </w:r>
          </w:p>
          <w:p w:rsidR="00864689" w:rsidRPr="00864689" w:rsidP="00864689">
            <w:pPr>
              <w:pStyle w:val="BodyText"/>
              <w:jc w:val="left"/>
              <w:rPr>
                <w:rStyle w:val="DefaultParagraphFont"/>
                <w:bCs/>
                <w:sz w:val="24"/>
                <w:lang w:val="en-US" w:eastAsia="en-US" w:bidi="ar-SA"/>
              </w:rPr>
            </w:pPr>
          </w:p>
        </w:tc>
      </w:tr>
    </w:tbl>
    <w:p w:rsidR="00864689" w:rsidRPr="00E81D88" w:rsidP="002242E0">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195" w:rsidRPr="00CB7D10">
    <w:pPr>
      <w:pStyle w:val="Footer"/>
      <w:framePr w:wrap="around" w:vAnchor="text" w:hAnchor="margin" w:xAlign="center" w:y="1"/>
      <w:jc w:val="center"/>
      <w:rPr>
        <w:rStyle w:val="PageNumber"/>
        <w:sz w:val="24"/>
        <w:szCs w:val="24"/>
      </w:rPr>
    </w:pPr>
    <w:r w:rsidRPr="00CB7D10">
      <w:rPr>
        <w:rStyle w:val="PageNumber"/>
        <w:sz w:val="24"/>
        <w:szCs w:val="24"/>
      </w:rPr>
      <w:fldChar w:fldCharType="begin"/>
    </w:r>
    <w:r w:rsidRPr="00CB7D10">
      <w:rPr>
        <w:rStyle w:val="PageNumber"/>
        <w:sz w:val="24"/>
        <w:szCs w:val="24"/>
      </w:rPr>
      <w:instrText xml:space="preserve">PAGE  </w:instrText>
    </w:r>
    <w:r w:rsidRPr="00CB7D10">
      <w:rPr>
        <w:rStyle w:val="PageNumber"/>
        <w:sz w:val="24"/>
        <w:szCs w:val="24"/>
      </w:rPr>
      <w:fldChar w:fldCharType="separate"/>
    </w:r>
    <w:r w:rsidR="00DA26CD">
      <w:rPr>
        <w:rStyle w:val="PageNumber"/>
        <w:noProof/>
        <w:sz w:val="24"/>
        <w:szCs w:val="24"/>
      </w:rPr>
      <w:t>7</w:t>
    </w:r>
    <w:r w:rsidRPr="00CB7D10">
      <w:rPr>
        <w:rStyle w:val="PageNumber"/>
        <w:sz w:val="24"/>
        <w:szCs w:val="24"/>
      </w:rPr>
      <w:fldChar w:fldCharType="end"/>
    </w:r>
  </w:p>
  <w:p w:rsidR="006B7195" w:rsidRPr="00CB7D10">
    <w:pPr>
      <w:pStyle w:val="Footer"/>
      <w:framePr w:wrap="around" w:vAnchor="text" w:hAnchor="margin" w:xAlign="center" w:y="1"/>
      <w:rPr>
        <w:rStyle w:val="PageNumber"/>
      </w:rPr>
    </w:pPr>
  </w:p>
  <w:p w:rsidR="006B7195" w:rsidRPr="00CB7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6816">
      <w:r>
        <w:separator/>
      </w:r>
    </w:p>
  </w:footnote>
  <w:footnote w:type="continuationSeparator" w:id="1">
    <w:p w:rsidR="00386816">
      <w:r>
        <w:continuationSeparator/>
      </w:r>
    </w:p>
  </w:footnote>
  <w:footnote w:type="continuationNotice" w:id="2">
    <w:p w:rsidR="00386816"/>
  </w:footnote>
  <w:footnote w:id="3">
    <w:p w:rsidR="00326030" w:rsidRPr="00BC1B21" w:rsidP="00BC1B21">
      <w:pPr>
        <w:pStyle w:val="FootnoteText"/>
        <w:spacing w:before="0" w:after="120"/>
        <w:rPr>
          <w:i/>
        </w:rPr>
      </w:pPr>
      <w:r w:rsidRPr="00BC1B21">
        <w:rPr>
          <w:rStyle w:val="FootnoteReference"/>
        </w:rPr>
        <w:footnoteRef/>
      </w:r>
      <w:r w:rsidRPr="00BC1B21">
        <w:t xml:space="preserve"> </w:t>
      </w:r>
      <w:r w:rsidRPr="00BC1B21" w:rsidR="00787478">
        <w:rPr>
          <w:i/>
        </w:rPr>
        <w:t>In the Matter of the Application of Duke Energy Ohio, Inc., for an Increase in its Natural Gas Distribution Rates</w:t>
      </w:r>
      <w:r w:rsidRPr="00BC1B21" w:rsidR="00787478">
        <w:t xml:space="preserve">, Case No. 12-1685, Opinion and Order at 72 (Nov. 13, 2013) (the </w:t>
      </w:r>
      <w:r w:rsidRPr="00BC1B21" w:rsidR="00915EDD">
        <w:t>"</w:t>
      </w:r>
      <w:r w:rsidRPr="00BC1B21" w:rsidR="00787478">
        <w:t>2013 MGP Order</w:t>
      </w:r>
      <w:r w:rsidRPr="00BC1B21" w:rsidR="00915EDD">
        <w:t>"</w:t>
      </w:r>
      <w:r w:rsidRPr="00BC1B21" w:rsidR="00787478">
        <w:t>).</w:t>
      </w:r>
    </w:p>
  </w:footnote>
  <w:footnote w:id="4">
    <w:p w:rsidR="008F6ADC" w:rsidRPr="00BC1B21" w:rsidP="00BC1B21">
      <w:pPr>
        <w:pStyle w:val="ListParagraph"/>
        <w:spacing w:after="120" w:line="240" w:lineRule="auto"/>
        <w:ind w:left="0"/>
        <w:contextualSpacing w:val="0"/>
        <w:rPr>
          <w:rFonts w:ascii="Times New Roman" w:hAnsi="Times New Roman" w:cs="Times New Roman"/>
          <w:sz w:val="20"/>
          <w:szCs w:val="20"/>
        </w:rPr>
      </w:pPr>
      <w:r w:rsidRPr="00BC1B21">
        <w:rPr>
          <w:rStyle w:val="FootnoteReference"/>
          <w:rFonts w:ascii="Times New Roman" w:hAnsi="Times New Roman" w:cs="Times New Roman"/>
          <w:sz w:val="20"/>
          <w:szCs w:val="20"/>
        </w:rPr>
        <w:footnoteRef/>
      </w:r>
      <w:r w:rsidRPr="00BC1B21">
        <w:rPr>
          <w:rFonts w:ascii="Times New Roman" w:hAnsi="Times New Roman" w:cs="Times New Roman"/>
          <w:sz w:val="20"/>
          <w:szCs w:val="20"/>
        </w:rPr>
        <w:t xml:space="preserve"> </w:t>
      </w:r>
      <w:r w:rsidRPr="00BC1B21" w:rsidR="00787478">
        <w:rPr>
          <w:rFonts w:ascii="Times New Roman" w:hAnsi="Times New Roman" w:cs="Times New Roman"/>
          <w:i/>
          <w:sz w:val="20"/>
          <w:szCs w:val="20"/>
        </w:rPr>
        <w:t>Id.</w:t>
      </w:r>
      <w:r w:rsidRPr="00BC1B21" w:rsidR="00E17B46">
        <w:rPr>
          <w:rFonts w:ascii="Times New Roman" w:hAnsi="Times New Roman" w:cs="Times New Roman"/>
          <w:i/>
          <w:sz w:val="20"/>
          <w:szCs w:val="20"/>
        </w:rPr>
        <w:t xml:space="preserve">  </w:t>
      </w:r>
      <w:r w:rsidRPr="00BC1B21" w:rsidR="00E17B46">
        <w:rPr>
          <w:rFonts w:ascii="Times New Roman" w:hAnsi="Times New Roman" w:cs="Times New Roman"/>
          <w:sz w:val="20"/>
          <w:szCs w:val="20"/>
        </w:rPr>
        <w:t>That PUCO decision has been appealed to the Ohio Supreme Court a</w:t>
      </w:r>
      <w:r w:rsidRPr="00BC1B21" w:rsidR="00BC1B21">
        <w:rPr>
          <w:rFonts w:ascii="Times New Roman" w:hAnsi="Times New Roman" w:cs="Times New Roman"/>
          <w:sz w:val="20"/>
          <w:szCs w:val="20"/>
        </w:rPr>
        <w:t>nd oral argument has been set.</w:t>
      </w:r>
      <w:r w:rsidR="00BC1B21">
        <w:rPr>
          <w:rFonts w:ascii="Times New Roman" w:hAnsi="Times New Roman" w:cs="Times New Roman"/>
          <w:sz w:val="20"/>
          <w:szCs w:val="20"/>
        </w:rPr>
        <w:t xml:space="preserve">  </w:t>
      </w:r>
      <w:r w:rsidR="00BC1B21">
        <w:rPr>
          <w:rFonts w:ascii="Times New Roman" w:hAnsi="Times New Roman" w:cs="Times New Roman"/>
          <w:i/>
          <w:sz w:val="20"/>
          <w:szCs w:val="20"/>
        </w:rPr>
        <w:t>See</w:t>
      </w:r>
      <w:r w:rsidR="00BC1B21">
        <w:rPr>
          <w:rFonts w:ascii="Times New Roman" w:hAnsi="Times New Roman" w:cs="Times New Roman"/>
          <w:sz w:val="20"/>
          <w:szCs w:val="20"/>
        </w:rPr>
        <w:t xml:space="preserve"> Notice of Oral Argument (Nov. 2, 2016), Ohio Supreme Court Case No. 2014-0328.</w:t>
      </w:r>
    </w:p>
  </w:footnote>
  <w:footnote w:id="5">
    <w:p w:rsidR="008F6ADC" w:rsidRPr="00BC1B21" w:rsidP="00BC1B21">
      <w:pPr>
        <w:pStyle w:val="FootnoteText"/>
        <w:spacing w:before="0" w:after="120"/>
        <w:rPr>
          <w:b/>
        </w:rPr>
      </w:pPr>
      <w:r w:rsidRPr="00BC1B21">
        <w:rPr>
          <w:rStyle w:val="FootnoteReference"/>
        </w:rPr>
        <w:footnoteRef/>
      </w:r>
      <w:r w:rsidRPr="00BC1B21">
        <w:t xml:space="preserve"> </w:t>
      </w:r>
      <w:r w:rsidRPr="00BC1B21" w:rsidR="00787478">
        <w:rPr>
          <w:i/>
        </w:rPr>
        <w:t>In the Matter of the Application of Duke Energy Ohio, Inc., for an Increase in its Natural Gas Distribution Rates</w:t>
      </w:r>
      <w:r w:rsidRPr="00BC1B21" w:rsidR="00787478">
        <w:t xml:space="preserve">, Case No. 12-1685, Entry on Rehearing at 4 (Jan. 8, 2014) (the </w:t>
      </w:r>
      <w:r w:rsidRPr="00BC1B21" w:rsidR="00915EDD">
        <w:t>"</w:t>
      </w:r>
      <w:r w:rsidRPr="00BC1B21" w:rsidR="00787478">
        <w:t>2014 MGP Entry</w:t>
      </w:r>
      <w:r w:rsidRPr="00BC1B21" w:rsidR="00915EDD">
        <w:t>"</w:t>
      </w:r>
      <w:r w:rsidRPr="00BC1B21" w:rsidR="00787478">
        <w:t>).</w:t>
      </w:r>
    </w:p>
  </w:footnote>
  <w:footnote w:id="6">
    <w:p w:rsidR="00BF41DB" w:rsidRPr="00BC1B21" w:rsidP="00BC1B21">
      <w:pPr>
        <w:pStyle w:val="FootnoteText"/>
        <w:spacing w:before="0" w:after="120"/>
      </w:pPr>
      <w:r w:rsidRPr="00BC1B21">
        <w:rPr>
          <w:rStyle w:val="FootnoteReference"/>
        </w:rPr>
        <w:footnoteRef/>
      </w:r>
      <w:r w:rsidRPr="00BC1B21">
        <w:t xml:space="preserve"> </w:t>
      </w:r>
      <w:r w:rsidRPr="00BC1B21">
        <w:rPr>
          <w:i/>
        </w:rPr>
        <w:t>Office of Consumers</w:t>
      </w:r>
      <w:r w:rsidRPr="00BC1B21" w:rsidR="00915EDD">
        <w:rPr>
          <w:i/>
        </w:rPr>
        <w:t>'</w:t>
      </w:r>
      <w:r w:rsidRPr="00BC1B21">
        <w:rPr>
          <w:i/>
        </w:rPr>
        <w:t xml:space="preserve"> Counsel v. Pub. Util. Comm.</w:t>
      </w:r>
      <w:r w:rsidRPr="00BC1B21">
        <w:t>, 58 Ohio St. 2d 449, 453 (1979) (</w:t>
      </w:r>
      <w:r w:rsidRPr="00BC1B21" w:rsidR="00915EDD">
        <w:t>"</w:t>
      </w:r>
      <w:r w:rsidRPr="00BC1B21">
        <w:rPr>
          <w:i/>
        </w:rPr>
        <w:t>OCC v. PUCO</w:t>
      </w:r>
      <w:r w:rsidRPr="00BC1B21" w:rsidR="00915EDD">
        <w:t>"</w:t>
      </w:r>
      <w:r w:rsidRPr="00BC1B21">
        <w:t>) (emphasis added).</w:t>
      </w:r>
      <w:r w:rsidRPr="00BC1B21" w:rsidR="00E17B46">
        <w:t xml:space="preserve">(denying </w:t>
      </w:r>
      <w:r w:rsidRPr="00BC1B21" w:rsidR="00915EDD">
        <w:t>the utility's request to include a nuclear power plant in its rate base because it was not used and useful).</w:t>
      </w:r>
    </w:p>
  </w:footnote>
  <w:footnote w:id="7">
    <w:p w:rsidR="00BF41DB" w:rsidRPr="00BC1B21" w:rsidP="00BC1B21">
      <w:pPr>
        <w:pStyle w:val="FootnoteText"/>
        <w:spacing w:before="0" w:after="120"/>
      </w:pPr>
      <w:r w:rsidRPr="00BC1B21">
        <w:rPr>
          <w:rStyle w:val="FootnoteReference"/>
        </w:rPr>
        <w:footnoteRef/>
      </w:r>
      <w:r w:rsidRPr="00BC1B21">
        <w:t xml:space="preserve"> R.C. 490</w:t>
      </w:r>
      <w:r w:rsidRPr="00BC1B21" w:rsidR="00E17B46">
        <w:t>9</w:t>
      </w:r>
      <w:r w:rsidRPr="00BC1B21">
        <w:t>.15(A)(1)</w:t>
      </w:r>
      <w:r w:rsidRPr="00BC1B21" w:rsidR="00D01F49">
        <w:t>.</w:t>
      </w:r>
    </w:p>
  </w:footnote>
  <w:footnote w:id="8">
    <w:p w:rsidR="007F68EF" w:rsidRPr="00BC1B21" w:rsidP="00BC1B21">
      <w:pPr>
        <w:pStyle w:val="FootnoteText"/>
        <w:spacing w:before="0"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Case No. 12-1685, Opinion and Order at 72 (Nov. 13, 2013).</w:t>
      </w:r>
    </w:p>
  </w:footnote>
  <w:footnote w:id="9">
    <w:p w:rsidR="007F68EF" w:rsidRPr="00BC1B21" w:rsidP="00BC1B21">
      <w:pPr>
        <w:pStyle w:val="FootnoteText"/>
        <w:spacing w:before="0" w:after="120"/>
      </w:pPr>
      <w:r w:rsidRPr="00BC1B21">
        <w:rPr>
          <w:rStyle w:val="FootnoteReference"/>
        </w:rPr>
        <w:footnoteRef/>
      </w:r>
      <w:r w:rsidRPr="00BC1B21">
        <w:t xml:space="preserve"> </w:t>
      </w:r>
      <w:r w:rsidRPr="00996110">
        <w:rPr>
          <w:i/>
        </w:rPr>
        <w:t>See</w:t>
      </w:r>
      <w:r w:rsidRPr="00BC1B21">
        <w:t xml:space="preserve"> Direct Testimony of Jessica Bednarcik at 5, </w:t>
      </w:r>
      <w:r w:rsidRPr="00BC1B21">
        <w:rPr>
          <w:i/>
        </w:rPr>
        <w:t>In The Matter of the Application of Duke Energy Ohio, Inc., for an Increase in Gas Rates,</w:t>
      </w:r>
      <w:r w:rsidRPr="00BC1B21">
        <w:t xml:space="preserve"> Case No. 12-1685-GA-AIR (July 20, 2012) (</w:t>
      </w:r>
      <w:r w:rsidRPr="00BC1B21" w:rsidR="00915EDD">
        <w:t>"</w:t>
      </w:r>
      <w:r w:rsidRPr="00BC1B21">
        <w:t>According to the Company</w:t>
      </w:r>
      <w:r w:rsidRPr="00BC1B21" w:rsidR="00915EDD">
        <w:t>'</w:t>
      </w:r>
      <w:r w:rsidRPr="00BC1B21">
        <w:t xml:space="preserve">s annual reports, manufactured gas operations ended at East End </w:t>
      </w:r>
      <w:r w:rsidR="00F5583E">
        <w:t>in 1963 and at West End in 1967.</w:t>
      </w:r>
      <w:r w:rsidRPr="00BC1B21" w:rsidR="00915EDD">
        <w:t>"</w:t>
      </w:r>
      <w:r w:rsidRPr="00BC1B21">
        <w:t>)</w:t>
      </w:r>
    </w:p>
  </w:footnote>
  <w:footnote w:id="10">
    <w:p w:rsidR="007F68EF" w:rsidRPr="00BC1B21" w:rsidP="00BC1B21">
      <w:pPr>
        <w:pStyle w:val="FootnoteText"/>
        <w:spacing w:before="0"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xml:space="preserve">, Case No. 12-1685, Dissenting Opinion of Commissioners Steven D. Lesser and Asim Z. Haque (Nov. 13, 2013). </w:t>
      </w:r>
    </w:p>
  </w:footnote>
  <w:footnote w:id="11">
    <w:p w:rsidR="007F68EF" w:rsidRPr="00BC1B21" w:rsidP="00BC1B21">
      <w:pPr>
        <w:pStyle w:val="FootnoteText"/>
        <w:spacing w:before="0"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Case No. 12-1685, Opinion and Order at 72 (Nov. 13, 2013).</w:t>
      </w:r>
    </w:p>
  </w:footnote>
  <w:footnote w:id="12">
    <w:p w:rsidR="00D01F49" w:rsidRPr="00BC1B21" w:rsidP="00BC1B21">
      <w:pPr>
        <w:pStyle w:val="FootnoteText"/>
        <w:spacing w:before="0" w:after="120"/>
      </w:pPr>
      <w:r w:rsidRPr="00BC1B21">
        <w:rPr>
          <w:rStyle w:val="FootnoteReference"/>
        </w:rPr>
        <w:footnoteRef/>
      </w:r>
      <w:r w:rsidRPr="00BC1B21">
        <w:t xml:space="preserve"> Case No. 2014-0328.</w:t>
      </w:r>
    </w:p>
  </w:footnote>
  <w:footnote w:id="13">
    <w:p w:rsidR="00D01F49" w:rsidRPr="00BC1B21" w:rsidP="00BC1B21">
      <w:pPr>
        <w:pStyle w:val="FootnoteText"/>
        <w:spacing w:before="0" w:after="120"/>
      </w:pPr>
      <w:r w:rsidRPr="00BC1B21">
        <w:rPr>
          <w:rStyle w:val="FootnoteReference"/>
        </w:rPr>
        <w:footnoteRef/>
      </w:r>
      <w:r w:rsidRPr="00BC1B21">
        <w:t xml:space="preserve"> Oral argument before the Supreme Court is scheduled for February 28, 2017.</w:t>
      </w:r>
    </w:p>
  </w:footnote>
  <w:footnote w:id="14">
    <w:p w:rsidR="00F41E77" w:rsidRPr="00BC1B21" w:rsidP="00BC1B21">
      <w:pPr>
        <w:pStyle w:val="FootnoteText"/>
        <w:spacing w:before="0" w:after="120"/>
      </w:pPr>
      <w:r w:rsidRPr="00BC1B21">
        <w:rPr>
          <w:rStyle w:val="FootnoteReference"/>
        </w:rPr>
        <w:footnoteRef/>
      </w:r>
      <w:r w:rsidRPr="00BC1B21">
        <w:t xml:space="preserve"> </w:t>
      </w:r>
      <w:r w:rsidRPr="00BC1B21" w:rsidR="004C3058">
        <w:rPr>
          <w:i/>
        </w:rPr>
        <w:t>In the Matter of the Application of Duke Energy Ohio, Inc., for an Increase in its Natural Gas Distribution Rates</w:t>
      </w:r>
      <w:r w:rsidRPr="00BC1B21" w:rsidR="004C3058">
        <w:t>, Case No. 12-1685, Opinion and Order at 72 (Nov. 13, 2013)</w:t>
      </w:r>
      <w:r w:rsidRPr="00BC1B21" w:rsidR="00012602">
        <w:t xml:space="preserve"> (the </w:t>
      </w:r>
      <w:r w:rsidRPr="00BC1B21" w:rsidR="00915EDD">
        <w:t>"</w:t>
      </w:r>
      <w:r w:rsidRPr="00BC1B21" w:rsidR="00012602">
        <w:t>November 13 MGP Order</w:t>
      </w:r>
      <w:r w:rsidRPr="00BC1B21" w:rsidR="00915EDD">
        <w:t>"</w:t>
      </w:r>
      <w:r w:rsidRPr="00BC1B21" w:rsidR="00012602">
        <w:t>)</w:t>
      </w:r>
      <w:r w:rsidRPr="00BC1B21" w:rsidR="004C3058">
        <w:t>.</w:t>
      </w:r>
    </w:p>
  </w:footnote>
  <w:footnote w:id="15">
    <w:p w:rsidR="004C3058" w:rsidRPr="00BC1B21" w:rsidP="00BC1B21">
      <w:pPr>
        <w:pStyle w:val="FootnoteText"/>
        <w:spacing w:before="0" w:after="120"/>
      </w:pPr>
      <w:r w:rsidRPr="00BC1B21">
        <w:rPr>
          <w:rStyle w:val="FootnoteReference"/>
        </w:rPr>
        <w:footnoteRef/>
      </w:r>
      <w:r w:rsidRPr="00BC1B21">
        <w:t xml:space="preserve"> </w:t>
      </w:r>
      <w:r w:rsidRPr="00BC1B21">
        <w:rPr>
          <w:i/>
        </w:rPr>
        <w:t>Id.</w:t>
      </w:r>
    </w:p>
  </w:footnote>
  <w:footnote w:id="16">
    <w:p w:rsidR="00420455" w:rsidRPr="00BC1B21" w:rsidP="00BC1B21">
      <w:pPr>
        <w:pStyle w:val="FootnoteText"/>
        <w:spacing w:before="0"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Case No. 12-1685, Entry on Rehearing at 4 (Jan. 8, 2014).</w:t>
      </w:r>
    </w:p>
  </w:footnote>
  <w:footnote w:id="17">
    <w:p w:rsidR="004C3058" w:rsidRPr="00BC1B21" w:rsidP="00BC1B21">
      <w:pPr>
        <w:pStyle w:val="FootnoteText"/>
        <w:spacing w:before="0" w:after="120"/>
      </w:pPr>
      <w:r w:rsidRPr="00BC1B21">
        <w:rPr>
          <w:rStyle w:val="FootnoteReference"/>
        </w:rPr>
        <w:footnoteRef/>
      </w:r>
      <w:r w:rsidRPr="00BC1B21">
        <w:t xml:space="preserve"> </w:t>
      </w:r>
      <w:r w:rsidRPr="00BC1B21">
        <w:rPr>
          <w:i/>
        </w:rPr>
        <w:t>Id.</w:t>
      </w:r>
      <w:r w:rsidRPr="00BC1B21">
        <w:t xml:space="preserve"> </w:t>
      </w:r>
    </w:p>
  </w:footnote>
  <w:footnote w:id="18">
    <w:p w:rsidR="004C3058" w:rsidRPr="00BC1B21" w:rsidP="00BC1B21">
      <w:pPr>
        <w:pStyle w:val="FootnoteText"/>
        <w:spacing w:before="0" w:after="120"/>
      </w:pPr>
      <w:r w:rsidRPr="00BC1B21">
        <w:rPr>
          <w:rStyle w:val="FootnoteReference"/>
        </w:rPr>
        <w:footnoteRef/>
      </w:r>
      <w:r w:rsidRPr="00BC1B21">
        <w:t xml:space="preserve"> </w:t>
      </w:r>
      <w:r w:rsidRPr="00BC1B21">
        <w:rPr>
          <w:i/>
        </w:rPr>
        <w:t>See</w:t>
      </w:r>
      <w:r w:rsidRPr="00BC1B21">
        <w:t xml:space="preserve"> Application at </w:t>
      </w:r>
      <w:r w:rsidRPr="00BC1B21" w:rsidR="00C4620F">
        <w:t>3-12</w:t>
      </w:r>
      <w:r w:rsidRPr="00BC1B21">
        <w:t>.</w:t>
      </w:r>
    </w:p>
  </w:footnote>
  <w:footnote w:id="19">
    <w:p w:rsidR="004C3058" w:rsidRPr="00BC1B21" w:rsidP="00BC1B21">
      <w:pPr>
        <w:pStyle w:val="FootnoteText"/>
        <w:spacing w:before="0" w:after="120"/>
      </w:pPr>
      <w:r w:rsidRPr="00BC1B21">
        <w:rPr>
          <w:rStyle w:val="FootnoteReference"/>
        </w:rPr>
        <w:footnoteRef/>
      </w:r>
      <w:r w:rsidRPr="00BC1B21">
        <w:t xml:space="preserve"> </w:t>
      </w:r>
      <w:r w:rsidRPr="00BC1B21">
        <w:rPr>
          <w:i/>
        </w:rPr>
        <w:t>See</w:t>
      </w:r>
      <w:r w:rsidRPr="00BC1B21">
        <w:t xml:space="preserve"> Application ¶ 5.</w:t>
      </w:r>
    </w:p>
  </w:footnote>
  <w:footnote w:id="20">
    <w:p w:rsidR="00420455" w:rsidRPr="00BC1B21" w:rsidP="00BC1B21">
      <w:pPr>
        <w:pStyle w:val="FootnoteText"/>
        <w:spacing w:before="0" w:after="120"/>
      </w:pPr>
      <w:r w:rsidRPr="00BC1B21">
        <w:rPr>
          <w:rStyle w:val="FootnoteReference"/>
        </w:rPr>
        <w:footnoteRef/>
      </w:r>
      <w:r w:rsidRPr="00BC1B21">
        <w:t xml:space="preserve"> </w:t>
      </w:r>
      <w:r w:rsidRPr="00BC1B21">
        <w:rPr>
          <w:i/>
        </w:rPr>
        <w:t>See</w:t>
      </w:r>
      <w:r w:rsidRPr="00BC1B21">
        <w:t xml:space="preserve"> November 13, 2013 MGP Order at 72.</w:t>
      </w:r>
    </w:p>
  </w:footnote>
  <w:footnote w:id="21">
    <w:p w:rsidR="00420455" w:rsidRPr="00BC1B21" w:rsidP="00BC1B21">
      <w:pPr>
        <w:pStyle w:val="FootnoteText"/>
        <w:spacing w:before="0"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Case No. 12-1685, Entry on Rehearing at 4 (Jan. 8, 2014).</w:t>
      </w:r>
    </w:p>
  </w:footnote>
  <w:footnote w:id="22">
    <w:p w:rsidR="00F41E77" w:rsidRPr="00BC1B21" w:rsidP="00BC1B21">
      <w:pPr>
        <w:pStyle w:val="FootnoteText"/>
        <w:spacing w:before="0" w:after="120"/>
      </w:pPr>
      <w:r w:rsidRPr="00BC1B21">
        <w:rPr>
          <w:rStyle w:val="FootnoteReference"/>
        </w:rPr>
        <w:footnoteRef/>
      </w:r>
      <w:r w:rsidRPr="00BC1B21">
        <w:t xml:space="preserve"> Application at 6. </w:t>
      </w:r>
    </w:p>
  </w:footnote>
  <w:footnote w:id="23">
    <w:p w:rsidR="00F41E77" w:rsidRPr="00BC1B21" w:rsidP="00BC1B21">
      <w:pPr>
        <w:pStyle w:val="FootnoteText"/>
        <w:spacing w:before="0" w:after="120"/>
      </w:pPr>
      <w:r w:rsidRPr="00BC1B21">
        <w:rPr>
          <w:rStyle w:val="FootnoteReference"/>
        </w:rPr>
        <w:footnoteRef/>
      </w:r>
      <w:r w:rsidRPr="00BC1B21">
        <w:t xml:space="preserve"> </w:t>
      </w:r>
      <w:r w:rsidRPr="00BC1B21">
        <w:rPr>
          <w:i/>
        </w:rPr>
        <w:t>Id</w:t>
      </w:r>
      <w:r w:rsidRPr="00BC1B21" w:rsidR="00C4620F">
        <w:rPr>
          <w:i/>
        </w:rPr>
        <w:t>.</w:t>
      </w:r>
      <w:r w:rsidRPr="00BC1B21">
        <w:t xml:space="preserve"> at 7-8. </w:t>
      </w:r>
    </w:p>
  </w:footnote>
  <w:footnote w:id="24">
    <w:p w:rsidR="00F41E77" w:rsidRPr="00BC1B21" w:rsidP="00BC1B21">
      <w:pPr>
        <w:pStyle w:val="FootnoteText"/>
        <w:spacing w:before="0" w:after="120"/>
      </w:pPr>
      <w:r w:rsidRPr="00BC1B21">
        <w:rPr>
          <w:rStyle w:val="FootnoteReference"/>
        </w:rPr>
        <w:footnoteRef/>
      </w:r>
      <w:r w:rsidRPr="00BC1B21">
        <w:t xml:space="preserve"> </w:t>
      </w:r>
      <w:r w:rsidRPr="00BC1B21">
        <w:rPr>
          <w:i/>
        </w:rPr>
        <w:t xml:space="preserve">Id. </w:t>
      </w:r>
    </w:p>
  </w:footnote>
  <w:footnote w:id="25">
    <w:p w:rsidR="00F41E77" w:rsidRPr="00BC1B21" w:rsidP="00BC1B21">
      <w:pPr>
        <w:pStyle w:val="FootnoteText"/>
        <w:spacing w:before="0" w:after="120"/>
      </w:pPr>
      <w:r w:rsidRPr="00BC1B21">
        <w:rPr>
          <w:rStyle w:val="FootnoteReference"/>
        </w:rPr>
        <w:footnoteRef/>
      </w:r>
      <w:r w:rsidRPr="00BC1B21">
        <w:t xml:space="preserve"> </w:t>
      </w:r>
      <w:r w:rsidRPr="00BC1B21">
        <w:rPr>
          <w:i/>
        </w:rPr>
        <w:t>Id</w:t>
      </w:r>
      <w:r w:rsidRPr="00BC1B21" w:rsidR="00C4620F">
        <w:rPr>
          <w:i/>
        </w:rPr>
        <w:t>.</w:t>
      </w:r>
      <w:r w:rsidRPr="00BC1B21">
        <w:rPr>
          <w:i/>
        </w:rPr>
        <w:t xml:space="preserve"> </w:t>
      </w:r>
      <w:r w:rsidRPr="00BC1B21">
        <w:t xml:space="preserve">at 9. </w:t>
      </w:r>
    </w:p>
  </w:footnote>
  <w:footnote w:id="26">
    <w:p w:rsidR="00F41E77" w:rsidRPr="00BC1B21" w:rsidP="00BC1B21">
      <w:pPr>
        <w:pStyle w:val="FootnoteText"/>
        <w:spacing w:before="0" w:after="120"/>
      </w:pPr>
      <w:r w:rsidRPr="00BC1B21">
        <w:rPr>
          <w:rStyle w:val="FootnoteReference"/>
        </w:rPr>
        <w:footnoteRef/>
      </w:r>
      <w:r w:rsidRPr="00BC1B21">
        <w:t xml:space="preserve"> </w:t>
      </w:r>
      <w:r w:rsidRPr="00BC1B21">
        <w:rPr>
          <w:i/>
        </w:rPr>
        <w:t>Id</w:t>
      </w:r>
      <w:r w:rsidRPr="00BC1B21" w:rsidR="00C4620F">
        <w:rPr>
          <w:i/>
        </w:rPr>
        <w:t>.</w:t>
      </w:r>
      <w:r w:rsidRPr="00BC1B21">
        <w:t xml:space="preserve"> at 10. </w:t>
      </w:r>
    </w:p>
  </w:footnote>
  <w:footnote w:id="27">
    <w:p w:rsidR="00F41E77" w:rsidRPr="00BC1B21" w:rsidP="00BC1B21">
      <w:pPr>
        <w:pStyle w:val="FootnoteText"/>
        <w:spacing w:before="0" w:after="120"/>
      </w:pPr>
      <w:r w:rsidRPr="00BC1B21">
        <w:rPr>
          <w:rStyle w:val="FootnoteReference"/>
        </w:rPr>
        <w:footnoteRef/>
      </w:r>
      <w:r w:rsidRPr="00BC1B21">
        <w:t xml:space="preserve"> </w:t>
      </w:r>
      <w:r w:rsidRPr="00BC1B21">
        <w:rPr>
          <w:i/>
        </w:rPr>
        <w:t>See</w:t>
      </w:r>
      <w:r w:rsidRPr="00BC1B21">
        <w:t xml:space="preserve"> </w:t>
      </w:r>
      <w:r w:rsidRPr="00BC1B21">
        <w:rPr>
          <w:i/>
        </w:rPr>
        <w:t>In the Matter of the Application of Duke Energy Ohio, Inc., for an Increase in its Natural Gas Distribution Rates</w:t>
      </w:r>
      <w:r w:rsidRPr="00BC1B21">
        <w:t xml:space="preserve">, Case No. 12-1685, Opinion and Order at 72 (Nov. 13, 2013) (stating that Duke could recover remediation costs that began in 2008). </w:t>
      </w:r>
    </w:p>
  </w:footnote>
  <w:footnote w:id="28">
    <w:p w:rsidR="00420455" w:rsidRPr="00BC1B21" w:rsidP="00BC1B21">
      <w:pPr>
        <w:pStyle w:val="FootnoteText"/>
        <w:spacing w:before="0" w:after="120"/>
      </w:pPr>
      <w:r w:rsidRPr="00BC1B21">
        <w:rPr>
          <w:rStyle w:val="FootnoteReference"/>
        </w:rPr>
        <w:footnoteRef/>
      </w:r>
      <w:r w:rsidRPr="00BC1B21">
        <w:t xml:space="preserve"> </w:t>
      </w:r>
      <w:r w:rsidRPr="00BC1B21">
        <w:rPr>
          <w:i/>
        </w:rPr>
        <w:t>Id.</w:t>
      </w:r>
      <w:r w:rsidRPr="00BC1B21">
        <w:t xml:space="preserve"> (</w:t>
      </w:r>
      <w:r w:rsidRPr="00BC1B21" w:rsidR="00915EDD">
        <w:t>"</w:t>
      </w:r>
      <w:r w:rsidRPr="00BC1B21">
        <w:t xml:space="preserve">We believe that, absent exigent circumstances, this 10-year timeframe from the inception of the federal mandate to the closure of cost recovery is reasonable and necessary in order to protect the public </w:t>
      </w:r>
      <w:r w:rsidRPr="00BC1B21" w:rsidR="00BF6BB2">
        <w:t>interest and ensure the Company and its shareholders are held accountable.</w:t>
      </w:r>
      <w:r w:rsidRPr="00BC1B21" w:rsidR="00915EDD">
        <w:t>"</w:t>
      </w:r>
      <w:r w:rsidRPr="00BC1B21" w:rsidR="00BF6B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97268B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C02"/>
    <w:multiLevelType w:val="hybridMultilevel"/>
    <w:tmpl w:val="68AC1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861E96"/>
    <w:multiLevelType w:val="hybridMultilevel"/>
    <w:tmpl w:val="1EB457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107C68"/>
    <w:multiLevelType w:val="hybridMultilevel"/>
    <w:tmpl w:val="32847FF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0A6962"/>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D9F07D3"/>
    <w:multiLevelType w:val="hybridMultilevel"/>
    <w:tmpl w:val="EF483A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7C2BDD"/>
    <w:multiLevelType w:val="hybridMultilevel"/>
    <w:tmpl w:val="5C1E82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BDA58BD"/>
    <w:multiLevelType w:val="hybridMultilevel"/>
    <w:tmpl w:val="A91E72A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1922FD"/>
    <w:multiLevelType w:val="hybridMultilevel"/>
    <w:tmpl w:val="0B28715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20550B0"/>
    <w:multiLevelType w:val="hybridMultilevel"/>
    <w:tmpl w:val="89EA52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E2C7CE8"/>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15"/>
  </w:num>
  <w:num w:numId="4">
    <w:abstractNumId w:val="14"/>
  </w:num>
  <w:num w:numId="5">
    <w:abstractNumId w:val="3"/>
  </w:num>
  <w:num w:numId="6">
    <w:abstractNumId w:val="16"/>
  </w:num>
  <w:num w:numId="7">
    <w:abstractNumId w:val="8"/>
  </w:num>
  <w:num w:numId="8">
    <w:abstractNumId w:val="2"/>
  </w:num>
  <w:num w:numId="9">
    <w:abstractNumId w:val="9"/>
  </w:num>
  <w:num w:numId="10">
    <w:abstractNumId w:val="4"/>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oNotTrackMoves/>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9B4859"/>
    <w:pPr>
      <w:keepNext/>
      <w:spacing w:after="240"/>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autoRedefine/>
    <w:qFormat/>
    <w:rsid w:val="009B4859"/>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n"/>
    <w:basedOn w:val="Normal"/>
    <w:link w:val="FootnoteTextChar"/>
    <w:rsid w:val="00DA7746"/>
    <w:pPr>
      <w:spacing w:before="120"/>
    </w:pPr>
    <w:rPr>
      <w:sz w:val="20"/>
    </w:rPr>
  </w:style>
  <w:style w:type="character" w:styleId="FootnoteReference">
    <w:name w:val="footnote reference"/>
    <w:aliases w:val="(NECG) Footnote Reference,Appel note de bas de p,Style 12,Style 124,Style 13,Style 3,fr,o"/>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 Char Char Char Char1,Footnote Text Char Char Char1,Footnote Text Char1 Char Char1 Char Char Char Char1,Footnote Text Char1 Char Char1 Char1,Footnote Text Char1 Char1,Footnote Text Char2 Char Char Char Char1 Char1"/>
    <w:link w:val="FootnoteText"/>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96598B"/>
    <w:rPr>
      <w:b/>
      <w:sz w:val="24"/>
      <w:szCs w:val="24"/>
      <w:u w:val="single"/>
    </w:rPr>
  </w:style>
  <w:style w:type="character" w:customStyle="1" w:styleId="FooterChar">
    <w:name w:val="Footer Char"/>
    <w:link w:val="Footer"/>
    <w:uiPriority w:val="99"/>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 w:type="character" w:customStyle="1" w:styleId="HTMLPreformattedChar">
    <w:name w:val="HTML Preformatted Char"/>
    <w:basedOn w:val="DefaultParagraphFont"/>
    <w:link w:val="HTMLPreformatted"/>
    <w:rsid w:val="00D62B78"/>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OCC Comments 16-1106-GA-AAM (00030965-3).DOCX</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2016-11-23T21:50:23Z</dcterms:created>
  <dcterms:modified xsi:type="dcterms:W3CDTF">2016-11-23T21:50:23Z</dcterms:modified>
</cp:coreProperties>
</file>