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F9F5" w14:textId="77777777" w:rsidR="002F7871" w:rsidRPr="009D71F6" w:rsidRDefault="002F7871" w:rsidP="002F787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0D6BDF55" w14:textId="77777777" w:rsidR="002F7871" w:rsidRPr="009D71F6" w:rsidRDefault="002F7871" w:rsidP="002F787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F7871" w:rsidRPr="009D71F6" w14:paraId="45C9F978" w14:textId="77777777" w:rsidTr="006B03A5">
        <w:trPr>
          <w:trHeight w:val="873"/>
          <w:jc w:val="center"/>
        </w:trPr>
        <w:tc>
          <w:tcPr>
            <w:tcW w:w="4739" w:type="dxa"/>
          </w:tcPr>
          <w:p w14:paraId="7E63839C" w14:textId="4CB50B11" w:rsidR="002F7871" w:rsidRPr="009D71F6" w:rsidRDefault="00363606" w:rsidP="009428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06">
              <w:rPr>
                <w:rFonts w:ascii="Arial" w:hAnsi="Arial" w:cs="Arial"/>
                <w:sz w:val="24"/>
                <w:szCs w:val="24"/>
              </w:rPr>
              <w:t xml:space="preserve">In the Matter of The </w:t>
            </w:r>
            <w:r w:rsidR="009428E0">
              <w:rPr>
                <w:rFonts w:ascii="Arial" w:hAnsi="Arial" w:cs="Arial"/>
                <w:sz w:val="24"/>
                <w:szCs w:val="24"/>
              </w:rPr>
              <w:t>Application of Star Energy Partners, LLC for a Partial Waiver of Rule 4901:1-21-06(D)(1)(H) of the Ohio Administrative Code</w:t>
            </w:r>
            <w:r w:rsidRPr="00363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4ABCFFAB" w14:textId="77777777" w:rsidR="002F7871" w:rsidRPr="00561663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A910AC" w14:textId="77777777" w:rsidR="002F7871" w:rsidRPr="00561663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F17040" w14:textId="77777777" w:rsidR="002F7871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6C11F5" w14:textId="77777777" w:rsidR="002F7871" w:rsidRPr="009D71F6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4CF99B27" w14:textId="77777777" w:rsidR="002F7871" w:rsidRPr="00561663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1F506" w14:textId="503BCB3D" w:rsidR="002F7871" w:rsidRPr="00561663" w:rsidRDefault="00363606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9428E0">
              <w:rPr>
                <w:rFonts w:ascii="Arial" w:hAnsi="Arial" w:cs="Arial"/>
                <w:sz w:val="24"/>
                <w:szCs w:val="24"/>
              </w:rPr>
              <w:t>17-2398-EL-WVR</w:t>
            </w:r>
          </w:p>
          <w:p w14:paraId="11E19B8F" w14:textId="77777777" w:rsidR="002F7871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96F27" w14:textId="77777777" w:rsidR="002F7871" w:rsidRPr="009D71F6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715538D" w14:textId="77777777" w:rsidR="00BA74C0" w:rsidRDefault="00BA74C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A" w14:textId="10988AE6" w:rsidR="00545F29" w:rsidRPr="009D71F6" w:rsidRDefault="00BA74C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OF </w:t>
      </w:r>
      <w:r w:rsidR="00732F9F">
        <w:rPr>
          <w:rFonts w:ascii="Arial" w:hAnsi="Arial" w:cs="Arial"/>
          <w:b/>
          <w:bCs/>
          <w:sz w:val="24"/>
          <w:szCs w:val="24"/>
        </w:rPr>
        <w:t>INTERSTATE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1E9EB2D6" w14:textId="7640C215" w:rsidR="002F7871" w:rsidRDefault="002F7871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D69E748" w14:textId="024D5B91" w:rsidR="002F7871" w:rsidRPr="00363606" w:rsidRDefault="009428E0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  <w:r w:rsidR="002F7871" w:rsidRPr="00363606">
        <w:rPr>
          <w:rFonts w:ascii="Arial" w:hAnsi="Arial" w:cs="Arial"/>
          <w:sz w:val="24"/>
          <w:szCs w:val="24"/>
        </w:rPr>
        <w:t xml:space="preserve"> (00</w:t>
      </w:r>
      <w:r>
        <w:rPr>
          <w:rFonts w:ascii="Arial" w:hAnsi="Arial" w:cs="Arial"/>
          <w:sz w:val="24"/>
          <w:szCs w:val="24"/>
        </w:rPr>
        <w:t>90408</w:t>
      </w:r>
      <w:r w:rsidR="002F7871" w:rsidRPr="00363606">
        <w:rPr>
          <w:rFonts w:ascii="Arial" w:hAnsi="Arial" w:cs="Arial"/>
          <w:sz w:val="24"/>
          <w:szCs w:val="24"/>
        </w:rPr>
        <w:t>)</w:t>
      </w:r>
    </w:p>
    <w:p w14:paraId="2AA386AC" w14:textId="5E72499A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Counsel of Record</w:t>
      </w:r>
    </w:p>
    <w:p w14:paraId="3EA81C63" w14:textId="7D576362" w:rsidR="00363606" w:rsidRPr="00363606" w:rsidRDefault="009428E0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Email: </w:t>
      </w:r>
      <w:r w:rsidRPr="009428E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michael.nugent@igs.com</w:t>
      </w:r>
    </w:p>
    <w:p w14:paraId="6B3E5B2A" w14:textId="77777777" w:rsidR="009428E0" w:rsidRPr="00363606" w:rsidRDefault="009428E0" w:rsidP="009428E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Joseph Oliker (0086088)</w:t>
      </w:r>
    </w:p>
    <w:p w14:paraId="31B47581" w14:textId="0729DFB9" w:rsidR="00363606" w:rsidRPr="00363606" w:rsidRDefault="009428E0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joe.oliker</w:t>
      </w:r>
      <w:r w:rsidR="00363606" w:rsidRPr="00363606">
        <w:rPr>
          <w:rFonts w:ascii="Arial" w:hAnsi="Arial" w:cs="Arial"/>
          <w:sz w:val="24"/>
          <w:szCs w:val="24"/>
        </w:rPr>
        <w:t>@igs.com</w:t>
      </w:r>
    </w:p>
    <w:p w14:paraId="7BA5D994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IGS Energy</w:t>
      </w:r>
    </w:p>
    <w:p w14:paraId="249903CB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6100 Emerald Parkway</w:t>
      </w:r>
    </w:p>
    <w:p w14:paraId="1D33547F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Dublin, Ohio 43016</w:t>
      </w:r>
    </w:p>
    <w:p w14:paraId="553D4621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Telephone:</w:t>
      </w:r>
      <w:r w:rsidRPr="00363606">
        <w:rPr>
          <w:rFonts w:ascii="Arial" w:hAnsi="Arial" w:cs="Arial"/>
          <w:sz w:val="24"/>
          <w:szCs w:val="24"/>
        </w:rPr>
        <w:tab/>
        <w:t>(614) 659-5000</w:t>
      </w:r>
    </w:p>
    <w:p w14:paraId="2AB85075" w14:textId="77777777" w:rsidR="002F7871" w:rsidRPr="00526ADC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7BF364A1" w14:textId="77777777" w:rsidR="002F7871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4368634F" w14:textId="77777777" w:rsidR="002F7871" w:rsidRPr="00237730" w:rsidRDefault="002F7871" w:rsidP="002F787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B238123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C1DFB2C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2539B08F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137353E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2F51C0E" w14:textId="4CE51773" w:rsidR="00237730" w:rsidRDefault="009428E0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</w:t>
      </w:r>
      <w:r w:rsidR="00363606">
        <w:rPr>
          <w:rFonts w:ascii="Arial" w:hAnsi="Arial" w:cs="Arial"/>
          <w:b/>
          <w:sz w:val="24"/>
          <w:szCs w:val="24"/>
        </w:rPr>
        <w:t xml:space="preserve"> 15</w:t>
      </w:r>
      <w:r w:rsidR="00732F9F">
        <w:rPr>
          <w:rFonts w:ascii="Arial" w:hAnsi="Arial" w:cs="Arial"/>
          <w:b/>
          <w:sz w:val="24"/>
          <w:szCs w:val="24"/>
        </w:rPr>
        <w:t>,</w:t>
      </w:r>
      <w:r w:rsidR="008C7AC1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14:paraId="617E7FF8" w14:textId="77777777" w:rsidR="00363606" w:rsidRDefault="00363606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0043EE" w14:textId="77777777" w:rsidR="00363606" w:rsidRDefault="00363606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731599" w14:textId="77777777" w:rsidR="00732F9F" w:rsidRPr="00D13280" w:rsidRDefault="00732F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BE3E1" w14:textId="77777777" w:rsidR="00C84BD1" w:rsidRDefault="00C84BD1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518D205" w14:textId="77777777" w:rsidR="007A14DE" w:rsidRDefault="007A14DE" w:rsidP="00363606">
      <w:pPr>
        <w:pStyle w:val="Title"/>
        <w:widowControl w:val="0"/>
        <w:rPr>
          <w:rFonts w:ascii="Arial" w:hAnsi="Arial" w:cs="Arial"/>
          <w:szCs w:val="24"/>
        </w:rPr>
      </w:pPr>
    </w:p>
    <w:p w14:paraId="10482758" w14:textId="77777777" w:rsidR="009428E0" w:rsidRPr="009D71F6" w:rsidRDefault="009428E0" w:rsidP="009428E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3B1A151D" w14:textId="77777777" w:rsidR="009428E0" w:rsidRPr="009D71F6" w:rsidRDefault="009428E0" w:rsidP="009428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9428E0" w:rsidRPr="009D71F6" w14:paraId="5D23B56B" w14:textId="77777777" w:rsidTr="00755169">
        <w:trPr>
          <w:trHeight w:val="873"/>
          <w:jc w:val="center"/>
        </w:trPr>
        <w:tc>
          <w:tcPr>
            <w:tcW w:w="4739" w:type="dxa"/>
          </w:tcPr>
          <w:p w14:paraId="72A8D193" w14:textId="77777777" w:rsidR="009428E0" w:rsidRPr="009D71F6" w:rsidRDefault="009428E0" w:rsidP="00755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06">
              <w:rPr>
                <w:rFonts w:ascii="Arial" w:hAnsi="Arial" w:cs="Arial"/>
                <w:sz w:val="24"/>
                <w:szCs w:val="24"/>
              </w:rPr>
              <w:t xml:space="preserve">In the Matter of The </w:t>
            </w:r>
            <w:r>
              <w:rPr>
                <w:rFonts w:ascii="Arial" w:hAnsi="Arial" w:cs="Arial"/>
                <w:sz w:val="24"/>
                <w:szCs w:val="24"/>
              </w:rPr>
              <w:t>Application of Star Energy Partners, LLC for a Partial Waiver of Rule 4901:1-21-06(D)(1)(H) of the Ohio Administrative Code</w:t>
            </w:r>
            <w:r w:rsidRPr="00363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517CDEA6" w14:textId="77777777" w:rsidR="009428E0" w:rsidRPr="00561663" w:rsidRDefault="009428E0" w:rsidP="007551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767606" w14:textId="77777777" w:rsidR="009428E0" w:rsidRPr="00561663" w:rsidRDefault="009428E0" w:rsidP="007551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19A9759" w14:textId="77777777" w:rsidR="009428E0" w:rsidRDefault="009428E0" w:rsidP="007551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AD2301" w14:textId="77777777" w:rsidR="009428E0" w:rsidRPr="009D71F6" w:rsidRDefault="009428E0" w:rsidP="007551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47247F88" w14:textId="77777777" w:rsidR="009428E0" w:rsidRPr="00561663" w:rsidRDefault="009428E0" w:rsidP="007551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3D57A7" w14:textId="77777777" w:rsidR="009428E0" w:rsidRPr="00561663" w:rsidRDefault="009428E0" w:rsidP="007551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17-2398-EL-WVR</w:t>
            </w:r>
          </w:p>
          <w:p w14:paraId="72588AF1" w14:textId="77777777" w:rsidR="009428E0" w:rsidRDefault="009428E0" w:rsidP="007551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D72142" w14:textId="77777777" w:rsidR="009428E0" w:rsidRPr="009D71F6" w:rsidRDefault="009428E0" w:rsidP="007551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D7AC1" w14:textId="77777777" w:rsidR="00732F9F" w:rsidRPr="009D71F6" w:rsidRDefault="00732F9F" w:rsidP="00732F9F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ED9C224" w14:textId="77777777" w:rsidR="00BA74C0" w:rsidRDefault="00BA74C0" w:rsidP="00BA74C0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F9C55C" w14:textId="77777777" w:rsidR="00BA74C0" w:rsidRPr="009D71F6" w:rsidRDefault="00BA74C0" w:rsidP="00BA74C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 OF INTERSTATE GAS SUPPLY, INC.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26BABD85" w14:textId="77777777" w:rsidR="00BA74C0" w:rsidRPr="00A83ED0" w:rsidRDefault="00BA74C0" w:rsidP="00BA74C0">
      <w:pPr>
        <w:rPr>
          <w:b/>
        </w:rPr>
      </w:pPr>
    </w:p>
    <w:p w14:paraId="38497175" w14:textId="2A942ACF" w:rsidR="00A83ED0" w:rsidRPr="00A83ED0" w:rsidRDefault="00A83ED0" w:rsidP="00A83ED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A83ED0">
        <w:rPr>
          <w:rFonts w:ascii="Arial" w:hAnsi="Arial" w:cs="Arial"/>
          <w:b/>
          <w:sz w:val="24"/>
          <w:szCs w:val="24"/>
        </w:rPr>
        <w:t>INTRODUCTION</w:t>
      </w:r>
    </w:p>
    <w:p w14:paraId="3C1B7E0B" w14:textId="330F61A6" w:rsidR="0059750E" w:rsidRDefault="007962E1" w:rsidP="0075631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BA5A61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</w:t>
      </w:r>
      <w:r w:rsidR="00BA5A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2017, </w:t>
      </w:r>
      <w:r w:rsidR="00BA5A61">
        <w:rPr>
          <w:rFonts w:ascii="Arial" w:hAnsi="Arial" w:cs="Arial"/>
          <w:sz w:val="24"/>
          <w:szCs w:val="24"/>
        </w:rPr>
        <w:t>Star Energy Partners, LLC (“Star”)</w:t>
      </w:r>
      <w:r>
        <w:rPr>
          <w:rFonts w:ascii="Arial" w:hAnsi="Arial" w:cs="Arial"/>
          <w:sz w:val="24"/>
          <w:szCs w:val="24"/>
        </w:rPr>
        <w:t xml:space="preserve"> </w:t>
      </w:r>
      <w:r w:rsidR="001A69D6">
        <w:rPr>
          <w:rFonts w:ascii="Arial" w:hAnsi="Arial" w:cs="Arial"/>
          <w:sz w:val="24"/>
          <w:szCs w:val="24"/>
        </w:rPr>
        <w:t xml:space="preserve">filed an application for waiver of the telephonic </w:t>
      </w:r>
      <w:r w:rsidR="001272B6">
        <w:rPr>
          <w:rFonts w:ascii="Arial" w:hAnsi="Arial" w:cs="Arial"/>
          <w:sz w:val="24"/>
          <w:szCs w:val="24"/>
        </w:rPr>
        <w:t>third-party</w:t>
      </w:r>
      <w:r w:rsidR="001A69D6">
        <w:rPr>
          <w:rFonts w:ascii="Arial" w:hAnsi="Arial" w:cs="Arial"/>
          <w:sz w:val="24"/>
          <w:szCs w:val="24"/>
        </w:rPr>
        <w:t xml:space="preserve"> verification (“TPV”) requirement</w:t>
      </w:r>
      <w:r w:rsidR="001272B6">
        <w:rPr>
          <w:rFonts w:ascii="Arial" w:hAnsi="Arial" w:cs="Arial"/>
          <w:sz w:val="24"/>
          <w:szCs w:val="24"/>
        </w:rPr>
        <w:t xml:space="preserve"> for </w:t>
      </w:r>
      <w:r w:rsidR="003648FB">
        <w:rPr>
          <w:rFonts w:ascii="Arial" w:hAnsi="Arial" w:cs="Arial"/>
          <w:sz w:val="24"/>
          <w:szCs w:val="24"/>
        </w:rPr>
        <w:t xml:space="preserve">residential </w:t>
      </w:r>
      <w:r w:rsidR="001272B6">
        <w:rPr>
          <w:rFonts w:ascii="Arial" w:hAnsi="Arial" w:cs="Arial"/>
          <w:sz w:val="24"/>
          <w:szCs w:val="24"/>
        </w:rPr>
        <w:t>door-to-door electric enrollment</w:t>
      </w:r>
      <w:r w:rsidR="005963CE">
        <w:rPr>
          <w:rFonts w:ascii="Arial" w:hAnsi="Arial" w:cs="Arial"/>
          <w:sz w:val="24"/>
          <w:szCs w:val="24"/>
        </w:rPr>
        <w:t xml:space="preserve">s.  Star’s </w:t>
      </w:r>
      <w:r w:rsidR="00D86EBA">
        <w:rPr>
          <w:rFonts w:ascii="Arial" w:hAnsi="Arial" w:cs="Arial"/>
          <w:sz w:val="24"/>
          <w:szCs w:val="24"/>
        </w:rPr>
        <w:t>application</w:t>
      </w:r>
      <w:r w:rsidR="005963CE">
        <w:rPr>
          <w:rFonts w:ascii="Arial" w:hAnsi="Arial" w:cs="Arial"/>
          <w:sz w:val="24"/>
          <w:szCs w:val="24"/>
        </w:rPr>
        <w:t xml:space="preserve"> seeks to replace the</w:t>
      </w:r>
      <w:r w:rsidR="00FF4CE5">
        <w:rPr>
          <w:rFonts w:ascii="Arial" w:hAnsi="Arial" w:cs="Arial"/>
          <w:sz w:val="24"/>
          <w:szCs w:val="24"/>
        </w:rPr>
        <w:t xml:space="preserve"> </w:t>
      </w:r>
      <w:r w:rsidR="005963CE">
        <w:rPr>
          <w:rFonts w:ascii="Arial" w:hAnsi="Arial" w:cs="Arial"/>
          <w:sz w:val="24"/>
          <w:szCs w:val="24"/>
        </w:rPr>
        <w:t xml:space="preserve">telephonic TPV requirement set forth in Ohio Adm. Code 4901:1-21-06(D)(1)(h) with an electronic enrollment verification process </w:t>
      </w:r>
      <w:r w:rsidR="007903EF">
        <w:rPr>
          <w:rFonts w:ascii="Arial" w:hAnsi="Arial" w:cs="Arial"/>
          <w:sz w:val="24"/>
          <w:szCs w:val="24"/>
        </w:rPr>
        <w:t xml:space="preserve">initiated by a door-to-door sales </w:t>
      </w:r>
      <w:r w:rsidR="007903EF">
        <w:rPr>
          <w:rFonts w:ascii="Arial" w:hAnsi="Arial" w:cs="Arial"/>
          <w:i/>
          <w:sz w:val="24"/>
          <w:szCs w:val="24"/>
        </w:rPr>
        <w:t>agent</w:t>
      </w:r>
      <w:r w:rsidR="007903EF">
        <w:rPr>
          <w:rFonts w:ascii="Arial" w:hAnsi="Arial" w:cs="Arial"/>
          <w:sz w:val="24"/>
          <w:szCs w:val="24"/>
        </w:rPr>
        <w:t xml:space="preserve"> </w:t>
      </w:r>
      <w:r w:rsidR="005963CE">
        <w:rPr>
          <w:rFonts w:ascii="Arial" w:hAnsi="Arial" w:cs="Arial"/>
          <w:sz w:val="24"/>
          <w:szCs w:val="24"/>
        </w:rPr>
        <w:t xml:space="preserve">that will confirm customer enrollment via email or </w:t>
      </w:r>
      <w:r w:rsidR="00636437">
        <w:rPr>
          <w:rFonts w:ascii="Arial" w:hAnsi="Arial" w:cs="Arial"/>
          <w:sz w:val="24"/>
          <w:szCs w:val="24"/>
        </w:rPr>
        <w:t>text</w:t>
      </w:r>
      <w:r w:rsidR="00281E09">
        <w:rPr>
          <w:rFonts w:ascii="Arial" w:hAnsi="Arial" w:cs="Arial"/>
          <w:sz w:val="24"/>
          <w:szCs w:val="24"/>
        </w:rPr>
        <w:t>.</w:t>
      </w:r>
      <w:r w:rsidR="005963C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D3A51">
        <w:rPr>
          <w:rFonts w:ascii="Arial" w:hAnsi="Arial" w:cs="Arial"/>
          <w:sz w:val="24"/>
          <w:szCs w:val="24"/>
        </w:rPr>
        <w:t xml:space="preserve"> </w:t>
      </w:r>
    </w:p>
    <w:p w14:paraId="2430BA1E" w14:textId="7245BA13" w:rsidR="009F21AF" w:rsidRDefault="00AC0F20" w:rsidP="0075631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support of its application</w:t>
      </w:r>
      <w:r w:rsidR="001B0944">
        <w:rPr>
          <w:rFonts w:ascii="Arial" w:hAnsi="Arial" w:cs="Arial"/>
          <w:sz w:val="24"/>
          <w:szCs w:val="24"/>
        </w:rPr>
        <w:t xml:space="preserve">, </w:t>
      </w:r>
      <w:r w:rsidR="00EF3E58">
        <w:rPr>
          <w:rFonts w:ascii="Arial" w:hAnsi="Arial" w:cs="Arial"/>
          <w:sz w:val="24"/>
          <w:szCs w:val="24"/>
        </w:rPr>
        <w:t xml:space="preserve">Star </w:t>
      </w:r>
      <w:r>
        <w:rPr>
          <w:rFonts w:ascii="Arial" w:hAnsi="Arial" w:cs="Arial"/>
          <w:sz w:val="24"/>
          <w:szCs w:val="24"/>
        </w:rPr>
        <w:t>asks</w:t>
      </w:r>
      <w:r w:rsidR="00EF3E58">
        <w:rPr>
          <w:rFonts w:ascii="Arial" w:hAnsi="Arial" w:cs="Arial"/>
          <w:sz w:val="24"/>
          <w:szCs w:val="24"/>
        </w:rPr>
        <w:t xml:space="preserve"> the Public Utilities Commission of Ohio (“PUCO” or “Commission”) to </w:t>
      </w:r>
      <w:r>
        <w:rPr>
          <w:rFonts w:ascii="Arial" w:hAnsi="Arial" w:cs="Arial"/>
          <w:sz w:val="24"/>
          <w:szCs w:val="24"/>
        </w:rPr>
        <w:t>draw a nexus between its waiver proposal and</w:t>
      </w:r>
      <w:r w:rsidR="00EF3E58">
        <w:rPr>
          <w:rFonts w:ascii="Arial" w:hAnsi="Arial" w:cs="Arial"/>
          <w:sz w:val="24"/>
          <w:szCs w:val="24"/>
        </w:rPr>
        <w:t xml:space="preserve"> the TPV waiver</w:t>
      </w:r>
      <w:r w:rsidR="00C46816">
        <w:rPr>
          <w:rFonts w:ascii="Arial" w:hAnsi="Arial" w:cs="Arial"/>
          <w:sz w:val="24"/>
          <w:szCs w:val="24"/>
        </w:rPr>
        <w:t xml:space="preserve"> </w:t>
      </w:r>
      <w:r w:rsidR="00EF3E58">
        <w:rPr>
          <w:rFonts w:ascii="Arial" w:hAnsi="Arial" w:cs="Arial"/>
          <w:sz w:val="24"/>
          <w:szCs w:val="24"/>
        </w:rPr>
        <w:t>granted to Interstate Gas Supply, Inc. (“IGS”)</w:t>
      </w:r>
      <w:r w:rsidR="00D54700">
        <w:rPr>
          <w:rFonts w:ascii="Arial" w:hAnsi="Arial" w:cs="Arial"/>
          <w:sz w:val="24"/>
          <w:szCs w:val="24"/>
        </w:rPr>
        <w:t>, which authorized IGS</w:t>
      </w:r>
      <w:r w:rsidR="00B014B0">
        <w:rPr>
          <w:rFonts w:ascii="Arial" w:hAnsi="Arial" w:cs="Arial"/>
          <w:sz w:val="24"/>
          <w:szCs w:val="24"/>
        </w:rPr>
        <w:t>’</w:t>
      </w:r>
      <w:r w:rsidR="00D54700">
        <w:rPr>
          <w:rFonts w:ascii="Arial" w:hAnsi="Arial" w:cs="Arial"/>
          <w:sz w:val="24"/>
          <w:szCs w:val="24"/>
        </w:rPr>
        <w:t xml:space="preserve"> </w:t>
      </w:r>
      <w:r w:rsidR="00D54700">
        <w:rPr>
          <w:rFonts w:ascii="Arial" w:hAnsi="Arial" w:cs="Arial"/>
          <w:i/>
          <w:sz w:val="24"/>
          <w:szCs w:val="24"/>
        </w:rPr>
        <w:t xml:space="preserve">employee </w:t>
      </w:r>
      <w:r w:rsidR="00D54700">
        <w:rPr>
          <w:rFonts w:ascii="Arial" w:hAnsi="Arial" w:cs="Arial"/>
          <w:sz w:val="24"/>
          <w:szCs w:val="24"/>
        </w:rPr>
        <w:t>Home Energy Consultants</w:t>
      </w:r>
      <w:r w:rsidR="00BD4F28">
        <w:rPr>
          <w:rFonts w:ascii="Arial" w:hAnsi="Arial" w:cs="Arial"/>
          <w:sz w:val="24"/>
          <w:szCs w:val="24"/>
        </w:rPr>
        <w:t xml:space="preserve"> (“HEC”)</w:t>
      </w:r>
      <w:r w:rsidR="00D54700">
        <w:rPr>
          <w:rFonts w:ascii="Arial" w:hAnsi="Arial" w:cs="Arial"/>
          <w:sz w:val="24"/>
          <w:szCs w:val="24"/>
        </w:rPr>
        <w:t xml:space="preserve"> to perform retail electric and natural gas </w:t>
      </w:r>
      <w:r w:rsidR="00E04A9C">
        <w:rPr>
          <w:rFonts w:ascii="Arial" w:hAnsi="Arial" w:cs="Arial"/>
          <w:sz w:val="24"/>
          <w:szCs w:val="24"/>
        </w:rPr>
        <w:t xml:space="preserve">enrollments and verifications </w:t>
      </w:r>
      <w:r w:rsidR="00BD24B8">
        <w:rPr>
          <w:rFonts w:ascii="Arial" w:hAnsi="Arial" w:cs="Arial"/>
          <w:sz w:val="24"/>
          <w:szCs w:val="24"/>
        </w:rPr>
        <w:t>via a mobile internet protocol</w:t>
      </w:r>
      <w:r w:rsidR="00E04A9C">
        <w:rPr>
          <w:rFonts w:ascii="Arial" w:hAnsi="Arial" w:cs="Arial"/>
          <w:sz w:val="24"/>
          <w:szCs w:val="24"/>
        </w:rPr>
        <w:t>.</w:t>
      </w:r>
      <w:r w:rsidR="00EF3E5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E04A9C">
        <w:rPr>
          <w:rFonts w:ascii="Arial" w:hAnsi="Arial" w:cs="Arial"/>
          <w:sz w:val="24"/>
          <w:szCs w:val="24"/>
        </w:rPr>
        <w:t xml:space="preserve">  </w:t>
      </w:r>
      <w:r w:rsidR="00962003">
        <w:rPr>
          <w:rFonts w:ascii="Arial" w:hAnsi="Arial" w:cs="Arial"/>
          <w:sz w:val="24"/>
          <w:szCs w:val="24"/>
        </w:rPr>
        <w:t>Star’s application</w:t>
      </w:r>
      <w:r w:rsidR="00173783">
        <w:rPr>
          <w:rFonts w:ascii="Arial" w:hAnsi="Arial" w:cs="Arial"/>
          <w:sz w:val="24"/>
          <w:szCs w:val="24"/>
        </w:rPr>
        <w:t>, however,</w:t>
      </w:r>
      <w:r w:rsidR="00962003">
        <w:rPr>
          <w:rFonts w:ascii="Arial" w:hAnsi="Arial" w:cs="Arial"/>
          <w:sz w:val="24"/>
          <w:szCs w:val="24"/>
        </w:rPr>
        <w:t xml:space="preserve"> </w:t>
      </w:r>
      <w:r w:rsidR="00B776FF">
        <w:rPr>
          <w:rFonts w:ascii="Arial" w:hAnsi="Arial" w:cs="Arial"/>
          <w:sz w:val="24"/>
          <w:szCs w:val="24"/>
        </w:rPr>
        <w:t xml:space="preserve">is </w:t>
      </w:r>
      <w:r w:rsidR="008B0D75">
        <w:rPr>
          <w:rFonts w:ascii="Arial" w:hAnsi="Arial" w:cs="Arial"/>
          <w:sz w:val="24"/>
          <w:szCs w:val="24"/>
        </w:rPr>
        <w:t>markedly</w:t>
      </w:r>
      <w:r w:rsidR="00B776FF">
        <w:rPr>
          <w:rFonts w:ascii="Arial" w:hAnsi="Arial" w:cs="Arial"/>
          <w:sz w:val="24"/>
          <w:szCs w:val="24"/>
        </w:rPr>
        <w:t xml:space="preserve"> </w:t>
      </w:r>
      <w:r w:rsidR="00B776FF">
        <w:rPr>
          <w:rFonts w:ascii="Arial" w:hAnsi="Arial" w:cs="Arial"/>
          <w:sz w:val="24"/>
          <w:szCs w:val="24"/>
        </w:rPr>
        <w:lastRenderedPageBreak/>
        <w:t xml:space="preserve">different in that it </w:t>
      </w:r>
      <w:r w:rsidR="00962003">
        <w:rPr>
          <w:rFonts w:ascii="Arial" w:hAnsi="Arial" w:cs="Arial"/>
          <w:sz w:val="24"/>
          <w:szCs w:val="24"/>
        </w:rPr>
        <w:t xml:space="preserve">does not offer a door-to-door enrollment and verification process </w:t>
      </w:r>
      <w:r w:rsidR="007C03D0">
        <w:rPr>
          <w:rFonts w:ascii="Arial" w:hAnsi="Arial" w:cs="Arial"/>
          <w:sz w:val="24"/>
          <w:szCs w:val="24"/>
        </w:rPr>
        <w:t>initiated</w:t>
      </w:r>
      <w:r w:rsidR="00962003">
        <w:rPr>
          <w:rFonts w:ascii="Arial" w:hAnsi="Arial" w:cs="Arial"/>
          <w:sz w:val="24"/>
          <w:szCs w:val="24"/>
        </w:rPr>
        <w:t xml:space="preserve"> by </w:t>
      </w:r>
      <w:r w:rsidR="000D0D35">
        <w:rPr>
          <w:rFonts w:ascii="Arial" w:hAnsi="Arial" w:cs="Arial"/>
          <w:sz w:val="24"/>
          <w:szCs w:val="24"/>
        </w:rPr>
        <w:t xml:space="preserve">its own </w:t>
      </w:r>
      <w:r w:rsidR="00962003">
        <w:rPr>
          <w:rFonts w:ascii="Arial" w:hAnsi="Arial" w:cs="Arial"/>
          <w:sz w:val="24"/>
          <w:szCs w:val="24"/>
        </w:rPr>
        <w:t>employees</w:t>
      </w:r>
      <w:r w:rsidR="00505F58">
        <w:rPr>
          <w:rFonts w:ascii="Arial" w:hAnsi="Arial" w:cs="Arial"/>
          <w:sz w:val="24"/>
          <w:szCs w:val="24"/>
        </w:rPr>
        <w:t xml:space="preserve">.  </w:t>
      </w:r>
      <w:r w:rsidR="0024008B">
        <w:rPr>
          <w:rFonts w:ascii="Arial" w:hAnsi="Arial" w:cs="Arial"/>
          <w:sz w:val="24"/>
          <w:szCs w:val="24"/>
        </w:rPr>
        <w:t xml:space="preserve">Accordingly, </w:t>
      </w:r>
      <w:r w:rsidR="00BD4DFC">
        <w:rPr>
          <w:rFonts w:ascii="Arial" w:hAnsi="Arial" w:cs="Arial"/>
          <w:sz w:val="24"/>
          <w:szCs w:val="24"/>
        </w:rPr>
        <w:t>Star’s</w:t>
      </w:r>
      <w:r w:rsidR="00D92536">
        <w:rPr>
          <w:rFonts w:ascii="Arial" w:hAnsi="Arial" w:cs="Arial"/>
          <w:sz w:val="24"/>
          <w:szCs w:val="24"/>
        </w:rPr>
        <w:t xml:space="preserve"> </w:t>
      </w:r>
      <w:r w:rsidR="002D4C5E">
        <w:rPr>
          <w:rFonts w:ascii="Arial" w:hAnsi="Arial" w:cs="Arial"/>
          <w:sz w:val="24"/>
          <w:szCs w:val="24"/>
        </w:rPr>
        <w:t>suggestion</w:t>
      </w:r>
      <w:r w:rsidR="00D92536">
        <w:rPr>
          <w:rFonts w:ascii="Arial" w:hAnsi="Arial" w:cs="Arial"/>
          <w:sz w:val="24"/>
          <w:szCs w:val="24"/>
        </w:rPr>
        <w:t xml:space="preserve"> that </w:t>
      </w:r>
      <w:r w:rsidR="00255472">
        <w:rPr>
          <w:rFonts w:ascii="Arial" w:hAnsi="Arial" w:cs="Arial"/>
          <w:sz w:val="24"/>
          <w:szCs w:val="24"/>
        </w:rPr>
        <w:t xml:space="preserve">IGS’ </w:t>
      </w:r>
      <w:r w:rsidR="00912D8F">
        <w:rPr>
          <w:rFonts w:ascii="Arial" w:hAnsi="Arial" w:cs="Arial"/>
          <w:sz w:val="24"/>
          <w:szCs w:val="24"/>
        </w:rPr>
        <w:t xml:space="preserve">approved </w:t>
      </w:r>
      <w:r w:rsidR="00E81B66">
        <w:rPr>
          <w:rFonts w:ascii="Arial" w:hAnsi="Arial" w:cs="Arial"/>
          <w:sz w:val="24"/>
          <w:szCs w:val="24"/>
        </w:rPr>
        <w:t xml:space="preserve">TPV </w:t>
      </w:r>
      <w:r w:rsidR="00255472">
        <w:rPr>
          <w:rFonts w:ascii="Arial" w:hAnsi="Arial" w:cs="Arial"/>
          <w:sz w:val="24"/>
          <w:szCs w:val="24"/>
        </w:rPr>
        <w:t xml:space="preserve">waiver </w:t>
      </w:r>
      <w:r w:rsidR="002D4C5E">
        <w:rPr>
          <w:rFonts w:ascii="Arial" w:hAnsi="Arial" w:cs="Arial"/>
          <w:sz w:val="24"/>
          <w:szCs w:val="24"/>
        </w:rPr>
        <w:t>should serve</w:t>
      </w:r>
      <w:r w:rsidR="002871D5">
        <w:rPr>
          <w:rFonts w:ascii="Arial" w:hAnsi="Arial" w:cs="Arial"/>
          <w:sz w:val="24"/>
          <w:szCs w:val="24"/>
        </w:rPr>
        <w:t xml:space="preserve"> </w:t>
      </w:r>
      <w:r w:rsidR="00255472">
        <w:rPr>
          <w:rFonts w:ascii="Arial" w:hAnsi="Arial" w:cs="Arial"/>
          <w:sz w:val="24"/>
          <w:szCs w:val="24"/>
        </w:rPr>
        <w:t xml:space="preserve">as precedent </w:t>
      </w:r>
      <w:r w:rsidR="00912D8F">
        <w:rPr>
          <w:rFonts w:ascii="Arial" w:hAnsi="Arial" w:cs="Arial"/>
          <w:sz w:val="24"/>
          <w:szCs w:val="24"/>
        </w:rPr>
        <w:t xml:space="preserve">in the Commission’s review of </w:t>
      </w:r>
      <w:r w:rsidR="00BD4DFC">
        <w:rPr>
          <w:rFonts w:ascii="Arial" w:hAnsi="Arial" w:cs="Arial"/>
          <w:sz w:val="24"/>
          <w:szCs w:val="24"/>
        </w:rPr>
        <w:t>its</w:t>
      </w:r>
      <w:r w:rsidR="00937DD1">
        <w:rPr>
          <w:rFonts w:ascii="Arial" w:hAnsi="Arial" w:cs="Arial"/>
          <w:sz w:val="24"/>
          <w:szCs w:val="24"/>
        </w:rPr>
        <w:t xml:space="preserve"> </w:t>
      </w:r>
      <w:r w:rsidR="00B726D2">
        <w:rPr>
          <w:rFonts w:ascii="Arial" w:hAnsi="Arial" w:cs="Arial"/>
          <w:sz w:val="24"/>
          <w:szCs w:val="24"/>
        </w:rPr>
        <w:t xml:space="preserve">application </w:t>
      </w:r>
      <w:r w:rsidR="00912D8F">
        <w:rPr>
          <w:rFonts w:ascii="Arial" w:hAnsi="Arial" w:cs="Arial"/>
          <w:sz w:val="24"/>
          <w:szCs w:val="24"/>
        </w:rPr>
        <w:t xml:space="preserve">in this </w:t>
      </w:r>
      <w:r w:rsidR="002D4C5E">
        <w:rPr>
          <w:rFonts w:ascii="Arial" w:hAnsi="Arial" w:cs="Arial"/>
          <w:sz w:val="24"/>
          <w:szCs w:val="24"/>
        </w:rPr>
        <w:t>proceeding</w:t>
      </w:r>
      <w:r w:rsidR="00912D8F">
        <w:rPr>
          <w:rFonts w:ascii="Arial" w:hAnsi="Arial" w:cs="Arial"/>
          <w:sz w:val="24"/>
          <w:szCs w:val="24"/>
        </w:rPr>
        <w:t xml:space="preserve"> is misleading and </w:t>
      </w:r>
      <w:r w:rsidR="00B726D2">
        <w:rPr>
          <w:rFonts w:ascii="Arial" w:hAnsi="Arial" w:cs="Arial"/>
          <w:sz w:val="24"/>
          <w:szCs w:val="24"/>
        </w:rPr>
        <w:t xml:space="preserve">should be dismissed.  </w:t>
      </w:r>
    </w:p>
    <w:p w14:paraId="4CB29CA6" w14:textId="6295B43F" w:rsidR="00962003" w:rsidRDefault="006B1C31" w:rsidP="002E246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IGS does not oppose any waiver filing that meets the stringent format </w:t>
      </w:r>
      <w:r w:rsidR="00624939">
        <w:rPr>
          <w:rFonts w:ascii="Arial" w:hAnsi="Arial" w:cs="Arial"/>
          <w:sz w:val="24"/>
          <w:szCs w:val="24"/>
        </w:rPr>
        <w:t>it is required</w:t>
      </w:r>
      <w:r>
        <w:rPr>
          <w:rFonts w:ascii="Arial" w:hAnsi="Arial" w:cs="Arial"/>
          <w:sz w:val="24"/>
          <w:szCs w:val="24"/>
        </w:rPr>
        <w:t xml:space="preserve"> to follow, IGS submits these comments to make clear that it </w:t>
      </w:r>
      <w:r w:rsidR="007C2E4B">
        <w:rPr>
          <w:rFonts w:ascii="Arial" w:hAnsi="Arial" w:cs="Arial"/>
          <w:sz w:val="24"/>
          <w:szCs w:val="24"/>
        </w:rPr>
        <w:t>does not</w:t>
      </w:r>
      <w:r>
        <w:rPr>
          <w:rFonts w:ascii="Arial" w:hAnsi="Arial" w:cs="Arial"/>
          <w:sz w:val="24"/>
          <w:szCs w:val="24"/>
        </w:rPr>
        <w:t xml:space="preserve"> support any waiver request that falls short of </w:t>
      </w:r>
      <w:r w:rsidR="00E60B71">
        <w:rPr>
          <w:rFonts w:ascii="Arial" w:hAnsi="Arial" w:cs="Arial"/>
          <w:sz w:val="24"/>
          <w:szCs w:val="24"/>
        </w:rPr>
        <w:t>utilizing</w:t>
      </w:r>
      <w:r w:rsidR="00B02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employee-based sales force to facilitate </w:t>
      </w:r>
      <w:r w:rsidR="00D67E29">
        <w:rPr>
          <w:rFonts w:ascii="Arial" w:hAnsi="Arial" w:cs="Arial"/>
          <w:sz w:val="24"/>
          <w:szCs w:val="24"/>
        </w:rPr>
        <w:t xml:space="preserve">alternatives to the traditional </w:t>
      </w:r>
      <w:r>
        <w:rPr>
          <w:rFonts w:ascii="Arial" w:hAnsi="Arial" w:cs="Arial"/>
          <w:sz w:val="24"/>
          <w:szCs w:val="24"/>
        </w:rPr>
        <w:t xml:space="preserve">door-to-door enrollment and verification </w:t>
      </w:r>
      <w:r w:rsidR="004A607A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.</w:t>
      </w:r>
    </w:p>
    <w:p w14:paraId="531F6A3A" w14:textId="77777777" w:rsidR="00F274EF" w:rsidRPr="00C221AB" w:rsidRDefault="00F274EF" w:rsidP="00F274E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</w:t>
      </w:r>
    </w:p>
    <w:p w14:paraId="77BE1B04" w14:textId="276E7657" w:rsidR="00F274EF" w:rsidRDefault="00101EFE" w:rsidP="002E246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i/>
          <w:sz w:val="24"/>
          <w:szCs w:val="24"/>
        </w:rPr>
        <w:t>TPV Waiver Case</w:t>
      </w:r>
      <w:r>
        <w:rPr>
          <w:rFonts w:ascii="Arial" w:hAnsi="Arial" w:cs="Arial"/>
          <w:sz w:val="24"/>
          <w:szCs w:val="24"/>
        </w:rPr>
        <w:t xml:space="preserve">, </w:t>
      </w:r>
      <w:r w:rsidR="00A43026">
        <w:rPr>
          <w:rFonts w:ascii="Arial" w:hAnsi="Arial" w:cs="Arial"/>
          <w:sz w:val="24"/>
          <w:szCs w:val="24"/>
        </w:rPr>
        <w:t xml:space="preserve">IGS </w:t>
      </w:r>
      <w:r w:rsidR="001825E5">
        <w:rPr>
          <w:rFonts w:ascii="Arial" w:hAnsi="Arial" w:cs="Arial"/>
          <w:sz w:val="24"/>
          <w:szCs w:val="24"/>
        </w:rPr>
        <w:t>obtained</w:t>
      </w:r>
      <w:r w:rsidR="00A43026">
        <w:rPr>
          <w:rFonts w:ascii="Arial" w:hAnsi="Arial" w:cs="Arial"/>
          <w:sz w:val="24"/>
          <w:szCs w:val="24"/>
        </w:rPr>
        <w:t xml:space="preserve"> a waiver of the </w:t>
      </w:r>
      <w:r w:rsidR="00F474CD">
        <w:rPr>
          <w:rFonts w:ascii="Arial" w:hAnsi="Arial" w:cs="Arial"/>
          <w:sz w:val="24"/>
          <w:szCs w:val="24"/>
        </w:rPr>
        <w:t>electric and natural gas telephonic third-party verification requirement for door-to-door customer enrollments.</w:t>
      </w:r>
      <w:r w:rsidR="00D9316E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3B1620">
        <w:rPr>
          <w:rFonts w:ascii="Arial" w:hAnsi="Arial" w:cs="Arial"/>
          <w:sz w:val="24"/>
          <w:szCs w:val="24"/>
        </w:rPr>
        <w:t xml:space="preserve">  </w:t>
      </w:r>
      <w:r w:rsidR="00EC54CD">
        <w:rPr>
          <w:rFonts w:ascii="Arial" w:hAnsi="Arial" w:cs="Arial"/>
          <w:sz w:val="24"/>
          <w:szCs w:val="24"/>
        </w:rPr>
        <w:t>IGS</w:t>
      </w:r>
      <w:r w:rsidR="00656084">
        <w:rPr>
          <w:rFonts w:ascii="Arial" w:hAnsi="Arial" w:cs="Arial"/>
          <w:sz w:val="24"/>
          <w:szCs w:val="24"/>
        </w:rPr>
        <w:t xml:space="preserve">’ </w:t>
      </w:r>
      <w:r w:rsidR="000359ED">
        <w:rPr>
          <w:rFonts w:ascii="Arial" w:hAnsi="Arial" w:cs="Arial"/>
          <w:sz w:val="24"/>
          <w:szCs w:val="24"/>
        </w:rPr>
        <w:t xml:space="preserve">approved </w:t>
      </w:r>
      <w:r w:rsidR="001825E5">
        <w:rPr>
          <w:rFonts w:ascii="Arial" w:hAnsi="Arial" w:cs="Arial"/>
          <w:sz w:val="24"/>
          <w:szCs w:val="24"/>
        </w:rPr>
        <w:t xml:space="preserve">electronic </w:t>
      </w:r>
      <w:r w:rsidR="00EC54CD">
        <w:rPr>
          <w:rFonts w:ascii="Arial" w:hAnsi="Arial" w:cs="Arial"/>
          <w:sz w:val="24"/>
          <w:szCs w:val="24"/>
        </w:rPr>
        <w:t xml:space="preserve">enrollment and verification process utilizes </w:t>
      </w:r>
      <w:r w:rsidR="003524C1">
        <w:rPr>
          <w:rFonts w:ascii="Arial" w:hAnsi="Arial" w:cs="Arial"/>
          <w:sz w:val="24"/>
          <w:szCs w:val="24"/>
        </w:rPr>
        <w:t xml:space="preserve">proprietary software </w:t>
      </w:r>
      <w:r w:rsidR="001825E5">
        <w:rPr>
          <w:rFonts w:ascii="Arial" w:hAnsi="Arial" w:cs="Arial"/>
          <w:sz w:val="24"/>
          <w:szCs w:val="24"/>
        </w:rPr>
        <w:t xml:space="preserve">to capture a customer’s consent to, and verification of, the terms associated with that customer’s electric and/or natural gas enrollment.  </w:t>
      </w:r>
      <w:r w:rsidR="006B5BA5">
        <w:rPr>
          <w:rFonts w:ascii="Arial" w:hAnsi="Arial" w:cs="Arial"/>
          <w:sz w:val="24"/>
          <w:szCs w:val="24"/>
        </w:rPr>
        <w:t xml:space="preserve">Of </w:t>
      </w:r>
      <w:r w:rsidR="001E2D90">
        <w:rPr>
          <w:rFonts w:ascii="Arial" w:hAnsi="Arial" w:cs="Arial"/>
          <w:sz w:val="24"/>
          <w:szCs w:val="24"/>
        </w:rPr>
        <w:t>import</w:t>
      </w:r>
      <w:r w:rsidR="006B5BA5">
        <w:rPr>
          <w:rFonts w:ascii="Arial" w:hAnsi="Arial" w:cs="Arial"/>
          <w:sz w:val="24"/>
          <w:szCs w:val="24"/>
        </w:rPr>
        <w:t xml:space="preserve"> to this </w:t>
      </w:r>
      <w:r w:rsidR="007A4C73">
        <w:rPr>
          <w:rFonts w:ascii="Arial" w:hAnsi="Arial" w:cs="Arial"/>
          <w:sz w:val="24"/>
          <w:szCs w:val="24"/>
        </w:rPr>
        <w:t>proceeding</w:t>
      </w:r>
      <w:r w:rsidR="006B5BA5">
        <w:rPr>
          <w:rFonts w:ascii="Arial" w:hAnsi="Arial" w:cs="Arial"/>
          <w:sz w:val="24"/>
          <w:szCs w:val="24"/>
        </w:rPr>
        <w:t xml:space="preserve"> is that IGS’</w:t>
      </w:r>
      <w:r w:rsidR="002F6BC3">
        <w:rPr>
          <w:rFonts w:ascii="Arial" w:hAnsi="Arial" w:cs="Arial"/>
          <w:sz w:val="24"/>
          <w:szCs w:val="24"/>
        </w:rPr>
        <w:t xml:space="preserve"> electronic enrollment and verification process </w:t>
      </w:r>
      <w:r w:rsidR="00BC1050">
        <w:rPr>
          <w:rFonts w:ascii="Arial" w:hAnsi="Arial" w:cs="Arial"/>
          <w:sz w:val="24"/>
          <w:szCs w:val="24"/>
        </w:rPr>
        <w:t>is</w:t>
      </w:r>
      <w:r w:rsidR="002F6BC3">
        <w:rPr>
          <w:rFonts w:ascii="Arial" w:hAnsi="Arial" w:cs="Arial"/>
          <w:sz w:val="24"/>
          <w:szCs w:val="24"/>
        </w:rPr>
        <w:t xml:space="preserve"> facilitated by </w:t>
      </w:r>
      <w:r w:rsidR="00EC54CD">
        <w:rPr>
          <w:rFonts w:ascii="Arial" w:hAnsi="Arial" w:cs="Arial"/>
          <w:sz w:val="24"/>
          <w:szCs w:val="24"/>
        </w:rPr>
        <w:t xml:space="preserve">IGS’ </w:t>
      </w:r>
      <w:r w:rsidR="00EC54CD" w:rsidRPr="003C0618">
        <w:rPr>
          <w:rFonts w:ascii="Arial" w:hAnsi="Arial" w:cs="Arial"/>
          <w:i/>
          <w:sz w:val="24"/>
          <w:szCs w:val="24"/>
        </w:rPr>
        <w:t>employee</w:t>
      </w:r>
      <w:r w:rsidR="00EC54CD">
        <w:rPr>
          <w:rFonts w:ascii="Arial" w:hAnsi="Arial" w:cs="Arial"/>
          <w:sz w:val="24"/>
          <w:szCs w:val="24"/>
        </w:rPr>
        <w:t xml:space="preserve"> </w:t>
      </w:r>
      <w:r w:rsidR="00BD4F28">
        <w:rPr>
          <w:rFonts w:ascii="Arial" w:hAnsi="Arial" w:cs="Arial"/>
          <w:sz w:val="24"/>
          <w:szCs w:val="24"/>
        </w:rPr>
        <w:t>HECs</w:t>
      </w:r>
      <w:r w:rsidR="002F6BC3">
        <w:rPr>
          <w:rFonts w:ascii="Arial" w:hAnsi="Arial" w:cs="Arial"/>
          <w:sz w:val="24"/>
          <w:szCs w:val="24"/>
        </w:rPr>
        <w:t>.</w:t>
      </w:r>
      <w:r w:rsidR="00A4211B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46CC1F68" w14:textId="3C4F219A" w:rsidR="00785B04" w:rsidRDefault="00BD4F28" w:rsidP="002E246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867B42">
        <w:rPr>
          <w:rFonts w:ascii="Arial" w:hAnsi="Arial" w:cs="Arial"/>
          <w:sz w:val="24"/>
          <w:szCs w:val="24"/>
        </w:rPr>
        <w:t xml:space="preserve">IGS established </w:t>
      </w:r>
      <w:r>
        <w:rPr>
          <w:rFonts w:ascii="Arial" w:hAnsi="Arial" w:cs="Arial"/>
          <w:sz w:val="24"/>
          <w:szCs w:val="24"/>
        </w:rPr>
        <w:t xml:space="preserve">in </w:t>
      </w:r>
      <w:r w:rsidR="001E10F4">
        <w:rPr>
          <w:rFonts w:ascii="Arial" w:hAnsi="Arial" w:cs="Arial"/>
          <w:sz w:val="24"/>
          <w:szCs w:val="24"/>
        </w:rPr>
        <w:t xml:space="preserve">the </w:t>
      </w:r>
      <w:r w:rsidR="001E10F4">
        <w:rPr>
          <w:rFonts w:ascii="Arial" w:hAnsi="Arial" w:cs="Arial"/>
          <w:i/>
          <w:sz w:val="24"/>
          <w:szCs w:val="24"/>
        </w:rPr>
        <w:t>TPV Waiver Case</w:t>
      </w:r>
      <w:r>
        <w:rPr>
          <w:rFonts w:ascii="Arial" w:hAnsi="Arial" w:cs="Arial"/>
          <w:sz w:val="24"/>
          <w:szCs w:val="24"/>
        </w:rPr>
        <w:t xml:space="preserve">, an HEC enrollment differs from </w:t>
      </w:r>
      <w:r w:rsidR="00351910">
        <w:rPr>
          <w:rFonts w:ascii="Arial" w:hAnsi="Arial" w:cs="Arial"/>
          <w:sz w:val="24"/>
          <w:szCs w:val="24"/>
        </w:rPr>
        <w:t xml:space="preserve">a traditional door-to-door sale in that </w:t>
      </w:r>
      <w:r w:rsidR="00E33797">
        <w:rPr>
          <w:rFonts w:ascii="Arial" w:hAnsi="Arial" w:cs="Arial"/>
          <w:sz w:val="24"/>
          <w:szCs w:val="24"/>
        </w:rPr>
        <w:t>door-to-door sales are</w:t>
      </w:r>
      <w:r w:rsidR="000C3D17">
        <w:rPr>
          <w:rFonts w:ascii="Arial" w:hAnsi="Arial" w:cs="Arial"/>
          <w:sz w:val="24"/>
          <w:szCs w:val="24"/>
        </w:rPr>
        <w:t xml:space="preserve"> typically</w:t>
      </w:r>
      <w:r w:rsidR="00E33797">
        <w:rPr>
          <w:rFonts w:ascii="Arial" w:hAnsi="Arial" w:cs="Arial"/>
          <w:sz w:val="24"/>
          <w:szCs w:val="24"/>
        </w:rPr>
        <w:t xml:space="preserve"> conducted by independent sales agents </w:t>
      </w:r>
      <w:r w:rsidR="001E10F4">
        <w:rPr>
          <w:rFonts w:ascii="Arial" w:hAnsi="Arial" w:cs="Arial"/>
          <w:sz w:val="24"/>
          <w:szCs w:val="24"/>
        </w:rPr>
        <w:t xml:space="preserve">that are </w:t>
      </w:r>
      <w:r w:rsidR="00E33797">
        <w:rPr>
          <w:rFonts w:ascii="Arial" w:hAnsi="Arial" w:cs="Arial"/>
          <w:sz w:val="24"/>
          <w:szCs w:val="24"/>
        </w:rPr>
        <w:t xml:space="preserve">compensated </w:t>
      </w:r>
      <w:r w:rsidR="001E10F4">
        <w:rPr>
          <w:rFonts w:ascii="Arial" w:hAnsi="Arial" w:cs="Arial"/>
          <w:sz w:val="24"/>
          <w:szCs w:val="24"/>
        </w:rPr>
        <w:t>on a Commission</w:t>
      </w:r>
      <w:r w:rsidR="000C3D17">
        <w:rPr>
          <w:rFonts w:ascii="Arial" w:hAnsi="Arial" w:cs="Arial"/>
          <w:sz w:val="24"/>
          <w:szCs w:val="24"/>
        </w:rPr>
        <w:t>-</w:t>
      </w:r>
      <w:r w:rsidR="001E10F4">
        <w:rPr>
          <w:rFonts w:ascii="Arial" w:hAnsi="Arial" w:cs="Arial"/>
          <w:sz w:val="24"/>
          <w:szCs w:val="24"/>
        </w:rPr>
        <w:t>only basis.</w:t>
      </w:r>
      <w:r w:rsidR="001E10F4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0035F3">
        <w:rPr>
          <w:rFonts w:ascii="Arial" w:hAnsi="Arial" w:cs="Arial"/>
          <w:sz w:val="24"/>
          <w:szCs w:val="24"/>
        </w:rPr>
        <w:t xml:space="preserve">  </w:t>
      </w:r>
      <w:r w:rsidR="000B7B85">
        <w:rPr>
          <w:rFonts w:ascii="Arial" w:hAnsi="Arial" w:cs="Arial"/>
          <w:sz w:val="24"/>
          <w:szCs w:val="24"/>
        </w:rPr>
        <w:t xml:space="preserve">Those </w:t>
      </w:r>
      <w:r w:rsidR="000B7B85">
        <w:rPr>
          <w:rFonts w:ascii="Arial" w:hAnsi="Arial" w:cs="Arial"/>
          <w:sz w:val="24"/>
          <w:szCs w:val="24"/>
        </w:rPr>
        <w:lastRenderedPageBreak/>
        <w:t xml:space="preserve">agents frequently </w:t>
      </w:r>
      <w:r w:rsidR="007E2401">
        <w:rPr>
          <w:rFonts w:ascii="Arial" w:hAnsi="Arial" w:cs="Arial"/>
          <w:sz w:val="24"/>
          <w:szCs w:val="24"/>
        </w:rPr>
        <w:t xml:space="preserve">target and solicit neighborhoods at random to </w:t>
      </w:r>
      <w:r w:rsidR="00A100E8">
        <w:rPr>
          <w:rFonts w:ascii="Arial" w:hAnsi="Arial" w:cs="Arial"/>
          <w:sz w:val="24"/>
          <w:szCs w:val="24"/>
        </w:rPr>
        <w:t>generate</w:t>
      </w:r>
      <w:r w:rsidR="007E2401">
        <w:rPr>
          <w:rFonts w:ascii="Arial" w:hAnsi="Arial" w:cs="Arial"/>
          <w:sz w:val="24"/>
          <w:szCs w:val="24"/>
        </w:rPr>
        <w:t xml:space="preserve"> sales</w:t>
      </w:r>
      <w:r w:rsidR="00590066">
        <w:rPr>
          <w:rFonts w:ascii="Arial" w:hAnsi="Arial" w:cs="Arial"/>
          <w:sz w:val="24"/>
          <w:szCs w:val="24"/>
        </w:rPr>
        <w:t xml:space="preserve">, and often prioritize sales targets over customer education </w:t>
      </w:r>
      <w:r w:rsidR="00F17D22">
        <w:rPr>
          <w:rFonts w:ascii="Arial" w:hAnsi="Arial" w:cs="Arial"/>
          <w:sz w:val="24"/>
          <w:szCs w:val="24"/>
        </w:rPr>
        <w:t xml:space="preserve">and/or the </w:t>
      </w:r>
      <w:r w:rsidR="00EB0568">
        <w:rPr>
          <w:rFonts w:ascii="Arial" w:hAnsi="Arial" w:cs="Arial"/>
          <w:sz w:val="24"/>
          <w:szCs w:val="24"/>
        </w:rPr>
        <w:t xml:space="preserve">sales experience both during and after the sale.  </w:t>
      </w:r>
      <w:r w:rsidR="000035F3">
        <w:rPr>
          <w:rFonts w:ascii="Arial" w:hAnsi="Arial" w:cs="Arial"/>
          <w:sz w:val="24"/>
          <w:szCs w:val="24"/>
        </w:rPr>
        <w:t xml:space="preserve">In contrast, </w:t>
      </w:r>
      <w:r w:rsidR="00942458">
        <w:rPr>
          <w:rFonts w:ascii="Arial" w:hAnsi="Arial" w:cs="Arial"/>
          <w:sz w:val="24"/>
          <w:szCs w:val="24"/>
        </w:rPr>
        <w:t>IGS</w:t>
      </w:r>
      <w:r w:rsidR="00763FC7">
        <w:rPr>
          <w:rFonts w:ascii="Arial" w:hAnsi="Arial" w:cs="Arial"/>
          <w:sz w:val="24"/>
          <w:szCs w:val="24"/>
        </w:rPr>
        <w:t>’ enrollments</w:t>
      </w:r>
      <w:r w:rsidR="000035F3">
        <w:rPr>
          <w:rFonts w:ascii="Arial" w:hAnsi="Arial" w:cs="Arial"/>
          <w:sz w:val="24"/>
          <w:szCs w:val="24"/>
        </w:rPr>
        <w:t xml:space="preserve"> are facilitated through IGS employees that are compensated primarily with base pay (including benefits) </w:t>
      </w:r>
      <w:r w:rsidR="003954F7">
        <w:rPr>
          <w:rFonts w:ascii="Arial" w:hAnsi="Arial" w:cs="Arial"/>
          <w:sz w:val="24"/>
          <w:szCs w:val="24"/>
        </w:rPr>
        <w:t>and earn a</w:t>
      </w:r>
      <w:r w:rsidR="000035F3">
        <w:rPr>
          <w:rFonts w:ascii="Arial" w:hAnsi="Arial" w:cs="Arial"/>
          <w:sz w:val="24"/>
          <w:szCs w:val="24"/>
        </w:rPr>
        <w:t xml:space="preserve"> sales commission </w:t>
      </w:r>
      <w:r w:rsidR="003954F7">
        <w:rPr>
          <w:rFonts w:ascii="Arial" w:hAnsi="Arial" w:cs="Arial"/>
          <w:sz w:val="24"/>
          <w:szCs w:val="24"/>
        </w:rPr>
        <w:t xml:space="preserve">that </w:t>
      </w:r>
      <w:r w:rsidR="000035F3">
        <w:rPr>
          <w:rFonts w:ascii="Arial" w:hAnsi="Arial" w:cs="Arial"/>
          <w:sz w:val="24"/>
          <w:szCs w:val="24"/>
        </w:rPr>
        <w:t xml:space="preserve">represents only a small portion of the HEC total compensation package.  </w:t>
      </w:r>
      <w:r w:rsidR="005F1061">
        <w:rPr>
          <w:rFonts w:ascii="Arial" w:hAnsi="Arial" w:cs="Arial"/>
          <w:sz w:val="24"/>
          <w:szCs w:val="24"/>
        </w:rPr>
        <w:t xml:space="preserve">IGS’ HECs are assigned a dedicated sales territory in a specific geographic location </w:t>
      </w:r>
      <w:r w:rsidR="00E55A92">
        <w:rPr>
          <w:rFonts w:ascii="Arial" w:hAnsi="Arial" w:cs="Arial"/>
          <w:sz w:val="24"/>
          <w:szCs w:val="24"/>
        </w:rPr>
        <w:t xml:space="preserve">to establish relationships with residents and enhance the customer experience </w:t>
      </w:r>
      <w:r w:rsidR="00BC58CA">
        <w:rPr>
          <w:rFonts w:ascii="Arial" w:hAnsi="Arial" w:cs="Arial"/>
          <w:sz w:val="24"/>
          <w:szCs w:val="24"/>
        </w:rPr>
        <w:t xml:space="preserve">long </w:t>
      </w:r>
      <w:r w:rsidR="00E55A92">
        <w:rPr>
          <w:rFonts w:ascii="Arial" w:hAnsi="Arial" w:cs="Arial"/>
          <w:sz w:val="24"/>
          <w:szCs w:val="24"/>
        </w:rPr>
        <w:t>after the sales transaction is complete.</w:t>
      </w:r>
      <w:r w:rsidR="001002EE">
        <w:rPr>
          <w:rFonts w:ascii="Arial" w:hAnsi="Arial" w:cs="Arial"/>
          <w:sz w:val="24"/>
          <w:szCs w:val="24"/>
        </w:rPr>
        <w:t xml:space="preserve">  </w:t>
      </w:r>
    </w:p>
    <w:p w14:paraId="4CA15FF2" w14:textId="517CC253" w:rsidR="0065318C" w:rsidRDefault="00621282" w:rsidP="0075631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IGS’ use of an internal sales force equipped with </w:t>
      </w:r>
      <w:r w:rsidR="00B46A41">
        <w:rPr>
          <w:rFonts w:ascii="Arial" w:hAnsi="Arial" w:cs="Arial"/>
          <w:sz w:val="24"/>
          <w:szCs w:val="24"/>
        </w:rPr>
        <w:t>proprietary electronic monitoring software</w:t>
      </w:r>
      <w:r w:rsidR="003069E6">
        <w:rPr>
          <w:rFonts w:ascii="Arial" w:hAnsi="Arial" w:cs="Arial"/>
          <w:sz w:val="24"/>
          <w:szCs w:val="24"/>
        </w:rPr>
        <w:t xml:space="preserve"> is </w:t>
      </w:r>
      <w:r w:rsidR="00D061E8">
        <w:rPr>
          <w:rFonts w:ascii="Arial" w:hAnsi="Arial" w:cs="Arial"/>
          <w:sz w:val="24"/>
          <w:szCs w:val="24"/>
        </w:rPr>
        <w:t>critical</w:t>
      </w:r>
      <w:r w:rsidR="003069E6">
        <w:rPr>
          <w:rFonts w:ascii="Arial" w:hAnsi="Arial" w:cs="Arial"/>
          <w:sz w:val="24"/>
          <w:szCs w:val="24"/>
        </w:rPr>
        <w:t>, because it</w:t>
      </w:r>
      <w:r w:rsidR="00B46A41">
        <w:rPr>
          <w:rFonts w:ascii="Arial" w:hAnsi="Arial" w:cs="Arial"/>
          <w:sz w:val="24"/>
          <w:szCs w:val="24"/>
        </w:rPr>
        <w:t xml:space="preserve"> </w:t>
      </w:r>
      <w:r w:rsidR="005223C8">
        <w:rPr>
          <w:rFonts w:ascii="Arial" w:hAnsi="Arial" w:cs="Arial"/>
          <w:sz w:val="24"/>
          <w:szCs w:val="24"/>
        </w:rPr>
        <w:t>offers</w:t>
      </w:r>
      <w:r w:rsidR="00B46A41">
        <w:rPr>
          <w:rFonts w:ascii="Arial" w:hAnsi="Arial" w:cs="Arial"/>
          <w:sz w:val="24"/>
          <w:szCs w:val="24"/>
        </w:rPr>
        <w:t xml:space="preserve"> </w:t>
      </w:r>
      <w:r w:rsidR="00A94DC5">
        <w:rPr>
          <w:rFonts w:ascii="Arial" w:hAnsi="Arial" w:cs="Arial"/>
          <w:sz w:val="24"/>
          <w:szCs w:val="24"/>
        </w:rPr>
        <w:t xml:space="preserve">direct </w:t>
      </w:r>
      <w:r w:rsidR="00B46A41">
        <w:rPr>
          <w:rFonts w:ascii="Arial" w:hAnsi="Arial" w:cs="Arial"/>
          <w:sz w:val="24"/>
          <w:szCs w:val="24"/>
        </w:rPr>
        <w:t xml:space="preserve">oversight </w:t>
      </w:r>
      <w:r w:rsidR="006E5E9C">
        <w:rPr>
          <w:rFonts w:ascii="Arial" w:hAnsi="Arial" w:cs="Arial"/>
          <w:sz w:val="24"/>
          <w:szCs w:val="24"/>
        </w:rPr>
        <w:t>in</w:t>
      </w:r>
      <w:r w:rsidR="007D6352">
        <w:rPr>
          <w:rFonts w:ascii="Arial" w:hAnsi="Arial" w:cs="Arial"/>
          <w:sz w:val="24"/>
          <w:szCs w:val="24"/>
        </w:rPr>
        <w:t>to</w:t>
      </w:r>
      <w:r w:rsidR="002F021F">
        <w:rPr>
          <w:rFonts w:ascii="Arial" w:hAnsi="Arial" w:cs="Arial"/>
          <w:sz w:val="24"/>
          <w:szCs w:val="24"/>
        </w:rPr>
        <w:t xml:space="preserve"> the</w:t>
      </w:r>
      <w:r w:rsidR="001B0949">
        <w:rPr>
          <w:rFonts w:ascii="Arial" w:hAnsi="Arial" w:cs="Arial"/>
          <w:sz w:val="24"/>
          <w:szCs w:val="24"/>
        </w:rPr>
        <w:t xml:space="preserve"> employee</w:t>
      </w:r>
      <w:r w:rsidR="006E5E9C">
        <w:rPr>
          <w:rFonts w:ascii="Arial" w:hAnsi="Arial" w:cs="Arial"/>
          <w:sz w:val="24"/>
          <w:szCs w:val="24"/>
        </w:rPr>
        <w:t xml:space="preserve"> sales</w:t>
      </w:r>
      <w:r w:rsidR="00183AB7">
        <w:rPr>
          <w:rFonts w:ascii="Arial" w:hAnsi="Arial" w:cs="Arial"/>
          <w:sz w:val="24"/>
          <w:szCs w:val="24"/>
        </w:rPr>
        <w:t xml:space="preserve"> process</w:t>
      </w:r>
      <w:r w:rsidR="006E5E9C">
        <w:rPr>
          <w:rFonts w:ascii="Arial" w:hAnsi="Arial" w:cs="Arial"/>
          <w:sz w:val="24"/>
          <w:szCs w:val="24"/>
        </w:rPr>
        <w:t xml:space="preserve"> </w:t>
      </w:r>
      <w:r w:rsidR="00B46A41">
        <w:rPr>
          <w:rFonts w:ascii="Arial" w:hAnsi="Arial" w:cs="Arial"/>
          <w:sz w:val="24"/>
          <w:szCs w:val="24"/>
        </w:rPr>
        <w:t>that almost no other supplier in the industry can provide.</w:t>
      </w:r>
      <w:r w:rsidR="00785B04">
        <w:rPr>
          <w:rFonts w:ascii="Arial" w:hAnsi="Arial" w:cs="Arial"/>
          <w:sz w:val="24"/>
          <w:szCs w:val="24"/>
        </w:rPr>
        <w:t xml:space="preserve">  </w:t>
      </w:r>
      <w:r w:rsidR="00117079">
        <w:rPr>
          <w:rFonts w:ascii="Arial" w:hAnsi="Arial" w:cs="Arial"/>
          <w:sz w:val="24"/>
          <w:szCs w:val="24"/>
        </w:rPr>
        <w:t xml:space="preserve">The software IGS’ HECs use </w:t>
      </w:r>
      <w:r w:rsidR="00DE5ADA">
        <w:rPr>
          <w:rFonts w:ascii="Arial" w:hAnsi="Arial" w:cs="Arial"/>
          <w:sz w:val="24"/>
          <w:szCs w:val="24"/>
        </w:rPr>
        <w:t xml:space="preserve">to perform enrollments and verifications </w:t>
      </w:r>
      <w:r w:rsidR="00117079">
        <w:rPr>
          <w:rFonts w:ascii="Arial" w:hAnsi="Arial" w:cs="Arial"/>
          <w:sz w:val="24"/>
          <w:szCs w:val="24"/>
        </w:rPr>
        <w:t xml:space="preserve">provide management with up-to-the-minute insight into </w:t>
      </w:r>
      <w:r w:rsidR="001557FF">
        <w:rPr>
          <w:rFonts w:ascii="Arial" w:hAnsi="Arial" w:cs="Arial"/>
          <w:sz w:val="24"/>
          <w:szCs w:val="24"/>
        </w:rPr>
        <w:t>employee</w:t>
      </w:r>
      <w:r w:rsidR="00117079">
        <w:rPr>
          <w:rFonts w:ascii="Arial" w:hAnsi="Arial" w:cs="Arial"/>
          <w:sz w:val="24"/>
          <w:szCs w:val="24"/>
        </w:rPr>
        <w:t xml:space="preserve"> behavior</w:t>
      </w:r>
      <w:r w:rsidR="001557FF">
        <w:rPr>
          <w:rFonts w:ascii="Arial" w:hAnsi="Arial" w:cs="Arial"/>
          <w:sz w:val="24"/>
          <w:szCs w:val="24"/>
        </w:rPr>
        <w:t xml:space="preserve"> </w:t>
      </w:r>
      <w:r w:rsidR="00472A7E">
        <w:rPr>
          <w:rFonts w:ascii="Arial" w:hAnsi="Arial" w:cs="Arial"/>
          <w:sz w:val="24"/>
          <w:szCs w:val="24"/>
        </w:rPr>
        <w:t xml:space="preserve">and sales practices </w:t>
      </w:r>
      <w:r w:rsidR="001557FF">
        <w:rPr>
          <w:rFonts w:ascii="Arial" w:hAnsi="Arial" w:cs="Arial"/>
          <w:sz w:val="24"/>
          <w:szCs w:val="24"/>
        </w:rPr>
        <w:t>to</w:t>
      </w:r>
      <w:r w:rsidR="00472A7E">
        <w:rPr>
          <w:rFonts w:ascii="Arial" w:hAnsi="Arial" w:cs="Arial"/>
          <w:sz w:val="24"/>
          <w:szCs w:val="24"/>
        </w:rPr>
        <w:t xml:space="preserve"> ensure compliance with the Commission’s rules.  </w:t>
      </w:r>
      <w:r w:rsidR="00681812">
        <w:rPr>
          <w:rFonts w:ascii="Arial" w:hAnsi="Arial" w:cs="Arial"/>
          <w:sz w:val="24"/>
          <w:szCs w:val="24"/>
        </w:rPr>
        <w:t xml:space="preserve">It should come as no surprise then that the Commission granted IGS’ </w:t>
      </w:r>
      <w:r w:rsidR="003E5C2F">
        <w:rPr>
          <w:rFonts w:ascii="Arial" w:hAnsi="Arial" w:cs="Arial"/>
          <w:sz w:val="24"/>
          <w:szCs w:val="24"/>
        </w:rPr>
        <w:t>application, in large part, on a finding that IGS’ employee-based process for door-to-door customer enrollment offered enhanced consumer protections that were not contemplated under either the existing CRES or CRNG rules.</w:t>
      </w:r>
      <w:r w:rsidR="003E5C2F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8D1527">
        <w:rPr>
          <w:rFonts w:ascii="Arial" w:hAnsi="Arial" w:cs="Arial"/>
          <w:sz w:val="24"/>
          <w:szCs w:val="24"/>
        </w:rPr>
        <w:t xml:space="preserve">  </w:t>
      </w:r>
      <w:r w:rsidR="00B332D1">
        <w:rPr>
          <w:rFonts w:ascii="Arial" w:hAnsi="Arial" w:cs="Arial"/>
          <w:sz w:val="24"/>
          <w:szCs w:val="24"/>
        </w:rPr>
        <w:t>D</w:t>
      </w:r>
      <w:r w:rsidR="006A47A5">
        <w:rPr>
          <w:rFonts w:ascii="Arial" w:hAnsi="Arial" w:cs="Arial"/>
          <w:sz w:val="24"/>
          <w:szCs w:val="24"/>
        </w:rPr>
        <w:t xml:space="preserve">espite its best efforts to rely on IGS’ approved waiver application as persuasive authority in this case, </w:t>
      </w:r>
      <w:r w:rsidR="00347CB3">
        <w:rPr>
          <w:rFonts w:ascii="Arial" w:hAnsi="Arial" w:cs="Arial"/>
          <w:sz w:val="24"/>
          <w:szCs w:val="24"/>
        </w:rPr>
        <w:t xml:space="preserve">Star’s application does not appear </w:t>
      </w:r>
      <w:r w:rsidR="007136A6">
        <w:rPr>
          <w:rFonts w:ascii="Arial" w:hAnsi="Arial" w:cs="Arial"/>
          <w:sz w:val="24"/>
          <w:szCs w:val="24"/>
        </w:rPr>
        <w:t xml:space="preserve">to offer </w:t>
      </w:r>
      <w:r w:rsidR="009F7446">
        <w:rPr>
          <w:rFonts w:ascii="Arial" w:hAnsi="Arial" w:cs="Arial"/>
          <w:sz w:val="24"/>
          <w:szCs w:val="24"/>
        </w:rPr>
        <w:t xml:space="preserve">a similar </w:t>
      </w:r>
      <w:r w:rsidR="00BB1E80">
        <w:rPr>
          <w:rFonts w:ascii="Arial" w:hAnsi="Arial" w:cs="Arial"/>
          <w:sz w:val="24"/>
          <w:szCs w:val="24"/>
        </w:rPr>
        <w:t>degree</w:t>
      </w:r>
      <w:r w:rsidR="009F7446">
        <w:rPr>
          <w:rFonts w:ascii="Arial" w:hAnsi="Arial" w:cs="Arial"/>
          <w:sz w:val="24"/>
          <w:szCs w:val="24"/>
        </w:rPr>
        <w:t xml:space="preserve"> of oversight into its agents’ behavior</w:t>
      </w:r>
      <w:r w:rsidR="007F1C8E">
        <w:rPr>
          <w:rFonts w:ascii="Arial" w:hAnsi="Arial" w:cs="Arial"/>
          <w:sz w:val="24"/>
          <w:szCs w:val="24"/>
        </w:rPr>
        <w:t>.</w:t>
      </w:r>
      <w:r w:rsidR="007F1C8E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6A47A5">
        <w:rPr>
          <w:rFonts w:ascii="Arial" w:hAnsi="Arial" w:cs="Arial"/>
          <w:sz w:val="24"/>
          <w:szCs w:val="24"/>
        </w:rPr>
        <w:t xml:space="preserve">  </w:t>
      </w:r>
    </w:p>
    <w:p w14:paraId="455A5A24" w14:textId="7F8B342E" w:rsidR="004527AC" w:rsidRDefault="006A47A5" w:rsidP="0075631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Indeed, Star’s proposal falls short of offering a door-to-door enrollment and verification process that would be </w:t>
      </w:r>
      <w:r w:rsidR="00C678EB">
        <w:rPr>
          <w:rFonts w:ascii="Arial" w:hAnsi="Arial" w:cs="Arial"/>
          <w:sz w:val="24"/>
          <w:szCs w:val="24"/>
        </w:rPr>
        <w:t>performed</w:t>
      </w:r>
      <w:r>
        <w:rPr>
          <w:rFonts w:ascii="Arial" w:hAnsi="Arial" w:cs="Arial"/>
          <w:sz w:val="24"/>
          <w:szCs w:val="24"/>
        </w:rPr>
        <w:t xml:space="preserve"> by Star employees.</w:t>
      </w:r>
      <w:r w:rsidR="001763A0">
        <w:rPr>
          <w:rFonts w:ascii="Arial" w:hAnsi="Arial" w:cs="Arial"/>
          <w:sz w:val="24"/>
          <w:szCs w:val="24"/>
        </w:rPr>
        <w:t xml:space="preserve">  </w:t>
      </w:r>
      <w:r w:rsidR="00401E53">
        <w:rPr>
          <w:rFonts w:ascii="Arial" w:hAnsi="Arial" w:cs="Arial"/>
          <w:sz w:val="24"/>
          <w:szCs w:val="24"/>
        </w:rPr>
        <w:t xml:space="preserve">Also missing from its </w:t>
      </w:r>
      <w:r w:rsidR="00401E53">
        <w:rPr>
          <w:rFonts w:ascii="Arial" w:hAnsi="Arial" w:cs="Arial"/>
          <w:sz w:val="24"/>
          <w:szCs w:val="24"/>
        </w:rPr>
        <w:lastRenderedPageBreak/>
        <w:t xml:space="preserve">application is any insight into the compensation that </w:t>
      </w:r>
      <w:r w:rsidR="00002564">
        <w:rPr>
          <w:rFonts w:ascii="Arial" w:hAnsi="Arial" w:cs="Arial"/>
          <w:sz w:val="24"/>
          <w:szCs w:val="24"/>
        </w:rPr>
        <w:t>Star’s</w:t>
      </w:r>
      <w:r w:rsidR="00401E53">
        <w:rPr>
          <w:rFonts w:ascii="Arial" w:hAnsi="Arial" w:cs="Arial"/>
          <w:sz w:val="24"/>
          <w:szCs w:val="24"/>
        </w:rPr>
        <w:t xml:space="preserve"> third-party agents receive for their enrollment services, or whether those</w:t>
      </w:r>
      <w:r w:rsidR="003C2DD3">
        <w:rPr>
          <w:rFonts w:ascii="Arial" w:hAnsi="Arial" w:cs="Arial"/>
          <w:sz w:val="24"/>
          <w:szCs w:val="24"/>
        </w:rPr>
        <w:t xml:space="preserve"> agents will solicit in specifically defined geographic sales territories. </w:t>
      </w:r>
      <w:r w:rsidR="0031140F">
        <w:rPr>
          <w:rFonts w:ascii="Arial" w:hAnsi="Arial" w:cs="Arial"/>
          <w:sz w:val="24"/>
          <w:szCs w:val="24"/>
        </w:rPr>
        <w:t xml:space="preserve">Star’s application </w:t>
      </w:r>
      <w:r w:rsidR="00B30169">
        <w:rPr>
          <w:rFonts w:ascii="Arial" w:hAnsi="Arial" w:cs="Arial"/>
          <w:sz w:val="24"/>
          <w:szCs w:val="24"/>
        </w:rPr>
        <w:t xml:space="preserve">clearly describes the electronic verification process it proposes to </w:t>
      </w:r>
      <w:r w:rsidR="00952F97">
        <w:rPr>
          <w:rFonts w:ascii="Arial" w:hAnsi="Arial" w:cs="Arial"/>
          <w:sz w:val="24"/>
          <w:szCs w:val="24"/>
        </w:rPr>
        <w:t>use but</w:t>
      </w:r>
      <w:r w:rsidR="00B30169">
        <w:rPr>
          <w:rFonts w:ascii="Arial" w:hAnsi="Arial" w:cs="Arial"/>
          <w:sz w:val="24"/>
          <w:szCs w:val="24"/>
        </w:rPr>
        <w:t xml:space="preserve"> </w:t>
      </w:r>
      <w:r w:rsidR="00242E52">
        <w:rPr>
          <w:rFonts w:ascii="Arial" w:hAnsi="Arial" w:cs="Arial"/>
          <w:sz w:val="24"/>
          <w:szCs w:val="24"/>
        </w:rPr>
        <w:t xml:space="preserve">does not provide any detail </w:t>
      </w:r>
      <w:r w:rsidR="00B43CC8">
        <w:rPr>
          <w:rFonts w:ascii="Arial" w:hAnsi="Arial" w:cs="Arial"/>
          <w:sz w:val="24"/>
          <w:szCs w:val="24"/>
        </w:rPr>
        <w:t>regarding the</w:t>
      </w:r>
      <w:r w:rsidR="00C037F8">
        <w:rPr>
          <w:rFonts w:ascii="Arial" w:hAnsi="Arial" w:cs="Arial"/>
          <w:sz w:val="24"/>
          <w:szCs w:val="24"/>
        </w:rPr>
        <w:t xml:space="preserve"> </w:t>
      </w:r>
      <w:r w:rsidR="00B43CC8">
        <w:rPr>
          <w:rFonts w:ascii="Arial" w:hAnsi="Arial" w:cs="Arial"/>
          <w:sz w:val="24"/>
          <w:szCs w:val="24"/>
        </w:rPr>
        <w:t>scope</w:t>
      </w:r>
      <w:r w:rsidR="00C037F8">
        <w:rPr>
          <w:rFonts w:ascii="Arial" w:hAnsi="Arial" w:cs="Arial"/>
          <w:sz w:val="24"/>
          <w:szCs w:val="24"/>
        </w:rPr>
        <w:t xml:space="preserve"> of management and oversight </w:t>
      </w:r>
      <w:r w:rsidR="00E97775">
        <w:rPr>
          <w:rFonts w:ascii="Arial" w:hAnsi="Arial" w:cs="Arial"/>
          <w:sz w:val="24"/>
          <w:szCs w:val="24"/>
        </w:rPr>
        <w:t>it will have on th</w:t>
      </w:r>
      <w:r w:rsidR="00A31117">
        <w:rPr>
          <w:rFonts w:ascii="Arial" w:hAnsi="Arial" w:cs="Arial"/>
          <w:sz w:val="24"/>
          <w:szCs w:val="24"/>
        </w:rPr>
        <w:t xml:space="preserve">e agents facilitating those enrollments.  </w:t>
      </w:r>
      <w:r w:rsidR="00602EDD">
        <w:rPr>
          <w:rFonts w:ascii="Arial" w:hAnsi="Arial" w:cs="Arial"/>
          <w:sz w:val="24"/>
          <w:szCs w:val="24"/>
        </w:rPr>
        <w:t xml:space="preserve">As written, Star’s application does not offer the same heightened standards of oversight </w:t>
      </w:r>
      <w:r w:rsidR="00A94AEC">
        <w:rPr>
          <w:rFonts w:ascii="Arial" w:hAnsi="Arial" w:cs="Arial"/>
          <w:sz w:val="24"/>
          <w:szCs w:val="24"/>
        </w:rPr>
        <w:t xml:space="preserve">and consumer protection as that which the Commission </w:t>
      </w:r>
      <w:r w:rsidR="00E1291F">
        <w:rPr>
          <w:rFonts w:ascii="Arial" w:hAnsi="Arial" w:cs="Arial"/>
          <w:sz w:val="24"/>
          <w:szCs w:val="24"/>
        </w:rPr>
        <w:t>authorized</w:t>
      </w:r>
      <w:r w:rsidR="00A94AEC">
        <w:rPr>
          <w:rFonts w:ascii="Arial" w:hAnsi="Arial" w:cs="Arial"/>
          <w:sz w:val="24"/>
          <w:szCs w:val="24"/>
        </w:rPr>
        <w:t xml:space="preserve"> in IGS’ </w:t>
      </w:r>
      <w:r w:rsidR="00A94AEC">
        <w:rPr>
          <w:rFonts w:ascii="Arial" w:hAnsi="Arial" w:cs="Arial"/>
          <w:i/>
          <w:sz w:val="24"/>
          <w:szCs w:val="24"/>
        </w:rPr>
        <w:t>TPV Waiver Case</w:t>
      </w:r>
      <w:r w:rsidR="00A94AEC">
        <w:rPr>
          <w:rFonts w:ascii="Arial" w:hAnsi="Arial" w:cs="Arial"/>
          <w:sz w:val="24"/>
          <w:szCs w:val="24"/>
        </w:rPr>
        <w:t>.</w:t>
      </w:r>
      <w:r w:rsidR="00766D03">
        <w:rPr>
          <w:rFonts w:ascii="Arial" w:hAnsi="Arial" w:cs="Arial"/>
          <w:sz w:val="24"/>
          <w:szCs w:val="24"/>
        </w:rPr>
        <w:t xml:space="preserve">  </w:t>
      </w:r>
    </w:p>
    <w:p w14:paraId="0DE0AE68" w14:textId="3D292EA2" w:rsidR="0063507E" w:rsidRDefault="00C85F79" w:rsidP="0075631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Star’s </w:t>
      </w:r>
      <w:r w:rsidR="00FA340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should be distinguished from the </w:t>
      </w:r>
      <w:r>
        <w:rPr>
          <w:rFonts w:ascii="Arial" w:hAnsi="Arial" w:cs="Arial"/>
          <w:i/>
          <w:sz w:val="24"/>
          <w:szCs w:val="24"/>
        </w:rPr>
        <w:t xml:space="preserve">TPV Waiver Case </w:t>
      </w:r>
      <w:r>
        <w:rPr>
          <w:rFonts w:ascii="Arial" w:hAnsi="Arial" w:cs="Arial"/>
          <w:sz w:val="24"/>
          <w:szCs w:val="24"/>
        </w:rPr>
        <w:t xml:space="preserve">because </w:t>
      </w:r>
      <w:r w:rsidR="006F040D">
        <w:rPr>
          <w:rFonts w:ascii="Arial" w:hAnsi="Arial" w:cs="Arial"/>
          <w:sz w:val="24"/>
          <w:szCs w:val="24"/>
        </w:rPr>
        <w:t>t</w:t>
      </w:r>
      <w:r w:rsidR="00766D03">
        <w:rPr>
          <w:rFonts w:ascii="Arial" w:hAnsi="Arial" w:cs="Arial"/>
          <w:sz w:val="24"/>
          <w:szCs w:val="24"/>
        </w:rPr>
        <w:t xml:space="preserve">he waiver IGS obtained </w:t>
      </w:r>
      <w:r w:rsidR="00E1291F">
        <w:rPr>
          <w:rFonts w:ascii="Arial" w:hAnsi="Arial" w:cs="Arial"/>
          <w:sz w:val="24"/>
          <w:szCs w:val="24"/>
        </w:rPr>
        <w:t xml:space="preserve">is </w:t>
      </w:r>
      <w:r w:rsidR="00766D03">
        <w:rPr>
          <w:rFonts w:ascii="Arial" w:hAnsi="Arial" w:cs="Arial"/>
          <w:sz w:val="24"/>
          <w:szCs w:val="24"/>
        </w:rPr>
        <w:t xml:space="preserve">applicable only to the specific </w:t>
      </w:r>
      <w:r w:rsidR="00766D03">
        <w:rPr>
          <w:rFonts w:ascii="Arial" w:hAnsi="Arial" w:cs="Arial"/>
          <w:i/>
          <w:sz w:val="24"/>
          <w:szCs w:val="24"/>
        </w:rPr>
        <w:t xml:space="preserve">employee </w:t>
      </w:r>
      <w:r w:rsidR="00766D03">
        <w:rPr>
          <w:rFonts w:ascii="Arial" w:hAnsi="Arial" w:cs="Arial"/>
          <w:sz w:val="24"/>
          <w:szCs w:val="24"/>
        </w:rPr>
        <w:t xml:space="preserve">HEC Enrollment process outlined in </w:t>
      </w:r>
      <w:r w:rsidR="006F040D">
        <w:rPr>
          <w:rFonts w:ascii="Arial" w:hAnsi="Arial" w:cs="Arial"/>
          <w:sz w:val="24"/>
          <w:szCs w:val="24"/>
        </w:rPr>
        <w:t xml:space="preserve">IGS’ </w:t>
      </w:r>
      <w:r w:rsidR="00FA3407">
        <w:rPr>
          <w:rFonts w:ascii="Arial" w:hAnsi="Arial" w:cs="Arial"/>
          <w:sz w:val="24"/>
          <w:szCs w:val="24"/>
        </w:rPr>
        <w:t>a</w:t>
      </w:r>
      <w:r w:rsidR="006F040D">
        <w:rPr>
          <w:rFonts w:ascii="Arial" w:hAnsi="Arial" w:cs="Arial"/>
          <w:sz w:val="24"/>
          <w:szCs w:val="24"/>
        </w:rPr>
        <w:t>pplication.</w:t>
      </w:r>
      <w:r w:rsidR="00706CEE" w:rsidRPr="006F040D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6F040D" w:rsidRPr="006F040D">
        <w:rPr>
          <w:rFonts w:ascii="Arial" w:hAnsi="Arial" w:cs="Arial"/>
          <w:sz w:val="24"/>
          <w:szCs w:val="24"/>
        </w:rPr>
        <w:t xml:space="preserve"> </w:t>
      </w:r>
      <w:r w:rsidR="006F040D">
        <w:rPr>
          <w:rFonts w:ascii="Arial" w:hAnsi="Arial" w:cs="Arial"/>
          <w:sz w:val="24"/>
          <w:szCs w:val="24"/>
        </w:rPr>
        <w:t xml:space="preserve"> </w:t>
      </w:r>
      <w:r w:rsidR="006D3F2D">
        <w:rPr>
          <w:rFonts w:ascii="Arial" w:hAnsi="Arial" w:cs="Arial"/>
          <w:sz w:val="24"/>
          <w:szCs w:val="24"/>
        </w:rPr>
        <w:t xml:space="preserve">For that reason, the Commission should not rely upon the </w:t>
      </w:r>
      <w:r w:rsidR="006D3F2D">
        <w:rPr>
          <w:rFonts w:ascii="Arial" w:hAnsi="Arial" w:cs="Arial"/>
          <w:i/>
          <w:sz w:val="24"/>
          <w:szCs w:val="24"/>
        </w:rPr>
        <w:t xml:space="preserve">TPV Waiver Case </w:t>
      </w:r>
      <w:r w:rsidR="006D3F2D">
        <w:rPr>
          <w:rFonts w:ascii="Arial" w:hAnsi="Arial" w:cs="Arial"/>
          <w:sz w:val="24"/>
          <w:szCs w:val="24"/>
        </w:rPr>
        <w:t xml:space="preserve">for purposes of reviewing </w:t>
      </w:r>
      <w:r w:rsidR="000713B0">
        <w:rPr>
          <w:rFonts w:ascii="Arial" w:hAnsi="Arial" w:cs="Arial"/>
          <w:sz w:val="24"/>
          <w:szCs w:val="24"/>
        </w:rPr>
        <w:t xml:space="preserve">Star’s </w:t>
      </w:r>
      <w:r w:rsidR="00FA3407">
        <w:rPr>
          <w:rFonts w:ascii="Arial" w:hAnsi="Arial" w:cs="Arial"/>
          <w:sz w:val="24"/>
          <w:szCs w:val="24"/>
        </w:rPr>
        <w:t>a</w:t>
      </w:r>
      <w:r w:rsidR="000713B0">
        <w:rPr>
          <w:rFonts w:ascii="Arial" w:hAnsi="Arial" w:cs="Arial"/>
          <w:sz w:val="24"/>
          <w:szCs w:val="24"/>
        </w:rPr>
        <w:t xml:space="preserve">pplication </w:t>
      </w:r>
      <w:r w:rsidR="006D3F2D">
        <w:rPr>
          <w:rFonts w:ascii="Arial" w:hAnsi="Arial" w:cs="Arial"/>
          <w:sz w:val="24"/>
          <w:szCs w:val="24"/>
        </w:rPr>
        <w:t>in this proceeding</w:t>
      </w:r>
      <w:r w:rsidR="000713B0">
        <w:rPr>
          <w:rFonts w:ascii="Arial" w:hAnsi="Arial" w:cs="Arial"/>
          <w:sz w:val="24"/>
          <w:szCs w:val="24"/>
        </w:rPr>
        <w:t xml:space="preserve">.  Rather, the Commission should focus on whether Star’s </w:t>
      </w:r>
      <w:r w:rsidR="00FA3407">
        <w:rPr>
          <w:rFonts w:ascii="Arial" w:hAnsi="Arial" w:cs="Arial"/>
          <w:sz w:val="24"/>
          <w:szCs w:val="24"/>
        </w:rPr>
        <w:t>a</w:t>
      </w:r>
      <w:r w:rsidR="000713B0">
        <w:rPr>
          <w:rFonts w:ascii="Arial" w:hAnsi="Arial" w:cs="Arial"/>
          <w:sz w:val="24"/>
          <w:szCs w:val="24"/>
        </w:rPr>
        <w:t xml:space="preserve">pplication enhances the customer experience, discourages the potential for abuses, and is a suitable replacement for the traditional telephonic TPV.  </w:t>
      </w:r>
      <w:r w:rsidR="00950CBB">
        <w:rPr>
          <w:rFonts w:ascii="Arial" w:hAnsi="Arial" w:cs="Arial"/>
          <w:sz w:val="24"/>
          <w:szCs w:val="24"/>
        </w:rPr>
        <w:t xml:space="preserve">IGS believes that any application for waiver of the traditional TPV requirements should be at least as protective as the enrollment and verification process </w:t>
      </w:r>
      <w:r w:rsidR="00A10BDD">
        <w:rPr>
          <w:rFonts w:ascii="Arial" w:hAnsi="Arial" w:cs="Arial"/>
          <w:sz w:val="24"/>
          <w:szCs w:val="24"/>
        </w:rPr>
        <w:t xml:space="preserve">that </w:t>
      </w:r>
      <w:r w:rsidR="00950CBB">
        <w:rPr>
          <w:rFonts w:ascii="Arial" w:hAnsi="Arial" w:cs="Arial"/>
          <w:sz w:val="24"/>
          <w:szCs w:val="24"/>
        </w:rPr>
        <w:t xml:space="preserve">the Commission authorized in the </w:t>
      </w:r>
      <w:r w:rsidR="00950CBB">
        <w:rPr>
          <w:rFonts w:ascii="Arial" w:hAnsi="Arial" w:cs="Arial"/>
          <w:i/>
          <w:sz w:val="24"/>
          <w:szCs w:val="24"/>
        </w:rPr>
        <w:t>TPV Waiver Case</w:t>
      </w:r>
      <w:r w:rsidR="00950CBB">
        <w:rPr>
          <w:rFonts w:ascii="Arial" w:hAnsi="Arial" w:cs="Arial"/>
          <w:sz w:val="24"/>
          <w:szCs w:val="24"/>
        </w:rPr>
        <w:t>.</w:t>
      </w:r>
      <w:r w:rsidR="00A10BDD">
        <w:rPr>
          <w:rFonts w:ascii="Arial" w:hAnsi="Arial" w:cs="Arial"/>
          <w:sz w:val="24"/>
          <w:szCs w:val="24"/>
        </w:rPr>
        <w:t xml:space="preserve">  </w:t>
      </w:r>
      <w:r w:rsidR="0048371C">
        <w:rPr>
          <w:rFonts w:ascii="Arial" w:hAnsi="Arial" w:cs="Arial"/>
          <w:sz w:val="24"/>
          <w:szCs w:val="24"/>
        </w:rPr>
        <w:t xml:space="preserve">Accordingly, </w:t>
      </w:r>
      <w:r w:rsidR="00974711" w:rsidRPr="00F8546E">
        <w:rPr>
          <w:rFonts w:ascii="Arial" w:hAnsi="Arial" w:cs="Arial"/>
          <w:sz w:val="24"/>
          <w:szCs w:val="24"/>
        </w:rPr>
        <w:t>any</w:t>
      </w:r>
      <w:r w:rsidR="00974711">
        <w:rPr>
          <w:rFonts w:ascii="Arial" w:hAnsi="Arial" w:cs="Arial"/>
          <w:sz w:val="24"/>
          <w:szCs w:val="24"/>
        </w:rPr>
        <w:t xml:space="preserve"> </w:t>
      </w:r>
      <w:r w:rsidR="00F8546E">
        <w:rPr>
          <w:rFonts w:ascii="Arial" w:hAnsi="Arial" w:cs="Arial"/>
          <w:sz w:val="24"/>
          <w:szCs w:val="24"/>
        </w:rPr>
        <w:t xml:space="preserve">request for waiver of the traditional TVP </w:t>
      </w:r>
      <w:r w:rsidR="009760AC">
        <w:rPr>
          <w:rFonts w:ascii="Arial" w:hAnsi="Arial" w:cs="Arial"/>
          <w:sz w:val="24"/>
          <w:szCs w:val="24"/>
        </w:rPr>
        <w:t>requirements</w:t>
      </w:r>
      <w:r w:rsidR="00974711">
        <w:rPr>
          <w:rFonts w:ascii="Arial" w:hAnsi="Arial" w:cs="Arial"/>
          <w:sz w:val="24"/>
          <w:szCs w:val="24"/>
        </w:rPr>
        <w:t xml:space="preserve"> that </w:t>
      </w:r>
      <w:r w:rsidR="0065720C">
        <w:rPr>
          <w:rFonts w:ascii="Arial" w:hAnsi="Arial" w:cs="Arial"/>
          <w:sz w:val="24"/>
          <w:szCs w:val="24"/>
        </w:rPr>
        <w:t>falls short of utilizing an employee-based sales force to facilitate alternatives to the traditional door-to-door enrollment and verification model should be dismissed</w:t>
      </w:r>
      <w:r w:rsidR="00974711">
        <w:rPr>
          <w:rFonts w:ascii="Arial" w:hAnsi="Arial" w:cs="Arial"/>
          <w:sz w:val="24"/>
          <w:szCs w:val="24"/>
        </w:rPr>
        <w:t>.</w:t>
      </w:r>
    </w:p>
    <w:p w14:paraId="6FEEE047" w14:textId="3A1F056B" w:rsidR="0063507E" w:rsidRDefault="0063507E" w:rsidP="0063507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31FBD00" w14:textId="77777777" w:rsidR="0063507E" w:rsidRPr="00101EFE" w:rsidRDefault="0063507E" w:rsidP="0063507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967F2C4" w14:textId="37B987EA" w:rsidR="007810FF" w:rsidRDefault="007810FF" w:rsidP="007810F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CONCLUSION</w:t>
      </w:r>
    </w:p>
    <w:p w14:paraId="6E6BE216" w14:textId="516EE291" w:rsidR="0075631B" w:rsidRDefault="007810FF" w:rsidP="0075631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supports </w:t>
      </w:r>
      <w:r w:rsidR="00974711">
        <w:rPr>
          <w:rFonts w:ascii="Arial" w:hAnsi="Arial" w:cs="Arial"/>
          <w:sz w:val="24"/>
          <w:szCs w:val="24"/>
        </w:rPr>
        <w:t xml:space="preserve">any waiver filing that meets the stringent </w:t>
      </w:r>
      <w:r w:rsidR="008D6E24">
        <w:rPr>
          <w:rFonts w:ascii="Arial" w:hAnsi="Arial" w:cs="Arial"/>
          <w:sz w:val="24"/>
          <w:szCs w:val="24"/>
        </w:rPr>
        <w:t xml:space="preserve">employee-based </w:t>
      </w:r>
      <w:r w:rsidR="00974711">
        <w:rPr>
          <w:rFonts w:ascii="Arial" w:hAnsi="Arial" w:cs="Arial"/>
          <w:sz w:val="24"/>
          <w:szCs w:val="24"/>
        </w:rPr>
        <w:t xml:space="preserve">format it is required to follow.   </w:t>
      </w:r>
      <w:r w:rsidR="00E34B64">
        <w:rPr>
          <w:rFonts w:ascii="Arial" w:hAnsi="Arial" w:cs="Arial"/>
          <w:sz w:val="24"/>
          <w:szCs w:val="24"/>
        </w:rPr>
        <w:t xml:space="preserve">IGS appreciates the opportunity to provide Comments and encourages the Commission to require Star to utilize an internal sales force as a condition to approving its </w:t>
      </w:r>
      <w:r w:rsidR="00FA3407">
        <w:rPr>
          <w:rFonts w:ascii="Arial" w:hAnsi="Arial" w:cs="Arial"/>
          <w:sz w:val="24"/>
          <w:szCs w:val="24"/>
        </w:rPr>
        <w:t>Application</w:t>
      </w:r>
      <w:r w:rsidR="00E34B64">
        <w:rPr>
          <w:rFonts w:ascii="Arial" w:hAnsi="Arial" w:cs="Arial"/>
          <w:sz w:val="24"/>
          <w:szCs w:val="24"/>
        </w:rPr>
        <w:t xml:space="preserve"> in this proceeding. </w:t>
      </w:r>
    </w:p>
    <w:p w14:paraId="25F6AFF1" w14:textId="77777777" w:rsidR="0075631B" w:rsidRDefault="0075631B" w:rsidP="0075631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363606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6324132E" w14:textId="7780B096" w:rsidR="00363606" w:rsidRPr="00513FDF" w:rsidRDefault="00363606">
      <w:pPr>
        <w:spacing w:after="0" w:line="240" w:lineRule="auto"/>
        <w:ind w:left="5040"/>
        <w:rPr>
          <w:rFonts w:ascii="Arial" w:eastAsia="Calibri" w:hAnsi="Arial" w:cs="Arial"/>
          <w:i/>
          <w:sz w:val="24"/>
          <w:szCs w:val="24"/>
          <w:u w:val="single"/>
        </w:rPr>
      </w:pPr>
      <w:r w:rsidRPr="00513FDF">
        <w:rPr>
          <w:rFonts w:ascii="Arial" w:eastAsia="Calibri" w:hAnsi="Arial" w:cs="Arial"/>
          <w:i/>
          <w:sz w:val="24"/>
          <w:szCs w:val="24"/>
          <w:u w:val="single"/>
        </w:rPr>
        <w:t>/s/</w:t>
      </w:r>
      <w:r w:rsidR="00513FDF" w:rsidRPr="00513FDF">
        <w:rPr>
          <w:rFonts w:ascii="Arial" w:eastAsia="Calibri" w:hAnsi="Arial" w:cs="Arial"/>
          <w:i/>
          <w:sz w:val="24"/>
          <w:szCs w:val="24"/>
          <w:u w:val="single"/>
        </w:rPr>
        <w:t xml:space="preserve"> Michael Nugent</w:t>
      </w:r>
      <w:r w:rsidR="00513FDF" w:rsidRPr="00513FDF">
        <w:rPr>
          <w:rFonts w:ascii="Arial" w:eastAsia="Calibri" w:hAnsi="Arial" w:cs="Arial"/>
          <w:i/>
          <w:sz w:val="24"/>
          <w:szCs w:val="24"/>
          <w:u w:val="single"/>
        </w:rPr>
        <w:tab/>
      </w:r>
      <w:r w:rsidR="00513FDF" w:rsidRPr="00513FDF">
        <w:rPr>
          <w:rFonts w:ascii="Arial" w:eastAsia="Calibri" w:hAnsi="Arial" w:cs="Arial"/>
          <w:i/>
          <w:sz w:val="24"/>
          <w:szCs w:val="24"/>
          <w:u w:val="single"/>
        </w:rPr>
        <w:tab/>
      </w:r>
    </w:p>
    <w:p w14:paraId="215B9619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  <w:r w:rsidRPr="00363606">
        <w:rPr>
          <w:rFonts w:ascii="Arial" w:hAnsi="Arial" w:cs="Arial"/>
          <w:sz w:val="24"/>
          <w:szCs w:val="24"/>
        </w:rPr>
        <w:t xml:space="preserve"> (00</w:t>
      </w:r>
      <w:r>
        <w:rPr>
          <w:rFonts w:ascii="Arial" w:hAnsi="Arial" w:cs="Arial"/>
          <w:sz w:val="24"/>
          <w:szCs w:val="24"/>
        </w:rPr>
        <w:t>90408</w:t>
      </w:r>
      <w:r w:rsidRPr="00363606">
        <w:rPr>
          <w:rFonts w:ascii="Arial" w:hAnsi="Arial" w:cs="Arial"/>
          <w:sz w:val="24"/>
          <w:szCs w:val="24"/>
        </w:rPr>
        <w:t>)</w:t>
      </w:r>
    </w:p>
    <w:p w14:paraId="519A0623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Counsel of Record</w:t>
      </w:r>
    </w:p>
    <w:p w14:paraId="1CEA4A61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Email: </w:t>
      </w:r>
      <w:r w:rsidRPr="009428E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michael.nugent@igs.com</w:t>
      </w:r>
    </w:p>
    <w:p w14:paraId="633420A9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Joseph Oliker (0086088)</w:t>
      </w:r>
    </w:p>
    <w:p w14:paraId="61D5E0CA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joe.oliker</w:t>
      </w:r>
      <w:r w:rsidRPr="00363606">
        <w:rPr>
          <w:rFonts w:ascii="Arial" w:hAnsi="Arial" w:cs="Arial"/>
          <w:sz w:val="24"/>
          <w:szCs w:val="24"/>
        </w:rPr>
        <w:t>@igs.com</w:t>
      </w:r>
    </w:p>
    <w:p w14:paraId="651D86B6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IGS Energy</w:t>
      </w:r>
    </w:p>
    <w:p w14:paraId="38C5F272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6100 Emerald Parkway</w:t>
      </w:r>
    </w:p>
    <w:p w14:paraId="1CF2E2B2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Dublin, Ohio 43016</w:t>
      </w:r>
    </w:p>
    <w:p w14:paraId="2CEF93FE" w14:textId="77777777" w:rsidR="00513FDF" w:rsidRPr="00363606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Telephone:</w:t>
      </w:r>
      <w:r w:rsidRPr="00363606">
        <w:rPr>
          <w:rFonts w:ascii="Arial" w:hAnsi="Arial" w:cs="Arial"/>
          <w:sz w:val="24"/>
          <w:szCs w:val="24"/>
        </w:rPr>
        <w:tab/>
        <w:t>(614) 659-5000</w:t>
      </w:r>
    </w:p>
    <w:p w14:paraId="7E0D3C21" w14:textId="77777777" w:rsidR="00513FDF" w:rsidRPr="00526ADC" w:rsidRDefault="00513FDF" w:rsidP="00513FD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0E873834" w14:textId="77777777" w:rsidR="009121B4" w:rsidRDefault="009121B4" w:rsidP="009121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483D098" w14:textId="77777777" w:rsidR="009121B4" w:rsidRPr="00237730" w:rsidRDefault="009121B4" w:rsidP="009121B4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67D74ABC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513FDF">
        <w:rPr>
          <w:rFonts w:ascii="Arial" w:eastAsia="Calibri" w:hAnsi="Arial" w:cs="Arial"/>
          <w:i/>
          <w:sz w:val="24"/>
          <w:szCs w:val="24"/>
        </w:rPr>
        <w:t>Comments of Interstate Gas Supply, Inc</w:t>
      </w:r>
      <w:r w:rsidR="0003001D">
        <w:rPr>
          <w:rFonts w:ascii="Arial" w:eastAsia="Calibri" w:hAnsi="Arial" w:cs="Arial"/>
          <w:i/>
          <w:sz w:val="24"/>
          <w:szCs w:val="24"/>
        </w:rPr>
        <w:t>.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832D0B">
        <w:rPr>
          <w:rFonts w:ascii="Arial" w:eastAsia="Calibri" w:hAnsi="Arial" w:cs="Arial"/>
          <w:sz w:val="24"/>
          <w:szCs w:val="24"/>
        </w:rPr>
        <w:t>15th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513FDF">
        <w:rPr>
          <w:rFonts w:ascii="Arial" w:eastAsia="Calibri" w:hAnsi="Arial" w:cs="Arial"/>
          <w:sz w:val="24"/>
          <w:szCs w:val="24"/>
        </w:rPr>
        <w:t>August</w:t>
      </w:r>
      <w:r w:rsidR="008C7AC1">
        <w:rPr>
          <w:rFonts w:ascii="Arial" w:eastAsia="Calibri" w:hAnsi="Arial" w:cs="Arial"/>
          <w:sz w:val="24"/>
          <w:szCs w:val="24"/>
        </w:rPr>
        <w:t xml:space="preserve"> 201</w:t>
      </w:r>
      <w:r w:rsidR="00513FDF">
        <w:rPr>
          <w:rFonts w:ascii="Arial" w:eastAsia="Calibri" w:hAnsi="Arial" w:cs="Arial"/>
          <w:sz w:val="24"/>
          <w:szCs w:val="24"/>
        </w:rPr>
        <w:t>9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EC80BD" w14:textId="77777777" w:rsidR="0003001D" w:rsidRPr="0003001D" w:rsidRDefault="00030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B23AD" w14:textId="0C7B01B4" w:rsidR="0003001D" w:rsidRPr="0003001D" w:rsidRDefault="0003001D" w:rsidP="0003001D">
      <w:pPr>
        <w:spacing w:after="0" w:line="240" w:lineRule="auto"/>
        <w:ind w:left="5760"/>
        <w:rPr>
          <w:rFonts w:ascii="Arial" w:hAnsi="Arial" w:cs="Arial"/>
          <w:sz w:val="24"/>
          <w:szCs w:val="24"/>
          <w:u w:val="single"/>
        </w:rPr>
      </w:pPr>
      <w:r w:rsidRPr="0003001D">
        <w:rPr>
          <w:rFonts w:ascii="Arial" w:hAnsi="Arial" w:cs="Arial"/>
          <w:i/>
          <w:sz w:val="24"/>
          <w:szCs w:val="24"/>
          <w:u w:val="single"/>
        </w:rPr>
        <w:t xml:space="preserve">/s/ </w:t>
      </w:r>
      <w:r w:rsidR="00513FDF">
        <w:rPr>
          <w:rFonts w:ascii="Arial" w:hAnsi="Arial" w:cs="Arial"/>
          <w:i/>
          <w:sz w:val="24"/>
          <w:szCs w:val="24"/>
          <w:u w:val="single"/>
        </w:rPr>
        <w:t>Michael Nugent</w:t>
      </w:r>
      <w:r w:rsidRPr="0003001D">
        <w:rPr>
          <w:rFonts w:ascii="Arial" w:hAnsi="Arial" w:cs="Arial"/>
          <w:i/>
          <w:sz w:val="24"/>
          <w:szCs w:val="24"/>
          <w:u w:val="single"/>
        </w:rPr>
        <w:t>____</w:t>
      </w:r>
    </w:p>
    <w:p w14:paraId="3AF486AE" w14:textId="5ADCA078" w:rsidR="0003001D" w:rsidRDefault="00513FDF" w:rsidP="0003001D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</w:p>
    <w:p w14:paraId="5D050517" w14:textId="24A139F8" w:rsidR="00513FDF" w:rsidRDefault="00513FDF" w:rsidP="0003001D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14:paraId="5839A72C" w14:textId="77777777" w:rsidR="00513FDF" w:rsidRPr="0003001D" w:rsidRDefault="00513FDF" w:rsidP="00513FDF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14:paraId="49B16ED2" w14:textId="4EE206DB" w:rsidR="0003001D" w:rsidRDefault="00667D1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1D5819" w:rsidRPr="005049CF">
          <w:rPr>
            <w:rStyle w:val="Hyperlink"/>
            <w:rFonts w:ascii="Arial" w:hAnsi="Arial" w:cs="Arial"/>
            <w:sz w:val="24"/>
            <w:szCs w:val="24"/>
          </w:rPr>
          <w:t>terry.etter@occ.ohio.gov</w:t>
        </w:r>
      </w:hyperlink>
    </w:p>
    <w:p w14:paraId="46D6F9A9" w14:textId="72AFCFA1" w:rsidR="00513FDF" w:rsidRDefault="0075631B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0B01F3">
          <w:rPr>
            <w:rStyle w:val="Hyperlink"/>
            <w:rFonts w:ascii="Arial" w:hAnsi="Arial" w:cs="Arial"/>
            <w:sz w:val="24"/>
            <w:szCs w:val="24"/>
          </w:rPr>
          <w:t>steven.beeler@ohioattorneygeneral.gov</w:t>
        </w:r>
      </w:hyperlink>
    </w:p>
    <w:p w14:paraId="5DBD460D" w14:textId="58C38C85" w:rsidR="0075631B" w:rsidRDefault="0075631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0B01F3">
          <w:rPr>
            <w:rStyle w:val="Hyperlink"/>
            <w:rFonts w:ascii="Arial" w:hAnsi="Arial" w:cs="Arial"/>
            <w:sz w:val="24"/>
            <w:szCs w:val="24"/>
          </w:rPr>
          <w:t>andrew.shaffer</w:t>
        </w:r>
        <w:r w:rsidRPr="000B01F3">
          <w:rPr>
            <w:rStyle w:val="Hyperlink"/>
            <w:rFonts w:ascii="Arial" w:hAnsi="Arial" w:cs="Arial"/>
            <w:sz w:val="24"/>
            <w:szCs w:val="24"/>
          </w:rPr>
          <w:t>@ohioattorneygeneral.gov</w:t>
        </w:r>
      </w:hyperlink>
    </w:p>
    <w:p w14:paraId="6F0DE391" w14:textId="502DE05E" w:rsidR="00513FDF" w:rsidRDefault="00667D1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513FDF" w:rsidRPr="005049CF">
          <w:rPr>
            <w:rStyle w:val="Hyperlink"/>
            <w:rFonts w:ascii="Arial" w:hAnsi="Arial" w:cs="Arial"/>
            <w:sz w:val="24"/>
            <w:szCs w:val="24"/>
          </w:rPr>
          <w:t>dstinson@bricker.com</w:t>
        </w:r>
      </w:hyperlink>
    </w:p>
    <w:p w14:paraId="0B0543B4" w14:textId="3C8C1624" w:rsidR="001D5819" w:rsidRDefault="00667D1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1D5819" w:rsidRPr="005049CF">
          <w:rPr>
            <w:rStyle w:val="Hyperlink"/>
            <w:rFonts w:ascii="Arial" w:hAnsi="Arial" w:cs="Arial"/>
            <w:sz w:val="24"/>
            <w:szCs w:val="24"/>
          </w:rPr>
          <w:t>stacie.cathcart@puco.ohio.gov</w:t>
        </w:r>
      </w:hyperlink>
    </w:p>
    <w:p w14:paraId="05D88542" w14:textId="77777777" w:rsidR="001D5819" w:rsidRDefault="001D5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144D0" w14:textId="77777777" w:rsidR="00513FDF" w:rsidRPr="00513FDF" w:rsidRDefault="00513FD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3FDF" w:rsidRPr="00513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4B1D" w14:textId="77777777" w:rsidR="00667D11" w:rsidRDefault="00667D11">
      <w:pPr>
        <w:spacing w:after="0" w:line="240" w:lineRule="auto"/>
      </w:pPr>
      <w:r>
        <w:separator/>
      </w:r>
    </w:p>
  </w:endnote>
  <w:endnote w:type="continuationSeparator" w:id="0">
    <w:p w14:paraId="060DBF27" w14:textId="77777777" w:rsidR="00667D11" w:rsidRDefault="0066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B7B2" w14:textId="77777777" w:rsidR="00DC01BC" w:rsidRDefault="00DC0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FABE" w14:textId="77777777" w:rsidR="00DC01BC" w:rsidRDefault="00DC0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9C6B6" w14:textId="77777777" w:rsidR="00667D11" w:rsidRDefault="00667D11">
      <w:pPr>
        <w:spacing w:after="0" w:line="240" w:lineRule="auto"/>
      </w:pPr>
      <w:r>
        <w:separator/>
      </w:r>
    </w:p>
  </w:footnote>
  <w:footnote w:type="continuationSeparator" w:id="0">
    <w:p w14:paraId="14CFD4D2" w14:textId="77777777" w:rsidR="00667D11" w:rsidRDefault="00667D11">
      <w:pPr>
        <w:spacing w:after="0" w:line="240" w:lineRule="auto"/>
      </w:pPr>
      <w:r>
        <w:continuationSeparator/>
      </w:r>
    </w:p>
  </w:footnote>
  <w:footnote w:id="1">
    <w:p w14:paraId="3B39B2B2" w14:textId="057BD451" w:rsidR="005963CE" w:rsidRPr="00FF13C8" w:rsidRDefault="005963CE" w:rsidP="00D86EBA">
      <w:pPr>
        <w:pStyle w:val="FootnoteText"/>
        <w:jc w:val="both"/>
        <w:rPr>
          <w:rFonts w:ascii="Arial" w:hAnsi="Arial" w:cs="Arial"/>
        </w:rPr>
      </w:pPr>
      <w:r w:rsidRPr="00FF13C8">
        <w:rPr>
          <w:rStyle w:val="FootnoteReference"/>
          <w:rFonts w:ascii="Arial" w:hAnsi="Arial" w:cs="Arial"/>
        </w:rPr>
        <w:footnoteRef/>
      </w:r>
      <w:r w:rsidRPr="00FF13C8">
        <w:rPr>
          <w:rFonts w:ascii="Arial" w:hAnsi="Arial" w:cs="Arial"/>
        </w:rPr>
        <w:t xml:space="preserve"> </w:t>
      </w:r>
      <w:r w:rsidRPr="00FF13C8">
        <w:rPr>
          <w:rFonts w:ascii="Arial" w:hAnsi="Arial" w:cs="Arial"/>
          <w:i/>
        </w:rPr>
        <w:t>In the Matter of the Application of Star Energy Partners, LLC for a Partial Waiver of Rule 4901:1-21-06(D)(1)(h) of the Ohio Administrative Code</w:t>
      </w:r>
      <w:r w:rsidR="00D86EBA" w:rsidRPr="00FF13C8">
        <w:rPr>
          <w:rFonts w:ascii="Arial" w:hAnsi="Arial" w:cs="Arial"/>
        </w:rPr>
        <w:t>, Case No. 17-2398-EL-WVR</w:t>
      </w:r>
      <w:r w:rsidR="00A65F4C" w:rsidRPr="00FF13C8">
        <w:rPr>
          <w:rFonts w:ascii="Arial" w:hAnsi="Arial" w:cs="Arial"/>
        </w:rPr>
        <w:t>,</w:t>
      </w:r>
      <w:r w:rsidR="00D86EBA" w:rsidRPr="00FF13C8">
        <w:rPr>
          <w:rFonts w:ascii="Arial" w:hAnsi="Arial" w:cs="Arial"/>
          <w:i/>
        </w:rPr>
        <w:t xml:space="preserve"> </w:t>
      </w:r>
      <w:r w:rsidR="00D86EBA" w:rsidRPr="00FF13C8">
        <w:rPr>
          <w:rFonts w:ascii="Arial" w:hAnsi="Arial" w:cs="Arial"/>
        </w:rPr>
        <w:t>at 3 (Nov</w:t>
      </w:r>
      <w:r w:rsidR="005A6E6A">
        <w:rPr>
          <w:rFonts w:ascii="Arial" w:hAnsi="Arial" w:cs="Arial"/>
        </w:rPr>
        <w:t>.</w:t>
      </w:r>
      <w:r w:rsidR="00D86EBA" w:rsidRPr="00FF13C8">
        <w:rPr>
          <w:rFonts w:ascii="Arial" w:hAnsi="Arial" w:cs="Arial"/>
        </w:rPr>
        <w:t xml:space="preserve"> 21, 2017)</w:t>
      </w:r>
      <w:r w:rsidR="00AC1807" w:rsidRPr="00FF13C8">
        <w:rPr>
          <w:rFonts w:ascii="Arial" w:hAnsi="Arial" w:cs="Arial"/>
        </w:rPr>
        <w:t xml:space="preserve"> (hereinafter “Application”)</w:t>
      </w:r>
      <w:r w:rsidR="00D86EBA" w:rsidRPr="00FF13C8">
        <w:rPr>
          <w:rFonts w:ascii="Arial" w:hAnsi="Arial" w:cs="Arial"/>
        </w:rPr>
        <w:t>.</w:t>
      </w:r>
    </w:p>
    <w:p w14:paraId="7A1A7285" w14:textId="77777777" w:rsidR="005E1073" w:rsidRPr="00D86EBA" w:rsidRDefault="005E1073" w:rsidP="00D86EBA">
      <w:pPr>
        <w:pStyle w:val="FootnoteText"/>
        <w:jc w:val="both"/>
      </w:pPr>
    </w:p>
  </w:footnote>
  <w:footnote w:id="2">
    <w:p w14:paraId="506766EA" w14:textId="7718517F" w:rsidR="00EF3E58" w:rsidRDefault="00EF3E58">
      <w:pPr>
        <w:pStyle w:val="FootnoteText"/>
        <w:rPr>
          <w:rFonts w:ascii="Arial" w:hAnsi="Arial" w:cs="Arial"/>
        </w:rPr>
      </w:pPr>
      <w:r w:rsidRPr="005406E1">
        <w:rPr>
          <w:rStyle w:val="FootnoteReference"/>
          <w:rFonts w:ascii="Arial" w:hAnsi="Arial" w:cs="Arial"/>
        </w:rPr>
        <w:footnoteRef/>
      </w:r>
      <w:r w:rsidRPr="005406E1">
        <w:rPr>
          <w:rFonts w:ascii="Arial" w:hAnsi="Arial" w:cs="Arial"/>
        </w:rPr>
        <w:t xml:space="preserve"> </w:t>
      </w:r>
      <w:r w:rsidR="00C21CB2">
        <w:rPr>
          <w:rFonts w:ascii="Arial" w:hAnsi="Arial" w:cs="Arial"/>
        </w:rPr>
        <w:t>Application at 6</w:t>
      </w:r>
      <w:r w:rsidR="00C21CB2">
        <w:rPr>
          <w:rFonts w:ascii="Arial" w:hAnsi="Arial" w:cs="Arial"/>
          <w:i/>
        </w:rPr>
        <w:t xml:space="preserve"> </w:t>
      </w:r>
      <w:r w:rsidR="00C21CB2">
        <w:rPr>
          <w:rFonts w:ascii="Arial" w:hAnsi="Arial" w:cs="Arial"/>
        </w:rPr>
        <w:t>(citing</w:t>
      </w:r>
      <w:r w:rsidR="00C21CB2" w:rsidRPr="005406E1">
        <w:rPr>
          <w:rFonts w:ascii="Arial" w:hAnsi="Arial" w:cs="Arial"/>
          <w:i/>
        </w:rPr>
        <w:t xml:space="preserve"> </w:t>
      </w:r>
      <w:proofErr w:type="gramStart"/>
      <w:r w:rsidR="00C21CB2" w:rsidRPr="005406E1">
        <w:rPr>
          <w:rFonts w:ascii="Arial" w:hAnsi="Arial" w:cs="Arial"/>
          <w:i/>
        </w:rPr>
        <w:t>In</w:t>
      </w:r>
      <w:proofErr w:type="gramEnd"/>
      <w:r w:rsidR="00C21CB2" w:rsidRPr="005406E1">
        <w:rPr>
          <w:rFonts w:ascii="Arial" w:hAnsi="Arial" w:cs="Arial"/>
          <w:i/>
        </w:rPr>
        <w:t xml:space="preserve"> re Application of Interstate Gas Supply, Inc. for a Waiver of Ohio Admin. Code 4901:1-29-06(D)(6)(b) and 4901:1-21-06(D)(1)(h)</w:t>
      </w:r>
      <w:r w:rsidR="00C21CB2" w:rsidRPr="005406E1">
        <w:rPr>
          <w:rFonts w:ascii="Arial" w:hAnsi="Arial" w:cs="Arial"/>
        </w:rPr>
        <w:t xml:space="preserve">, Case Nos. 14-1740-GA-WVR, </w:t>
      </w:r>
      <w:r w:rsidR="00C21CB2" w:rsidRPr="005406E1">
        <w:rPr>
          <w:rFonts w:ascii="Arial" w:hAnsi="Arial" w:cs="Arial"/>
          <w:i/>
        </w:rPr>
        <w:t>et</w:t>
      </w:r>
      <w:r w:rsidR="00C21CB2" w:rsidRPr="005406E1">
        <w:rPr>
          <w:rFonts w:ascii="Arial" w:hAnsi="Arial" w:cs="Arial"/>
        </w:rPr>
        <w:t xml:space="preserve"> </w:t>
      </w:r>
      <w:r w:rsidR="00C21CB2" w:rsidRPr="005406E1">
        <w:rPr>
          <w:rFonts w:ascii="Arial" w:hAnsi="Arial" w:cs="Arial"/>
          <w:i/>
        </w:rPr>
        <w:t>al.</w:t>
      </w:r>
      <w:r w:rsidR="00C21CB2" w:rsidRPr="005406E1">
        <w:rPr>
          <w:rFonts w:ascii="Arial" w:hAnsi="Arial" w:cs="Arial"/>
        </w:rPr>
        <w:t>, Finding and Order (Nov. 20, 2014) (hereinafter “</w:t>
      </w:r>
      <w:r w:rsidR="00C21CB2" w:rsidRPr="005406E1">
        <w:rPr>
          <w:rFonts w:ascii="Arial" w:hAnsi="Arial" w:cs="Arial"/>
          <w:i/>
        </w:rPr>
        <w:t>TPV Waiver Case</w:t>
      </w:r>
      <w:r w:rsidR="00C21CB2" w:rsidRPr="005406E1">
        <w:rPr>
          <w:rFonts w:ascii="Arial" w:hAnsi="Arial" w:cs="Arial"/>
        </w:rPr>
        <w:t>”)</w:t>
      </w:r>
      <w:r w:rsidR="00C21CB2">
        <w:rPr>
          <w:rFonts w:ascii="Arial" w:hAnsi="Arial" w:cs="Arial"/>
        </w:rPr>
        <w:t>)</w:t>
      </w:r>
      <w:r w:rsidR="00C21CB2" w:rsidRPr="005406E1">
        <w:rPr>
          <w:rFonts w:ascii="Arial" w:hAnsi="Arial" w:cs="Arial"/>
        </w:rPr>
        <w:t>.</w:t>
      </w:r>
      <w:r w:rsidR="00C21CB2">
        <w:t xml:space="preserve">  </w:t>
      </w:r>
    </w:p>
    <w:p w14:paraId="3E3C3927" w14:textId="77777777" w:rsidR="00C21CB2" w:rsidRPr="005406E1" w:rsidRDefault="00C21CB2">
      <w:pPr>
        <w:pStyle w:val="FootnoteText"/>
        <w:rPr>
          <w:rFonts w:ascii="Arial" w:hAnsi="Arial" w:cs="Arial"/>
        </w:rPr>
      </w:pPr>
    </w:p>
  </w:footnote>
  <w:footnote w:id="3">
    <w:p w14:paraId="7CD2F7BE" w14:textId="77777777" w:rsidR="00D9316E" w:rsidRPr="00D9316E" w:rsidRDefault="00D9316E">
      <w:pPr>
        <w:pStyle w:val="FootnoteText"/>
        <w:rPr>
          <w:rFonts w:ascii="Arial" w:hAnsi="Arial" w:cs="Arial"/>
        </w:rPr>
      </w:pPr>
      <w:r w:rsidRPr="00D9316E">
        <w:rPr>
          <w:rStyle w:val="FootnoteReference"/>
          <w:rFonts w:ascii="Arial" w:hAnsi="Arial" w:cs="Arial"/>
        </w:rPr>
        <w:footnoteRef/>
      </w:r>
      <w:r w:rsidRPr="00D9316E">
        <w:rPr>
          <w:rFonts w:ascii="Arial" w:hAnsi="Arial" w:cs="Arial"/>
        </w:rPr>
        <w:t xml:space="preserve"> </w:t>
      </w:r>
      <w:r w:rsidRPr="00D9316E">
        <w:rPr>
          <w:rFonts w:ascii="Arial" w:hAnsi="Arial" w:cs="Arial"/>
          <w:i/>
        </w:rPr>
        <w:t>TPV Waiver Case</w:t>
      </w:r>
      <w:r w:rsidRPr="00D9316E">
        <w:rPr>
          <w:rFonts w:ascii="Arial" w:hAnsi="Arial" w:cs="Arial"/>
        </w:rPr>
        <w:t xml:space="preserve">, Finding and Order (Nov. 20, 2014). </w:t>
      </w:r>
    </w:p>
    <w:p w14:paraId="48403908" w14:textId="3D22D85B" w:rsidR="00D9316E" w:rsidRPr="00D9316E" w:rsidRDefault="00D9316E">
      <w:pPr>
        <w:pStyle w:val="FootnoteText"/>
      </w:pPr>
      <w:r>
        <w:t xml:space="preserve"> </w:t>
      </w:r>
    </w:p>
  </w:footnote>
  <w:footnote w:id="4">
    <w:p w14:paraId="0750E7A0" w14:textId="47CD5784" w:rsidR="00A4211B" w:rsidRPr="00D35529" w:rsidRDefault="00A4211B">
      <w:pPr>
        <w:pStyle w:val="FootnoteText"/>
        <w:rPr>
          <w:rFonts w:ascii="Arial" w:hAnsi="Arial" w:cs="Arial"/>
        </w:rPr>
      </w:pPr>
      <w:r w:rsidRPr="00D35529">
        <w:rPr>
          <w:rStyle w:val="FootnoteReference"/>
          <w:rFonts w:ascii="Arial" w:hAnsi="Arial" w:cs="Arial"/>
        </w:rPr>
        <w:footnoteRef/>
      </w:r>
      <w:r w:rsidRPr="00D35529">
        <w:rPr>
          <w:rFonts w:ascii="Arial" w:hAnsi="Arial" w:cs="Arial"/>
        </w:rPr>
        <w:t xml:space="preserve"> </w:t>
      </w:r>
      <w:r w:rsidRPr="00D35529">
        <w:rPr>
          <w:rFonts w:ascii="Arial" w:hAnsi="Arial" w:cs="Arial"/>
          <w:i/>
        </w:rPr>
        <w:t>TPV Waiver Case</w:t>
      </w:r>
      <w:r w:rsidRPr="00D35529">
        <w:rPr>
          <w:rFonts w:ascii="Arial" w:hAnsi="Arial" w:cs="Arial"/>
        </w:rPr>
        <w:t xml:space="preserve">, Application at 3 (Oct. 1, 2014).  </w:t>
      </w:r>
    </w:p>
    <w:p w14:paraId="6B89718E" w14:textId="77777777" w:rsidR="00A4211B" w:rsidRDefault="00A4211B">
      <w:pPr>
        <w:pStyle w:val="FootnoteText"/>
      </w:pPr>
    </w:p>
  </w:footnote>
  <w:footnote w:id="5">
    <w:p w14:paraId="18B630FD" w14:textId="3390C8FF" w:rsidR="001E10F4" w:rsidRDefault="001E10F4">
      <w:pPr>
        <w:pStyle w:val="FootnoteText"/>
        <w:rPr>
          <w:rFonts w:ascii="Arial" w:hAnsi="Arial" w:cs="Arial"/>
        </w:rPr>
      </w:pPr>
      <w:r w:rsidRPr="001E10F4">
        <w:rPr>
          <w:rStyle w:val="FootnoteReference"/>
          <w:rFonts w:ascii="Arial" w:hAnsi="Arial" w:cs="Arial"/>
        </w:rPr>
        <w:footnoteRef/>
      </w:r>
      <w:r w:rsidRPr="001E10F4">
        <w:rPr>
          <w:rFonts w:ascii="Arial" w:hAnsi="Arial" w:cs="Arial"/>
        </w:rPr>
        <w:t xml:space="preserve"> </w:t>
      </w:r>
      <w:r w:rsidRPr="001E10F4">
        <w:rPr>
          <w:rFonts w:ascii="Arial" w:hAnsi="Arial" w:cs="Arial"/>
          <w:i/>
        </w:rPr>
        <w:t>TPV Waiver Case</w:t>
      </w:r>
      <w:r w:rsidRPr="001E10F4">
        <w:rPr>
          <w:rFonts w:ascii="Arial" w:hAnsi="Arial" w:cs="Arial"/>
        </w:rPr>
        <w:t xml:space="preserve">, Memorandum Contra the Office of the Ohio Consumers’ Counsel’s Application for Rehearing, at 2 (January 2, 2015).  </w:t>
      </w:r>
    </w:p>
    <w:p w14:paraId="547BB22E" w14:textId="77777777" w:rsidR="003E5C2F" w:rsidRPr="001E10F4" w:rsidRDefault="003E5C2F">
      <w:pPr>
        <w:pStyle w:val="FootnoteText"/>
        <w:rPr>
          <w:rFonts w:ascii="Arial" w:hAnsi="Arial" w:cs="Arial"/>
        </w:rPr>
      </w:pPr>
    </w:p>
  </w:footnote>
  <w:footnote w:id="6">
    <w:p w14:paraId="5C5BE9DA" w14:textId="1AA24DFC" w:rsidR="003E5C2F" w:rsidRDefault="003E5C2F">
      <w:pPr>
        <w:pStyle w:val="FootnoteText"/>
        <w:rPr>
          <w:rFonts w:ascii="Arial" w:hAnsi="Arial" w:cs="Arial"/>
        </w:rPr>
      </w:pPr>
      <w:r w:rsidRPr="005156D7">
        <w:rPr>
          <w:rStyle w:val="FootnoteReference"/>
          <w:rFonts w:ascii="Arial" w:hAnsi="Arial" w:cs="Arial"/>
        </w:rPr>
        <w:footnoteRef/>
      </w:r>
      <w:r w:rsidRPr="005156D7">
        <w:rPr>
          <w:rFonts w:ascii="Arial" w:hAnsi="Arial" w:cs="Arial"/>
        </w:rPr>
        <w:t xml:space="preserve"> </w:t>
      </w:r>
      <w:r w:rsidR="00792192" w:rsidRPr="005156D7">
        <w:rPr>
          <w:rFonts w:ascii="Arial" w:hAnsi="Arial" w:cs="Arial"/>
          <w:i/>
        </w:rPr>
        <w:t>TPV Waiver Case</w:t>
      </w:r>
      <w:r w:rsidR="00792192" w:rsidRPr="005156D7">
        <w:rPr>
          <w:rFonts w:ascii="Arial" w:hAnsi="Arial" w:cs="Arial"/>
        </w:rPr>
        <w:t xml:space="preserve">, Finding and Order at 3, </w:t>
      </w:r>
      <w:r w:rsidR="005156D7" w:rsidRPr="005156D7">
        <w:rPr>
          <w:rFonts w:ascii="Arial" w:hAnsi="Arial" w:cs="Arial"/>
        </w:rPr>
        <w:t>(Nov. 20, 2014).</w:t>
      </w:r>
    </w:p>
    <w:p w14:paraId="5F9677F7" w14:textId="77777777" w:rsidR="007F1C8E" w:rsidRPr="005156D7" w:rsidRDefault="007F1C8E">
      <w:pPr>
        <w:pStyle w:val="FootnoteText"/>
        <w:rPr>
          <w:rFonts w:ascii="Arial" w:hAnsi="Arial" w:cs="Arial"/>
        </w:rPr>
      </w:pPr>
    </w:p>
  </w:footnote>
  <w:footnote w:id="7">
    <w:p w14:paraId="76C2CEBF" w14:textId="7A14AA93" w:rsidR="007F1C8E" w:rsidRPr="007F1C8E" w:rsidRDefault="007F1C8E">
      <w:pPr>
        <w:pStyle w:val="FootnoteText"/>
        <w:rPr>
          <w:rFonts w:ascii="Arial" w:hAnsi="Arial" w:cs="Arial"/>
        </w:rPr>
      </w:pPr>
      <w:r w:rsidRPr="007F1C8E">
        <w:rPr>
          <w:rStyle w:val="FootnoteReference"/>
          <w:rFonts w:ascii="Arial" w:hAnsi="Arial" w:cs="Arial"/>
        </w:rPr>
        <w:footnoteRef/>
      </w:r>
      <w:r w:rsidRPr="007F1C8E">
        <w:rPr>
          <w:rFonts w:ascii="Arial" w:hAnsi="Arial" w:cs="Arial"/>
        </w:rPr>
        <w:t xml:space="preserve"> Application at 5.  </w:t>
      </w:r>
    </w:p>
  </w:footnote>
  <w:footnote w:id="8">
    <w:p w14:paraId="075DE972" w14:textId="3992A3F0" w:rsidR="00706CEE" w:rsidRPr="00706CEE" w:rsidRDefault="00706CEE">
      <w:pPr>
        <w:pStyle w:val="FootnoteText"/>
        <w:rPr>
          <w:rFonts w:ascii="Arial" w:hAnsi="Arial" w:cs="Arial"/>
        </w:rPr>
      </w:pPr>
      <w:r w:rsidRPr="00706CEE">
        <w:rPr>
          <w:rStyle w:val="FootnoteReference"/>
          <w:rFonts w:ascii="Arial" w:hAnsi="Arial" w:cs="Arial"/>
        </w:rPr>
        <w:footnoteRef/>
      </w:r>
      <w:r w:rsidRPr="00706CEE">
        <w:rPr>
          <w:rFonts w:ascii="Arial" w:hAnsi="Arial" w:cs="Arial"/>
        </w:rPr>
        <w:t xml:space="preserve"> </w:t>
      </w:r>
      <w:r w:rsidRPr="00706CEE">
        <w:rPr>
          <w:rFonts w:ascii="Arial" w:hAnsi="Arial" w:cs="Arial"/>
          <w:i/>
        </w:rPr>
        <w:t>TPV Waiver Case</w:t>
      </w:r>
      <w:r w:rsidRPr="00706CEE">
        <w:rPr>
          <w:rFonts w:ascii="Arial" w:hAnsi="Arial" w:cs="Arial"/>
        </w:rPr>
        <w:t>, Finding and Order (Nov. 20, 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5DF8" w14:textId="77777777" w:rsidR="00DC01BC" w:rsidRDefault="00DC0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0F41" w14:textId="77777777" w:rsidR="00DC01BC" w:rsidRDefault="00DC0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78F"/>
    <w:multiLevelType w:val="hybridMultilevel"/>
    <w:tmpl w:val="7E3AFC88"/>
    <w:lvl w:ilvl="0" w:tplc="975630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05C61"/>
    <w:multiLevelType w:val="hybridMultilevel"/>
    <w:tmpl w:val="7CC4EA64"/>
    <w:lvl w:ilvl="0" w:tplc="447A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2564"/>
    <w:rsid w:val="000035F3"/>
    <w:rsid w:val="000036B9"/>
    <w:rsid w:val="000205F5"/>
    <w:rsid w:val="0003001D"/>
    <w:rsid w:val="000359ED"/>
    <w:rsid w:val="00037FB6"/>
    <w:rsid w:val="000447AC"/>
    <w:rsid w:val="00052C92"/>
    <w:rsid w:val="00053503"/>
    <w:rsid w:val="000553CD"/>
    <w:rsid w:val="0005644E"/>
    <w:rsid w:val="000713B0"/>
    <w:rsid w:val="000A4AE4"/>
    <w:rsid w:val="000B223F"/>
    <w:rsid w:val="000B3615"/>
    <w:rsid w:val="000B45C7"/>
    <w:rsid w:val="000B7B85"/>
    <w:rsid w:val="000C3D17"/>
    <w:rsid w:val="000D0D35"/>
    <w:rsid w:val="000E1771"/>
    <w:rsid w:val="000E4186"/>
    <w:rsid w:val="000F770E"/>
    <w:rsid w:val="001002EE"/>
    <w:rsid w:val="00101EFE"/>
    <w:rsid w:val="00106D04"/>
    <w:rsid w:val="00117079"/>
    <w:rsid w:val="00121836"/>
    <w:rsid w:val="00124D9F"/>
    <w:rsid w:val="001272B6"/>
    <w:rsid w:val="001557FF"/>
    <w:rsid w:val="00160AD7"/>
    <w:rsid w:val="00173783"/>
    <w:rsid w:val="001763A0"/>
    <w:rsid w:val="00176D11"/>
    <w:rsid w:val="001825E5"/>
    <w:rsid w:val="00183AB7"/>
    <w:rsid w:val="00187507"/>
    <w:rsid w:val="001967A9"/>
    <w:rsid w:val="001A69D6"/>
    <w:rsid w:val="001B0944"/>
    <w:rsid w:val="001B0949"/>
    <w:rsid w:val="001B4457"/>
    <w:rsid w:val="001D5819"/>
    <w:rsid w:val="001E10F4"/>
    <w:rsid w:val="001E2D90"/>
    <w:rsid w:val="001F2487"/>
    <w:rsid w:val="001F30A8"/>
    <w:rsid w:val="002005FA"/>
    <w:rsid w:val="002041E7"/>
    <w:rsid w:val="00211773"/>
    <w:rsid w:val="00212603"/>
    <w:rsid w:val="00220995"/>
    <w:rsid w:val="00231B62"/>
    <w:rsid w:val="00233E50"/>
    <w:rsid w:val="00237730"/>
    <w:rsid w:val="0024008B"/>
    <w:rsid w:val="00240FFB"/>
    <w:rsid w:val="00242E52"/>
    <w:rsid w:val="00244BF2"/>
    <w:rsid w:val="0024588F"/>
    <w:rsid w:val="00247829"/>
    <w:rsid w:val="00250777"/>
    <w:rsid w:val="00251DD1"/>
    <w:rsid w:val="00255472"/>
    <w:rsid w:val="0026046D"/>
    <w:rsid w:val="00267707"/>
    <w:rsid w:val="002725B6"/>
    <w:rsid w:val="00281E09"/>
    <w:rsid w:val="00282A82"/>
    <w:rsid w:val="002871D5"/>
    <w:rsid w:val="00292C7B"/>
    <w:rsid w:val="0029741D"/>
    <w:rsid w:val="002B5B11"/>
    <w:rsid w:val="002B7F6F"/>
    <w:rsid w:val="002D4C5E"/>
    <w:rsid w:val="002D760B"/>
    <w:rsid w:val="002E246B"/>
    <w:rsid w:val="002F021F"/>
    <w:rsid w:val="002F05DC"/>
    <w:rsid w:val="002F22A0"/>
    <w:rsid w:val="002F67DA"/>
    <w:rsid w:val="002F6BC3"/>
    <w:rsid w:val="002F7871"/>
    <w:rsid w:val="003069E6"/>
    <w:rsid w:val="0031140F"/>
    <w:rsid w:val="00335A7D"/>
    <w:rsid w:val="003372F0"/>
    <w:rsid w:val="003420BA"/>
    <w:rsid w:val="00347CB3"/>
    <w:rsid w:val="00351910"/>
    <w:rsid w:val="003524C1"/>
    <w:rsid w:val="003537A9"/>
    <w:rsid w:val="00355B90"/>
    <w:rsid w:val="003576E0"/>
    <w:rsid w:val="00361B5B"/>
    <w:rsid w:val="00363606"/>
    <w:rsid w:val="003648FB"/>
    <w:rsid w:val="003714E3"/>
    <w:rsid w:val="0037169A"/>
    <w:rsid w:val="003954F7"/>
    <w:rsid w:val="003B1620"/>
    <w:rsid w:val="003B1CA8"/>
    <w:rsid w:val="003C0618"/>
    <w:rsid w:val="003C11D0"/>
    <w:rsid w:val="003C2DD3"/>
    <w:rsid w:val="003D63AC"/>
    <w:rsid w:val="003E5C2F"/>
    <w:rsid w:val="003F1346"/>
    <w:rsid w:val="003F4FC2"/>
    <w:rsid w:val="00401E53"/>
    <w:rsid w:val="004104C4"/>
    <w:rsid w:val="00424D79"/>
    <w:rsid w:val="00425BAF"/>
    <w:rsid w:val="00433AC3"/>
    <w:rsid w:val="00434DC1"/>
    <w:rsid w:val="00434FA3"/>
    <w:rsid w:val="00451CF7"/>
    <w:rsid w:val="004527AC"/>
    <w:rsid w:val="0045281C"/>
    <w:rsid w:val="004535B0"/>
    <w:rsid w:val="00455379"/>
    <w:rsid w:val="00461EB1"/>
    <w:rsid w:val="00472A7E"/>
    <w:rsid w:val="00482FD7"/>
    <w:rsid w:val="0048371C"/>
    <w:rsid w:val="00492AD6"/>
    <w:rsid w:val="0049313D"/>
    <w:rsid w:val="004A607A"/>
    <w:rsid w:val="004B3314"/>
    <w:rsid w:val="004C4799"/>
    <w:rsid w:val="004C7863"/>
    <w:rsid w:val="004D0F7E"/>
    <w:rsid w:val="004E43C0"/>
    <w:rsid w:val="004F4DCC"/>
    <w:rsid w:val="00500824"/>
    <w:rsid w:val="00504E08"/>
    <w:rsid w:val="00505F58"/>
    <w:rsid w:val="0051340F"/>
    <w:rsid w:val="00513FDF"/>
    <w:rsid w:val="005156D7"/>
    <w:rsid w:val="00516163"/>
    <w:rsid w:val="005223C8"/>
    <w:rsid w:val="005406E1"/>
    <w:rsid w:val="005407AE"/>
    <w:rsid w:val="00543E85"/>
    <w:rsid w:val="00545F29"/>
    <w:rsid w:val="00546141"/>
    <w:rsid w:val="0056270F"/>
    <w:rsid w:val="005831CE"/>
    <w:rsid w:val="00590066"/>
    <w:rsid w:val="005963CE"/>
    <w:rsid w:val="0059750E"/>
    <w:rsid w:val="005A6E6A"/>
    <w:rsid w:val="005D6242"/>
    <w:rsid w:val="005E1073"/>
    <w:rsid w:val="005E3D4D"/>
    <w:rsid w:val="005F1061"/>
    <w:rsid w:val="005F5AB8"/>
    <w:rsid w:val="00602EDD"/>
    <w:rsid w:val="00607D32"/>
    <w:rsid w:val="00613140"/>
    <w:rsid w:val="006175B7"/>
    <w:rsid w:val="00621282"/>
    <w:rsid w:val="00624939"/>
    <w:rsid w:val="00634671"/>
    <w:rsid w:val="0063507E"/>
    <w:rsid w:val="00636437"/>
    <w:rsid w:val="00645BF6"/>
    <w:rsid w:val="0065318C"/>
    <w:rsid w:val="00656084"/>
    <w:rsid w:val="0065720C"/>
    <w:rsid w:val="00663E44"/>
    <w:rsid w:val="00667D11"/>
    <w:rsid w:val="006739A9"/>
    <w:rsid w:val="00681812"/>
    <w:rsid w:val="006909B4"/>
    <w:rsid w:val="006A47A5"/>
    <w:rsid w:val="006B1C31"/>
    <w:rsid w:val="006B5BA5"/>
    <w:rsid w:val="006B6710"/>
    <w:rsid w:val="006D3C56"/>
    <w:rsid w:val="006D3F2D"/>
    <w:rsid w:val="006E193E"/>
    <w:rsid w:val="006E2188"/>
    <w:rsid w:val="006E437F"/>
    <w:rsid w:val="006E5E9C"/>
    <w:rsid w:val="006E6429"/>
    <w:rsid w:val="006F040D"/>
    <w:rsid w:val="006F12AA"/>
    <w:rsid w:val="00702B57"/>
    <w:rsid w:val="00706CEE"/>
    <w:rsid w:val="007108E0"/>
    <w:rsid w:val="007136A6"/>
    <w:rsid w:val="00732F9F"/>
    <w:rsid w:val="00734E39"/>
    <w:rsid w:val="00741166"/>
    <w:rsid w:val="00745EE6"/>
    <w:rsid w:val="0075631B"/>
    <w:rsid w:val="00763FC7"/>
    <w:rsid w:val="00765110"/>
    <w:rsid w:val="00766D03"/>
    <w:rsid w:val="00767AF3"/>
    <w:rsid w:val="00777C18"/>
    <w:rsid w:val="007810FF"/>
    <w:rsid w:val="00785B04"/>
    <w:rsid w:val="007903EF"/>
    <w:rsid w:val="00792192"/>
    <w:rsid w:val="0079258A"/>
    <w:rsid w:val="007962E1"/>
    <w:rsid w:val="007A14DE"/>
    <w:rsid w:val="007A4C73"/>
    <w:rsid w:val="007B20ED"/>
    <w:rsid w:val="007B3399"/>
    <w:rsid w:val="007C03D0"/>
    <w:rsid w:val="007C2E4B"/>
    <w:rsid w:val="007C4D64"/>
    <w:rsid w:val="007D2210"/>
    <w:rsid w:val="007D3A51"/>
    <w:rsid w:val="007D6352"/>
    <w:rsid w:val="007E2401"/>
    <w:rsid w:val="007F1C8E"/>
    <w:rsid w:val="00800B7D"/>
    <w:rsid w:val="00807FB5"/>
    <w:rsid w:val="00813BFB"/>
    <w:rsid w:val="0082422E"/>
    <w:rsid w:val="00832D0B"/>
    <w:rsid w:val="00832EF7"/>
    <w:rsid w:val="00836F6B"/>
    <w:rsid w:val="00837B3E"/>
    <w:rsid w:val="00846419"/>
    <w:rsid w:val="00847B90"/>
    <w:rsid w:val="00847E96"/>
    <w:rsid w:val="008647F9"/>
    <w:rsid w:val="00867B42"/>
    <w:rsid w:val="0089667C"/>
    <w:rsid w:val="008A2955"/>
    <w:rsid w:val="008A70F3"/>
    <w:rsid w:val="008B0D75"/>
    <w:rsid w:val="008C7AC1"/>
    <w:rsid w:val="008D1527"/>
    <w:rsid w:val="008D6E24"/>
    <w:rsid w:val="008E1F6A"/>
    <w:rsid w:val="008E328D"/>
    <w:rsid w:val="008E60DD"/>
    <w:rsid w:val="009042EB"/>
    <w:rsid w:val="00910216"/>
    <w:rsid w:val="009121B4"/>
    <w:rsid w:val="00912D8F"/>
    <w:rsid w:val="00913A80"/>
    <w:rsid w:val="00924CC7"/>
    <w:rsid w:val="00930611"/>
    <w:rsid w:val="00937DD1"/>
    <w:rsid w:val="00942458"/>
    <w:rsid w:val="009428E0"/>
    <w:rsid w:val="00950CBB"/>
    <w:rsid w:val="00952F97"/>
    <w:rsid w:val="00955F86"/>
    <w:rsid w:val="009569E2"/>
    <w:rsid w:val="00962003"/>
    <w:rsid w:val="00967169"/>
    <w:rsid w:val="00974711"/>
    <w:rsid w:val="009760AC"/>
    <w:rsid w:val="0098338B"/>
    <w:rsid w:val="0098755F"/>
    <w:rsid w:val="00993E15"/>
    <w:rsid w:val="009B308C"/>
    <w:rsid w:val="009B4C01"/>
    <w:rsid w:val="009C0A6F"/>
    <w:rsid w:val="009C40A8"/>
    <w:rsid w:val="009C7F37"/>
    <w:rsid w:val="009D71F6"/>
    <w:rsid w:val="009E37CC"/>
    <w:rsid w:val="009F1FD0"/>
    <w:rsid w:val="009F21AF"/>
    <w:rsid w:val="009F4632"/>
    <w:rsid w:val="009F6674"/>
    <w:rsid w:val="009F7446"/>
    <w:rsid w:val="00A05A0E"/>
    <w:rsid w:val="00A100E8"/>
    <w:rsid w:val="00A10BDD"/>
    <w:rsid w:val="00A31117"/>
    <w:rsid w:val="00A34FE3"/>
    <w:rsid w:val="00A4211B"/>
    <w:rsid w:val="00A43026"/>
    <w:rsid w:val="00A56739"/>
    <w:rsid w:val="00A6109C"/>
    <w:rsid w:val="00A65F4C"/>
    <w:rsid w:val="00A71E20"/>
    <w:rsid w:val="00A76364"/>
    <w:rsid w:val="00A8043B"/>
    <w:rsid w:val="00A83ED0"/>
    <w:rsid w:val="00A85561"/>
    <w:rsid w:val="00A940AD"/>
    <w:rsid w:val="00A94AEC"/>
    <w:rsid w:val="00A94DC5"/>
    <w:rsid w:val="00AA35AA"/>
    <w:rsid w:val="00AA38CA"/>
    <w:rsid w:val="00AA75B4"/>
    <w:rsid w:val="00AB0335"/>
    <w:rsid w:val="00AC0F20"/>
    <w:rsid w:val="00AC1807"/>
    <w:rsid w:val="00AD000D"/>
    <w:rsid w:val="00AD2004"/>
    <w:rsid w:val="00AD5E1E"/>
    <w:rsid w:val="00AE363C"/>
    <w:rsid w:val="00B014B0"/>
    <w:rsid w:val="00B023BA"/>
    <w:rsid w:val="00B30169"/>
    <w:rsid w:val="00B332D1"/>
    <w:rsid w:val="00B3400A"/>
    <w:rsid w:val="00B34C18"/>
    <w:rsid w:val="00B37A44"/>
    <w:rsid w:val="00B43370"/>
    <w:rsid w:val="00B43CC8"/>
    <w:rsid w:val="00B46A41"/>
    <w:rsid w:val="00B54011"/>
    <w:rsid w:val="00B726D2"/>
    <w:rsid w:val="00B776FF"/>
    <w:rsid w:val="00B92A76"/>
    <w:rsid w:val="00BA5A61"/>
    <w:rsid w:val="00BA74C0"/>
    <w:rsid w:val="00BB1E80"/>
    <w:rsid w:val="00BC1050"/>
    <w:rsid w:val="00BC58CA"/>
    <w:rsid w:val="00BD24B8"/>
    <w:rsid w:val="00BD4DFC"/>
    <w:rsid w:val="00BD4F28"/>
    <w:rsid w:val="00BF1D68"/>
    <w:rsid w:val="00BF4BA5"/>
    <w:rsid w:val="00C037F8"/>
    <w:rsid w:val="00C055FE"/>
    <w:rsid w:val="00C20F96"/>
    <w:rsid w:val="00C21CB2"/>
    <w:rsid w:val="00C221AB"/>
    <w:rsid w:val="00C3592B"/>
    <w:rsid w:val="00C46816"/>
    <w:rsid w:val="00C62984"/>
    <w:rsid w:val="00C64120"/>
    <w:rsid w:val="00C678EB"/>
    <w:rsid w:val="00C708FB"/>
    <w:rsid w:val="00C7216A"/>
    <w:rsid w:val="00C7494D"/>
    <w:rsid w:val="00C74B2D"/>
    <w:rsid w:val="00C84BD1"/>
    <w:rsid w:val="00C85A4D"/>
    <w:rsid w:val="00C85F79"/>
    <w:rsid w:val="00C94598"/>
    <w:rsid w:val="00C97B09"/>
    <w:rsid w:val="00CA27FE"/>
    <w:rsid w:val="00CA5FFB"/>
    <w:rsid w:val="00CC0824"/>
    <w:rsid w:val="00CC4CD8"/>
    <w:rsid w:val="00CD2224"/>
    <w:rsid w:val="00D022D5"/>
    <w:rsid w:val="00D061E8"/>
    <w:rsid w:val="00D13280"/>
    <w:rsid w:val="00D35529"/>
    <w:rsid w:val="00D421B7"/>
    <w:rsid w:val="00D4476A"/>
    <w:rsid w:val="00D50C87"/>
    <w:rsid w:val="00D54700"/>
    <w:rsid w:val="00D54783"/>
    <w:rsid w:val="00D57E21"/>
    <w:rsid w:val="00D67E29"/>
    <w:rsid w:val="00D700CA"/>
    <w:rsid w:val="00D72B2B"/>
    <w:rsid w:val="00D76C4C"/>
    <w:rsid w:val="00D867B5"/>
    <w:rsid w:val="00D86EBA"/>
    <w:rsid w:val="00D871CD"/>
    <w:rsid w:val="00D92536"/>
    <w:rsid w:val="00D9316E"/>
    <w:rsid w:val="00DA67F5"/>
    <w:rsid w:val="00DB0698"/>
    <w:rsid w:val="00DB46E3"/>
    <w:rsid w:val="00DB4BAD"/>
    <w:rsid w:val="00DC01BC"/>
    <w:rsid w:val="00DC083C"/>
    <w:rsid w:val="00DC62FA"/>
    <w:rsid w:val="00DC7BC3"/>
    <w:rsid w:val="00DE08F5"/>
    <w:rsid w:val="00DE4973"/>
    <w:rsid w:val="00DE5ADA"/>
    <w:rsid w:val="00DF462E"/>
    <w:rsid w:val="00E0096A"/>
    <w:rsid w:val="00E02EE4"/>
    <w:rsid w:val="00E04A9C"/>
    <w:rsid w:val="00E1291F"/>
    <w:rsid w:val="00E31504"/>
    <w:rsid w:val="00E32B9B"/>
    <w:rsid w:val="00E32E45"/>
    <w:rsid w:val="00E33797"/>
    <w:rsid w:val="00E34B64"/>
    <w:rsid w:val="00E3527D"/>
    <w:rsid w:val="00E36EC9"/>
    <w:rsid w:val="00E5185B"/>
    <w:rsid w:val="00E55A92"/>
    <w:rsid w:val="00E60B71"/>
    <w:rsid w:val="00E7184B"/>
    <w:rsid w:val="00E81B66"/>
    <w:rsid w:val="00E97775"/>
    <w:rsid w:val="00EA44AD"/>
    <w:rsid w:val="00EB0568"/>
    <w:rsid w:val="00EB06C1"/>
    <w:rsid w:val="00EC54CD"/>
    <w:rsid w:val="00EE144C"/>
    <w:rsid w:val="00EE1DE0"/>
    <w:rsid w:val="00EF3E58"/>
    <w:rsid w:val="00F009EC"/>
    <w:rsid w:val="00F05539"/>
    <w:rsid w:val="00F07CF5"/>
    <w:rsid w:val="00F10F9B"/>
    <w:rsid w:val="00F111C7"/>
    <w:rsid w:val="00F12CAD"/>
    <w:rsid w:val="00F17D22"/>
    <w:rsid w:val="00F274EF"/>
    <w:rsid w:val="00F363A6"/>
    <w:rsid w:val="00F468D9"/>
    <w:rsid w:val="00F46B7B"/>
    <w:rsid w:val="00F474CD"/>
    <w:rsid w:val="00F527A2"/>
    <w:rsid w:val="00F52B28"/>
    <w:rsid w:val="00F5720A"/>
    <w:rsid w:val="00F574C8"/>
    <w:rsid w:val="00F7297F"/>
    <w:rsid w:val="00F8546E"/>
    <w:rsid w:val="00FA14FE"/>
    <w:rsid w:val="00FA3407"/>
    <w:rsid w:val="00FB1B33"/>
    <w:rsid w:val="00FB22B4"/>
    <w:rsid w:val="00FE2DE0"/>
    <w:rsid w:val="00FF13C8"/>
    <w:rsid w:val="00FF196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4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etter@occ.ohio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cie.cathcart@puco.ohio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tinson@brick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drew.shaffer@ohioattorneygeneral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.beeler@ohioattorneygeneral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2DF3-4E07-4792-B15D-A92244DF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1126</Words>
  <Characters>6726</Characters>
  <Application>Microsoft Office Word</Application>
  <DocSecurity>0</DocSecurity>
  <Lines>192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2019-07-08T18:23:00Z</dcterms:created>
  <dcterms:modified xsi:type="dcterms:W3CDTF">2019-08-14T17:49:00Z</dcterms:modified>
</cp:coreProperties>
</file>