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19" w:rsidRPr="00124F77" w:rsidRDefault="00232919" w:rsidP="00124F77">
      <w:pPr>
        <w:spacing w:line="320" w:lineRule="exact"/>
        <w:jc w:val="center"/>
        <w:rPr>
          <w:rFonts w:ascii="Palatino Linotype" w:hAnsi="Palatino Linotype"/>
          <w:b/>
          <w:spacing w:val="-12"/>
        </w:rPr>
      </w:pPr>
      <w:r w:rsidRPr="00124F77">
        <w:rPr>
          <w:rFonts w:ascii="Palatino Linotype" w:hAnsi="Palatino Linotype"/>
          <w:b/>
          <w:spacing w:val="-12"/>
        </w:rPr>
        <w:t>BEFORE</w:t>
      </w:r>
    </w:p>
    <w:p w:rsidR="00232919" w:rsidRPr="00124F77" w:rsidRDefault="00232919" w:rsidP="00124F77">
      <w:pPr>
        <w:spacing w:line="320" w:lineRule="exact"/>
        <w:jc w:val="center"/>
        <w:rPr>
          <w:rFonts w:ascii="Palatino Linotype" w:hAnsi="Palatino Linotype"/>
          <w:spacing w:val="-12"/>
        </w:rPr>
      </w:pPr>
      <w:r w:rsidRPr="00124F77">
        <w:rPr>
          <w:rFonts w:ascii="Palatino Linotype" w:hAnsi="Palatino Linotype"/>
          <w:b/>
          <w:spacing w:val="-12"/>
        </w:rPr>
        <w:t xml:space="preserve">THE PUBLIC UTILITIES COMMISSION OF </w:t>
      </w:r>
      <w:smartTag w:uri="urn:schemas-microsoft-com:office:smarttags" w:element="place">
        <w:smartTag w:uri="urn:schemas-microsoft-com:office:smarttags" w:element="State">
          <w:r w:rsidRPr="00124F77">
            <w:rPr>
              <w:rFonts w:ascii="Palatino Linotype" w:hAnsi="Palatino Linotype"/>
              <w:b/>
              <w:spacing w:val="-12"/>
            </w:rPr>
            <w:t>OHIO</w:t>
          </w:r>
        </w:smartTag>
      </w:smartTag>
    </w:p>
    <w:p w:rsidR="00232919" w:rsidRPr="00C957A0" w:rsidRDefault="00232919" w:rsidP="00124F77">
      <w:pPr>
        <w:spacing w:line="320" w:lineRule="exact"/>
        <w:jc w:val="center"/>
        <w:rPr>
          <w:rFonts w:ascii="Palatino Linotype" w:hAnsi="Palatino Linotype"/>
        </w:rPr>
      </w:pPr>
    </w:p>
    <w:tbl>
      <w:tblPr>
        <w:tblW w:w="0" w:type="auto"/>
        <w:tblLook w:val="00A0" w:firstRow="1" w:lastRow="0" w:firstColumn="1" w:lastColumn="0" w:noHBand="0" w:noVBand="0"/>
      </w:tblPr>
      <w:tblGrid>
        <w:gridCol w:w="4367"/>
        <w:gridCol w:w="296"/>
        <w:gridCol w:w="4193"/>
      </w:tblGrid>
      <w:tr w:rsidR="00232919" w:rsidRPr="00C957A0" w:rsidTr="007570C2">
        <w:tc>
          <w:tcPr>
            <w:tcW w:w="4672" w:type="dxa"/>
          </w:tcPr>
          <w:p w:rsidR="00232919" w:rsidRPr="00C957A0" w:rsidRDefault="00232919" w:rsidP="00124F77">
            <w:pPr>
              <w:spacing w:line="320" w:lineRule="exact"/>
              <w:rPr>
                <w:rFonts w:ascii="Palatino Linotype" w:hAnsi="Palatino Linotype"/>
              </w:rPr>
            </w:pPr>
            <w:r w:rsidRPr="00C957A0">
              <w:rPr>
                <w:rFonts w:ascii="Palatino Linotype" w:hAnsi="Palatino Linotype"/>
              </w:rPr>
              <w:t>In the Matter of the Commission’s Review of its Rules for Competitive Retail Natural Gas Service Contained in Chapters 4901:1-27 through 4901:1-34 of the Ohio Administrative Code.</w:t>
            </w:r>
          </w:p>
        </w:tc>
        <w:tc>
          <w:tcPr>
            <w:tcW w:w="296" w:type="dxa"/>
          </w:tcPr>
          <w:p w:rsidR="00232919" w:rsidRPr="00C957A0" w:rsidRDefault="00232919" w:rsidP="00124F77">
            <w:pPr>
              <w:spacing w:line="320" w:lineRule="exact"/>
              <w:jc w:val="center"/>
              <w:rPr>
                <w:rFonts w:ascii="Palatino Linotype" w:hAnsi="Palatino Linotype"/>
              </w:rPr>
            </w:pPr>
            <w:r w:rsidRPr="00C957A0">
              <w:rPr>
                <w:rFonts w:ascii="Palatino Linotype" w:hAnsi="Palatino Linotype"/>
              </w:rPr>
              <w:t>)</w:t>
            </w:r>
          </w:p>
          <w:p w:rsidR="00232919" w:rsidRPr="00C957A0" w:rsidRDefault="00232919" w:rsidP="00124F77">
            <w:pPr>
              <w:spacing w:line="320" w:lineRule="exact"/>
              <w:jc w:val="center"/>
              <w:rPr>
                <w:rFonts w:ascii="Palatino Linotype" w:hAnsi="Palatino Linotype"/>
              </w:rPr>
            </w:pPr>
            <w:r w:rsidRPr="00C957A0">
              <w:rPr>
                <w:rFonts w:ascii="Palatino Linotype" w:hAnsi="Palatino Linotype"/>
              </w:rPr>
              <w:t>)</w:t>
            </w:r>
          </w:p>
          <w:p w:rsidR="00232919" w:rsidRPr="00C957A0" w:rsidRDefault="00232919" w:rsidP="00124F77">
            <w:pPr>
              <w:spacing w:line="320" w:lineRule="exact"/>
              <w:jc w:val="center"/>
              <w:rPr>
                <w:rFonts w:ascii="Palatino Linotype" w:hAnsi="Palatino Linotype"/>
              </w:rPr>
            </w:pPr>
            <w:r w:rsidRPr="00C957A0">
              <w:rPr>
                <w:rFonts w:ascii="Palatino Linotype" w:hAnsi="Palatino Linotype"/>
              </w:rPr>
              <w:t>)</w:t>
            </w:r>
          </w:p>
          <w:p w:rsidR="00232919" w:rsidRPr="00C957A0" w:rsidRDefault="00232919" w:rsidP="00124F77">
            <w:pPr>
              <w:spacing w:line="320" w:lineRule="exact"/>
              <w:jc w:val="center"/>
              <w:rPr>
                <w:rFonts w:ascii="Palatino Linotype" w:hAnsi="Palatino Linotype"/>
              </w:rPr>
            </w:pPr>
            <w:r w:rsidRPr="00C957A0">
              <w:rPr>
                <w:rFonts w:ascii="Palatino Linotype" w:hAnsi="Palatino Linotype"/>
              </w:rPr>
              <w:t>)</w:t>
            </w:r>
          </w:p>
          <w:p w:rsidR="00232919" w:rsidRPr="00C957A0" w:rsidRDefault="00232919" w:rsidP="00124F77">
            <w:pPr>
              <w:spacing w:line="320" w:lineRule="exact"/>
              <w:jc w:val="center"/>
              <w:rPr>
                <w:rFonts w:ascii="Palatino Linotype" w:hAnsi="Palatino Linotype"/>
              </w:rPr>
            </w:pPr>
            <w:r w:rsidRPr="00C957A0">
              <w:rPr>
                <w:rFonts w:ascii="Palatino Linotype" w:hAnsi="Palatino Linotype"/>
              </w:rPr>
              <w:t>)</w:t>
            </w:r>
          </w:p>
          <w:p w:rsidR="00232919" w:rsidRPr="00C957A0" w:rsidRDefault="00232919" w:rsidP="00124F77">
            <w:pPr>
              <w:spacing w:line="320" w:lineRule="exact"/>
              <w:jc w:val="center"/>
              <w:rPr>
                <w:rFonts w:ascii="Palatino Linotype" w:hAnsi="Palatino Linotype"/>
              </w:rPr>
            </w:pPr>
          </w:p>
        </w:tc>
        <w:tc>
          <w:tcPr>
            <w:tcW w:w="4608" w:type="dxa"/>
          </w:tcPr>
          <w:p w:rsidR="00232919" w:rsidRPr="00C957A0" w:rsidRDefault="00232919" w:rsidP="00124F77">
            <w:pPr>
              <w:spacing w:line="320" w:lineRule="exact"/>
              <w:ind w:firstLine="432"/>
              <w:rPr>
                <w:rFonts w:ascii="Palatino Linotype" w:hAnsi="Palatino Linotype"/>
              </w:rPr>
            </w:pPr>
          </w:p>
          <w:p w:rsidR="00232919" w:rsidRPr="00C957A0" w:rsidRDefault="00232919" w:rsidP="00124F77">
            <w:pPr>
              <w:spacing w:line="320" w:lineRule="exact"/>
              <w:ind w:firstLine="432"/>
              <w:rPr>
                <w:rFonts w:ascii="Palatino Linotype" w:hAnsi="Palatino Linotype"/>
              </w:rPr>
            </w:pPr>
          </w:p>
          <w:p w:rsidR="00232919" w:rsidRPr="00C957A0" w:rsidRDefault="00232919" w:rsidP="00124F77">
            <w:pPr>
              <w:spacing w:line="320" w:lineRule="exact"/>
              <w:ind w:firstLine="432"/>
              <w:rPr>
                <w:rFonts w:ascii="Palatino Linotype" w:hAnsi="Palatino Linotype"/>
              </w:rPr>
            </w:pPr>
            <w:r w:rsidRPr="00C957A0">
              <w:rPr>
                <w:rFonts w:ascii="Palatino Linotype" w:hAnsi="Palatino Linotype"/>
              </w:rPr>
              <w:t>Case No. 12-925-GA-ORD</w:t>
            </w:r>
          </w:p>
        </w:tc>
      </w:tr>
    </w:tbl>
    <w:p w:rsidR="00232919" w:rsidRPr="00C957A0" w:rsidRDefault="00232919" w:rsidP="00124F77">
      <w:pPr>
        <w:spacing w:line="320" w:lineRule="exact"/>
        <w:jc w:val="center"/>
        <w:rPr>
          <w:rFonts w:ascii="Palatino Linotype" w:hAnsi="Palatino Linotype"/>
        </w:rPr>
      </w:pPr>
    </w:p>
    <w:p w:rsidR="00232919" w:rsidRPr="00C957A0" w:rsidRDefault="00232919" w:rsidP="00124F77">
      <w:pPr>
        <w:spacing w:line="320" w:lineRule="exact"/>
        <w:jc w:val="center"/>
        <w:rPr>
          <w:rFonts w:ascii="Palatino Linotype" w:hAnsi="Palatino Linotype"/>
        </w:rPr>
      </w:pPr>
    </w:p>
    <w:p w:rsidR="00232919" w:rsidRPr="00124F77" w:rsidRDefault="00232919" w:rsidP="00124F77">
      <w:pPr>
        <w:pBdr>
          <w:top w:val="single" w:sz="4" w:space="1" w:color="auto"/>
          <w:bottom w:val="single" w:sz="4" w:space="1" w:color="auto"/>
        </w:pBdr>
        <w:spacing w:line="320" w:lineRule="exact"/>
        <w:jc w:val="center"/>
        <w:rPr>
          <w:rFonts w:ascii="Palatino Linotype" w:hAnsi="Palatino Linotype"/>
          <w:b/>
          <w:spacing w:val="-12"/>
        </w:rPr>
      </w:pPr>
      <w:proofErr w:type="gramStart"/>
      <w:r w:rsidRPr="00124F77">
        <w:rPr>
          <w:rFonts w:ascii="Palatino Linotype" w:hAnsi="Palatino Linotype"/>
          <w:b/>
          <w:spacing w:val="-12"/>
        </w:rPr>
        <w:t>INITIAL COMMENTS OF COLUMBIA GAS OF OHIO, INC.</w:t>
      </w:r>
      <w:proofErr w:type="gramEnd"/>
    </w:p>
    <w:p w:rsidR="00911F12" w:rsidRPr="00C957A0" w:rsidRDefault="00911F12" w:rsidP="00124F77">
      <w:pPr>
        <w:spacing w:line="320" w:lineRule="exact"/>
        <w:rPr>
          <w:rFonts w:ascii="Palatino Linotype" w:hAnsi="Palatino Linotype"/>
        </w:rPr>
      </w:pPr>
    </w:p>
    <w:p w:rsidR="00232919" w:rsidRDefault="001F1AFB" w:rsidP="00124F77">
      <w:pPr>
        <w:spacing w:line="320" w:lineRule="exact"/>
        <w:jc w:val="both"/>
        <w:rPr>
          <w:rFonts w:ascii="Palatino Linotype" w:hAnsi="Palatino Linotype"/>
        </w:rPr>
      </w:pPr>
      <w:r>
        <w:rPr>
          <w:rFonts w:ascii="Palatino Linotype" w:hAnsi="Palatino Linotype"/>
        </w:rPr>
        <w:tab/>
        <w:t>By Entry dated November</w:t>
      </w:r>
      <w:r w:rsidR="00232919" w:rsidRPr="00C957A0">
        <w:rPr>
          <w:rFonts w:ascii="Palatino Linotype" w:hAnsi="Palatino Linotype"/>
        </w:rPr>
        <w:t xml:space="preserve"> 7, 2012, the </w:t>
      </w:r>
      <w:r w:rsidR="00C957A0" w:rsidRPr="00C957A0">
        <w:rPr>
          <w:rFonts w:ascii="Palatino Linotype" w:hAnsi="Palatino Linotype"/>
        </w:rPr>
        <w:t xml:space="preserve">Public Utilities </w:t>
      </w:r>
      <w:r w:rsidR="00232919" w:rsidRPr="00C957A0">
        <w:rPr>
          <w:rFonts w:ascii="Palatino Linotype" w:hAnsi="Palatino Linotype"/>
        </w:rPr>
        <w:t>Commission</w:t>
      </w:r>
      <w:r w:rsidR="00C957A0" w:rsidRPr="00C957A0">
        <w:rPr>
          <w:rFonts w:ascii="Palatino Linotype" w:hAnsi="Palatino Linotype"/>
        </w:rPr>
        <w:t xml:space="preserve"> of Ohio (“Commission”)</w:t>
      </w:r>
      <w:r w:rsidR="00232919" w:rsidRPr="00C957A0">
        <w:rPr>
          <w:rFonts w:ascii="Palatino Linotype" w:hAnsi="Palatino Linotype"/>
        </w:rPr>
        <w:t xml:space="preserve"> proposed amendments to the </w:t>
      </w:r>
      <w:r w:rsidR="00C957A0" w:rsidRPr="00C957A0">
        <w:rPr>
          <w:rFonts w:ascii="Palatino Linotype" w:hAnsi="Palatino Linotype"/>
        </w:rPr>
        <w:t>C</w:t>
      </w:r>
      <w:r w:rsidR="00232919" w:rsidRPr="00C957A0">
        <w:rPr>
          <w:rFonts w:ascii="Palatino Linotype" w:hAnsi="Palatino Linotype"/>
        </w:rPr>
        <w:t xml:space="preserve">ompetitive </w:t>
      </w:r>
      <w:r w:rsidR="00C957A0" w:rsidRPr="00C957A0">
        <w:rPr>
          <w:rFonts w:ascii="Palatino Linotype" w:hAnsi="Palatino Linotype"/>
        </w:rPr>
        <w:t>R</w:t>
      </w:r>
      <w:r w:rsidR="00232919" w:rsidRPr="00C957A0">
        <w:rPr>
          <w:rFonts w:ascii="Palatino Linotype" w:hAnsi="Palatino Linotype"/>
        </w:rPr>
        <w:t xml:space="preserve">etail </w:t>
      </w:r>
      <w:r w:rsidR="00C957A0" w:rsidRPr="00C957A0">
        <w:rPr>
          <w:rFonts w:ascii="Palatino Linotype" w:hAnsi="Palatino Linotype"/>
        </w:rPr>
        <w:t>N</w:t>
      </w:r>
      <w:r w:rsidR="00232919" w:rsidRPr="00C957A0">
        <w:rPr>
          <w:rFonts w:ascii="Palatino Linotype" w:hAnsi="Palatino Linotype"/>
        </w:rPr>
        <w:t xml:space="preserve">atural </w:t>
      </w:r>
      <w:r w:rsidR="00C957A0" w:rsidRPr="00C957A0">
        <w:rPr>
          <w:rFonts w:ascii="Palatino Linotype" w:hAnsi="Palatino Linotype"/>
        </w:rPr>
        <w:t>G</w:t>
      </w:r>
      <w:r w:rsidR="00232919" w:rsidRPr="00C957A0">
        <w:rPr>
          <w:rFonts w:ascii="Palatino Linotype" w:hAnsi="Palatino Linotype"/>
        </w:rPr>
        <w:t xml:space="preserve">as </w:t>
      </w:r>
      <w:r w:rsidR="00C957A0" w:rsidRPr="00C957A0">
        <w:rPr>
          <w:rFonts w:ascii="Palatino Linotype" w:hAnsi="Palatino Linotype"/>
        </w:rPr>
        <w:t>S</w:t>
      </w:r>
      <w:r w:rsidR="00232919" w:rsidRPr="00C957A0">
        <w:rPr>
          <w:rFonts w:ascii="Palatino Linotype" w:hAnsi="Palatino Linotype"/>
        </w:rPr>
        <w:t>ervice</w:t>
      </w:r>
      <w:r w:rsidR="00C957A0" w:rsidRPr="00C957A0">
        <w:rPr>
          <w:rFonts w:ascii="Palatino Linotype" w:hAnsi="Palatino Linotype"/>
        </w:rPr>
        <w:t xml:space="preserve"> (“CRNGS”)</w:t>
      </w:r>
      <w:r w:rsidR="00232919" w:rsidRPr="00C957A0">
        <w:rPr>
          <w:rFonts w:ascii="Palatino Linotype" w:hAnsi="Palatino Linotype"/>
        </w:rPr>
        <w:t xml:space="preserve"> rules contained in Chapters 4901:1-27 through 4901:1-34, of the Ohio Administrative Code. In addition to its proposed amendments outlined in </w:t>
      </w:r>
      <w:r w:rsidR="00E97F6C" w:rsidRPr="00C957A0">
        <w:rPr>
          <w:rFonts w:ascii="Palatino Linotype" w:hAnsi="Palatino Linotype"/>
        </w:rPr>
        <w:t>Attachment B to the Entry, the Commission posed several questions in Attachment A to be addressed by interest</w:t>
      </w:r>
      <w:r>
        <w:rPr>
          <w:rFonts w:ascii="Palatino Linotype" w:hAnsi="Palatino Linotype"/>
        </w:rPr>
        <w:t>ed parties in conjunction with filed</w:t>
      </w:r>
      <w:r w:rsidR="00E97F6C" w:rsidRPr="00C957A0">
        <w:rPr>
          <w:rFonts w:ascii="Palatino Linotype" w:hAnsi="Palatino Linotype"/>
        </w:rPr>
        <w:t xml:space="preserve"> comments. Columbia</w:t>
      </w:r>
      <w:r w:rsidR="00C957A0" w:rsidRPr="00C957A0">
        <w:rPr>
          <w:rFonts w:ascii="Palatino Linotype" w:hAnsi="Palatino Linotype"/>
        </w:rPr>
        <w:t xml:space="preserve"> Gas of Ohio, Inc. (“Columbia”)</w:t>
      </w:r>
      <w:r w:rsidR="00E97F6C" w:rsidRPr="00C957A0">
        <w:rPr>
          <w:rFonts w:ascii="Palatino Linotype" w:hAnsi="Palatino Linotype"/>
        </w:rPr>
        <w:t xml:space="preserve"> hereby submits its comments and responses to the Entry.  </w:t>
      </w:r>
    </w:p>
    <w:p w:rsidR="00C957A0" w:rsidRPr="00C957A0" w:rsidRDefault="00C957A0" w:rsidP="00124F77">
      <w:pPr>
        <w:spacing w:line="320" w:lineRule="exact"/>
        <w:jc w:val="both"/>
        <w:rPr>
          <w:rFonts w:ascii="Palatino Linotype" w:hAnsi="Palatino Linotype"/>
        </w:rPr>
      </w:pPr>
    </w:p>
    <w:p w:rsidR="00C957A0" w:rsidRDefault="0067333C" w:rsidP="00124F77">
      <w:pPr>
        <w:spacing w:line="320" w:lineRule="exact"/>
        <w:jc w:val="both"/>
        <w:rPr>
          <w:rFonts w:ascii="Palatino Linotype" w:hAnsi="Palatino Linotype"/>
          <w:b/>
        </w:rPr>
      </w:pPr>
      <w:r w:rsidRPr="00C957A0">
        <w:rPr>
          <w:rFonts w:ascii="Palatino Linotype" w:hAnsi="Palatino Linotype"/>
        </w:rPr>
        <w:tab/>
      </w:r>
      <w:r w:rsidRPr="00C957A0">
        <w:rPr>
          <w:rFonts w:ascii="Palatino Linotype" w:hAnsi="Palatino Linotype"/>
          <w:b/>
        </w:rPr>
        <w:t>Initial Comments to Proposed Rule Changes</w:t>
      </w:r>
    </w:p>
    <w:p w:rsidR="00C957A0" w:rsidRPr="00C957A0" w:rsidRDefault="00C957A0" w:rsidP="00124F77">
      <w:pPr>
        <w:spacing w:line="320" w:lineRule="exact"/>
        <w:jc w:val="both"/>
        <w:rPr>
          <w:rFonts w:ascii="Palatino Linotype" w:hAnsi="Palatino Linotype"/>
          <w:b/>
        </w:rPr>
      </w:pPr>
    </w:p>
    <w:p w:rsidR="00B9597F" w:rsidRDefault="00C957A0" w:rsidP="00124F77">
      <w:pPr>
        <w:spacing w:line="320" w:lineRule="exact"/>
        <w:ind w:firstLine="720"/>
        <w:jc w:val="both"/>
        <w:rPr>
          <w:rFonts w:ascii="Palatino Linotype" w:hAnsi="Palatino Linotype"/>
        </w:rPr>
      </w:pPr>
      <w:r w:rsidRPr="00C957A0">
        <w:rPr>
          <w:rFonts w:ascii="Palatino Linotype" w:hAnsi="Palatino Linotype"/>
        </w:rPr>
        <w:t xml:space="preserve">Columbia agrees generally with the Commission’s </w:t>
      </w:r>
      <w:r w:rsidR="001F1AFB">
        <w:rPr>
          <w:rFonts w:ascii="Palatino Linotype" w:hAnsi="Palatino Linotype"/>
        </w:rPr>
        <w:t>proposed language contained in Attachment B of the Entry</w:t>
      </w:r>
      <w:r w:rsidRPr="00C957A0">
        <w:rPr>
          <w:rFonts w:ascii="Palatino Linotype" w:hAnsi="Palatino Linotype"/>
        </w:rPr>
        <w:t xml:space="preserve">. </w:t>
      </w:r>
      <w:r w:rsidR="00B9597F" w:rsidRPr="00C957A0">
        <w:rPr>
          <w:rFonts w:ascii="Palatino Linotype" w:hAnsi="Palatino Linotype"/>
        </w:rPr>
        <w:t>Columbia</w:t>
      </w:r>
      <w:r w:rsidRPr="00C957A0">
        <w:rPr>
          <w:rFonts w:ascii="Palatino Linotype" w:hAnsi="Palatino Linotype"/>
        </w:rPr>
        <w:t xml:space="preserve"> does, however, propose adding language</w:t>
      </w:r>
      <w:r w:rsidR="00B9597F" w:rsidRPr="00C957A0">
        <w:rPr>
          <w:rFonts w:ascii="Palatino Linotype" w:hAnsi="Palatino Linotype"/>
        </w:rPr>
        <w:t xml:space="preserve"> to 4901-27-11 to clarify how the Commission proceeds once a notice of material change </w:t>
      </w:r>
      <w:r w:rsidR="00142450" w:rsidRPr="00C957A0">
        <w:rPr>
          <w:rFonts w:ascii="Palatino Linotype" w:hAnsi="Palatino Linotype"/>
        </w:rPr>
        <w:t>has been</w:t>
      </w:r>
      <w:r w:rsidR="00B9597F" w:rsidRPr="00C957A0">
        <w:rPr>
          <w:rFonts w:ascii="Palatino Linotype" w:hAnsi="Palatino Linotype"/>
        </w:rPr>
        <w:t xml:space="preserve"> filed by a retail natural gas supplier or governmental aggregator. As proposed, </w:t>
      </w:r>
      <w:r w:rsidR="00142450" w:rsidRPr="00C957A0">
        <w:rPr>
          <w:rFonts w:ascii="Palatino Linotype" w:hAnsi="Palatino Linotype"/>
        </w:rPr>
        <w:t>4901:1-27-11 (A</w:t>
      </w:r>
      <w:proofErr w:type="gramStart"/>
      <w:r w:rsidR="00142450" w:rsidRPr="00C957A0">
        <w:rPr>
          <w:rFonts w:ascii="Palatino Linotype" w:hAnsi="Palatino Linotype"/>
        </w:rPr>
        <w:t>)(</w:t>
      </w:r>
      <w:proofErr w:type="gramEnd"/>
      <w:r w:rsidR="00142450" w:rsidRPr="00C957A0">
        <w:rPr>
          <w:rFonts w:ascii="Palatino Linotype" w:hAnsi="Palatino Linotype"/>
        </w:rPr>
        <w:t>2)</w:t>
      </w:r>
      <w:r w:rsidR="004A1136">
        <w:rPr>
          <w:rFonts w:ascii="Palatino Linotype" w:hAnsi="Palatino Linotype"/>
        </w:rPr>
        <w:t xml:space="preserve"> states,</w:t>
      </w:r>
    </w:p>
    <w:p w:rsidR="00C957A0" w:rsidRPr="00C957A0" w:rsidRDefault="00C957A0" w:rsidP="00124F77">
      <w:pPr>
        <w:spacing w:line="320" w:lineRule="exact"/>
        <w:ind w:firstLine="720"/>
        <w:jc w:val="both"/>
        <w:rPr>
          <w:rFonts w:ascii="Palatino Linotype" w:hAnsi="Palatino Linotype"/>
          <w:b/>
        </w:rPr>
      </w:pPr>
    </w:p>
    <w:p w:rsidR="009556DA" w:rsidRPr="00C957A0" w:rsidRDefault="004A1136" w:rsidP="00124F77">
      <w:pPr>
        <w:spacing w:line="320" w:lineRule="exact"/>
        <w:ind w:left="720"/>
        <w:jc w:val="both"/>
        <w:rPr>
          <w:rFonts w:ascii="Palatino Linotype" w:hAnsi="Palatino Linotype"/>
          <w:u w:val="single"/>
        </w:rPr>
      </w:pPr>
      <w:r>
        <w:rPr>
          <w:rFonts w:ascii="Palatino Linotype" w:hAnsi="Palatino Linotype"/>
          <w:u w:val="single"/>
        </w:rPr>
        <w:t>(t</w:t>
      </w:r>
      <w:proofErr w:type="gramStart"/>
      <w:r>
        <w:rPr>
          <w:rFonts w:ascii="Palatino Linotype" w:hAnsi="Palatino Linotype"/>
          <w:u w:val="single"/>
        </w:rPr>
        <w:t>)he</w:t>
      </w:r>
      <w:proofErr w:type="gramEnd"/>
      <w:r>
        <w:rPr>
          <w:rFonts w:ascii="Palatino Linotype" w:hAnsi="Palatino Linotype"/>
          <w:u w:val="single"/>
        </w:rPr>
        <w:t xml:space="preserve"> Commission m</w:t>
      </w:r>
      <w:r w:rsidR="009556DA" w:rsidRPr="00C957A0">
        <w:rPr>
          <w:rFonts w:ascii="Palatino Linotype" w:hAnsi="Palatino Linotype"/>
          <w:u w:val="single"/>
        </w:rPr>
        <w:t xml:space="preserve">ay suspend, rescind or conditionally rescind a retail natural gas supplier’s or governmental aggregator’s certificate if it determines that the material change will adversely affect the retail natural gas supplier’s or governmental aggregator’s fitness or ability to provide the services for which it is certified; or to provide reasonable financial assurances sufficient to protect natural gas companies and the regulated sales service customers from default.  </w:t>
      </w:r>
    </w:p>
    <w:p w:rsidR="0067333C" w:rsidRPr="00C957A0" w:rsidRDefault="0067333C" w:rsidP="00124F77">
      <w:pPr>
        <w:spacing w:line="320" w:lineRule="exact"/>
        <w:jc w:val="both"/>
        <w:rPr>
          <w:rFonts w:ascii="Palatino Linotype" w:hAnsi="Palatino Linotype"/>
          <w:u w:val="single"/>
        </w:rPr>
      </w:pPr>
    </w:p>
    <w:p w:rsidR="009556DA" w:rsidRDefault="009556DA" w:rsidP="00124F77">
      <w:pPr>
        <w:spacing w:line="320" w:lineRule="exact"/>
        <w:jc w:val="both"/>
        <w:rPr>
          <w:rFonts w:ascii="Palatino Linotype" w:hAnsi="Palatino Linotype"/>
        </w:rPr>
      </w:pPr>
      <w:r w:rsidRPr="00C957A0">
        <w:rPr>
          <w:rFonts w:ascii="Palatino Linotype" w:hAnsi="Palatino Linotype"/>
        </w:rPr>
        <w:t xml:space="preserve">While Columbia </w:t>
      </w:r>
      <w:r w:rsidR="004A1136">
        <w:rPr>
          <w:rFonts w:ascii="Palatino Linotype" w:hAnsi="Palatino Linotype"/>
        </w:rPr>
        <w:t>agrees with the added language</w:t>
      </w:r>
      <w:r w:rsidRPr="00C957A0">
        <w:rPr>
          <w:rFonts w:ascii="Palatino Linotype" w:hAnsi="Palatino Linotype"/>
        </w:rPr>
        <w:t xml:space="preserve">, </w:t>
      </w:r>
      <w:r w:rsidR="004A1136">
        <w:rPr>
          <w:rFonts w:ascii="Palatino Linotype" w:hAnsi="Palatino Linotype"/>
        </w:rPr>
        <w:t>there are no additional provisions</w:t>
      </w:r>
      <w:r w:rsidRPr="00C957A0">
        <w:rPr>
          <w:rFonts w:ascii="Palatino Linotype" w:hAnsi="Palatino Linotype"/>
        </w:rPr>
        <w:t xml:space="preserve"> address</w:t>
      </w:r>
      <w:r w:rsidR="004A1136">
        <w:rPr>
          <w:rFonts w:ascii="Palatino Linotype" w:hAnsi="Palatino Linotype"/>
        </w:rPr>
        <w:t>ing</w:t>
      </w:r>
      <w:r w:rsidRPr="00C957A0">
        <w:rPr>
          <w:rFonts w:ascii="Palatino Linotype" w:hAnsi="Palatino Linotype"/>
        </w:rPr>
        <w:t xml:space="preserve"> what action the Commission may take if the material </w:t>
      </w:r>
      <w:r w:rsidRPr="00C957A0">
        <w:rPr>
          <w:rFonts w:ascii="Palatino Linotype" w:hAnsi="Palatino Linotype"/>
        </w:rPr>
        <w:lastRenderedPageBreak/>
        <w:t>change does not adversely affect the supplier’s or aggregator’s ability to provide the service for which it is certified. As such, Columbia suggests the following language be added</w:t>
      </w:r>
      <w:r w:rsidR="00C957A0">
        <w:rPr>
          <w:rFonts w:ascii="Palatino Linotype" w:hAnsi="Palatino Linotype"/>
        </w:rPr>
        <w:t>,</w:t>
      </w:r>
    </w:p>
    <w:p w:rsidR="00C957A0" w:rsidRPr="00C957A0" w:rsidRDefault="00C957A0" w:rsidP="00124F77">
      <w:pPr>
        <w:spacing w:line="320" w:lineRule="exact"/>
        <w:jc w:val="both"/>
        <w:rPr>
          <w:rFonts w:ascii="Palatino Linotype" w:hAnsi="Palatino Linotype"/>
        </w:rPr>
      </w:pPr>
    </w:p>
    <w:p w:rsidR="009556DA" w:rsidRPr="00C957A0" w:rsidRDefault="009556DA" w:rsidP="00124F77">
      <w:pPr>
        <w:spacing w:line="320" w:lineRule="exact"/>
        <w:ind w:left="720"/>
        <w:jc w:val="both"/>
        <w:rPr>
          <w:rFonts w:ascii="Palatino Linotype" w:hAnsi="Palatino Linotype"/>
          <w:u w:val="single"/>
        </w:rPr>
      </w:pPr>
      <w:r w:rsidRPr="00C957A0">
        <w:rPr>
          <w:rFonts w:ascii="Palatino Linotype" w:hAnsi="Palatino Linotype"/>
          <w:u w:val="single"/>
        </w:rPr>
        <w:t>(A)(3) If the Commission does not act upon the notice of material change within ninety days of the filing date of such notice, the certification</w:t>
      </w:r>
      <w:r w:rsidR="00C957A0" w:rsidRPr="00C957A0">
        <w:rPr>
          <w:rFonts w:ascii="Palatino Linotype" w:hAnsi="Palatino Linotype"/>
          <w:u w:val="single"/>
        </w:rPr>
        <w:t xml:space="preserve"> with the material changes</w:t>
      </w:r>
      <w:r w:rsidRPr="00C957A0">
        <w:rPr>
          <w:rFonts w:ascii="Palatino Linotype" w:hAnsi="Palatino Linotype"/>
          <w:u w:val="single"/>
        </w:rPr>
        <w:t xml:space="preserve"> shall be deemed automatically approved on the ninety-first day after the official filing date.  </w:t>
      </w:r>
    </w:p>
    <w:p w:rsidR="00C957A0" w:rsidRPr="00C957A0" w:rsidRDefault="00C957A0" w:rsidP="00124F77">
      <w:pPr>
        <w:spacing w:line="320" w:lineRule="exact"/>
        <w:jc w:val="both"/>
        <w:rPr>
          <w:rFonts w:ascii="Palatino Linotype" w:hAnsi="Palatino Linotype"/>
          <w:u w:val="single"/>
        </w:rPr>
      </w:pPr>
    </w:p>
    <w:p w:rsidR="00C957A0" w:rsidRDefault="00C957A0" w:rsidP="00124F77">
      <w:pPr>
        <w:spacing w:line="320" w:lineRule="exact"/>
        <w:jc w:val="both"/>
        <w:rPr>
          <w:rFonts w:ascii="Palatino Linotype" w:hAnsi="Palatino Linotype"/>
        </w:rPr>
      </w:pPr>
      <w:r w:rsidRPr="00C957A0">
        <w:rPr>
          <w:rFonts w:ascii="Palatino Linotype" w:hAnsi="Palatino Linotype"/>
        </w:rPr>
        <w:t>This proposed language</w:t>
      </w:r>
      <w:r>
        <w:rPr>
          <w:rFonts w:ascii="Palatino Linotype" w:hAnsi="Palatino Linotype"/>
        </w:rPr>
        <w:t xml:space="preserve"> not only provides clarity, but also is </w:t>
      </w:r>
      <w:r w:rsidRPr="00C957A0">
        <w:rPr>
          <w:rFonts w:ascii="Palatino Linotype" w:hAnsi="Palatino Linotype"/>
        </w:rPr>
        <w:t xml:space="preserve">consistent with the Commission’s proposed language in 4901:1-27-12(B)(5). </w:t>
      </w:r>
    </w:p>
    <w:p w:rsidR="00076200" w:rsidRDefault="00076200" w:rsidP="00124F77">
      <w:pPr>
        <w:spacing w:line="320" w:lineRule="exact"/>
        <w:jc w:val="both"/>
        <w:rPr>
          <w:rFonts w:ascii="Palatino Linotype" w:hAnsi="Palatino Linotype"/>
        </w:rPr>
      </w:pPr>
    </w:p>
    <w:p w:rsidR="008D5D43" w:rsidRPr="008D5D43" w:rsidRDefault="00C6274A" w:rsidP="00124F77">
      <w:pPr>
        <w:spacing w:line="320" w:lineRule="exact"/>
        <w:jc w:val="both"/>
        <w:rPr>
          <w:rFonts w:ascii="Palatino Linotype" w:hAnsi="Palatino Linotype"/>
          <w:szCs w:val="24"/>
        </w:rPr>
      </w:pPr>
      <w:r>
        <w:rPr>
          <w:rFonts w:ascii="Palatino Linotype" w:hAnsi="Palatino Linotype"/>
        </w:rPr>
        <w:t xml:space="preserve">Rule 4901:1-29-06 contemplates </w:t>
      </w:r>
      <w:r w:rsidR="005C541D">
        <w:rPr>
          <w:rFonts w:ascii="Palatino Linotype" w:hAnsi="Palatino Linotype"/>
        </w:rPr>
        <w:t xml:space="preserve">generally </w:t>
      </w:r>
      <w:r>
        <w:rPr>
          <w:rFonts w:ascii="Palatino Linotype" w:hAnsi="Palatino Linotype"/>
        </w:rPr>
        <w:t>that customer enrollment</w:t>
      </w:r>
      <w:r w:rsidR="005C541D">
        <w:rPr>
          <w:rFonts w:ascii="Palatino Linotype" w:hAnsi="Palatino Linotype"/>
        </w:rPr>
        <w:t xml:space="preserve"> for retail natural gas supply programs shall be through the retail natural gas suppliers or governmental aggregators.</w:t>
      </w:r>
      <w:r w:rsidR="00076200">
        <w:rPr>
          <w:rFonts w:ascii="Palatino Linotype" w:hAnsi="Palatino Linotype"/>
        </w:rPr>
        <w:t xml:space="preserve"> Co</w:t>
      </w:r>
      <w:r w:rsidR="008D5D43">
        <w:rPr>
          <w:rFonts w:ascii="Palatino Linotype" w:hAnsi="Palatino Linotype"/>
        </w:rPr>
        <w:t xml:space="preserve">lumbia suggests </w:t>
      </w:r>
      <w:r w:rsidR="005C541D">
        <w:rPr>
          <w:rFonts w:ascii="Palatino Linotype" w:hAnsi="Palatino Linotype"/>
        </w:rPr>
        <w:t xml:space="preserve">that customers should also be permitted to enroll with retail natural gas suppliers when customers contact natural gas companies to initiate service. Permitting such action would ease the administrative burden customers can face when </w:t>
      </w:r>
      <w:proofErr w:type="gramStart"/>
      <w:r w:rsidR="005C541D">
        <w:rPr>
          <w:rFonts w:ascii="Palatino Linotype" w:hAnsi="Palatino Linotype"/>
        </w:rPr>
        <w:t>initiating</w:t>
      </w:r>
      <w:proofErr w:type="gramEnd"/>
      <w:r w:rsidR="005C541D">
        <w:rPr>
          <w:rFonts w:ascii="Palatino Linotype" w:hAnsi="Palatino Linotype"/>
        </w:rPr>
        <w:t xml:space="preserve"> service and desiring to also initiate participation in a retail natural gas supply program. Therefore, Columb</w:t>
      </w:r>
      <w:r w:rsidR="00EF0F92">
        <w:rPr>
          <w:rFonts w:ascii="Palatino Linotype" w:hAnsi="Palatino Linotype"/>
        </w:rPr>
        <w:t xml:space="preserve">ia </w:t>
      </w:r>
      <w:bookmarkStart w:id="0" w:name="_GoBack"/>
      <w:bookmarkEnd w:id="0"/>
      <w:r w:rsidR="005C541D">
        <w:rPr>
          <w:rFonts w:ascii="Palatino Linotype" w:hAnsi="Palatino Linotype"/>
        </w:rPr>
        <w:t xml:space="preserve">suggests </w:t>
      </w:r>
      <w:r w:rsidR="008D5D43">
        <w:rPr>
          <w:rFonts w:ascii="Palatino Linotype" w:hAnsi="Palatino Linotype"/>
        </w:rPr>
        <w:t xml:space="preserve">adding language to 4901:1-29-06 </w:t>
      </w:r>
      <w:r w:rsidR="005C541D">
        <w:rPr>
          <w:rFonts w:ascii="Palatino Linotype" w:hAnsi="Palatino Linotype"/>
        </w:rPr>
        <w:t xml:space="preserve">that would </w:t>
      </w:r>
      <w:r w:rsidR="00076200">
        <w:rPr>
          <w:rFonts w:ascii="Palatino Linotype" w:hAnsi="Palatino Linotype"/>
        </w:rPr>
        <w:t xml:space="preserve">permit </w:t>
      </w:r>
      <w:r w:rsidR="003F7A5B">
        <w:rPr>
          <w:rFonts w:ascii="Palatino Linotype" w:hAnsi="Palatino Linotype"/>
        </w:rPr>
        <w:t xml:space="preserve">new customers to enroll with a </w:t>
      </w:r>
      <w:r w:rsidR="005C541D">
        <w:rPr>
          <w:rFonts w:ascii="Palatino Linotype" w:hAnsi="Palatino Linotype"/>
        </w:rPr>
        <w:t xml:space="preserve">retail natural gas </w:t>
      </w:r>
      <w:r w:rsidR="003F7A5B">
        <w:rPr>
          <w:rFonts w:ascii="Palatino Linotype" w:hAnsi="Palatino Linotype"/>
        </w:rPr>
        <w:t xml:space="preserve">supplier when the customer first requests service with </w:t>
      </w:r>
      <w:r w:rsidR="005C541D">
        <w:rPr>
          <w:rFonts w:ascii="Palatino Linotype" w:hAnsi="Palatino Linotype"/>
        </w:rPr>
        <w:t>a natural gas company</w:t>
      </w:r>
      <w:r w:rsidR="003F7A5B">
        <w:rPr>
          <w:rFonts w:ascii="Palatino Linotype" w:hAnsi="Palatino Linotype"/>
        </w:rPr>
        <w:t xml:space="preserve">. </w:t>
      </w:r>
      <w:r w:rsidR="005C541D">
        <w:rPr>
          <w:rFonts w:ascii="Palatino Linotype" w:hAnsi="Palatino Linotype"/>
        </w:rPr>
        <w:t xml:space="preserve">Columbia </w:t>
      </w:r>
      <w:r w:rsidR="008D5D43">
        <w:rPr>
          <w:rFonts w:ascii="Palatino Linotype" w:hAnsi="Palatino Linotype"/>
        </w:rPr>
        <w:t>suggests adding the following language,</w:t>
      </w:r>
    </w:p>
    <w:p w:rsidR="008D5D43" w:rsidRPr="001C3B62" w:rsidRDefault="008D5D43" w:rsidP="001C3B62">
      <w:pPr>
        <w:spacing w:line="320" w:lineRule="exact"/>
        <w:ind w:left="720"/>
        <w:jc w:val="both"/>
        <w:rPr>
          <w:rFonts w:ascii="Palatino Linotype" w:hAnsi="Palatino Linotype"/>
          <w:szCs w:val="24"/>
          <w:u w:val="single"/>
        </w:rPr>
      </w:pPr>
      <w:r w:rsidRPr="001C3B62">
        <w:rPr>
          <w:rFonts w:ascii="Palatino Linotype" w:eastAsiaTheme="minorHAnsi" w:hAnsi="Palatino Linotype" w:cs="Helv"/>
          <w:szCs w:val="24"/>
          <w:u w:val="single"/>
        </w:rPr>
        <w:t xml:space="preserve">(L) A customer may elect to enroll </w:t>
      </w:r>
      <w:r w:rsidR="005C541D">
        <w:rPr>
          <w:rFonts w:ascii="Palatino Linotype" w:eastAsiaTheme="minorHAnsi" w:hAnsi="Palatino Linotype" w:cs="Helv"/>
          <w:szCs w:val="24"/>
          <w:u w:val="single"/>
        </w:rPr>
        <w:t xml:space="preserve">in </w:t>
      </w:r>
      <w:r w:rsidRPr="001C3B62">
        <w:rPr>
          <w:rFonts w:ascii="Palatino Linotype" w:eastAsiaTheme="minorHAnsi" w:hAnsi="Palatino Linotype" w:cs="Helv"/>
          <w:szCs w:val="24"/>
          <w:u w:val="single"/>
        </w:rPr>
        <w:t>a retail natural gas suppl</w:t>
      </w:r>
      <w:r w:rsidR="005C541D">
        <w:rPr>
          <w:rFonts w:ascii="Palatino Linotype" w:eastAsiaTheme="minorHAnsi" w:hAnsi="Palatino Linotype" w:cs="Helv"/>
          <w:szCs w:val="24"/>
          <w:u w:val="single"/>
        </w:rPr>
        <w:t>y</w:t>
      </w:r>
      <w:r w:rsidR="001C3B62">
        <w:rPr>
          <w:rFonts w:ascii="Palatino Linotype" w:eastAsiaTheme="minorHAnsi" w:hAnsi="Palatino Linotype" w:cs="Helv"/>
          <w:szCs w:val="24"/>
          <w:u w:val="single"/>
        </w:rPr>
        <w:t xml:space="preserve"> </w:t>
      </w:r>
      <w:r w:rsidRPr="001C3B62">
        <w:rPr>
          <w:rFonts w:ascii="Palatino Linotype" w:eastAsiaTheme="minorHAnsi" w:hAnsi="Palatino Linotype" w:cs="Helv"/>
          <w:szCs w:val="24"/>
          <w:u w:val="single"/>
        </w:rPr>
        <w:t>program, at the time the</w:t>
      </w:r>
      <w:r w:rsidR="005C541D">
        <w:rPr>
          <w:rFonts w:ascii="Palatino Linotype" w:eastAsiaTheme="minorHAnsi" w:hAnsi="Palatino Linotype" w:cs="Helv"/>
          <w:szCs w:val="24"/>
          <w:u w:val="single"/>
        </w:rPr>
        <w:t xml:space="preserve"> customer</w:t>
      </w:r>
      <w:r w:rsidRPr="001C3B62">
        <w:rPr>
          <w:rFonts w:ascii="Palatino Linotype" w:eastAsiaTheme="minorHAnsi" w:hAnsi="Palatino Linotype" w:cs="Helv"/>
          <w:szCs w:val="24"/>
          <w:u w:val="single"/>
        </w:rPr>
        <w:t xml:space="preserve"> request</w:t>
      </w:r>
      <w:r w:rsidR="005C541D">
        <w:rPr>
          <w:rFonts w:ascii="Palatino Linotype" w:eastAsiaTheme="minorHAnsi" w:hAnsi="Palatino Linotype" w:cs="Helv"/>
          <w:szCs w:val="24"/>
          <w:u w:val="single"/>
        </w:rPr>
        <w:t>s</w:t>
      </w:r>
      <w:r w:rsidRPr="001C3B62">
        <w:rPr>
          <w:rFonts w:ascii="Palatino Linotype" w:eastAsiaTheme="minorHAnsi" w:hAnsi="Palatino Linotype" w:cs="Helv"/>
          <w:szCs w:val="24"/>
          <w:u w:val="single"/>
        </w:rPr>
        <w:t xml:space="preserve"> service with </w:t>
      </w:r>
      <w:r w:rsidR="005C541D">
        <w:rPr>
          <w:rFonts w:ascii="Palatino Linotype" w:eastAsiaTheme="minorHAnsi" w:hAnsi="Palatino Linotype" w:cs="Helv"/>
          <w:szCs w:val="24"/>
          <w:u w:val="single"/>
        </w:rPr>
        <w:t xml:space="preserve">a </w:t>
      </w:r>
      <w:r w:rsidRPr="001C3B62">
        <w:rPr>
          <w:rFonts w:ascii="Palatino Linotype" w:eastAsiaTheme="minorHAnsi" w:hAnsi="Palatino Linotype" w:cs="Helv"/>
          <w:szCs w:val="24"/>
          <w:u w:val="single"/>
        </w:rPr>
        <w:t xml:space="preserve">natural gas company. </w:t>
      </w:r>
    </w:p>
    <w:p w:rsidR="008D5D43" w:rsidRPr="00C957A0" w:rsidRDefault="008D5D43" w:rsidP="00124F77">
      <w:pPr>
        <w:spacing w:line="320" w:lineRule="exact"/>
        <w:jc w:val="both"/>
        <w:rPr>
          <w:rFonts w:ascii="Palatino Linotype" w:hAnsi="Palatino Linotype"/>
        </w:rPr>
      </w:pPr>
    </w:p>
    <w:p w:rsidR="00C957A0" w:rsidRDefault="00C957A0" w:rsidP="00124F77">
      <w:pPr>
        <w:spacing w:line="320" w:lineRule="exact"/>
        <w:jc w:val="both"/>
        <w:rPr>
          <w:rFonts w:ascii="Palatino Linotype" w:hAnsi="Palatino Linotype"/>
          <w:b/>
        </w:rPr>
      </w:pPr>
      <w:r w:rsidRPr="00C957A0">
        <w:rPr>
          <w:rFonts w:ascii="Palatino Linotype" w:hAnsi="Palatino Linotype"/>
        </w:rPr>
        <w:tab/>
      </w:r>
      <w:r w:rsidRPr="00C957A0">
        <w:rPr>
          <w:rFonts w:ascii="Palatino Linotype" w:hAnsi="Palatino Linotype"/>
          <w:b/>
        </w:rPr>
        <w:t>Responses to Questions Posed in Attachment A</w:t>
      </w:r>
    </w:p>
    <w:p w:rsidR="00C957A0" w:rsidRPr="00C957A0" w:rsidRDefault="00C957A0" w:rsidP="00124F77">
      <w:pPr>
        <w:spacing w:line="320" w:lineRule="exact"/>
        <w:jc w:val="both"/>
        <w:rPr>
          <w:rFonts w:ascii="Palatino Linotype" w:hAnsi="Palatino Linotype"/>
          <w:b/>
        </w:rPr>
      </w:pPr>
    </w:p>
    <w:p w:rsidR="002C049D" w:rsidRDefault="002C049D" w:rsidP="00124F77">
      <w:pPr>
        <w:spacing w:line="320" w:lineRule="exact"/>
        <w:jc w:val="both"/>
        <w:rPr>
          <w:rFonts w:ascii="Palatino Linotype" w:hAnsi="Palatino Linotype"/>
        </w:rPr>
      </w:pPr>
      <w:r>
        <w:rPr>
          <w:rFonts w:ascii="Palatino Linotype" w:hAnsi="Palatino Linotype"/>
        </w:rPr>
        <w:t>Q1.</w:t>
      </w:r>
      <w:r>
        <w:rPr>
          <w:rFonts w:ascii="Palatino Linotype" w:hAnsi="Palatino Linotype"/>
        </w:rPr>
        <w:tab/>
        <w:t>Columbia has no opinion on Question 1.</w:t>
      </w:r>
    </w:p>
    <w:p w:rsidR="002C049D" w:rsidRDefault="002C049D" w:rsidP="00124F77">
      <w:pPr>
        <w:spacing w:line="320" w:lineRule="exact"/>
        <w:jc w:val="both"/>
        <w:rPr>
          <w:rFonts w:ascii="Palatino Linotype" w:hAnsi="Palatino Linotype"/>
        </w:rPr>
      </w:pPr>
    </w:p>
    <w:p w:rsidR="00C957A0" w:rsidRDefault="00C957A0" w:rsidP="00124F77">
      <w:pPr>
        <w:spacing w:line="320" w:lineRule="exact"/>
        <w:jc w:val="both"/>
        <w:rPr>
          <w:rFonts w:ascii="Palatino Linotype" w:hAnsi="Palatino Linotype"/>
        </w:rPr>
      </w:pPr>
      <w:r w:rsidRPr="00C957A0">
        <w:rPr>
          <w:rFonts w:ascii="Palatino Linotype" w:hAnsi="Palatino Linotype"/>
        </w:rPr>
        <w:t>Q2.</w:t>
      </w:r>
      <w:r w:rsidRPr="00C957A0">
        <w:rPr>
          <w:rFonts w:ascii="Palatino Linotype" w:hAnsi="Palatino Linotype"/>
        </w:rPr>
        <w:tab/>
        <w:t>Aggregation incentives, such as financial contributions to the community, should be disclosed in the opt-out notices. Such disclosure would provide transparency and ensure that consumers are fully educated and informed within the opt-out community.</w:t>
      </w:r>
    </w:p>
    <w:p w:rsidR="00C957A0" w:rsidRDefault="00C957A0" w:rsidP="00124F77">
      <w:pPr>
        <w:spacing w:line="320" w:lineRule="exact"/>
        <w:jc w:val="both"/>
        <w:rPr>
          <w:rFonts w:ascii="Palatino Linotype" w:hAnsi="Palatino Linotype"/>
        </w:rPr>
      </w:pPr>
    </w:p>
    <w:p w:rsidR="002C049D" w:rsidRDefault="002C049D" w:rsidP="00124F77">
      <w:pPr>
        <w:spacing w:line="320" w:lineRule="exact"/>
        <w:jc w:val="both"/>
        <w:rPr>
          <w:rFonts w:ascii="Palatino Linotype" w:hAnsi="Palatino Linotype"/>
        </w:rPr>
      </w:pPr>
      <w:r>
        <w:rPr>
          <w:rFonts w:ascii="Palatino Linotype" w:hAnsi="Palatino Linotype"/>
        </w:rPr>
        <w:t>Q3.</w:t>
      </w:r>
      <w:r>
        <w:rPr>
          <w:rFonts w:ascii="Palatino Linotype" w:hAnsi="Palatino Linotype"/>
        </w:rPr>
        <w:tab/>
        <w:t xml:space="preserve">Columbia believes that suppliers should be required to disclose all inducements to contract. </w:t>
      </w:r>
      <w:r w:rsidRPr="00C957A0">
        <w:rPr>
          <w:rFonts w:ascii="Palatino Linotype" w:hAnsi="Palatino Linotype"/>
        </w:rPr>
        <w:t>Such disclosure would provide transparency and ensure that consumers are fully educated and informed within the opt-out community.</w:t>
      </w:r>
    </w:p>
    <w:p w:rsidR="002C049D" w:rsidRPr="00C957A0" w:rsidRDefault="002C049D" w:rsidP="00124F77">
      <w:pPr>
        <w:spacing w:line="320" w:lineRule="exact"/>
        <w:jc w:val="both"/>
        <w:rPr>
          <w:rFonts w:ascii="Palatino Linotype" w:hAnsi="Palatino Linotype"/>
        </w:rPr>
      </w:pPr>
    </w:p>
    <w:p w:rsidR="00C957A0" w:rsidRDefault="00C957A0" w:rsidP="00124F77">
      <w:pPr>
        <w:spacing w:line="320" w:lineRule="exact"/>
        <w:jc w:val="both"/>
        <w:rPr>
          <w:rFonts w:ascii="Palatino Linotype" w:hAnsi="Palatino Linotype"/>
        </w:rPr>
      </w:pPr>
      <w:r w:rsidRPr="00C957A0">
        <w:rPr>
          <w:rFonts w:ascii="Palatino Linotype" w:hAnsi="Palatino Linotype"/>
        </w:rPr>
        <w:lastRenderedPageBreak/>
        <w:t>Q4.</w:t>
      </w:r>
      <w:r w:rsidRPr="00C957A0">
        <w:rPr>
          <w:rFonts w:ascii="Palatino Linotype" w:hAnsi="Palatino Linotype"/>
        </w:rPr>
        <w:tab/>
        <w:t xml:space="preserve">Rule 4901:1-29-06(E) should also require competitive retail natural gas service providers, governmental aggregators or independent third-party verifiers to record the sales pitch segment of the call. The recording will provide additional support when </w:t>
      </w:r>
      <w:r w:rsidR="002C049D">
        <w:rPr>
          <w:rFonts w:ascii="Palatino Linotype" w:hAnsi="Palatino Linotype"/>
        </w:rPr>
        <w:t xml:space="preserve">a utility or the Commission </w:t>
      </w:r>
      <w:r w:rsidRPr="00C957A0">
        <w:rPr>
          <w:rFonts w:ascii="Palatino Linotype" w:hAnsi="Palatino Linotype"/>
        </w:rPr>
        <w:t xml:space="preserve">has to investigate complaints alleging high pressured sales tactics. </w:t>
      </w:r>
    </w:p>
    <w:p w:rsidR="00C957A0" w:rsidRPr="00C957A0" w:rsidRDefault="00C957A0" w:rsidP="00124F77">
      <w:pPr>
        <w:spacing w:line="320" w:lineRule="exact"/>
        <w:jc w:val="both"/>
        <w:rPr>
          <w:rFonts w:ascii="Palatino Linotype" w:hAnsi="Palatino Linotype"/>
        </w:rPr>
      </w:pPr>
    </w:p>
    <w:p w:rsidR="00C957A0" w:rsidRPr="00C957A0" w:rsidRDefault="00C957A0" w:rsidP="00124F77">
      <w:pPr>
        <w:spacing w:line="320" w:lineRule="exact"/>
        <w:jc w:val="both"/>
        <w:rPr>
          <w:rFonts w:ascii="Palatino Linotype" w:hAnsi="Palatino Linotype"/>
        </w:rPr>
      </w:pPr>
      <w:r w:rsidRPr="00C957A0">
        <w:rPr>
          <w:rFonts w:ascii="Palatino Linotype" w:hAnsi="Palatino Linotype"/>
        </w:rPr>
        <w:t>Q5.</w:t>
      </w:r>
      <w:r w:rsidRPr="00C957A0">
        <w:rPr>
          <w:rFonts w:ascii="Palatino Linotype" w:hAnsi="Palatino Linotype"/>
        </w:rPr>
        <w:tab/>
        <w:t>Complaint data should be added to the Apples to Apples chart to ensure that customer</w:t>
      </w:r>
      <w:r w:rsidR="002C049D">
        <w:rPr>
          <w:rFonts w:ascii="Palatino Linotype" w:hAnsi="Palatino Linotype"/>
        </w:rPr>
        <w:t>s</w:t>
      </w:r>
      <w:r w:rsidRPr="00C957A0">
        <w:rPr>
          <w:rFonts w:ascii="Palatino Linotype" w:hAnsi="Palatino Linotype"/>
        </w:rPr>
        <w:t xml:space="preserve"> </w:t>
      </w:r>
      <w:r w:rsidR="002C049D">
        <w:rPr>
          <w:rFonts w:ascii="Palatino Linotype" w:hAnsi="Palatino Linotype"/>
        </w:rPr>
        <w:t xml:space="preserve">are </w:t>
      </w:r>
      <w:r w:rsidRPr="00C957A0">
        <w:rPr>
          <w:rFonts w:ascii="Palatino Linotype" w:hAnsi="Palatino Linotype"/>
        </w:rPr>
        <w:t>fully informed and able to shop for supplier</w:t>
      </w:r>
      <w:r w:rsidR="002C049D">
        <w:rPr>
          <w:rFonts w:ascii="Palatino Linotype" w:hAnsi="Palatino Linotype"/>
        </w:rPr>
        <w:t>s</w:t>
      </w:r>
      <w:r w:rsidRPr="00C957A0">
        <w:rPr>
          <w:rFonts w:ascii="Palatino Linotype" w:hAnsi="Palatino Linotype"/>
        </w:rPr>
        <w:t xml:space="preserve"> with the most comprehensive information available.</w:t>
      </w:r>
    </w:p>
    <w:p w:rsidR="00C957A0" w:rsidRDefault="00C957A0" w:rsidP="00124F77">
      <w:pPr>
        <w:spacing w:line="320" w:lineRule="exact"/>
        <w:jc w:val="both"/>
        <w:rPr>
          <w:rFonts w:ascii="Palatino Linotype" w:hAnsi="Palatino Linotype"/>
        </w:rPr>
      </w:pPr>
    </w:p>
    <w:p w:rsidR="00C957A0" w:rsidRDefault="00C957A0" w:rsidP="00124F77">
      <w:pPr>
        <w:spacing w:line="320" w:lineRule="exact"/>
        <w:jc w:val="both"/>
        <w:rPr>
          <w:rFonts w:ascii="Palatino Linotype" w:hAnsi="Palatino Linotype"/>
        </w:rPr>
      </w:pPr>
      <w:r>
        <w:rPr>
          <w:rFonts w:ascii="Palatino Linotype" w:hAnsi="Palatino Linotype"/>
        </w:rPr>
        <w:tab/>
        <w:t xml:space="preserve">Columbia respectfully requests that the Commission take into consideration Columbia’s responses to the question posed in Attachment A and adopt the changes to the rules as detailed herein. </w:t>
      </w:r>
    </w:p>
    <w:p w:rsidR="00C957A0" w:rsidRDefault="00C957A0" w:rsidP="00124F77">
      <w:pPr>
        <w:spacing w:line="320" w:lineRule="exact"/>
        <w:jc w:val="both"/>
        <w:rPr>
          <w:rFonts w:ascii="Palatino Linotype" w:hAnsi="Palatino Linotype"/>
        </w:rPr>
      </w:pPr>
    </w:p>
    <w:p w:rsidR="00C957A0" w:rsidRDefault="00C957A0" w:rsidP="00124F77">
      <w:pPr>
        <w:spacing w:line="320" w:lineRule="exact"/>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p>
    <w:p w:rsidR="00C957A0" w:rsidRPr="00573849" w:rsidRDefault="00C957A0" w:rsidP="00124F77">
      <w:pPr>
        <w:spacing w:line="320" w:lineRule="exact"/>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573849">
        <w:rPr>
          <w:rFonts w:ascii="Palatino Linotype" w:hAnsi="Palatino Linotype"/>
        </w:rPr>
        <w:t>Respectfully submitted,</w:t>
      </w:r>
    </w:p>
    <w:p w:rsidR="00C957A0" w:rsidRPr="00573849" w:rsidRDefault="00C957A0" w:rsidP="00124F77">
      <w:pPr>
        <w:spacing w:line="320" w:lineRule="exact"/>
        <w:ind w:left="5040"/>
        <w:rPr>
          <w:rFonts w:ascii="Palatino Linotype" w:hAnsi="Palatino Linotype"/>
          <w:u w:val="single"/>
        </w:rPr>
      </w:pPr>
      <w:r w:rsidRPr="00573849">
        <w:rPr>
          <w:rFonts w:ascii="Palatino Linotype" w:hAnsi="Palatino Linotype"/>
          <w:u w:val="single"/>
        </w:rPr>
        <w:t>/s/ Brooke E. Leslie</w:t>
      </w:r>
      <w:r w:rsidRPr="00573849">
        <w:rPr>
          <w:rFonts w:ascii="Palatino Linotype" w:hAnsi="Palatino Linotype"/>
          <w:u w:val="single"/>
        </w:rPr>
        <w:tab/>
      </w:r>
      <w:r w:rsidRPr="00573849">
        <w:rPr>
          <w:rFonts w:ascii="Palatino Linotype" w:hAnsi="Palatino Linotype"/>
          <w:u w:val="single"/>
        </w:rPr>
        <w:tab/>
      </w:r>
      <w:r w:rsidRPr="00573849">
        <w:rPr>
          <w:rFonts w:ascii="Palatino Linotype" w:hAnsi="Palatino Linotype"/>
          <w:u w:val="single"/>
        </w:rPr>
        <w:tab/>
      </w:r>
    </w:p>
    <w:p w:rsidR="00C957A0" w:rsidRPr="00573849" w:rsidRDefault="00C957A0" w:rsidP="00124F77">
      <w:pPr>
        <w:spacing w:line="320" w:lineRule="exact"/>
        <w:ind w:left="5040"/>
        <w:rPr>
          <w:rFonts w:ascii="Palatino Linotype" w:hAnsi="Palatino Linotype"/>
        </w:rPr>
      </w:pPr>
      <w:r w:rsidRPr="00573849">
        <w:rPr>
          <w:rFonts w:ascii="Palatino Linotype" w:hAnsi="Palatino Linotype"/>
        </w:rPr>
        <w:t>Counsel of Record</w:t>
      </w:r>
    </w:p>
    <w:p w:rsidR="00C957A0" w:rsidRPr="00573849" w:rsidRDefault="00C957A0" w:rsidP="00124F77">
      <w:pPr>
        <w:spacing w:line="320" w:lineRule="exact"/>
        <w:ind w:left="5040"/>
        <w:rPr>
          <w:rFonts w:ascii="Palatino Linotype" w:hAnsi="Palatino Linotype"/>
        </w:rPr>
      </w:pPr>
    </w:p>
    <w:p w:rsidR="00C957A0" w:rsidRPr="00573849" w:rsidRDefault="00C957A0" w:rsidP="00124F77">
      <w:pPr>
        <w:spacing w:line="320" w:lineRule="exact"/>
        <w:ind w:left="5040"/>
        <w:rPr>
          <w:rFonts w:ascii="Palatino Linotype" w:hAnsi="Palatino Linotype"/>
        </w:rPr>
      </w:pPr>
      <w:r w:rsidRPr="00573849">
        <w:rPr>
          <w:rFonts w:ascii="Palatino Linotype" w:hAnsi="Palatino Linotype"/>
        </w:rPr>
        <w:t>Stephen B. Seiple, Assistant General Counsel</w:t>
      </w:r>
    </w:p>
    <w:p w:rsidR="00C957A0" w:rsidRPr="00573849" w:rsidRDefault="00C957A0" w:rsidP="00124F77">
      <w:pPr>
        <w:spacing w:line="320" w:lineRule="exact"/>
        <w:ind w:left="5040"/>
        <w:rPr>
          <w:rFonts w:ascii="Palatino Linotype" w:hAnsi="Palatino Linotype"/>
        </w:rPr>
      </w:pPr>
      <w:r w:rsidRPr="00573849">
        <w:rPr>
          <w:rFonts w:ascii="Palatino Linotype" w:hAnsi="Palatino Linotype"/>
        </w:rPr>
        <w:t>Brooke E. Leslie, Senior Counsel</w:t>
      </w:r>
    </w:p>
    <w:p w:rsidR="00C957A0" w:rsidRPr="00573849" w:rsidRDefault="00C957A0" w:rsidP="00124F77">
      <w:pPr>
        <w:spacing w:line="320" w:lineRule="exact"/>
        <w:ind w:left="5040"/>
        <w:rPr>
          <w:rFonts w:ascii="Palatino Linotype" w:hAnsi="Palatino Linotype"/>
        </w:rPr>
      </w:pPr>
      <w:r w:rsidRPr="00573849">
        <w:rPr>
          <w:rFonts w:ascii="Palatino Linotype" w:hAnsi="Palatino Linotype"/>
        </w:rPr>
        <w:t>200 Civic Center Drive,</w:t>
      </w:r>
    </w:p>
    <w:p w:rsidR="00C957A0" w:rsidRPr="00573849" w:rsidRDefault="00C957A0" w:rsidP="00124F77">
      <w:pPr>
        <w:spacing w:line="320" w:lineRule="exact"/>
        <w:ind w:left="5040"/>
        <w:rPr>
          <w:rFonts w:ascii="Palatino Linotype" w:hAnsi="Palatino Linotype"/>
        </w:rPr>
      </w:pPr>
      <w:r w:rsidRPr="00573849">
        <w:rPr>
          <w:rFonts w:ascii="Palatino Linotype" w:hAnsi="Palatino Linotype"/>
        </w:rPr>
        <w:t>Columbus, Ohio 43216</w:t>
      </w:r>
    </w:p>
    <w:p w:rsidR="00C957A0" w:rsidRPr="00573849" w:rsidRDefault="00C957A0" w:rsidP="00124F77">
      <w:pPr>
        <w:spacing w:line="320" w:lineRule="exact"/>
        <w:ind w:left="5040"/>
        <w:rPr>
          <w:rFonts w:ascii="Palatino Linotype" w:hAnsi="Palatino Linotype"/>
        </w:rPr>
      </w:pPr>
      <w:r w:rsidRPr="00573849">
        <w:rPr>
          <w:rFonts w:ascii="Palatino Linotype" w:hAnsi="Palatino Linotype"/>
        </w:rPr>
        <w:t>(614) 460-4648</w:t>
      </w:r>
    </w:p>
    <w:p w:rsidR="00C957A0" w:rsidRPr="00573849" w:rsidRDefault="00C957A0" w:rsidP="00124F77">
      <w:pPr>
        <w:spacing w:line="320" w:lineRule="exact"/>
        <w:ind w:left="5040"/>
        <w:rPr>
          <w:rFonts w:ascii="Palatino Linotype" w:hAnsi="Palatino Linotype"/>
        </w:rPr>
      </w:pPr>
      <w:r w:rsidRPr="00573849">
        <w:rPr>
          <w:rFonts w:ascii="Palatino Linotype" w:hAnsi="Palatino Linotype"/>
        </w:rPr>
        <w:t>sseiple@nisource.com</w:t>
      </w:r>
    </w:p>
    <w:p w:rsidR="00C957A0" w:rsidRPr="00573849" w:rsidRDefault="00C957A0" w:rsidP="00124F77">
      <w:pPr>
        <w:spacing w:line="320" w:lineRule="exact"/>
        <w:ind w:left="5040"/>
        <w:rPr>
          <w:rFonts w:ascii="Palatino Linotype" w:hAnsi="Palatino Linotype"/>
        </w:rPr>
      </w:pPr>
      <w:r w:rsidRPr="00573849">
        <w:rPr>
          <w:rFonts w:ascii="Palatino Linotype" w:hAnsi="Palatino Linotype"/>
        </w:rPr>
        <w:t>bleslie@nisource.com</w:t>
      </w:r>
    </w:p>
    <w:p w:rsidR="00C957A0" w:rsidRPr="00573849" w:rsidRDefault="00C957A0" w:rsidP="00124F77">
      <w:pPr>
        <w:spacing w:line="320" w:lineRule="exact"/>
        <w:ind w:left="5040"/>
        <w:rPr>
          <w:rFonts w:ascii="Palatino Linotype" w:hAnsi="Palatino Linotype"/>
        </w:rPr>
      </w:pPr>
    </w:p>
    <w:p w:rsidR="00C957A0" w:rsidRPr="00124F77" w:rsidRDefault="00C957A0" w:rsidP="00124F77">
      <w:pPr>
        <w:spacing w:line="320" w:lineRule="exact"/>
        <w:ind w:left="5040"/>
        <w:rPr>
          <w:rFonts w:ascii="Palatino Linotype" w:hAnsi="Palatino Linotype"/>
          <w:b/>
          <w:spacing w:val="-12"/>
        </w:rPr>
      </w:pPr>
      <w:r w:rsidRPr="00124F77">
        <w:rPr>
          <w:rFonts w:ascii="Palatino Linotype" w:hAnsi="Palatino Linotype"/>
          <w:b/>
          <w:spacing w:val="-12"/>
        </w:rPr>
        <w:t>COUNSEL FOR COLUMBIA GAS OF OHIO, INC.</w:t>
      </w:r>
      <w:r w:rsidRPr="00124F77" w:rsidDel="00B63C4D">
        <w:rPr>
          <w:rFonts w:ascii="Palatino Linotype" w:hAnsi="Palatino Linotype"/>
          <w:b/>
          <w:spacing w:val="-12"/>
        </w:rPr>
        <w:t xml:space="preserve"> </w:t>
      </w:r>
    </w:p>
    <w:p w:rsidR="00C957A0" w:rsidRPr="00573849" w:rsidRDefault="00C957A0" w:rsidP="00C957A0">
      <w:pPr>
        <w:spacing w:line="300" w:lineRule="exact"/>
        <w:jc w:val="both"/>
        <w:rPr>
          <w:rFonts w:ascii="Palatino Linotype" w:hAnsi="Palatino Linotype"/>
        </w:rPr>
      </w:pPr>
    </w:p>
    <w:sectPr w:rsidR="00C957A0" w:rsidRPr="00573849" w:rsidSect="00124F7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93B" w:rsidRDefault="004B293B" w:rsidP="002C049D">
      <w:pPr>
        <w:spacing w:line="240" w:lineRule="auto"/>
      </w:pPr>
      <w:r>
        <w:separator/>
      </w:r>
    </w:p>
  </w:endnote>
  <w:endnote w:type="continuationSeparator" w:id="0">
    <w:p w:rsidR="004B293B" w:rsidRDefault="004B293B" w:rsidP="002C0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4C" w:rsidRDefault="00571A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073076"/>
      <w:docPartObj>
        <w:docPartGallery w:val="Page Numbers (Bottom of Page)"/>
        <w:docPartUnique/>
      </w:docPartObj>
    </w:sdtPr>
    <w:sdtEndPr>
      <w:rPr>
        <w:noProof/>
      </w:rPr>
    </w:sdtEndPr>
    <w:sdtContent>
      <w:p w:rsidR="002C049D" w:rsidRDefault="002C049D">
        <w:pPr>
          <w:pStyle w:val="Footer"/>
          <w:jc w:val="center"/>
        </w:pPr>
        <w:r>
          <w:fldChar w:fldCharType="begin"/>
        </w:r>
        <w:r>
          <w:instrText xml:space="preserve"> PAGE   \* MERGEFORMAT </w:instrText>
        </w:r>
        <w:r>
          <w:fldChar w:fldCharType="separate"/>
        </w:r>
        <w:r w:rsidR="00EF0F92">
          <w:rPr>
            <w:noProof/>
          </w:rPr>
          <w:t>2</w:t>
        </w:r>
        <w:r>
          <w:rPr>
            <w:noProof/>
          </w:rPr>
          <w:fldChar w:fldCharType="end"/>
        </w:r>
      </w:p>
    </w:sdtContent>
  </w:sdt>
  <w:p w:rsidR="002C049D" w:rsidRDefault="002C04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4C" w:rsidRDefault="00571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93B" w:rsidRDefault="004B293B" w:rsidP="002C049D">
      <w:pPr>
        <w:spacing w:line="240" w:lineRule="auto"/>
      </w:pPr>
      <w:r>
        <w:separator/>
      </w:r>
    </w:p>
  </w:footnote>
  <w:footnote w:type="continuationSeparator" w:id="0">
    <w:p w:rsidR="004B293B" w:rsidRDefault="004B293B" w:rsidP="002C04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4C" w:rsidRDefault="00571A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4C" w:rsidRDefault="00571A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4C" w:rsidRDefault="00571A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19"/>
    <w:rsid w:val="00044AF2"/>
    <w:rsid w:val="00076200"/>
    <w:rsid w:val="00124F77"/>
    <w:rsid w:val="00142450"/>
    <w:rsid w:val="001C3B62"/>
    <w:rsid w:val="001F1AFB"/>
    <w:rsid w:val="00232919"/>
    <w:rsid w:val="002C049D"/>
    <w:rsid w:val="002C1853"/>
    <w:rsid w:val="00331A21"/>
    <w:rsid w:val="003F7A5B"/>
    <w:rsid w:val="004A1136"/>
    <w:rsid w:val="004B293B"/>
    <w:rsid w:val="00571A4C"/>
    <w:rsid w:val="00573849"/>
    <w:rsid w:val="005957C1"/>
    <w:rsid w:val="005C541D"/>
    <w:rsid w:val="00665E55"/>
    <w:rsid w:val="0067333C"/>
    <w:rsid w:val="00785C24"/>
    <w:rsid w:val="008D5D43"/>
    <w:rsid w:val="00911F12"/>
    <w:rsid w:val="009556DA"/>
    <w:rsid w:val="00B9597F"/>
    <w:rsid w:val="00C6274A"/>
    <w:rsid w:val="00C957A0"/>
    <w:rsid w:val="00E63C15"/>
    <w:rsid w:val="00E97F6C"/>
    <w:rsid w:val="00EF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19"/>
    <w:pPr>
      <w:spacing w:line="480" w:lineRule="auto"/>
    </w:pPr>
    <w:rPr>
      <w:rFonts w:ascii="Times New Roman" w:eastAsia="Calibri" w:hAnsi="Times New Roman" w:cs="Times New Roman"/>
      <w:color w:val="000000"/>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4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49D"/>
    <w:rPr>
      <w:rFonts w:ascii="Tahoma" w:eastAsia="Calibri" w:hAnsi="Tahoma" w:cs="Tahoma"/>
      <w:color w:val="000000"/>
      <w:sz w:val="16"/>
      <w:szCs w:val="16"/>
    </w:rPr>
  </w:style>
  <w:style w:type="paragraph" w:styleId="Header">
    <w:name w:val="header"/>
    <w:basedOn w:val="Normal"/>
    <w:link w:val="HeaderChar"/>
    <w:uiPriority w:val="99"/>
    <w:unhideWhenUsed/>
    <w:rsid w:val="002C049D"/>
    <w:pPr>
      <w:tabs>
        <w:tab w:val="center" w:pos="4680"/>
        <w:tab w:val="right" w:pos="9360"/>
      </w:tabs>
      <w:spacing w:line="240" w:lineRule="auto"/>
    </w:pPr>
  </w:style>
  <w:style w:type="character" w:customStyle="1" w:styleId="HeaderChar">
    <w:name w:val="Header Char"/>
    <w:basedOn w:val="DefaultParagraphFont"/>
    <w:link w:val="Header"/>
    <w:uiPriority w:val="99"/>
    <w:rsid w:val="002C049D"/>
    <w:rPr>
      <w:rFonts w:ascii="Times New Roman" w:eastAsia="Calibri" w:hAnsi="Times New Roman" w:cs="Times New Roman"/>
      <w:color w:val="000000"/>
      <w:sz w:val="24"/>
      <w:szCs w:val="23"/>
    </w:rPr>
  </w:style>
  <w:style w:type="paragraph" w:styleId="Footer">
    <w:name w:val="footer"/>
    <w:basedOn w:val="Normal"/>
    <w:link w:val="FooterChar"/>
    <w:uiPriority w:val="99"/>
    <w:unhideWhenUsed/>
    <w:rsid w:val="002C049D"/>
    <w:pPr>
      <w:tabs>
        <w:tab w:val="center" w:pos="4680"/>
        <w:tab w:val="right" w:pos="9360"/>
      </w:tabs>
      <w:spacing w:line="240" w:lineRule="auto"/>
    </w:pPr>
  </w:style>
  <w:style w:type="character" w:customStyle="1" w:styleId="FooterChar">
    <w:name w:val="Footer Char"/>
    <w:basedOn w:val="DefaultParagraphFont"/>
    <w:link w:val="Footer"/>
    <w:uiPriority w:val="99"/>
    <w:rsid w:val="002C049D"/>
    <w:rPr>
      <w:rFonts w:ascii="Times New Roman" w:eastAsia="Calibri" w:hAnsi="Times New Roman" w:cs="Times New Roman"/>
      <w:color w:val="000000"/>
      <w:sz w:val="24"/>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19"/>
    <w:pPr>
      <w:spacing w:line="480" w:lineRule="auto"/>
    </w:pPr>
    <w:rPr>
      <w:rFonts w:ascii="Times New Roman" w:eastAsia="Calibri" w:hAnsi="Times New Roman" w:cs="Times New Roman"/>
      <w:color w:val="000000"/>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4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49D"/>
    <w:rPr>
      <w:rFonts w:ascii="Tahoma" w:eastAsia="Calibri" w:hAnsi="Tahoma" w:cs="Tahoma"/>
      <w:color w:val="000000"/>
      <w:sz w:val="16"/>
      <w:szCs w:val="16"/>
    </w:rPr>
  </w:style>
  <w:style w:type="paragraph" w:styleId="Header">
    <w:name w:val="header"/>
    <w:basedOn w:val="Normal"/>
    <w:link w:val="HeaderChar"/>
    <w:uiPriority w:val="99"/>
    <w:unhideWhenUsed/>
    <w:rsid w:val="002C049D"/>
    <w:pPr>
      <w:tabs>
        <w:tab w:val="center" w:pos="4680"/>
        <w:tab w:val="right" w:pos="9360"/>
      </w:tabs>
      <w:spacing w:line="240" w:lineRule="auto"/>
    </w:pPr>
  </w:style>
  <w:style w:type="character" w:customStyle="1" w:styleId="HeaderChar">
    <w:name w:val="Header Char"/>
    <w:basedOn w:val="DefaultParagraphFont"/>
    <w:link w:val="Header"/>
    <w:uiPriority w:val="99"/>
    <w:rsid w:val="002C049D"/>
    <w:rPr>
      <w:rFonts w:ascii="Times New Roman" w:eastAsia="Calibri" w:hAnsi="Times New Roman" w:cs="Times New Roman"/>
      <w:color w:val="000000"/>
      <w:sz w:val="24"/>
      <w:szCs w:val="23"/>
    </w:rPr>
  </w:style>
  <w:style w:type="paragraph" w:styleId="Footer">
    <w:name w:val="footer"/>
    <w:basedOn w:val="Normal"/>
    <w:link w:val="FooterChar"/>
    <w:uiPriority w:val="99"/>
    <w:unhideWhenUsed/>
    <w:rsid w:val="002C049D"/>
    <w:pPr>
      <w:tabs>
        <w:tab w:val="center" w:pos="4680"/>
        <w:tab w:val="right" w:pos="9360"/>
      </w:tabs>
      <w:spacing w:line="240" w:lineRule="auto"/>
    </w:pPr>
  </w:style>
  <w:style w:type="character" w:customStyle="1" w:styleId="FooterChar">
    <w:name w:val="Footer Char"/>
    <w:basedOn w:val="DefaultParagraphFont"/>
    <w:link w:val="Footer"/>
    <w:uiPriority w:val="99"/>
    <w:rsid w:val="002C049D"/>
    <w:rPr>
      <w:rFonts w:ascii="Times New Roman" w:eastAsia="Calibri" w:hAnsi="Times New Roman" w:cs="Times New Roman"/>
      <w:color w:val="000000"/>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Nisource</cp:lastModifiedBy>
  <cp:revision>3</cp:revision>
  <dcterms:created xsi:type="dcterms:W3CDTF">2013-01-07T19:22:00Z</dcterms:created>
  <dcterms:modified xsi:type="dcterms:W3CDTF">2013-01-07T19:56:00Z</dcterms:modified>
</cp:coreProperties>
</file>